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FCC7F" w14:textId="32A0346E" w:rsidR="009D4E66" w:rsidRDefault="009D4E66" w:rsidP="009D4E66">
      <w:pPr>
        <w:spacing w:after="0" w:line="480" w:lineRule="auto"/>
        <w:rPr>
          <w:rFonts w:ascii="Times New Roman" w:hAnsi="Times New Roman" w:cs="Times New Roman"/>
          <w:b/>
          <w:sz w:val="24"/>
          <w:szCs w:val="24"/>
        </w:rPr>
      </w:pPr>
      <w:r w:rsidRPr="009D4E66">
        <w:rPr>
          <w:rFonts w:ascii="Times New Roman" w:hAnsi="Times New Roman" w:cs="Times New Roman"/>
          <w:b/>
          <w:sz w:val="24"/>
          <w:szCs w:val="24"/>
        </w:rPr>
        <w:t>Original Research Article</w:t>
      </w:r>
    </w:p>
    <w:p w14:paraId="634BB82D" w14:textId="3B945CA8" w:rsidR="0086050F" w:rsidRPr="00300A8F" w:rsidRDefault="00DB293D" w:rsidP="008834AD">
      <w:pPr>
        <w:spacing w:after="0" w:line="480" w:lineRule="auto"/>
        <w:jc w:val="center"/>
        <w:rPr>
          <w:rFonts w:ascii="Times New Roman" w:hAnsi="Times New Roman" w:cs="Times New Roman"/>
          <w:b/>
          <w:sz w:val="24"/>
          <w:szCs w:val="24"/>
        </w:rPr>
      </w:pPr>
      <w:r w:rsidRPr="00300A8F">
        <w:rPr>
          <w:rFonts w:ascii="Times New Roman" w:hAnsi="Times New Roman" w:cs="Times New Roman"/>
          <w:b/>
          <w:sz w:val="24"/>
          <w:szCs w:val="24"/>
        </w:rPr>
        <w:t>Assessment</w:t>
      </w:r>
      <w:r w:rsidR="008834AD" w:rsidRPr="00300A8F">
        <w:rPr>
          <w:rFonts w:ascii="Times New Roman" w:hAnsi="Times New Roman" w:cs="Times New Roman"/>
          <w:b/>
          <w:sz w:val="24"/>
          <w:szCs w:val="24"/>
        </w:rPr>
        <w:t xml:space="preserve"> Of Soil Quality </w:t>
      </w:r>
      <w:r w:rsidR="008834AD">
        <w:rPr>
          <w:rFonts w:ascii="Times New Roman" w:hAnsi="Times New Roman" w:cs="Times New Roman"/>
          <w:b/>
          <w:sz w:val="24"/>
          <w:szCs w:val="24"/>
        </w:rPr>
        <w:t>i</w:t>
      </w:r>
      <w:r w:rsidR="008834AD" w:rsidRPr="00300A8F">
        <w:rPr>
          <w:rFonts w:ascii="Times New Roman" w:hAnsi="Times New Roman" w:cs="Times New Roman"/>
          <w:b/>
          <w:sz w:val="24"/>
          <w:szCs w:val="24"/>
        </w:rPr>
        <w:t xml:space="preserve">n </w:t>
      </w:r>
      <w:r w:rsidR="008834AD">
        <w:rPr>
          <w:rFonts w:ascii="Times New Roman" w:hAnsi="Times New Roman" w:cs="Times New Roman"/>
          <w:b/>
          <w:sz w:val="24"/>
          <w:szCs w:val="24"/>
        </w:rPr>
        <w:t>t</w:t>
      </w:r>
      <w:r w:rsidR="008834AD" w:rsidRPr="00300A8F">
        <w:rPr>
          <w:rFonts w:ascii="Times New Roman" w:hAnsi="Times New Roman" w:cs="Times New Roman"/>
          <w:b/>
          <w:sz w:val="24"/>
          <w:szCs w:val="24"/>
        </w:rPr>
        <w:t xml:space="preserve">he Post Flood Soils </w:t>
      </w:r>
      <w:r w:rsidR="008834AD">
        <w:rPr>
          <w:rFonts w:ascii="Times New Roman" w:hAnsi="Times New Roman" w:cs="Times New Roman"/>
          <w:b/>
          <w:sz w:val="24"/>
          <w:szCs w:val="24"/>
        </w:rPr>
        <w:t>o</w:t>
      </w:r>
      <w:r w:rsidR="008834AD" w:rsidRPr="00300A8F">
        <w:rPr>
          <w:rFonts w:ascii="Times New Roman" w:hAnsi="Times New Roman" w:cs="Times New Roman"/>
          <w:b/>
          <w:sz w:val="24"/>
          <w:szCs w:val="24"/>
        </w:rPr>
        <w:t xml:space="preserve">f Sothern </w:t>
      </w:r>
      <w:r w:rsidR="008834AD">
        <w:rPr>
          <w:rFonts w:ascii="Times New Roman" w:hAnsi="Times New Roman" w:cs="Times New Roman"/>
          <w:b/>
          <w:sz w:val="24"/>
          <w:szCs w:val="24"/>
        </w:rPr>
        <w:t>a</w:t>
      </w:r>
      <w:r w:rsidR="008834AD" w:rsidRPr="00300A8F">
        <w:rPr>
          <w:rFonts w:ascii="Times New Roman" w:hAnsi="Times New Roman" w:cs="Times New Roman"/>
          <w:b/>
          <w:sz w:val="24"/>
          <w:szCs w:val="24"/>
        </w:rPr>
        <w:t xml:space="preserve">nd Central Foothills </w:t>
      </w:r>
      <w:r w:rsidR="008834AD">
        <w:rPr>
          <w:rFonts w:ascii="Times New Roman" w:hAnsi="Times New Roman" w:cs="Times New Roman"/>
          <w:b/>
          <w:sz w:val="24"/>
          <w:szCs w:val="24"/>
        </w:rPr>
        <w:t>o</w:t>
      </w:r>
      <w:r w:rsidR="008834AD" w:rsidRPr="00300A8F">
        <w:rPr>
          <w:rFonts w:ascii="Times New Roman" w:hAnsi="Times New Roman" w:cs="Times New Roman"/>
          <w:b/>
          <w:sz w:val="24"/>
          <w:szCs w:val="24"/>
        </w:rPr>
        <w:t>f Kerala</w:t>
      </w:r>
    </w:p>
    <w:p w14:paraId="00ED246F" w14:textId="2B47CB65" w:rsidR="009C7D3A" w:rsidRPr="00300A8F" w:rsidRDefault="005B25B7" w:rsidP="003E788C">
      <w:pPr>
        <w:spacing w:line="480" w:lineRule="auto"/>
        <w:jc w:val="center"/>
        <w:rPr>
          <w:rFonts w:ascii="Times New Roman" w:hAnsi="Times New Roman" w:cs="Times New Roman"/>
          <w:b/>
          <w:sz w:val="24"/>
          <w:szCs w:val="24"/>
        </w:rPr>
      </w:pPr>
      <w:bookmarkStart w:id="0" w:name="_GoBack"/>
      <w:bookmarkEnd w:id="0"/>
      <w:r w:rsidRPr="00300A8F">
        <w:rPr>
          <w:rFonts w:ascii="Times New Roman" w:hAnsi="Times New Roman" w:cs="Times New Roman"/>
          <w:b/>
          <w:sz w:val="24"/>
          <w:szCs w:val="24"/>
        </w:rPr>
        <w:t>ABSTRACT</w:t>
      </w:r>
    </w:p>
    <w:p w14:paraId="71C5A1C2" w14:textId="0DAE7CC7" w:rsidR="009D4E66" w:rsidRPr="009D4E66" w:rsidRDefault="009D4E66" w:rsidP="009D4E66">
      <w:pPr>
        <w:spacing w:after="0" w:line="480" w:lineRule="auto"/>
        <w:jc w:val="both"/>
        <w:rPr>
          <w:rFonts w:ascii="Times New Roman" w:hAnsi="Times New Roman" w:cs="Times New Roman"/>
          <w:sz w:val="24"/>
          <w:szCs w:val="24"/>
        </w:rPr>
      </w:pPr>
      <w:r w:rsidRPr="009D4E66">
        <w:rPr>
          <w:rFonts w:ascii="Times New Roman" w:hAnsi="Times New Roman" w:cs="Times New Roman"/>
          <w:sz w:val="24"/>
          <w:szCs w:val="24"/>
        </w:rPr>
        <w:t xml:space="preserve">The study was undertaken to evaluate the soil quality of post-flood soils of </w:t>
      </w:r>
      <w:proofErr w:type="spellStart"/>
      <w:r w:rsidRPr="009D4E66">
        <w:rPr>
          <w:rFonts w:ascii="Times New Roman" w:hAnsi="Times New Roman" w:cs="Times New Roman"/>
          <w:sz w:val="24"/>
          <w:szCs w:val="24"/>
        </w:rPr>
        <w:t>Agro</w:t>
      </w:r>
      <w:proofErr w:type="spellEnd"/>
      <w:r w:rsidRPr="009D4E66">
        <w:rPr>
          <w:rFonts w:ascii="Times New Roman" w:hAnsi="Times New Roman" w:cs="Times New Roman"/>
          <w:sz w:val="24"/>
          <w:szCs w:val="24"/>
        </w:rPr>
        <w:t>-ecological Unit 12 (southern and central foothills) in Kottayam district, Kerala. Representative surface soil samples were collected from the area after the flood event. The samples were analysed in the laboratory for various physical, chemical, and biological soil properties. Principal component analysis was employed to select the minimum data set influencing soil quality in the study area. Using the scoring and weighted additive approach, a soil quality index was computed, and soils were classified into low, medium, and good categories based on the relative soil quality index. The results indicated that 95 per cent of the soils fell under the medium quality category, with RSQI values ranging from 50 to 70, while only five per cent of the soils were rated as poor.</w:t>
      </w:r>
      <w:r>
        <w:rPr>
          <w:rFonts w:ascii="Times New Roman" w:hAnsi="Times New Roman" w:cs="Times New Roman"/>
          <w:sz w:val="24"/>
          <w:szCs w:val="24"/>
        </w:rPr>
        <w:t xml:space="preserve"> </w:t>
      </w:r>
    </w:p>
    <w:p w14:paraId="79E04783" w14:textId="77777777" w:rsidR="00557715" w:rsidRPr="00300A8F" w:rsidRDefault="00125A85" w:rsidP="00B636C7">
      <w:pPr>
        <w:spacing w:after="0" w:line="480" w:lineRule="auto"/>
        <w:jc w:val="both"/>
        <w:rPr>
          <w:rFonts w:ascii="Times New Roman" w:hAnsi="Times New Roman" w:cs="Times New Roman"/>
          <w:i/>
          <w:iCs/>
          <w:sz w:val="24"/>
          <w:szCs w:val="24"/>
        </w:rPr>
      </w:pPr>
      <w:r w:rsidRPr="00300A8F">
        <w:rPr>
          <w:rFonts w:ascii="Times New Roman" w:hAnsi="Times New Roman" w:cs="Times New Roman"/>
          <w:i/>
          <w:iCs/>
          <w:sz w:val="24"/>
          <w:szCs w:val="24"/>
        </w:rPr>
        <w:t>(</w:t>
      </w:r>
      <w:r w:rsidRPr="00617CCD">
        <w:rPr>
          <w:rFonts w:ascii="Times New Roman" w:hAnsi="Times New Roman" w:cs="Times New Roman"/>
          <w:b/>
          <w:bCs/>
          <w:i/>
          <w:iCs/>
          <w:sz w:val="24"/>
          <w:szCs w:val="24"/>
        </w:rPr>
        <w:t>Key words</w:t>
      </w:r>
      <w:r w:rsidRPr="00300A8F">
        <w:rPr>
          <w:rFonts w:ascii="Times New Roman" w:hAnsi="Times New Roman" w:cs="Times New Roman"/>
          <w:i/>
          <w:iCs/>
          <w:sz w:val="24"/>
          <w:szCs w:val="24"/>
        </w:rPr>
        <w:t xml:space="preserve">: </w:t>
      </w:r>
      <w:proofErr w:type="spellStart"/>
      <w:r w:rsidRPr="00300A8F">
        <w:rPr>
          <w:rFonts w:ascii="Times New Roman" w:hAnsi="Times New Roman" w:cs="Times New Roman"/>
          <w:i/>
          <w:iCs/>
          <w:sz w:val="24"/>
          <w:szCs w:val="24"/>
        </w:rPr>
        <w:t>Physico</w:t>
      </w:r>
      <w:proofErr w:type="spellEnd"/>
      <w:r w:rsidRPr="00300A8F">
        <w:rPr>
          <w:rFonts w:ascii="Times New Roman" w:hAnsi="Times New Roman" w:cs="Times New Roman"/>
          <w:i/>
          <w:iCs/>
          <w:sz w:val="24"/>
          <w:szCs w:val="24"/>
        </w:rPr>
        <w:t>-chemical changes, relative soil quality index, soil quality)</w:t>
      </w:r>
    </w:p>
    <w:p w14:paraId="2C246AE2" w14:textId="77777777" w:rsidR="00820D84" w:rsidRPr="00300A8F" w:rsidRDefault="005B25B7" w:rsidP="00B636C7">
      <w:pPr>
        <w:spacing w:after="0" w:line="480" w:lineRule="auto"/>
        <w:jc w:val="both"/>
        <w:rPr>
          <w:rFonts w:ascii="Times New Roman" w:hAnsi="Times New Roman" w:cs="Times New Roman"/>
          <w:b/>
          <w:sz w:val="24"/>
          <w:szCs w:val="24"/>
        </w:rPr>
      </w:pPr>
      <w:r w:rsidRPr="00300A8F">
        <w:rPr>
          <w:rFonts w:ascii="Times New Roman" w:hAnsi="Times New Roman" w:cs="Times New Roman"/>
          <w:b/>
          <w:sz w:val="24"/>
          <w:szCs w:val="24"/>
        </w:rPr>
        <w:t>INTRODUCTION</w:t>
      </w:r>
    </w:p>
    <w:p w14:paraId="4A7A2F26" w14:textId="77777777" w:rsidR="009D4E66" w:rsidRPr="009D4E66" w:rsidRDefault="009D4E66" w:rsidP="009D4E66">
      <w:pPr>
        <w:spacing w:line="480" w:lineRule="auto"/>
        <w:jc w:val="both"/>
        <w:rPr>
          <w:rFonts w:ascii="Times New Roman" w:hAnsi="Times New Roman" w:cs="Times New Roman"/>
          <w:sz w:val="24"/>
          <w:szCs w:val="24"/>
        </w:rPr>
      </w:pPr>
      <w:r w:rsidRPr="009D4E66">
        <w:rPr>
          <w:rFonts w:ascii="Times New Roman" w:hAnsi="Times New Roman" w:cs="Times New Roman"/>
          <w:sz w:val="24"/>
          <w:szCs w:val="24"/>
        </w:rPr>
        <w:t xml:space="preserve">Kerala experienced severe floods across the entire state due to unusually high rainfall during the southwest monsoon of 2018. According to IMD data, the state received 2346.6 mm of rainfall from 1 June 2018 to 19 August 2018, exceeding the normal rainfall by about 41 per cent. This unexpected increase in rainfall led to catastrophic flooding, with peak intensity observed between 17 and 21 August 2018. Thirteen out of the fourteen districts were affected by flash floods and landslides (CTCRI, 2018). Soil erosion emerged as the major impact in 86 per cent of the flood-affected areas (Kerala State Biodiversity Board, 2018). AEU 12 (Southern and central foothills) comprises undulating lands with low hills situated between the midland laterites and the high hills of the Western Ghats, covering an area of 72,611 ha. </w:t>
      </w:r>
      <w:r w:rsidRPr="009D4E66">
        <w:rPr>
          <w:rFonts w:ascii="Times New Roman" w:hAnsi="Times New Roman" w:cs="Times New Roman"/>
          <w:sz w:val="24"/>
          <w:szCs w:val="24"/>
        </w:rPr>
        <w:lastRenderedPageBreak/>
        <w:t xml:space="preserve">The </w:t>
      </w:r>
      <w:proofErr w:type="spellStart"/>
      <w:r w:rsidRPr="009D4E66">
        <w:rPr>
          <w:rFonts w:ascii="Times New Roman" w:hAnsi="Times New Roman" w:cs="Times New Roman"/>
          <w:sz w:val="24"/>
          <w:szCs w:val="24"/>
        </w:rPr>
        <w:t>Erattupetta</w:t>
      </w:r>
      <w:proofErr w:type="spellEnd"/>
      <w:r w:rsidRPr="009D4E66">
        <w:rPr>
          <w:rFonts w:ascii="Times New Roman" w:hAnsi="Times New Roman" w:cs="Times New Roman"/>
          <w:sz w:val="24"/>
          <w:szCs w:val="24"/>
        </w:rPr>
        <w:t xml:space="preserve"> and </w:t>
      </w:r>
      <w:proofErr w:type="spellStart"/>
      <w:r w:rsidRPr="009D4E66">
        <w:rPr>
          <w:rFonts w:ascii="Times New Roman" w:hAnsi="Times New Roman" w:cs="Times New Roman"/>
          <w:sz w:val="24"/>
          <w:szCs w:val="24"/>
        </w:rPr>
        <w:t>Kanjirapally</w:t>
      </w:r>
      <w:proofErr w:type="spellEnd"/>
      <w:r w:rsidRPr="009D4E66">
        <w:rPr>
          <w:rFonts w:ascii="Times New Roman" w:hAnsi="Times New Roman" w:cs="Times New Roman"/>
          <w:sz w:val="24"/>
          <w:szCs w:val="24"/>
        </w:rPr>
        <w:t xml:space="preserve"> blocks within this AEU were severely affected by landslides.</w:t>
      </w:r>
    </w:p>
    <w:p w14:paraId="4C6F9354" w14:textId="77777777" w:rsidR="009D4E66" w:rsidRPr="009D4E66" w:rsidRDefault="009D4E66" w:rsidP="009D4E66">
      <w:pPr>
        <w:spacing w:line="480" w:lineRule="auto"/>
        <w:jc w:val="both"/>
        <w:rPr>
          <w:rFonts w:ascii="Times New Roman" w:hAnsi="Times New Roman" w:cs="Times New Roman"/>
          <w:sz w:val="24"/>
          <w:szCs w:val="24"/>
        </w:rPr>
      </w:pPr>
      <w:r w:rsidRPr="009D4E66">
        <w:rPr>
          <w:rFonts w:ascii="Times New Roman" w:hAnsi="Times New Roman" w:cs="Times New Roman"/>
          <w:sz w:val="24"/>
          <w:szCs w:val="24"/>
        </w:rPr>
        <w:t>Prolonged flooding and waterlogging resulted in the washing away of topsoil, leading to significant losses in soil fertility. Soil compaction was observed throughout the affected areas. Floodwaters eroded exposed soils, formed deep gullies, and transported crop residues, building materials, and other debris. Landslides, water stagnation, and the deposition of sand, silt, and clay of varying thicknesses were also recorded.</w:t>
      </w:r>
    </w:p>
    <w:p w14:paraId="6F73E524" w14:textId="77777777" w:rsidR="009D4E66" w:rsidRPr="009D4E66" w:rsidRDefault="009D4E66" w:rsidP="009D4E66">
      <w:pPr>
        <w:spacing w:line="480" w:lineRule="auto"/>
        <w:jc w:val="both"/>
        <w:rPr>
          <w:rFonts w:ascii="Times New Roman" w:hAnsi="Times New Roman" w:cs="Times New Roman"/>
          <w:sz w:val="24"/>
          <w:szCs w:val="24"/>
        </w:rPr>
      </w:pPr>
      <w:r w:rsidRPr="009D4E66">
        <w:rPr>
          <w:rFonts w:ascii="Times New Roman" w:hAnsi="Times New Roman" w:cs="Times New Roman"/>
          <w:sz w:val="24"/>
          <w:szCs w:val="24"/>
        </w:rPr>
        <w:t>Extended soil saturation caused notable changes in soil chemical, physical, and biological properties. Flooded soils may experience a “post-flood syndrome,” comparable to the “fallow syndrome,” when land is left uncultivated for an entire season. Such conditions disturb soil fertility and productivity, necessitating site-specific investigations of soil fertility parameters. Nutrient recommendations for existing cropping systems require redrafting, along with revisions in cropping patterns and the adoption of location-specific management practices. Quality assessment of post-flood soils to identify nutrient imbalances and adverse physical conditions is essential for restoring crop productivity and ensuring long-term sustainability.</w:t>
      </w:r>
    </w:p>
    <w:p w14:paraId="7157819E" w14:textId="77777777" w:rsidR="009C7D3A" w:rsidRPr="00300A8F" w:rsidRDefault="005B25B7" w:rsidP="00B636C7">
      <w:pPr>
        <w:spacing w:line="480" w:lineRule="auto"/>
        <w:rPr>
          <w:rFonts w:ascii="Times New Roman" w:hAnsi="Times New Roman" w:cs="Times New Roman"/>
          <w:b/>
          <w:sz w:val="24"/>
          <w:szCs w:val="24"/>
        </w:rPr>
      </w:pPr>
      <w:r w:rsidRPr="00300A8F">
        <w:rPr>
          <w:rFonts w:ascii="Times New Roman" w:hAnsi="Times New Roman" w:cs="Times New Roman"/>
          <w:b/>
          <w:sz w:val="24"/>
          <w:szCs w:val="24"/>
        </w:rPr>
        <w:t>MATERIALS AND METHODS</w:t>
      </w:r>
    </w:p>
    <w:p w14:paraId="45148282" w14:textId="77777777" w:rsidR="00731815" w:rsidRPr="00300A8F" w:rsidRDefault="0064427D" w:rsidP="00B636C7">
      <w:pPr>
        <w:spacing w:line="480" w:lineRule="auto"/>
        <w:ind w:firstLine="720"/>
        <w:jc w:val="both"/>
        <w:rPr>
          <w:rFonts w:ascii="Times New Roman" w:hAnsi="Times New Roman" w:cs="Times New Roman"/>
          <w:sz w:val="24"/>
          <w:szCs w:val="24"/>
          <w:lang w:val="en-US"/>
        </w:rPr>
      </w:pPr>
      <w:r w:rsidRPr="00300A8F">
        <w:rPr>
          <w:rFonts w:ascii="Times New Roman" w:hAnsi="Times New Roman" w:cs="Times New Roman"/>
          <w:sz w:val="24"/>
          <w:szCs w:val="24"/>
        </w:rPr>
        <w:t xml:space="preserve">Kottayam district </w:t>
      </w:r>
      <w:r w:rsidRPr="00300A8F">
        <w:rPr>
          <w:rFonts w:ascii="Times New Roman" w:hAnsi="Times New Roman" w:cs="Times New Roman"/>
          <w:sz w:val="24"/>
          <w:szCs w:val="24"/>
          <w:lang w:val="en-US"/>
        </w:rPr>
        <w:t xml:space="preserve">spreads over three </w:t>
      </w:r>
      <w:proofErr w:type="spellStart"/>
      <w:r w:rsidRPr="00300A8F">
        <w:rPr>
          <w:rFonts w:ascii="Times New Roman" w:hAnsi="Times New Roman" w:cs="Times New Roman"/>
          <w:sz w:val="24"/>
          <w:szCs w:val="24"/>
          <w:lang w:val="en-US"/>
        </w:rPr>
        <w:t>agro</w:t>
      </w:r>
      <w:proofErr w:type="spellEnd"/>
      <w:r w:rsidRPr="00300A8F">
        <w:rPr>
          <w:rFonts w:ascii="Times New Roman" w:hAnsi="Times New Roman" w:cs="Times New Roman"/>
          <w:sz w:val="24"/>
          <w:szCs w:val="24"/>
          <w:lang w:val="en-US"/>
        </w:rPr>
        <w:t xml:space="preserve"> ecological units (AEU) </w:t>
      </w:r>
      <w:r w:rsidRPr="00300A8F">
        <w:rPr>
          <w:rFonts w:ascii="Times New Roman" w:hAnsi="Times New Roman" w:cs="Times New Roman"/>
          <w:i/>
          <w:sz w:val="24"/>
          <w:szCs w:val="24"/>
          <w:lang w:val="en-US"/>
        </w:rPr>
        <w:t>viz</w:t>
      </w:r>
      <w:r w:rsidRPr="00300A8F">
        <w:rPr>
          <w:rFonts w:ascii="Times New Roman" w:hAnsi="Times New Roman" w:cs="Times New Roman"/>
          <w:sz w:val="24"/>
          <w:szCs w:val="24"/>
          <w:lang w:val="en-US"/>
        </w:rPr>
        <w:t>., 4 (</w:t>
      </w:r>
      <w:proofErr w:type="spellStart"/>
      <w:r w:rsidRPr="00300A8F">
        <w:rPr>
          <w:rFonts w:ascii="Times New Roman" w:hAnsi="Times New Roman" w:cs="Times New Roman"/>
          <w:sz w:val="24"/>
          <w:szCs w:val="24"/>
          <w:lang w:val="en-US"/>
        </w:rPr>
        <w:t>Kuttanad</w:t>
      </w:r>
      <w:proofErr w:type="spellEnd"/>
      <w:r w:rsidRPr="00300A8F">
        <w:rPr>
          <w:rFonts w:ascii="Times New Roman" w:hAnsi="Times New Roman" w:cs="Times New Roman"/>
          <w:sz w:val="24"/>
          <w:szCs w:val="24"/>
          <w:lang w:val="en-US"/>
        </w:rPr>
        <w:t xml:space="preserve">), 9 (South Central Laterites) and 12 (Sothern and Central Foothills). It consists of 11 blocks and 79 </w:t>
      </w:r>
      <w:proofErr w:type="spellStart"/>
      <w:r w:rsidRPr="00300A8F">
        <w:rPr>
          <w:rFonts w:ascii="Times New Roman" w:hAnsi="Times New Roman" w:cs="Times New Roman"/>
          <w:sz w:val="24"/>
          <w:szCs w:val="24"/>
          <w:lang w:val="en-US"/>
        </w:rPr>
        <w:t>panchayaths.AEU</w:t>
      </w:r>
      <w:proofErr w:type="spellEnd"/>
      <w:r w:rsidRPr="00300A8F">
        <w:rPr>
          <w:rFonts w:ascii="Times New Roman" w:hAnsi="Times New Roman" w:cs="Times New Roman"/>
          <w:sz w:val="24"/>
          <w:szCs w:val="24"/>
          <w:lang w:val="en-US"/>
        </w:rPr>
        <w:t xml:space="preserve"> 4 and 9 were badly affected by flood while AEU 12 by landslide.</w:t>
      </w:r>
    </w:p>
    <w:p w14:paraId="3EDF95A9" w14:textId="77777777" w:rsidR="001F20F3" w:rsidRPr="00300A8F" w:rsidRDefault="001F20F3" w:rsidP="00B636C7">
      <w:pPr>
        <w:spacing w:line="480" w:lineRule="auto"/>
        <w:ind w:firstLine="720"/>
        <w:jc w:val="both"/>
        <w:rPr>
          <w:rFonts w:ascii="Times New Roman" w:hAnsi="Times New Roman" w:cs="Times New Roman"/>
          <w:sz w:val="24"/>
          <w:szCs w:val="24"/>
          <w:lang w:val="en-US"/>
        </w:rPr>
      </w:pPr>
      <w:r w:rsidRPr="00300A8F">
        <w:rPr>
          <w:rFonts w:ascii="Times New Roman" w:hAnsi="Times New Roman" w:cs="Times New Roman"/>
          <w:sz w:val="24"/>
          <w:szCs w:val="24"/>
        </w:rPr>
        <w:t>The study was carried out in AEU 12(Southern and Central Foothills) of Kottayam</w:t>
      </w:r>
      <w:r w:rsidRPr="00300A8F">
        <w:rPr>
          <w:rFonts w:ascii="Times New Roman" w:hAnsi="Times New Roman" w:cs="Times New Roman"/>
          <w:sz w:val="24"/>
          <w:szCs w:val="24"/>
          <w:lang w:val="en-US"/>
        </w:rPr>
        <w:t xml:space="preserve"> district. It </w:t>
      </w:r>
      <w:r w:rsidRPr="00300A8F">
        <w:rPr>
          <w:rFonts w:ascii="Times New Roman" w:hAnsi="Times New Roman" w:cs="Times New Roman"/>
          <w:sz w:val="24"/>
          <w:szCs w:val="24"/>
        </w:rPr>
        <w:t xml:space="preserve">represent the undulating lands with low hills, between midland laterites and high hills of Western ghats. Here, the soils in general are strongly acidic, dominated by low activity lateritic clay soils and are rich in organic matter. These soils have moderate CEC and basic cations. Acidity is a major constraint of these soils. Majority of the soils are deficient in </w:t>
      </w:r>
      <w:r w:rsidRPr="00300A8F">
        <w:rPr>
          <w:rFonts w:ascii="Times New Roman" w:hAnsi="Times New Roman" w:cs="Times New Roman"/>
          <w:sz w:val="24"/>
          <w:szCs w:val="24"/>
        </w:rPr>
        <w:lastRenderedPageBreak/>
        <w:t xml:space="preserve">Ca, Mg and B (Geetha </w:t>
      </w:r>
      <w:r w:rsidRPr="00300A8F">
        <w:rPr>
          <w:rFonts w:ascii="Times New Roman" w:hAnsi="Times New Roman" w:cs="Times New Roman"/>
          <w:i/>
          <w:iCs/>
          <w:sz w:val="24"/>
          <w:szCs w:val="24"/>
        </w:rPr>
        <w:t>et al</w:t>
      </w:r>
      <w:r w:rsidRPr="00300A8F">
        <w:rPr>
          <w:rFonts w:ascii="Times New Roman" w:hAnsi="Times New Roman" w:cs="Times New Roman"/>
          <w:sz w:val="24"/>
          <w:szCs w:val="24"/>
        </w:rPr>
        <w:t xml:space="preserve">., 2013). Sampling sites were selected based on a field survey and was done during the month of April, 2019, before the pre monsoon showers. The worst affected panchayaths in this </w:t>
      </w:r>
      <w:proofErr w:type="spellStart"/>
      <w:r w:rsidRPr="00300A8F">
        <w:rPr>
          <w:rFonts w:ascii="Times New Roman" w:hAnsi="Times New Roman" w:cs="Times New Roman"/>
          <w:sz w:val="24"/>
          <w:szCs w:val="24"/>
        </w:rPr>
        <w:t>agro</w:t>
      </w:r>
      <w:proofErr w:type="spellEnd"/>
      <w:r w:rsidRPr="00300A8F">
        <w:rPr>
          <w:rFonts w:ascii="Times New Roman" w:hAnsi="Times New Roman" w:cs="Times New Roman"/>
          <w:sz w:val="24"/>
          <w:szCs w:val="24"/>
        </w:rPr>
        <w:t xml:space="preserve"> ecological unit were </w:t>
      </w:r>
      <w:proofErr w:type="spellStart"/>
      <w:r w:rsidRPr="00300A8F">
        <w:rPr>
          <w:rFonts w:ascii="Times New Roman" w:hAnsi="Times New Roman" w:cs="Times New Roman"/>
          <w:sz w:val="24"/>
          <w:szCs w:val="24"/>
        </w:rPr>
        <w:t>Thalanadu</w:t>
      </w:r>
      <w:proofErr w:type="spellEnd"/>
      <w:r w:rsidRPr="00300A8F">
        <w:rPr>
          <w:rFonts w:ascii="Times New Roman" w:hAnsi="Times New Roman" w:cs="Times New Roman"/>
          <w:sz w:val="24"/>
          <w:szCs w:val="24"/>
        </w:rPr>
        <w:t xml:space="preserve">, </w:t>
      </w:r>
      <w:proofErr w:type="spellStart"/>
      <w:r w:rsidRPr="00300A8F">
        <w:rPr>
          <w:rFonts w:ascii="Times New Roman" w:hAnsi="Times New Roman" w:cs="Times New Roman"/>
          <w:sz w:val="24"/>
          <w:szCs w:val="24"/>
        </w:rPr>
        <w:t>Thidanadu</w:t>
      </w:r>
      <w:proofErr w:type="spellEnd"/>
      <w:r w:rsidRPr="00300A8F">
        <w:rPr>
          <w:rFonts w:ascii="Times New Roman" w:hAnsi="Times New Roman" w:cs="Times New Roman"/>
          <w:sz w:val="24"/>
          <w:szCs w:val="24"/>
        </w:rPr>
        <w:t xml:space="preserve"> and </w:t>
      </w:r>
      <w:proofErr w:type="spellStart"/>
      <w:r w:rsidRPr="00300A8F">
        <w:rPr>
          <w:rFonts w:ascii="Times New Roman" w:hAnsi="Times New Roman" w:cs="Times New Roman"/>
          <w:sz w:val="24"/>
          <w:szCs w:val="24"/>
        </w:rPr>
        <w:t>Erumeli</w:t>
      </w:r>
      <w:proofErr w:type="spellEnd"/>
      <w:r w:rsidRPr="00300A8F">
        <w:rPr>
          <w:rFonts w:ascii="Times New Roman" w:hAnsi="Times New Roman" w:cs="Times New Roman"/>
          <w:sz w:val="24"/>
          <w:szCs w:val="24"/>
        </w:rPr>
        <w:t xml:space="preserve"> and </w:t>
      </w:r>
      <w:r w:rsidR="00B56A23" w:rsidRPr="00300A8F">
        <w:rPr>
          <w:rFonts w:ascii="Times New Roman" w:hAnsi="Times New Roman" w:cs="Times New Roman"/>
          <w:sz w:val="24"/>
          <w:szCs w:val="24"/>
          <w:lang w:val="en-US"/>
        </w:rPr>
        <w:t xml:space="preserve">20 geo referenced soil samples were collected. </w:t>
      </w:r>
    </w:p>
    <w:p w14:paraId="227D4578" w14:textId="77777777" w:rsidR="0064427D" w:rsidRPr="00300A8F" w:rsidRDefault="0064427D" w:rsidP="00B636C7">
      <w:pPr>
        <w:spacing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 xml:space="preserve">Surface soil samples at 0-15 cm depth were taken. Core samples were also taken from each sampling point. The samples were immediately stored in plastic covers and transported to laboratory for further analysis. Soil samples were dried and sieved using 2 mm sieve before analysis in the laboratory. The samples were analysed for soil texture, bulk density, maximum water holding capacity, pH, EC, organic carbon, available N, P, K, Ca, Mg, S and acid phosphatase in the laboratory using AR grade reagents following standard analytical procedures. Soil textural analysis was done using </w:t>
      </w:r>
      <w:proofErr w:type="spellStart"/>
      <w:r w:rsidR="00C553B5" w:rsidRPr="00300A8F">
        <w:rPr>
          <w:rFonts w:ascii="Times New Roman" w:hAnsi="Times New Roman" w:cs="Times New Roman"/>
          <w:sz w:val="24"/>
          <w:szCs w:val="24"/>
        </w:rPr>
        <w:t>Bouycous</w:t>
      </w:r>
      <w:proofErr w:type="spellEnd"/>
      <w:r w:rsidRPr="00300A8F">
        <w:rPr>
          <w:rFonts w:ascii="Times New Roman" w:hAnsi="Times New Roman" w:cs="Times New Roman"/>
          <w:sz w:val="24"/>
          <w:szCs w:val="24"/>
        </w:rPr>
        <w:t xml:space="preserve"> hydrometer method (</w:t>
      </w:r>
      <w:r w:rsidRPr="00300A8F">
        <w:rPr>
          <w:rFonts w:ascii="Times New Roman" w:hAnsi="Times New Roman" w:cs="Times New Roman"/>
          <w:sz w:val="24"/>
          <w:szCs w:val="24"/>
          <w:lang w:val="en-US"/>
        </w:rPr>
        <w:t>Jackson, 1973</w:t>
      </w:r>
      <w:r w:rsidRPr="00300A8F">
        <w:rPr>
          <w:rFonts w:ascii="Times New Roman" w:hAnsi="Times New Roman" w:cs="Times New Roman"/>
          <w:sz w:val="24"/>
          <w:szCs w:val="24"/>
        </w:rPr>
        <w:t xml:space="preserve">). Bulk density (Black </w:t>
      </w:r>
      <w:r w:rsidRPr="00300A8F">
        <w:rPr>
          <w:rFonts w:ascii="Times New Roman" w:hAnsi="Times New Roman" w:cs="Times New Roman"/>
          <w:i/>
          <w:iCs/>
          <w:sz w:val="24"/>
          <w:szCs w:val="24"/>
        </w:rPr>
        <w:t xml:space="preserve">et al., </w:t>
      </w:r>
      <w:r w:rsidRPr="00300A8F">
        <w:rPr>
          <w:rFonts w:ascii="Times New Roman" w:hAnsi="Times New Roman" w:cs="Times New Roman"/>
          <w:sz w:val="24"/>
          <w:szCs w:val="24"/>
        </w:rPr>
        <w:t xml:space="preserve">1965) and maximum water holding capacity (Gupta and </w:t>
      </w:r>
      <w:proofErr w:type="spellStart"/>
      <w:r w:rsidRPr="00300A8F">
        <w:rPr>
          <w:rFonts w:ascii="Times New Roman" w:hAnsi="Times New Roman" w:cs="Times New Roman"/>
          <w:sz w:val="24"/>
          <w:szCs w:val="24"/>
        </w:rPr>
        <w:t>Dakshinamurthy</w:t>
      </w:r>
      <w:proofErr w:type="spellEnd"/>
      <w:r w:rsidRPr="00300A8F">
        <w:rPr>
          <w:rFonts w:ascii="Times New Roman" w:hAnsi="Times New Roman" w:cs="Times New Roman"/>
          <w:sz w:val="24"/>
          <w:szCs w:val="24"/>
        </w:rPr>
        <w:t xml:space="preserve">, 1980) were analysed using core samples. Soil pH was measured in 1:2.5 soil water suspensions using a pH meter. EC was measured using an EC meter in the supernatant of 1:2.5 soil water suspensions (Jackson, 1973) Organic carbon was estimated using Walkley and Black (1934) rapid titration method. Available nitrogen was determined by alkaline permanganate method (Subbiah and Asija, 1956). Available phosphorus was extracted using Bray No. 1 solution and estimated using spectrophotometer (Bray and Kurtz, 1975). Available potassium was estimated using flame photometer after extraction with neutral normal ammonium acetate (Jackson, 1973). </w:t>
      </w:r>
      <w:proofErr w:type="spellStart"/>
      <w:r w:rsidRPr="00300A8F">
        <w:rPr>
          <w:rFonts w:ascii="Times New Roman" w:hAnsi="Times New Roman" w:cs="Times New Roman"/>
          <w:sz w:val="24"/>
          <w:szCs w:val="24"/>
        </w:rPr>
        <w:t>Versenate</w:t>
      </w:r>
      <w:proofErr w:type="spellEnd"/>
      <w:r w:rsidRPr="00300A8F">
        <w:rPr>
          <w:rFonts w:ascii="Times New Roman" w:hAnsi="Times New Roman" w:cs="Times New Roman"/>
          <w:sz w:val="24"/>
          <w:szCs w:val="24"/>
        </w:rPr>
        <w:t xml:space="preserve"> titration method (Hesse, 1971) was followed to determine available calcium and magnesium. Available sulphur was extracted using calcium chloride and estimated using spectrophotometer (Massoumi and Cornfield, 1963). Acid phosphatase was determined by colorimetric estimation of p-nitrophenol released by </w:t>
      </w:r>
      <w:r w:rsidRPr="00300A8F">
        <w:rPr>
          <w:rFonts w:ascii="Times New Roman" w:hAnsi="Times New Roman" w:cs="Times New Roman"/>
          <w:sz w:val="24"/>
          <w:szCs w:val="24"/>
          <w:shd w:val="clear" w:color="auto" w:fill="FFFFFF"/>
        </w:rPr>
        <w:t xml:space="preserve">soil </w:t>
      </w:r>
      <w:r w:rsidRPr="00300A8F">
        <w:rPr>
          <w:rFonts w:ascii="Times New Roman" w:hAnsi="Times New Roman" w:cs="Times New Roman"/>
          <w:sz w:val="24"/>
          <w:szCs w:val="24"/>
          <w:lang w:val="en-US"/>
        </w:rPr>
        <w:t>is incubated with buffered (pH 6.5) sodium p-nitrophenyl phosphate solution and toluene at 37</w:t>
      </w:r>
      <w:r w:rsidRPr="00300A8F">
        <w:rPr>
          <w:rFonts w:ascii="Times New Roman" w:hAnsi="Times New Roman" w:cs="Times New Roman"/>
          <w:sz w:val="24"/>
          <w:szCs w:val="24"/>
          <w:vertAlign w:val="superscript"/>
          <w:lang w:val="en-US"/>
        </w:rPr>
        <w:t>0</w:t>
      </w:r>
      <w:r w:rsidRPr="00300A8F">
        <w:rPr>
          <w:rFonts w:ascii="Times New Roman" w:hAnsi="Times New Roman" w:cs="Times New Roman"/>
          <w:sz w:val="24"/>
          <w:szCs w:val="24"/>
          <w:lang w:val="en-US"/>
        </w:rPr>
        <w:t>C for 1 hr. (</w:t>
      </w:r>
      <w:r w:rsidRPr="00300A8F">
        <w:rPr>
          <w:rFonts w:ascii="Times New Roman" w:hAnsi="Times New Roman" w:cs="Times New Roman"/>
          <w:sz w:val="24"/>
          <w:szCs w:val="24"/>
        </w:rPr>
        <w:t>Tabatabai and Bremner, 1969</w:t>
      </w:r>
      <w:r w:rsidRPr="00300A8F">
        <w:rPr>
          <w:rFonts w:ascii="Times New Roman" w:hAnsi="Times New Roman" w:cs="Times New Roman"/>
          <w:sz w:val="24"/>
          <w:szCs w:val="24"/>
          <w:lang w:val="en-US"/>
        </w:rPr>
        <w:t>)</w:t>
      </w:r>
      <w:r w:rsidRPr="00300A8F">
        <w:rPr>
          <w:rFonts w:ascii="Times New Roman" w:hAnsi="Times New Roman" w:cs="Times New Roman"/>
          <w:sz w:val="24"/>
          <w:szCs w:val="24"/>
        </w:rPr>
        <w:t xml:space="preserve">. The </w:t>
      </w:r>
      <w:r w:rsidRPr="00300A8F">
        <w:rPr>
          <w:rFonts w:ascii="Times New Roman" w:hAnsi="Times New Roman" w:cs="Times New Roman"/>
          <w:sz w:val="24"/>
          <w:szCs w:val="24"/>
        </w:rPr>
        <w:lastRenderedPageBreak/>
        <w:t>frequency distribution of soil pH, organic carbon and available P, K, Ca, Mg and S were compared with the pre flood data of KSPB (2013).</w:t>
      </w:r>
    </w:p>
    <w:p w14:paraId="3ADED49A" w14:textId="77777777" w:rsidR="0064427D" w:rsidRPr="00300A8F" w:rsidRDefault="0064427D" w:rsidP="00B636C7">
      <w:pPr>
        <w:spacing w:after="0" w:line="480" w:lineRule="auto"/>
        <w:jc w:val="both"/>
        <w:rPr>
          <w:rFonts w:ascii="Times New Roman" w:hAnsi="Times New Roman" w:cs="Times New Roman"/>
          <w:b/>
          <w:sz w:val="24"/>
          <w:szCs w:val="24"/>
        </w:rPr>
      </w:pPr>
      <w:r w:rsidRPr="00300A8F">
        <w:rPr>
          <w:rFonts w:ascii="Times New Roman" w:hAnsi="Times New Roman" w:cs="Times New Roman"/>
          <w:b/>
          <w:sz w:val="24"/>
          <w:szCs w:val="24"/>
        </w:rPr>
        <w:t>Soil quality</w:t>
      </w:r>
    </w:p>
    <w:p w14:paraId="118EE0C7" w14:textId="77777777" w:rsidR="00F422B6" w:rsidRPr="00300A8F" w:rsidRDefault="00F422B6" w:rsidP="00B636C7">
      <w:pPr>
        <w:spacing w:line="480" w:lineRule="auto"/>
        <w:ind w:firstLine="720"/>
        <w:jc w:val="both"/>
        <w:rPr>
          <w:rFonts w:ascii="Times New Roman" w:hAnsi="Times New Roman" w:cs="Times New Roman"/>
          <w:sz w:val="24"/>
          <w:szCs w:val="24"/>
        </w:rPr>
      </w:pPr>
      <w:r w:rsidRPr="00300A8F">
        <w:rPr>
          <w:rFonts w:ascii="Times New Roman" w:hAnsi="Times New Roman" w:cs="Times New Roman"/>
          <w:bCs/>
          <w:sz w:val="24"/>
          <w:szCs w:val="24"/>
        </w:rPr>
        <w:t xml:space="preserve">Soil quality index (SQI) for each sampling site was generated by aggregating the scores following standard methods. This included: </w:t>
      </w:r>
      <w:r w:rsidRPr="00300A8F">
        <w:rPr>
          <w:rFonts w:ascii="Times New Roman" w:hAnsi="Times New Roman" w:cs="Times New Roman"/>
          <w:sz w:val="24"/>
          <w:szCs w:val="24"/>
        </w:rPr>
        <w:t>(</w:t>
      </w:r>
      <w:proofErr w:type="spellStart"/>
      <w:r w:rsidRPr="00300A8F">
        <w:rPr>
          <w:rFonts w:ascii="Times New Roman" w:hAnsi="Times New Roman" w:cs="Times New Roman"/>
          <w:sz w:val="24"/>
          <w:szCs w:val="24"/>
        </w:rPr>
        <w:t>i</w:t>
      </w:r>
      <w:proofErr w:type="spellEnd"/>
      <w:r w:rsidRPr="00300A8F">
        <w:rPr>
          <w:rFonts w:ascii="Times New Roman" w:hAnsi="Times New Roman" w:cs="Times New Roman"/>
          <w:sz w:val="24"/>
          <w:szCs w:val="24"/>
        </w:rPr>
        <w:t xml:space="preserve">) selection of MDS of indicators that best represent the soil functions; (ii) scoring the MDS indicators based on their performance of soil functions; and (iii) integrating the indicator scores into a comparative index of soil quality(Vasu </w:t>
      </w:r>
      <w:r w:rsidRPr="00300A8F">
        <w:rPr>
          <w:rFonts w:ascii="Times New Roman" w:hAnsi="Times New Roman" w:cs="Times New Roman"/>
          <w:i/>
          <w:sz w:val="24"/>
          <w:szCs w:val="24"/>
        </w:rPr>
        <w:t>et al</w:t>
      </w:r>
      <w:r w:rsidRPr="00300A8F">
        <w:rPr>
          <w:rFonts w:ascii="Times New Roman" w:hAnsi="Times New Roman" w:cs="Times New Roman"/>
          <w:sz w:val="24"/>
          <w:szCs w:val="24"/>
        </w:rPr>
        <w:t>., 2016).</w:t>
      </w:r>
    </w:p>
    <w:p w14:paraId="3151FB0D" w14:textId="77777777" w:rsidR="0064427D" w:rsidRPr="00300A8F" w:rsidRDefault="0064427D" w:rsidP="00B636C7">
      <w:pPr>
        <w:spacing w:after="0" w:line="480" w:lineRule="auto"/>
        <w:jc w:val="both"/>
        <w:rPr>
          <w:rFonts w:ascii="Times New Roman" w:hAnsi="Times New Roman" w:cs="Times New Roman"/>
          <w:sz w:val="24"/>
          <w:szCs w:val="24"/>
        </w:rPr>
      </w:pPr>
      <w:r w:rsidRPr="00300A8F">
        <w:rPr>
          <w:rFonts w:ascii="Times New Roman" w:hAnsi="Times New Roman" w:cs="Times New Roman"/>
          <w:sz w:val="24"/>
          <w:szCs w:val="24"/>
        </w:rPr>
        <w:t>(</w:t>
      </w:r>
      <w:proofErr w:type="spellStart"/>
      <w:r w:rsidRPr="00300A8F">
        <w:rPr>
          <w:rFonts w:ascii="Times New Roman" w:hAnsi="Times New Roman" w:cs="Times New Roman"/>
          <w:sz w:val="24"/>
          <w:szCs w:val="24"/>
        </w:rPr>
        <w:t>i</w:t>
      </w:r>
      <w:proofErr w:type="spellEnd"/>
      <w:r w:rsidRPr="00300A8F">
        <w:rPr>
          <w:rFonts w:ascii="Times New Roman" w:hAnsi="Times New Roman" w:cs="Times New Roman"/>
          <w:sz w:val="24"/>
          <w:szCs w:val="24"/>
        </w:rPr>
        <w:t>) Selection of minimum data set from different soil properties</w:t>
      </w:r>
    </w:p>
    <w:p w14:paraId="3118E383" w14:textId="77777777" w:rsidR="002309D5" w:rsidRPr="00300A8F" w:rsidRDefault="0064427D" w:rsidP="00B636C7">
      <w:pPr>
        <w:shd w:val="clear" w:color="auto" w:fill="FFFFFF"/>
        <w:spacing w:after="0" w:line="480" w:lineRule="auto"/>
        <w:jc w:val="both"/>
        <w:rPr>
          <w:rFonts w:ascii="Times New Roman" w:hAnsi="Times New Roman" w:cs="Times New Roman"/>
          <w:sz w:val="24"/>
          <w:szCs w:val="24"/>
        </w:rPr>
      </w:pPr>
      <w:r w:rsidRPr="00300A8F">
        <w:rPr>
          <w:rFonts w:ascii="Times New Roman" w:hAnsi="Times New Roman" w:cs="Times New Roman"/>
          <w:sz w:val="24"/>
          <w:szCs w:val="24"/>
        </w:rPr>
        <w:tab/>
        <w:t xml:space="preserve">Principal </w:t>
      </w:r>
      <w:proofErr w:type="spellStart"/>
      <w:r w:rsidRPr="00300A8F">
        <w:rPr>
          <w:rFonts w:ascii="Times New Roman" w:hAnsi="Times New Roman" w:cs="Times New Roman"/>
          <w:sz w:val="24"/>
          <w:szCs w:val="24"/>
        </w:rPr>
        <w:t>ComponenetAnalysis</w:t>
      </w:r>
      <w:proofErr w:type="spellEnd"/>
      <w:r w:rsidRPr="00300A8F">
        <w:rPr>
          <w:rFonts w:ascii="Times New Roman" w:hAnsi="Times New Roman" w:cs="Times New Roman"/>
          <w:sz w:val="24"/>
          <w:szCs w:val="24"/>
        </w:rPr>
        <w:t xml:space="preserve"> (PCA) method was used for determination of minimum data set which consists of most suitable soil indicators which influenced the soil quality of this </w:t>
      </w:r>
      <w:proofErr w:type="spellStart"/>
      <w:r w:rsidRPr="00300A8F">
        <w:rPr>
          <w:rFonts w:ascii="Times New Roman" w:hAnsi="Times New Roman" w:cs="Times New Roman"/>
          <w:sz w:val="24"/>
          <w:szCs w:val="24"/>
        </w:rPr>
        <w:t>area.</w:t>
      </w:r>
      <w:r w:rsidRPr="00300A8F">
        <w:rPr>
          <w:rFonts w:ascii="Times New Roman" w:eastAsia="Times New Roman" w:hAnsi="Times New Roman" w:cs="Times New Roman"/>
          <w:sz w:val="24"/>
          <w:szCs w:val="24"/>
        </w:rPr>
        <w:t>MDS</w:t>
      </w:r>
      <w:proofErr w:type="spellEnd"/>
      <w:r w:rsidRPr="00300A8F">
        <w:rPr>
          <w:rFonts w:ascii="Times New Roman" w:eastAsia="Times New Roman" w:hAnsi="Times New Roman" w:cs="Times New Roman"/>
          <w:sz w:val="24"/>
          <w:szCs w:val="24"/>
        </w:rPr>
        <w:t> is chosen on the basis of </w:t>
      </w:r>
      <w:proofErr w:type="spellStart"/>
      <w:r w:rsidRPr="00300A8F">
        <w:rPr>
          <w:rFonts w:ascii="Times New Roman" w:eastAsia="Times New Roman" w:hAnsi="Times New Roman" w:cs="Times New Roman"/>
          <w:sz w:val="24"/>
          <w:szCs w:val="24"/>
        </w:rPr>
        <w:t>capacitysoil</w:t>
      </w:r>
      <w:proofErr w:type="spellEnd"/>
      <w:r w:rsidRPr="00300A8F">
        <w:rPr>
          <w:rFonts w:ascii="Times New Roman" w:eastAsia="Times New Roman" w:hAnsi="Times New Roman" w:cs="Times New Roman"/>
          <w:sz w:val="24"/>
          <w:szCs w:val="24"/>
        </w:rPr>
        <w:t xml:space="preserve"> properties to predict soil stability and productivity </w:t>
      </w:r>
      <w:r w:rsidRPr="00300A8F">
        <w:rPr>
          <w:rFonts w:ascii="Times New Roman" w:hAnsi="Times New Roman" w:cs="Times New Roman"/>
          <w:sz w:val="24"/>
          <w:szCs w:val="24"/>
        </w:rPr>
        <w:t xml:space="preserve">(Lima </w:t>
      </w:r>
      <w:r w:rsidRPr="00300A8F">
        <w:rPr>
          <w:rFonts w:ascii="Times New Roman" w:hAnsi="Times New Roman" w:cs="Times New Roman"/>
          <w:i/>
          <w:sz w:val="24"/>
          <w:szCs w:val="24"/>
        </w:rPr>
        <w:t>et al</w:t>
      </w:r>
      <w:r w:rsidRPr="00300A8F">
        <w:rPr>
          <w:rFonts w:ascii="Times New Roman" w:hAnsi="Times New Roman" w:cs="Times New Roman"/>
          <w:sz w:val="24"/>
          <w:szCs w:val="24"/>
        </w:rPr>
        <w:t xml:space="preserve">., 2012). Principle components (PCs) which have Eigen value greater than one were selected from PCA analysis. According to Wander and </w:t>
      </w:r>
      <w:proofErr w:type="spellStart"/>
      <w:r w:rsidRPr="00300A8F">
        <w:rPr>
          <w:rFonts w:ascii="Times New Roman" w:hAnsi="Times New Roman" w:cs="Times New Roman"/>
          <w:sz w:val="24"/>
          <w:szCs w:val="24"/>
        </w:rPr>
        <w:t>Bollero</w:t>
      </w:r>
      <w:proofErr w:type="spellEnd"/>
      <w:r w:rsidRPr="00300A8F">
        <w:rPr>
          <w:rFonts w:ascii="Times New Roman" w:hAnsi="Times New Roman" w:cs="Times New Roman"/>
          <w:sz w:val="24"/>
          <w:szCs w:val="24"/>
        </w:rPr>
        <w:t xml:space="preserve"> (1999), only the variables which have high weightage within each PC were selected for MDS. When there is more than one indicator in single PC, correlation is worked out among them. If they have significant correlation (r ≥ 0.6) between each other, then the one with highest loading factor was selected for MDS and the remaining are excluded. Thus, means that the non-correlated parameters were retained and elected for MDS (Andrews </w:t>
      </w:r>
      <w:r w:rsidRPr="00300A8F">
        <w:rPr>
          <w:rFonts w:ascii="Times New Roman" w:hAnsi="Times New Roman" w:cs="Times New Roman"/>
          <w:i/>
          <w:sz w:val="24"/>
          <w:szCs w:val="24"/>
        </w:rPr>
        <w:t>et al.,</w:t>
      </w:r>
      <w:r w:rsidRPr="00300A8F">
        <w:rPr>
          <w:rFonts w:ascii="Times New Roman" w:hAnsi="Times New Roman" w:cs="Times New Roman"/>
          <w:sz w:val="24"/>
          <w:szCs w:val="24"/>
        </w:rPr>
        <w:t xml:space="preserve"> 2001).</w:t>
      </w:r>
    </w:p>
    <w:p w14:paraId="22DCDE80" w14:textId="77777777" w:rsidR="0064427D" w:rsidRPr="00300A8F" w:rsidRDefault="0064427D" w:rsidP="00B636C7">
      <w:pPr>
        <w:spacing w:after="0" w:line="480" w:lineRule="auto"/>
        <w:jc w:val="both"/>
        <w:rPr>
          <w:rFonts w:ascii="Times New Roman" w:hAnsi="Times New Roman" w:cs="Times New Roman"/>
          <w:sz w:val="24"/>
          <w:szCs w:val="24"/>
        </w:rPr>
      </w:pPr>
      <w:r w:rsidRPr="00300A8F">
        <w:rPr>
          <w:rFonts w:ascii="Times New Roman" w:hAnsi="Times New Roman" w:cs="Times New Roman"/>
          <w:sz w:val="24"/>
          <w:szCs w:val="24"/>
        </w:rPr>
        <w:t>(ii) Scoring of the selected indicators</w:t>
      </w:r>
    </w:p>
    <w:p w14:paraId="0E509A09" w14:textId="77777777" w:rsidR="0064427D" w:rsidRPr="00300A8F" w:rsidRDefault="0064427D" w:rsidP="00B636C7">
      <w:pPr>
        <w:spacing w:after="0" w:line="480" w:lineRule="auto"/>
        <w:jc w:val="both"/>
        <w:rPr>
          <w:rFonts w:ascii="Times New Roman" w:hAnsi="Times New Roman" w:cs="Times New Roman"/>
          <w:sz w:val="24"/>
          <w:szCs w:val="24"/>
        </w:rPr>
      </w:pPr>
      <w:r w:rsidRPr="00300A8F">
        <w:rPr>
          <w:rFonts w:ascii="Times New Roman" w:hAnsi="Times New Roman" w:cs="Times New Roman"/>
          <w:b/>
          <w:sz w:val="24"/>
          <w:szCs w:val="24"/>
        </w:rPr>
        <w:tab/>
      </w:r>
      <w:r w:rsidRPr="00300A8F">
        <w:rPr>
          <w:rFonts w:ascii="Times New Roman" w:hAnsi="Times New Roman" w:cs="Times New Roman"/>
          <w:sz w:val="24"/>
          <w:szCs w:val="24"/>
        </w:rPr>
        <w:t xml:space="preserve">To formulate the soil quality index, proper weights were assigned to the selected parameters in the MDS and proper score was given to each class (Larson and Pierce, 1994). Scoring of the parameters was achieved using the method suggested by Kundu </w:t>
      </w:r>
      <w:r w:rsidRPr="00300A8F">
        <w:rPr>
          <w:rFonts w:ascii="Times New Roman" w:hAnsi="Times New Roman" w:cs="Times New Roman"/>
          <w:i/>
          <w:sz w:val="24"/>
          <w:szCs w:val="24"/>
        </w:rPr>
        <w:t>et al.</w:t>
      </w:r>
      <w:r w:rsidRPr="00300A8F">
        <w:rPr>
          <w:rFonts w:ascii="Times New Roman" w:hAnsi="Times New Roman" w:cs="Times New Roman"/>
          <w:sz w:val="24"/>
          <w:szCs w:val="24"/>
        </w:rPr>
        <w:t xml:space="preserve"> (2012); </w:t>
      </w:r>
      <w:r w:rsidRPr="00300A8F">
        <w:rPr>
          <w:rFonts w:ascii="Times New Roman" w:hAnsi="Times New Roman" w:cs="Times New Roman"/>
          <w:sz w:val="24"/>
          <w:szCs w:val="24"/>
        </w:rPr>
        <w:lastRenderedPageBreak/>
        <w:t xml:space="preserve">Lal and Mukherjee (2012) with slight modification based on the soil fertility ratings for secondary and micronutrients for soils of Kerala. </w:t>
      </w:r>
    </w:p>
    <w:p w14:paraId="45321453" w14:textId="77777777" w:rsidR="0064427D" w:rsidRPr="00300A8F" w:rsidRDefault="0064427D" w:rsidP="00B636C7">
      <w:pPr>
        <w:spacing w:after="0" w:line="480" w:lineRule="auto"/>
        <w:jc w:val="both"/>
        <w:rPr>
          <w:rFonts w:ascii="Times New Roman" w:hAnsi="Times New Roman" w:cs="Times New Roman"/>
          <w:bCs/>
          <w:sz w:val="24"/>
          <w:szCs w:val="24"/>
          <w:shd w:val="clear" w:color="auto" w:fill="FFFFFF"/>
        </w:rPr>
      </w:pPr>
      <w:r w:rsidRPr="00300A8F">
        <w:rPr>
          <w:rFonts w:ascii="Times New Roman" w:hAnsi="Times New Roman" w:cs="Times New Roman"/>
          <w:sz w:val="24"/>
          <w:szCs w:val="24"/>
        </w:rPr>
        <w:t xml:space="preserve">(iii) Calculation of Soil Quality Index (SQI) and </w:t>
      </w:r>
      <w:r w:rsidRPr="00300A8F">
        <w:rPr>
          <w:rFonts w:ascii="Times New Roman" w:hAnsi="Times New Roman" w:cs="Times New Roman"/>
          <w:bCs/>
          <w:sz w:val="24"/>
          <w:szCs w:val="24"/>
          <w:shd w:val="clear" w:color="auto" w:fill="FFFFFF"/>
        </w:rPr>
        <w:t>Relative Soil Quality Index (RSQI)</w:t>
      </w:r>
    </w:p>
    <w:p w14:paraId="2D4291D0" w14:textId="77777777" w:rsidR="0064427D" w:rsidRPr="00300A8F" w:rsidRDefault="0064427D" w:rsidP="00B636C7">
      <w:pPr>
        <w:spacing w:after="0" w:line="480" w:lineRule="auto"/>
        <w:jc w:val="both"/>
        <w:rPr>
          <w:rFonts w:ascii="Times New Roman" w:hAnsi="Times New Roman" w:cs="Times New Roman"/>
          <w:bCs/>
          <w:sz w:val="24"/>
          <w:szCs w:val="24"/>
          <w:shd w:val="clear" w:color="auto" w:fill="FFFFFF"/>
        </w:rPr>
      </w:pPr>
      <w:r w:rsidRPr="00300A8F">
        <w:rPr>
          <w:rFonts w:ascii="Times New Roman" w:hAnsi="Times New Roman" w:cs="Times New Roman"/>
          <w:bCs/>
          <w:sz w:val="24"/>
          <w:szCs w:val="24"/>
          <w:shd w:val="clear" w:color="auto" w:fill="FFFFFF"/>
        </w:rPr>
        <w:tab/>
        <w:t xml:space="preserve">Weighted additive method was used to calculate soil quality. </w:t>
      </w:r>
      <w:r w:rsidRPr="00300A8F">
        <w:rPr>
          <w:rFonts w:ascii="Times New Roman" w:hAnsi="Times New Roman" w:cs="Times New Roman"/>
          <w:sz w:val="24"/>
          <w:szCs w:val="24"/>
        </w:rPr>
        <w:t>The equation was proposed by Wymore, (1993)</w:t>
      </w:r>
    </w:p>
    <w:p w14:paraId="6DE0B459" w14:textId="77777777" w:rsidR="0064427D" w:rsidRPr="00300A8F" w:rsidRDefault="0064427D" w:rsidP="00B636C7">
      <w:pPr>
        <w:pStyle w:val="BodyText"/>
        <w:spacing w:after="0" w:line="480" w:lineRule="auto"/>
        <w:ind w:left="2465" w:firstLine="0"/>
      </w:pPr>
      <w:r w:rsidRPr="00300A8F">
        <w:t>SQI =Ʃ W</w:t>
      </w:r>
      <w:r w:rsidRPr="00300A8F">
        <w:rPr>
          <w:vertAlign w:val="subscript"/>
        </w:rPr>
        <w:t>i</w:t>
      </w:r>
      <w:r w:rsidRPr="00300A8F">
        <w:t xml:space="preserve"> S</w:t>
      </w:r>
      <w:r w:rsidRPr="00300A8F">
        <w:rPr>
          <w:vertAlign w:val="subscript"/>
        </w:rPr>
        <w:t>i</w:t>
      </w:r>
    </w:p>
    <w:p w14:paraId="6073A7BA" w14:textId="77777777" w:rsidR="0064427D" w:rsidRPr="00300A8F" w:rsidRDefault="0064427D" w:rsidP="00B636C7">
      <w:pPr>
        <w:pStyle w:val="BodyText"/>
        <w:spacing w:after="0" w:line="480" w:lineRule="auto"/>
        <w:ind w:left="0" w:firstLine="0"/>
      </w:pPr>
      <w:r w:rsidRPr="00300A8F">
        <w:t>Where, W</w:t>
      </w:r>
      <w:r w:rsidRPr="00300A8F">
        <w:rPr>
          <w:vertAlign w:val="subscript"/>
        </w:rPr>
        <w:t>i</w:t>
      </w:r>
      <w:r w:rsidRPr="00300A8F">
        <w:t xml:space="preserve"> is the weighted factor and S</w:t>
      </w:r>
      <w:r w:rsidRPr="00300A8F">
        <w:rPr>
          <w:vertAlign w:val="subscript"/>
        </w:rPr>
        <w:t>i</w:t>
      </w:r>
      <w:r w:rsidRPr="00300A8F">
        <w:t xml:space="preserve"> is the weighted score.</w:t>
      </w:r>
    </w:p>
    <w:p w14:paraId="4FF66BE7" w14:textId="77777777" w:rsidR="0064427D" w:rsidRPr="00300A8F" w:rsidRDefault="0064427D" w:rsidP="00B636C7">
      <w:pPr>
        <w:spacing w:after="0" w:line="480" w:lineRule="auto"/>
        <w:ind w:firstLine="720"/>
        <w:jc w:val="both"/>
        <w:rPr>
          <w:rFonts w:ascii="Times New Roman" w:hAnsi="Times New Roman" w:cs="Times New Roman"/>
          <w:bCs/>
          <w:sz w:val="24"/>
          <w:szCs w:val="24"/>
          <w:shd w:val="clear" w:color="auto" w:fill="FFFFFF"/>
        </w:rPr>
      </w:pPr>
      <w:r w:rsidRPr="00300A8F">
        <w:rPr>
          <w:rFonts w:ascii="Times New Roman" w:hAnsi="Times New Roman" w:cs="Times New Roman"/>
          <w:bCs/>
          <w:sz w:val="24"/>
          <w:szCs w:val="24"/>
          <w:shd w:val="clear" w:color="auto" w:fill="FFFFFF"/>
        </w:rPr>
        <w:t>Relative soil quality index was used to measure the changes in the soil quality (Karlen and Stott, 1994)</w:t>
      </w:r>
    </w:p>
    <w:p w14:paraId="3B9654E2" w14:textId="77777777" w:rsidR="0064427D" w:rsidRPr="00300A8F" w:rsidRDefault="0064427D" w:rsidP="00B636C7">
      <w:pPr>
        <w:spacing w:after="0" w:line="480" w:lineRule="auto"/>
        <w:ind w:firstLine="720"/>
        <w:jc w:val="both"/>
        <w:rPr>
          <w:rFonts w:ascii="Times New Roman" w:eastAsiaTheme="minorEastAsia" w:hAnsi="Times New Roman" w:cs="Times New Roman"/>
          <w:sz w:val="24"/>
          <w:szCs w:val="24"/>
          <w:shd w:val="clear" w:color="auto" w:fill="FFFFFF"/>
        </w:rPr>
      </w:pPr>
      <m:oMathPara>
        <m:oMath>
          <m:r>
            <w:rPr>
              <w:rFonts w:ascii="Cambria Math" w:hAnsi="Cambria Math" w:cs="Times New Roman"/>
              <w:sz w:val="24"/>
              <w:szCs w:val="24"/>
              <w:shd w:val="clear" w:color="auto" w:fill="FFFFFF"/>
            </w:rPr>
            <m:t>RSQI</m:t>
          </m:r>
          <m:r>
            <m:rPr>
              <m:sty m:val="p"/>
            </m:rPr>
            <w:rPr>
              <w:rFonts w:ascii="Cambria Math" w:hAnsi="Cambria Math" w:cs="Times New Roman"/>
              <w:sz w:val="24"/>
              <w:szCs w:val="24"/>
              <w:shd w:val="clear" w:color="auto" w:fill="FFFFFF"/>
            </w:rPr>
            <m:t>=</m:t>
          </m:r>
          <m:d>
            <m:dPr>
              <m:ctrlPr>
                <w:rPr>
                  <w:rFonts w:ascii="Cambria Math" w:hAnsi="Cambria Math" w:cs="Times New Roman"/>
                  <w:bCs/>
                  <w:sz w:val="24"/>
                  <w:szCs w:val="24"/>
                  <w:shd w:val="clear" w:color="auto" w:fill="FFFFFF"/>
                </w:rPr>
              </m:ctrlPr>
            </m:dPr>
            <m:e>
              <m:f>
                <m:fPr>
                  <m:ctrlPr>
                    <w:rPr>
                      <w:rFonts w:ascii="Cambria Math" w:hAnsi="Cambria Math" w:cs="Times New Roman"/>
                      <w:bCs/>
                      <w:sz w:val="24"/>
                      <w:szCs w:val="24"/>
                      <w:shd w:val="clear" w:color="auto" w:fill="FFFFFF"/>
                    </w:rPr>
                  </m:ctrlPr>
                </m:fPr>
                <m:num>
                  <m:r>
                    <m:rPr>
                      <m:sty m:val="p"/>
                    </m:rPr>
                    <w:rPr>
                      <w:rFonts w:ascii="Cambria Math" w:hAnsi="Cambria Math" w:cs="Times New Roman"/>
                      <w:sz w:val="24"/>
                      <w:szCs w:val="24"/>
                      <w:shd w:val="clear" w:color="auto" w:fill="FFFFFF"/>
                    </w:rPr>
                    <m:t>SQI</m:t>
                  </m:r>
                </m:num>
                <m:den>
                  <m:r>
                    <m:rPr>
                      <m:sty m:val="p"/>
                    </m:rPr>
                    <w:rPr>
                      <w:rFonts w:ascii="Cambria Math" w:hAnsi="Cambria Math" w:cs="Times New Roman"/>
                      <w:sz w:val="24"/>
                      <w:szCs w:val="24"/>
                      <w:shd w:val="clear" w:color="auto" w:fill="FFFFFF"/>
                    </w:rPr>
                    <m:t>SQI</m:t>
                  </m:r>
                  <m:r>
                    <m:rPr>
                      <m:sty m:val="p"/>
                    </m:rPr>
                    <w:rPr>
                      <w:rFonts w:ascii="Cambria Math" w:hAnsi="Cambria Math" w:cs="Times New Roman"/>
                      <w:sz w:val="24"/>
                      <w:szCs w:val="24"/>
                      <w:shd w:val="clear" w:color="auto" w:fill="FFFFFF"/>
                      <w:vertAlign w:val="subscript"/>
                    </w:rPr>
                    <m:t>max</m:t>
                  </m:r>
                </m:den>
              </m:f>
              <m:ctrlPr>
                <w:rPr>
                  <w:rFonts w:ascii="Cambria Math" w:hAnsi="Cambria Math" w:cs="Times New Roman"/>
                  <w:bCs/>
                  <w:i/>
                  <w:sz w:val="24"/>
                  <w:szCs w:val="24"/>
                  <w:shd w:val="clear" w:color="auto" w:fill="FFFFFF"/>
                </w:rPr>
              </m:ctrlPr>
            </m:e>
          </m:d>
          <m:r>
            <w:rPr>
              <w:rFonts w:ascii="Cambria Math" w:hAnsi="Cambria Math" w:cs="Times New Roman"/>
              <w:sz w:val="24"/>
              <w:szCs w:val="24"/>
              <w:shd w:val="clear" w:color="auto" w:fill="FFFFFF"/>
            </w:rPr>
            <m:t>100</m:t>
          </m:r>
        </m:oMath>
      </m:oMathPara>
    </w:p>
    <w:p w14:paraId="11434562" w14:textId="77777777" w:rsidR="0064427D" w:rsidRPr="00300A8F" w:rsidRDefault="0064427D" w:rsidP="00B636C7">
      <w:pPr>
        <w:spacing w:after="0" w:line="480" w:lineRule="auto"/>
        <w:jc w:val="both"/>
        <w:rPr>
          <w:rFonts w:ascii="Times New Roman" w:hAnsi="Times New Roman" w:cs="Times New Roman"/>
          <w:bCs/>
          <w:sz w:val="24"/>
          <w:szCs w:val="24"/>
          <w:shd w:val="clear" w:color="auto" w:fill="FFFFFF"/>
        </w:rPr>
      </w:pPr>
      <w:r w:rsidRPr="00300A8F">
        <w:rPr>
          <w:rFonts w:ascii="Times New Roman" w:eastAsiaTheme="minorEastAsia" w:hAnsi="Times New Roman" w:cs="Times New Roman"/>
          <w:bCs/>
          <w:sz w:val="24"/>
          <w:szCs w:val="24"/>
          <w:shd w:val="clear" w:color="auto" w:fill="FFFFFF"/>
        </w:rPr>
        <w:t xml:space="preserve">Where SQI was the determined soil quality index and </w:t>
      </w:r>
      <m:oMath>
        <m:r>
          <m:rPr>
            <m:sty m:val="p"/>
          </m:rPr>
          <w:rPr>
            <w:rFonts w:ascii="Cambria Math" w:hAnsi="Cambria Math" w:cs="Times New Roman"/>
            <w:sz w:val="24"/>
            <w:szCs w:val="24"/>
            <w:shd w:val="clear" w:color="auto" w:fill="FFFFFF"/>
          </w:rPr>
          <m:t>SQI</m:t>
        </m:r>
        <m:r>
          <m:rPr>
            <m:sty m:val="p"/>
          </m:rPr>
          <w:rPr>
            <w:rFonts w:ascii="Cambria Math" w:hAnsi="Cambria Math" w:cs="Times New Roman"/>
            <w:sz w:val="24"/>
            <w:szCs w:val="24"/>
            <w:shd w:val="clear" w:color="auto" w:fill="FFFFFF"/>
            <w:vertAlign w:val="subscript"/>
          </w:rPr>
          <m:t>max</m:t>
        </m:r>
      </m:oMath>
      <w:r w:rsidRPr="00300A8F">
        <w:rPr>
          <w:rFonts w:ascii="Times New Roman" w:hAnsi="Times New Roman" w:cs="Times New Roman"/>
          <w:bCs/>
          <w:sz w:val="24"/>
          <w:szCs w:val="24"/>
          <w:shd w:val="clear" w:color="auto" w:fill="FFFFFF"/>
        </w:rPr>
        <w:t>was the maximum soil quality index that can be obtained theoretically.</w:t>
      </w:r>
    </w:p>
    <w:p w14:paraId="5CC98DED" w14:textId="77777777" w:rsidR="002B0491" w:rsidRPr="00300A8F" w:rsidRDefault="002B0491" w:rsidP="00B636C7">
      <w:pPr>
        <w:spacing w:line="480" w:lineRule="auto"/>
        <w:rPr>
          <w:rFonts w:ascii="Times New Roman" w:hAnsi="Times New Roman" w:cs="Times New Roman"/>
          <w:b/>
          <w:sz w:val="24"/>
          <w:szCs w:val="24"/>
        </w:rPr>
      </w:pPr>
      <w:r w:rsidRPr="00300A8F">
        <w:rPr>
          <w:rFonts w:ascii="Times New Roman" w:hAnsi="Times New Roman" w:cs="Times New Roman"/>
          <w:b/>
          <w:sz w:val="24"/>
          <w:szCs w:val="24"/>
        </w:rPr>
        <w:t>RESULTS AND DISCUSSION</w:t>
      </w:r>
    </w:p>
    <w:p w14:paraId="3B56A852" w14:textId="77777777" w:rsidR="002B0491" w:rsidRPr="00300A8F" w:rsidRDefault="002B0491" w:rsidP="00B636C7">
      <w:pPr>
        <w:spacing w:line="480" w:lineRule="auto"/>
        <w:rPr>
          <w:rFonts w:ascii="Times New Roman" w:hAnsi="Times New Roman" w:cs="Times New Roman"/>
          <w:b/>
          <w:sz w:val="24"/>
          <w:szCs w:val="24"/>
        </w:rPr>
      </w:pPr>
      <w:r w:rsidRPr="00300A8F">
        <w:rPr>
          <w:rFonts w:ascii="Times New Roman" w:hAnsi="Times New Roman" w:cs="Times New Roman"/>
          <w:b/>
          <w:sz w:val="24"/>
          <w:szCs w:val="24"/>
        </w:rPr>
        <w:t>Physical parameters</w:t>
      </w:r>
    </w:p>
    <w:p w14:paraId="068428DC" w14:textId="77777777" w:rsidR="005E7AB9" w:rsidRPr="00300A8F" w:rsidRDefault="008160D5" w:rsidP="00B636C7">
      <w:pPr>
        <w:spacing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Bulk density (BD) of 50 percent of samples analysed had values within</w:t>
      </w:r>
      <w:r w:rsidR="00631F48" w:rsidRPr="00300A8F">
        <w:rPr>
          <w:rFonts w:ascii="Times New Roman" w:hAnsi="Times New Roman" w:cs="Times New Roman"/>
          <w:sz w:val="24"/>
          <w:szCs w:val="24"/>
        </w:rPr>
        <w:t>1.2-1.4 Mg m</w:t>
      </w:r>
      <w:r w:rsidR="00631F48" w:rsidRPr="00300A8F">
        <w:rPr>
          <w:rFonts w:ascii="Times New Roman" w:hAnsi="Times New Roman" w:cs="Times New Roman"/>
          <w:sz w:val="24"/>
          <w:szCs w:val="24"/>
          <w:vertAlign w:val="superscript"/>
        </w:rPr>
        <w:t>-3</w:t>
      </w:r>
      <w:r w:rsidRPr="00300A8F">
        <w:rPr>
          <w:rFonts w:ascii="Times New Roman" w:hAnsi="Times New Roman" w:cs="Times New Roman"/>
          <w:sz w:val="24"/>
          <w:szCs w:val="24"/>
        </w:rPr>
        <w:t>range</w:t>
      </w:r>
      <w:r w:rsidR="001A0961" w:rsidRPr="00300A8F">
        <w:rPr>
          <w:rFonts w:ascii="Times New Roman" w:hAnsi="Times New Roman" w:cs="Times New Roman"/>
          <w:sz w:val="24"/>
          <w:szCs w:val="24"/>
        </w:rPr>
        <w:t xml:space="preserve"> and hence not much affected by the recent floods. 25 and 5 per cent of the selected samples observed bulk density &gt;1.4 and &lt;1.2 Mg m</w:t>
      </w:r>
      <w:r w:rsidR="001A0961" w:rsidRPr="00300A8F">
        <w:rPr>
          <w:rFonts w:ascii="Times New Roman" w:hAnsi="Times New Roman" w:cs="Times New Roman"/>
          <w:sz w:val="24"/>
          <w:szCs w:val="24"/>
          <w:vertAlign w:val="superscript"/>
        </w:rPr>
        <w:t>-3</w:t>
      </w:r>
      <w:r w:rsidR="001A0961" w:rsidRPr="00300A8F">
        <w:rPr>
          <w:rFonts w:ascii="Times New Roman" w:hAnsi="Times New Roman" w:cs="Times New Roman"/>
          <w:sz w:val="24"/>
          <w:szCs w:val="24"/>
        </w:rPr>
        <w:t xml:space="preserve">, respectively (Fig. </w:t>
      </w:r>
      <w:r w:rsidR="00504A4B" w:rsidRPr="00300A8F">
        <w:rPr>
          <w:rFonts w:ascii="Times New Roman" w:hAnsi="Times New Roman" w:cs="Times New Roman"/>
          <w:sz w:val="24"/>
          <w:szCs w:val="24"/>
        </w:rPr>
        <w:t>1</w:t>
      </w:r>
      <w:r w:rsidR="001A0961" w:rsidRPr="00300A8F">
        <w:rPr>
          <w:rFonts w:ascii="Times New Roman" w:hAnsi="Times New Roman" w:cs="Times New Roman"/>
          <w:sz w:val="24"/>
          <w:szCs w:val="24"/>
        </w:rPr>
        <w:t xml:space="preserve">). In areas with high organic matter content and clay deposition, bulk density was comparatively less (Chaudhari </w:t>
      </w:r>
      <w:r w:rsidR="001A0961" w:rsidRPr="00300A8F">
        <w:rPr>
          <w:rFonts w:ascii="Times New Roman" w:hAnsi="Times New Roman" w:cs="Times New Roman"/>
          <w:i/>
          <w:iCs/>
          <w:sz w:val="24"/>
          <w:szCs w:val="24"/>
        </w:rPr>
        <w:t>et al</w:t>
      </w:r>
      <w:r w:rsidR="001A0961" w:rsidRPr="00300A8F">
        <w:rPr>
          <w:rFonts w:ascii="Times New Roman" w:hAnsi="Times New Roman" w:cs="Times New Roman"/>
          <w:sz w:val="24"/>
          <w:szCs w:val="24"/>
        </w:rPr>
        <w:t>., 2013). And is also inversely related with soil porosity (</w:t>
      </w:r>
      <w:proofErr w:type="spellStart"/>
      <w:r w:rsidR="001A0961" w:rsidRPr="00300A8F">
        <w:rPr>
          <w:rFonts w:ascii="Times New Roman" w:hAnsi="Times New Roman" w:cs="Times New Roman"/>
          <w:sz w:val="24"/>
          <w:szCs w:val="24"/>
        </w:rPr>
        <w:t>Eluozo</w:t>
      </w:r>
      <w:proofErr w:type="spellEnd"/>
      <w:r w:rsidR="001A0961" w:rsidRPr="00300A8F">
        <w:rPr>
          <w:rFonts w:ascii="Times New Roman" w:hAnsi="Times New Roman" w:cs="Times New Roman"/>
          <w:sz w:val="24"/>
          <w:szCs w:val="24"/>
        </w:rPr>
        <w:t xml:space="preserve"> and Oba, 2018). Management practices like frequent raking of soil and removal of sand deposits may be practiced to improve the bulk density so that it will not hinder root penetration.</w:t>
      </w:r>
      <w:r w:rsidR="009810ED" w:rsidRPr="00300A8F">
        <w:rPr>
          <w:rFonts w:ascii="Times New Roman" w:hAnsi="Times New Roman" w:cs="Times New Roman"/>
          <w:sz w:val="24"/>
          <w:szCs w:val="24"/>
        </w:rPr>
        <w:t xml:space="preserve"> Particle density of </w:t>
      </w:r>
      <w:r w:rsidR="00AB1A00" w:rsidRPr="00300A8F">
        <w:rPr>
          <w:rFonts w:ascii="Times New Roman" w:hAnsi="Times New Roman" w:cs="Times New Roman"/>
          <w:sz w:val="24"/>
          <w:szCs w:val="24"/>
        </w:rPr>
        <w:t>15 per cent had particle density less than 2.2 Mg m</w:t>
      </w:r>
      <w:r w:rsidR="00AB1A00" w:rsidRPr="00300A8F">
        <w:rPr>
          <w:rFonts w:ascii="Times New Roman" w:hAnsi="Times New Roman" w:cs="Times New Roman"/>
          <w:sz w:val="24"/>
          <w:szCs w:val="24"/>
          <w:vertAlign w:val="superscript"/>
        </w:rPr>
        <w:t>-3</w:t>
      </w:r>
      <w:r w:rsidR="00923340" w:rsidRPr="00300A8F">
        <w:rPr>
          <w:rFonts w:ascii="Times New Roman" w:hAnsi="Times New Roman" w:cs="Times New Roman"/>
          <w:sz w:val="24"/>
          <w:szCs w:val="24"/>
        </w:rPr>
        <w:t>and</w:t>
      </w:r>
      <w:r w:rsidR="00AB1A00" w:rsidRPr="00300A8F">
        <w:rPr>
          <w:rFonts w:ascii="Times New Roman" w:hAnsi="Times New Roman" w:cs="Times New Roman"/>
          <w:sz w:val="24"/>
          <w:szCs w:val="24"/>
        </w:rPr>
        <w:t xml:space="preserve"> 9.8 per cent of samples were with density more than 2.6 Mg m</w:t>
      </w:r>
      <w:r w:rsidR="00AB1A00" w:rsidRPr="00300A8F">
        <w:rPr>
          <w:rFonts w:ascii="Times New Roman" w:hAnsi="Times New Roman" w:cs="Times New Roman"/>
          <w:sz w:val="24"/>
          <w:szCs w:val="24"/>
          <w:vertAlign w:val="superscript"/>
        </w:rPr>
        <w:t>-3</w:t>
      </w:r>
      <w:r w:rsidR="00A779A2" w:rsidRPr="00300A8F">
        <w:rPr>
          <w:rFonts w:ascii="Times New Roman" w:hAnsi="Times New Roman" w:cs="Times New Roman"/>
          <w:sz w:val="24"/>
          <w:szCs w:val="24"/>
        </w:rPr>
        <w:t xml:space="preserve">(Fig. </w:t>
      </w:r>
      <w:r w:rsidR="00321914" w:rsidRPr="00300A8F">
        <w:rPr>
          <w:rFonts w:ascii="Times New Roman" w:hAnsi="Times New Roman" w:cs="Times New Roman"/>
          <w:sz w:val="24"/>
          <w:szCs w:val="24"/>
        </w:rPr>
        <w:t>1</w:t>
      </w:r>
      <w:r w:rsidR="00A779A2" w:rsidRPr="00300A8F">
        <w:rPr>
          <w:rFonts w:ascii="Times New Roman" w:hAnsi="Times New Roman" w:cs="Times New Roman"/>
          <w:sz w:val="24"/>
          <w:szCs w:val="24"/>
        </w:rPr>
        <w:t>).</w:t>
      </w:r>
      <w:r w:rsidR="00AB1A00" w:rsidRPr="00300A8F">
        <w:rPr>
          <w:rFonts w:ascii="Times New Roman" w:hAnsi="Times New Roman" w:cs="Times New Roman"/>
          <w:sz w:val="24"/>
          <w:szCs w:val="24"/>
          <w:vertAlign w:val="superscript"/>
        </w:rPr>
        <w:t>.</w:t>
      </w:r>
      <w:r w:rsidR="008412D6" w:rsidRPr="00300A8F">
        <w:rPr>
          <w:rFonts w:ascii="Times New Roman" w:hAnsi="Times New Roman" w:cs="Times New Roman"/>
          <w:sz w:val="24"/>
          <w:szCs w:val="24"/>
        </w:rPr>
        <w:t xml:space="preserve">The particle density relates the amount of organic matter and minerals present in soils and those with more organic carbon and silt </w:t>
      </w:r>
      <w:r w:rsidR="008412D6" w:rsidRPr="00300A8F">
        <w:rPr>
          <w:rFonts w:ascii="Times New Roman" w:hAnsi="Times New Roman" w:cs="Times New Roman"/>
          <w:sz w:val="24"/>
          <w:szCs w:val="24"/>
        </w:rPr>
        <w:lastRenderedPageBreak/>
        <w:t>deposition will have comparatively lower values (</w:t>
      </w:r>
      <w:proofErr w:type="spellStart"/>
      <w:r w:rsidR="008412D6" w:rsidRPr="00300A8F">
        <w:rPr>
          <w:rFonts w:ascii="Times New Roman" w:hAnsi="Times New Roman" w:cs="Times New Roman"/>
          <w:sz w:val="24"/>
          <w:szCs w:val="24"/>
        </w:rPr>
        <w:t>Bielders</w:t>
      </w:r>
      <w:r w:rsidR="008412D6" w:rsidRPr="00300A8F">
        <w:rPr>
          <w:rFonts w:ascii="Times New Roman" w:hAnsi="Times New Roman" w:cs="Times New Roman"/>
          <w:i/>
          <w:iCs/>
          <w:sz w:val="24"/>
          <w:szCs w:val="24"/>
        </w:rPr>
        <w:t>et</w:t>
      </w:r>
      <w:proofErr w:type="spellEnd"/>
      <w:r w:rsidR="008412D6" w:rsidRPr="00300A8F">
        <w:rPr>
          <w:rFonts w:ascii="Times New Roman" w:hAnsi="Times New Roman" w:cs="Times New Roman"/>
          <w:i/>
          <w:iCs/>
          <w:sz w:val="24"/>
          <w:szCs w:val="24"/>
        </w:rPr>
        <w:t xml:space="preserve"> al</w:t>
      </w:r>
      <w:r w:rsidR="008412D6" w:rsidRPr="00300A8F">
        <w:rPr>
          <w:rFonts w:ascii="Times New Roman" w:hAnsi="Times New Roman" w:cs="Times New Roman"/>
          <w:sz w:val="24"/>
          <w:szCs w:val="24"/>
        </w:rPr>
        <w:t xml:space="preserve">., 1990).More deposition of sand and related particles carried along with the flowing water might have resulted in more density in areas under AEU 12.Soil texture refers to the relative proportion of sand, silt and clay particles, which determines the major physical properties (Phogat </w:t>
      </w:r>
      <w:r w:rsidR="008412D6" w:rsidRPr="00300A8F">
        <w:rPr>
          <w:rFonts w:ascii="Times New Roman" w:hAnsi="Times New Roman" w:cs="Times New Roman"/>
          <w:i/>
          <w:iCs/>
          <w:sz w:val="24"/>
          <w:szCs w:val="24"/>
        </w:rPr>
        <w:t>et al</w:t>
      </w:r>
      <w:r w:rsidR="008412D6" w:rsidRPr="00300A8F">
        <w:rPr>
          <w:rFonts w:ascii="Times New Roman" w:hAnsi="Times New Roman" w:cs="Times New Roman"/>
          <w:sz w:val="24"/>
          <w:szCs w:val="24"/>
        </w:rPr>
        <w:t xml:space="preserve">., 2015). </w:t>
      </w:r>
      <w:r w:rsidR="00AD1D9C" w:rsidRPr="00300A8F">
        <w:rPr>
          <w:rFonts w:ascii="Times New Roman" w:hAnsi="Times New Roman" w:cs="Times New Roman"/>
          <w:sz w:val="24"/>
          <w:szCs w:val="24"/>
        </w:rPr>
        <w:t xml:space="preserve">The </w:t>
      </w:r>
      <w:r w:rsidR="00AD1D9C" w:rsidRPr="00300A8F">
        <w:rPr>
          <w:rFonts w:ascii="Times New Roman" w:hAnsi="Times New Roman" w:cs="Times New Roman"/>
          <w:bCs/>
          <w:sz w:val="24"/>
          <w:szCs w:val="24"/>
        </w:rPr>
        <w:t>mean sand, silt and clay contents were 66.4, 9.8 and 23.5 per cent, respectively</w:t>
      </w:r>
      <w:r w:rsidR="00A779A2" w:rsidRPr="00300A8F">
        <w:rPr>
          <w:rFonts w:ascii="Times New Roman" w:hAnsi="Times New Roman" w:cs="Times New Roman"/>
          <w:sz w:val="24"/>
          <w:szCs w:val="24"/>
        </w:rPr>
        <w:t>(Fig. 2)</w:t>
      </w:r>
      <w:r w:rsidR="00AD1D9C" w:rsidRPr="00300A8F">
        <w:rPr>
          <w:rFonts w:ascii="Times New Roman" w:hAnsi="Times New Roman" w:cs="Times New Roman"/>
          <w:bCs/>
          <w:sz w:val="24"/>
          <w:szCs w:val="24"/>
        </w:rPr>
        <w:t>.</w:t>
      </w:r>
      <w:r w:rsidR="008412D6" w:rsidRPr="00300A8F">
        <w:rPr>
          <w:rFonts w:ascii="Times New Roman" w:hAnsi="Times New Roman" w:cs="Times New Roman"/>
          <w:sz w:val="24"/>
          <w:szCs w:val="24"/>
        </w:rPr>
        <w:t xml:space="preserve">The majority of soils belong to sandy clay loam </w:t>
      </w:r>
      <w:proofErr w:type="spellStart"/>
      <w:r w:rsidR="008412D6" w:rsidRPr="00300A8F">
        <w:rPr>
          <w:rFonts w:ascii="Times New Roman" w:hAnsi="Times New Roman" w:cs="Times New Roman"/>
          <w:sz w:val="24"/>
          <w:szCs w:val="24"/>
        </w:rPr>
        <w:t>texture.The</w:t>
      </w:r>
      <w:r w:rsidR="00AD1D9C" w:rsidRPr="00300A8F">
        <w:rPr>
          <w:rFonts w:ascii="Times New Roman" w:hAnsi="Times New Roman" w:cs="Times New Roman"/>
          <w:sz w:val="24"/>
          <w:szCs w:val="24"/>
        </w:rPr>
        <w:t>se</w:t>
      </w:r>
      <w:proofErr w:type="spellEnd"/>
      <w:r w:rsidR="008412D6" w:rsidRPr="00300A8F">
        <w:rPr>
          <w:rFonts w:ascii="Times New Roman" w:hAnsi="Times New Roman" w:cs="Times New Roman"/>
          <w:sz w:val="24"/>
          <w:szCs w:val="24"/>
        </w:rPr>
        <w:t xml:space="preserve"> regions suffered more from the consequences of landslide rather than </w:t>
      </w:r>
      <w:proofErr w:type="spellStart"/>
      <w:r w:rsidR="008412D6" w:rsidRPr="00300A8F">
        <w:rPr>
          <w:rFonts w:ascii="Times New Roman" w:hAnsi="Times New Roman" w:cs="Times New Roman"/>
          <w:sz w:val="24"/>
          <w:szCs w:val="24"/>
        </w:rPr>
        <w:t>flooding.</w:t>
      </w:r>
      <w:r w:rsidR="005E7AB9" w:rsidRPr="00300A8F">
        <w:rPr>
          <w:rFonts w:ascii="Times New Roman" w:hAnsi="Times New Roman" w:cs="Times New Roman"/>
          <w:sz w:val="24"/>
          <w:szCs w:val="24"/>
        </w:rPr>
        <w:t>The</w:t>
      </w:r>
      <w:proofErr w:type="spellEnd"/>
      <w:r w:rsidR="005E7AB9" w:rsidRPr="00300A8F">
        <w:rPr>
          <w:rFonts w:ascii="Times New Roman" w:hAnsi="Times New Roman" w:cs="Times New Roman"/>
          <w:sz w:val="24"/>
          <w:szCs w:val="24"/>
        </w:rPr>
        <w:t xml:space="preserve"> mean value of soil moisture content varied from 8.25 to 29.1 percent. 20 per cent of soils were with moisture content more than 25; 45 per cent of samples had moisture content in 15-25 range; 30 per cent in 10-15 range (Fig. </w:t>
      </w:r>
      <w:r w:rsidR="00B9288C" w:rsidRPr="00300A8F">
        <w:rPr>
          <w:rFonts w:ascii="Times New Roman" w:hAnsi="Times New Roman" w:cs="Times New Roman"/>
          <w:sz w:val="24"/>
          <w:szCs w:val="24"/>
        </w:rPr>
        <w:t>2</w:t>
      </w:r>
      <w:r w:rsidR="005E7AB9" w:rsidRPr="00300A8F">
        <w:rPr>
          <w:rFonts w:ascii="Times New Roman" w:hAnsi="Times New Roman" w:cs="Times New Roman"/>
          <w:sz w:val="24"/>
          <w:szCs w:val="24"/>
        </w:rPr>
        <w:t>).</w:t>
      </w:r>
      <w:r w:rsidR="006548D2" w:rsidRPr="00300A8F">
        <w:rPr>
          <w:rFonts w:ascii="Times New Roman" w:hAnsi="Times New Roman" w:cs="Times New Roman"/>
          <w:sz w:val="24"/>
          <w:szCs w:val="24"/>
        </w:rPr>
        <w:t xml:space="preserve"> Excessive retention of water brought about by flooding may result in increased moisture content (Mitsch, and Wu, 1995).  </w:t>
      </w:r>
    </w:p>
    <w:p w14:paraId="172035F3" w14:textId="77777777" w:rsidR="00720A46" w:rsidRPr="00300A8F" w:rsidRDefault="0058465C" w:rsidP="00B636C7">
      <w:pPr>
        <w:spacing w:line="480" w:lineRule="auto"/>
        <w:jc w:val="both"/>
        <w:rPr>
          <w:rFonts w:ascii="Times New Roman" w:hAnsi="Times New Roman" w:cs="Times New Roman"/>
          <w:sz w:val="24"/>
          <w:szCs w:val="24"/>
        </w:rPr>
      </w:pPr>
      <w:r w:rsidRPr="00300A8F">
        <w:rPr>
          <w:rFonts w:ascii="Times New Roman" w:hAnsi="Times New Roman" w:cs="Times New Roman"/>
          <w:sz w:val="24"/>
          <w:szCs w:val="24"/>
        </w:rPr>
        <w:t xml:space="preserve">The present study showed that water holding capacity of 90.2 per cent of soils had WHC less than 30 and 15 per cent of samples were in 30 to 50 range in AEU </w:t>
      </w:r>
      <w:r w:rsidR="00720A46" w:rsidRPr="00300A8F">
        <w:rPr>
          <w:rFonts w:ascii="Times New Roman" w:hAnsi="Times New Roman" w:cs="Times New Roman"/>
          <w:sz w:val="24"/>
          <w:szCs w:val="24"/>
        </w:rPr>
        <w:t>1</w:t>
      </w:r>
      <w:r w:rsidR="00BD35CA" w:rsidRPr="00300A8F">
        <w:rPr>
          <w:rFonts w:ascii="Times New Roman" w:hAnsi="Times New Roman" w:cs="Times New Roman"/>
          <w:sz w:val="24"/>
          <w:szCs w:val="24"/>
        </w:rPr>
        <w:t xml:space="preserve">(Fig. </w:t>
      </w:r>
      <w:r w:rsidR="00842BF1" w:rsidRPr="00300A8F">
        <w:rPr>
          <w:rFonts w:ascii="Times New Roman" w:hAnsi="Times New Roman" w:cs="Times New Roman"/>
          <w:sz w:val="24"/>
          <w:szCs w:val="24"/>
        </w:rPr>
        <w:t>3</w:t>
      </w:r>
      <w:r w:rsidR="00BD35CA" w:rsidRPr="00300A8F">
        <w:rPr>
          <w:rFonts w:ascii="Times New Roman" w:hAnsi="Times New Roman" w:cs="Times New Roman"/>
          <w:sz w:val="24"/>
          <w:szCs w:val="24"/>
        </w:rPr>
        <w:t>). A</w:t>
      </w:r>
      <w:r w:rsidR="00720A46" w:rsidRPr="00300A8F">
        <w:rPr>
          <w:rFonts w:ascii="Times New Roman" w:hAnsi="Times New Roman" w:cs="Times New Roman"/>
          <w:sz w:val="24"/>
          <w:szCs w:val="24"/>
        </w:rPr>
        <w:t>ggregate</w:t>
      </w:r>
      <w:r w:rsidR="00BD35CA" w:rsidRPr="00300A8F">
        <w:rPr>
          <w:rFonts w:ascii="Times New Roman" w:hAnsi="Times New Roman" w:cs="Times New Roman"/>
          <w:sz w:val="24"/>
          <w:szCs w:val="24"/>
        </w:rPr>
        <w:t xml:space="preserve"> stability</w:t>
      </w:r>
      <w:r w:rsidR="00720A46" w:rsidRPr="00300A8F">
        <w:rPr>
          <w:rFonts w:ascii="Times New Roman" w:hAnsi="Times New Roman" w:cs="Times New Roman"/>
          <w:sz w:val="24"/>
          <w:szCs w:val="24"/>
        </w:rPr>
        <w:t xml:space="preserve"> of only 15 per cent soils were with MWD &lt;1 mm; 5 per cent with 1-1.5 mm; 20 per cent with 1.5-2 mm and 60 per cent of samples with aggregate size &gt;2 mm in AEU 12 (Fig. </w:t>
      </w:r>
      <w:r w:rsidR="00842BF1" w:rsidRPr="00300A8F">
        <w:rPr>
          <w:rFonts w:ascii="Times New Roman" w:hAnsi="Times New Roman" w:cs="Times New Roman"/>
          <w:sz w:val="24"/>
          <w:szCs w:val="24"/>
        </w:rPr>
        <w:t>3</w:t>
      </w:r>
      <w:r w:rsidR="00720A46" w:rsidRPr="00300A8F">
        <w:rPr>
          <w:rFonts w:ascii="Times New Roman" w:hAnsi="Times New Roman" w:cs="Times New Roman"/>
          <w:sz w:val="24"/>
          <w:szCs w:val="24"/>
        </w:rPr>
        <w:t xml:space="preserve">). Micro aggregates are glued together by root exudates and microbial activity to form stable macro aggregates, but cannot withstand the disruptive action by flooding (Zhou </w:t>
      </w:r>
      <w:r w:rsidR="00720A46" w:rsidRPr="00300A8F">
        <w:rPr>
          <w:rFonts w:ascii="Times New Roman" w:hAnsi="Times New Roman" w:cs="Times New Roman"/>
          <w:i/>
          <w:iCs/>
          <w:sz w:val="24"/>
          <w:szCs w:val="24"/>
        </w:rPr>
        <w:t>et al</w:t>
      </w:r>
      <w:r w:rsidR="00720A46" w:rsidRPr="00300A8F">
        <w:rPr>
          <w:rFonts w:ascii="Times New Roman" w:hAnsi="Times New Roman" w:cs="Times New Roman"/>
          <w:sz w:val="24"/>
          <w:szCs w:val="24"/>
        </w:rPr>
        <w:t xml:space="preserve">., 2012). With the adoption of management practices like addition of organic manure and maintenance of plant cover, it is possible to further improve the aggregate stability (Mohanty </w:t>
      </w:r>
      <w:r w:rsidR="00720A46" w:rsidRPr="00300A8F">
        <w:rPr>
          <w:rFonts w:ascii="Times New Roman" w:hAnsi="Times New Roman" w:cs="Times New Roman"/>
          <w:i/>
          <w:iCs/>
          <w:sz w:val="24"/>
          <w:szCs w:val="24"/>
        </w:rPr>
        <w:t>et al.,</w:t>
      </w:r>
      <w:r w:rsidR="00720A46" w:rsidRPr="00300A8F">
        <w:rPr>
          <w:rFonts w:ascii="Times New Roman" w:hAnsi="Times New Roman" w:cs="Times New Roman"/>
          <w:sz w:val="24"/>
          <w:szCs w:val="24"/>
        </w:rPr>
        <w:t xml:space="preserve"> 2012).</w:t>
      </w:r>
    </w:p>
    <w:p w14:paraId="49C25D54" w14:textId="77777777" w:rsidR="00A16EB5" w:rsidRPr="00300A8F" w:rsidRDefault="00B45FF7" w:rsidP="00B636C7">
      <w:pPr>
        <w:spacing w:line="480" w:lineRule="auto"/>
        <w:jc w:val="both"/>
        <w:rPr>
          <w:rFonts w:ascii="Times New Roman" w:hAnsi="Times New Roman" w:cs="Times New Roman"/>
          <w:b/>
          <w:sz w:val="24"/>
          <w:szCs w:val="24"/>
        </w:rPr>
      </w:pPr>
      <w:r w:rsidRPr="00300A8F">
        <w:rPr>
          <w:rFonts w:ascii="Times New Roman" w:hAnsi="Times New Roman" w:cs="Times New Roman"/>
          <w:b/>
          <w:sz w:val="24"/>
          <w:szCs w:val="24"/>
        </w:rPr>
        <w:t>Chemical parameters</w:t>
      </w:r>
    </w:p>
    <w:p w14:paraId="4083463E" w14:textId="77777777" w:rsidR="000662FA" w:rsidRPr="00300A8F" w:rsidRDefault="008C45B3" w:rsidP="00B636C7">
      <w:pPr>
        <w:spacing w:line="480" w:lineRule="auto"/>
        <w:ind w:firstLine="720"/>
        <w:jc w:val="both"/>
        <w:rPr>
          <w:rFonts w:ascii="Times New Roman" w:hAnsi="Times New Roman" w:cs="Times New Roman"/>
          <w:sz w:val="24"/>
          <w:szCs w:val="24"/>
        </w:rPr>
      </w:pPr>
      <w:r w:rsidRPr="00300A8F">
        <w:rPr>
          <w:rFonts w:ascii="Times New Roman" w:hAnsi="Times New Roman" w:cs="Times New Roman"/>
          <w:bCs/>
          <w:sz w:val="24"/>
          <w:szCs w:val="24"/>
        </w:rPr>
        <w:t xml:space="preserve">Majority of the samples reported pH in  acidic range which includes </w:t>
      </w:r>
      <w:r w:rsidRPr="00300A8F">
        <w:rPr>
          <w:rFonts w:ascii="Times New Roman" w:hAnsi="Times New Roman" w:cs="Times New Roman"/>
          <w:sz w:val="24"/>
          <w:szCs w:val="24"/>
        </w:rPr>
        <w:t>30 per cent each of the samples were very strongly and strongly acidic, and 10 per cent each were extremely acidic, moderately acidic, slightly acidic and slightly alkaline</w:t>
      </w:r>
      <w:r w:rsidR="00DD19CD" w:rsidRPr="00300A8F">
        <w:rPr>
          <w:rFonts w:ascii="Times New Roman" w:hAnsi="Times New Roman" w:cs="Times New Roman"/>
          <w:sz w:val="24"/>
          <w:szCs w:val="24"/>
        </w:rPr>
        <w:t xml:space="preserve"> (Fig. </w:t>
      </w:r>
      <w:r w:rsidR="00B36111" w:rsidRPr="00300A8F">
        <w:rPr>
          <w:rFonts w:ascii="Times New Roman" w:hAnsi="Times New Roman" w:cs="Times New Roman"/>
          <w:sz w:val="24"/>
          <w:szCs w:val="24"/>
        </w:rPr>
        <w:t>4</w:t>
      </w:r>
      <w:r w:rsidR="00DD19CD" w:rsidRPr="00300A8F">
        <w:rPr>
          <w:rFonts w:ascii="Times New Roman" w:hAnsi="Times New Roman" w:cs="Times New Roman"/>
          <w:sz w:val="24"/>
          <w:szCs w:val="24"/>
        </w:rPr>
        <w:t>).</w:t>
      </w:r>
      <w:r w:rsidR="002827A4" w:rsidRPr="00300A8F">
        <w:rPr>
          <w:rFonts w:ascii="Times New Roman" w:hAnsi="Times New Roman" w:cs="Times New Roman"/>
          <w:bCs/>
          <w:sz w:val="24"/>
          <w:szCs w:val="24"/>
        </w:rPr>
        <w:t xml:space="preserve">There was an </w:t>
      </w:r>
      <w:r w:rsidR="0065726A" w:rsidRPr="00300A8F">
        <w:rPr>
          <w:rFonts w:ascii="Times New Roman" w:hAnsi="Times New Roman" w:cs="Times New Roman"/>
          <w:sz w:val="24"/>
          <w:szCs w:val="24"/>
        </w:rPr>
        <w:t xml:space="preserve"> increase in the percentage of samples under moderately and slightly ranges were noticed</w:t>
      </w:r>
      <w:r w:rsidR="00662C43" w:rsidRPr="00300A8F">
        <w:rPr>
          <w:rFonts w:ascii="Times New Roman" w:hAnsi="Times New Roman" w:cs="Times New Roman"/>
          <w:sz w:val="24"/>
          <w:szCs w:val="24"/>
        </w:rPr>
        <w:t xml:space="preserve">. There was a </w:t>
      </w:r>
      <w:r w:rsidR="00662C43" w:rsidRPr="00300A8F">
        <w:rPr>
          <w:rFonts w:ascii="Times New Roman" w:hAnsi="Times New Roman" w:cs="Times New Roman"/>
          <w:sz w:val="24"/>
          <w:szCs w:val="24"/>
        </w:rPr>
        <w:lastRenderedPageBreak/>
        <w:t>net moderate enhancement in the soil pH in this AEU with flooding. This might be due to the deposition of basic cations due to flooding</w:t>
      </w:r>
      <w:r w:rsidR="00865199" w:rsidRPr="00300A8F">
        <w:rPr>
          <w:rFonts w:ascii="Times New Roman" w:hAnsi="Times New Roman" w:cs="Times New Roman"/>
          <w:sz w:val="24"/>
          <w:szCs w:val="24"/>
        </w:rPr>
        <w:t xml:space="preserve">(Geetha </w:t>
      </w:r>
      <w:r w:rsidR="00865199" w:rsidRPr="00300A8F">
        <w:rPr>
          <w:rFonts w:ascii="Times New Roman" w:hAnsi="Times New Roman" w:cs="Times New Roman"/>
          <w:i/>
          <w:sz w:val="24"/>
          <w:szCs w:val="24"/>
        </w:rPr>
        <w:t>et al</w:t>
      </w:r>
      <w:r w:rsidR="00865199" w:rsidRPr="00300A8F">
        <w:rPr>
          <w:rFonts w:ascii="Times New Roman" w:hAnsi="Times New Roman" w:cs="Times New Roman"/>
          <w:sz w:val="24"/>
          <w:szCs w:val="24"/>
        </w:rPr>
        <w:t>., 2013)</w:t>
      </w:r>
      <w:r w:rsidR="00662C43" w:rsidRPr="00300A8F">
        <w:rPr>
          <w:rFonts w:ascii="Times New Roman" w:hAnsi="Times New Roman" w:cs="Times New Roman"/>
          <w:sz w:val="24"/>
          <w:szCs w:val="24"/>
        </w:rPr>
        <w:t xml:space="preserve">. </w:t>
      </w:r>
      <w:r w:rsidR="00621A8C" w:rsidRPr="00300A8F">
        <w:rPr>
          <w:rFonts w:ascii="Times New Roman" w:hAnsi="Times New Roman" w:cs="Times New Roman"/>
          <w:sz w:val="24"/>
          <w:szCs w:val="24"/>
        </w:rPr>
        <w:t xml:space="preserve">The intense flooding might have caused heavy leaching of ions resulting in reduced conductivity of these soils. five per cent of soils obtained EC between 1- 2 </w:t>
      </w:r>
      <w:proofErr w:type="spellStart"/>
      <w:r w:rsidR="00621A8C" w:rsidRPr="00300A8F">
        <w:rPr>
          <w:rFonts w:ascii="Times New Roman" w:hAnsi="Times New Roman" w:cs="Times New Roman"/>
          <w:sz w:val="24"/>
          <w:szCs w:val="24"/>
        </w:rPr>
        <w:t>dS</w:t>
      </w:r>
      <w:proofErr w:type="spellEnd"/>
      <w:r w:rsidR="00621A8C" w:rsidRPr="00300A8F">
        <w:rPr>
          <w:rFonts w:ascii="Times New Roman" w:hAnsi="Times New Roman" w:cs="Times New Roman"/>
          <w:sz w:val="24"/>
          <w:szCs w:val="24"/>
        </w:rPr>
        <w:t xml:space="preserve"> m</w:t>
      </w:r>
      <w:r w:rsidR="00621A8C" w:rsidRPr="00300A8F">
        <w:rPr>
          <w:rFonts w:ascii="Times New Roman" w:hAnsi="Times New Roman" w:cs="Times New Roman"/>
          <w:sz w:val="24"/>
          <w:szCs w:val="24"/>
          <w:vertAlign w:val="superscript"/>
        </w:rPr>
        <w:t>-1</w:t>
      </w:r>
      <w:r w:rsidR="00DD19CD" w:rsidRPr="00300A8F">
        <w:rPr>
          <w:rFonts w:ascii="Times New Roman" w:hAnsi="Times New Roman" w:cs="Times New Roman"/>
          <w:sz w:val="24"/>
          <w:szCs w:val="24"/>
        </w:rPr>
        <w:t xml:space="preserve">(Fig. </w:t>
      </w:r>
      <w:r w:rsidR="00B36111" w:rsidRPr="00300A8F">
        <w:rPr>
          <w:rFonts w:ascii="Times New Roman" w:hAnsi="Times New Roman" w:cs="Times New Roman"/>
          <w:sz w:val="24"/>
          <w:szCs w:val="24"/>
        </w:rPr>
        <w:t>5</w:t>
      </w:r>
      <w:r w:rsidR="00DD19CD" w:rsidRPr="00300A8F">
        <w:rPr>
          <w:rFonts w:ascii="Times New Roman" w:hAnsi="Times New Roman" w:cs="Times New Roman"/>
          <w:sz w:val="24"/>
          <w:szCs w:val="24"/>
        </w:rPr>
        <w:t>)</w:t>
      </w:r>
      <w:r w:rsidR="00621A8C" w:rsidRPr="00300A8F">
        <w:rPr>
          <w:rFonts w:ascii="Times New Roman" w:hAnsi="Times New Roman" w:cs="Times New Roman"/>
          <w:sz w:val="24"/>
          <w:szCs w:val="24"/>
        </w:rPr>
        <w:t>.The higher EC may be due to the exogenous input of salts, ions and total dissolved solids carried along with landslide and flood water (Wilson, 1982).</w:t>
      </w:r>
      <w:r w:rsidR="00514112" w:rsidRPr="00300A8F">
        <w:rPr>
          <w:rFonts w:ascii="Times New Roman" w:hAnsi="Times New Roman" w:cs="Times New Roman"/>
          <w:sz w:val="24"/>
          <w:szCs w:val="24"/>
        </w:rPr>
        <w:t xml:space="preserve"> Organic carbon content was high in 45 per percent of the samples, 25 percent of medium and 30 percent of samples were low category</w:t>
      </w:r>
      <w:r w:rsidR="00FE2896" w:rsidRPr="00300A8F">
        <w:rPr>
          <w:rFonts w:ascii="Times New Roman" w:hAnsi="Times New Roman" w:cs="Times New Roman"/>
          <w:sz w:val="24"/>
          <w:szCs w:val="24"/>
        </w:rPr>
        <w:t xml:space="preserve">(Fig. </w:t>
      </w:r>
      <w:r w:rsidR="00B36111" w:rsidRPr="00300A8F">
        <w:rPr>
          <w:rFonts w:ascii="Times New Roman" w:hAnsi="Times New Roman" w:cs="Times New Roman"/>
          <w:sz w:val="24"/>
          <w:szCs w:val="24"/>
        </w:rPr>
        <w:t>5</w:t>
      </w:r>
      <w:r w:rsidR="00FE2896" w:rsidRPr="00300A8F">
        <w:rPr>
          <w:rFonts w:ascii="Times New Roman" w:hAnsi="Times New Roman" w:cs="Times New Roman"/>
          <w:sz w:val="24"/>
          <w:szCs w:val="24"/>
        </w:rPr>
        <w:t>)</w:t>
      </w:r>
      <w:r w:rsidR="00514112" w:rsidRPr="00300A8F">
        <w:rPr>
          <w:rFonts w:ascii="Times New Roman" w:hAnsi="Times New Roman" w:cs="Times New Roman"/>
          <w:sz w:val="24"/>
          <w:szCs w:val="24"/>
        </w:rPr>
        <w:t>.</w:t>
      </w:r>
      <w:r w:rsidR="000662FA" w:rsidRPr="00300A8F">
        <w:rPr>
          <w:rFonts w:ascii="Times New Roman" w:hAnsi="Times New Roman" w:cs="Times New Roman"/>
          <w:sz w:val="24"/>
          <w:szCs w:val="24"/>
        </w:rPr>
        <w:t>The mineral materials brought by landslide may enhance the decomposition of organic matter and conversion to stabilized forms (</w:t>
      </w:r>
      <w:proofErr w:type="spellStart"/>
      <w:r w:rsidR="000662FA" w:rsidRPr="00300A8F">
        <w:rPr>
          <w:rFonts w:ascii="Times New Roman" w:hAnsi="Times New Roman" w:cs="Times New Roman"/>
          <w:sz w:val="24"/>
          <w:szCs w:val="24"/>
        </w:rPr>
        <w:t>Blonska</w:t>
      </w:r>
      <w:r w:rsidR="000662FA" w:rsidRPr="00300A8F">
        <w:rPr>
          <w:rFonts w:ascii="Times New Roman" w:hAnsi="Times New Roman" w:cs="Times New Roman"/>
          <w:i/>
          <w:sz w:val="24"/>
          <w:szCs w:val="24"/>
        </w:rPr>
        <w:t>et</w:t>
      </w:r>
      <w:proofErr w:type="spellEnd"/>
      <w:r w:rsidR="000662FA" w:rsidRPr="00300A8F">
        <w:rPr>
          <w:rFonts w:ascii="Times New Roman" w:hAnsi="Times New Roman" w:cs="Times New Roman"/>
          <w:i/>
          <w:sz w:val="24"/>
          <w:szCs w:val="24"/>
        </w:rPr>
        <w:t xml:space="preserve"> al.</w:t>
      </w:r>
      <w:r w:rsidR="000662FA" w:rsidRPr="00300A8F">
        <w:rPr>
          <w:rFonts w:ascii="Times New Roman" w:hAnsi="Times New Roman" w:cs="Times New Roman"/>
          <w:sz w:val="24"/>
          <w:szCs w:val="24"/>
        </w:rPr>
        <w:t>, 2017).</w:t>
      </w:r>
    </w:p>
    <w:p w14:paraId="072A937D" w14:textId="77777777" w:rsidR="00F82C3D" w:rsidRPr="00300A8F" w:rsidRDefault="00EB2511" w:rsidP="00B636C7">
      <w:pPr>
        <w:spacing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Flooding may cause significant alterations in the availability of nutrients due to intense soil erosion and varied microbial activity (Gallardo, 2003). Soil nutrient content varies with the depth and duration of flooding (</w:t>
      </w:r>
      <w:proofErr w:type="spellStart"/>
      <w:r w:rsidRPr="00300A8F">
        <w:rPr>
          <w:rFonts w:ascii="Times New Roman" w:hAnsi="Times New Roman" w:cs="Times New Roman"/>
          <w:sz w:val="24"/>
          <w:szCs w:val="24"/>
        </w:rPr>
        <w:t>Tsheboeng</w:t>
      </w:r>
      <w:r w:rsidRPr="00300A8F">
        <w:rPr>
          <w:rFonts w:ascii="Times New Roman" w:hAnsi="Times New Roman" w:cs="Times New Roman"/>
          <w:i/>
          <w:sz w:val="24"/>
          <w:szCs w:val="24"/>
        </w:rPr>
        <w:t>et</w:t>
      </w:r>
      <w:proofErr w:type="spellEnd"/>
      <w:r w:rsidRPr="00300A8F">
        <w:rPr>
          <w:rFonts w:ascii="Times New Roman" w:hAnsi="Times New Roman" w:cs="Times New Roman"/>
          <w:i/>
          <w:sz w:val="24"/>
          <w:szCs w:val="24"/>
        </w:rPr>
        <w:t xml:space="preserve"> al</w:t>
      </w:r>
      <w:r w:rsidRPr="00300A8F">
        <w:rPr>
          <w:rFonts w:ascii="Times New Roman" w:hAnsi="Times New Roman" w:cs="Times New Roman"/>
          <w:sz w:val="24"/>
          <w:szCs w:val="24"/>
        </w:rPr>
        <w:t>., 2014).Nitrogen content was medium in 80 per cent of the samples and low in  20 per cent</w:t>
      </w:r>
      <w:r w:rsidR="00785367" w:rsidRPr="00300A8F">
        <w:rPr>
          <w:rFonts w:ascii="Times New Roman" w:hAnsi="Times New Roman" w:cs="Times New Roman"/>
          <w:sz w:val="24"/>
          <w:szCs w:val="24"/>
        </w:rPr>
        <w:t>(Fig.</w:t>
      </w:r>
      <w:r w:rsidR="00F648E2" w:rsidRPr="00300A8F">
        <w:rPr>
          <w:rFonts w:ascii="Times New Roman" w:hAnsi="Times New Roman" w:cs="Times New Roman"/>
          <w:sz w:val="24"/>
          <w:szCs w:val="24"/>
        </w:rPr>
        <w:t>6</w:t>
      </w:r>
      <w:r w:rsidR="00785367" w:rsidRPr="00300A8F">
        <w:rPr>
          <w:rFonts w:ascii="Times New Roman" w:hAnsi="Times New Roman" w:cs="Times New Roman"/>
          <w:sz w:val="24"/>
          <w:szCs w:val="24"/>
        </w:rPr>
        <w:t>)</w:t>
      </w:r>
      <w:r w:rsidR="000B57A8" w:rsidRPr="00300A8F">
        <w:rPr>
          <w:rFonts w:ascii="Times New Roman" w:hAnsi="Times New Roman" w:cs="Times New Roman"/>
          <w:sz w:val="24"/>
          <w:szCs w:val="24"/>
        </w:rPr>
        <w:t>.</w:t>
      </w:r>
      <w:r w:rsidR="00E20750" w:rsidRPr="00300A8F">
        <w:rPr>
          <w:rFonts w:ascii="Times New Roman" w:hAnsi="Times New Roman" w:cs="Times New Roman"/>
          <w:sz w:val="24"/>
          <w:szCs w:val="24"/>
        </w:rPr>
        <w:t xml:space="preserve"> The availability of N in flood affected soils may decline either due to increase in denitrification and nitrate reductase or altered residue decomposition (Baldwin and Mitchell, 2000)</w:t>
      </w:r>
      <w:r w:rsidR="001D6CE1" w:rsidRPr="00300A8F">
        <w:rPr>
          <w:rFonts w:ascii="Times New Roman" w:hAnsi="Times New Roman" w:cs="Times New Roman"/>
          <w:sz w:val="24"/>
          <w:szCs w:val="24"/>
        </w:rPr>
        <w:t>.</w:t>
      </w:r>
      <w:bookmarkStart w:id="1" w:name="_Hlk98613457"/>
      <w:r w:rsidR="0032360F" w:rsidRPr="00300A8F">
        <w:rPr>
          <w:rFonts w:ascii="Times New Roman" w:hAnsi="Times New Roman" w:cs="Times New Roman"/>
          <w:sz w:val="24"/>
          <w:szCs w:val="24"/>
        </w:rPr>
        <w:t>Phosphorus content was low in 7.84 per cent samples, medium in 50.98 % and high in 41.18 % after the heavy flood of 2018 (Fig.</w:t>
      </w:r>
      <w:r w:rsidR="00F648E2" w:rsidRPr="00300A8F">
        <w:rPr>
          <w:rFonts w:ascii="Times New Roman" w:hAnsi="Times New Roman" w:cs="Times New Roman"/>
          <w:sz w:val="24"/>
          <w:szCs w:val="24"/>
        </w:rPr>
        <w:t>7</w:t>
      </w:r>
      <w:r w:rsidR="0032360F" w:rsidRPr="00300A8F">
        <w:rPr>
          <w:rFonts w:ascii="Times New Roman" w:hAnsi="Times New Roman" w:cs="Times New Roman"/>
          <w:sz w:val="24"/>
          <w:szCs w:val="24"/>
        </w:rPr>
        <w:t xml:space="preserve">). </w:t>
      </w:r>
      <w:r w:rsidR="004275C7" w:rsidRPr="00300A8F">
        <w:rPr>
          <w:rFonts w:ascii="Times New Roman" w:hAnsi="Times New Roman" w:cs="Times New Roman"/>
          <w:sz w:val="24"/>
          <w:szCs w:val="24"/>
        </w:rPr>
        <w:t xml:space="preserve">According to Adams and Sidle (1987); Singh </w:t>
      </w:r>
      <w:r w:rsidR="004275C7" w:rsidRPr="00300A8F">
        <w:rPr>
          <w:rFonts w:ascii="Times New Roman" w:hAnsi="Times New Roman" w:cs="Times New Roman"/>
          <w:i/>
          <w:sz w:val="24"/>
          <w:szCs w:val="24"/>
        </w:rPr>
        <w:t>et al</w:t>
      </w:r>
      <w:r w:rsidR="004275C7" w:rsidRPr="00300A8F">
        <w:rPr>
          <w:rFonts w:ascii="Times New Roman" w:hAnsi="Times New Roman" w:cs="Times New Roman"/>
          <w:sz w:val="24"/>
          <w:szCs w:val="24"/>
        </w:rPr>
        <w:t xml:space="preserve">. (2001) and Wilcke </w:t>
      </w:r>
      <w:r w:rsidR="004275C7" w:rsidRPr="00300A8F">
        <w:rPr>
          <w:rFonts w:ascii="Times New Roman" w:hAnsi="Times New Roman" w:cs="Times New Roman"/>
          <w:i/>
          <w:sz w:val="24"/>
          <w:szCs w:val="24"/>
        </w:rPr>
        <w:t>et al</w:t>
      </w:r>
      <w:r w:rsidR="004275C7" w:rsidRPr="00300A8F">
        <w:rPr>
          <w:rFonts w:ascii="Times New Roman" w:hAnsi="Times New Roman" w:cs="Times New Roman"/>
          <w:sz w:val="24"/>
          <w:szCs w:val="24"/>
        </w:rPr>
        <w:t>. (2003), landslides may result in reduction of exchangeable cations and available phosphorus.</w:t>
      </w:r>
      <w:bookmarkEnd w:id="1"/>
      <w:r w:rsidR="004275C7" w:rsidRPr="00300A8F">
        <w:rPr>
          <w:rFonts w:ascii="Times New Roman" w:hAnsi="Times New Roman" w:cs="Times New Roman"/>
          <w:sz w:val="24"/>
          <w:szCs w:val="24"/>
        </w:rPr>
        <w:t xml:space="preserve"> In areas where the parent material is deficient in cations like Ca, Mg and K and P, landslides do not result in their replenishment in the surface layer (Cheng </w:t>
      </w:r>
      <w:r w:rsidR="004275C7" w:rsidRPr="00300A8F">
        <w:rPr>
          <w:rFonts w:ascii="Times New Roman" w:hAnsi="Times New Roman" w:cs="Times New Roman"/>
          <w:i/>
          <w:sz w:val="24"/>
          <w:szCs w:val="24"/>
        </w:rPr>
        <w:t>et al.,</w:t>
      </w:r>
      <w:r w:rsidR="004275C7" w:rsidRPr="00300A8F">
        <w:rPr>
          <w:rFonts w:ascii="Times New Roman" w:hAnsi="Times New Roman" w:cs="Times New Roman"/>
          <w:sz w:val="24"/>
          <w:szCs w:val="24"/>
        </w:rPr>
        <w:t xml:space="preserve"> 2016)</w:t>
      </w:r>
      <w:r w:rsidR="003F0BC9" w:rsidRPr="00300A8F">
        <w:rPr>
          <w:rFonts w:ascii="Times New Roman" w:hAnsi="Times New Roman" w:cs="Times New Roman"/>
          <w:sz w:val="24"/>
          <w:szCs w:val="24"/>
        </w:rPr>
        <w:t>.</w:t>
      </w:r>
      <w:r w:rsidR="006C600D" w:rsidRPr="00300A8F">
        <w:rPr>
          <w:rFonts w:ascii="Times New Roman" w:hAnsi="Times New Roman" w:cs="Times New Roman"/>
          <w:sz w:val="24"/>
          <w:szCs w:val="24"/>
        </w:rPr>
        <w:t>Potassium content was high in 55 per cent of samples and medium in 30 percent and low in 15 % samples</w:t>
      </w:r>
      <w:r w:rsidR="003749E1" w:rsidRPr="00300A8F">
        <w:rPr>
          <w:rFonts w:ascii="Times New Roman" w:hAnsi="Times New Roman" w:cs="Times New Roman"/>
          <w:sz w:val="24"/>
          <w:szCs w:val="24"/>
        </w:rPr>
        <w:t xml:space="preserve">(Fig. </w:t>
      </w:r>
      <w:r w:rsidR="007A282C" w:rsidRPr="00300A8F">
        <w:rPr>
          <w:rFonts w:ascii="Times New Roman" w:hAnsi="Times New Roman" w:cs="Times New Roman"/>
          <w:sz w:val="24"/>
          <w:szCs w:val="24"/>
        </w:rPr>
        <w:t>7</w:t>
      </w:r>
      <w:r w:rsidR="003749E1" w:rsidRPr="00300A8F">
        <w:rPr>
          <w:rFonts w:ascii="Times New Roman" w:hAnsi="Times New Roman" w:cs="Times New Roman"/>
          <w:sz w:val="24"/>
          <w:szCs w:val="24"/>
        </w:rPr>
        <w:t>)</w:t>
      </w:r>
      <w:r w:rsidR="006C600D" w:rsidRPr="00300A8F">
        <w:rPr>
          <w:rFonts w:ascii="Times New Roman" w:hAnsi="Times New Roman" w:cs="Times New Roman"/>
          <w:sz w:val="24"/>
          <w:szCs w:val="24"/>
        </w:rPr>
        <w:t>.</w:t>
      </w:r>
      <w:r w:rsidR="0038486E" w:rsidRPr="00300A8F">
        <w:rPr>
          <w:rFonts w:ascii="Times New Roman" w:hAnsi="Times New Roman" w:cs="Times New Roman"/>
          <w:sz w:val="24"/>
          <w:szCs w:val="24"/>
        </w:rPr>
        <w:t xml:space="preserve"> The </w:t>
      </w:r>
      <w:r w:rsidR="001C1E95" w:rsidRPr="00300A8F">
        <w:rPr>
          <w:rFonts w:ascii="Times New Roman" w:hAnsi="Times New Roman" w:cs="Times New Roman"/>
          <w:sz w:val="24"/>
          <w:szCs w:val="24"/>
        </w:rPr>
        <w:t xml:space="preserve">exchange reaction increases K in solution under flooded conditions (Valizadeh </w:t>
      </w:r>
      <w:r w:rsidR="001C1E95" w:rsidRPr="00300A8F">
        <w:rPr>
          <w:rFonts w:ascii="Times New Roman" w:hAnsi="Times New Roman" w:cs="Times New Roman"/>
          <w:i/>
          <w:sz w:val="24"/>
          <w:szCs w:val="24"/>
        </w:rPr>
        <w:t xml:space="preserve">et al., </w:t>
      </w:r>
      <w:r w:rsidR="001C1E95" w:rsidRPr="00300A8F">
        <w:rPr>
          <w:rFonts w:ascii="Times New Roman" w:hAnsi="Times New Roman" w:cs="Times New Roman"/>
          <w:sz w:val="24"/>
          <w:szCs w:val="24"/>
        </w:rPr>
        <w:t>2012).</w:t>
      </w:r>
      <w:r w:rsidR="001D521A" w:rsidRPr="00300A8F">
        <w:rPr>
          <w:rFonts w:ascii="Times New Roman" w:hAnsi="Times New Roman" w:cs="Times New Roman"/>
          <w:sz w:val="24"/>
          <w:szCs w:val="24"/>
        </w:rPr>
        <w:t xml:space="preserve"> Available calcium content was adequate in 95 per cent and deficient in 5% of samples</w:t>
      </w:r>
      <w:r w:rsidR="003749E1" w:rsidRPr="00300A8F">
        <w:rPr>
          <w:rFonts w:ascii="Times New Roman" w:hAnsi="Times New Roman" w:cs="Times New Roman"/>
          <w:sz w:val="24"/>
          <w:szCs w:val="24"/>
        </w:rPr>
        <w:t xml:space="preserve">(Fig. </w:t>
      </w:r>
      <w:r w:rsidR="007A282C" w:rsidRPr="00300A8F">
        <w:rPr>
          <w:rFonts w:ascii="Times New Roman" w:hAnsi="Times New Roman" w:cs="Times New Roman"/>
          <w:sz w:val="24"/>
          <w:szCs w:val="24"/>
        </w:rPr>
        <w:t>8</w:t>
      </w:r>
      <w:r w:rsidR="003749E1" w:rsidRPr="00300A8F">
        <w:rPr>
          <w:rFonts w:ascii="Times New Roman" w:hAnsi="Times New Roman" w:cs="Times New Roman"/>
          <w:sz w:val="24"/>
          <w:szCs w:val="24"/>
        </w:rPr>
        <w:t>)</w:t>
      </w:r>
      <w:r w:rsidR="00A75484" w:rsidRPr="00300A8F">
        <w:rPr>
          <w:rFonts w:ascii="Times New Roman" w:hAnsi="Times New Roman" w:cs="Times New Roman"/>
          <w:sz w:val="24"/>
          <w:szCs w:val="24"/>
        </w:rPr>
        <w:t>.</w:t>
      </w:r>
      <w:bookmarkStart w:id="2" w:name="_Hlk52992073"/>
      <w:r w:rsidR="001D521A" w:rsidRPr="00300A8F">
        <w:rPr>
          <w:rFonts w:ascii="Times New Roman" w:hAnsi="Times New Roman" w:cs="Times New Roman"/>
          <w:sz w:val="24"/>
          <w:szCs w:val="24"/>
        </w:rPr>
        <w:t xml:space="preserve">Flooding has resulted in a reduction in the fraction of soils with sufficient level of available sulphur content </w:t>
      </w:r>
      <w:r w:rsidR="00A75484" w:rsidRPr="00300A8F">
        <w:rPr>
          <w:rFonts w:ascii="Times New Roman" w:hAnsi="Times New Roman" w:cs="Times New Roman"/>
          <w:sz w:val="24"/>
          <w:szCs w:val="24"/>
        </w:rPr>
        <w:t xml:space="preserve">was </w:t>
      </w:r>
      <w:r w:rsidR="001D521A" w:rsidRPr="00300A8F">
        <w:rPr>
          <w:rFonts w:ascii="Times New Roman" w:hAnsi="Times New Roman" w:cs="Times New Roman"/>
          <w:sz w:val="24"/>
          <w:szCs w:val="24"/>
        </w:rPr>
        <w:t>increase</w:t>
      </w:r>
      <w:r w:rsidR="00A75484" w:rsidRPr="00300A8F">
        <w:rPr>
          <w:rFonts w:ascii="Times New Roman" w:hAnsi="Times New Roman" w:cs="Times New Roman"/>
          <w:sz w:val="24"/>
          <w:szCs w:val="24"/>
        </w:rPr>
        <w:t>d</w:t>
      </w:r>
      <w:bookmarkEnd w:id="2"/>
      <w:r w:rsidR="00A75484" w:rsidRPr="00300A8F">
        <w:rPr>
          <w:rFonts w:ascii="Times New Roman" w:hAnsi="Times New Roman" w:cs="Times New Roman"/>
          <w:sz w:val="24"/>
          <w:szCs w:val="24"/>
        </w:rPr>
        <w:t xml:space="preserve">. </w:t>
      </w:r>
      <w:r w:rsidR="001D521A" w:rsidRPr="00300A8F">
        <w:rPr>
          <w:rFonts w:ascii="Times New Roman" w:hAnsi="Times New Roman" w:cs="Times New Roman"/>
          <w:sz w:val="24"/>
          <w:szCs w:val="24"/>
          <w:shd w:val="clear" w:color="auto" w:fill="FFFFFF"/>
        </w:rPr>
        <w:t xml:space="preserve">Flooding of soils may increase or </w:t>
      </w:r>
      <w:r w:rsidR="001D521A" w:rsidRPr="00300A8F">
        <w:rPr>
          <w:rFonts w:ascii="Times New Roman" w:hAnsi="Times New Roman" w:cs="Times New Roman"/>
          <w:sz w:val="24"/>
          <w:szCs w:val="24"/>
          <w:shd w:val="clear" w:color="auto" w:fill="FFFFFF"/>
        </w:rPr>
        <w:lastRenderedPageBreak/>
        <w:t>decrease sulphate sorption (Haque and Walmsley, 1974).</w:t>
      </w:r>
      <w:r w:rsidR="007D7A38" w:rsidRPr="00300A8F">
        <w:rPr>
          <w:rFonts w:ascii="Times New Roman" w:hAnsi="Times New Roman" w:cs="Times New Roman"/>
          <w:sz w:val="24"/>
          <w:szCs w:val="24"/>
        </w:rPr>
        <w:t xml:space="preserve"> Available magnesium content was adequate in 40 per cent</w:t>
      </w:r>
      <w:r w:rsidR="007A282C" w:rsidRPr="00300A8F">
        <w:rPr>
          <w:rFonts w:ascii="Times New Roman" w:hAnsi="Times New Roman" w:cs="Times New Roman"/>
          <w:sz w:val="24"/>
          <w:szCs w:val="24"/>
        </w:rPr>
        <w:t xml:space="preserve"> (Fig. 8).</w:t>
      </w:r>
      <w:r w:rsidR="007D7A38" w:rsidRPr="00300A8F">
        <w:rPr>
          <w:rFonts w:ascii="Times New Roman" w:hAnsi="Times New Roman" w:cs="Times New Roman"/>
          <w:sz w:val="24"/>
          <w:szCs w:val="24"/>
        </w:rPr>
        <w:t>.</w:t>
      </w:r>
      <w:r w:rsidR="00695DF5" w:rsidRPr="00300A8F">
        <w:rPr>
          <w:rFonts w:ascii="Times New Roman" w:hAnsi="Times New Roman" w:cs="Times New Roman"/>
          <w:sz w:val="24"/>
          <w:szCs w:val="24"/>
        </w:rPr>
        <w:t>The transport and deposition of suspended particles along with flowing water may result in variations in the nutrient concentration of Ca and Mg (</w:t>
      </w:r>
      <w:proofErr w:type="spellStart"/>
      <w:r w:rsidR="00695DF5" w:rsidRPr="00300A8F">
        <w:rPr>
          <w:rFonts w:ascii="Times New Roman" w:hAnsi="Times New Roman" w:cs="Times New Roman"/>
          <w:sz w:val="24"/>
          <w:szCs w:val="24"/>
        </w:rPr>
        <w:t>Katutis</w:t>
      </w:r>
      <w:proofErr w:type="spellEnd"/>
      <w:r w:rsidR="00695DF5" w:rsidRPr="00300A8F">
        <w:rPr>
          <w:rFonts w:ascii="Times New Roman" w:hAnsi="Times New Roman" w:cs="Times New Roman"/>
          <w:sz w:val="24"/>
          <w:szCs w:val="24"/>
        </w:rPr>
        <w:t xml:space="preserve">, 2007). Similar increase in Ca and Mg with flooding was also reported by </w:t>
      </w:r>
      <w:proofErr w:type="spellStart"/>
      <w:r w:rsidR="00695DF5" w:rsidRPr="00300A8F">
        <w:rPr>
          <w:rFonts w:ascii="Times New Roman" w:hAnsi="Times New Roman" w:cs="Times New Roman"/>
          <w:sz w:val="24"/>
          <w:szCs w:val="24"/>
        </w:rPr>
        <w:t>Gipiskis</w:t>
      </w:r>
      <w:proofErr w:type="spellEnd"/>
      <w:r w:rsidR="00695DF5" w:rsidRPr="00300A8F">
        <w:rPr>
          <w:rFonts w:ascii="Times New Roman" w:hAnsi="Times New Roman" w:cs="Times New Roman"/>
          <w:sz w:val="24"/>
          <w:szCs w:val="24"/>
        </w:rPr>
        <w:t xml:space="preserve"> (2000), </w:t>
      </w:r>
      <w:proofErr w:type="spellStart"/>
      <w:r w:rsidR="00695DF5" w:rsidRPr="00300A8F">
        <w:rPr>
          <w:rFonts w:ascii="Times New Roman" w:hAnsi="Times New Roman" w:cs="Times New Roman"/>
          <w:sz w:val="24"/>
          <w:szCs w:val="24"/>
          <w:shd w:val="clear" w:color="auto" w:fill="FFFFFF"/>
        </w:rPr>
        <w:t>Sahrawat</w:t>
      </w:r>
      <w:proofErr w:type="spellEnd"/>
      <w:r w:rsidR="00695DF5" w:rsidRPr="00300A8F">
        <w:rPr>
          <w:rFonts w:ascii="Times New Roman" w:hAnsi="Times New Roman" w:cs="Times New Roman"/>
          <w:sz w:val="24"/>
          <w:szCs w:val="24"/>
          <w:shd w:val="clear" w:color="auto" w:fill="FFFFFF"/>
        </w:rPr>
        <w:t xml:space="preserve"> (2012)</w:t>
      </w:r>
      <w:r w:rsidR="00695DF5" w:rsidRPr="00300A8F">
        <w:rPr>
          <w:rFonts w:ascii="Times New Roman" w:hAnsi="Times New Roman" w:cs="Times New Roman"/>
          <w:sz w:val="24"/>
          <w:szCs w:val="24"/>
        </w:rPr>
        <w:t xml:space="preserve"> and </w:t>
      </w:r>
      <w:proofErr w:type="spellStart"/>
      <w:r w:rsidR="00695DF5" w:rsidRPr="00300A8F">
        <w:rPr>
          <w:rFonts w:ascii="Times New Roman" w:hAnsi="Times New Roman" w:cs="Times New Roman"/>
          <w:sz w:val="24"/>
          <w:szCs w:val="24"/>
        </w:rPr>
        <w:t>Katutis</w:t>
      </w:r>
      <w:proofErr w:type="spellEnd"/>
      <w:r w:rsidR="00695DF5" w:rsidRPr="00300A8F">
        <w:rPr>
          <w:rFonts w:ascii="Times New Roman" w:hAnsi="Times New Roman" w:cs="Times New Roman"/>
          <w:sz w:val="24"/>
          <w:szCs w:val="24"/>
        </w:rPr>
        <w:t xml:space="preserve"> and </w:t>
      </w:r>
      <w:proofErr w:type="spellStart"/>
      <w:r w:rsidR="00695DF5" w:rsidRPr="00300A8F">
        <w:rPr>
          <w:rFonts w:ascii="Times New Roman" w:hAnsi="Times New Roman" w:cs="Times New Roman"/>
          <w:sz w:val="24"/>
          <w:szCs w:val="24"/>
        </w:rPr>
        <w:t>Rudzianskaite</w:t>
      </w:r>
      <w:proofErr w:type="spellEnd"/>
      <w:r w:rsidR="00695DF5" w:rsidRPr="00300A8F">
        <w:rPr>
          <w:rFonts w:ascii="Times New Roman" w:hAnsi="Times New Roman" w:cs="Times New Roman"/>
          <w:sz w:val="24"/>
          <w:szCs w:val="24"/>
        </w:rPr>
        <w:t>(2015).</w:t>
      </w:r>
      <w:r w:rsidR="00FF6993" w:rsidRPr="00300A8F">
        <w:rPr>
          <w:rFonts w:ascii="Times New Roman" w:hAnsi="Times New Roman" w:cs="Times New Roman"/>
          <w:sz w:val="24"/>
          <w:szCs w:val="24"/>
        </w:rPr>
        <w:t>Available sulphur content was sufficient in 95% and deficient in 5 per cent of samples</w:t>
      </w:r>
      <w:r w:rsidR="003749E1" w:rsidRPr="00300A8F">
        <w:rPr>
          <w:rFonts w:ascii="Times New Roman" w:hAnsi="Times New Roman" w:cs="Times New Roman"/>
          <w:sz w:val="24"/>
          <w:szCs w:val="24"/>
        </w:rPr>
        <w:t xml:space="preserve"> (Fig. </w:t>
      </w:r>
      <w:r w:rsidR="007A282C" w:rsidRPr="00300A8F">
        <w:rPr>
          <w:rFonts w:ascii="Times New Roman" w:hAnsi="Times New Roman" w:cs="Times New Roman"/>
          <w:sz w:val="24"/>
          <w:szCs w:val="24"/>
        </w:rPr>
        <w:t>9</w:t>
      </w:r>
      <w:r w:rsidR="003749E1" w:rsidRPr="00300A8F">
        <w:rPr>
          <w:rFonts w:ascii="Times New Roman" w:hAnsi="Times New Roman" w:cs="Times New Roman"/>
          <w:sz w:val="24"/>
          <w:szCs w:val="24"/>
        </w:rPr>
        <w:t>)</w:t>
      </w:r>
      <w:r w:rsidR="00FF6993" w:rsidRPr="00300A8F">
        <w:rPr>
          <w:rFonts w:ascii="Times New Roman" w:hAnsi="Times New Roman" w:cs="Times New Roman"/>
          <w:sz w:val="24"/>
          <w:szCs w:val="24"/>
        </w:rPr>
        <w:t>.</w:t>
      </w:r>
      <w:bookmarkStart w:id="3" w:name="_Hlk52992404"/>
      <w:r w:rsidR="00FF6993" w:rsidRPr="00300A8F">
        <w:rPr>
          <w:rFonts w:ascii="Times New Roman" w:hAnsi="Times New Roman" w:cs="Times New Roman"/>
          <w:sz w:val="24"/>
          <w:szCs w:val="24"/>
        </w:rPr>
        <w:t xml:space="preserve">In laterite soils, the sulphate ions get adsorbed on the kaolinitic clay and the release decreases with increase in soil pH and available P (Kamprath and Till, 1983). Under anaerobic conditions, reduced sulphur compound </w:t>
      </w:r>
      <w:r w:rsidR="00FF6993" w:rsidRPr="00300A8F">
        <w:rPr>
          <w:rFonts w:ascii="Times New Roman" w:hAnsi="Times New Roman" w:cs="Times New Roman"/>
          <w:i/>
          <w:sz w:val="24"/>
          <w:szCs w:val="24"/>
        </w:rPr>
        <w:t>viz</w:t>
      </w:r>
      <w:r w:rsidR="00FF6993" w:rsidRPr="00300A8F">
        <w:rPr>
          <w:rFonts w:ascii="Times New Roman" w:hAnsi="Times New Roman" w:cs="Times New Roman"/>
          <w:sz w:val="24"/>
          <w:szCs w:val="24"/>
        </w:rPr>
        <w:t>., H</w:t>
      </w:r>
      <w:r w:rsidR="00FF6993" w:rsidRPr="00300A8F">
        <w:rPr>
          <w:rFonts w:ascii="Times New Roman" w:hAnsi="Times New Roman" w:cs="Times New Roman"/>
          <w:sz w:val="24"/>
          <w:szCs w:val="24"/>
          <w:vertAlign w:val="subscript"/>
        </w:rPr>
        <w:t>2</w:t>
      </w:r>
      <w:r w:rsidR="00FF6993" w:rsidRPr="00300A8F">
        <w:rPr>
          <w:rFonts w:ascii="Times New Roman" w:hAnsi="Times New Roman" w:cs="Times New Roman"/>
          <w:sz w:val="24"/>
          <w:szCs w:val="24"/>
        </w:rPr>
        <w:t xml:space="preserve">S is formed, which reacts with Fe to form insoluble </w:t>
      </w:r>
      <w:proofErr w:type="spellStart"/>
      <w:r w:rsidR="00FF6993" w:rsidRPr="00300A8F">
        <w:rPr>
          <w:rFonts w:ascii="Times New Roman" w:hAnsi="Times New Roman" w:cs="Times New Roman"/>
          <w:sz w:val="24"/>
          <w:szCs w:val="24"/>
        </w:rPr>
        <w:t>FeS</w:t>
      </w:r>
      <w:proofErr w:type="spellEnd"/>
      <w:r w:rsidR="00FF6993" w:rsidRPr="00300A8F">
        <w:rPr>
          <w:rFonts w:ascii="Times New Roman" w:hAnsi="Times New Roman" w:cs="Times New Roman"/>
          <w:sz w:val="24"/>
          <w:szCs w:val="24"/>
        </w:rPr>
        <w:t xml:space="preserve"> (</w:t>
      </w:r>
      <w:proofErr w:type="spellStart"/>
      <w:r w:rsidR="00FF6993" w:rsidRPr="00300A8F">
        <w:rPr>
          <w:rFonts w:ascii="Times New Roman" w:hAnsi="Times New Roman" w:cs="Times New Roman"/>
          <w:sz w:val="24"/>
          <w:szCs w:val="24"/>
        </w:rPr>
        <w:t>Ponnumperuma</w:t>
      </w:r>
      <w:proofErr w:type="spellEnd"/>
      <w:r w:rsidR="00FF6993" w:rsidRPr="00300A8F">
        <w:rPr>
          <w:rFonts w:ascii="Times New Roman" w:hAnsi="Times New Roman" w:cs="Times New Roman"/>
          <w:sz w:val="24"/>
          <w:szCs w:val="24"/>
        </w:rPr>
        <w:t>, 1977). Later on, the adsorbed SO</w:t>
      </w:r>
      <w:r w:rsidR="00FF6993" w:rsidRPr="00300A8F">
        <w:rPr>
          <w:rFonts w:ascii="Times New Roman" w:hAnsi="Times New Roman" w:cs="Times New Roman"/>
          <w:sz w:val="24"/>
          <w:szCs w:val="24"/>
          <w:vertAlign w:val="subscript"/>
        </w:rPr>
        <w:t>4</w:t>
      </w:r>
      <w:r w:rsidR="00FF6993" w:rsidRPr="00300A8F">
        <w:rPr>
          <w:rFonts w:ascii="Times New Roman" w:hAnsi="Times New Roman" w:cs="Times New Roman"/>
          <w:sz w:val="24"/>
          <w:szCs w:val="24"/>
          <w:vertAlign w:val="superscript"/>
        </w:rPr>
        <w:t>2-</w:t>
      </w:r>
      <w:r w:rsidR="00FF6993" w:rsidRPr="00300A8F">
        <w:rPr>
          <w:rFonts w:ascii="Times New Roman" w:hAnsi="Times New Roman" w:cs="Times New Roman"/>
          <w:sz w:val="24"/>
          <w:szCs w:val="24"/>
        </w:rPr>
        <w:t xml:space="preserve"> become available to plants as desorption occurs (Tabatabai and Chae, 1991).</w:t>
      </w:r>
      <w:bookmarkEnd w:id="3"/>
      <w:r w:rsidR="00674AD5" w:rsidRPr="00300A8F">
        <w:rPr>
          <w:rFonts w:ascii="Times New Roman" w:hAnsi="Times New Roman" w:cs="Times New Roman"/>
          <w:sz w:val="24"/>
          <w:szCs w:val="24"/>
          <w:shd w:val="clear" w:color="auto" w:fill="FFFFFF"/>
        </w:rPr>
        <w:t>Available boron was deficient in 100 per cent of samples</w:t>
      </w:r>
      <w:r w:rsidR="007A282C" w:rsidRPr="00300A8F">
        <w:rPr>
          <w:rFonts w:ascii="Times New Roman" w:hAnsi="Times New Roman" w:cs="Times New Roman"/>
          <w:sz w:val="24"/>
          <w:szCs w:val="24"/>
        </w:rPr>
        <w:t>(Fig. 9).</w:t>
      </w:r>
      <w:r w:rsidR="00674AD5" w:rsidRPr="00300A8F">
        <w:rPr>
          <w:rFonts w:ascii="Times New Roman" w:hAnsi="Times New Roman" w:cs="Times New Roman"/>
          <w:sz w:val="24"/>
          <w:szCs w:val="24"/>
          <w:shd w:val="clear" w:color="auto" w:fill="FFFFFF"/>
        </w:rPr>
        <w:t xml:space="preserve"> Wide spread deficiency of boron was noticed due to </w:t>
      </w:r>
      <w:r w:rsidR="00674AD5" w:rsidRPr="00300A8F">
        <w:rPr>
          <w:rFonts w:ascii="Times New Roman" w:hAnsi="Times New Roman" w:cs="Times New Roman"/>
          <w:sz w:val="24"/>
          <w:szCs w:val="24"/>
        </w:rPr>
        <w:t>high mobility of borate ions results in ready leaching of this nutrient from the soil surface layer and becomes unavailable to plants and hence, huge deficiency of available B is noticed in acidic soils (Katyal and Singh, 1992).</w:t>
      </w:r>
    </w:p>
    <w:p w14:paraId="0768E985" w14:textId="77777777" w:rsidR="002F51C3" w:rsidRPr="00300A8F" w:rsidRDefault="002F51C3" w:rsidP="00B636C7">
      <w:pPr>
        <w:spacing w:after="0" w:line="480" w:lineRule="auto"/>
        <w:jc w:val="both"/>
        <w:rPr>
          <w:rFonts w:ascii="Times New Roman" w:hAnsi="Times New Roman" w:cs="Times New Roman"/>
          <w:b/>
          <w:bCs/>
          <w:sz w:val="24"/>
          <w:szCs w:val="24"/>
        </w:rPr>
      </w:pPr>
      <w:r w:rsidRPr="00300A8F">
        <w:rPr>
          <w:rFonts w:ascii="Times New Roman" w:hAnsi="Times New Roman" w:cs="Times New Roman"/>
          <w:b/>
          <w:bCs/>
          <w:sz w:val="24"/>
          <w:szCs w:val="24"/>
        </w:rPr>
        <w:t>Biological p</w:t>
      </w:r>
      <w:r w:rsidR="002871FB" w:rsidRPr="00300A8F">
        <w:rPr>
          <w:rFonts w:ascii="Times New Roman" w:hAnsi="Times New Roman" w:cs="Times New Roman"/>
          <w:b/>
          <w:bCs/>
          <w:sz w:val="24"/>
          <w:szCs w:val="24"/>
        </w:rPr>
        <w:t>arameters</w:t>
      </w:r>
    </w:p>
    <w:p w14:paraId="5ED35540" w14:textId="77777777" w:rsidR="00FF6B7D" w:rsidRPr="00300A8F" w:rsidRDefault="001E1C29" w:rsidP="00B636C7">
      <w:pPr>
        <w:spacing w:after="0" w:line="480" w:lineRule="auto"/>
        <w:ind w:firstLine="720"/>
        <w:jc w:val="both"/>
        <w:rPr>
          <w:rFonts w:ascii="Times New Roman" w:hAnsi="Times New Roman" w:cs="Times New Roman"/>
          <w:sz w:val="24"/>
          <w:szCs w:val="24"/>
        </w:rPr>
      </w:pPr>
      <w:r w:rsidRPr="00300A8F">
        <w:rPr>
          <w:rFonts w:ascii="Times New Roman" w:hAnsi="Times New Roman" w:cs="Times New Roman"/>
          <w:sz w:val="24"/>
          <w:szCs w:val="24"/>
        </w:rPr>
        <w:t xml:space="preserve">All the biochemical transformations in soil are dependent on enzyme activities and hence, an assay of enzyme activities </w:t>
      </w:r>
      <w:r w:rsidR="00B248E7" w:rsidRPr="00300A8F">
        <w:rPr>
          <w:rFonts w:ascii="Times New Roman" w:hAnsi="Times New Roman" w:cs="Times New Roman"/>
          <w:sz w:val="24"/>
          <w:szCs w:val="24"/>
        </w:rPr>
        <w:t>was</w:t>
      </w:r>
      <w:r w:rsidRPr="00300A8F">
        <w:rPr>
          <w:rFonts w:ascii="Times New Roman" w:hAnsi="Times New Roman" w:cs="Times New Roman"/>
          <w:sz w:val="24"/>
          <w:szCs w:val="24"/>
        </w:rPr>
        <w:t xml:space="preserve"> help to assess the soil </w:t>
      </w:r>
      <w:proofErr w:type="spellStart"/>
      <w:r w:rsidRPr="00300A8F">
        <w:rPr>
          <w:rFonts w:ascii="Times New Roman" w:hAnsi="Times New Roman" w:cs="Times New Roman"/>
          <w:sz w:val="24"/>
          <w:szCs w:val="24"/>
        </w:rPr>
        <w:t>fertility.</w:t>
      </w:r>
      <w:r w:rsidR="00AE2CC3" w:rsidRPr="00300A8F">
        <w:rPr>
          <w:rFonts w:ascii="Times New Roman" w:hAnsi="Times New Roman" w:cs="Times New Roman"/>
          <w:sz w:val="24"/>
          <w:szCs w:val="24"/>
        </w:rPr>
        <w:t>All</w:t>
      </w:r>
      <w:proofErr w:type="spellEnd"/>
      <w:r w:rsidR="00AE2CC3" w:rsidRPr="00300A8F">
        <w:rPr>
          <w:rFonts w:ascii="Times New Roman" w:hAnsi="Times New Roman" w:cs="Times New Roman"/>
          <w:sz w:val="24"/>
          <w:szCs w:val="24"/>
        </w:rPr>
        <w:t xml:space="preserve"> the samples analysed had activity less than 75 µg TPF released g</w:t>
      </w:r>
      <w:r w:rsidR="00AE2CC3" w:rsidRPr="00300A8F">
        <w:rPr>
          <w:rFonts w:ascii="Times New Roman" w:hAnsi="Times New Roman" w:cs="Times New Roman"/>
          <w:sz w:val="24"/>
          <w:szCs w:val="24"/>
          <w:vertAlign w:val="superscript"/>
        </w:rPr>
        <w:t>-1</w:t>
      </w:r>
      <w:r w:rsidR="00AE2CC3" w:rsidRPr="00300A8F">
        <w:rPr>
          <w:rFonts w:ascii="Times New Roman" w:hAnsi="Times New Roman" w:cs="Times New Roman"/>
          <w:sz w:val="24"/>
          <w:szCs w:val="24"/>
        </w:rPr>
        <w:t xml:space="preserve"> soil 24h</w:t>
      </w:r>
      <w:r w:rsidR="00AE2CC3" w:rsidRPr="00300A8F">
        <w:rPr>
          <w:rFonts w:ascii="Times New Roman" w:hAnsi="Times New Roman" w:cs="Times New Roman"/>
          <w:sz w:val="24"/>
          <w:szCs w:val="24"/>
          <w:vertAlign w:val="superscript"/>
        </w:rPr>
        <w:t>-1</w:t>
      </w:r>
      <w:r w:rsidR="00AE2CC3" w:rsidRPr="00300A8F">
        <w:rPr>
          <w:rFonts w:ascii="Times New Roman" w:hAnsi="Times New Roman" w:cs="Times New Roman"/>
          <w:sz w:val="24"/>
          <w:szCs w:val="24"/>
        </w:rPr>
        <w:t xml:space="preserve"> (Fig.</w:t>
      </w:r>
      <w:r w:rsidR="00191F80" w:rsidRPr="00300A8F">
        <w:rPr>
          <w:rFonts w:ascii="Times New Roman" w:hAnsi="Times New Roman" w:cs="Times New Roman"/>
          <w:sz w:val="24"/>
          <w:szCs w:val="24"/>
        </w:rPr>
        <w:t>10</w:t>
      </w:r>
      <w:r w:rsidR="00AE2CC3" w:rsidRPr="00300A8F">
        <w:rPr>
          <w:rFonts w:ascii="Times New Roman" w:hAnsi="Times New Roman" w:cs="Times New Roman"/>
          <w:sz w:val="24"/>
          <w:szCs w:val="24"/>
        </w:rPr>
        <w:t xml:space="preserve">). The soil dehydrogenase activity was found to be significantly correlated with organic carbon (0.299*) and soil pH (0.404**). Flooding influences oxidation- reduction of the system and thus affects the dehydrogenase activity.  Increase in soil moisture content and temperature around 30˚C stimulates the activity of dehydrogenase (Gu </w:t>
      </w:r>
      <w:r w:rsidR="00AE2CC3" w:rsidRPr="00300A8F">
        <w:rPr>
          <w:rFonts w:ascii="Times New Roman" w:hAnsi="Times New Roman" w:cs="Times New Roman"/>
          <w:i/>
          <w:sz w:val="24"/>
          <w:szCs w:val="24"/>
        </w:rPr>
        <w:t>et al</w:t>
      </w:r>
      <w:r w:rsidR="00AE2CC3" w:rsidRPr="00300A8F">
        <w:rPr>
          <w:rFonts w:ascii="Times New Roman" w:hAnsi="Times New Roman" w:cs="Times New Roman"/>
          <w:sz w:val="24"/>
          <w:szCs w:val="24"/>
        </w:rPr>
        <w:t xml:space="preserve">., 2009; Furtak </w:t>
      </w:r>
      <w:r w:rsidR="00AE2CC3" w:rsidRPr="00300A8F">
        <w:rPr>
          <w:rFonts w:ascii="Times New Roman" w:hAnsi="Times New Roman" w:cs="Times New Roman"/>
          <w:i/>
          <w:sz w:val="24"/>
          <w:szCs w:val="24"/>
        </w:rPr>
        <w:t>et al</w:t>
      </w:r>
      <w:r w:rsidR="00AE2CC3" w:rsidRPr="00300A8F">
        <w:rPr>
          <w:rFonts w:ascii="Times New Roman" w:hAnsi="Times New Roman" w:cs="Times New Roman"/>
          <w:sz w:val="24"/>
          <w:szCs w:val="24"/>
        </w:rPr>
        <w:t>., 2020). The mean acid phosphatase activity was 16.5 ± 9.14 µg p- nitro phenol released g</w:t>
      </w:r>
      <w:r w:rsidR="00AE2CC3" w:rsidRPr="00300A8F">
        <w:rPr>
          <w:rFonts w:ascii="Times New Roman" w:hAnsi="Times New Roman" w:cs="Times New Roman"/>
          <w:sz w:val="24"/>
          <w:szCs w:val="24"/>
          <w:vertAlign w:val="superscript"/>
        </w:rPr>
        <w:t>-1</w:t>
      </w:r>
      <w:r w:rsidR="00AE2CC3" w:rsidRPr="00300A8F">
        <w:rPr>
          <w:rFonts w:ascii="Times New Roman" w:hAnsi="Times New Roman" w:cs="Times New Roman"/>
          <w:sz w:val="24"/>
          <w:szCs w:val="24"/>
        </w:rPr>
        <w:t xml:space="preserve"> soil h</w:t>
      </w:r>
      <w:r w:rsidR="00AE2CC3" w:rsidRPr="00300A8F">
        <w:rPr>
          <w:rFonts w:ascii="Times New Roman" w:hAnsi="Times New Roman" w:cs="Times New Roman"/>
          <w:sz w:val="24"/>
          <w:szCs w:val="24"/>
          <w:vertAlign w:val="superscript"/>
        </w:rPr>
        <w:t>-1</w:t>
      </w:r>
      <w:r w:rsidR="00AE2CC3" w:rsidRPr="00300A8F">
        <w:rPr>
          <w:rFonts w:ascii="Times New Roman" w:hAnsi="Times New Roman" w:cs="Times New Roman"/>
          <w:sz w:val="24"/>
          <w:szCs w:val="24"/>
        </w:rPr>
        <w:t xml:space="preserve">. </w:t>
      </w:r>
      <w:r w:rsidR="00E042B1" w:rsidRPr="00300A8F">
        <w:rPr>
          <w:rFonts w:ascii="Times New Roman" w:hAnsi="Times New Roman" w:cs="Times New Roman"/>
          <w:sz w:val="24"/>
          <w:szCs w:val="24"/>
        </w:rPr>
        <w:t xml:space="preserve">The acid phosphatase activity </w:t>
      </w:r>
      <w:r w:rsidR="00AE2CC3" w:rsidRPr="00300A8F">
        <w:rPr>
          <w:rFonts w:ascii="Times New Roman" w:hAnsi="Times New Roman" w:cs="Times New Roman"/>
          <w:sz w:val="24"/>
          <w:szCs w:val="24"/>
        </w:rPr>
        <w:t>was found that 20 per cent of the soils had activity &lt;10; 55 per cent in the range 10 to 25 and 25 per cent &gt;25 µg p- nitro phenol released g</w:t>
      </w:r>
      <w:r w:rsidR="00AE2CC3" w:rsidRPr="00300A8F">
        <w:rPr>
          <w:rFonts w:ascii="Times New Roman" w:hAnsi="Times New Roman" w:cs="Times New Roman"/>
          <w:sz w:val="24"/>
          <w:szCs w:val="24"/>
          <w:vertAlign w:val="superscript"/>
        </w:rPr>
        <w:t>-1</w:t>
      </w:r>
      <w:r w:rsidR="00AE2CC3" w:rsidRPr="00300A8F">
        <w:rPr>
          <w:rFonts w:ascii="Times New Roman" w:hAnsi="Times New Roman" w:cs="Times New Roman"/>
          <w:sz w:val="24"/>
          <w:szCs w:val="24"/>
        </w:rPr>
        <w:t xml:space="preserve"> soil h</w:t>
      </w:r>
      <w:r w:rsidR="00AE2CC3" w:rsidRPr="00300A8F">
        <w:rPr>
          <w:rFonts w:ascii="Times New Roman" w:hAnsi="Times New Roman" w:cs="Times New Roman"/>
          <w:sz w:val="24"/>
          <w:szCs w:val="24"/>
          <w:vertAlign w:val="superscript"/>
        </w:rPr>
        <w:t xml:space="preserve">-1 </w:t>
      </w:r>
      <w:r w:rsidR="00AE2CC3" w:rsidRPr="00300A8F">
        <w:rPr>
          <w:rFonts w:ascii="Times New Roman" w:hAnsi="Times New Roman" w:cs="Times New Roman"/>
          <w:sz w:val="24"/>
          <w:szCs w:val="24"/>
        </w:rPr>
        <w:t>(Fig.</w:t>
      </w:r>
      <w:r w:rsidR="00191F80" w:rsidRPr="00300A8F">
        <w:rPr>
          <w:rFonts w:ascii="Times New Roman" w:hAnsi="Times New Roman" w:cs="Times New Roman"/>
          <w:sz w:val="24"/>
          <w:szCs w:val="24"/>
        </w:rPr>
        <w:t>10</w:t>
      </w:r>
      <w:r w:rsidR="00AE2CC3" w:rsidRPr="00300A8F">
        <w:rPr>
          <w:rFonts w:ascii="Times New Roman" w:hAnsi="Times New Roman" w:cs="Times New Roman"/>
          <w:sz w:val="24"/>
          <w:szCs w:val="24"/>
        </w:rPr>
        <w:t xml:space="preserve">).It gives </w:t>
      </w:r>
      <w:r w:rsidR="00AE2CC3" w:rsidRPr="00300A8F">
        <w:rPr>
          <w:rFonts w:ascii="Times New Roman" w:hAnsi="Times New Roman" w:cs="Times New Roman"/>
          <w:sz w:val="24"/>
          <w:szCs w:val="24"/>
        </w:rPr>
        <w:lastRenderedPageBreak/>
        <w:t>an indication of P cycling in soil and sensitive to oxygen stress and the activity decreases significantly with water logging, resulting in reduced P availability (</w:t>
      </w:r>
      <w:proofErr w:type="spellStart"/>
      <w:r w:rsidR="00AE2CC3" w:rsidRPr="00300A8F">
        <w:rPr>
          <w:rFonts w:ascii="Times New Roman" w:hAnsi="Times New Roman" w:cs="Times New Roman"/>
          <w:sz w:val="24"/>
          <w:szCs w:val="24"/>
        </w:rPr>
        <w:t>Sardans</w:t>
      </w:r>
      <w:proofErr w:type="spellEnd"/>
      <w:r w:rsidR="00AE2CC3" w:rsidRPr="00300A8F">
        <w:rPr>
          <w:rFonts w:ascii="Times New Roman" w:hAnsi="Times New Roman" w:cs="Times New Roman"/>
          <w:sz w:val="24"/>
          <w:szCs w:val="24"/>
        </w:rPr>
        <w:t xml:space="preserve"> and Penuelas, 2005; </w:t>
      </w:r>
      <w:proofErr w:type="spellStart"/>
      <w:r w:rsidR="00AE2CC3" w:rsidRPr="00300A8F">
        <w:rPr>
          <w:rFonts w:ascii="Times New Roman" w:hAnsi="Times New Roman" w:cs="Times New Roman"/>
          <w:sz w:val="24"/>
          <w:szCs w:val="24"/>
        </w:rPr>
        <w:t>Borowik</w:t>
      </w:r>
      <w:proofErr w:type="spellEnd"/>
      <w:r w:rsidR="00AE2CC3" w:rsidRPr="00300A8F">
        <w:rPr>
          <w:rFonts w:ascii="Times New Roman" w:hAnsi="Times New Roman" w:cs="Times New Roman"/>
          <w:sz w:val="24"/>
          <w:szCs w:val="24"/>
        </w:rPr>
        <w:t xml:space="preserve"> and </w:t>
      </w:r>
      <w:proofErr w:type="spellStart"/>
      <w:r w:rsidR="00AE2CC3" w:rsidRPr="00300A8F">
        <w:rPr>
          <w:rFonts w:ascii="Times New Roman" w:hAnsi="Times New Roman" w:cs="Times New Roman"/>
          <w:sz w:val="24"/>
          <w:szCs w:val="24"/>
        </w:rPr>
        <w:t>Wyskowska</w:t>
      </w:r>
      <w:proofErr w:type="spellEnd"/>
      <w:r w:rsidR="00AE2CC3" w:rsidRPr="00300A8F">
        <w:rPr>
          <w:rFonts w:ascii="Times New Roman" w:hAnsi="Times New Roman" w:cs="Times New Roman"/>
          <w:sz w:val="24"/>
          <w:szCs w:val="24"/>
        </w:rPr>
        <w:t xml:space="preserve">, 2016; Gu </w:t>
      </w:r>
      <w:r w:rsidR="00AE2CC3" w:rsidRPr="00300A8F">
        <w:rPr>
          <w:rFonts w:ascii="Times New Roman" w:hAnsi="Times New Roman" w:cs="Times New Roman"/>
          <w:i/>
          <w:sz w:val="24"/>
          <w:szCs w:val="24"/>
        </w:rPr>
        <w:t>et al.</w:t>
      </w:r>
      <w:r w:rsidR="00AE2CC3" w:rsidRPr="00300A8F">
        <w:rPr>
          <w:rFonts w:ascii="Times New Roman" w:hAnsi="Times New Roman" w:cs="Times New Roman"/>
          <w:sz w:val="24"/>
          <w:szCs w:val="24"/>
        </w:rPr>
        <w:t>, 2019).</w:t>
      </w:r>
    </w:p>
    <w:p w14:paraId="6C7A7275" w14:textId="77777777" w:rsidR="00120995" w:rsidRPr="00300A8F" w:rsidRDefault="00005721" w:rsidP="00B636C7">
      <w:pPr>
        <w:spacing w:after="0" w:line="480" w:lineRule="auto"/>
        <w:jc w:val="both"/>
        <w:rPr>
          <w:rFonts w:ascii="Times New Roman" w:hAnsi="Times New Roman" w:cs="Times New Roman"/>
          <w:b/>
          <w:bCs/>
          <w:sz w:val="24"/>
          <w:szCs w:val="24"/>
        </w:rPr>
      </w:pPr>
      <w:r w:rsidRPr="00300A8F">
        <w:rPr>
          <w:rFonts w:ascii="Times New Roman" w:hAnsi="Times New Roman" w:cs="Times New Roman"/>
          <w:b/>
          <w:bCs/>
          <w:sz w:val="24"/>
          <w:szCs w:val="24"/>
        </w:rPr>
        <w:t>Soil quality index</w:t>
      </w:r>
    </w:p>
    <w:p w14:paraId="3085D629" w14:textId="77777777" w:rsidR="00AC2A2E" w:rsidRPr="00300A8F" w:rsidRDefault="009C2384" w:rsidP="00B636C7">
      <w:pPr>
        <w:spacing w:after="0" w:line="480" w:lineRule="auto"/>
        <w:jc w:val="both"/>
        <w:rPr>
          <w:rFonts w:ascii="Times New Roman" w:hAnsi="Times New Roman" w:cs="Times New Roman"/>
          <w:sz w:val="24"/>
          <w:szCs w:val="24"/>
        </w:rPr>
      </w:pPr>
      <w:r w:rsidRPr="00300A8F">
        <w:rPr>
          <w:rFonts w:ascii="Times New Roman" w:hAnsi="Times New Roman" w:cs="Times New Roman"/>
          <w:sz w:val="24"/>
          <w:szCs w:val="24"/>
        </w:rPr>
        <w:t>Selec</w:t>
      </w:r>
      <w:r w:rsidR="002856F8" w:rsidRPr="00300A8F">
        <w:rPr>
          <w:rFonts w:ascii="Times New Roman" w:hAnsi="Times New Roman" w:cs="Times New Roman"/>
          <w:sz w:val="24"/>
          <w:szCs w:val="24"/>
        </w:rPr>
        <w:t>t</w:t>
      </w:r>
      <w:r w:rsidRPr="00300A8F">
        <w:rPr>
          <w:rFonts w:ascii="Times New Roman" w:hAnsi="Times New Roman" w:cs="Times New Roman"/>
          <w:sz w:val="24"/>
          <w:szCs w:val="24"/>
        </w:rPr>
        <w:t>ion of minimum data set from different soil properties</w:t>
      </w:r>
      <w:r w:rsidR="00A760D7" w:rsidRPr="00300A8F">
        <w:rPr>
          <w:rFonts w:ascii="Times New Roman" w:hAnsi="Times New Roman" w:cs="Times New Roman"/>
          <w:sz w:val="24"/>
          <w:szCs w:val="24"/>
        </w:rPr>
        <w:t xml:space="preserve"> t</w:t>
      </w:r>
      <w:r w:rsidR="00DC4C77" w:rsidRPr="00300A8F">
        <w:rPr>
          <w:rFonts w:ascii="Times New Roman" w:hAnsi="Times New Roman" w:cs="Times New Roman"/>
          <w:sz w:val="24"/>
          <w:szCs w:val="24"/>
        </w:rPr>
        <w:t xml:space="preserve">hrough principal component analysis </w:t>
      </w:r>
      <w:proofErr w:type="spellStart"/>
      <w:r w:rsidR="00DC4C77" w:rsidRPr="00300A8F">
        <w:rPr>
          <w:rFonts w:ascii="Times New Roman" w:hAnsi="Times New Roman" w:cs="Times New Roman"/>
          <w:sz w:val="24"/>
          <w:szCs w:val="24"/>
        </w:rPr>
        <w:t>method,</w:t>
      </w:r>
      <w:r w:rsidR="000A260B" w:rsidRPr="00300A8F">
        <w:rPr>
          <w:rFonts w:ascii="Times New Roman" w:hAnsi="Times New Roman" w:cs="Times New Roman"/>
          <w:sz w:val="24"/>
          <w:szCs w:val="24"/>
        </w:rPr>
        <w:t>out</w:t>
      </w:r>
      <w:proofErr w:type="spellEnd"/>
      <w:r w:rsidR="000A260B" w:rsidRPr="00300A8F">
        <w:rPr>
          <w:rFonts w:ascii="Times New Roman" w:hAnsi="Times New Roman" w:cs="Times New Roman"/>
          <w:sz w:val="24"/>
          <w:szCs w:val="24"/>
        </w:rPr>
        <w:t xml:space="preserve"> of all the characterized parameters eleven attributes were selected as minimum data set. These </w:t>
      </w:r>
      <w:r w:rsidR="00637453" w:rsidRPr="00300A8F">
        <w:rPr>
          <w:rFonts w:ascii="Times New Roman" w:hAnsi="Times New Roman" w:cs="Times New Roman"/>
          <w:sz w:val="24"/>
          <w:szCs w:val="24"/>
        </w:rPr>
        <w:t>seven</w:t>
      </w:r>
      <w:r w:rsidR="000A260B" w:rsidRPr="00300A8F">
        <w:rPr>
          <w:rFonts w:ascii="Times New Roman" w:hAnsi="Times New Roman" w:cs="Times New Roman"/>
          <w:sz w:val="24"/>
          <w:szCs w:val="24"/>
        </w:rPr>
        <w:t xml:space="preserve"> indicators influenced the soil quality maximum in these area as compared to other parameters. PCA yielded MDS consists of % </w:t>
      </w:r>
      <w:r w:rsidR="00CD5985" w:rsidRPr="00300A8F">
        <w:rPr>
          <w:rFonts w:ascii="Times New Roman" w:hAnsi="Times New Roman" w:cs="Times New Roman"/>
          <w:sz w:val="24"/>
          <w:szCs w:val="24"/>
        </w:rPr>
        <w:t>o</w:t>
      </w:r>
      <w:r w:rsidR="000A260B" w:rsidRPr="00300A8F">
        <w:rPr>
          <w:rFonts w:ascii="Times New Roman" w:hAnsi="Times New Roman" w:cs="Times New Roman"/>
          <w:sz w:val="24"/>
          <w:szCs w:val="24"/>
        </w:rPr>
        <w:t>f s</w:t>
      </w:r>
      <w:r w:rsidR="00637453" w:rsidRPr="00300A8F">
        <w:rPr>
          <w:rFonts w:ascii="Times New Roman" w:hAnsi="Times New Roman" w:cs="Times New Roman"/>
          <w:sz w:val="24"/>
          <w:szCs w:val="24"/>
        </w:rPr>
        <w:t>ilt</w:t>
      </w:r>
      <w:r w:rsidR="000A260B" w:rsidRPr="00300A8F">
        <w:rPr>
          <w:rFonts w:ascii="Times New Roman" w:hAnsi="Times New Roman" w:cs="Times New Roman"/>
          <w:sz w:val="24"/>
          <w:szCs w:val="24"/>
        </w:rPr>
        <w:t xml:space="preserve"> and </w:t>
      </w:r>
      <w:r w:rsidR="00637453" w:rsidRPr="00300A8F">
        <w:rPr>
          <w:rFonts w:ascii="Times New Roman" w:hAnsi="Times New Roman" w:cs="Times New Roman"/>
          <w:sz w:val="24"/>
          <w:szCs w:val="24"/>
        </w:rPr>
        <w:t>clay</w:t>
      </w:r>
      <w:r w:rsidR="000A260B" w:rsidRPr="00300A8F">
        <w:rPr>
          <w:rFonts w:ascii="Times New Roman" w:hAnsi="Times New Roman" w:cs="Times New Roman"/>
          <w:sz w:val="24"/>
          <w:szCs w:val="24"/>
        </w:rPr>
        <w:t>,</w:t>
      </w:r>
      <w:r w:rsidR="00CD5985" w:rsidRPr="00300A8F">
        <w:rPr>
          <w:rFonts w:ascii="Times New Roman" w:hAnsi="Times New Roman" w:cs="Times New Roman"/>
          <w:sz w:val="24"/>
          <w:szCs w:val="24"/>
        </w:rPr>
        <w:t xml:space="preserve"> bulk density,</w:t>
      </w:r>
      <w:r w:rsidR="00637453" w:rsidRPr="00300A8F">
        <w:rPr>
          <w:rFonts w:ascii="Times New Roman" w:hAnsi="Times New Roman" w:cs="Times New Roman"/>
          <w:sz w:val="24"/>
          <w:szCs w:val="24"/>
        </w:rPr>
        <w:t xml:space="preserve"> soil moisture, </w:t>
      </w:r>
      <w:r w:rsidR="00CD5985" w:rsidRPr="00300A8F">
        <w:rPr>
          <w:rFonts w:ascii="Times New Roman" w:hAnsi="Times New Roman" w:cs="Times New Roman"/>
          <w:sz w:val="24"/>
          <w:szCs w:val="24"/>
        </w:rPr>
        <w:t xml:space="preserve"> EC, pH, available N</w:t>
      </w:r>
      <w:r w:rsidR="00637453" w:rsidRPr="00300A8F">
        <w:rPr>
          <w:rFonts w:ascii="Times New Roman" w:hAnsi="Times New Roman" w:cs="Times New Roman"/>
          <w:sz w:val="24"/>
          <w:szCs w:val="24"/>
        </w:rPr>
        <w:t xml:space="preserve"> and </w:t>
      </w:r>
      <w:r w:rsidR="00CD5985" w:rsidRPr="00300A8F">
        <w:rPr>
          <w:rFonts w:ascii="Times New Roman" w:hAnsi="Times New Roman" w:cs="Times New Roman"/>
          <w:sz w:val="24"/>
          <w:szCs w:val="24"/>
        </w:rPr>
        <w:t>Ca</w:t>
      </w:r>
      <w:r w:rsidR="005600D7" w:rsidRPr="00300A8F">
        <w:rPr>
          <w:rFonts w:ascii="Times New Roman" w:hAnsi="Times New Roman" w:cs="Times New Roman"/>
          <w:sz w:val="24"/>
          <w:szCs w:val="24"/>
        </w:rPr>
        <w:t>.</w:t>
      </w:r>
    </w:p>
    <w:p w14:paraId="1975ACDA" w14:textId="77777777" w:rsidR="00120995" w:rsidRPr="00300A8F" w:rsidRDefault="007F26BF" w:rsidP="00B636C7">
      <w:pPr>
        <w:tabs>
          <w:tab w:val="left" w:pos="709"/>
        </w:tabs>
        <w:spacing w:after="0" w:line="480" w:lineRule="auto"/>
        <w:jc w:val="both"/>
        <w:rPr>
          <w:rFonts w:ascii="Times New Roman" w:hAnsi="Times New Roman" w:cs="Times New Roman"/>
          <w:b/>
          <w:sz w:val="24"/>
          <w:szCs w:val="24"/>
        </w:rPr>
      </w:pPr>
      <w:r w:rsidRPr="00300A8F">
        <w:rPr>
          <w:rFonts w:ascii="Times New Roman" w:hAnsi="Times New Roman" w:cs="Times New Roman"/>
          <w:b/>
          <w:sz w:val="24"/>
          <w:szCs w:val="24"/>
        </w:rPr>
        <w:t xml:space="preserve">Table </w:t>
      </w:r>
      <w:r w:rsidR="00EF18B6" w:rsidRPr="00300A8F">
        <w:rPr>
          <w:rFonts w:ascii="Times New Roman" w:hAnsi="Times New Roman" w:cs="Times New Roman"/>
          <w:b/>
          <w:sz w:val="24"/>
          <w:szCs w:val="24"/>
        </w:rPr>
        <w:t>1</w:t>
      </w:r>
      <w:r w:rsidRPr="00300A8F">
        <w:rPr>
          <w:rFonts w:ascii="Times New Roman" w:hAnsi="Times New Roman" w:cs="Times New Roman"/>
          <w:b/>
          <w:sz w:val="24"/>
          <w:szCs w:val="24"/>
        </w:rPr>
        <w:t xml:space="preserve">. Soil quality indicators, weights and scores (Singh </w:t>
      </w:r>
      <w:r w:rsidRPr="00300A8F">
        <w:rPr>
          <w:rFonts w:ascii="Times New Roman" w:hAnsi="Times New Roman" w:cs="Times New Roman"/>
          <w:b/>
          <w:i/>
          <w:iCs/>
          <w:sz w:val="24"/>
          <w:szCs w:val="24"/>
        </w:rPr>
        <w:t>et a</w:t>
      </w:r>
      <w:r w:rsidRPr="00300A8F">
        <w:rPr>
          <w:rFonts w:ascii="Times New Roman" w:hAnsi="Times New Roman" w:cs="Times New Roman"/>
          <w:b/>
          <w:sz w:val="24"/>
          <w:szCs w:val="24"/>
        </w:rPr>
        <w:t>l.,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14"/>
        <w:gridCol w:w="1414"/>
        <w:gridCol w:w="1414"/>
        <w:gridCol w:w="1415"/>
        <w:gridCol w:w="1415"/>
      </w:tblGrid>
      <w:tr w:rsidR="00300A8F" w:rsidRPr="00300A8F" w14:paraId="524773CA" w14:textId="77777777" w:rsidTr="000F5EEC">
        <w:tc>
          <w:tcPr>
            <w:tcW w:w="1414" w:type="dxa"/>
            <w:vAlign w:val="center"/>
          </w:tcPr>
          <w:p w14:paraId="5274E56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Soil quality indicators</w:t>
            </w:r>
          </w:p>
        </w:tc>
        <w:tc>
          <w:tcPr>
            <w:tcW w:w="1414" w:type="dxa"/>
            <w:vAlign w:val="center"/>
          </w:tcPr>
          <w:p w14:paraId="6990D7A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Weights</w:t>
            </w:r>
          </w:p>
        </w:tc>
        <w:tc>
          <w:tcPr>
            <w:tcW w:w="1414" w:type="dxa"/>
            <w:vAlign w:val="center"/>
          </w:tcPr>
          <w:p w14:paraId="74AE604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Class I with score 4</w:t>
            </w:r>
          </w:p>
        </w:tc>
        <w:tc>
          <w:tcPr>
            <w:tcW w:w="1414" w:type="dxa"/>
            <w:vAlign w:val="center"/>
          </w:tcPr>
          <w:p w14:paraId="60B0ADF4"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 xml:space="preserve">Class II </w:t>
            </w:r>
          </w:p>
          <w:p w14:paraId="750E56F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 xml:space="preserve">with score </w:t>
            </w:r>
          </w:p>
          <w:p w14:paraId="422AF5B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3</w:t>
            </w:r>
          </w:p>
        </w:tc>
        <w:tc>
          <w:tcPr>
            <w:tcW w:w="1415" w:type="dxa"/>
            <w:vAlign w:val="center"/>
          </w:tcPr>
          <w:p w14:paraId="0521E32D"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Class III with score 2</w:t>
            </w:r>
          </w:p>
        </w:tc>
        <w:tc>
          <w:tcPr>
            <w:tcW w:w="1415" w:type="dxa"/>
            <w:vAlign w:val="center"/>
          </w:tcPr>
          <w:p w14:paraId="0014D97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 xml:space="preserve">Class IV </w:t>
            </w:r>
          </w:p>
          <w:p w14:paraId="3AE772D6"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 xml:space="preserve">with score </w:t>
            </w:r>
          </w:p>
          <w:p w14:paraId="5C2D55F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w:t>
            </w:r>
          </w:p>
        </w:tc>
      </w:tr>
      <w:tr w:rsidR="00300A8F" w:rsidRPr="00300A8F" w14:paraId="4985BC20" w14:textId="77777777" w:rsidTr="000F5EEC">
        <w:tc>
          <w:tcPr>
            <w:tcW w:w="1414" w:type="dxa"/>
            <w:vAlign w:val="center"/>
          </w:tcPr>
          <w:p w14:paraId="1A31F9C8"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Texture</w:t>
            </w:r>
          </w:p>
        </w:tc>
        <w:tc>
          <w:tcPr>
            <w:tcW w:w="1414" w:type="dxa"/>
            <w:vAlign w:val="center"/>
          </w:tcPr>
          <w:p w14:paraId="0A4828A1"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0D4B5A1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Loam</w:t>
            </w:r>
          </w:p>
        </w:tc>
        <w:tc>
          <w:tcPr>
            <w:tcW w:w="1414" w:type="dxa"/>
            <w:vAlign w:val="center"/>
          </w:tcPr>
          <w:p w14:paraId="1ECC07A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Clay loam / Sandy loam</w:t>
            </w:r>
          </w:p>
        </w:tc>
        <w:tc>
          <w:tcPr>
            <w:tcW w:w="1415" w:type="dxa"/>
            <w:vAlign w:val="center"/>
          </w:tcPr>
          <w:p w14:paraId="144DC58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Sand/Clay</w:t>
            </w:r>
          </w:p>
        </w:tc>
        <w:tc>
          <w:tcPr>
            <w:tcW w:w="1415" w:type="dxa"/>
            <w:vAlign w:val="center"/>
          </w:tcPr>
          <w:p w14:paraId="06A02A5C"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Grit</w:t>
            </w:r>
          </w:p>
        </w:tc>
      </w:tr>
      <w:tr w:rsidR="00300A8F" w:rsidRPr="00300A8F" w14:paraId="178DD21F" w14:textId="77777777" w:rsidTr="000F5EEC">
        <w:tc>
          <w:tcPr>
            <w:tcW w:w="1414" w:type="dxa"/>
            <w:vAlign w:val="center"/>
          </w:tcPr>
          <w:p w14:paraId="2A8EF403"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Soil moisture content</w:t>
            </w:r>
          </w:p>
        </w:tc>
        <w:tc>
          <w:tcPr>
            <w:tcW w:w="1414" w:type="dxa"/>
            <w:vAlign w:val="center"/>
          </w:tcPr>
          <w:p w14:paraId="4933EF81"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68780E96"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 30</w:t>
            </w:r>
          </w:p>
        </w:tc>
        <w:tc>
          <w:tcPr>
            <w:tcW w:w="1414" w:type="dxa"/>
            <w:vAlign w:val="center"/>
          </w:tcPr>
          <w:p w14:paraId="60D491D1"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30 – 40</w:t>
            </w:r>
          </w:p>
        </w:tc>
        <w:tc>
          <w:tcPr>
            <w:tcW w:w="1415" w:type="dxa"/>
            <w:vAlign w:val="center"/>
          </w:tcPr>
          <w:p w14:paraId="55EAEC6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40-50</w:t>
            </w:r>
          </w:p>
        </w:tc>
        <w:tc>
          <w:tcPr>
            <w:tcW w:w="1415" w:type="dxa"/>
            <w:vAlign w:val="center"/>
          </w:tcPr>
          <w:p w14:paraId="307BC6FE"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 50</w:t>
            </w:r>
          </w:p>
        </w:tc>
      </w:tr>
      <w:tr w:rsidR="00300A8F" w:rsidRPr="00300A8F" w14:paraId="4CDDD103" w14:textId="77777777" w:rsidTr="000F5EEC">
        <w:tc>
          <w:tcPr>
            <w:tcW w:w="1414" w:type="dxa"/>
            <w:vAlign w:val="center"/>
          </w:tcPr>
          <w:p w14:paraId="36C2AC8E"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Bulk density</w:t>
            </w:r>
          </w:p>
        </w:tc>
        <w:tc>
          <w:tcPr>
            <w:tcW w:w="1414" w:type="dxa"/>
            <w:vAlign w:val="center"/>
          </w:tcPr>
          <w:p w14:paraId="65628D6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10D70BF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1.3 - 1.4</w:t>
            </w:r>
          </w:p>
        </w:tc>
        <w:tc>
          <w:tcPr>
            <w:tcW w:w="1414" w:type="dxa"/>
            <w:vAlign w:val="center"/>
          </w:tcPr>
          <w:p w14:paraId="24F21BD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1.2 - 1.3 or 1.4 - 1.5</w:t>
            </w:r>
          </w:p>
        </w:tc>
        <w:tc>
          <w:tcPr>
            <w:tcW w:w="1415" w:type="dxa"/>
            <w:vAlign w:val="center"/>
          </w:tcPr>
          <w:p w14:paraId="77236B56"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1.1 - 1.2 or 1.5 - 1.6</w:t>
            </w:r>
          </w:p>
        </w:tc>
        <w:tc>
          <w:tcPr>
            <w:tcW w:w="1415" w:type="dxa"/>
            <w:vAlign w:val="center"/>
          </w:tcPr>
          <w:p w14:paraId="24D9A6B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 1.1 or &gt;1.6</w:t>
            </w:r>
          </w:p>
        </w:tc>
      </w:tr>
      <w:tr w:rsidR="00300A8F" w:rsidRPr="00300A8F" w14:paraId="4BAF5B4F" w14:textId="77777777" w:rsidTr="000F5EEC">
        <w:tc>
          <w:tcPr>
            <w:tcW w:w="1414" w:type="dxa"/>
            <w:vAlign w:val="center"/>
          </w:tcPr>
          <w:p w14:paraId="74A836B4"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pH</w:t>
            </w:r>
          </w:p>
        </w:tc>
        <w:tc>
          <w:tcPr>
            <w:tcW w:w="1414" w:type="dxa"/>
            <w:vAlign w:val="center"/>
          </w:tcPr>
          <w:p w14:paraId="744796B1"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5</w:t>
            </w:r>
          </w:p>
        </w:tc>
        <w:tc>
          <w:tcPr>
            <w:tcW w:w="1414" w:type="dxa"/>
            <w:vAlign w:val="center"/>
          </w:tcPr>
          <w:p w14:paraId="796CF584"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6.5 - 7.5</w:t>
            </w:r>
          </w:p>
        </w:tc>
        <w:tc>
          <w:tcPr>
            <w:tcW w:w="1414" w:type="dxa"/>
            <w:vAlign w:val="center"/>
          </w:tcPr>
          <w:p w14:paraId="6413B47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6 - 6.5 or 7.5-8</w:t>
            </w:r>
          </w:p>
        </w:tc>
        <w:tc>
          <w:tcPr>
            <w:tcW w:w="1415" w:type="dxa"/>
            <w:vAlign w:val="center"/>
          </w:tcPr>
          <w:p w14:paraId="62FF78F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5.5-6 or 8-8.5</w:t>
            </w:r>
          </w:p>
        </w:tc>
        <w:tc>
          <w:tcPr>
            <w:tcW w:w="1415" w:type="dxa"/>
            <w:vAlign w:val="center"/>
          </w:tcPr>
          <w:p w14:paraId="7DD0BB5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 5.5 or &gt;8.5</w:t>
            </w:r>
          </w:p>
        </w:tc>
      </w:tr>
      <w:tr w:rsidR="00300A8F" w:rsidRPr="00300A8F" w14:paraId="70932EF5" w14:textId="77777777" w:rsidTr="000F5EEC">
        <w:tc>
          <w:tcPr>
            <w:tcW w:w="1414" w:type="dxa"/>
            <w:vAlign w:val="center"/>
          </w:tcPr>
          <w:p w14:paraId="214EBECB"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lastRenderedPageBreak/>
              <w:t>EC</w:t>
            </w:r>
          </w:p>
        </w:tc>
        <w:tc>
          <w:tcPr>
            <w:tcW w:w="1414" w:type="dxa"/>
            <w:vAlign w:val="center"/>
          </w:tcPr>
          <w:p w14:paraId="64FA241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6B47AF51"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&lt;2</w:t>
            </w:r>
          </w:p>
        </w:tc>
        <w:tc>
          <w:tcPr>
            <w:tcW w:w="1414" w:type="dxa"/>
            <w:vAlign w:val="center"/>
          </w:tcPr>
          <w:p w14:paraId="381DA74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2-4</w:t>
            </w:r>
          </w:p>
        </w:tc>
        <w:tc>
          <w:tcPr>
            <w:tcW w:w="1415" w:type="dxa"/>
            <w:vAlign w:val="center"/>
          </w:tcPr>
          <w:p w14:paraId="64A6CAD2"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4 – 8</w:t>
            </w:r>
          </w:p>
        </w:tc>
        <w:tc>
          <w:tcPr>
            <w:tcW w:w="1415" w:type="dxa"/>
            <w:vAlign w:val="center"/>
          </w:tcPr>
          <w:p w14:paraId="6DBFC270"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8 – 16</w:t>
            </w:r>
          </w:p>
        </w:tc>
      </w:tr>
      <w:tr w:rsidR="00300A8F" w:rsidRPr="00300A8F" w14:paraId="42DA5BA0" w14:textId="77777777" w:rsidTr="000F5EEC">
        <w:tc>
          <w:tcPr>
            <w:tcW w:w="1414" w:type="dxa"/>
            <w:vAlign w:val="center"/>
          </w:tcPr>
          <w:p w14:paraId="597D58F9"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Available N</w:t>
            </w:r>
          </w:p>
        </w:tc>
        <w:tc>
          <w:tcPr>
            <w:tcW w:w="1414" w:type="dxa"/>
            <w:vAlign w:val="center"/>
          </w:tcPr>
          <w:p w14:paraId="38CB3EE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20</w:t>
            </w:r>
          </w:p>
        </w:tc>
        <w:tc>
          <w:tcPr>
            <w:tcW w:w="1414" w:type="dxa"/>
            <w:vAlign w:val="center"/>
          </w:tcPr>
          <w:p w14:paraId="68399DE0"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 560</w:t>
            </w:r>
          </w:p>
        </w:tc>
        <w:tc>
          <w:tcPr>
            <w:tcW w:w="1414" w:type="dxa"/>
            <w:vAlign w:val="center"/>
          </w:tcPr>
          <w:p w14:paraId="056A98C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560 – 420</w:t>
            </w:r>
          </w:p>
        </w:tc>
        <w:tc>
          <w:tcPr>
            <w:tcW w:w="1415" w:type="dxa"/>
            <w:vAlign w:val="center"/>
          </w:tcPr>
          <w:p w14:paraId="6573F48A"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420 – 280</w:t>
            </w:r>
          </w:p>
        </w:tc>
        <w:tc>
          <w:tcPr>
            <w:tcW w:w="1415" w:type="dxa"/>
            <w:vAlign w:val="center"/>
          </w:tcPr>
          <w:p w14:paraId="2C7941B4"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 280</w:t>
            </w:r>
          </w:p>
        </w:tc>
      </w:tr>
      <w:tr w:rsidR="00300A8F" w:rsidRPr="00300A8F" w14:paraId="2D26D565" w14:textId="77777777" w:rsidTr="000F5EEC">
        <w:tc>
          <w:tcPr>
            <w:tcW w:w="1414" w:type="dxa"/>
            <w:vAlign w:val="center"/>
          </w:tcPr>
          <w:p w14:paraId="4DF9DCAB"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Available K</w:t>
            </w:r>
          </w:p>
        </w:tc>
        <w:tc>
          <w:tcPr>
            <w:tcW w:w="1414" w:type="dxa"/>
            <w:vAlign w:val="center"/>
          </w:tcPr>
          <w:p w14:paraId="05937A4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05C65CFF"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 280</w:t>
            </w:r>
          </w:p>
        </w:tc>
        <w:tc>
          <w:tcPr>
            <w:tcW w:w="1414" w:type="dxa"/>
            <w:vAlign w:val="center"/>
          </w:tcPr>
          <w:p w14:paraId="25EA516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280-200</w:t>
            </w:r>
          </w:p>
        </w:tc>
        <w:tc>
          <w:tcPr>
            <w:tcW w:w="1415" w:type="dxa"/>
            <w:vAlign w:val="center"/>
          </w:tcPr>
          <w:p w14:paraId="2941505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200-120</w:t>
            </w:r>
          </w:p>
        </w:tc>
        <w:tc>
          <w:tcPr>
            <w:tcW w:w="1415" w:type="dxa"/>
            <w:vAlign w:val="center"/>
          </w:tcPr>
          <w:p w14:paraId="49B4838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&lt;120</w:t>
            </w:r>
          </w:p>
        </w:tc>
      </w:tr>
      <w:tr w:rsidR="00300A8F" w:rsidRPr="00300A8F" w14:paraId="101347F6" w14:textId="77777777" w:rsidTr="000F5EEC">
        <w:tc>
          <w:tcPr>
            <w:tcW w:w="1414" w:type="dxa"/>
            <w:vAlign w:val="center"/>
          </w:tcPr>
          <w:p w14:paraId="45D54720"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Available Ca</w:t>
            </w:r>
          </w:p>
        </w:tc>
        <w:tc>
          <w:tcPr>
            <w:tcW w:w="1414" w:type="dxa"/>
            <w:vAlign w:val="center"/>
          </w:tcPr>
          <w:p w14:paraId="221682C0"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54A2B75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&gt;300</w:t>
            </w:r>
          </w:p>
        </w:tc>
        <w:tc>
          <w:tcPr>
            <w:tcW w:w="1414" w:type="dxa"/>
            <w:vAlign w:val="center"/>
          </w:tcPr>
          <w:p w14:paraId="0160A2A2"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300 – 250</w:t>
            </w:r>
          </w:p>
        </w:tc>
        <w:tc>
          <w:tcPr>
            <w:tcW w:w="1415" w:type="dxa"/>
            <w:vAlign w:val="center"/>
          </w:tcPr>
          <w:p w14:paraId="734BD766"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250 -150</w:t>
            </w:r>
          </w:p>
        </w:tc>
        <w:tc>
          <w:tcPr>
            <w:tcW w:w="1415" w:type="dxa"/>
            <w:vAlign w:val="center"/>
          </w:tcPr>
          <w:p w14:paraId="3F9346E3"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&lt;150</w:t>
            </w:r>
          </w:p>
        </w:tc>
      </w:tr>
      <w:tr w:rsidR="00300A8F" w:rsidRPr="00300A8F" w14:paraId="43845444" w14:textId="77777777" w:rsidTr="000F5EEC">
        <w:tc>
          <w:tcPr>
            <w:tcW w:w="1414" w:type="dxa"/>
            <w:vAlign w:val="center"/>
          </w:tcPr>
          <w:p w14:paraId="4EBC6582"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Available S</w:t>
            </w:r>
          </w:p>
        </w:tc>
        <w:tc>
          <w:tcPr>
            <w:tcW w:w="1414" w:type="dxa"/>
            <w:vAlign w:val="center"/>
          </w:tcPr>
          <w:p w14:paraId="2C8F0E76"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072A7D5E"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&gt;5.0</w:t>
            </w:r>
          </w:p>
        </w:tc>
        <w:tc>
          <w:tcPr>
            <w:tcW w:w="1414" w:type="dxa"/>
            <w:vAlign w:val="center"/>
          </w:tcPr>
          <w:p w14:paraId="041830FB"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5.0 - 2.0</w:t>
            </w:r>
          </w:p>
        </w:tc>
        <w:tc>
          <w:tcPr>
            <w:tcW w:w="1415" w:type="dxa"/>
            <w:vAlign w:val="center"/>
          </w:tcPr>
          <w:p w14:paraId="2F1BB8A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2.0 - 1.0</w:t>
            </w:r>
          </w:p>
        </w:tc>
        <w:tc>
          <w:tcPr>
            <w:tcW w:w="1415" w:type="dxa"/>
            <w:vAlign w:val="center"/>
          </w:tcPr>
          <w:p w14:paraId="558752E7"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 1.0</w:t>
            </w:r>
          </w:p>
        </w:tc>
      </w:tr>
      <w:tr w:rsidR="00300A8F" w:rsidRPr="00300A8F" w14:paraId="6FC11C1B" w14:textId="77777777" w:rsidTr="000F5EEC">
        <w:tc>
          <w:tcPr>
            <w:tcW w:w="1414" w:type="dxa"/>
            <w:vAlign w:val="center"/>
          </w:tcPr>
          <w:p w14:paraId="46A18134" w14:textId="77777777" w:rsidR="007F26BF" w:rsidRPr="00300A8F" w:rsidRDefault="007F26BF" w:rsidP="00B636C7">
            <w:pPr>
              <w:spacing w:line="480" w:lineRule="auto"/>
              <w:jc w:val="center"/>
              <w:rPr>
                <w:rFonts w:ascii="Times New Roman" w:eastAsia="Times New Roman" w:hAnsi="Times New Roman" w:cs="Times New Roman"/>
                <w:bCs/>
                <w:sz w:val="24"/>
                <w:szCs w:val="24"/>
                <w:lang w:eastAsia="en-IN"/>
              </w:rPr>
            </w:pPr>
            <w:r w:rsidRPr="00300A8F">
              <w:rPr>
                <w:rFonts w:ascii="Times New Roman" w:eastAsia="Times New Roman" w:hAnsi="Times New Roman" w:cs="Times New Roman"/>
                <w:bCs/>
                <w:sz w:val="24"/>
                <w:szCs w:val="24"/>
                <w:lang w:eastAsia="en-IN"/>
              </w:rPr>
              <w:t>Available B</w:t>
            </w:r>
          </w:p>
        </w:tc>
        <w:tc>
          <w:tcPr>
            <w:tcW w:w="1414" w:type="dxa"/>
            <w:vAlign w:val="center"/>
          </w:tcPr>
          <w:p w14:paraId="3CE69330"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10</w:t>
            </w:r>
          </w:p>
        </w:tc>
        <w:tc>
          <w:tcPr>
            <w:tcW w:w="1414" w:type="dxa"/>
            <w:vAlign w:val="center"/>
          </w:tcPr>
          <w:p w14:paraId="74A97678"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&gt;1.5</w:t>
            </w:r>
          </w:p>
        </w:tc>
        <w:tc>
          <w:tcPr>
            <w:tcW w:w="1414" w:type="dxa"/>
            <w:vAlign w:val="center"/>
          </w:tcPr>
          <w:p w14:paraId="2432D839"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1.5-0.7</w:t>
            </w:r>
          </w:p>
        </w:tc>
        <w:tc>
          <w:tcPr>
            <w:tcW w:w="1415" w:type="dxa"/>
            <w:vAlign w:val="center"/>
          </w:tcPr>
          <w:p w14:paraId="4D9DDBA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0.7-0.5</w:t>
            </w:r>
          </w:p>
        </w:tc>
        <w:tc>
          <w:tcPr>
            <w:tcW w:w="1415" w:type="dxa"/>
            <w:vAlign w:val="center"/>
          </w:tcPr>
          <w:p w14:paraId="3C003A15" w14:textId="77777777" w:rsidR="007F26BF" w:rsidRPr="00300A8F" w:rsidRDefault="007F26BF" w:rsidP="00B636C7">
            <w:pPr>
              <w:spacing w:line="480" w:lineRule="auto"/>
              <w:jc w:val="center"/>
              <w:rPr>
                <w:rFonts w:ascii="Times New Roman" w:eastAsia="Times New Roman" w:hAnsi="Times New Roman" w:cs="Times New Roman"/>
                <w:sz w:val="24"/>
                <w:szCs w:val="24"/>
                <w:lang w:eastAsia="en-IN"/>
              </w:rPr>
            </w:pPr>
            <w:r w:rsidRPr="00300A8F">
              <w:rPr>
                <w:rFonts w:ascii="Times New Roman" w:eastAsia="Times New Roman" w:hAnsi="Times New Roman" w:cs="Times New Roman"/>
                <w:sz w:val="24"/>
                <w:szCs w:val="24"/>
                <w:lang w:eastAsia="en-IN"/>
              </w:rPr>
              <w:t>&lt;0.5</w:t>
            </w:r>
          </w:p>
        </w:tc>
      </w:tr>
    </w:tbl>
    <w:p w14:paraId="5E6027E6" w14:textId="77777777" w:rsidR="00956339" w:rsidRPr="00300A8F" w:rsidRDefault="00977AD4" w:rsidP="00B636C7">
      <w:pPr>
        <w:tabs>
          <w:tab w:val="left" w:pos="709"/>
        </w:tabs>
        <w:spacing w:line="480" w:lineRule="auto"/>
        <w:ind w:right="571"/>
        <w:jc w:val="both"/>
        <w:rPr>
          <w:rFonts w:ascii="Times New Roman" w:hAnsi="Times New Roman" w:cs="Times New Roman"/>
          <w:b/>
          <w:bCs/>
          <w:sz w:val="24"/>
          <w:szCs w:val="24"/>
        </w:rPr>
      </w:pPr>
      <w:r w:rsidRPr="00300A8F">
        <w:rPr>
          <w:rFonts w:ascii="Times New Roman" w:hAnsi="Times New Roman" w:cs="Times New Roman"/>
          <w:b/>
          <w:bCs/>
          <w:sz w:val="24"/>
          <w:szCs w:val="24"/>
        </w:rPr>
        <w:t>Table 2. S</w:t>
      </w:r>
      <w:r w:rsidR="00121C44" w:rsidRPr="00300A8F">
        <w:rPr>
          <w:rFonts w:ascii="Times New Roman" w:hAnsi="Times New Roman" w:cs="Times New Roman"/>
          <w:b/>
          <w:bCs/>
          <w:sz w:val="24"/>
          <w:szCs w:val="24"/>
        </w:rPr>
        <w:t>oil quality index</w:t>
      </w:r>
      <w:r w:rsidR="005D567F" w:rsidRPr="00300A8F">
        <w:rPr>
          <w:rFonts w:ascii="Times New Roman" w:hAnsi="Times New Roman" w:cs="Times New Roman"/>
          <w:b/>
          <w:bCs/>
          <w:sz w:val="24"/>
          <w:szCs w:val="24"/>
        </w:rPr>
        <w:t xml:space="preserve"> (SQI)</w:t>
      </w:r>
      <w:r w:rsidRPr="00300A8F">
        <w:rPr>
          <w:rFonts w:ascii="Times New Roman" w:hAnsi="Times New Roman" w:cs="Times New Roman"/>
          <w:b/>
          <w:bCs/>
          <w:sz w:val="24"/>
          <w:szCs w:val="24"/>
        </w:rPr>
        <w:t xml:space="preserve"> and R</w:t>
      </w:r>
      <w:r w:rsidR="00121C44" w:rsidRPr="00300A8F">
        <w:rPr>
          <w:rFonts w:ascii="Times New Roman" w:hAnsi="Times New Roman" w:cs="Times New Roman"/>
          <w:b/>
          <w:bCs/>
          <w:sz w:val="24"/>
          <w:szCs w:val="24"/>
        </w:rPr>
        <w:t>elative soil quality index</w:t>
      </w:r>
      <w:r w:rsidR="005D567F" w:rsidRPr="00300A8F">
        <w:rPr>
          <w:rFonts w:ascii="Times New Roman" w:hAnsi="Times New Roman" w:cs="Times New Roman"/>
          <w:b/>
          <w:bCs/>
          <w:sz w:val="24"/>
          <w:szCs w:val="24"/>
        </w:rPr>
        <w:t xml:space="preserve"> (RSQI)</w:t>
      </w:r>
      <w:r w:rsidRPr="00300A8F">
        <w:rPr>
          <w:rFonts w:ascii="Times New Roman" w:hAnsi="Times New Roman" w:cs="Times New Roman"/>
          <w:b/>
          <w:bCs/>
          <w:sz w:val="24"/>
          <w:szCs w:val="24"/>
        </w:rPr>
        <w:t xml:space="preserve"> in the post-flood area of AEU </w:t>
      </w:r>
      <w:r w:rsidR="00637453" w:rsidRPr="00300A8F">
        <w:rPr>
          <w:rFonts w:ascii="Times New Roman" w:hAnsi="Times New Roman" w:cs="Times New Roman"/>
          <w:b/>
          <w:bCs/>
          <w:sz w:val="24"/>
          <w:szCs w:val="24"/>
        </w:rPr>
        <w:t>12</w:t>
      </w:r>
      <w:r w:rsidRPr="00300A8F">
        <w:rPr>
          <w:rFonts w:ascii="Times New Roman" w:hAnsi="Times New Roman" w:cs="Times New Roman"/>
          <w:b/>
          <w:bCs/>
          <w:sz w:val="24"/>
          <w:szCs w:val="24"/>
        </w:rPr>
        <w:t xml:space="preserve">  in Kottayam district</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20"/>
        <w:gridCol w:w="1424"/>
        <w:gridCol w:w="1710"/>
        <w:gridCol w:w="1551"/>
      </w:tblGrid>
      <w:tr w:rsidR="00300A8F" w:rsidRPr="00300A8F" w14:paraId="1C365DD1" w14:textId="77777777" w:rsidTr="000F5EEC">
        <w:trPr>
          <w:trHeight w:val="300"/>
          <w:jc w:val="center"/>
        </w:trPr>
        <w:tc>
          <w:tcPr>
            <w:tcW w:w="1843" w:type="dxa"/>
            <w:vMerge w:val="restart"/>
            <w:noWrap/>
            <w:vAlign w:val="center"/>
            <w:hideMark/>
          </w:tcPr>
          <w:p w14:paraId="29E79892"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Panchayath</w:t>
            </w:r>
          </w:p>
        </w:tc>
        <w:tc>
          <w:tcPr>
            <w:tcW w:w="3044" w:type="dxa"/>
            <w:gridSpan w:val="2"/>
            <w:noWrap/>
            <w:vAlign w:val="center"/>
            <w:hideMark/>
          </w:tcPr>
          <w:p w14:paraId="34D4CFBD"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SQI</w:t>
            </w:r>
          </w:p>
        </w:tc>
        <w:tc>
          <w:tcPr>
            <w:tcW w:w="3261" w:type="dxa"/>
            <w:gridSpan w:val="2"/>
            <w:noWrap/>
            <w:vAlign w:val="center"/>
            <w:hideMark/>
          </w:tcPr>
          <w:p w14:paraId="63325010"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RSQI</w:t>
            </w:r>
          </w:p>
        </w:tc>
      </w:tr>
      <w:tr w:rsidR="00300A8F" w:rsidRPr="00300A8F" w14:paraId="6885FD26" w14:textId="77777777" w:rsidTr="000F5EEC">
        <w:trPr>
          <w:trHeight w:val="300"/>
          <w:jc w:val="center"/>
        </w:trPr>
        <w:tc>
          <w:tcPr>
            <w:tcW w:w="1843" w:type="dxa"/>
            <w:vMerge/>
            <w:vAlign w:val="center"/>
            <w:hideMark/>
          </w:tcPr>
          <w:p w14:paraId="6CB9D2E5" w14:textId="77777777" w:rsidR="00977AD4" w:rsidRPr="00300A8F" w:rsidRDefault="00977AD4" w:rsidP="00B636C7">
            <w:pPr>
              <w:spacing w:after="0" w:line="480" w:lineRule="auto"/>
              <w:jc w:val="center"/>
              <w:rPr>
                <w:rFonts w:ascii="Times New Roman" w:hAnsi="Times New Roman" w:cs="Times New Roman"/>
                <w:sz w:val="24"/>
                <w:szCs w:val="24"/>
              </w:rPr>
            </w:pPr>
          </w:p>
        </w:tc>
        <w:tc>
          <w:tcPr>
            <w:tcW w:w="1620" w:type="dxa"/>
            <w:noWrap/>
            <w:vAlign w:val="center"/>
            <w:hideMark/>
          </w:tcPr>
          <w:p w14:paraId="2FDC8F55"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Mean ± SD</w:t>
            </w:r>
          </w:p>
        </w:tc>
        <w:tc>
          <w:tcPr>
            <w:tcW w:w="1424" w:type="dxa"/>
            <w:noWrap/>
            <w:vAlign w:val="center"/>
            <w:hideMark/>
          </w:tcPr>
          <w:p w14:paraId="3B737856"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Range</w:t>
            </w:r>
          </w:p>
        </w:tc>
        <w:tc>
          <w:tcPr>
            <w:tcW w:w="1710" w:type="dxa"/>
            <w:noWrap/>
            <w:vAlign w:val="center"/>
            <w:hideMark/>
          </w:tcPr>
          <w:p w14:paraId="57DC4785"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Mean ± SD</w:t>
            </w:r>
          </w:p>
        </w:tc>
        <w:tc>
          <w:tcPr>
            <w:tcW w:w="1551" w:type="dxa"/>
            <w:noWrap/>
            <w:vAlign w:val="center"/>
            <w:hideMark/>
          </w:tcPr>
          <w:p w14:paraId="38B08FB6" w14:textId="77777777" w:rsidR="00977AD4" w:rsidRPr="00300A8F" w:rsidRDefault="00977AD4"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Range</w:t>
            </w:r>
          </w:p>
        </w:tc>
      </w:tr>
      <w:tr w:rsidR="00300A8F" w:rsidRPr="00300A8F" w14:paraId="71E66F63" w14:textId="77777777" w:rsidTr="00637453">
        <w:trPr>
          <w:trHeight w:val="300"/>
          <w:jc w:val="center"/>
        </w:trPr>
        <w:tc>
          <w:tcPr>
            <w:tcW w:w="1843" w:type="dxa"/>
            <w:noWrap/>
            <w:vAlign w:val="center"/>
          </w:tcPr>
          <w:p w14:paraId="774D984E" w14:textId="77777777" w:rsidR="00977AD4" w:rsidRPr="00300A8F" w:rsidRDefault="00637453" w:rsidP="00B636C7">
            <w:pPr>
              <w:spacing w:after="0" w:line="480" w:lineRule="auto"/>
              <w:ind w:left="319"/>
              <w:jc w:val="center"/>
              <w:rPr>
                <w:rFonts w:ascii="Times New Roman" w:hAnsi="Times New Roman" w:cs="Times New Roman"/>
                <w:sz w:val="24"/>
                <w:szCs w:val="24"/>
              </w:rPr>
            </w:pPr>
            <w:proofErr w:type="spellStart"/>
            <w:r w:rsidRPr="00300A8F">
              <w:rPr>
                <w:rFonts w:ascii="Times New Roman" w:hAnsi="Times New Roman" w:cs="Times New Roman"/>
                <w:sz w:val="24"/>
                <w:szCs w:val="24"/>
              </w:rPr>
              <w:t>Thalanadu</w:t>
            </w:r>
            <w:proofErr w:type="spellEnd"/>
          </w:p>
        </w:tc>
        <w:tc>
          <w:tcPr>
            <w:tcW w:w="1620" w:type="dxa"/>
            <w:noWrap/>
            <w:vAlign w:val="center"/>
          </w:tcPr>
          <w:p w14:paraId="76D8F20D" w14:textId="77777777" w:rsidR="00977AD4" w:rsidRPr="00300A8F" w:rsidRDefault="00637453"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221 ± 20.10</w:t>
            </w:r>
          </w:p>
        </w:tc>
        <w:tc>
          <w:tcPr>
            <w:tcW w:w="1424" w:type="dxa"/>
            <w:noWrap/>
            <w:vAlign w:val="center"/>
          </w:tcPr>
          <w:p w14:paraId="7BCAD787"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200 – 250</w:t>
            </w:r>
          </w:p>
        </w:tc>
        <w:tc>
          <w:tcPr>
            <w:tcW w:w="1710" w:type="dxa"/>
            <w:noWrap/>
            <w:vAlign w:val="center"/>
          </w:tcPr>
          <w:p w14:paraId="2FBB4B28"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55.4 ± 5.04</w:t>
            </w:r>
          </w:p>
        </w:tc>
        <w:tc>
          <w:tcPr>
            <w:tcW w:w="1551" w:type="dxa"/>
            <w:noWrap/>
            <w:vAlign w:val="center"/>
          </w:tcPr>
          <w:p w14:paraId="3F3F13C6"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50.0 - 62.5</w:t>
            </w:r>
          </w:p>
        </w:tc>
      </w:tr>
      <w:tr w:rsidR="00300A8F" w:rsidRPr="00300A8F" w14:paraId="5C83D442" w14:textId="77777777" w:rsidTr="00637453">
        <w:trPr>
          <w:trHeight w:val="300"/>
          <w:jc w:val="center"/>
        </w:trPr>
        <w:tc>
          <w:tcPr>
            <w:tcW w:w="1843" w:type="dxa"/>
            <w:noWrap/>
            <w:vAlign w:val="center"/>
          </w:tcPr>
          <w:p w14:paraId="304C2EB7" w14:textId="77777777" w:rsidR="00977AD4" w:rsidRPr="00300A8F" w:rsidRDefault="0019034D" w:rsidP="00B636C7">
            <w:pPr>
              <w:spacing w:after="0" w:line="480" w:lineRule="auto"/>
              <w:jc w:val="center"/>
              <w:rPr>
                <w:rFonts w:ascii="Times New Roman" w:hAnsi="Times New Roman" w:cs="Times New Roman"/>
                <w:sz w:val="24"/>
                <w:szCs w:val="24"/>
              </w:rPr>
            </w:pPr>
            <w:proofErr w:type="spellStart"/>
            <w:r w:rsidRPr="00300A8F">
              <w:rPr>
                <w:rFonts w:ascii="Times New Roman" w:hAnsi="Times New Roman" w:cs="Times New Roman"/>
                <w:sz w:val="24"/>
                <w:szCs w:val="24"/>
              </w:rPr>
              <w:t>Thidanadu</w:t>
            </w:r>
            <w:proofErr w:type="spellEnd"/>
          </w:p>
        </w:tc>
        <w:tc>
          <w:tcPr>
            <w:tcW w:w="1620" w:type="dxa"/>
            <w:noWrap/>
            <w:vAlign w:val="center"/>
          </w:tcPr>
          <w:p w14:paraId="75A8DECB"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220 ± 12.40</w:t>
            </w:r>
          </w:p>
        </w:tc>
        <w:tc>
          <w:tcPr>
            <w:tcW w:w="1424" w:type="dxa"/>
            <w:noWrap/>
            <w:vAlign w:val="center"/>
          </w:tcPr>
          <w:p w14:paraId="6A781A6A"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205 – 240</w:t>
            </w:r>
          </w:p>
        </w:tc>
        <w:tc>
          <w:tcPr>
            <w:tcW w:w="1710" w:type="dxa"/>
            <w:noWrap/>
            <w:vAlign w:val="center"/>
          </w:tcPr>
          <w:p w14:paraId="1C9A3A56"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55.2 ± 3.10</w:t>
            </w:r>
          </w:p>
        </w:tc>
        <w:tc>
          <w:tcPr>
            <w:tcW w:w="1551" w:type="dxa"/>
            <w:noWrap/>
            <w:vAlign w:val="center"/>
          </w:tcPr>
          <w:p w14:paraId="63BCC94F"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51.2 - 60.0</w:t>
            </w:r>
          </w:p>
        </w:tc>
      </w:tr>
      <w:tr w:rsidR="00300A8F" w:rsidRPr="00300A8F" w14:paraId="7CAD55B3" w14:textId="77777777" w:rsidTr="00637453">
        <w:trPr>
          <w:trHeight w:val="300"/>
          <w:jc w:val="center"/>
        </w:trPr>
        <w:tc>
          <w:tcPr>
            <w:tcW w:w="1843" w:type="dxa"/>
            <w:noWrap/>
            <w:vAlign w:val="center"/>
          </w:tcPr>
          <w:p w14:paraId="4872CBC8" w14:textId="77777777" w:rsidR="00977AD4" w:rsidRPr="00300A8F" w:rsidRDefault="0019034D" w:rsidP="00B636C7">
            <w:pPr>
              <w:spacing w:after="0" w:line="480" w:lineRule="auto"/>
              <w:jc w:val="center"/>
              <w:rPr>
                <w:rFonts w:ascii="Times New Roman" w:hAnsi="Times New Roman" w:cs="Times New Roman"/>
                <w:sz w:val="24"/>
                <w:szCs w:val="24"/>
              </w:rPr>
            </w:pPr>
            <w:proofErr w:type="spellStart"/>
            <w:r w:rsidRPr="00300A8F">
              <w:rPr>
                <w:rFonts w:ascii="Times New Roman" w:hAnsi="Times New Roman" w:cs="Times New Roman"/>
                <w:sz w:val="24"/>
                <w:szCs w:val="24"/>
              </w:rPr>
              <w:t>Erumeli</w:t>
            </w:r>
            <w:proofErr w:type="spellEnd"/>
          </w:p>
        </w:tc>
        <w:tc>
          <w:tcPr>
            <w:tcW w:w="1620" w:type="dxa"/>
            <w:noWrap/>
            <w:vAlign w:val="center"/>
          </w:tcPr>
          <w:p w14:paraId="77008F65"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231 ± 8.43</w:t>
            </w:r>
          </w:p>
        </w:tc>
        <w:tc>
          <w:tcPr>
            <w:tcW w:w="1424" w:type="dxa"/>
            <w:noWrap/>
            <w:vAlign w:val="center"/>
          </w:tcPr>
          <w:p w14:paraId="6B8A0A6D"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215 – 240</w:t>
            </w:r>
          </w:p>
        </w:tc>
        <w:tc>
          <w:tcPr>
            <w:tcW w:w="1710" w:type="dxa"/>
            <w:noWrap/>
            <w:vAlign w:val="center"/>
          </w:tcPr>
          <w:p w14:paraId="29BEF7CD"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57.9 ± 2.11</w:t>
            </w:r>
          </w:p>
        </w:tc>
        <w:tc>
          <w:tcPr>
            <w:tcW w:w="1551" w:type="dxa"/>
            <w:noWrap/>
            <w:vAlign w:val="center"/>
          </w:tcPr>
          <w:p w14:paraId="1E354539"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53.7 - 60.0</w:t>
            </w:r>
          </w:p>
        </w:tc>
      </w:tr>
      <w:tr w:rsidR="00300A8F" w:rsidRPr="00300A8F" w14:paraId="1B2F18A5" w14:textId="77777777" w:rsidTr="00637453">
        <w:trPr>
          <w:trHeight w:val="300"/>
          <w:jc w:val="center"/>
        </w:trPr>
        <w:tc>
          <w:tcPr>
            <w:tcW w:w="1843" w:type="dxa"/>
            <w:noWrap/>
            <w:vAlign w:val="center"/>
          </w:tcPr>
          <w:p w14:paraId="20BDA47F"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AEU 12</w:t>
            </w:r>
          </w:p>
        </w:tc>
        <w:tc>
          <w:tcPr>
            <w:tcW w:w="1620" w:type="dxa"/>
            <w:noWrap/>
            <w:vAlign w:val="center"/>
          </w:tcPr>
          <w:p w14:paraId="265C6857"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225 ± 14.20</w:t>
            </w:r>
          </w:p>
        </w:tc>
        <w:tc>
          <w:tcPr>
            <w:tcW w:w="1424" w:type="dxa"/>
            <w:noWrap/>
            <w:vAlign w:val="center"/>
          </w:tcPr>
          <w:p w14:paraId="421BA108"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200 – 250</w:t>
            </w:r>
          </w:p>
        </w:tc>
        <w:tc>
          <w:tcPr>
            <w:tcW w:w="1710" w:type="dxa"/>
            <w:noWrap/>
            <w:vAlign w:val="center"/>
          </w:tcPr>
          <w:p w14:paraId="38FD7810"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56.3 ± 3.56</w:t>
            </w:r>
          </w:p>
        </w:tc>
        <w:tc>
          <w:tcPr>
            <w:tcW w:w="1551" w:type="dxa"/>
            <w:noWrap/>
            <w:vAlign w:val="center"/>
          </w:tcPr>
          <w:p w14:paraId="6EF3D494" w14:textId="77777777" w:rsidR="00977AD4" w:rsidRPr="00300A8F" w:rsidRDefault="0019034D" w:rsidP="00B636C7">
            <w:pPr>
              <w:spacing w:after="0" w:line="480" w:lineRule="auto"/>
              <w:jc w:val="center"/>
              <w:rPr>
                <w:rFonts w:ascii="Times New Roman" w:hAnsi="Times New Roman" w:cs="Times New Roman"/>
                <w:sz w:val="24"/>
                <w:szCs w:val="24"/>
              </w:rPr>
            </w:pPr>
            <w:r w:rsidRPr="00300A8F">
              <w:rPr>
                <w:rFonts w:ascii="Times New Roman" w:hAnsi="Times New Roman" w:cs="Times New Roman"/>
                <w:sz w:val="24"/>
                <w:szCs w:val="24"/>
              </w:rPr>
              <w:t>50.0 - 62.5</w:t>
            </w:r>
          </w:p>
        </w:tc>
      </w:tr>
    </w:tbl>
    <w:p w14:paraId="78D1348D" w14:textId="77777777" w:rsidR="00857142" w:rsidRPr="00300A8F" w:rsidRDefault="009148A9" w:rsidP="00B636C7">
      <w:pPr>
        <w:spacing w:after="0" w:line="480" w:lineRule="auto"/>
        <w:jc w:val="both"/>
        <w:rPr>
          <w:rFonts w:ascii="Times New Roman" w:hAnsi="Times New Roman" w:cs="Times New Roman"/>
          <w:sz w:val="24"/>
          <w:szCs w:val="24"/>
        </w:rPr>
      </w:pPr>
      <w:r w:rsidRPr="00300A8F">
        <w:rPr>
          <w:rFonts w:ascii="Times New Roman" w:hAnsi="Times New Roman" w:cs="Times New Roman"/>
          <w:sz w:val="24"/>
          <w:szCs w:val="24"/>
        </w:rPr>
        <w:t>RSQI expresses the change in soil quality of the samples and grouped into poor (RSQI &lt;50), medium 50-70) and poor (&gt;70).</w:t>
      </w:r>
      <w:r w:rsidR="00F57FF4" w:rsidRPr="00300A8F">
        <w:rPr>
          <w:rFonts w:ascii="Times New Roman" w:hAnsi="Times New Roman" w:cs="Times New Roman"/>
          <w:sz w:val="24"/>
          <w:szCs w:val="24"/>
        </w:rPr>
        <w:t>The highest soil quality was observed at panchayat</w:t>
      </w:r>
      <w:r w:rsidR="00194C54" w:rsidRPr="00300A8F">
        <w:rPr>
          <w:rFonts w:ascii="Times New Roman" w:hAnsi="Times New Roman" w:cs="Times New Roman"/>
          <w:sz w:val="24"/>
          <w:szCs w:val="24"/>
        </w:rPr>
        <w:t xml:space="preserve"> </w:t>
      </w:r>
      <w:proofErr w:type="spellStart"/>
      <w:r w:rsidR="00194C54" w:rsidRPr="00300A8F">
        <w:rPr>
          <w:rFonts w:ascii="Times New Roman" w:hAnsi="Times New Roman" w:cs="Times New Roman"/>
          <w:sz w:val="24"/>
          <w:szCs w:val="24"/>
        </w:rPr>
        <w:t>Erumeli</w:t>
      </w:r>
      <w:proofErr w:type="spellEnd"/>
      <w:r w:rsidR="00F57FF4" w:rsidRPr="00300A8F">
        <w:rPr>
          <w:rFonts w:ascii="Times New Roman" w:hAnsi="Times New Roman" w:cs="Times New Roman"/>
          <w:sz w:val="24"/>
          <w:szCs w:val="24"/>
        </w:rPr>
        <w:t xml:space="preserve"> and </w:t>
      </w:r>
      <w:r w:rsidR="006B2B6A" w:rsidRPr="00300A8F">
        <w:rPr>
          <w:rFonts w:ascii="Times New Roman" w:hAnsi="Times New Roman" w:cs="Times New Roman"/>
          <w:sz w:val="24"/>
          <w:szCs w:val="24"/>
        </w:rPr>
        <w:t xml:space="preserve">the other two panchayaths viz., </w:t>
      </w:r>
      <w:proofErr w:type="spellStart"/>
      <w:r w:rsidR="006B2B6A" w:rsidRPr="00300A8F">
        <w:rPr>
          <w:rFonts w:ascii="Times New Roman" w:hAnsi="Times New Roman" w:cs="Times New Roman"/>
          <w:sz w:val="24"/>
          <w:szCs w:val="24"/>
        </w:rPr>
        <w:t>Thalanadu</w:t>
      </w:r>
      <w:proofErr w:type="spellEnd"/>
      <w:r w:rsidR="006B2B6A" w:rsidRPr="00300A8F">
        <w:rPr>
          <w:rFonts w:ascii="Times New Roman" w:hAnsi="Times New Roman" w:cs="Times New Roman"/>
          <w:sz w:val="24"/>
          <w:szCs w:val="24"/>
        </w:rPr>
        <w:t xml:space="preserve"> and </w:t>
      </w:r>
      <w:proofErr w:type="spellStart"/>
      <w:r w:rsidR="006B2B6A" w:rsidRPr="00300A8F">
        <w:rPr>
          <w:rFonts w:ascii="Times New Roman" w:hAnsi="Times New Roman" w:cs="Times New Roman"/>
          <w:sz w:val="24"/>
          <w:szCs w:val="24"/>
        </w:rPr>
        <w:t>Thidanadu</w:t>
      </w:r>
      <w:proofErr w:type="spellEnd"/>
      <w:r w:rsidR="006B2B6A" w:rsidRPr="00300A8F">
        <w:rPr>
          <w:rFonts w:ascii="Times New Roman" w:hAnsi="Times New Roman" w:cs="Times New Roman"/>
          <w:sz w:val="24"/>
          <w:szCs w:val="24"/>
        </w:rPr>
        <w:t>, almost the same values. The mean SQI value was 225 ± 14.20.</w:t>
      </w:r>
      <w:r w:rsidRPr="00300A8F">
        <w:rPr>
          <w:rFonts w:ascii="Times New Roman" w:hAnsi="Times New Roman" w:cs="Times New Roman"/>
          <w:sz w:val="24"/>
          <w:szCs w:val="24"/>
        </w:rPr>
        <w:t xml:space="preserve">Mean RSQI values indicate that post flood soils of selected panchayaths of AEU </w:t>
      </w:r>
      <w:r w:rsidR="00420751" w:rsidRPr="00300A8F">
        <w:rPr>
          <w:rFonts w:ascii="Times New Roman" w:hAnsi="Times New Roman" w:cs="Times New Roman"/>
          <w:sz w:val="24"/>
          <w:szCs w:val="24"/>
        </w:rPr>
        <w:t>12</w:t>
      </w:r>
      <w:r w:rsidRPr="00300A8F">
        <w:rPr>
          <w:rFonts w:ascii="Times New Roman" w:hAnsi="Times New Roman" w:cs="Times New Roman"/>
          <w:sz w:val="24"/>
          <w:szCs w:val="24"/>
        </w:rPr>
        <w:t>belonged to medium quality (Table 2)</w:t>
      </w:r>
      <w:r w:rsidR="00857142" w:rsidRPr="00300A8F">
        <w:rPr>
          <w:rFonts w:ascii="Times New Roman" w:hAnsi="Times New Roman" w:cs="Times New Roman"/>
          <w:sz w:val="24"/>
          <w:szCs w:val="24"/>
        </w:rPr>
        <w:t xml:space="preserve">.Medium soil quality was observed for </w:t>
      </w:r>
      <w:r w:rsidR="00C31EB4" w:rsidRPr="00300A8F">
        <w:rPr>
          <w:rFonts w:ascii="Times New Roman" w:hAnsi="Times New Roman" w:cs="Times New Roman"/>
          <w:sz w:val="24"/>
          <w:szCs w:val="24"/>
        </w:rPr>
        <w:t xml:space="preserve">95 </w:t>
      </w:r>
      <w:r w:rsidR="00857142" w:rsidRPr="00300A8F">
        <w:rPr>
          <w:rFonts w:ascii="Times New Roman" w:hAnsi="Times New Roman" w:cs="Times New Roman"/>
          <w:sz w:val="24"/>
          <w:szCs w:val="24"/>
        </w:rPr>
        <w:t xml:space="preserve">percent of samples, </w:t>
      </w:r>
      <w:r w:rsidR="00C31EB4" w:rsidRPr="00300A8F">
        <w:rPr>
          <w:rFonts w:ascii="Times New Roman" w:hAnsi="Times New Roman" w:cs="Times New Roman"/>
          <w:sz w:val="24"/>
          <w:szCs w:val="24"/>
        </w:rPr>
        <w:t xml:space="preserve">5 </w:t>
      </w:r>
      <w:r w:rsidR="00857142" w:rsidRPr="00300A8F">
        <w:rPr>
          <w:rFonts w:ascii="Times New Roman" w:hAnsi="Times New Roman" w:cs="Times New Roman"/>
          <w:sz w:val="24"/>
          <w:szCs w:val="24"/>
        </w:rPr>
        <w:t>per cent of soils were of poor soil quality</w:t>
      </w:r>
      <w:r w:rsidR="00357123" w:rsidRPr="00300A8F">
        <w:rPr>
          <w:rFonts w:ascii="Times New Roman" w:hAnsi="Times New Roman" w:cs="Times New Roman"/>
          <w:sz w:val="24"/>
          <w:szCs w:val="24"/>
        </w:rPr>
        <w:t>(Fig.</w:t>
      </w:r>
      <w:r w:rsidR="00A7661E" w:rsidRPr="00300A8F">
        <w:rPr>
          <w:rFonts w:ascii="Times New Roman" w:hAnsi="Times New Roman" w:cs="Times New Roman"/>
          <w:sz w:val="24"/>
          <w:szCs w:val="24"/>
        </w:rPr>
        <w:t>11</w:t>
      </w:r>
      <w:r w:rsidR="00357123" w:rsidRPr="00300A8F">
        <w:rPr>
          <w:rFonts w:ascii="Times New Roman" w:hAnsi="Times New Roman" w:cs="Times New Roman"/>
          <w:sz w:val="24"/>
          <w:szCs w:val="24"/>
        </w:rPr>
        <w:t>)</w:t>
      </w:r>
      <w:r w:rsidR="00C31EB4" w:rsidRPr="00300A8F">
        <w:rPr>
          <w:rFonts w:ascii="Times New Roman" w:hAnsi="Times New Roman" w:cs="Times New Roman"/>
          <w:sz w:val="24"/>
          <w:szCs w:val="24"/>
        </w:rPr>
        <w:t>.</w:t>
      </w:r>
    </w:p>
    <w:p w14:paraId="0CD9F16C" w14:textId="77777777" w:rsidR="00185533" w:rsidRPr="00300A8F" w:rsidRDefault="00185533" w:rsidP="00B636C7">
      <w:pPr>
        <w:spacing w:after="0" w:line="480" w:lineRule="auto"/>
        <w:jc w:val="both"/>
        <w:rPr>
          <w:rFonts w:ascii="Times New Roman" w:hAnsi="Times New Roman" w:cs="Times New Roman"/>
          <w:sz w:val="24"/>
          <w:szCs w:val="24"/>
        </w:rPr>
      </w:pPr>
    </w:p>
    <w:p w14:paraId="200F7ACD" w14:textId="77777777" w:rsidR="00B636C7" w:rsidRPr="00300A8F" w:rsidRDefault="00B636C7" w:rsidP="00B636C7">
      <w:pPr>
        <w:spacing w:after="0" w:line="480" w:lineRule="auto"/>
        <w:rPr>
          <w:rFonts w:ascii="Times New Roman" w:hAnsi="Times New Roman" w:cs="Times New Roman"/>
          <w:sz w:val="24"/>
          <w:szCs w:val="24"/>
        </w:rPr>
      </w:pPr>
    </w:p>
    <w:p w14:paraId="0CE6D7A7" w14:textId="77777777" w:rsidR="001F60CA" w:rsidRPr="00300A8F" w:rsidRDefault="00653370" w:rsidP="00B636C7">
      <w:pPr>
        <w:spacing w:after="0" w:line="480" w:lineRule="auto"/>
        <w:rPr>
          <w:rFonts w:ascii="Times New Roman" w:hAnsi="Times New Roman" w:cs="Times New Roman"/>
          <w:b/>
          <w:bCs/>
          <w:sz w:val="24"/>
          <w:szCs w:val="24"/>
        </w:rPr>
      </w:pPr>
      <w:r w:rsidRPr="00300A8F">
        <w:rPr>
          <w:rFonts w:ascii="Times New Roman" w:hAnsi="Times New Roman" w:cs="Times New Roman"/>
          <w:b/>
          <w:bCs/>
          <w:sz w:val="24"/>
          <w:szCs w:val="24"/>
        </w:rPr>
        <w:lastRenderedPageBreak/>
        <w:t>Conclusion</w:t>
      </w:r>
    </w:p>
    <w:p w14:paraId="0EEBD898" w14:textId="77777777" w:rsidR="00DC5065" w:rsidRPr="00300A8F" w:rsidRDefault="00AC746D" w:rsidP="00B636C7">
      <w:pPr>
        <w:spacing w:after="0" w:line="480" w:lineRule="auto"/>
        <w:ind w:firstLine="720"/>
        <w:jc w:val="both"/>
        <w:rPr>
          <w:rFonts w:ascii="Times New Roman" w:hAnsi="Times New Roman" w:cs="Times New Roman"/>
          <w:b/>
          <w:bCs/>
          <w:sz w:val="24"/>
          <w:szCs w:val="24"/>
        </w:rPr>
      </w:pPr>
      <w:r w:rsidRPr="00300A8F">
        <w:rPr>
          <w:rFonts w:ascii="Times New Roman" w:hAnsi="Times New Roman" w:cs="Times New Roman"/>
          <w:sz w:val="24"/>
          <w:szCs w:val="24"/>
        </w:rPr>
        <w:t xml:space="preserve">The predominant soil groups in the post-flood soils of AEU 12 of Kottayam district of Kerala were sandy clay loam and clay </w:t>
      </w:r>
      <w:proofErr w:type="spellStart"/>
      <w:r w:rsidRPr="00300A8F">
        <w:rPr>
          <w:rFonts w:ascii="Times New Roman" w:hAnsi="Times New Roman" w:cs="Times New Roman"/>
          <w:sz w:val="24"/>
          <w:szCs w:val="24"/>
        </w:rPr>
        <w:t>loam.</w:t>
      </w:r>
      <w:r w:rsidR="009F3DA3" w:rsidRPr="00300A8F">
        <w:rPr>
          <w:rFonts w:ascii="Times New Roman" w:hAnsi="Times New Roman" w:cs="Times New Roman"/>
          <w:sz w:val="24"/>
          <w:szCs w:val="24"/>
        </w:rPr>
        <w:t>There</w:t>
      </w:r>
      <w:proofErr w:type="spellEnd"/>
      <w:r w:rsidR="009F3DA3" w:rsidRPr="00300A8F">
        <w:rPr>
          <w:rFonts w:ascii="Times New Roman" w:hAnsi="Times New Roman" w:cs="Times New Roman"/>
          <w:sz w:val="24"/>
          <w:szCs w:val="24"/>
        </w:rPr>
        <w:t xml:space="preserve"> is  an increase in percentage of samples under moderately and slightly acidic range was observed in most of the area which is an indication of  leaching of basic cations.  High organic carbon status was noticed in majority  of the areas. Available nitrogen and phosphorus  status were medium while that of  K was high in most of the flood affected areas. Adequate level of available Ca and S were observed  in post flood soils. Deficiency of Mg and B were noticed, which demands immediate agricultural intervention for maintaining sustenance crop production. An enhancement in dehydrogenase activity while a decline in acid phosphatase activity was </w:t>
      </w:r>
      <w:proofErr w:type="spellStart"/>
      <w:r w:rsidR="009F3DA3" w:rsidRPr="00300A8F">
        <w:rPr>
          <w:rFonts w:ascii="Times New Roman" w:hAnsi="Times New Roman" w:cs="Times New Roman"/>
          <w:sz w:val="24"/>
          <w:szCs w:val="24"/>
        </w:rPr>
        <w:t>noticed.</w:t>
      </w:r>
      <w:r w:rsidR="00DC5065" w:rsidRPr="00300A8F">
        <w:rPr>
          <w:rFonts w:ascii="Times New Roman" w:eastAsia="+mn-ea" w:hAnsi="Times New Roman" w:cs="Times New Roman"/>
          <w:sz w:val="24"/>
          <w:szCs w:val="24"/>
        </w:rPr>
        <w:t>The</w:t>
      </w:r>
      <w:proofErr w:type="spellEnd"/>
      <w:r w:rsidR="00DC5065" w:rsidRPr="00300A8F">
        <w:rPr>
          <w:rFonts w:ascii="Times New Roman" w:eastAsia="+mn-ea" w:hAnsi="Times New Roman" w:cs="Times New Roman"/>
          <w:sz w:val="24"/>
          <w:szCs w:val="24"/>
        </w:rPr>
        <w:t xml:space="preserve"> reduction in overall nutrients indicated that the nutrients might be lost due to flooding. It is necessary to restore the soil even though the soil lies in medium soil quality. </w:t>
      </w:r>
      <w:r w:rsidR="00DC5065" w:rsidRPr="00300A8F">
        <w:rPr>
          <w:rFonts w:ascii="Times New Roman" w:hAnsi="Times New Roman" w:cs="Times New Roman"/>
          <w:sz w:val="24"/>
          <w:szCs w:val="24"/>
        </w:rPr>
        <w:t>Site specific and nutrient specific management practices are necessary to overcome the changes in soil due to flood. This will make the farmers aware about the changes in soil brought about by the flood and for adopting effective management measures for post flood soil. Alteration in nutrients application according to the current status of soil will help to achieve productivity.</w:t>
      </w:r>
    </w:p>
    <w:p w14:paraId="08E0F82B" w14:textId="77777777" w:rsidR="003F41FC" w:rsidRPr="00300A8F" w:rsidRDefault="003F41FC" w:rsidP="00B636C7">
      <w:pPr>
        <w:spacing w:after="0" w:line="480" w:lineRule="auto"/>
        <w:jc w:val="both"/>
        <w:rPr>
          <w:rFonts w:ascii="Times New Roman" w:hAnsi="Times New Roman" w:cs="Times New Roman"/>
          <w:b/>
          <w:bCs/>
          <w:sz w:val="24"/>
          <w:szCs w:val="24"/>
        </w:rPr>
      </w:pPr>
      <w:r w:rsidRPr="00300A8F">
        <w:rPr>
          <w:rFonts w:ascii="Times New Roman" w:hAnsi="Times New Roman" w:cs="Times New Roman"/>
          <w:b/>
          <w:bCs/>
          <w:sz w:val="24"/>
          <w:szCs w:val="24"/>
        </w:rPr>
        <w:t>References</w:t>
      </w:r>
    </w:p>
    <w:p w14:paraId="399D3EE5" w14:textId="77777777" w:rsidR="00300A8F" w:rsidRPr="00300A8F" w:rsidRDefault="00300A8F" w:rsidP="00975C31">
      <w:pPr>
        <w:spacing w:line="360" w:lineRule="auto"/>
        <w:ind w:left="720" w:hanging="720"/>
        <w:jc w:val="both"/>
        <w:rPr>
          <w:rFonts w:ascii="Times New Roman" w:hAnsi="Times New Roman"/>
          <w:sz w:val="24"/>
          <w:szCs w:val="24"/>
        </w:rPr>
      </w:pPr>
      <w:r w:rsidRPr="00300A8F">
        <w:rPr>
          <w:rFonts w:ascii="Times New Roman" w:hAnsi="Times New Roman"/>
          <w:sz w:val="24"/>
          <w:szCs w:val="24"/>
        </w:rPr>
        <w:t xml:space="preserve">Adams, P.W. and Sidle, R.C. 1987. Soil conditions in three recent landslides in  Southeast  Alaska. </w:t>
      </w:r>
      <w:r w:rsidRPr="00300A8F">
        <w:rPr>
          <w:rFonts w:ascii="Times New Roman" w:hAnsi="Times New Roman"/>
          <w:i/>
          <w:sz w:val="24"/>
          <w:szCs w:val="24"/>
        </w:rPr>
        <w:t>Forest Ecol. Manage</w:t>
      </w:r>
      <w:r w:rsidRPr="00300A8F">
        <w:rPr>
          <w:rFonts w:ascii="Times New Roman" w:hAnsi="Times New Roman"/>
          <w:sz w:val="24"/>
          <w:szCs w:val="24"/>
        </w:rPr>
        <w:t>. 18: 93-107.</w:t>
      </w:r>
    </w:p>
    <w:p w14:paraId="6082B6A6" w14:textId="77777777" w:rsidR="00300A8F" w:rsidRPr="00300A8F" w:rsidRDefault="00300A8F" w:rsidP="00975C31">
      <w:pPr>
        <w:spacing w:line="360" w:lineRule="auto"/>
        <w:ind w:left="720" w:hanging="720"/>
        <w:jc w:val="both"/>
        <w:rPr>
          <w:rFonts w:ascii="Times New Roman" w:hAnsi="Times New Roman"/>
          <w:sz w:val="24"/>
          <w:szCs w:val="24"/>
        </w:rPr>
      </w:pPr>
      <w:bookmarkStart w:id="4" w:name="_Hlk53135678"/>
      <w:r w:rsidRPr="00300A8F">
        <w:rPr>
          <w:rFonts w:ascii="Times New Roman" w:hAnsi="Times New Roman"/>
          <w:sz w:val="24"/>
          <w:szCs w:val="24"/>
        </w:rPr>
        <w:t xml:space="preserve">Baldwin, D. S. and Mitchell, A. M. 2000. The effects of drying and re‐flooding on the sediment and soil nutrient dynamics of lowland river–floodplain systems: a synthesis. </w:t>
      </w:r>
      <w:r w:rsidRPr="00300A8F">
        <w:rPr>
          <w:rFonts w:ascii="Times New Roman" w:hAnsi="Times New Roman"/>
          <w:i/>
          <w:sz w:val="24"/>
          <w:szCs w:val="24"/>
        </w:rPr>
        <w:t>Int. J. River Res. Manage</w:t>
      </w:r>
      <w:r w:rsidRPr="00300A8F">
        <w:rPr>
          <w:rFonts w:ascii="Times New Roman" w:hAnsi="Times New Roman"/>
          <w:sz w:val="24"/>
          <w:szCs w:val="24"/>
        </w:rPr>
        <w:t>. 16(5): 457-467.</w:t>
      </w:r>
    </w:p>
    <w:bookmarkEnd w:id="4"/>
    <w:p w14:paraId="11A5E7E2" w14:textId="77777777" w:rsidR="00300A8F" w:rsidRPr="00300A8F" w:rsidRDefault="00300A8F" w:rsidP="00611B84">
      <w:pPr>
        <w:spacing w:line="480" w:lineRule="auto"/>
        <w:ind w:left="720" w:hanging="720"/>
        <w:jc w:val="both"/>
        <w:rPr>
          <w:rFonts w:ascii="Times New Roman" w:hAnsi="Times New Roman" w:cs="Times New Roman"/>
          <w:sz w:val="24"/>
          <w:szCs w:val="24"/>
        </w:rPr>
      </w:pPr>
      <w:proofErr w:type="spellStart"/>
      <w:r w:rsidRPr="00300A8F">
        <w:rPr>
          <w:rFonts w:ascii="Times New Roman" w:hAnsi="Times New Roman" w:cs="Times New Roman"/>
          <w:sz w:val="24"/>
          <w:szCs w:val="24"/>
          <w:shd w:val="clear" w:color="auto" w:fill="FFFFFF"/>
        </w:rPr>
        <w:t>Bielders</w:t>
      </w:r>
      <w:proofErr w:type="spellEnd"/>
      <w:r w:rsidRPr="00300A8F">
        <w:rPr>
          <w:rFonts w:ascii="Times New Roman" w:hAnsi="Times New Roman" w:cs="Times New Roman"/>
          <w:sz w:val="24"/>
          <w:szCs w:val="24"/>
          <w:shd w:val="clear" w:color="auto" w:fill="FFFFFF"/>
        </w:rPr>
        <w:t xml:space="preserve">, C. L., DeBacker, L.W., and Delvaux, B. 1990. Particle density of volcanic soils as measured with a gas pycnometer. </w:t>
      </w:r>
      <w:r w:rsidRPr="00300A8F">
        <w:rPr>
          <w:rFonts w:ascii="Times New Roman" w:hAnsi="Times New Roman" w:cs="Times New Roman"/>
          <w:i/>
          <w:sz w:val="24"/>
          <w:szCs w:val="24"/>
          <w:shd w:val="clear" w:color="auto" w:fill="FFFFFF"/>
        </w:rPr>
        <w:t xml:space="preserve">Soil Sci. Am. J. </w:t>
      </w:r>
      <w:r w:rsidRPr="00300A8F">
        <w:rPr>
          <w:rFonts w:ascii="Times New Roman" w:hAnsi="Times New Roman" w:cs="Times New Roman"/>
          <w:sz w:val="24"/>
          <w:szCs w:val="24"/>
          <w:shd w:val="clear" w:color="auto" w:fill="FFFFFF"/>
        </w:rPr>
        <w:t xml:space="preserve">54(3): 822-826. </w:t>
      </w:r>
    </w:p>
    <w:p w14:paraId="24BD79F5" w14:textId="77777777" w:rsidR="00300A8F" w:rsidRPr="00300A8F" w:rsidRDefault="00300A8F" w:rsidP="00975C31">
      <w:pPr>
        <w:spacing w:line="360" w:lineRule="auto"/>
        <w:ind w:left="720" w:hanging="720"/>
        <w:jc w:val="both"/>
        <w:rPr>
          <w:rFonts w:ascii="Times New Roman" w:hAnsi="Times New Roman"/>
          <w:sz w:val="24"/>
          <w:szCs w:val="24"/>
        </w:rPr>
      </w:pPr>
      <w:bookmarkStart w:id="5" w:name="_Hlk53135694"/>
      <w:proofErr w:type="spellStart"/>
      <w:r w:rsidRPr="00300A8F">
        <w:rPr>
          <w:rFonts w:ascii="Times New Roman" w:hAnsi="Times New Roman"/>
          <w:sz w:val="24"/>
          <w:szCs w:val="24"/>
        </w:rPr>
        <w:lastRenderedPageBreak/>
        <w:t>Błońska</w:t>
      </w:r>
      <w:proofErr w:type="spellEnd"/>
      <w:r w:rsidRPr="00300A8F">
        <w:rPr>
          <w:rFonts w:ascii="Times New Roman" w:hAnsi="Times New Roman"/>
          <w:sz w:val="24"/>
          <w:szCs w:val="24"/>
        </w:rPr>
        <w:t xml:space="preserve">, E., Lasota, J., </w:t>
      </w:r>
      <w:proofErr w:type="spellStart"/>
      <w:r w:rsidRPr="00300A8F">
        <w:rPr>
          <w:rFonts w:ascii="Times New Roman" w:hAnsi="Times New Roman"/>
          <w:sz w:val="24"/>
          <w:szCs w:val="24"/>
        </w:rPr>
        <w:t>Piaszczyk</w:t>
      </w:r>
      <w:proofErr w:type="spellEnd"/>
      <w:r w:rsidRPr="00300A8F">
        <w:rPr>
          <w:rFonts w:ascii="Times New Roman" w:hAnsi="Times New Roman"/>
          <w:sz w:val="24"/>
          <w:szCs w:val="24"/>
        </w:rPr>
        <w:t xml:space="preserve">, W., </w:t>
      </w:r>
      <w:proofErr w:type="spellStart"/>
      <w:r w:rsidRPr="00300A8F">
        <w:rPr>
          <w:rFonts w:ascii="Times New Roman" w:hAnsi="Times New Roman"/>
          <w:sz w:val="24"/>
          <w:szCs w:val="24"/>
        </w:rPr>
        <w:t>Wiecheć</w:t>
      </w:r>
      <w:proofErr w:type="spellEnd"/>
      <w:r w:rsidRPr="00300A8F">
        <w:rPr>
          <w:rFonts w:ascii="Times New Roman" w:hAnsi="Times New Roman"/>
          <w:sz w:val="24"/>
          <w:szCs w:val="24"/>
        </w:rPr>
        <w:t>, M., and Klamerus-Iwan, A. 2017. The effect of landslide on soil organic carbon stock and biochemical properties of soil. J. Soils Sediments. :1-11.</w:t>
      </w:r>
    </w:p>
    <w:bookmarkEnd w:id="5"/>
    <w:p w14:paraId="13FC6FF8" w14:textId="77777777" w:rsidR="00300A8F" w:rsidRPr="00300A8F" w:rsidRDefault="00300A8F" w:rsidP="00300A8F">
      <w:pPr>
        <w:spacing w:after="0" w:line="480" w:lineRule="auto"/>
        <w:ind w:left="720" w:hanging="720"/>
        <w:jc w:val="both"/>
        <w:rPr>
          <w:rFonts w:ascii="Times New Roman" w:hAnsi="Times New Roman"/>
          <w:bCs/>
          <w:sz w:val="24"/>
          <w:szCs w:val="24"/>
        </w:rPr>
      </w:pPr>
      <w:r w:rsidRPr="00300A8F">
        <w:rPr>
          <w:rFonts w:ascii="Times New Roman" w:hAnsi="Times New Roman"/>
          <w:bCs/>
          <w:sz w:val="24"/>
          <w:szCs w:val="24"/>
        </w:rPr>
        <w:t xml:space="preserve">Borowik, A. and </w:t>
      </w:r>
      <w:proofErr w:type="spellStart"/>
      <w:r w:rsidRPr="00300A8F">
        <w:rPr>
          <w:rFonts w:ascii="Times New Roman" w:hAnsi="Times New Roman"/>
          <w:bCs/>
          <w:sz w:val="24"/>
          <w:szCs w:val="24"/>
        </w:rPr>
        <w:t>Wyszkowska</w:t>
      </w:r>
      <w:proofErr w:type="spellEnd"/>
      <w:r w:rsidRPr="00300A8F">
        <w:rPr>
          <w:rFonts w:ascii="Times New Roman" w:hAnsi="Times New Roman"/>
          <w:bCs/>
          <w:sz w:val="24"/>
          <w:szCs w:val="24"/>
        </w:rPr>
        <w:t xml:space="preserve">, J. 2016. Soil moisture as a factor affecting the microbiological and biochemical activity of soil. </w:t>
      </w:r>
      <w:r w:rsidRPr="00300A8F">
        <w:rPr>
          <w:rFonts w:ascii="Times New Roman" w:hAnsi="Times New Roman"/>
          <w:bCs/>
          <w:i/>
          <w:sz w:val="24"/>
          <w:szCs w:val="24"/>
        </w:rPr>
        <w:t>Plant Soil Environ</w:t>
      </w:r>
      <w:r w:rsidRPr="00300A8F">
        <w:rPr>
          <w:rFonts w:ascii="Times New Roman" w:hAnsi="Times New Roman"/>
          <w:bCs/>
          <w:sz w:val="24"/>
          <w:szCs w:val="24"/>
        </w:rPr>
        <w:t>. 62(6):250</w:t>
      </w:r>
    </w:p>
    <w:p w14:paraId="566026E7" w14:textId="77777777" w:rsidR="00300A8F" w:rsidRPr="00300A8F" w:rsidRDefault="00300A8F" w:rsidP="00300A8F">
      <w:pPr>
        <w:spacing w:line="480" w:lineRule="auto"/>
        <w:ind w:left="720" w:hanging="720"/>
        <w:jc w:val="both"/>
        <w:rPr>
          <w:rFonts w:ascii="Times New Roman" w:hAnsi="Times New Roman" w:cs="Times New Roman"/>
          <w:bCs/>
          <w:sz w:val="24"/>
          <w:szCs w:val="24"/>
        </w:rPr>
      </w:pPr>
      <w:r w:rsidRPr="00300A8F">
        <w:rPr>
          <w:rFonts w:ascii="Times New Roman" w:hAnsi="Times New Roman" w:cs="Times New Roman"/>
          <w:sz w:val="24"/>
          <w:szCs w:val="24"/>
        </w:rPr>
        <w:t xml:space="preserve">Bray, R. H. and Kurtz, L. T. 1945. Determination of total organic and available forms of phosphorous in soils. </w:t>
      </w:r>
      <w:r w:rsidRPr="00300A8F">
        <w:rPr>
          <w:rFonts w:ascii="Times New Roman" w:hAnsi="Times New Roman" w:cs="Times New Roman"/>
          <w:i/>
          <w:iCs/>
          <w:sz w:val="24"/>
          <w:szCs w:val="24"/>
        </w:rPr>
        <w:t>Soil Sci</w:t>
      </w:r>
      <w:r w:rsidRPr="00300A8F">
        <w:rPr>
          <w:rFonts w:ascii="Times New Roman" w:hAnsi="Times New Roman" w:cs="Times New Roman"/>
          <w:sz w:val="24"/>
          <w:szCs w:val="24"/>
        </w:rPr>
        <w:t>. 59: 39 - 45.</w:t>
      </w:r>
    </w:p>
    <w:p w14:paraId="41C15365" w14:textId="77777777" w:rsidR="00300A8F" w:rsidRPr="00300A8F" w:rsidRDefault="00300A8F" w:rsidP="00975C31">
      <w:pPr>
        <w:spacing w:line="360" w:lineRule="auto"/>
        <w:ind w:left="720" w:hanging="720"/>
        <w:jc w:val="both"/>
        <w:rPr>
          <w:rFonts w:ascii="Times New Roman" w:hAnsi="Times New Roman"/>
          <w:sz w:val="24"/>
          <w:szCs w:val="24"/>
          <w:shd w:val="clear" w:color="auto" w:fill="FFFFFF"/>
        </w:rPr>
      </w:pPr>
      <w:r w:rsidRPr="00300A8F">
        <w:rPr>
          <w:rFonts w:ascii="Times New Roman" w:hAnsi="Times New Roman"/>
          <w:sz w:val="24"/>
          <w:szCs w:val="24"/>
          <w:shd w:val="clear" w:color="auto" w:fill="FFFFFF"/>
        </w:rPr>
        <w:t xml:space="preserve">Chaudhari, P. R., Ahire, D. V., Ahire, V. D., </w:t>
      </w:r>
      <w:proofErr w:type="spellStart"/>
      <w:r w:rsidRPr="00300A8F">
        <w:rPr>
          <w:rFonts w:ascii="Times New Roman" w:hAnsi="Times New Roman"/>
          <w:sz w:val="24"/>
          <w:szCs w:val="24"/>
          <w:shd w:val="clear" w:color="auto" w:fill="FFFFFF"/>
        </w:rPr>
        <w:t>Chkravarty</w:t>
      </w:r>
      <w:proofErr w:type="spellEnd"/>
      <w:r w:rsidRPr="00300A8F">
        <w:rPr>
          <w:rFonts w:ascii="Times New Roman" w:hAnsi="Times New Roman"/>
          <w:sz w:val="24"/>
          <w:szCs w:val="24"/>
          <w:shd w:val="clear" w:color="auto" w:fill="FFFFFF"/>
        </w:rPr>
        <w:t>, M., and Maity, S. 2013. Soil bulk density as related to soil texture, organic matter content and available total nutrients of Coimbatore soil. </w:t>
      </w:r>
      <w:r w:rsidRPr="00300A8F">
        <w:rPr>
          <w:rFonts w:ascii="Times New Roman" w:hAnsi="Times New Roman"/>
          <w:i/>
          <w:iCs/>
          <w:sz w:val="24"/>
          <w:szCs w:val="24"/>
          <w:shd w:val="clear" w:color="auto" w:fill="FFFFFF"/>
        </w:rPr>
        <w:t xml:space="preserve">Int. J. Sci. Res. Publ. </w:t>
      </w:r>
      <w:r w:rsidRPr="00300A8F">
        <w:rPr>
          <w:rFonts w:ascii="Times New Roman" w:hAnsi="Times New Roman"/>
          <w:sz w:val="24"/>
          <w:szCs w:val="24"/>
          <w:shd w:val="clear" w:color="auto" w:fill="FFFFFF"/>
        </w:rPr>
        <w:t> </w:t>
      </w:r>
      <w:r w:rsidRPr="00300A8F">
        <w:rPr>
          <w:rFonts w:ascii="Times New Roman" w:hAnsi="Times New Roman"/>
          <w:i/>
          <w:iCs/>
          <w:sz w:val="24"/>
          <w:szCs w:val="24"/>
          <w:shd w:val="clear" w:color="auto" w:fill="FFFFFF"/>
        </w:rPr>
        <w:t>3</w:t>
      </w:r>
      <w:r w:rsidRPr="00300A8F">
        <w:rPr>
          <w:rFonts w:ascii="Times New Roman" w:hAnsi="Times New Roman"/>
          <w:sz w:val="24"/>
          <w:szCs w:val="24"/>
          <w:shd w:val="clear" w:color="auto" w:fill="FFFFFF"/>
        </w:rPr>
        <w:t>(2): 1-8.</w:t>
      </w:r>
    </w:p>
    <w:p w14:paraId="30A91D9D" w14:textId="77777777" w:rsidR="00300A8F" w:rsidRPr="00300A8F" w:rsidRDefault="00300A8F" w:rsidP="00300A8F">
      <w:pPr>
        <w:spacing w:after="0" w:line="480" w:lineRule="auto"/>
        <w:ind w:left="720" w:hanging="720"/>
        <w:jc w:val="both"/>
        <w:rPr>
          <w:rFonts w:ascii="Times New Roman" w:hAnsi="Times New Roman"/>
          <w:sz w:val="24"/>
          <w:szCs w:val="24"/>
        </w:rPr>
      </w:pPr>
      <w:r w:rsidRPr="00300A8F">
        <w:rPr>
          <w:rFonts w:ascii="Times New Roman" w:hAnsi="Times New Roman"/>
          <w:sz w:val="24"/>
          <w:szCs w:val="24"/>
        </w:rPr>
        <w:t xml:space="preserve">Cheng, C., Hsiao, S., Huang, Y., Hung, C., Pai, C., Chen, C., and </w:t>
      </w:r>
      <w:proofErr w:type="spellStart"/>
      <w:r w:rsidRPr="00300A8F">
        <w:rPr>
          <w:rFonts w:ascii="Times New Roman" w:hAnsi="Times New Roman"/>
          <w:sz w:val="24"/>
          <w:szCs w:val="24"/>
        </w:rPr>
        <w:t>Manyailo</w:t>
      </w:r>
      <w:proofErr w:type="spellEnd"/>
      <w:r w:rsidRPr="00300A8F">
        <w:rPr>
          <w:rFonts w:ascii="Times New Roman" w:hAnsi="Times New Roman"/>
          <w:sz w:val="24"/>
          <w:szCs w:val="24"/>
        </w:rPr>
        <w:t>, O. V. 2016.</w:t>
      </w:r>
    </w:p>
    <w:p w14:paraId="62E1D44B" w14:textId="77777777" w:rsidR="00300A8F" w:rsidRPr="00300A8F" w:rsidRDefault="00300A8F" w:rsidP="00300A8F">
      <w:pPr>
        <w:spacing w:line="480" w:lineRule="auto"/>
        <w:ind w:left="720" w:hanging="720"/>
        <w:jc w:val="both"/>
        <w:rPr>
          <w:rFonts w:ascii="Times New Roman" w:hAnsi="Times New Roman" w:cs="Times New Roman"/>
          <w:bCs/>
          <w:sz w:val="24"/>
          <w:szCs w:val="24"/>
        </w:rPr>
      </w:pPr>
      <w:r w:rsidRPr="00300A8F">
        <w:rPr>
          <w:rFonts w:ascii="Times New Roman" w:hAnsi="Times New Roman" w:cs="Times New Roman"/>
          <w:bCs/>
          <w:sz w:val="24"/>
          <w:szCs w:val="24"/>
        </w:rPr>
        <w:t xml:space="preserve"> Furtak, K., </w:t>
      </w:r>
      <w:proofErr w:type="spellStart"/>
      <w:r w:rsidRPr="00300A8F">
        <w:rPr>
          <w:rFonts w:ascii="Times New Roman" w:hAnsi="Times New Roman" w:cs="Times New Roman"/>
          <w:bCs/>
          <w:sz w:val="24"/>
          <w:szCs w:val="24"/>
        </w:rPr>
        <w:t>Gałązka</w:t>
      </w:r>
      <w:proofErr w:type="spellEnd"/>
      <w:r w:rsidRPr="00300A8F">
        <w:rPr>
          <w:rFonts w:ascii="Times New Roman" w:hAnsi="Times New Roman" w:cs="Times New Roman"/>
          <w:bCs/>
          <w:sz w:val="24"/>
          <w:szCs w:val="24"/>
        </w:rPr>
        <w:t xml:space="preserve">, A., and  Niedźwiecki, J. 2020. Changes in soil enzymatic activity </w:t>
      </w:r>
      <w:proofErr w:type="spellStart"/>
      <w:r w:rsidRPr="00300A8F">
        <w:rPr>
          <w:rFonts w:ascii="Times New Roman" w:hAnsi="Times New Roman" w:cs="Times New Roman"/>
          <w:bCs/>
          <w:sz w:val="24"/>
          <w:szCs w:val="24"/>
        </w:rPr>
        <w:t>causedby</w:t>
      </w:r>
      <w:proofErr w:type="spellEnd"/>
      <w:r w:rsidRPr="00300A8F">
        <w:rPr>
          <w:rFonts w:ascii="Times New Roman" w:hAnsi="Times New Roman" w:cs="Times New Roman"/>
          <w:bCs/>
          <w:sz w:val="24"/>
          <w:szCs w:val="24"/>
        </w:rPr>
        <w:t xml:space="preserve"> hydric stress. </w:t>
      </w:r>
      <w:r w:rsidRPr="00300A8F">
        <w:rPr>
          <w:rFonts w:ascii="Times New Roman" w:hAnsi="Times New Roman" w:cs="Times New Roman"/>
          <w:bCs/>
          <w:i/>
          <w:iCs/>
          <w:sz w:val="24"/>
          <w:szCs w:val="24"/>
        </w:rPr>
        <w:t xml:space="preserve">Pol. J. Environ. Stud. </w:t>
      </w:r>
      <w:r w:rsidRPr="00300A8F">
        <w:rPr>
          <w:rFonts w:ascii="Times New Roman" w:hAnsi="Times New Roman" w:cs="Times New Roman"/>
          <w:bCs/>
          <w:iCs/>
          <w:sz w:val="24"/>
          <w:szCs w:val="24"/>
        </w:rPr>
        <w:t>29 (4): 1-8.</w:t>
      </w:r>
    </w:p>
    <w:p w14:paraId="0C9A2D4C" w14:textId="77777777" w:rsidR="00300A8F" w:rsidRPr="00300A8F" w:rsidRDefault="00300A8F" w:rsidP="00975C31">
      <w:pPr>
        <w:spacing w:line="360" w:lineRule="auto"/>
        <w:ind w:left="720" w:hanging="720"/>
        <w:jc w:val="both"/>
        <w:rPr>
          <w:rFonts w:ascii="Times New Roman" w:hAnsi="Times New Roman"/>
          <w:sz w:val="24"/>
          <w:szCs w:val="24"/>
        </w:rPr>
      </w:pPr>
      <w:r w:rsidRPr="00300A8F">
        <w:rPr>
          <w:rFonts w:ascii="Times New Roman" w:hAnsi="Times New Roman"/>
          <w:sz w:val="24"/>
          <w:szCs w:val="24"/>
        </w:rPr>
        <w:t xml:space="preserve">Geetha, K., John, S. K., </w:t>
      </w:r>
      <w:proofErr w:type="spellStart"/>
      <w:r w:rsidRPr="00300A8F">
        <w:rPr>
          <w:rFonts w:ascii="Times New Roman" w:hAnsi="Times New Roman"/>
          <w:sz w:val="24"/>
          <w:szCs w:val="24"/>
        </w:rPr>
        <w:t>Dhanyamol</w:t>
      </w:r>
      <w:proofErr w:type="spellEnd"/>
      <w:r w:rsidRPr="00300A8F">
        <w:rPr>
          <w:rFonts w:ascii="Times New Roman" w:hAnsi="Times New Roman"/>
          <w:sz w:val="24"/>
          <w:szCs w:val="24"/>
        </w:rPr>
        <w:t xml:space="preserve">, K., Praveena, N., Radhika, T. A., Nair, M. M., Joseph, J., Paul, S., and Anuroopa, S. 2013. Soil fertility- Kottayam. In: </w:t>
      </w:r>
      <w:r w:rsidRPr="00300A8F">
        <w:rPr>
          <w:rFonts w:ascii="Times New Roman" w:hAnsi="Times New Roman"/>
          <w:i/>
          <w:sz w:val="24"/>
          <w:szCs w:val="24"/>
        </w:rPr>
        <w:t>Soil Fertility Assessment and Information Management for Enhancing Crop Productivity in Kerala</w:t>
      </w:r>
      <w:r w:rsidRPr="00300A8F">
        <w:rPr>
          <w:rFonts w:ascii="Times New Roman" w:hAnsi="Times New Roman"/>
          <w:sz w:val="24"/>
          <w:szCs w:val="24"/>
        </w:rPr>
        <w:t>. Kerala State Planning Board, Thiruvananthapuram. pp.284-304.</w:t>
      </w:r>
    </w:p>
    <w:p w14:paraId="11C86D3E" w14:textId="77777777" w:rsidR="00300A8F" w:rsidRPr="00300A8F" w:rsidRDefault="00300A8F" w:rsidP="00611B84">
      <w:pPr>
        <w:spacing w:line="480" w:lineRule="auto"/>
        <w:ind w:left="720" w:hanging="720"/>
        <w:jc w:val="both"/>
        <w:rPr>
          <w:rFonts w:ascii="Times New Roman" w:hAnsi="Times New Roman" w:cs="Times New Roman"/>
          <w:sz w:val="24"/>
          <w:szCs w:val="24"/>
        </w:rPr>
      </w:pPr>
      <w:proofErr w:type="spellStart"/>
      <w:r w:rsidRPr="00300A8F">
        <w:rPr>
          <w:rFonts w:ascii="Times New Roman" w:hAnsi="Times New Roman" w:cs="Times New Roman"/>
          <w:sz w:val="24"/>
          <w:szCs w:val="24"/>
        </w:rPr>
        <w:t>Gipiškis</w:t>
      </w:r>
      <w:proofErr w:type="spellEnd"/>
      <w:r w:rsidRPr="00300A8F">
        <w:rPr>
          <w:rFonts w:ascii="Times New Roman" w:hAnsi="Times New Roman" w:cs="Times New Roman"/>
          <w:sz w:val="24"/>
          <w:szCs w:val="24"/>
        </w:rPr>
        <w:t xml:space="preserve">, V. 2000. Localisation of plant nutrients and heavy metals in the lower Nemunas flood land. </w:t>
      </w:r>
      <w:proofErr w:type="spellStart"/>
      <w:r w:rsidRPr="00300A8F">
        <w:rPr>
          <w:rFonts w:ascii="Times New Roman" w:hAnsi="Times New Roman" w:cs="Times New Roman"/>
          <w:i/>
          <w:sz w:val="24"/>
          <w:szCs w:val="24"/>
        </w:rPr>
        <w:t>Vandensūkioinžinerija</w:t>
      </w:r>
      <w:proofErr w:type="spellEnd"/>
      <w:r w:rsidRPr="00300A8F">
        <w:rPr>
          <w:rFonts w:ascii="Times New Roman" w:hAnsi="Times New Roman" w:cs="Times New Roman"/>
          <w:sz w:val="24"/>
          <w:szCs w:val="24"/>
        </w:rPr>
        <w:t>, 9 (31): 77–85.</w:t>
      </w:r>
    </w:p>
    <w:p w14:paraId="51139294" w14:textId="77777777" w:rsidR="00300A8F" w:rsidRPr="00300A8F" w:rsidRDefault="00300A8F" w:rsidP="00975C31">
      <w:pPr>
        <w:spacing w:line="360" w:lineRule="auto"/>
        <w:ind w:left="720" w:hanging="720"/>
        <w:jc w:val="both"/>
        <w:rPr>
          <w:rFonts w:ascii="Times New Roman" w:hAnsi="Times New Roman"/>
          <w:sz w:val="24"/>
          <w:szCs w:val="24"/>
        </w:rPr>
      </w:pPr>
      <w:bookmarkStart w:id="6" w:name="_Hlk46349154"/>
      <w:r w:rsidRPr="00300A8F">
        <w:rPr>
          <w:rFonts w:ascii="Times New Roman" w:hAnsi="Times New Roman"/>
          <w:sz w:val="24"/>
          <w:szCs w:val="24"/>
        </w:rPr>
        <w:t xml:space="preserve">Gu, C., Zhang, S., Han, P., Hu, X., Xie, L., Li, Y., Brooks, M., Liao, X, and Qin, L. 2019. Soil enzyme activity in soils subjected to flooding and the effect on </w:t>
      </w:r>
      <w:proofErr w:type="spellStart"/>
      <w:r w:rsidRPr="00300A8F">
        <w:rPr>
          <w:rFonts w:ascii="Times New Roman" w:hAnsi="Times New Roman"/>
          <w:sz w:val="24"/>
          <w:szCs w:val="24"/>
        </w:rPr>
        <w:t>ntrogen</w:t>
      </w:r>
      <w:proofErr w:type="spellEnd"/>
      <w:r w:rsidRPr="00300A8F">
        <w:rPr>
          <w:rFonts w:ascii="Times New Roman" w:hAnsi="Times New Roman"/>
          <w:sz w:val="24"/>
          <w:szCs w:val="24"/>
        </w:rPr>
        <w:t xml:space="preserve"> and phosphorus uptake by oilseed rape. </w:t>
      </w:r>
      <w:r w:rsidRPr="00300A8F">
        <w:rPr>
          <w:rFonts w:ascii="Times New Roman" w:hAnsi="Times New Roman"/>
          <w:i/>
          <w:sz w:val="24"/>
          <w:szCs w:val="24"/>
        </w:rPr>
        <w:t>Front. Plant Sci</w:t>
      </w:r>
      <w:r w:rsidRPr="00300A8F">
        <w:rPr>
          <w:rFonts w:ascii="Times New Roman" w:hAnsi="Times New Roman"/>
          <w:sz w:val="24"/>
          <w:szCs w:val="24"/>
        </w:rPr>
        <w:t>. 10: 368-378.</w:t>
      </w:r>
    </w:p>
    <w:bookmarkEnd w:id="6"/>
    <w:p w14:paraId="76EB144D" w14:textId="77777777" w:rsidR="00300A8F" w:rsidRPr="00300A8F" w:rsidRDefault="00300A8F" w:rsidP="00611B84">
      <w:pPr>
        <w:spacing w:line="480" w:lineRule="auto"/>
        <w:ind w:left="720" w:hanging="720"/>
        <w:jc w:val="both"/>
        <w:rPr>
          <w:rFonts w:ascii="Times New Roman" w:hAnsi="Times New Roman" w:cs="Times New Roman"/>
          <w:bCs/>
          <w:sz w:val="24"/>
          <w:szCs w:val="24"/>
        </w:rPr>
      </w:pPr>
      <w:r w:rsidRPr="00300A8F">
        <w:rPr>
          <w:rFonts w:ascii="Times New Roman" w:hAnsi="Times New Roman" w:cs="Times New Roman"/>
          <w:sz w:val="24"/>
          <w:szCs w:val="24"/>
        </w:rPr>
        <w:t xml:space="preserve">Gupta, R. P. and </w:t>
      </w:r>
      <w:proofErr w:type="spellStart"/>
      <w:r w:rsidRPr="00300A8F">
        <w:rPr>
          <w:rFonts w:ascii="Times New Roman" w:hAnsi="Times New Roman" w:cs="Times New Roman"/>
          <w:sz w:val="24"/>
          <w:szCs w:val="24"/>
        </w:rPr>
        <w:t>Dakshinamoorthi</w:t>
      </w:r>
      <w:proofErr w:type="spellEnd"/>
      <w:r w:rsidRPr="00300A8F">
        <w:rPr>
          <w:rFonts w:ascii="Times New Roman" w:hAnsi="Times New Roman" w:cs="Times New Roman"/>
          <w:sz w:val="24"/>
          <w:szCs w:val="24"/>
        </w:rPr>
        <w:t xml:space="preserve">, C. 1980. </w:t>
      </w:r>
      <w:r w:rsidRPr="00300A8F">
        <w:rPr>
          <w:rFonts w:ascii="Times New Roman" w:hAnsi="Times New Roman" w:cs="Times New Roman"/>
          <w:i/>
          <w:iCs/>
          <w:sz w:val="24"/>
          <w:szCs w:val="24"/>
        </w:rPr>
        <w:t xml:space="preserve">Procedures for Physical Analysis of Soil and Collection of </w:t>
      </w:r>
      <w:proofErr w:type="spellStart"/>
      <w:r w:rsidRPr="00300A8F">
        <w:rPr>
          <w:rFonts w:ascii="Times New Roman" w:hAnsi="Times New Roman" w:cs="Times New Roman"/>
          <w:i/>
          <w:iCs/>
          <w:sz w:val="24"/>
          <w:szCs w:val="24"/>
        </w:rPr>
        <w:t>Agro</w:t>
      </w:r>
      <w:proofErr w:type="spellEnd"/>
      <w:r w:rsidRPr="00300A8F">
        <w:rPr>
          <w:rFonts w:ascii="Times New Roman" w:hAnsi="Times New Roman" w:cs="Times New Roman"/>
          <w:i/>
          <w:iCs/>
          <w:sz w:val="24"/>
          <w:szCs w:val="24"/>
        </w:rPr>
        <w:t xml:space="preserve"> - Meteorological Dates</w:t>
      </w:r>
      <w:r w:rsidRPr="00300A8F">
        <w:rPr>
          <w:rFonts w:ascii="Times New Roman" w:hAnsi="Times New Roman" w:cs="Times New Roman"/>
          <w:sz w:val="24"/>
          <w:szCs w:val="24"/>
        </w:rPr>
        <w:t xml:space="preserve">. India Meteorological </w:t>
      </w:r>
      <w:proofErr w:type="spellStart"/>
      <w:r w:rsidRPr="00300A8F">
        <w:rPr>
          <w:rFonts w:ascii="Times New Roman" w:hAnsi="Times New Roman" w:cs="Times New Roman"/>
          <w:sz w:val="24"/>
          <w:szCs w:val="24"/>
        </w:rPr>
        <w:t>Depatment</w:t>
      </w:r>
      <w:proofErr w:type="spellEnd"/>
      <w:r w:rsidRPr="00300A8F">
        <w:rPr>
          <w:rFonts w:ascii="Times New Roman" w:hAnsi="Times New Roman" w:cs="Times New Roman"/>
          <w:sz w:val="24"/>
          <w:szCs w:val="24"/>
        </w:rPr>
        <w:t>, Pune. 74p</w:t>
      </w:r>
    </w:p>
    <w:p w14:paraId="3376B453" w14:textId="77777777" w:rsidR="00300A8F" w:rsidRPr="00300A8F" w:rsidRDefault="00300A8F" w:rsidP="00611B84">
      <w:pPr>
        <w:spacing w:line="480" w:lineRule="auto"/>
        <w:ind w:left="720" w:hanging="720"/>
        <w:jc w:val="both"/>
        <w:rPr>
          <w:rFonts w:ascii="Times New Roman" w:hAnsi="Times New Roman" w:cs="Times New Roman"/>
          <w:bCs/>
          <w:sz w:val="24"/>
          <w:szCs w:val="24"/>
        </w:rPr>
      </w:pPr>
      <w:r w:rsidRPr="00300A8F">
        <w:rPr>
          <w:rFonts w:ascii="Times New Roman" w:hAnsi="Times New Roman" w:cs="Times New Roman"/>
          <w:sz w:val="24"/>
          <w:szCs w:val="24"/>
          <w:shd w:val="clear" w:color="auto" w:fill="FFFFFF"/>
        </w:rPr>
        <w:lastRenderedPageBreak/>
        <w:t>Haque, I. and Walmsley, D., 1974. Movement of sulphate in two Caribbean soils. </w:t>
      </w:r>
      <w:r w:rsidRPr="00300A8F">
        <w:rPr>
          <w:rFonts w:ascii="Times New Roman" w:hAnsi="Times New Roman" w:cs="Times New Roman"/>
          <w:i/>
          <w:iCs/>
          <w:sz w:val="24"/>
          <w:szCs w:val="24"/>
          <w:shd w:val="clear" w:color="auto" w:fill="FFFFFF"/>
        </w:rPr>
        <w:t>Plant and Soil</w:t>
      </w:r>
      <w:r w:rsidRPr="00300A8F">
        <w:rPr>
          <w:rFonts w:ascii="Times New Roman" w:hAnsi="Times New Roman" w:cs="Times New Roman"/>
          <w:sz w:val="24"/>
          <w:szCs w:val="24"/>
          <w:shd w:val="clear" w:color="auto" w:fill="FFFFFF"/>
        </w:rPr>
        <w:t xml:space="preserve">. </w:t>
      </w:r>
      <w:r w:rsidRPr="00300A8F">
        <w:rPr>
          <w:rFonts w:ascii="Times New Roman" w:hAnsi="Times New Roman" w:cs="Times New Roman"/>
          <w:i/>
          <w:iCs/>
          <w:sz w:val="24"/>
          <w:szCs w:val="24"/>
          <w:shd w:val="clear" w:color="auto" w:fill="FFFFFF"/>
        </w:rPr>
        <w:t>40</w:t>
      </w:r>
      <w:r w:rsidRPr="00300A8F">
        <w:rPr>
          <w:rFonts w:ascii="Times New Roman" w:hAnsi="Times New Roman" w:cs="Times New Roman"/>
          <w:sz w:val="24"/>
          <w:szCs w:val="24"/>
          <w:shd w:val="clear" w:color="auto" w:fill="FFFFFF"/>
        </w:rPr>
        <w:t>(1): 145-152.</w:t>
      </w:r>
    </w:p>
    <w:p w14:paraId="6BF0B2C9" w14:textId="77777777" w:rsidR="00300A8F" w:rsidRPr="00300A8F" w:rsidRDefault="00300A8F" w:rsidP="00611B84">
      <w:pPr>
        <w:spacing w:line="480" w:lineRule="auto"/>
        <w:ind w:left="720" w:hanging="720"/>
        <w:jc w:val="both"/>
        <w:rPr>
          <w:rFonts w:ascii="Times New Roman" w:hAnsi="Times New Roman" w:cs="Times New Roman"/>
          <w:sz w:val="24"/>
          <w:szCs w:val="24"/>
          <w:shd w:val="clear" w:color="auto" w:fill="FFFFFF"/>
        </w:rPr>
      </w:pPr>
      <w:r w:rsidRPr="00300A8F">
        <w:rPr>
          <w:rFonts w:ascii="Times New Roman" w:hAnsi="Times New Roman" w:cs="Times New Roman"/>
          <w:sz w:val="24"/>
          <w:szCs w:val="24"/>
          <w:lang w:bidi="ml-IN"/>
        </w:rPr>
        <w:t xml:space="preserve">Hesse, P. R. 1971. </w:t>
      </w:r>
      <w:r w:rsidRPr="00300A8F">
        <w:rPr>
          <w:rFonts w:ascii="Times New Roman" w:hAnsi="Times New Roman" w:cs="Times New Roman"/>
          <w:i/>
          <w:iCs/>
          <w:sz w:val="24"/>
          <w:szCs w:val="24"/>
          <w:lang w:bidi="ml-IN"/>
        </w:rPr>
        <w:t xml:space="preserve">A Textbook of Soil </w:t>
      </w:r>
      <w:proofErr w:type="spellStart"/>
      <w:r w:rsidRPr="00300A8F">
        <w:rPr>
          <w:rFonts w:ascii="Times New Roman" w:hAnsi="Times New Roman" w:cs="Times New Roman"/>
          <w:i/>
          <w:iCs/>
          <w:sz w:val="24"/>
          <w:szCs w:val="24"/>
          <w:lang w:bidi="ml-IN"/>
        </w:rPr>
        <w:t>Chemitry</w:t>
      </w:r>
      <w:proofErr w:type="spellEnd"/>
      <w:r w:rsidRPr="00300A8F">
        <w:rPr>
          <w:rFonts w:ascii="Times New Roman" w:hAnsi="Times New Roman" w:cs="Times New Roman"/>
          <w:i/>
          <w:iCs/>
          <w:sz w:val="24"/>
          <w:szCs w:val="24"/>
          <w:lang w:bidi="ml-IN"/>
        </w:rPr>
        <w:t xml:space="preserve"> Analysis</w:t>
      </w:r>
      <w:r w:rsidRPr="00300A8F">
        <w:rPr>
          <w:rFonts w:ascii="Times New Roman" w:hAnsi="Times New Roman" w:cs="Times New Roman"/>
          <w:sz w:val="24"/>
          <w:szCs w:val="24"/>
          <w:lang w:bidi="ml-IN"/>
        </w:rPr>
        <w:t>. Willian Clowes and Sons, London, 153p.</w:t>
      </w:r>
    </w:p>
    <w:p w14:paraId="0C07B2AC" w14:textId="77777777" w:rsidR="00300A8F" w:rsidRPr="00300A8F" w:rsidRDefault="00300A8F" w:rsidP="00975C31">
      <w:pPr>
        <w:spacing w:line="360" w:lineRule="auto"/>
        <w:ind w:left="720" w:hanging="720"/>
        <w:jc w:val="both"/>
        <w:rPr>
          <w:rFonts w:ascii="Times New Roman" w:hAnsi="Times New Roman"/>
          <w:sz w:val="24"/>
          <w:szCs w:val="24"/>
        </w:rPr>
      </w:pPr>
      <w:bookmarkStart w:id="7" w:name="_Hlk53135759"/>
      <w:proofErr w:type="spellStart"/>
      <w:r w:rsidRPr="00300A8F">
        <w:rPr>
          <w:rFonts w:ascii="Times New Roman" w:hAnsi="Times New Roman"/>
          <w:sz w:val="24"/>
          <w:szCs w:val="24"/>
        </w:rPr>
        <w:t>Kamparth</w:t>
      </w:r>
      <w:proofErr w:type="spellEnd"/>
      <w:r w:rsidRPr="00300A8F">
        <w:rPr>
          <w:rFonts w:ascii="Times New Roman" w:hAnsi="Times New Roman"/>
          <w:sz w:val="24"/>
          <w:szCs w:val="24"/>
        </w:rPr>
        <w:t xml:space="preserve">, E. J. and A. R. Till. 1983. </w:t>
      </w:r>
      <w:proofErr w:type="spellStart"/>
      <w:r w:rsidRPr="00300A8F">
        <w:rPr>
          <w:rFonts w:ascii="Times New Roman" w:hAnsi="Times New Roman"/>
          <w:sz w:val="24"/>
          <w:szCs w:val="24"/>
        </w:rPr>
        <w:t>Sulfur</w:t>
      </w:r>
      <w:proofErr w:type="spellEnd"/>
      <w:r w:rsidRPr="00300A8F">
        <w:rPr>
          <w:rFonts w:ascii="Times New Roman" w:hAnsi="Times New Roman"/>
          <w:sz w:val="24"/>
          <w:szCs w:val="24"/>
        </w:rPr>
        <w:t xml:space="preserve"> cycling in the tropics. In: </w:t>
      </w:r>
      <w:proofErr w:type="spellStart"/>
      <w:r w:rsidRPr="00300A8F">
        <w:rPr>
          <w:rFonts w:ascii="Times New Roman" w:hAnsi="Times New Roman"/>
          <w:i/>
          <w:sz w:val="24"/>
          <w:szCs w:val="24"/>
        </w:rPr>
        <w:t>Sulfur</w:t>
      </w:r>
      <w:proofErr w:type="spellEnd"/>
      <w:r w:rsidRPr="00300A8F">
        <w:rPr>
          <w:rFonts w:ascii="Times New Roman" w:hAnsi="Times New Roman"/>
          <w:i/>
          <w:sz w:val="24"/>
          <w:szCs w:val="24"/>
        </w:rPr>
        <w:t xml:space="preserve"> in SE Asian and South Pacific Agriculture</w:t>
      </w:r>
      <w:r w:rsidRPr="00300A8F">
        <w:rPr>
          <w:rFonts w:ascii="Times New Roman" w:hAnsi="Times New Roman"/>
          <w:sz w:val="24"/>
          <w:szCs w:val="24"/>
        </w:rPr>
        <w:t>. G. J. Blair and A. R. Till (eds.). Indonesia. pp. 1-14.</w:t>
      </w:r>
    </w:p>
    <w:bookmarkEnd w:id="7"/>
    <w:p w14:paraId="1E5E2875" w14:textId="77777777" w:rsidR="00300A8F" w:rsidRPr="00300A8F" w:rsidRDefault="00300A8F" w:rsidP="00611B84">
      <w:pPr>
        <w:spacing w:line="360" w:lineRule="auto"/>
        <w:ind w:left="720" w:hanging="720"/>
        <w:jc w:val="both"/>
        <w:rPr>
          <w:rFonts w:ascii="Times New Roman" w:hAnsi="Times New Roman"/>
          <w:sz w:val="24"/>
          <w:szCs w:val="24"/>
        </w:rPr>
      </w:pPr>
      <w:proofErr w:type="spellStart"/>
      <w:r w:rsidRPr="00300A8F">
        <w:rPr>
          <w:rFonts w:ascii="Times New Roman" w:hAnsi="Times New Roman"/>
          <w:sz w:val="24"/>
          <w:szCs w:val="24"/>
        </w:rPr>
        <w:t>Katutis</w:t>
      </w:r>
      <w:proofErr w:type="spellEnd"/>
      <w:r w:rsidRPr="00300A8F">
        <w:rPr>
          <w:rFonts w:ascii="Times New Roman" w:hAnsi="Times New Roman"/>
          <w:sz w:val="24"/>
          <w:szCs w:val="24"/>
        </w:rPr>
        <w:t xml:space="preserve">, K.  and </w:t>
      </w:r>
      <w:proofErr w:type="spellStart"/>
      <w:r w:rsidRPr="00300A8F">
        <w:rPr>
          <w:rFonts w:ascii="Times New Roman" w:hAnsi="Times New Roman"/>
          <w:sz w:val="24"/>
          <w:szCs w:val="24"/>
        </w:rPr>
        <w:t>Rudzianskaitė</w:t>
      </w:r>
      <w:proofErr w:type="spellEnd"/>
      <w:r w:rsidRPr="00300A8F">
        <w:rPr>
          <w:rFonts w:ascii="Times New Roman" w:hAnsi="Times New Roman"/>
          <w:sz w:val="24"/>
          <w:szCs w:val="24"/>
        </w:rPr>
        <w:t xml:space="preserve">, A. 2015.  The fluctuation of calcium and magnesium concentrations in the floodwater in the </w:t>
      </w:r>
      <w:proofErr w:type="spellStart"/>
      <w:r w:rsidRPr="00300A8F">
        <w:rPr>
          <w:rFonts w:ascii="Times New Roman" w:hAnsi="Times New Roman"/>
          <w:sz w:val="24"/>
          <w:szCs w:val="24"/>
        </w:rPr>
        <w:t>Nemunas</w:t>
      </w:r>
      <w:proofErr w:type="spellEnd"/>
      <w:r w:rsidRPr="00300A8F">
        <w:rPr>
          <w:rFonts w:ascii="Times New Roman" w:hAnsi="Times New Roman"/>
          <w:sz w:val="24"/>
          <w:szCs w:val="24"/>
        </w:rPr>
        <w:t xml:space="preserve"> and </w:t>
      </w:r>
      <w:proofErr w:type="spellStart"/>
      <w:r w:rsidRPr="00300A8F">
        <w:rPr>
          <w:rFonts w:ascii="Times New Roman" w:hAnsi="Times New Roman"/>
          <w:sz w:val="24"/>
          <w:szCs w:val="24"/>
        </w:rPr>
        <w:t>Minija</w:t>
      </w:r>
      <w:proofErr w:type="spellEnd"/>
      <w:r w:rsidRPr="00300A8F">
        <w:rPr>
          <w:rFonts w:ascii="Times New Roman" w:hAnsi="Times New Roman"/>
          <w:sz w:val="24"/>
          <w:szCs w:val="24"/>
        </w:rPr>
        <w:t xml:space="preserve"> lowlands. </w:t>
      </w:r>
      <w:proofErr w:type="spellStart"/>
      <w:r w:rsidRPr="00300A8F">
        <w:rPr>
          <w:rFonts w:ascii="Times New Roman" w:hAnsi="Times New Roman"/>
          <w:i/>
          <w:sz w:val="24"/>
          <w:szCs w:val="24"/>
        </w:rPr>
        <w:t>Zemdirbyste</w:t>
      </w:r>
      <w:proofErr w:type="spellEnd"/>
      <w:r w:rsidRPr="00300A8F">
        <w:rPr>
          <w:rFonts w:ascii="Times New Roman" w:hAnsi="Times New Roman"/>
          <w:i/>
          <w:sz w:val="24"/>
          <w:szCs w:val="24"/>
        </w:rPr>
        <w:t xml:space="preserve"> Agri</w:t>
      </w:r>
      <w:r w:rsidRPr="00300A8F">
        <w:rPr>
          <w:rFonts w:ascii="Times New Roman" w:hAnsi="Times New Roman"/>
          <w:sz w:val="24"/>
          <w:szCs w:val="24"/>
        </w:rPr>
        <w:t>.102(3): 257-264.</w:t>
      </w:r>
    </w:p>
    <w:p w14:paraId="1D42DE48" w14:textId="77777777" w:rsidR="00300A8F" w:rsidRPr="00300A8F" w:rsidRDefault="00300A8F" w:rsidP="00611B84">
      <w:pPr>
        <w:spacing w:line="480" w:lineRule="auto"/>
        <w:ind w:left="720" w:hanging="720"/>
        <w:jc w:val="both"/>
        <w:rPr>
          <w:rFonts w:ascii="Times New Roman" w:hAnsi="Times New Roman" w:cs="Times New Roman"/>
          <w:sz w:val="24"/>
          <w:szCs w:val="24"/>
        </w:rPr>
      </w:pPr>
      <w:proofErr w:type="spellStart"/>
      <w:r w:rsidRPr="00300A8F">
        <w:rPr>
          <w:rFonts w:ascii="Times New Roman" w:hAnsi="Times New Roman" w:cs="Times New Roman"/>
          <w:sz w:val="24"/>
          <w:szCs w:val="24"/>
        </w:rPr>
        <w:t>Katutis</w:t>
      </w:r>
      <w:proofErr w:type="spellEnd"/>
      <w:r w:rsidRPr="00300A8F">
        <w:rPr>
          <w:rFonts w:ascii="Times New Roman" w:hAnsi="Times New Roman" w:cs="Times New Roman"/>
          <w:sz w:val="24"/>
          <w:szCs w:val="24"/>
        </w:rPr>
        <w:t xml:space="preserve">, K. 2007. The variation of the amount of impurities in water in the lower Nemunas during flooding. </w:t>
      </w:r>
      <w:proofErr w:type="spellStart"/>
      <w:r w:rsidRPr="00300A8F">
        <w:rPr>
          <w:rFonts w:ascii="Times New Roman" w:hAnsi="Times New Roman" w:cs="Times New Roman"/>
          <w:i/>
          <w:sz w:val="24"/>
          <w:szCs w:val="24"/>
        </w:rPr>
        <w:t>Zemdirbyste</w:t>
      </w:r>
      <w:proofErr w:type="spellEnd"/>
      <w:r w:rsidRPr="00300A8F">
        <w:rPr>
          <w:rFonts w:ascii="Times New Roman" w:hAnsi="Times New Roman" w:cs="Times New Roman"/>
          <w:i/>
          <w:sz w:val="24"/>
          <w:szCs w:val="24"/>
        </w:rPr>
        <w:t xml:space="preserve"> Agri</w:t>
      </w:r>
      <w:r w:rsidRPr="00300A8F">
        <w:rPr>
          <w:rFonts w:ascii="Times New Roman" w:hAnsi="Times New Roman" w:cs="Times New Roman"/>
          <w:sz w:val="24"/>
          <w:szCs w:val="24"/>
        </w:rPr>
        <w:t>. 94 (3): 113–128.</w:t>
      </w:r>
    </w:p>
    <w:p w14:paraId="29563877" w14:textId="77777777" w:rsidR="00300A8F" w:rsidRPr="00300A8F" w:rsidRDefault="00300A8F" w:rsidP="00975C31">
      <w:pPr>
        <w:spacing w:line="360" w:lineRule="auto"/>
        <w:ind w:left="720" w:hanging="720"/>
        <w:jc w:val="both"/>
        <w:rPr>
          <w:rFonts w:ascii="Times New Roman" w:hAnsi="Times New Roman"/>
          <w:sz w:val="24"/>
          <w:szCs w:val="24"/>
        </w:rPr>
      </w:pPr>
      <w:bookmarkStart w:id="8" w:name="_Hlk46349027"/>
      <w:r w:rsidRPr="00300A8F">
        <w:rPr>
          <w:rFonts w:ascii="Times New Roman" w:hAnsi="Times New Roman"/>
          <w:sz w:val="24"/>
          <w:szCs w:val="24"/>
        </w:rPr>
        <w:t xml:space="preserve">Katyal, J. C. and Singh, B. 1992. Availability of boron in the soil and its uptake by rice as influenced by soil moisture regimes. </w:t>
      </w:r>
      <w:r w:rsidRPr="00300A8F">
        <w:rPr>
          <w:rFonts w:ascii="Times New Roman" w:hAnsi="Times New Roman"/>
          <w:i/>
          <w:sz w:val="24"/>
          <w:szCs w:val="24"/>
        </w:rPr>
        <w:t>Oryza</w:t>
      </w:r>
      <w:r w:rsidRPr="00300A8F">
        <w:rPr>
          <w:rFonts w:ascii="Times New Roman" w:hAnsi="Times New Roman"/>
          <w:sz w:val="24"/>
          <w:szCs w:val="24"/>
        </w:rPr>
        <w:t>. 29: 384–387.</w:t>
      </w:r>
    </w:p>
    <w:bookmarkEnd w:id="8"/>
    <w:p w14:paraId="6BC0EB92" w14:textId="77777777" w:rsidR="00300A8F" w:rsidRPr="00300A8F" w:rsidRDefault="00300A8F" w:rsidP="00611B84">
      <w:pPr>
        <w:spacing w:line="480" w:lineRule="auto"/>
        <w:ind w:left="720" w:hanging="720"/>
        <w:jc w:val="both"/>
        <w:rPr>
          <w:rFonts w:ascii="Times New Roman" w:hAnsi="Times New Roman" w:cs="Times New Roman"/>
          <w:sz w:val="24"/>
          <w:szCs w:val="24"/>
        </w:rPr>
      </w:pPr>
      <w:r w:rsidRPr="00300A8F">
        <w:rPr>
          <w:rFonts w:ascii="Times New Roman" w:hAnsi="Times New Roman" w:cs="Times New Roman"/>
          <w:sz w:val="24"/>
          <w:szCs w:val="24"/>
        </w:rPr>
        <w:t xml:space="preserve">KSPB [Kerala State Planning Board] 2013. </w:t>
      </w:r>
      <w:r w:rsidRPr="00300A8F">
        <w:rPr>
          <w:rFonts w:ascii="Times New Roman" w:hAnsi="Times New Roman" w:cs="Times New Roman"/>
          <w:i/>
          <w:sz w:val="24"/>
          <w:szCs w:val="24"/>
        </w:rPr>
        <w:t>Soil Fertility Assessment and Information Management for Enhancing Crop Productivity in Kerala</w:t>
      </w:r>
      <w:r w:rsidRPr="00300A8F">
        <w:rPr>
          <w:rFonts w:ascii="Times New Roman" w:hAnsi="Times New Roman" w:cs="Times New Roman"/>
          <w:sz w:val="24"/>
          <w:szCs w:val="24"/>
        </w:rPr>
        <w:t>. Kerala State Planning Board, Thiruvananthapuram p.514.</w:t>
      </w:r>
    </w:p>
    <w:p w14:paraId="631A1EAC" w14:textId="77777777" w:rsidR="00300A8F" w:rsidRPr="00300A8F" w:rsidRDefault="00300A8F" w:rsidP="00300A8F">
      <w:pPr>
        <w:spacing w:after="0" w:line="480" w:lineRule="auto"/>
        <w:ind w:left="720" w:hanging="720"/>
        <w:jc w:val="both"/>
        <w:rPr>
          <w:rFonts w:ascii="Times New Roman" w:hAnsi="Times New Roman"/>
          <w:sz w:val="24"/>
          <w:szCs w:val="24"/>
        </w:rPr>
      </w:pPr>
      <w:r w:rsidRPr="00300A8F">
        <w:rPr>
          <w:rFonts w:ascii="Times New Roman" w:hAnsi="Times New Roman"/>
          <w:sz w:val="24"/>
          <w:szCs w:val="24"/>
        </w:rPr>
        <w:t xml:space="preserve">Landslide induced changes of soil physic chemical properties in </w:t>
      </w:r>
      <w:proofErr w:type="spellStart"/>
      <w:r w:rsidRPr="00300A8F">
        <w:rPr>
          <w:rFonts w:ascii="Times New Roman" w:hAnsi="Times New Roman"/>
          <w:sz w:val="24"/>
          <w:szCs w:val="24"/>
        </w:rPr>
        <w:t>Xitou</w:t>
      </w:r>
      <w:proofErr w:type="spellEnd"/>
      <w:r w:rsidRPr="00300A8F">
        <w:rPr>
          <w:rFonts w:ascii="Times New Roman" w:hAnsi="Times New Roman"/>
          <w:sz w:val="24"/>
          <w:szCs w:val="24"/>
        </w:rPr>
        <w:t xml:space="preserve">, Central Taiwan. </w:t>
      </w:r>
      <w:proofErr w:type="spellStart"/>
      <w:r w:rsidRPr="00300A8F">
        <w:rPr>
          <w:rFonts w:ascii="Times New Roman" w:hAnsi="Times New Roman"/>
          <w:i/>
          <w:sz w:val="24"/>
          <w:szCs w:val="24"/>
        </w:rPr>
        <w:t>Geoderma</w:t>
      </w:r>
      <w:proofErr w:type="spellEnd"/>
      <w:r w:rsidRPr="00300A8F">
        <w:rPr>
          <w:rFonts w:ascii="Times New Roman" w:hAnsi="Times New Roman"/>
          <w:sz w:val="24"/>
          <w:szCs w:val="24"/>
        </w:rPr>
        <w:t>. 265: 187-195</w:t>
      </w:r>
    </w:p>
    <w:p w14:paraId="7C179634" w14:textId="77777777" w:rsidR="00300A8F" w:rsidRPr="00300A8F" w:rsidRDefault="00300A8F" w:rsidP="00975C31">
      <w:pPr>
        <w:spacing w:line="360" w:lineRule="auto"/>
        <w:ind w:left="720" w:hanging="720"/>
        <w:jc w:val="both"/>
        <w:rPr>
          <w:rFonts w:ascii="Times New Roman" w:hAnsi="Times New Roman"/>
          <w:sz w:val="24"/>
          <w:szCs w:val="24"/>
          <w:shd w:val="clear" w:color="auto" w:fill="FFFFFF"/>
        </w:rPr>
      </w:pPr>
      <w:r w:rsidRPr="00300A8F">
        <w:rPr>
          <w:rFonts w:ascii="Times New Roman" w:hAnsi="Times New Roman"/>
          <w:sz w:val="24"/>
          <w:szCs w:val="24"/>
          <w:shd w:val="clear" w:color="auto" w:fill="FFFFFF"/>
        </w:rPr>
        <w:t>Mitsch, W.J. and Wu, X., 1995. </w:t>
      </w:r>
      <w:r w:rsidRPr="00300A8F">
        <w:rPr>
          <w:rFonts w:ascii="Times New Roman" w:hAnsi="Times New Roman"/>
          <w:i/>
          <w:iCs/>
          <w:sz w:val="24"/>
          <w:szCs w:val="24"/>
          <w:shd w:val="clear" w:color="auto" w:fill="FFFFFF"/>
        </w:rPr>
        <w:t>Wetlands and global change</w:t>
      </w:r>
      <w:r w:rsidRPr="00300A8F">
        <w:rPr>
          <w:rFonts w:ascii="Times New Roman" w:hAnsi="Times New Roman"/>
          <w:sz w:val="24"/>
          <w:szCs w:val="24"/>
          <w:shd w:val="clear" w:color="auto" w:fill="FFFFFF"/>
        </w:rPr>
        <w:t>. CRC Lewis Publishers, Boca Raton,  205-230p.</w:t>
      </w:r>
    </w:p>
    <w:p w14:paraId="2FEA5469" w14:textId="77777777" w:rsidR="00300A8F" w:rsidRPr="00300A8F" w:rsidRDefault="00300A8F" w:rsidP="00975C31">
      <w:pPr>
        <w:spacing w:line="360" w:lineRule="auto"/>
        <w:ind w:left="720" w:hanging="720"/>
        <w:jc w:val="both"/>
        <w:rPr>
          <w:rFonts w:ascii="Times New Roman" w:hAnsi="Times New Roman"/>
          <w:sz w:val="24"/>
          <w:szCs w:val="24"/>
        </w:rPr>
      </w:pPr>
      <w:r w:rsidRPr="00300A8F">
        <w:rPr>
          <w:rFonts w:ascii="Times New Roman" w:hAnsi="Times New Roman"/>
          <w:sz w:val="24"/>
          <w:szCs w:val="24"/>
        </w:rPr>
        <w:t xml:space="preserve">Mohanty, M, Sinha, N. K., Hati, K. M., </w:t>
      </w:r>
      <w:proofErr w:type="spellStart"/>
      <w:r w:rsidRPr="00300A8F">
        <w:rPr>
          <w:rFonts w:ascii="Times New Roman" w:hAnsi="Times New Roman"/>
          <w:sz w:val="24"/>
          <w:szCs w:val="24"/>
        </w:rPr>
        <w:t>Painuli</w:t>
      </w:r>
      <w:proofErr w:type="spellEnd"/>
      <w:r w:rsidRPr="00300A8F">
        <w:rPr>
          <w:rFonts w:ascii="Times New Roman" w:hAnsi="Times New Roman"/>
          <w:sz w:val="24"/>
          <w:szCs w:val="24"/>
        </w:rPr>
        <w:t xml:space="preserve">, D. K., and Chaudhary, R. S. 2002. Stability of soil aggregates under different vegetation covers in a </w:t>
      </w:r>
      <w:proofErr w:type="spellStart"/>
      <w:r w:rsidRPr="00300A8F">
        <w:rPr>
          <w:rFonts w:ascii="Times New Roman" w:hAnsi="Times New Roman"/>
          <w:sz w:val="24"/>
          <w:szCs w:val="24"/>
        </w:rPr>
        <w:t>vertisol</w:t>
      </w:r>
      <w:proofErr w:type="spellEnd"/>
      <w:r w:rsidRPr="00300A8F">
        <w:rPr>
          <w:rFonts w:ascii="Times New Roman" w:hAnsi="Times New Roman"/>
          <w:sz w:val="24"/>
          <w:szCs w:val="24"/>
        </w:rPr>
        <w:t xml:space="preserve"> of Central India. </w:t>
      </w:r>
      <w:r w:rsidRPr="00300A8F">
        <w:rPr>
          <w:rFonts w:ascii="Times New Roman" w:hAnsi="Times New Roman"/>
          <w:i/>
          <w:sz w:val="24"/>
          <w:szCs w:val="24"/>
        </w:rPr>
        <w:t xml:space="preserve">J </w:t>
      </w:r>
      <w:proofErr w:type="spellStart"/>
      <w:r w:rsidRPr="00300A8F">
        <w:rPr>
          <w:rFonts w:ascii="Times New Roman" w:hAnsi="Times New Roman"/>
          <w:i/>
          <w:sz w:val="24"/>
          <w:szCs w:val="24"/>
        </w:rPr>
        <w:t>Agrl</w:t>
      </w:r>
      <w:proofErr w:type="spellEnd"/>
      <w:r w:rsidRPr="00300A8F">
        <w:rPr>
          <w:rFonts w:ascii="Times New Roman" w:hAnsi="Times New Roman"/>
          <w:i/>
          <w:sz w:val="24"/>
          <w:szCs w:val="24"/>
        </w:rPr>
        <w:t xml:space="preserve">. </w:t>
      </w:r>
      <w:proofErr w:type="spellStart"/>
      <w:r w:rsidRPr="00300A8F">
        <w:rPr>
          <w:rFonts w:ascii="Times New Roman" w:hAnsi="Times New Roman"/>
          <w:i/>
          <w:sz w:val="24"/>
          <w:szCs w:val="24"/>
        </w:rPr>
        <w:t>Phy</w:t>
      </w:r>
      <w:proofErr w:type="spellEnd"/>
      <w:r w:rsidRPr="00300A8F">
        <w:rPr>
          <w:rFonts w:ascii="Times New Roman" w:hAnsi="Times New Roman"/>
          <w:sz w:val="24"/>
          <w:szCs w:val="24"/>
        </w:rPr>
        <w:t>. 12(2): 133-142.</w:t>
      </w:r>
    </w:p>
    <w:p w14:paraId="4BB4FC03" w14:textId="77777777" w:rsidR="00300A8F" w:rsidRPr="00300A8F" w:rsidRDefault="00300A8F" w:rsidP="00975C31">
      <w:pPr>
        <w:spacing w:line="360" w:lineRule="auto"/>
        <w:ind w:left="720" w:hanging="720"/>
        <w:jc w:val="both"/>
        <w:rPr>
          <w:rFonts w:ascii="Times New Roman" w:hAnsi="Times New Roman"/>
          <w:sz w:val="24"/>
          <w:szCs w:val="24"/>
        </w:rPr>
      </w:pPr>
      <w:bookmarkStart w:id="9" w:name="_Hlk53135826"/>
      <w:r w:rsidRPr="00300A8F">
        <w:rPr>
          <w:rFonts w:ascii="Times New Roman" w:hAnsi="Times New Roman"/>
          <w:sz w:val="24"/>
          <w:szCs w:val="24"/>
        </w:rPr>
        <w:t xml:space="preserve">Phogat, V. K., Tomar, V. S., and Dahiya, R. 2015. Soil physical properties. In: Soil Science: An Introduction. (Eds.)Rattan, R. K., Katyal, J. C., Dwivedi, B. S., Sarkar, A. K., Tapan, B., Tarafdar J.C., and Kukal S.S. </w:t>
      </w:r>
      <w:r w:rsidRPr="00300A8F">
        <w:rPr>
          <w:rFonts w:ascii="Times New Roman" w:hAnsi="Times New Roman"/>
          <w:i/>
          <w:iCs/>
          <w:sz w:val="24"/>
          <w:szCs w:val="24"/>
        </w:rPr>
        <w:t>Indian Soc. Soil Sci</w:t>
      </w:r>
      <w:r w:rsidRPr="00300A8F">
        <w:rPr>
          <w:rFonts w:ascii="Times New Roman" w:hAnsi="Times New Roman"/>
          <w:sz w:val="24"/>
          <w:szCs w:val="24"/>
        </w:rPr>
        <w:t>. Pp. 135-141.</w:t>
      </w:r>
    </w:p>
    <w:bookmarkEnd w:id="9"/>
    <w:p w14:paraId="7934DDF2" w14:textId="77777777" w:rsidR="00300A8F" w:rsidRPr="00300A8F" w:rsidRDefault="00300A8F" w:rsidP="00975C31">
      <w:pPr>
        <w:spacing w:line="360" w:lineRule="auto"/>
        <w:ind w:left="720" w:hanging="720"/>
        <w:jc w:val="both"/>
        <w:rPr>
          <w:rFonts w:ascii="Times New Roman" w:hAnsi="Times New Roman"/>
          <w:sz w:val="24"/>
          <w:szCs w:val="24"/>
        </w:rPr>
      </w:pPr>
      <w:proofErr w:type="spellStart"/>
      <w:r w:rsidRPr="00300A8F">
        <w:rPr>
          <w:rFonts w:ascii="Times New Roman" w:hAnsi="Times New Roman"/>
          <w:sz w:val="24"/>
          <w:szCs w:val="24"/>
        </w:rPr>
        <w:lastRenderedPageBreak/>
        <w:t>Ponnamperuma</w:t>
      </w:r>
      <w:proofErr w:type="spellEnd"/>
      <w:r w:rsidRPr="00300A8F">
        <w:rPr>
          <w:rFonts w:ascii="Times New Roman" w:hAnsi="Times New Roman"/>
          <w:sz w:val="24"/>
          <w:szCs w:val="24"/>
        </w:rPr>
        <w:t>, F. N. 1977. Physicochemical properties of submerged soils in relation to fertility. IRRI Research Paper Series No. 5. 32 p.</w:t>
      </w:r>
    </w:p>
    <w:p w14:paraId="7C338B77" w14:textId="77777777" w:rsidR="00300A8F" w:rsidRPr="00300A8F" w:rsidRDefault="00300A8F" w:rsidP="00975C31">
      <w:pPr>
        <w:spacing w:line="360" w:lineRule="auto"/>
        <w:ind w:left="720" w:hanging="720"/>
        <w:jc w:val="both"/>
        <w:rPr>
          <w:rFonts w:ascii="Times New Roman" w:hAnsi="Times New Roman"/>
          <w:bCs/>
          <w:sz w:val="24"/>
          <w:szCs w:val="24"/>
        </w:rPr>
      </w:pPr>
      <w:proofErr w:type="spellStart"/>
      <w:r w:rsidRPr="00300A8F">
        <w:rPr>
          <w:rFonts w:ascii="Times New Roman" w:hAnsi="Times New Roman"/>
          <w:bCs/>
          <w:sz w:val="24"/>
          <w:szCs w:val="24"/>
        </w:rPr>
        <w:t>Sardans</w:t>
      </w:r>
      <w:proofErr w:type="spellEnd"/>
      <w:r w:rsidRPr="00300A8F">
        <w:rPr>
          <w:rFonts w:ascii="Times New Roman" w:hAnsi="Times New Roman"/>
          <w:bCs/>
          <w:sz w:val="24"/>
          <w:szCs w:val="24"/>
        </w:rPr>
        <w:t xml:space="preserve">, J. and </w:t>
      </w:r>
      <w:proofErr w:type="spellStart"/>
      <w:r w:rsidRPr="00300A8F">
        <w:rPr>
          <w:rFonts w:ascii="Times New Roman" w:hAnsi="Times New Roman"/>
          <w:bCs/>
          <w:sz w:val="24"/>
          <w:szCs w:val="24"/>
        </w:rPr>
        <w:t>Peñuelas</w:t>
      </w:r>
      <w:proofErr w:type="spellEnd"/>
      <w:r w:rsidRPr="00300A8F">
        <w:rPr>
          <w:rFonts w:ascii="Times New Roman" w:hAnsi="Times New Roman"/>
          <w:bCs/>
          <w:sz w:val="24"/>
          <w:szCs w:val="24"/>
        </w:rPr>
        <w:t xml:space="preserve">, J. 2005. Drought decreases </w:t>
      </w:r>
      <w:proofErr w:type="spellStart"/>
      <w:r w:rsidRPr="00300A8F">
        <w:rPr>
          <w:rFonts w:ascii="Times New Roman" w:hAnsi="Times New Roman"/>
          <w:bCs/>
          <w:sz w:val="24"/>
          <w:szCs w:val="24"/>
        </w:rPr>
        <w:t>soilenzyme</w:t>
      </w:r>
      <w:proofErr w:type="spellEnd"/>
      <w:r w:rsidRPr="00300A8F">
        <w:rPr>
          <w:rFonts w:ascii="Times New Roman" w:hAnsi="Times New Roman"/>
          <w:bCs/>
          <w:sz w:val="24"/>
          <w:szCs w:val="24"/>
        </w:rPr>
        <w:t xml:space="preserve"> activity in a Mediterranean </w:t>
      </w:r>
      <w:r w:rsidRPr="00300A8F">
        <w:rPr>
          <w:rFonts w:ascii="Times New Roman" w:hAnsi="Times New Roman"/>
          <w:bCs/>
          <w:i/>
          <w:iCs/>
          <w:sz w:val="24"/>
          <w:szCs w:val="24"/>
        </w:rPr>
        <w:t xml:space="preserve">Quercus ilex </w:t>
      </w:r>
      <w:r w:rsidRPr="00300A8F">
        <w:rPr>
          <w:rFonts w:ascii="Times New Roman" w:hAnsi="Times New Roman"/>
          <w:bCs/>
          <w:sz w:val="24"/>
          <w:szCs w:val="24"/>
        </w:rPr>
        <w:t xml:space="preserve">L. </w:t>
      </w:r>
      <w:proofErr w:type="spellStart"/>
      <w:r w:rsidRPr="00300A8F">
        <w:rPr>
          <w:rFonts w:ascii="Times New Roman" w:hAnsi="Times New Roman"/>
          <w:bCs/>
          <w:sz w:val="24"/>
          <w:szCs w:val="24"/>
        </w:rPr>
        <w:t>forest.</w:t>
      </w:r>
      <w:r w:rsidRPr="00300A8F">
        <w:rPr>
          <w:rFonts w:ascii="Times New Roman" w:hAnsi="Times New Roman"/>
          <w:bCs/>
          <w:i/>
          <w:sz w:val="24"/>
          <w:szCs w:val="24"/>
        </w:rPr>
        <w:t>Soil</w:t>
      </w:r>
      <w:proofErr w:type="spellEnd"/>
      <w:r w:rsidRPr="00300A8F">
        <w:rPr>
          <w:rFonts w:ascii="Times New Roman" w:hAnsi="Times New Roman"/>
          <w:bCs/>
          <w:i/>
          <w:sz w:val="24"/>
          <w:szCs w:val="24"/>
        </w:rPr>
        <w:t xml:space="preserve"> Biol. </w:t>
      </w:r>
      <w:proofErr w:type="spellStart"/>
      <w:r w:rsidRPr="00300A8F">
        <w:rPr>
          <w:rFonts w:ascii="Times New Roman" w:hAnsi="Times New Roman"/>
          <w:bCs/>
          <w:i/>
          <w:sz w:val="24"/>
          <w:szCs w:val="24"/>
        </w:rPr>
        <w:t>Biochem</w:t>
      </w:r>
      <w:proofErr w:type="spellEnd"/>
      <w:r w:rsidRPr="00300A8F">
        <w:rPr>
          <w:rFonts w:ascii="Times New Roman" w:hAnsi="Times New Roman"/>
          <w:bCs/>
          <w:sz w:val="24"/>
          <w:szCs w:val="24"/>
        </w:rPr>
        <w:t>. 37(3): 455-467.</w:t>
      </w:r>
    </w:p>
    <w:p w14:paraId="607A4C7D" w14:textId="77777777" w:rsidR="00300A8F" w:rsidRPr="00300A8F" w:rsidRDefault="00300A8F" w:rsidP="00975C31">
      <w:pPr>
        <w:spacing w:line="360" w:lineRule="auto"/>
        <w:ind w:left="720" w:hanging="720"/>
        <w:jc w:val="both"/>
        <w:rPr>
          <w:rFonts w:ascii="Times New Roman" w:hAnsi="Times New Roman"/>
          <w:bCs/>
          <w:sz w:val="24"/>
          <w:szCs w:val="24"/>
        </w:rPr>
      </w:pPr>
      <w:r w:rsidRPr="00300A8F">
        <w:rPr>
          <w:rFonts w:ascii="Times New Roman" w:hAnsi="Times New Roman"/>
          <w:sz w:val="24"/>
          <w:szCs w:val="24"/>
          <w:shd w:val="clear" w:color="auto" w:fill="FFFFFF"/>
        </w:rPr>
        <w:t>Shrestha, R. P. 2006. Relating soil electrical conductivity to remote sensing and other soil properties for assessing soil salinity in northeast Thailand. </w:t>
      </w:r>
      <w:r w:rsidRPr="00300A8F">
        <w:rPr>
          <w:rFonts w:ascii="Times New Roman" w:hAnsi="Times New Roman"/>
          <w:i/>
          <w:iCs/>
          <w:sz w:val="24"/>
          <w:szCs w:val="24"/>
          <w:shd w:val="clear" w:color="auto" w:fill="FFFFFF"/>
        </w:rPr>
        <w:t>Land degradation dev.</w:t>
      </w:r>
      <w:r w:rsidRPr="00300A8F">
        <w:rPr>
          <w:rFonts w:ascii="Times New Roman" w:hAnsi="Times New Roman"/>
          <w:sz w:val="24"/>
          <w:szCs w:val="24"/>
          <w:shd w:val="clear" w:color="auto" w:fill="FFFFFF"/>
        </w:rPr>
        <w:t> </w:t>
      </w:r>
      <w:r w:rsidRPr="00300A8F">
        <w:rPr>
          <w:rFonts w:ascii="Times New Roman" w:hAnsi="Times New Roman"/>
          <w:iCs/>
          <w:sz w:val="24"/>
          <w:szCs w:val="24"/>
          <w:shd w:val="clear" w:color="auto" w:fill="FFFFFF"/>
        </w:rPr>
        <w:t>17</w:t>
      </w:r>
      <w:r w:rsidRPr="00300A8F">
        <w:rPr>
          <w:rFonts w:ascii="Times New Roman" w:hAnsi="Times New Roman"/>
          <w:sz w:val="24"/>
          <w:szCs w:val="24"/>
          <w:shd w:val="clear" w:color="auto" w:fill="FFFFFF"/>
        </w:rPr>
        <w:t>(6): 677- 689.</w:t>
      </w:r>
    </w:p>
    <w:p w14:paraId="4ED545C7" w14:textId="77777777" w:rsidR="00300A8F" w:rsidRPr="00300A8F" w:rsidRDefault="00300A8F" w:rsidP="00975C31">
      <w:pPr>
        <w:spacing w:line="360" w:lineRule="auto"/>
        <w:ind w:left="720" w:hanging="720"/>
        <w:jc w:val="both"/>
        <w:rPr>
          <w:rFonts w:ascii="Times New Roman" w:hAnsi="Times New Roman"/>
          <w:sz w:val="24"/>
          <w:szCs w:val="24"/>
        </w:rPr>
      </w:pPr>
      <w:r w:rsidRPr="00300A8F">
        <w:rPr>
          <w:rFonts w:ascii="Times New Roman" w:hAnsi="Times New Roman"/>
          <w:sz w:val="24"/>
          <w:szCs w:val="24"/>
        </w:rPr>
        <w:t xml:space="preserve">Singh, K.P., Mandal, T.N., and Tripathi, S.K. 2001. Patterns of restoration of soil physicochemical properties and microbial biomass in different landslide sites in </w:t>
      </w:r>
      <w:proofErr w:type="spellStart"/>
      <w:r w:rsidRPr="00300A8F">
        <w:rPr>
          <w:rFonts w:ascii="Times New Roman" w:hAnsi="Times New Roman"/>
          <w:sz w:val="24"/>
          <w:szCs w:val="24"/>
        </w:rPr>
        <w:t>sal</w:t>
      </w:r>
      <w:proofErr w:type="spellEnd"/>
      <w:r w:rsidRPr="00300A8F">
        <w:rPr>
          <w:rFonts w:ascii="Times New Roman" w:hAnsi="Times New Roman"/>
          <w:sz w:val="24"/>
          <w:szCs w:val="24"/>
        </w:rPr>
        <w:t xml:space="preserve"> forest ecosystem of Nepal Himalaya.  </w:t>
      </w:r>
      <w:r w:rsidRPr="00300A8F">
        <w:rPr>
          <w:rFonts w:ascii="Times New Roman" w:hAnsi="Times New Roman"/>
          <w:i/>
          <w:sz w:val="24"/>
          <w:szCs w:val="24"/>
        </w:rPr>
        <w:t xml:space="preserve">Ecol.  </w:t>
      </w:r>
      <w:proofErr w:type="spellStart"/>
      <w:r w:rsidRPr="00300A8F">
        <w:rPr>
          <w:rFonts w:ascii="Times New Roman" w:hAnsi="Times New Roman"/>
          <w:i/>
          <w:sz w:val="24"/>
          <w:szCs w:val="24"/>
        </w:rPr>
        <w:t>Engg</w:t>
      </w:r>
      <w:proofErr w:type="spellEnd"/>
      <w:r w:rsidRPr="00300A8F">
        <w:rPr>
          <w:rFonts w:ascii="Times New Roman" w:hAnsi="Times New Roman"/>
          <w:sz w:val="24"/>
          <w:szCs w:val="24"/>
        </w:rPr>
        <w:t xml:space="preserve">. 17:385-401. </w:t>
      </w:r>
    </w:p>
    <w:p w14:paraId="66E2D27C" w14:textId="77777777" w:rsidR="00300A8F" w:rsidRPr="00300A8F" w:rsidRDefault="00300A8F" w:rsidP="00611B84">
      <w:pPr>
        <w:spacing w:line="360" w:lineRule="auto"/>
        <w:ind w:left="720" w:hanging="720"/>
        <w:jc w:val="both"/>
        <w:rPr>
          <w:rFonts w:ascii="Times New Roman" w:hAnsi="Times New Roman"/>
          <w:sz w:val="24"/>
          <w:szCs w:val="24"/>
        </w:rPr>
      </w:pPr>
      <w:bookmarkStart w:id="10" w:name="_Hlk53135874"/>
      <w:r w:rsidRPr="00300A8F">
        <w:rPr>
          <w:rFonts w:ascii="Times New Roman" w:hAnsi="Times New Roman"/>
          <w:sz w:val="24"/>
          <w:szCs w:val="24"/>
        </w:rPr>
        <w:t xml:space="preserve">Tabatabai, M. A. and Y. M. Chae. 1991. Mineralization of </w:t>
      </w:r>
      <w:proofErr w:type="spellStart"/>
      <w:r w:rsidRPr="00300A8F">
        <w:rPr>
          <w:rFonts w:ascii="Times New Roman" w:hAnsi="Times New Roman"/>
          <w:sz w:val="24"/>
          <w:szCs w:val="24"/>
        </w:rPr>
        <w:t>sulfur</w:t>
      </w:r>
      <w:proofErr w:type="spellEnd"/>
      <w:r w:rsidRPr="00300A8F">
        <w:rPr>
          <w:rFonts w:ascii="Times New Roman" w:hAnsi="Times New Roman"/>
          <w:sz w:val="24"/>
          <w:szCs w:val="24"/>
        </w:rPr>
        <w:t xml:space="preserve"> in soils amended with organic wastes. </w:t>
      </w:r>
      <w:r w:rsidRPr="00300A8F">
        <w:rPr>
          <w:rFonts w:ascii="Times New Roman" w:hAnsi="Times New Roman"/>
          <w:i/>
          <w:sz w:val="24"/>
          <w:szCs w:val="24"/>
        </w:rPr>
        <w:t>J. Environ. Qual</w:t>
      </w:r>
      <w:r w:rsidRPr="00300A8F">
        <w:rPr>
          <w:rFonts w:ascii="Times New Roman" w:hAnsi="Times New Roman"/>
          <w:sz w:val="24"/>
          <w:szCs w:val="24"/>
        </w:rPr>
        <w:t>. 20:684-690.</w:t>
      </w:r>
    </w:p>
    <w:p w14:paraId="26B1CE2B" w14:textId="77777777" w:rsidR="00300A8F" w:rsidRPr="00300A8F" w:rsidRDefault="00300A8F" w:rsidP="00611B84">
      <w:pPr>
        <w:spacing w:line="360" w:lineRule="auto"/>
        <w:ind w:left="720" w:hanging="720"/>
        <w:jc w:val="both"/>
        <w:rPr>
          <w:rFonts w:ascii="Times New Roman" w:hAnsi="Times New Roman"/>
          <w:sz w:val="24"/>
          <w:szCs w:val="24"/>
        </w:rPr>
      </w:pPr>
      <w:bookmarkStart w:id="11" w:name="_Hlk46348854"/>
      <w:bookmarkEnd w:id="10"/>
      <w:r w:rsidRPr="00300A8F">
        <w:rPr>
          <w:rFonts w:ascii="Times New Roman" w:hAnsi="Times New Roman"/>
          <w:sz w:val="24"/>
          <w:szCs w:val="24"/>
        </w:rPr>
        <w:t xml:space="preserve">Tsheboeng, G., </w:t>
      </w:r>
      <w:proofErr w:type="spellStart"/>
      <w:r w:rsidRPr="00300A8F">
        <w:rPr>
          <w:rFonts w:ascii="Times New Roman" w:hAnsi="Times New Roman"/>
          <w:sz w:val="24"/>
          <w:szCs w:val="24"/>
        </w:rPr>
        <w:t>Bonyongo</w:t>
      </w:r>
      <w:proofErr w:type="spellEnd"/>
      <w:r w:rsidRPr="00300A8F">
        <w:rPr>
          <w:rFonts w:ascii="Times New Roman" w:hAnsi="Times New Roman"/>
          <w:sz w:val="24"/>
          <w:szCs w:val="24"/>
        </w:rPr>
        <w:t xml:space="preserve">, M., and Murray-Hudson, M. 2014. Flood variation and soil nutrient content in floodplain vegetation communities in the Okavango Delta. </w:t>
      </w:r>
      <w:r w:rsidRPr="00300A8F">
        <w:rPr>
          <w:rFonts w:ascii="Times New Roman" w:hAnsi="Times New Roman"/>
          <w:i/>
          <w:sz w:val="24"/>
          <w:szCs w:val="24"/>
        </w:rPr>
        <w:t>South African J. Sci.</w:t>
      </w:r>
      <w:r w:rsidRPr="00300A8F">
        <w:rPr>
          <w:rFonts w:ascii="Times New Roman" w:hAnsi="Times New Roman"/>
          <w:sz w:val="24"/>
          <w:szCs w:val="24"/>
        </w:rPr>
        <w:t>110(3/4):1-5.</w:t>
      </w:r>
    </w:p>
    <w:bookmarkEnd w:id="11"/>
    <w:p w14:paraId="0E3F0969" w14:textId="77777777" w:rsidR="00300A8F" w:rsidRPr="00300A8F" w:rsidRDefault="00300A8F" w:rsidP="00611B84">
      <w:pPr>
        <w:spacing w:line="360" w:lineRule="auto"/>
        <w:ind w:left="720" w:hanging="720"/>
        <w:jc w:val="both"/>
        <w:rPr>
          <w:rFonts w:ascii="Times New Roman" w:hAnsi="Times New Roman"/>
          <w:sz w:val="24"/>
          <w:szCs w:val="24"/>
        </w:rPr>
      </w:pPr>
      <w:r w:rsidRPr="00300A8F">
        <w:rPr>
          <w:rFonts w:ascii="Times New Roman" w:hAnsi="Times New Roman"/>
          <w:sz w:val="24"/>
          <w:szCs w:val="24"/>
        </w:rPr>
        <w:t xml:space="preserve">Valizadeh, F.F., Reyhani, T.A., Najafi, N., and </w:t>
      </w:r>
      <w:proofErr w:type="spellStart"/>
      <w:r w:rsidRPr="00300A8F">
        <w:rPr>
          <w:rFonts w:ascii="Times New Roman" w:hAnsi="Times New Roman"/>
          <w:sz w:val="24"/>
          <w:szCs w:val="24"/>
        </w:rPr>
        <w:t>Oustan</w:t>
      </w:r>
      <w:proofErr w:type="spellEnd"/>
      <w:r w:rsidRPr="00300A8F">
        <w:rPr>
          <w:rFonts w:ascii="Times New Roman" w:hAnsi="Times New Roman"/>
          <w:sz w:val="24"/>
          <w:szCs w:val="24"/>
        </w:rPr>
        <w:t>, S. 2012. Effects of combined application of Cd and Zn on the growth characteristics of rice plant and zinc, cadmium, iron and manganese concentration in soil under flooded vs. non flooded conditions. </w:t>
      </w:r>
      <w:r w:rsidRPr="00300A8F">
        <w:rPr>
          <w:rFonts w:ascii="Times New Roman" w:hAnsi="Times New Roman"/>
          <w:i/>
          <w:iCs/>
          <w:sz w:val="24"/>
          <w:szCs w:val="24"/>
        </w:rPr>
        <w:t>J. Soil Water.</w:t>
      </w:r>
      <w:r w:rsidRPr="00300A8F">
        <w:rPr>
          <w:rFonts w:ascii="Times New Roman" w:hAnsi="Times New Roman"/>
          <w:sz w:val="24"/>
          <w:szCs w:val="24"/>
        </w:rPr>
        <w:t>  </w:t>
      </w:r>
      <w:r w:rsidRPr="00300A8F">
        <w:rPr>
          <w:rFonts w:ascii="Times New Roman" w:hAnsi="Times New Roman"/>
          <w:iCs/>
          <w:sz w:val="24"/>
          <w:szCs w:val="24"/>
        </w:rPr>
        <w:t>43:</w:t>
      </w:r>
      <w:r w:rsidRPr="00300A8F">
        <w:rPr>
          <w:rFonts w:ascii="Times New Roman" w:hAnsi="Times New Roman"/>
          <w:sz w:val="24"/>
          <w:szCs w:val="24"/>
        </w:rPr>
        <w:t xml:space="preserve"> 195–205.</w:t>
      </w:r>
    </w:p>
    <w:p w14:paraId="2358C70E" w14:textId="77777777" w:rsidR="00300A8F" w:rsidRPr="00300A8F" w:rsidRDefault="00300A8F" w:rsidP="00611B84">
      <w:pPr>
        <w:spacing w:line="360" w:lineRule="auto"/>
        <w:ind w:left="720" w:hanging="720"/>
        <w:jc w:val="both"/>
        <w:rPr>
          <w:rFonts w:ascii="Times New Roman" w:hAnsi="Times New Roman"/>
          <w:sz w:val="24"/>
          <w:szCs w:val="24"/>
        </w:rPr>
      </w:pPr>
      <w:bookmarkStart w:id="12" w:name="_Hlk99299718"/>
      <w:r w:rsidRPr="00300A8F">
        <w:rPr>
          <w:rFonts w:ascii="Times New Roman" w:hAnsi="Times New Roman"/>
          <w:sz w:val="24"/>
          <w:szCs w:val="24"/>
        </w:rPr>
        <w:t xml:space="preserve">Wilcke, W., Valladarez, H., Stoyan, R., Yasin, S., Valarezo, C., and Zech, W. 2003. Soil properties on a </w:t>
      </w:r>
      <w:proofErr w:type="spellStart"/>
      <w:r w:rsidRPr="00300A8F">
        <w:rPr>
          <w:rFonts w:ascii="Times New Roman" w:hAnsi="Times New Roman"/>
          <w:sz w:val="24"/>
          <w:szCs w:val="24"/>
        </w:rPr>
        <w:t>chronosequence</w:t>
      </w:r>
      <w:proofErr w:type="spellEnd"/>
      <w:r w:rsidRPr="00300A8F">
        <w:rPr>
          <w:rFonts w:ascii="Times New Roman" w:hAnsi="Times New Roman"/>
          <w:sz w:val="24"/>
          <w:szCs w:val="24"/>
        </w:rPr>
        <w:t xml:space="preserve"> of landslides in montane rainforest, </w:t>
      </w:r>
      <w:proofErr w:type="spellStart"/>
      <w:r w:rsidRPr="00300A8F">
        <w:rPr>
          <w:rFonts w:ascii="Times New Roman" w:hAnsi="Times New Roman"/>
          <w:sz w:val="24"/>
          <w:szCs w:val="24"/>
        </w:rPr>
        <w:t>Ecador</w:t>
      </w:r>
      <w:proofErr w:type="spellEnd"/>
      <w:r w:rsidRPr="00300A8F">
        <w:rPr>
          <w:rFonts w:ascii="Times New Roman" w:hAnsi="Times New Roman"/>
          <w:sz w:val="24"/>
          <w:szCs w:val="24"/>
        </w:rPr>
        <w:t>. Catena. 53: 79-95.</w:t>
      </w:r>
    </w:p>
    <w:p w14:paraId="1FD9299F" w14:textId="77777777" w:rsidR="00300A8F" w:rsidRPr="00300A8F" w:rsidRDefault="00300A8F" w:rsidP="00611B84">
      <w:pPr>
        <w:spacing w:line="360" w:lineRule="auto"/>
        <w:ind w:left="720" w:hanging="720"/>
        <w:jc w:val="both"/>
        <w:rPr>
          <w:rFonts w:ascii="Times New Roman" w:hAnsi="Times New Roman" w:cs="Times New Roman"/>
          <w:sz w:val="24"/>
          <w:szCs w:val="24"/>
        </w:rPr>
      </w:pPr>
      <w:r w:rsidRPr="00300A8F">
        <w:rPr>
          <w:rFonts w:ascii="Times New Roman" w:hAnsi="Times New Roman" w:cs="Times New Roman"/>
          <w:sz w:val="24"/>
          <w:szCs w:val="24"/>
          <w:shd w:val="clear" w:color="auto" w:fill="FFFFFF"/>
        </w:rPr>
        <w:t xml:space="preserve">Wilson., 1982. Iron‐induced </w:t>
      </w:r>
      <w:proofErr w:type="spellStart"/>
      <w:r w:rsidRPr="00300A8F">
        <w:rPr>
          <w:rFonts w:ascii="Times New Roman" w:hAnsi="Times New Roman" w:cs="Times New Roman"/>
          <w:sz w:val="24"/>
          <w:szCs w:val="24"/>
          <w:shd w:val="clear" w:color="auto" w:fill="FFFFFF"/>
        </w:rPr>
        <w:t>oranging</w:t>
      </w:r>
      <w:proofErr w:type="spellEnd"/>
      <w:r w:rsidRPr="00300A8F">
        <w:rPr>
          <w:rFonts w:ascii="Times New Roman" w:hAnsi="Times New Roman" w:cs="Times New Roman"/>
          <w:sz w:val="24"/>
          <w:szCs w:val="24"/>
          <w:shd w:val="clear" w:color="auto" w:fill="FFFFFF"/>
        </w:rPr>
        <w:t xml:space="preserve"> disease of rice in relation to </w:t>
      </w:r>
      <w:proofErr w:type="spellStart"/>
      <w:r w:rsidRPr="00300A8F">
        <w:rPr>
          <w:rFonts w:ascii="Times New Roman" w:hAnsi="Times New Roman" w:cs="Times New Roman"/>
          <w:sz w:val="24"/>
          <w:szCs w:val="24"/>
          <w:shd w:val="clear" w:color="auto" w:fill="FFFFFF"/>
        </w:rPr>
        <w:t>physico</w:t>
      </w:r>
      <w:proofErr w:type="spellEnd"/>
      <w:r w:rsidRPr="00300A8F">
        <w:rPr>
          <w:rFonts w:ascii="Times New Roman" w:hAnsi="Times New Roman" w:cs="Times New Roman"/>
          <w:sz w:val="24"/>
          <w:szCs w:val="24"/>
          <w:shd w:val="clear" w:color="auto" w:fill="FFFFFF"/>
        </w:rPr>
        <w:t xml:space="preserve">‐chemical changes in a flooded </w:t>
      </w:r>
      <w:proofErr w:type="spellStart"/>
      <w:r w:rsidRPr="00300A8F">
        <w:rPr>
          <w:rFonts w:ascii="Times New Roman" w:hAnsi="Times New Roman" w:cs="Times New Roman"/>
          <w:sz w:val="24"/>
          <w:szCs w:val="24"/>
          <w:shd w:val="clear" w:color="auto" w:fill="FFFFFF"/>
        </w:rPr>
        <w:t>oxisol</w:t>
      </w:r>
      <w:proofErr w:type="spellEnd"/>
      <w:r w:rsidRPr="00300A8F">
        <w:rPr>
          <w:rFonts w:ascii="Times New Roman" w:hAnsi="Times New Roman" w:cs="Times New Roman"/>
          <w:sz w:val="24"/>
          <w:szCs w:val="24"/>
          <w:shd w:val="clear" w:color="auto" w:fill="FFFFFF"/>
        </w:rPr>
        <w:t>. </w:t>
      </w:r>
      <w:r w:rsidRPr="00300A8F">
        <w:rPr>
          <w:rFonts w:ascii="Times New Roman" w:hAnsi="Times New Roman" w:cs="Times New Roman"/>
          <w:i/>
          <w:iCs/>
          <w:sz w:val="24"/>
          <w:szCs w:val="24"/>
          <w:shd w:val="clear" w:color="auto" w:fill="FFFFFF"/>
        </w:rPr>
        <w:t>Soil Sci. Soc. America J.</w:t>
      </w:r>
      <w:r w:rsidRPr="00300A8F">
        <w:rPr>
          <w:rFonts w:ascii="Times New Roman" w:hAnsi="Times New Roman" w:cs="Times New Roman"/>
          <w:sz w:val="24"/>
          <w:szCs w:val="24"/>
          <w:shd w:val="clear" w:color="auto" w:fill="FFFFFF"/>
        </w:rPr>
        <w:t> </w:t>
      </w:r>
      <w:r w:rsidRPr="00300A8F">
        <w:rPr>
          <w:rFonts w:ascii="Times New Roman" w:hAnsi="Times New Roman" w:cs="Times New Roman"/>
          <w:i/>
          <w:iCs/>
          <w:sz w:val="24"/>
          <w:szCs w:val="24"/>
          <w:shd w:val="clear" w:color="auto" w:fill="FFFFFF"/>
        </w:rPr>
        <w:t>37</w:t>
      </w:r>
      <w:r w:rsidRPr="00300A8F">
        <w:rPr>
          <w:rFonts w:ascii="Times New Roman" w:hAnsi="Times New Roman" w:cs="Times New Roman"/>
          <w:sz w:val="24"/>
          <w:szCs w:val="24"/>
          <w:shd w:val="clear" w:color="auto" w:fill="FFFFFF"/>
        </w:rPr>
        <w:t>(6): 898-903.</w:t>
      </w:r>
    </w:p>
    <w:p w14:paraId="691E81D1" w14:textId="77777777" w:rsidR="00300A8F" w:rsidRPr="00300A8F" w:rsidRDefault="00300A8F" w:rsidP="00611B84">
      <w:pPr>
        <w:spacing w:line="360" w:lineRule="auto"/>
        <w:ind w:left="720" w:hanging="720"/>
        <w:jc w:val="both"/>
        <w:rPr>
          <w:rFonts w:ascii="Times New Roman" w:hAnsi="Times New Roman" w:cs="Times New Roman"/>
          <w:sz w:val="24"/>
          <w:szCs w:val="24"/>
          <w:shd w:val="clear" w:color="auto" w:fill="FFFFFF"/>
        </w:rPr>
      </w:pPr>
      <w:r w:rsidRPr="00300A8F">
        <w:rPr>
          <w:rFonts w:ascii="Times New Roman" w:hAnsi="Times New Roman" w:cs="Times New Roman"/>
          <w:sz w:val="24"/>
          <w:szCs w:val="24"/>
          <w:shd w:val="clear" w:color="auto" w:fill="FFFFFF"/>
        </w:rPr>
        <w:t xml:space="preserve">Zhou, K. U., Amelung, W., </w:t>
      </w:r>
      <w:proofErr w:type="spellStart"/>
      <w:r w:rsidRPr="00300A8F">
        <w:rPr>
          <w:rFonts w:ascii="Times New Roman" w:hAnsi="Times New Roman" w:cs="Times New Roman"/>
          <w:sz w:val="24"/>
          <w:szCs w:val="24"/>
          <w:shd w:val="clear" w:color="auto" w:fill="FFFFFF"/>
        </w:rPr>
        <w:t>Gerzabek</w:t>
      </w:r>
      <w:proofErr w:type="spellEnd"/>
      <w:r w:rsidRPr="00300A8F">
        <w:rPr>
          <w:rFonts w:ascii="Times New Roman" w:hAnsi="Times New Roman" w:cs="Times New Roman"/>
          <w:sz w:val="24"/>
          <w:szCs w:val="24"/>
          <w:shd w:val="clear" w:color="auto" w:fill="FFFFFF"/>
        </w:rPr>
        <w:t>, M. H., Guggenberger, G., Klumpp, E., Knief, C., Lehndorff, E., Mikutta, R., Peth, S., Prechtel, A. and Ray, N. 2018. Microaggregates in soils. </w:t>
      </w:r>
      <w:r w:rsidRPr="00300A8F">
        <w:rPr>
          <w:rFonts w:ascii="Times New Roman" w:hAnsi="Times New Roman" w:cs="Times New Roman"/>
          <w:i/>
          <w:iCs/>
          <w:sz w:val="24"/>
          <w:szCs w:val="24"/>
          <w:shd w:val="clear" w:color="auto" w:fill="FFFFFF"/>
        </w:rPr>
        <w:t xml:space="preserve">J. Plant </w:t>
      </w:r>
      <w:proofErr w:type="spellStart"/>
      <w:r w:rsidRPr="00300A8F">
        <w:rPr>
          <w:rFonts w:ascii="Times New Roman" w:hAnsi="Times New Roman" w:cs="Times New Roman"/>
          <w:i/>
          <w:iCs/>
          <w:sz w:val="24"/>
          <w:szCs w:val="24"/>
          <w:shd w:val="clear" w:color="auto" w:fill="FFFFFF"/>
        </w:rPr>
        <w:t>Nutr</w:t>
      </w:r>
      <w:proofErr w:type="spellEnd"/>
      <w:r w:rsidRPr="00300A8F">
        <w:rPr>
          <w:rFonts w:ascii="Times New Roman" w:hAnsi="Times New Roman" w:cs="Times New Roman"/>
          <w:i/>
          <w:iCs/>
          <w:sz w:val="24"/>
          <w:szCs w:val="24"/>
          <w:shd w:val="clear" w:color="auto" w:fill="FFFFFF"/>
        </w:rPr>
        <w:t>. Soil Sci</w:t>
      </w:r>
      <w:r w:rsidRPr="00300A8F">
        <w:rPr>
          <w:rFonts w:ascii="Times New Roman" w:hAnsi="Times New Roman" w:cs="Times New Roman"/>
          <w:sz w:val="24"/>
          <w:szCs w:val="24"/>
          <w:shd w:val="clear" w:color="auto" w:fill="FFFFFF"/>
        </w:rPr>
        <w:t>.181(1): 104-136.</w:t>
      </w:r>
    </w:p>
    <w:bookmarkEnd w:id="12"/>
    <w:p w14:paraId="52670C96" w14:textId="77777777" w:rsidR="00300A8F" w:rsidRPr="00300A8F" w:rsidRDefault="00300A8F" w:rsidP="00B636C7">
      <w:pPr>
        <w:spacing w:line="480" w:lineRule="auto"/>
        <w:ind w:left="720" w:hanging="720"/>
        <w:jc w:val="both"/>
        <w:rPr>
          <w:rFonts w:ascii="Times New Roman" w:hAnsi="Times New Roman" w:cs="Times New Roman"/>
          <w:sz w:val="24"/>
          <w:szCs w:val="24"/>
          <w:shd w:val="clear" w:color="auto" w:fill="FFFFFF"/>
        </w:rPr>
      </w:pPr>
    </w:p>
    <w:p w14:paraId="565AB247" w14:textId="77777777" w:rsidR="00300A8F" w:rsidRPr="00300A8F" w:rsidRDefault="00300A8F" w:rsidP="00B636C7">
      <w:pPr>
        <w:spacing w:line="480" w:lineRule="auto"/>
        <w:ind w:left="720" w:hanging="720"/>
        <w:jc w:val="both"/>
        <w:rPr>
          <w:rFonts w:ascii="Times New Roman" w:hAnsi="Times New Roman" w:cs="Times New Roman"/>
          <w:sz w:val="24"/>
          <w:szCs w:val="24"/>
          <w:shd w:val="clear" w:color="auto" w:fill="FFFFFF"/>
        </w:rPr>
      </w:pPr>
    </w:p>
    <w:p w14:paraId="70763B30" w14:textId="77777777" w:rsidR="00A05542" w:rsidRDefault="00A05542" w:rsidP="00A05542">
      <w:pPr>
        <w:spacing w:line="480" w:lineRule="auto"/>
        <w:jc w:val="both"/>
        <w:rPr>
          <w:rFonts w:ascii="Times New Roman" w:hAnsi="Times New Roman" w:cs="Times New Roman"/>
          <w:sz w:val="24"/>
          <w:szCs w:val="24"/>
          <w:shd w:val="clear" w:color="auto" w:fill="FFFFFF"/>
        </w:rPr>
      </w:pPr>
    </w:p>
    <w:p w14:paraId="02C981C6" w14:textId="77777777" w:rsidR="00C241F0" w:rsidRPr="00300A8F" w:rsidRDefault="00C241F0" w:rsidP="00A05542">
      <w:pPr>
        <w:spacing w:line="480" w:lineRule="auto"/>
        <w:jc w:val="both"/>
        <w:rPr>
          <w:rFonts w:ascii="Times New Roman" w:hAnsi="Times New Roman" w:cs="Times New Roman"/>
          <w:sz w:val="24"/>
          <w:szCs w:val="24"/>
          <w:shd w:val="clear" w:color="auto" w:fill="FFFFFF"/>
        </w:rPr>
      </w:pPr>
      <w:r w:rsidRPr="00300A8F">
        <w:rPr>
          <w:rFonts w:ascii="Times New Roman" w:hAnsi="Times New Roman" w:cs="Times New Roman"/>
          <w:sz w:val="24"/>
          <w:szCs w:val="24"/>
          <w:shd w:val="clear" w:color="auto" w:fill="FFFFFF"/>
        </w:rPr>
        <w:t>Figures</w:t>
      </w:r>
    </w:p>
    <w:p w14:paraId="07843A9C" w14:textId="77777777" w:rsidR="00BB7C47" w:rsidRPr="00300A8F" w:rsidRDefault="00806A28" w:rsidP="00B636C7">
      <w:pPr>
        <w:spacing w:line="480" w:lineRule="auto"/>
        <w:rPr>
          <w:rFonts w:ascii="Times New Roman" w:hAnsi="Times New Roman" w:cs="Times New Roman"/>
          <w:b/>
          <w:sz w:val="24"/>
          <w:szCs w:val="24"/>
        </w:rPr>
      </w:pPr>
      <w:r w:rsidRPr="00300A8F">
        <w:rPr>
          <w:rFonts w:ascii="Times New Roman" w:hAnsi="Times New Roman" w:cs="Times New Roman"/>
          <w:b/>
          <w:sz w:val="24"/>
          <w:szCs w:val="24"/>
        </w:rPr>
        <w:t>Fig. 1. Frequency distribution of bulk density</w:t>
      </w:r>
      <w:r w:rsidR="00D15585" w:rsidRPr="00300A8F">
        <w:rPr>
          <w:rFonts w:ascii="Times New Roman" w:hAnsi="Times New Roman" w:cs="Times New Roman"/>
          <w:b/>
          <w:sz w:val="24"/>
          <w:szCs w:val="24"/>
        </w:rPr>
        <w:t xml:space="preserve"> and particle density</w:t>
      </w:r>
      <w:r w:rsidRPr="00300A8F">
        <w:rPr>
          <w:rFonts w:ascii="Times New Roman" w:hAnsi="Times New Roman" w:cs="Times New Roman"/>
          <w:b/>
          <w:sz w:val="24"/>
          <w:szCs w:val="24"/>
        </w:rPr>
        <w:t xml:space="preserve"> in post-flood soils of Kottayam      district</w:t>
      </w:r>
    </w:p>
    <w:p w14:paraId="76C9368E" w14:textId="77777777" w:rsidR="00D15585" w:rsidRPr="00300A8F" w:rsidRDefault="00BB7C47" w:rsidP="00B636C7">
      <w:pPr>
        <w:spacing w:line="480" w:lineRule="auto"/>
        <w:ind w:right="-254"/>
        <w:rPr>
          <w:rFonts w:ascii="Times New Roman" w:hAnsi="Times New Roman" w:cs="Times New Roman"/>
          <w:sz w:val="24"/>
          <w:szCs w:val="24"/>
        </w:rPr>
      </w:pPr>
      <w:r w:rsidRPr="00300A8F">
        <w:rPr>
          <w:rFonts w:ascii="Times New Roman" w:hAnsi="Times New Roman" w:cs="Times New Roman"/>
          <w:noProof/>
          <w:sz w:val="24"/>
          <w:szCs w:val="24"/>
          <w:lang w:val="en-US"/>
        </w:rPr>
        <w:drawing>
          <wp:inline distT="0" distB="0" distL="0" distR="0" wp14:anchorId="67AEFC3C" wp14:editId="3F0F81AF">
            <wp:extent cx="2686050" cy="2571750"/>
            <wp:effectExtent l="0" t="0" r="0" b="0"/>
            <wp:docPr id="4" name="Chart 4">
              <a:extLst xmlns:a="http://schemas.openxmlformats.org/drawingml/2006/main">
                <a:ext uri="{FF2B5EF4-FFF2-40B4-BE49-F238E27FC236}">
                  <a16:creationId xmlns:a16="http://schemas.microsoft.com/office/drawing/2014/main" id="{34AB825A-2D63-474F-A0E4-3EF5A43F0B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15585" w:rsidRPr="00300A8F">
        <w:rPr>
          <w:rFonts w:ascii="Times New Roman" w:hAnsi="Times New Roman" w:cs="Times New Roman"/>
          <w:noProof/>
          <w:sz w:val="24"/>
          <w:szCs w:val="24"/>
          <w:lang w:val="en-US"/>
        </w:rPr>
        <w:drawing>
          <wp:inline distT="0" distB="0" distL="0" distR="0" wp14:anchorId="50EEE207" wp14:editId="7761FD02">
            <wp:extent cx="2571750" cy="2571750"/>
            <wp:effectExtent l="0" t="0" r="0" b="0"/>
            <wp:docPr id="5" name="Chart 5">
              <a:extLst xmlns:a="http://schemas.openxmlformats.org/drawingml/2006/main">
                <a:ext uri="{FF2B5EF4-FFF2-40B4-BE49-F238E27FC236}">
                  <a16:creationId xmlns:a16="http://schemas.microsoft.com/office/drawing/2014/main" id="{E1FEE883-2180-4402-BAB9-E9A3734D5F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3EEC26" w14:textId="77777777" w:rsidR="00FA0964" w:rsidRPr="00300A8F" w:rsidRDefault="00AF5E1D" w:rsidP="00B636C7">
      <w:pPr>
        <w:spacing w:after="0" w:line="480" w:lineRule="auto"/>
        <w:ind w:right="-36"/>
        <w:jc w:val="both"/>
        <w:rPr>
          <w:rFonts w:ascii="Times New Roman" w:hAnsi="Times New Roman" w:cs="Times New Roman"/>
          <w:b/>
          <w:sz w:val="24"/>
          <w:szCs w:val="24"/>
        </w:rPr>
      </w:pPr>
      <w:r w:rsidRPr="00300A8F">
        <w:rPr>
          <w:rFonts w:ascii="Times New Roman" w:hAnsi="Times New Roman" w:cs="Times New Roman"/>
          <w:b/>
          <w:sz w:val="24"/>
          <w:szCs w:val="24"/>
        </w:rPr>
        <w:t>Fig. 2. Frequency distribution of textural classes</w:t>
      </w:r>
      <w:r w:rsidR="00087B1D" w:rsidRPr="00300A8F">
        <w:rPr>
          <w:rFonts w:ascii="Times New Roman" w:hAnsi="Times New Roman" w:cs="Times New Roman"/>
          <w:b/>
          <w:sz w:val="24"/>
          <w:szCs w:val="24"/>
        </w:rPr>
        <w:t xml:space="preserve"> and soil moisture content</w:t>
      </w:r>
      <w:r w:rsidRPr="00300A8F">
        <w:rPr>
          <w:rFonts w:ascii="Times New Roman" w:hAnsi="Times New Roman" w:cs="Times New Roman"/>
          <w:b/>
          <w:sz w:val="24"/>
          <w:szCs w:val="24"/>
        </w:rPr>
        <w:t xml:space="preserve"> in post-flood soils of Kottayam district</w:t>
      </w:r>
    </w:p>
    <w:p w14:paraId="28F64134" w14:textId="77777777" w:rsidR="00087B1D" w:rsidRPr="00300A8F" w:rsidRDefault="00FA0964" w:rsidP="00B636C7">
      <w:pPr>
        <w:spacing w:after="0" w:line="480" w:lineRule="auto"/>
        <w:ind w:right="-1514"/>
        <w:jc w:val="both"/>
        <w:rPr>
          <w:rFonts w:ascii="Times New Roman" w:hAnsi="Times New Roman" w:cs="Times New Roman"/>
          <w:sz w:val="24"/>
          <w:szCs w:val="24"/>
        </w:rPr>
      </w:pPr>
      <w:r w:rsidRPr="00300A8F">
        <w:rPr>
          <w:rFonts w:ascii="Times New Roman" w:hAnsi="Times New Roman" w:cs="Times New Roman"/>
          <w:noProof/>
          <w:sz w:val="24"/>
          <w:szCs w:val="24"/>
          <w:highlight w:val="darkRed"/>
          <w:shd w:val="clear" w:color="auto" w:fill="C00000"/>
          <w:lang w:val="en-US"/>
        </w:rPr>
        <w:drawing>
          <wp:inline distT="0" distB="0" distL="0" distR="0" wp14:anchorId="05342719" wp14:editId="3CCC96D1">
            <wp:extent cx="2181225" cy="2286000"/>
            <wp:effectExtent l="0" t="0" r="9525" b="0"/>
            <wp:docPr id="47" name="Chart 47">
              <a:extLst xmlns:a="http://schemas.openxmlformats.org/drawingml/2006/main">
                <a:ext uri="{FF2B5EF4-FFF2-40B4-BE49-F238E27FC236}">
                  <a16:creationId xmlns:a16="http://schemas.microsoft.com/office/drawing/2014/main" id="{4803F296-E73F-4E28-9004-E5F582679A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87B1D" w:rsidRPr="00300A8F">
        <w:rPr>
          <w:rFonts w:ascii="Times New Roman" w:hAnsi="Times New Roman" w:cs="Times New Roman"/>
          <w:noProof/>
          <w:sz w:val="24"/>
          <w:szCs w:val="24"/>
          <w:lang w:val="en-US"/>
        </w:rPr>
        <w:drawing>
          <wp:inline distT="0" distB="0" distL="0" distR="0" wp14:anchorId="0FC29443" wp14:editId="36BE9AFE">
            <wp:extent cx="2286000" cy="2286000"/>
            <wp:effectExtent l="0" t="0" r="0" b="0"/>
            <wp:docPr id="9" name="Chart 9">
              <a:extLst xmlns:a="http://schemas.openxmlformats.org/drawingml/2006/main">
                <a:ext uri="{FF2B5EF4-FFF2-40B4-BE49-F238E27FC236}">
                  <a16:creationId xmlns:a16="http://schemas.microsoft.com/office/drawing/2014/main" id="{8722EA1C-9A1E-4D06-BCBA-57E178478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3021BD" w14:textId="77777777" w:rsidR="00300A8F" w:rsidRPr="00300A8F" w:rsidRDefault="00300A8F" w:rsidP="00B636C7">
      <w:pPr>
        <w:spacing w:line="480" w:lineRule="auto"/>
        <w:jc w:val="both"/>
        <w:rPr>
          <w:rFonts w:ascii="Times New Roman" w:hAnsi="Times New Roman" w:cs="Times New Roman"/>
          <w:b/>
          <w:sz w:val="24"/>
          <w:szCs w:val="24"/>
        </w:rPr>
      </w:pPr>
    </w:p>
    <w:p w14:paraId="738B0BD3" w14:textId="77777777" w:rsidR="00300A8F" w:rsidRPr="00300A8F" w:rsidRDefault="00300A8F" w:rsidP="00B636C7">
      <w:pPr>
        <w:spacing w:line="480" w:lineRule="auto"/>
        <w:jc w:val="both"/>
        <w:rPr>
          <w:rFonts w:ascii="Times New Roman" w:hAnsi="Times New Roman" w:cs="Times New Roman"/>
          <w:b/>
          <w:sz w:val="24"/>
          <w:szCs w:val="24"/>
        </w:rPr>
      </w:pPr>
    </w:p>
    <w:p w14:paraId="38519863" w14:textId="77777777" w:rsidR="00300A8F" w:rsidRPr="00300A8F" w:rsidRDefault="00300A8F" w:rsidP="00B636C7">
      <w:pPr>
        <w:spacing w:line="480" w:lineRule="auto"/>
        <w:jc w:val="both"/>
        <w:rPr>
          <w:rFonts w:ascii="Times New Roman" w:hAnsi="Times New Roman" w:cs="Times New Roman"/>
          <w:b/>
          <w:sz w:val="24"/>
          <w:szCs w:val="24"/>
        </w:rPr>
      </w:pPr>
    </w:p>
    <w:p w14:paraId="2D4FD5D3" w14:textId="77777777" w:rsidR="00300A8F" w:rsidRPr="00300A8F" w:rsidRDefault="00300A8F" w:rsidP="00B636C7">
      <w:pPr>
        <w:spacing w:line="480" w:lineRule="auto"/>
        <w:jc w:val="both"/>
        <w:rPr>
          <w:rFonts w:ascii="Times New Roman" w:hAnsi="Times New Roman" w:cs="Times New Roman"/>
          <w:b/>
          <w:sz w:val="24"/>
          <w:szCs w:val="24"/>
        </w:rPr>
      </w:pPr>
    </w:p>
    <w:p w14:paraId="6ACABA8B" w14:textId="77777777" w:rsidR="001166AB" w:rsidRPr="00300A8F" w:rsidRDefault="001166AB" w:rsidP="00B636C7">
      <w:pPr>
        <w:spacing w:line="480" w:lineRule="auto"/>
        <w:jc w:val="both"/>
        <w:rPr>
          <w:rFonts w:ascii="Times New Roman" w:hAnsi="Times New Roman" w:cs="Times New Roman"/>
          <w:b/>
          <w:sz w:val="24"/>
          <w:szCs w:val="24"/>
        </w:rPr>
      </w:pPr>
      <w:r w:rsidRPr="00300A8F">
        <w:rPr>
          <w:rFonts w:ascii="Times New Roman" w:hAnsi="Times New Roman" w:cs="Times New Roman"/>
          <w:b/>
          <w:sz w:val="24"/>
          <w:szCs w:val="24"/>
        </w:rPr>
        <w:t>Fig. 3. Frequency distribution of WHC</w:t>
      </w:r>
      <w:r w:rsidR="000D230B" w:rsidRPr="00300A8F">
        <w:rPr>
          <w:rFonts w:ascii="Times New Roman" w:hAnsi="Times New Roman" w:cs="Times New Roman"/>
          <w:b/>
          <w:sz w:val="24"/>
          <w:szCs w:val="24"/>
        </w:rPr>
        <w:t xml:space="preserve"> and MWD</w:t>
      </w:r>
      <w:r w:rsidRPr="00300A8F">
        <w:rPr>
          <w:rFonts w:ascii="Times New Roman" w:hAnsi="Times New Roman" w:cs="Times New Roman"/>
          <w:b/>
          <w:sz w:val="24"/>
          <w:szCs w:val="24"/>
        </w:rPr>
        <w:t xml:space="preserve">  in post-flood soils of Kottayam district</w:t>
      </w:r>
    </w:p>
    <w:p w14:paraId="7E635DDA" w14:textId="77777777" w:rsidR="008626F9" w:rsidRPr="00300A8F" w:rsidRDefault="001166AB" w:rsidP="00B636C7">
      <w:pPr>
        <w:spacing w:line="480" w:lineRule="auto"/>
        <w:jc w:val="both"/>
        <w:rPr>
          <w:rFonts w:ascii="Times New Roman" w:hAnsi="Times New Roman" w:cs="Times New Roman"/>
          <w:b/>
          <w:sz w:val="24"/>
          <w:szCs w:val="24"/>
        </w:rPr>
      </w:pPr>
      <w:r w:rsidRPr="00300A8F">
        <w:rPr>
          <w:rFonts w:ascii="Times New Roman" w:hAnsi="Times New Roman" w:cs="Times New Roman"/>
          <w:noProof/>
          <w:sz w:val="24"/>
          <w:szCs w:val="24"/>
          <w:lang w:val="en-US"/>
        </w:rPr>
        <w:drawing>
          <wp:inline distT="0" distB="0" distL="0" distR="0" wp14:anchorId="494CD525" wp14:editId="2399C23D">
            <wp:extent cx="2428875" cy="2705100"/>
            <wp:effectExtent l="0" t="0" r="9525" b="0"/>
            <wp:docPr id="10" name="Chart 10">
              <a:extLst xmlns:a="http://schemas.openxmlformats.org/drawingml/2006/main">
                <a:ext uri="{FF2B5EF4-FFF2-40B4-BE49-F238E27FC236}">
                  <a16:creationId xmlns:a16="http://schemas.microsoft.com/office/drawing/2014/main" id="{32D886F8-B143-4B28-8AC9-757A12550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920DC" w:rsidRPr="00300A8F">
        <w:rPr>
          <w:rFonts w:ascii="Times New Roman" w:hAnsi="Times New Roman" w:cs="Times New Roman"/>
          <w:noProof/>
          <w:sz w:val="24"/>
          <w:szCs w:val="24"/>
          <w:lang w:val="en-US"/>
        </w:rPr>
        <w:drawing>
          <wp:inline distT="0" distB="0" distL="0" distR="0" wp14:anchorId="5CBD50CF" wp14:editId="65D20D4F">
            <wp:extent cx="2590800" cy="2667000"/>
            <wp:effectExtent l="0" t="0" r="0" b="0"/>
            <wp:docPr id="40" name="Chart 40">
              <a:extLst xmlns:a="http://schemas.openxmlformats.org/drawingml/2006/main">
                <a:ext uri="{FF2B5EF4-FFF2-40B4-BE49-F238E27FC236}">
                  <a16:creationId xmlns:a16="http://schemas.microsoft.com/office/drawing/2014/main" id="{AA7E17AB-9AB9-4704-B769-9FDAE79624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148209" w14:textId="77777777" w:rsidR="00C47C6A" w:rsidRPr="00300A8F" w:rsidRDefault="001F5311" w:rsidP="00B636C7">
      <w:pPr>
        <w:spacing w:after="0" w:line="480" w:lineRule="auto"/>
        <w:contextualSpacing/>
        <w:jc w:val="both"/>
        <w:rPr>
          <w:rFonts w:ascii="Times New Roman" w:hAnsi="Times New Roman" w:cs="Times New Roman"/>
          <w:b/>
          <w:bCs/>
          <w:sz w:val="24"/>
          <w:szCs w:val="24"/>
          <w:lang w:val="en-US"/>
        </w:rPr>
      </w:pPr>
      <w:r w:rsidRPr="00300A8F">
        <w:rPr>
          <w:rFonts w:ascii="Times New Roman" w:hAnsi="Times New Roman" w:cs="Times New Roman"/>
          <w:b/>
          <w:bCs/>
          <w:sz w:val="24"/>
          <w:szCs w:val="24"/>
          <w:lang w:val="en-US"/>
        </w:rPr>
        <w:t>Fig.4</w:t>
      </w:r>
      <w:r w:rsidR="00C47C6A" w:rsidRPr="00300A8F">
        <w:rPr>
          <w:rFonts w:ascii="Times New Roman" w:hAnsi="Times New Roman" w:cs="Times New Roman"/>
          <w:b/>
          <w:bCs/>
          <w:sz w:val="24"/>
          <w:szCs w:val="24"/>
          <w:lang w:val="en-US"/>
        </w:rPr>
        <w:t>. Frequency distribution of pH of post-flood affected soils of AEU 12 in Kottayam district</w:t>
      </w:r>
    </w:p>
    <w:p w14:paraId="3ECD6744" w14:textId="77777777" w:rsidR="00C47C6A" w:rsidRPr="00300A8F" w:rsidRDefault="00C47C6A" w:rsidP="00B636C7">
      <w:pPr>
        <w:spacing w:after="0" w:line="480" w:lineRule="auto"/>
        <w:contextualSpacing/>
        <w:jc w:val="both"/>
        <w:rPr>
          <w:rFonts w:ascii="Times New Roman" w:hAnsi="Times New Roman" w:cs="Times New Roman"/>
          <w:sz w:val="24"/>
          <w:szCs w:val="24"/>
        </w:rPr>
      </w:pPr>
      <w:r w:rsidRPr="00300A8F">
        <w:rPr>
          <w:rFonts w:ascii="Times New Roman" w:hAnsi="Times New Roman" w:cs="Times New Roman"/>
          <w:noProof/>
          <w:sz w:val="24"/>
          <w:szCs w:val="24"/>
          <w:lang w:val="en-US"/>
        </w:rPr>
        <w:drawing>
          <wp:inline distT="0" distB="0" distL="0" distR="0" wp14:anchorId="4655700F" wp14:editId="56B8B98D">
            <wp:extent cx="5372100" cy="2971800"/>
            <wp:effectExtent l="0" t="0" r="0" b="0"/>
            <wp:docPr id="17" name="Chart 17">
              <a:extLst xmlns:a="http://schemas.openxmlformats.org/drawingml/2006/main">
                <a:ext uri="{FF2B5EF4-FFF2-40B4-BE49-F238E27FC236}">
                  <a16:creationId xmlns:a16="http://schemas.microsoft.com/office/drawing/2014/main" id="{F39962CE-4DFB-4873-9982-82AB83C98D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FF66EE"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lang w:val="en-US"/>
        </w:rPr>
      </w:pPr>
    </w:p>
    <w:p w14:paraId="291CA063"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lang w:val="en-US"/>
        </w:rPr>
      </w:pPr>
    </w:p>
    <w:p w14:paraId="4A41CD55"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lang w:val="en-US"/>
        </w:rPr>
      </w:pPr>
    </w:p>
    <w:p w14:paraId="596F07C6"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lang w:val="en-US"/>
        </w:rPr>
      </w:pPr>
    </w:p>
    <w:p w14:paraId="138A253A"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lang w:val="en-US"/>
        </w:rPr>
      </w:pPr>
    </w:p>
    <w:p w14:paraId="35C2E3EF"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lang w:val="en-US"/>
        </w:rPr>
      </w:pPr>
      <w:r w:rsidRPr="00300A8F">
        <w:rPr>
          <w:rFonts w:ascii="Times New Roman" w:hAnsi="Times New Roman" w:cs="Times New Roman"/>
          <w:b/>
          <w:sz w:val="24"/>
          <w:szCs w:val="24"/>
          <w:lang w:val="en-US"/>
        </w:rPr>
        <w:t>Fig.</w:t>
      </w:r>
      <w:r w:rsidR="001F5311" w:rsidRPr="00300A8F">
        <w:rPr>
          <w:rFonts w:ascii="Times New Roman" w:hAnsi="Times New Roman" w:cs="Times New Roman"/>
          <w:b/>
          <w:sz w:val="24"/>
          <w:szCs w:val="24"/>
          <w:lang w:val="en-US"/>
        </w:rPr>
        <w:t>5</w:t>
      </w:r>
      <w:r w:rsidRPr="00300A8F">
        <w:rPr>
          <w:rFonts w:ascii="Times New Roman" w:hAnsi="Times New Roman" w:cs="Times New Roman"/>
          <w:b/>
          <w:sz w:val="24"/>
          <w:szCs w:val="24"/>
          <w:lang w:val="en-US"/>
        </w:rPr>
        <w:t>. Frequency distribution of EC (dSm</w:t>
      </w:r>
      <w:r w:rsidRPr="00300A8F">
        <w:rPr>
          <w:rFonts w:ascii="Times New Roman" w:hAnsi="Times New Roman" w:cs="Times New Roman"/>
          <w:b/>
          <w:sz w:val="24"/>
          <w:szCs w:val="24"/>
          <w:vertAlign w:val="superscript"/>
          <w:lang w:val="en-US"/>
        </w:rPr>
        <w:t>-1</w:t>
      </w:r>
      <w:r w:rsidRPr="00300A8F">
        <w:rPr>
          <w:rFonts w:ascii="Times New Roman" w:hAnsi="Times New Roman" w:cs="Times New Roman"/>
          <w:b/>
          <w:sz w:val="24"/>
          <w:szCs w:val="24"/>
          <w:lang w:val="en-US"/>
        </w:rPr>
        <w:t>) and OC (%) in in post-flood soils of AEU 12 in Kottayam district</w:t>
      </w:r>
    </w:p>
    <w:p w14:paraId="10AF14B4" w14:textId="77777777" w:rsidR="00C47C6A" w:rsidRPr="00300A8F" w:rsidRDefault="00C47C6A" w:rsidP="00B636C7">
      <w:pPr>
        <w:spacing w:after="0" w:line="480" w:lineRule="auto"/>
        <w:contextualSpacing/>
        <w:jc w:val="both"/>
        <w:rPr>
          <w:rFonts w:ascii="Times New Roman" w:hAnsi="Times New Roman" w:cs="Times New Roman"/>
          <w:sz w:val="24"/>
          <w:szCs w:val="24"/>
        </w:rPr>
      </w:pPr>
      <w:r w:rsidRPr="00300A8F">
        <w:rPr>
          <w:rFonts w:ascii="Times New Roman" w:hAnsi="Times New Roman" w:cs="Times New Roman"/>
          <w:noProof/>
          <w:sz w:val="24"/>
          <w:szCs w:val="24"/>
          <w:lang w:val="en-US"/>
        </w:rPr>
        <w:drawing>
          <wp:inline distT="0" distB="0" distL="0" distR="0" wp14:anchorId="07B348B8" wp14:editId="03F95CF1">
            <wp:extent cx="2686050" cy="2705100"/>
            <wp:effectExtent l="0" t="0" r="0" b="0"/>
            <wp:docPr id="19" name="Chart 19">
              <a:extLst xmlns:a="http://schemas.openxmlformats.org/drawingml/2006/main">
                <a:ext uri="{FF2B5EF4-FFF2-40B4-BE49-F238E27FC236}">
                  <a16:creationId xmlns:a16="http://schemas.microsoft.com/office/drawing/2014/main" id="{E65AF131-FB77-4E07-AEE7-91BADDC3A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300A8F">
        <w:rPr>
          <w:rFonts w:ascii="Times New Roman" w:hAnsi="Times New Roman" w:cs="Times New Roman"/>
          <w:noProof/>
          <w:sz w:val="24"/>
          <w:szCs w:val="24"/>
          <w:lang w:val="en-US"/>
        </w:rPr>
        <w:drawing>
          <wp:inline distT="0" distB="0" distL="0" distR="0" wp14:anchorId="106F2F78" wp14:editId="147CBEA0">
            <wp:extent cx="2828925" cy="2695575"/>
            <wp:effectExtent l="0" t="0" r="9525" b="9525"/>
            <wp:docPr id="22" name="Chart 22">
              <a:extLst xmlns:a="http://schemas.openxmlformats.org/drawingml/2006/main">
                <a:ext uri="{FF2B5EF4-FFF2-40B4-BE49-F238E27FC236}">
                  <a16:creationId xmlns:a16="http://schemas.microsoft.com/office/drawing/2014/main" id="{A383528D-4550-423E-BBBF-8799BEA53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B9FECE" w14:textId="77777777" w:rsidR="00C47C6A" w:rsidRPr="00300A8F" w:rsidRDefault="00C47C6A" w:rsidP="00B636C7">
      <w:pPr>
        <w:spacing w:after="0" w:line="480" w:lineRule="auto"/>
        <w:contextualSpacing/>
        <w:jc w:val="both"/>
        <w:rPr>
          <w:rFonts w:ascii="Times New Roman" w:hAnsi="Times New Roman" w:cs="Times New Roman"/>
          <w:b/>
          <w:sz w:val="24"/>
          <w:szCs w:val="24"/>
          <w:lang w:val="en-US"/>
        </w:rPr>
      </w:pPr>
      <w:r w:rsidRPr="00300A8F">
        <w:rPr>
          <w:rFonts w:ascii="Times New Roman" w:hAnsi="Times New Roman" w:cs="Times New Roman"/>
          <w:b/>
          <w:sz w:val="24"/>
          <w:szCs w:val="24"/>
        </w:rPr>
        <w:t xml:space="preserve">Fig. </w:t>
      </w:r>
      <w:r w:rsidR="001F5311" w:rsidRPr="00300A8F">
        <w:rPr>
          <w:rFonts w:ascii="Times New Roman" w:hAnsi="Times New Roman" w:cs="Times New Roman"/>
          <w:b/>
          <w:sz w:val="24"/>
          <w:szCs w:val="24"/>
        </w:rPr>
        <w:t>6</w:t>
      </w:r>
      <w:r w:rsidRPr="00300A8F">
        <w:rPr>
          <w:rFonts w:ascii="Times New Roman" w:hAnsi="Times New Roman" w:cs="Times New Roman"/>
          <w:b/>
          <w:sz w:val="24"/>
          <w:szCs w:val="24"/>
        </w:rPr>
        <w:t xml:space="preserve">. </w:t>
      </w:r>
      <w:r w:rsidRPr="00300A8F">
        <w:rPr>
          <w:rFonts w:ascii="Times New Roman" w:hAnsi="Times New Roman" w:cs="Times New Roman"/>
          <w:b/>
          <w:sz w:val="24"/>
          <w:szCs w:val="24"/>
          <w:lang w:val="en-US"/>
        </w:rPr>
        <w:t>Frequency distribution of available N in post-flood soils of AEU 12 in Kottayam district</w:t>
      </w:r>
    </w:p>
    <w:p w14:paraId="2570EE45" w14:textId="77777777" w:rsidR="00C47C6A" w:rsidRPr="00300A8F" w:rsidRDefault="00C47C6A" w:rsidP="00B636C7">
      <w:pPr>
        <w:spacing w:after="0" w:line="480" w:lineRule="auto"/>
        <w:contextualSpacing/>
        <w:jc w:val="both"/>
        <w:rPr>
          <w:rFonts w:ascii="Times New Roman" w:hAnsi="Times New Roman" w:cs="Times New Roman"/>
          <w:b/>
          <w:sz w:val="24"/>
          <w:szCs w:val="24"/>
          <w:lang w:val="en-US"/>
        </w:rPr>
      </w:pPr>
      <w:r w:rsidRPr="00300A8F">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10A9C42A" wp14:editId="5BD73009">
            <wp:simplePos x="0" y="0"/>
            <wp:positionH relativeFrom="column">
              <wp:posOffset>0</wp:posOffset>
            </wp:positionH>
            <wp:positionV relativeFrom="paragraph">
              <wp:posOffset>95250</wp:posOffset>
            </wp:positionV>
            <wp:extent cx="4029075" cy="2124075"/>
            <wp:effectExtent l="0" t="0" r="9525" b="0"/>
            <wp:wrapSquare wrapText="bothSides"/>
            <wp:docPr id="24" name="Chart 24">
              <a:extLst xmlns:a="http://schemas.openxmlformats.org/drawingml/2006/main">
                <a:ext uri="{FF2B5EF4-FFF2-40B4-BE49-F238E27FC236}">
                  <a16:creationId xmlns:a16="http://schemas.microsoft.com/office/drawing/2014/main" id="{8E0CDF64-F109-45DE-A218-527F1590E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787180D7" w14:textId="77777777" w:rsidR="00C47C6A" w:rsidRPr="00300A8F" w:rsidRDefault="00C47C6A" w:rsidP="00B636C7">
      <w:pPr>
        <w:spacing w:after="0" w:line="480" w:lineRule="auto"/>
        <w:contextualSpacing/>
        <w:jc w:val="both"/>
        <w:rPr>
          <w:rFonts w:ascii="Times New Roman" w:hAnsi="Times New Roman" w:cs="Times New Roman"/>
          <w:b/>
          <w:sz w:val="24"/>
          <w:szCs w:val="24"/>
          <w:lang w:val="en-US"/>
        </w:rPr>
      </w:pPr>
    </w:p>
    <w:p w14:paraId="3568A5A7" w14:textId="77777777" w:rsidR="00C47C6A" w:rsidRPr="00300A8F" w:rsidRDefault="00C47C6A" w:rsidP="00B636C7">
      <w:pPr>
        <w:spacing w:after="0" w:line="480" w:lineRule="auto"/>
        <w:contextualSpacing/>
        <w:jc w:val="both"/>
        <w:rPr>
          <w:rFonts w:ascii="Times New Roman" w:hAnsi="Times New Roman" w:cs="Times New Roman"/>
          <w:b/>
          <w:i/>
          <w:sz w:val="24"/>
          <w:szCs w:val="24"/>
        </w:rPr>
      </w:pPr>
    </w:p>
    <w:p w14:paraId="0AA7C0BA" w14:textId="77777777" w:rsidR="00C47C6A" w:rsidRPr="00300A8F" w:rsidRDefault="00C47C6A" w:rsidP="00B636C7">
      <w:pPr>
        <w:spacing w:after="0" w:line="480" w:lineRule="auto"/>
        <w:contextualSpacing/>
        <w:jc w:val="both"/>
        <w:rPr>
          <w:rFonts w:ascii="Times New Roman" w:hAnsi="Times New Roman" w:cs="Times New Roman"/>
          <w:b/>
          <w:i/>
          <w:sz w:val="24"/>
          <w:szCs w:val="24"/>
        </w:rPr>
      </w:pPr>
    </w:p>
    <w:p w14:paraId="609956DE" w14:textId="77777777" w:rsidR="00C47C6A" w:rsidRPr="00300A8F" w:rsidRDefault="00C47C6A" w:rsidP="00B636C7">
      <w:pPr>
        <w:spacing w:after="0" w:line="480" w:lineRule="auto"/>
        <w:contextualSpacing/>
        <w:jc w:val="both"/>
        <w:rPr>
          <w:rFonts w:ascii="Times New Roman" w:hAnsi="Times New Roman" w:cs="Times New Roman"/>
          <w:b/>
          <w:i/>
          <w:sz w:val="24"/>
          <w:szCs w:val="24"/>
        </w:rPr>
      </w:pPr>
    </w:p>
    <w:p w14:paraId="75A65E6F" w14:textId="77777777" w:rsidR="00C47C6A" w:rsidRPr="00300A8F" w:rsidRDefault="00C47C6A" w:rsidP="00B636C7">
      <w:pPr>
        <w:spacing w:after="0" w:line="480" w:lineRule="auto"/>
        <w:ind w:right="-172"/>
        <w:contextualSpacing/>
        <w:jc w:val="both"/>
        <w:rPr>
          <w:rFonts w:ascii="Times New Roman" w:hAnsi="Times New Roman" w:cs="Times New Roman"/>
          <w:b/>
          <w:sz w:val="24"/>
          <w:szCs w:val="24"/>
        </w:rPr>
      </w:pPr>
    </w:p>
    <w:p w14:paraId="0A81B5B9" w14:textId="77777777" w:rsidR="00C47C6A" w:rsidRPr="00300A8F" w:rsidRDefault="00C47C6A" w:rsidP="00B636C7">
      <w:pPr>
        <w:spacing w:after="0" w:line="480" w:lineRule="auto"/>
        <w:ind w:right="-172"/>
        <w:contextualSpacing/>
        <w:jc w:val="both"/>
        <w:rPr>
          <w:rFonts w:ascii="Times New Roman" w:hAnsi="Times New Roman" w:cs="Times New Roman"/>
          <w:b/>
          <w:sz w:val="24"/>
          <w:szCs w:val="24"/>
        </w:rPr>
      </w:pPr>
    </w:p>
    <w:p w14:paraId="2D25352D"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0775D751"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4ED1FB58"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68A42C4B"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7D442477"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3A37E6A9" w14:textId="77777777" w:rsidR="00C47C6A" w:rsidRPr="00300A8F" w:rsidRDefault="00C47C6A" w:rsidP="00B636C7">
      <w:pPr>
        <w:spacing w:after="0" w:line="480" w:lineRule="auto"/>
        <w:ind w:right="-172"/>
        <w:contextualSpacing/>
        <w:jc w:val="both"/>
        <w:rPr>
          <w:rFonts w:ascii="Times New Roman" w:hAnsi="Times New Roman" w:cs="Times New Roman"/>
          <w:b/>
          <w:sz w:val="24"/>
          <w:szCs w:val="24"/>
          <w:lang w:val="en-US"/>
        </w:rPr>
      </w:pPr>
      <w:r w:rsidRPr="00300A8F">
        <w:rPr>
          <w:rFonts w:ascii="Times New Roman" w:hAnsi="Times New Roman" w:cs="Times New Roman"/>
          <w:b/>
          <w:sz w:val="24"/>
          <w:szCs w:val="24"/>
        </w:rPr>
        <w:t xml:space="preserve">Fig. </w:t>
      </w:r>
      <w:r w:rsidR="001F5311" w:rsidRPr="00300A8F">
        <w:rPr>
          <w:rFonts w:ascii="Times New Roman" w:hAnsi="Times New Roman" w:cs="Times New Roman"/>
          <w:b/>
          <w:sz w:val="24"/>
          <w:szCs w:val="24"/>
        </w:rPr>
        <w:t>7</w:t>
      </w:r>
      <w:r w:rsidRPr="00300A8F">
        <w:rPr>
          <w:rFonts w:ascii="Times New Roman" w:hAnsi="Times New Roman" w:cs="Times New Roman"/>
          <w:b/>
          <w:sz w:val="24"/>
          <w:szCs w:val="24"/>
        </w:rPr>
        <w:t xml:space="preserve">. </w:t>
      </w:r>
      <w:r w:rsidRPr="00300A8F">
        <w:rPr>
          <w:rFonts w:ascii="Times New Roman" w:hAnsi="Times New Roman" w:cs="Times New Roman"/>
          <w:b/>
          <w:sz w:val="24"/>
          <w:szCs w:val="24"/>
          <w:lang w:val="en-US"/>
        </w:rPr>
        <w:t>Frequency distribution of available P and K in post-flood soils of AEU 12 in Kottayam district</w:t>
      </w:r>
    </w:p>
    <w:p w14:paraId="0D98BDEF" w14:textId="77777777" w:rsidR="00C47C6A" w:rsidRPr="00300A8F" w:rsidRDefault="00C47C6A" w:rsidP="00B636C7">
      <w:pPr>
        <w:spacing w:after="0" w:line="480" w:lineRule="auto"/>
        <w:contextualSpacing/>
        <w:jc w:val="both"/>
        <w:rPr>
          <w:rFonts w:ascii="Times New Roman" w:hAnsi="Times New Roman" w:cs="Times New Roman"/>
          <w:b/>
          <w:i/>
          <w:sz w:val="24"/>
          <w:szCs w:val="24"/>
        </w:rPr>
      </w:pPr>
      <w:r w:rsidRPr="00300A8F">
        <w:rPr>
          <w:rFonts w:ascii="Times New Roman" w:hAnsi="Times New Roman" w:cs="Times New Roman"/>
          <w:noProof/>
          <w:sz w:val="24"/>
          <w:szCs w:val="24"/>
          <w:lang w:val="en-US"/>
        </w:rPr>
        <w:drawing>
          <wp:inline distT="0" distB="0" distL="0" distR="0" wp14:anchorId="695AAC9F" wp14:editId="569D4A6B">
            <wp:extent cx="2486025" cy="2181225"/>
            <wp:effectExtent l="0" t="0" r="9525" b="9525"/>
            <wp:docPr id="25" name="Chart 25">
              <a:extLst xmlns:a="http://schemas.openxmlformats.org/drawingml/2006/main">
                <a:ext uri="{FF2B5EF4-FFF2-40B4-BE49-F238E27FC236}">
                  <a16:creationId xmlns:a16="http://schemas.microsoft.com/office/drawing/2014/main" id="{09258829-9A29-48C3-A981-05EFF70F12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300A8F">
        <w:rPr>
          <w:rFonts w:ascii="Times New Roman" w:hAnsi="Times New Roman" w:cs="Times New Roman"/>
          <w:noProof/>
          <w:sz w:val="24"/>
          <w:szCs w:val="24"/>
          <w:lang w:val="en-US"/>
        </w:rPr>
        <w:drawing>
          <wp:inline distT="0" distB="0" distL="0" distR="0" wp14:anchorId="6B3CD1F8" wp14:editId="175014E7">
            <wp:extent cx="2828925" cy="2190750"/>
            <wp:effectExtent l="0" t="0" r="9525" b="0"/>
            <wp:docPr id="28" name="Chart 28">
              <a:extLst xmlns:a="http://schemas.openxmlformats.org/drawingml/2006/main">
                <a:ext uri="{FF2B5EF4-FFF2-40B4-BE49-F238E27FC236}">
                  <a16:creationId xmlns:a16="http://schemas.microsoft.com/office/drawing/2014/main" id="{B2F639C5-AAFA-4C1E-8100-310ECCDDA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BB39D0"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24A5BF0D"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lang w:val="en-US"/>
        </w:rPr>
      </w:pPr>
      <w:r w:rsidRPr="00300A8F">
        <w:rPr>
          <w:rFonts w:ascii="Times New Roman" w:hAnsi="Times New Roman" w:cs="Times New Roman"/>
          <w:b/>
          <w:sz w:val="24"/>
          <w:szCs w:val="24"/>
        </w:rPr>
        <w:t xml:space="preserve">Fig. </w:t>
      </w:r>
      <w:r w:rsidR="001F5311" w:rsidRPr="00300A8F">
        <w:rPr>
          <w:rFonts w:ascii="Times New Roman" w:hAnsi="Times New Roman" w:cs="Times New Roman"/>
          <w:b/>
          <w:sz w:val="24"/>
          <w:szCs w:val="24"/>
        </w:rPr>
        <w:t>8</w:t>
      </w:r>
      <w:r w:rsidRPr="00300A8F">
        <w:rPr>
          <w:rFonts w:ascii="Times New Roman" w:hAnsi="Times New Roman" w:cs="Times New Roman"/>
          <w:b/>
          <w:sz w:val="24"/>
          <w:szCs w:val="24"/>
        </w:rPr>
        <w:t xml:space="preserve">. </w:t>
      </w:r>
      <w:r w:rsidRPr="00300A8F">
        <w:rPr>
          <w:rFonts w:ascii="Times New Roman" w:hAnsi="Times New Roman" w:cs="Times New Roman"/>
          <w:b/>
          <w:sz w:val="24"/>
          <w:szCs w:val="24"/>
          <w:lang w:val="en-US"/>
        </w:rPr>
        <w:t>Frequency distribution of available Ca and Mg in in post-flood soils of AEU 12 in Kottayam district</w:t>
      </w:r>
    </w:p>
    <w:p w14:paraId="059F0B13"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rPr>
      </w:pPr>
      <w:r w:rsidRPr="00300A8F">
        <w:rPr>
          <w:rFonts w:ascii="Times New Roman" w:hAnsi="Times New Roman" w:cs="Times New Roman"/>
          <w:noProof/>
          <w:sz w:val="24"/>
          <w:szCs w:val="24"/>
          <w:lang w:val="en-US"/>
        </w:rPr>
        <w:drawing>
          <wp:inline distT="0" distB="0" distL="0" distR="0" wp14:anchorId="763E947E" wp14:editId="59D396EA">
            <wp:extent cx="2590800" cy="2295525"/>
            <wp:effectExtent l="0" t="0" r="0" b="9525"/>
            <wp:docPr id="30" name="Chart 30">
              <a:extLst xmlns:a="http://schemas.openxmlformats.org/drawingml/2006/main">
                <a:ext uri="{FF2B5EF4-FFF2-40B4-BE49-F238E27FC236}">
                  <a16:creationId xmlns:a16="http://schemas.microsoft.com/office/drawing/2014/main" id="{AC4243A4-6869-4F18-ADFA-9639AB12CC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300A8F">
        <w:rPr>
          <w:rFonts w:ascii="Times New Roman" w:hAnsi="Times New Roman" w:cs="Times New Roman"/>
          <w:noProof/>
          <w:sz w:val="24"/>
          <w:szCs w:val="24"/>
          <w:lang w:val="en-US"/>
        </w:rPr>
        <w:drawing>
          <wp:inline distT="0" distB="0" distL="0" distR="0" wp14:anchorId="255173A3" wp14:editId="40CE0BE2">
            <wp:extent cx="2924175" cy="2295525"/>
            <wp:effectExtent l="0" t="0" r="9525" b="9525"/>
            <wp:docPr id="32" name="Chart 32">
              <a:extLst xmlns:a="http://schemas.openxmlformats.org/drawingml/2006/main">
                <a:ext uri="{FF2B5EF4-FFF2-40B4-BE49-F238E27FC236}">
                  <a16:creationId xmlns:a16="http://schemas.microsoft.com/office/drawing/2014/main" id="{27B86092-7763-4D0C-876F-21D10E20BF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17897F7"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rPr>
      </w:pPr>
    </w:p>
    <w:p w14:paraId="4A6AC42F"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rPr>
      </w:pPr>
    </w:p>
    <w:p w14:paraId="7CF516A9"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rPr>
      </w:pPr>
    </w:p>
    <w:p w14:paraId="61735E8F"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rPr>
      </w:pPr>
    </w:p>
    <w:p w14:paraId="21FF75E2" w14:textId="77777777" w:rsidR="00300A8F" w:rsidRPr="00300A8F" w:rsidRDefault="00300A8F" w:rsidP="00B636C7">
      <w:pPr>
        <w:spacing w:after="0" w:line="480" w:lineRule="auto"/>
        <w:ind w:right="-31"/>
        <w:contextualSpacing/>
        <w:jc w:val="both"/>
        <w:rPr>
          <w:rFonts w:ascii="Times New Roman" w:hAnsi="Times New Roman" w:cs="Times New Roman"/>
          <w:b/>
          <w:sz w:val="24"/>
          <w:szCs w:val="24"/>
        </w:rPr>
      </w:pPr>
    </w:p>
    <w:p w14:paraId="605A2216" w14:textId="77777777" w:rsidR="00C47C6A" w:rsidRPr="00300A8F" w:rsidRDefault="00C47C6A" w:rsidP="00B636C7">
      <w:pPr>
        <w:spacing w:after="0" w:line="480" w:lineRule="auto"/>
        <w:ind w:right="-31"/>
        <w:contextualSpacing/>
        <w:jc w:val="both"/>
        <w:rPr>
          <w:rFonts w:ascii="Times New Roman" w:hAnsi="Times New Roman" w:cs="Times New Roman"/>
          <w:bCs/>
          <w:sz w:val="24"/>
          <w:szCs w:val="24"/>
          <w:lang w:val="en-US"/>
        </w:rPr>
      </w:pPr>
      <w:r w:rsidRPr="00300A8F">
        <w:rPr>
          <w:rFonts w:ascii="Times New Roman" w:hAnsi="Times New Roman" w:cs="Times New Roman"/>
          <w:b/>
          <w:sz w:val="24"/>
          <w:szCs w:val="24"/>
        </w:rPr>
        <w:t>Fig.</w:t>
      </w:r>
      <w:r w:rsidR="001F5311" w:rsidRPr="00300A8F">
        <w:rPr>
          <w:rFonts w:ascii="Times New Roman" w:hAnsi="Times New Roman" w:cs="Times New Roman"/>
          <w:b/>
          <w:sz w:val="24"/>
          <w:szCs w:val="24"/>
        </w:rPr>
        <w:t>9</w:t>
      </w:r>
      <w:r w:rsidRPr="00300A8F">
        <w:rPr>
          <w:rFonts w:ascii="Times New Roman" w:hAnsi="Times New Roman" w:cs="Times New Roman"/>
          <w:b/>
          <w:sz w:val="24"/>
          <w:szCs w:val="24"/>
        </w:rPr>
        <w:t xml:space="preserve">. </w:t>
      </w:r>
      <w:r w:rsidRPr="00300A8F">
        <w:rPr>
          <w:rFonts w:ascii="Times New Roman" w:hAnsi="Times New Roman" w:cs="Times New Roman"/>
          <w:b/>
          <w:sz w:val="24"/>
          <w:szCs w:val="24"/>
          <w:lang w:val="en-US"/>
        </w:rPr>
        <w:t>Frequency distribution of available S and B in post-flood soils of AEU 12 in Kottayam district</w:t>
      </w:r>
    </w:p>
    <w:p w14:paraId="7CDA8EAA"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lang w:val="en-US"/>
        </w:rPr>
      </w:pPr>
      <w:r w:rsidRPr="00300A8F">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3BAAA482" wp14:editId="1C75ED0A">
            <wp:simplePos x="0" y="0"/>
            <wp:positionH relativeFrom="margin">
              <wp:posOffset>0</wp:posOffset>
            </wp:positionH>
            <wp:positionV relativeFrom="paragraph">
              <wp:posOffset>200025</wp:posOffset>
            </wp:positionV>
            <wp:extent cx="2628900" cy="2200275"/>
            <wp:effectExtent l="0" t="0" r="0" b="9525"/>
            <wp:wrapSquare wrapText="bothSides"/>
            <wp:docPr id="35" name="Chart 35">
              <a:extLst xmlns:a="http://schemas.openxmlformats.org/drawingml/2006/main">
                <a:ext uri="{FF2B5EF4-FFF2-40B4-BE49-F238E27FC236}">
                  <a16:creationId xmlns:a16="http://schemas.microsoft.com/office/drawing/2014/main" id="{53025035-876A-4129-9817-8939A3D57E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67A00671" w14:textId="77777777" w:rsidR="00C47C6A" w:rsidRPr="00300A8F" w:rsidRDefault="00C47C6A" w:rsidP="00B636C7">
      <w:pPr>
        <w:spacing w:after="0" w:line="480" w:lineRule="auto"/>
        <w:contextualSpacing/>
        <w:jc w:val="both"/>
        <w:rPr>
          <w:rFonts w:ascii="Times New Roman" w:hAnsi="Times New Roman" w:cs="Times New Roman"/>
          <w:b/>
          <w:bCs/>
          <w:sz w:val="24"/>
          <w:szCs w:val="24"/>
        </w:rPr>
      </w:pPr>
      <w:r w:rsidRPr="00300A8F">
        <w:rPr>
          <w:rFonts w:ascii="Times New Roman" w:hAnsi="Times New Roman" w:cs="Times New Roman"/>
          <w:noProof/>
          <w:sz w:val="24"/>
          <w:szCs w:val="24"/>
          <w:lang w:val="en-US"/>
        </w:rPr>
        <w:drawing>
          <wp:inline distT="0" distB="0" distL="0" distR="0" wp14:anchorId="73135BFE" wp14:editId="48BD046D">
            <wp:extent cx="2562225" cy="2200275"/>
            <wp:effectExtent l="0" t="0" r="9525" b="9525"/>
            <wp:docPr id="1" name="Chart 1">
              <a:extLst xmlns:a="http://schemas.openxmlformats.org/drawingml/2006/main">
                <a:ext uri="{FF2B5EF4-FFF2-40B4-BE49-F238E27FC236}">
                  <a16:creationId xmlns:a16="http://schemas.microsoft.com/office/drawing/2014/main" id="{005A88AB-F296-4734-8611-5FB51E687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241278"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p w14:paraId="5FE52AE8" w14:textId="77777777" w:rsidR="00C47C6A" w:rsidRPr="00300A8F" w:rsidRDefault="00C47C6A" w:rsidP="00B636C7">
      <w:pPr>
        <w:spacing w:after="0" w:line="480" w:lineRule="auto"/>
        <w:ind w:right="-31"/>
        <w:contextualSpacing/>
        <w:jc w:val="both"/>
        <w:rPr>
          <w:rFonts w:ascii="Times New Roman" w:hAnsi="Times New Roman" w:cs="Times New Roman"/>
          <w:b/>
          <w:sz w:val="24"/>
          <w:szCs w:val="24"/>
          <w:lang w:val="en-US"/>
        </w:rPr>
      </w:pPr>
      <w:r w:rsidRPr="00300A8F">
        <w:rPr>
          <w:rFonts w:ascii="Times New Roman" w:hAnsi="Times New Roman" w:cs="Times New Roman"/>
          <w:b/>
          <w:sz w:val="24"/>
          <w:szCs w:val="24"/>
          <w:lang w:val="en-US"/>
        </w:rPr>
        <w:t>Fig.</w:t>
      </w:r>
      <w:r w:rsidR="001F5311" w:rsidRPr="00300A8F">
        <w:rPr>
          <w:rFonts w:ascii="Times New Roman" w:hAnsi="Times New Roman" w:cs="Times New Roman"/>
          <w:b/>
          <w:sz w:val="24"/>
          <w:szCs w:val="24"/>
          <w:lang w:val="en-US"/>
        </w:rPr>
        <w:t>10</w:t>
      </w:r>
      <w:r w:rsidRPr="00300A8F">
        <w:rPr>
          <w:rFonts w:ascii="Times New Roman" w:hAnsi="Times New Roman" w:cs="Times New Roman"/>
          <w:b/>
          <w:sz w:val="24"/>
          <w:szCs w:val="24"/>
          <w:lang w:val="en-US"/>
        </w:rPr>
        <w:t>. Frequency distribution of dehydrogenase and  acid phosphatase in post-flood soils of AEU 12 in Kottayam district</w:t>
      </w:r>
    </w:p>
    <w:p w14:paraId="75ABF1A7" w14:textId="77777777" w:rsidR="00C47C6A" w:rsidRPr="00300A8F" w:rsidRDefault="00C47C6A" w:rsidP="00B636C7">
      <w:pPr>
        <w:spacing w:after="0" w:line="480" w:lineRule="auto"/>
        <w:contextualSpacing/>
        <w:jc w:val="both"/>
        <w:rPr>
          <w:rFonts w:ascii="Times New Roman" w:hAnsi="Times New Roman" w:cs="Times New Roman"/>
          <w:b/>
          <w:sz w:val="24"/>
          <w:szCs w:val="24"/>
        </w:rPr>
      </w:pPr>
      <w:r w:rsidRPr="00300A8F">
        <w:rPr>
          <w:rFonts w:ascii="Times New Roman" w:hAnsi="Times New Roman" w:cs="Times New Roman"/>
          <w:noProof/>
          <w:sz w:val="24"/>
          <w:szCs w:val="24"/>
          <w:lang w:val="en-US"/>
        </w:rPr>
        <w:drawing>
          <wp:anchor distT="0" distB="0" distL="114300" distR="114300" simplePos="0" relativeHeight="251664384" behindDoc="0" locked="0" layoutInCell="1" allowOverlap="1" wp14:anchorId="165FABD5" wp14:editId="6F4FC2DF">
            <wp:simplePos x="0" y="0"/>
            <wp:positionH relativeFrom="column">
              <wp:posOffset>0</wp:posOffset>
            </wp:positionH>
            <wp:positionV relativeFrom="paragraph">
              <wp:posOffset>222885</wp:posOffset>
            </wp:positionV>
            <wp:extent cx="2628900" cy="2190750"/>
            <wp:effectExtent l="0" t="0" r="0" b="0"/>
            <wp:wrapSquare wrapText="bothSides"/>
            <wp:docPr id="2" name="Chart 2">
              <a:extLst xmlns:a="http://schemas.openxmlformats.org/drawingml/2006/main">
                <a:ext uri="{FF2B5EF4-FFF2-40B4-BE49-F238E27FC236}">
                  <a16:creationId xmlns:a16="http://schemas.microsoft.com/office/drawing/2014/main" id="{3B2CB23E-B7EF-40D8-BF0F-A7B94B78E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300A8F">
        <w:rPr>
          <w:rFonts w:ascii="Times New Roman" w:hAnsi="Times New Roman" w:cs="Times New Roman"/>
          <w:noProof/>
          <w:sz w:val="24"/>
          <w:szCs w:val="24"/>
          <w:lang w:val="en-US"/>
        </w:rPr>
        <w:drawing>
          <wp:inline distT="0" distB="0" distL="0" distR="0" wp14:anchorId="61F3E390" wp14:editId="646E0392">
            <wp:extent cx="2752725" cy="2190750"/>
            <wp:effectExtent l="0" t="0" r="9525" b="0"/>
            <wp:docPr id="36" name="Chart 36">
              <a:extLst xmlns:a="http://schemas.openxmlformats.org/drawingml/2006/main">
                <a:ext uri="{FF2B5EF4-FFF2-40B4-BE49-F238E27FC236}">
                  <a16:creationId xmlns:a16="http://schemas.microsoft.com/office/drawing/2014/main" id="{57F12EB5-FC92-43A5-B49A-D55B19FD3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628422" w14:textId="77777777" w:rsidR="00357123" w:rsidRPr="00300A8F" w:rsidRDefault="00357123" w:rsidP="00B636C7">
      <w:pPr>
        <w:pStyle w:val="Default"/>
        <w:spacing w:line="480" w:lineRule="auto"/>
        <w:jc w:val="both"/>
        <w:rPr>
          <w:color w:val="auto"/>
          <w:lang w:val="en-IN"/>
        </w:rPr>
      </w:pPr>
    </w:p>
    <w:p w14:paraId="3E73FEEB" w14:textId="77777777" w:rsidR="00300A8F" w:rsidRPr="00300A8F" w:rsidRDefault="00300A8F" w:rsidP="00B636C7">
      <w:pPr>
        <w:pStyle w:val="Default"/>
        <w:spacing w:line="480" w:lineRule="auto"/>
        <w:jc w:val="both"/>
        <w:rPr>
          <w:color w:val="auto"/>
          <w:lang w:val="en-IN"/>
        </w:rPr>
      </w:pPr>
    </w:p>
    <w:p w14:paraId="03074CCD" w14:textId="77777777" w:rsidR="00300A8F" w:rsidRPr="00300A8F" w:rsidRDefault="00300A8F" w:rsidP="00B636C7">
      <w:pPr>
        <w:pStyle w:val="Default"/>
        <w:spacing w:line="480" w:lineRule="auto"/>
        <w:jc w:val="both"/>
        <w:rPr>
          <w:color w:val="auto"/>
          <w:lang w:val="en-IN"/>
        </w:rPr>
      </w:pPr>
    </w:p>
    <w:p w14:paraId="4A19F644" w14:textId="77777777" w:rsidR="00300A8F" w:rsidRPr="00300A8F" w:rsidRDefault="00300A8F" w:rsidP="00B636C7">
      <w:pPr>
        <w:pStyle w:val="Default"/>
        <w:spacing w:line="480" w:lineRule="auto"/>
        <w:jc w:val="both"/>
        <w:rPr>
          <w:color w:val="auto"/>
          <w:lang w:val="en-IN"/>
        </w:rPr>
      </w:pPr>
    </w:p>
    <w:p w14:paraId="61096579" w14:textId="77777777" w:rsidR="00357123" w:rsidRPr="00300A8F" w:rsidRDefault="00357123" w:rsidP="00B636C7">
      <w:pPr>
        <w:pStyle w:val="Default"/>
        <w:spacing w:line="480" w:lineRule="auto"/>
        <w:jc w:val="both"/>
        <w:rPr>
          <w:color w:val="auto"/>
        </w:rPr>
      </w:pPr>
      <w:r w:rsidRPr="00300A8F">
        <w:rPr>
          <w:color w:val="auto"/>
          <w:lang w:val="en-IN"/>
        </w:rPr>
        <w:lastRenderedPageBreak/>
        <w:t>Fig.</w:t>
      </w:r>
      <w:r w:rsidR="001F5311" w:rsidRPr="00300A8F">
        <w:rPr>
          <w:color w:val="auto"/>
          <w:lang w:val="en-IN"/>
        </w:rPr>
        <w:t>11.</w:t>
      </w:r>
      <w:r w:rsidRPr="00300A8F">
        <w:rPr>
          <w:color w:val="auto"/>
          <w:lang w:val="en-IN"/>
        </w:rPr>
        <w:t xml:space="preserve"> Frequency distribution of RSQI (%) in the post-flood soils of AEU 12 in Kottayam district</w:t>
      </w:r>
    </w:p>
    <w:p w14:paraId="4086AA79" w14:textId="77777777" w:rsidR="00357123" w:rsidRPr="00300A8F" w:rsidRDefault="00357123" w:rsidP="00B636C7">
      <w:pPr>
        <w:pStyle w:val="Default"/>
        <w:spacing w:line="480" w:lineRule="auto"/>
        <w:jc w:val="both"/>
        <w:rPr>
          <w:color w:val="auto"/>
          <w:lang w:val="en-IN"/>
        </w:rPr>
      </w:pPr>
      <w:r w:rsidRPr="00300A8F">
        <w:rPr>
          <w:noProof/>
          <w:color w:val="auto"/>
        </w:rPr>
        <w:drawing>
          <wp:anchor distT="0" distB="0" distL="114300" distR="114300" simplePos="0" relativeHeight="251666432" behindDoc="1" locked="0" layoutInCell="1" allowOverlap="1" wp14:anchorId="6B8BE655" wp14:editId="7110331A">
            <wp:simplePos x="0" y="0"/>
            <wp:positionH relativeFrom="column">
              <wp:posOffset>0</wp:posOffset>
            </wp:positionH>
            <wp:positionV relativeFrom="paragraph">
              <wp:posOffset>1270</wp:posOffset>
            </wp:positionV>
            <wp:extent cx="4686300" cy="2609850"/>
            <wp:effectExtent l="0" t="0" r="0" b="0"/>
            <wp:wrapTight wrapText="bothSides">
              <wp:wrapPolygon edited="0">
                <wp:start x="0" y="0"/>
                <wp:lineTo x="0" y="21442"/>
                <wp:lineTo x="21512" y="21442"/>
                <wp:lineTo x="21512" y="0"/>
                <wp:lineTo x="0" y="0"/>
              </wp:wrapPolygon>
            </wp:wrapTight>
            <wp:docPr id="42" name="Chart 42">
              <a:extLst xmlns:a="http://schemas.openxmlformats.org/drawingml/2006/main">
                <a:ext uri="{FF2B5EF4-FFF2-40B4-BE49-F238E27FC236}">
                  <a16:creationId xmlns:a16="http://schemas.microsoft.com/office/drawing/2014/main" id="{5AE1D99E-E92F-446A-A693-E41D54C8F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0946C3CB" w14:textId="77777777" w:rsidR="00357123" w:rsidRPr="00300A8F" w:rsidRDefault="00357123" w:rsidP="00B636C7">
      <w:pPr>
        <w:pStyle w:val="Default"/>
        <w:spacing w:line="480" w:lineRule="auto"/>
        <w:jc w:val="both"/>
        <w:rPr>
          <w:color w:val="auto"/>
          <w:lang w:val="en-IN"/>
        </w:rPr>
      </w:pPr>
    </w:p>
    <w:p w14:paraId="7AD2026F" w14:textId="77777777" w:rsidR="00357123" w:rsidRPr="00300A8F" w:rsidRDefault="00357123" w:rsidP="00B636C7">
      <w:pPr>
        <w:pStyle w:val="Default"/>
        <w:spacing w:line="480" w:lineRule="auto"/>
        <w:jc w:val="both"/>
        <w:rPr>
          <w:color w:val="auto"/>
          <w:lang w:val="en-IN"/>
        </w:rPr>
      </w:pPr>
    </w:p>
    <w:p w14:paraId="65B4454C"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4FD360E1"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7B3883A2"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421ECD45"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32B5ADCE"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7ED9743A"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774CBE57" w14:textId="77777777" w:rsidR="00357123" w:rsidRPr="00300A8F" w:rsidRDefault="00357123" w:rsidP="00B636C7">
      <w:pPr>
        <w:spacing w:after="0" w:line="480" w:lineRule="auto"/>
        <w:ind w:firstLine="720"/>
        <w:jc w:val="both"/>
        <w:rPr>
          <w:rFonts w:ascii="Times New Roman" w:hAnsi="Times New Roman" w:cs="Times New Roman"/>
          <w:b/>
          <w:bCs/>
          <w:sz w:val="24"/>
          <w:szCs w:val="24"/>
        </w:rPr>
      </w:pPr>
    </w:p>
    <w:p w14:paraId="562F17C0" w14:textId="77777777" w:rsidR="00C47C6A" w:rsidRPr="00300A8F" w:rsidRDefault="00C47C6A" w:rsidP="00B636C7">
      <w:pPr>
        <w:spacing w:after="0" w:line="480" w:lineRule="auto"/>
        <w:ind w:firstLine="720"/>
        <w:jc w:val="both"/>
        <w:rPr>
          <w:rFonts w:ascii="Times New Roman" w:hAnsi="Times New Roman" w:cs="Times New Roman"/>
          <w:b/>
          <w:bCs/>
          <w:sz w:val="24"/>
          <w:szCs w:val="24"/>
        </w:rPr>
      </w:pPr>
    </w:p>
    <w:sectPr w:rsidR="00C47C6A" w:rsidRPr="00300A8F" w:rsidSect="00715C3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39365" w14:textId="77777777" w:rsidR="00C641DA" w:rsidRDefault="00C641DA" w:rsidP="001F20F3">
      <w:pPr>
        <w:spacing w:after="0" w:line="240" w:lineRule="auto"/>
      </w:pPr>
      <w:r>
        <w:separator/>
      </w:r>
    </w:p>
  </w:endnote>
  <w:endnote w:type="continuationSeparator" w:id="0">
    <w:p w14:paraId="32863567" w14:textId="77777777" w:rsidR="00C641DA" w:rsidRDefault="00C641DA" w:rsidP="001F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AA8B" w14:textId="77777777" w:rsidR="0025497A" w:rsidRDefault="00254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29E2" w14:textId="77777777" w:rsidR="0025497A" w:rsidRDefault="00254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BC12" w14:textId="77777777" w:rsidR="0025497A" w:rsidRDefault="00254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27F49" w14:textId="77777777" w:rsidR="00C641DA" w:rsidRDefault="00C641DA" w:rsidP="001F20F3">
      <w:pPr>
        <w:spacing w:after="0" w:line="240" w:lineRule="auto"/>
      </w:pPr>
      <w:r>
        <w:separator/>
      </w:r>
    </w:p>
  </w:footnote>
  <w:footnote w:type="continuationSeparator" w:id="0">
    <w:p w14:paraId="13FF39BB" w14:textId="77777777" w:rsidR="00C641DA" w:rsidRDefault="00C641DA" w:rsidP="001F2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79D3" w14:textId="76482287" w:rsidR="0025497A" w:rsidRDefault="00C641DA">
    <w:pPr>
      <w:pStyle w:val="Header"/>
    </w:pPr>
    <w:r>
      <w:rPr>
        <w:noProof/>
      </w:rPr>
      <w:pict w14:anchorId="25242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95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CDF1" w14:textId="5BFCF843" w:rsidR="0025497A" w:rsidRDefault="00C641DA">
    <w:pPr>
      <w:pStyle w:val="Header"/>
    </w:pPr>
    <w:r>
      <w:rPr>
        <w:noProof/>
      </w:rPr>
      <w:pict w14:anchorId="70147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95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17A8" w14:textId="54D3BFA2" w:rsidR="0025497A" w:rsidRDefault="00C641DA">
    <w:pPr>
      <w:pStyle w:val="Header"/>
    </w:pPr>
    <w:r>
      <w:rPr>
        <w:noProof/>
      </w:rPr>
      <w:pict w14:anchorId="20757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95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933DC"/>
    <w:multiLevelType w:val="hybridMultilevel"/>
    <w:tmpl w:val="730056C6"/>
    <w:lvl w:ilvl="0" w:tplc="4F200872">
      <w:start w:val="1"/>
      <w:numFmt w:val="decimal"/>
      <w:lvlText w:val="%1."/>
      <w:lvlJc w:val="left"/>
      <w:pPr>
        <w:ind w:left="644" w:hanging="360"/>
      </w:pPr>
      <w:rPr>
        <w:rFonts w:hint="default"/>
        <w:b/>
        <w:sz w:val="22"/>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418B432C"/>
    <w:multiLevelType w:val="hybridMultilevel"/>
    <w:tmpl w:val="4A1A59E6"/>
    <w:lvl w:ilvl="0" w:tplc="4028CA10">
      <w:start w:val="1"/>
      <w:numFmt w:val="bullet"/>
      <w:lvlText w:val=""/>
      <w:lvlJc w:val="left"/>
      <w:pPr>
        <w:tabs>
          <w:tab w:val="num" w:pos="720"/>
        </w:tabs>
        <w:ind w:left="720" w:hanging="360"/>
      </w:pPr>
      <w:rPr>
        <w:rFonts w:ascii="Wingdings" w:hAnsi="Wingdings" w:hint="default"/>
      </w:rPr>
    </w:lvl>
    <w:lvl w:ilvl="1" w:tplc="7CF2B5AE" w:tentative="1">
      <w:start w:val="1"/>
      <w:numFmt w:val="bullet"/>
      <w:lvlText w:val=""/>
      <w:lvlJc w:val="left"/>
      <w:pPr>
        <w:tabs>
          <w:tab w:val="num" w:pos="1440"/>
        </w:tabs>
        <w:ind w:left="1440" w:hanging="360"/>
      </w:pPr>
      <w:rPr>
        <w:rFonts w:ascii="Wingdings" w:hAnsi="Wingdings" w:hint="default"/>
      </w:rPr>
    </w:lvl>
    <w:lvl w:ilvl="2" w:tplc="8592AE88" w:tentative="1">
      <w:start w:val="1"/>
      <w:numFmt w:val="bullet"/>
      <w:lvlText w:val=""/>
      <w:lvlJc w:val="left"/>
      <w:pPr>
        <w:tabs>
          <w:tab w:val="num" w:pos="2160"/>
        </w:tabs>
        <w:ind w:left="2160" w:hanging="360"/>
      </w:pPr>
      <w:rPr>
        <w:rFonts w:ascii="Wingdings" w:hAnsi="Wingdings" w:hint="default"/>
      </w:rPr>
    </w:lvl>
    <w:lvl w:ilvl="3" w:tplc="40AC83E0" w:tentative="1">
      <w:start w:val="1"/>
      <w:numFmt w:val="bullet"/>
      <w:lvlText w:val=""/>
      <w:lvlJc w:val="left"/>
      <w:pPr>
        <w:tabs>
          <w:tab w:val="num" w:pos="2880"/>
        </w:tabs>
        <w:ind w:left="2880" w:hanging="360"/>
      </w:pPr>
      <w:rPr>
        <w:rFonts w:ascii="Wingdings" w:hAnsi="Wingdings" w:hint="default"/>
      </w:rPr>
    </w:lvl>
    <w:lvl w:ilvl="4" w:tplc="C6F8BBE4" w:tentative="1">
      <w:start w:val="1"/>
      <w:numFmt w:val="bullet"/>
      <w:lvlText w:val=""/>
      <w:lvlJc w:val="left"/>
      <w:pPr>
        <w:tabs>
          <w:tab w:val="num" w:pos="3600"/>
        </w:tabs>
        <w:ind w:left="3600" w:hanging="360"/>
      </w:pPr>
      <w:rPr>
        <w:rFonts w:ascii="Wingdings" w:hAnsi="Wingdings" w:hint="default"/>
      </w:rPr>
    </w:lvl>
    <w:lvl w:ilvl="5" w:tplc="9968A4C0" w:tentative="1">
      <w:start w:val="1"/>
      <w:numFmt w:val="bullet"/>
      <w:lvlText w:val=""/>
      <w:lvlJc w:val="left"/>
      <w:pPr>
        <w:tabs>
          <w:tab w:val="num" w:pos="4320"/>
        </w:tabs>
        <w:ind w:left="4320" w:hanging="360"/>
      </w:pPr>
      <w:rPr>
        <w:rFonts w:ascii="Wingdings" w:hAnsi="Wingdings" w:hint="default"/>
      </w:rPr>
    </w:lvl>
    <w:lvl w:ilvl="6" w:tplc="D11012F8" w:tentative="1">
      <w:start w:val="1"/>
      <w:numFmt w:val="bullet"/>
      <w:lvlText w:val=""/>
      <w:lvlJc w:val="left"/>
      <w:pPr>
        <w:tabs>
          <w:tab w:val="num" w:pos="5040"/>
        </w:tabs>
        <w:ind w:left="5040" w:hanging="360"/>
      </w:pPr>
      <w:rPr>
        <w:rFonts w:ascii="Wingdings" w:hAnsi="Wingdings" w:hint="default"/>
      </w:rPr>
    </w:lvl>
    <w:lvl w:ilvl="7" w:tplc="F3BACCAE" w:tentative="1">
      <w:start w:val="1"/>
      <w:numFmt w:val="bullet"/>
      <w:lvlText w:val=""/>
      <w:lvlJc w:val="left"/>
      <w:pPr>
        <w:tabs>
          <w:tab w:val="num" w:pos="5760"/>
        </w:tabs>
        <w:ind w:left="5760" w:hanging="360"/>
      </w:pPr>
      <w:rPr>
        <w:rFonts w:ascii="Wingdings" w:hAnsi="Wingdings" w:hint="default"/>
      </w:rPr>
    </w:lvl>
    <w:lvl w:ilvl="8" w:tplc="E244D3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AD11B1"/>
    <w:multiLevelType w:val="hybridMultilevel"/>
    <w:tmpl w:val="D55E0C78"/>
    <w:lvl w:ilvl="0" w:tplc="CD1E97E0">
      <w:start w:val="1"/>
      <w:numFmt w:val="bullet"/>
      <w:lvlText w:val=""/>
      <w:lvlJc w:val="left"/>
      <w:pPr>
        <w:tabs>
          <w:tab w:val="num" w:pos="720"/>
        </w:tabs>
        <w:ind w:left="720" w:hanging="360"/>
      </w:pPr>
      <w:rPr>
        <w:rFonts w:ascii="Wingdings" w:hAnsi="Wingdings" w:hint="default"/>
      </w:rPr>
    </w:lvl>
    <w:lvl w:ilvl="1" w:tplc="0A20EDF4" w:tentative="1">
      <w:start w:val="1"/>
      <w:numFmt w:val="bullet"/>
      <w:lvlText w:val=""/>
      <w:lvlJc w:val="left"/>
      <w:pPr>
        <w:tabs>
          <w:tab w:val="num" w:pos="1440"/>
        </w:tabs>
        <w:ind w:left="1440" w:hanging="360"/>
      </w:pPr>
      <w:rPr>
        <w:rFonts w:ascii="Wingdings" w:hAnsi="Wingdings" w:hint="default"/>
      </w:rPr>
    </w:lvl>
    <w:lvl w:ilvl="2" w:tplc="5F54AA9C" w:tentative="1">
      <w:start w:val="1"/>
      <w:numFmt w:val="bullet"/>
      <w:lvlText w:val=""/>
      <w:lvlJc w:val="left"/>
      <w:pPr>
        <w:tabs>
          <w:tab w:val="num" w:pos="2160"/>
        </w:tabs>
        <w:ind w:left="2160" w:hanging="360"/>
      </w:pPr>
      <w:rPr>
        <w:rFonts w:ascii="Wingdings" w:hAnsi="Wingdings" w:hint="default"/>
      </w:rPr>
    </w:lvl>
    <w:lvl w:ilvl="3" w:tplc="D27EAB4E" w:tentative="1">
      <w:start w:val="1"/>
      <w:numFmt w:val="bullet"/>
      <w:lvlText w:val=""/>
      <w:lvlJc w:val="left"/>
      <w:pPr>
        <w:tabs>
          <w:tab w:val="num" w:pos="2880"/>
        </w:tabs>
        <w:ind w:left="2880" w:hanging="360"/>
      </w:pPr>
      <w:rPr>
        <w:rFonts w:ascii="Wingdings" w:hAnsi="Wingdings" w:hint="default"/>
      </w:rPr>
    </w:lvl>
    <w:lvl w:ilvl="4" w:tplc="6B621FF6" w:tentative="1">
      <w:start w:val="1"/>
      <w:numFmt w:val="bullet"/>
      <w:lvlText w:val=""/>
      <w:lvlJc w:val="left"/>
      <w:pPr>
        <w:tabs>
          <w:tab w:val="num" w:pos="3600"/>
        </w:tabs>
        <w:ind w:left="3600" w:hanging="360"/>
      </w:pPr>
      <w:rPr>
        <w:rFonts w:ascii="Wingdings" w:hAnsi="Wingdings" w:hint="default"/>
      </w:rPr>
    </w:lvl>
    <w:lvl w:ilvl="5" w:tplc="63AA040C" w:tentative="1">
      <w:start w:val="1"/>
      <w:numFmt w:val="bullet"/>
      <w:lvlText w:val=""/>
      <w:lvlJc w:val="left"/>
      <w:pPr>
        <w:tabs>
          <w:tab w:val="num" w:pos="4320"/>
        </w:tabs>
        <w:ind w:left="4320" w:hanging="360"/>
      </w:pPr>
      <w:rPr>
        <w:rFonts w:ascii="Wingdings" w:hAnsi="Wingdings" w:hint="default"/>
      </w:rPr>
    </w:lvl>
    <w:lvl w:ilvl="6" w:tplc="84B0B9A6" w:tentative="1">
      <w:start w:val="1"/>
      <w:numFmt w:val="bullet"/>
      <w:lvlText w:val=""/>
      <w:lvlJc w:val="left"/>
      <w:pPr>
        <w:tabs>
          <w:tab w:val="num" w:pos="5040"/>
        </w:tabs>
        <w:ind w:left="5040" w:hanging="360"/>
      </w:pPr>
      <w:rPr>
        <w:rFonts w:ascii="Wingdings" w:hAnsi="Wingdings" w:hint="default"/>
      </w:rPr>
    </w:lvl>
    <w:lvl w:ilvl="7" w:tplc="A20AF290" w:tentative="1">
      <w:start w:val="1"/>
      <w:numFmt w:val="bullet"/>
      <w:lvlText w:val=""/>
      <w:lvlJc w:val="left"/>
      <w:pPr>
        <w:tabs>
          <w:tab w:val="num" w:pos="5760"/>
        </w:tabs>
        <w:ind w:left="5760" w:hanging="360"/>
      </w:pPr>
      <w:rPr>
        <w:rFonts w:ascii="Wingdings" w:hAnsi="Wingdings" w:hint="default"/>
      </w:rPr>
    </w:lvl>
    <w:lvl w:ilvl="8" w:tplc="409C36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E16569"/>
    <w:multiLevelType w:val="hybridMultilevel"/>
    <w:tmpl w:val="BF6E604A"/>
    <w:lvl w:ilvl="0" w:tplc="53B2354A">
      <w:start w:val="1"/>
      <w:numFmt w:val="decimal"/>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C97E76"/>
    <w:multiLevelType w:val="hybridMultilevel"/>
    <w:tmpl w:val="E976E4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5191"/>
    <w:rsid w:val="0000221D"/>
    <w:rsid w:val="00005721"/>
    <w:rsid w:val="0001116D"/>
    <w:rsid w:val="00022BA6"/>
    <w:rsid w:val="00027A06"/>
    <w:rsid w:val="000353B4"/>
    <w:rsid w:val="00050280"/>
    <w:rsid w:val="00051935"/>
    <w:rsid w:val="000662FA"/>
    <w:rsid w:val="00067468"/>
    <w:rsid w:val="00077BB4"/>
    <w:rsid w:val="00087B1D"/>
    <w:rsid w:val="00097A52"/>
    <w:rsid w:val="000A260B"/>
    <w:rsid w:val="000B57A8"/>
    <w:rsid w:val="000B7262"/>
    <w:rsid w:val="000B7701"/>
    <w:rsid w:val="000C3F9A"/>
    <w:rsid w:val="000D230B"/>
    <w:rsid w:val="000D56A6"/>
    <w:rsid w:val="000D6458"/>
    <w:rsid w:val="000E2623"/>
    <w:rsid w:val="001041B3"/>
    <w:rsid w:val="00107AF0"/>
    <w:rsid w:val="00107B12"/>
    <w:rsid w:val="00112808"/>
    <w:rsid w:val="001166AB"/>
    <w:rsid w:val="00120995"/>
    <w:rsid w:val="00121C44"/>
    <w:rsid w:val="00125A85"/>
    <w:rsid w:val="0013389F"/>
    <w:rsid w:val="00143ED2"/>
    <w:rsid w:val="00150DE8"/>
    <w:rsid w:val="00156576"/>
    <w:rsid w:val="0016453E"/>
    <w:rsid w:val="00164951"/>
    <w:rsid w:val="00172B55"/>
    <w:rsid w:val="0017421D"/>
    <w:rsid w:val="0017569F"/>
    <w:rsid w:val="00177A5A"/>
    <w:rsid w:val="00185533"/>
    <w:rsid w:val="0019034D"/>
    <w:rsid w:val="00191F80"/>
    <w:rsid w:val="001920F4"/>
    <w:rsid w:val="00194C54"/>
    <w:rsid w:val="00195B16"/>
    <w:rsid w:val="00195F49"/>
    <w:rsid w:val="001A0961"/>
    <w:rsid w:val="001B0667"/>
    <w:rsid w:val="001C1E95"/>
    <w:rsid w:val="001D23D5"/>
    <w:rsid w:val="001D521A"/>
    <w:rsid w:val="001D6179"/>
    <w:rsid w:val="001D6CE1"/>
    <w:rsid w:val="001E1C29"/>
    <w:rsid w:val="001E5F08"/>
    <w:rsid w:val="001E7DD0"/>
    <w:rsid w:val="001F20F3"/>
    <w:rsid w:val="001F3C1B"/>
    <w:rsid w:val="001F5311"/>
    <w:rsid w:val="001F60CA"/>
    <w:rsid w:val="002000FB"/>
    <w:rsid w:val="002139EF"/>
    <w:rsid w:val="00223B27"/>
    <w:rsid w:val="00226E8B"/>
    <w:rsid w:val="00227F76"/>
    <w:rsid w:val="002309D5"/>
    <w:rsid w:val="002309F2"/>
    <w:rsid w:val="00236EF1"/>
    <w:rsid w:val="00246212"/>
    <w:rsid w:val="00254780"/>
    <w:rsid w:val="0025497A"/>
    <w:rsid w:val="0026217E"/>
    <w:rsid w:val="00273EFB"/>
    <w:rsid w:val="002827A4"/>
    <w:rsid w:val="002833ED"/>
    <w:rsid w:val="002856F8"/>
    <w:rsid w:val="00286892"/>
    <w:rsid w:val="002871FB"/>
    <w:rsid w:val="0028732F"/>
    <w:rsid w:val="00290787"/>
    <w:rsid w:val="00296851"/>
    <w:rsid w:val="002B0491"/>
    <w:rsid w:val="002B623C"/>
    <w:rsid w:val="002D2B00"/>
    <w:rsid w:val="002D440A"/>
    <w:rsid w:val="002D496B"/>
    <w:rsid w:val="002D6D82"/>
    <w:rsid w:val="002D785D"/>
    <w:rsid w:val="002E3749"/>
    <w:rsid w:val="002E6B6B"/>
    <w:rsid w:val="002F0C6F"/>
    <w:rsid w:val="002F16FF"/>
    <w:rsid w:val="002F51C3"/>
    <w:rsid w:val="002F569D"/>
    <w:rsid w:val="00300A8F"/>
    <w:rsid w:val="003034D2"/>
    <w:rsid w:val="00313D6A"/>
    <w:rsid w:val="00314683"/>
    <w:rsid w:val="00315473"/>
    <w:rsid w:val="00317E32"/>
    <w:rsid w:val="00321914"/>
    <w:rsid w:val="0032360F"/>
    <w:rsid w:val="0034301B"/>
    <w:rsid w:val="00347446"/>
    <w:rsid w:val="00352BF3"/>
    <w:rsid w:val="00355CAF"/>
    <w:rsid w:val="00357123"/>
    <w:rsid w:val="003612FE"/>
    <w:rsid w:val="00366B48"/>
    <w:rsid w:val="003749E1"/>
    <w:rsid w:val="0038402F"/>
    <w:rsid w:val="0038486E"/>
    <w:rsid w:val="00385CCB"/>
    <w:rsid w:val="0039250E"/>
    <w:rsid w:val="00394064"/>
    <w:rsid w:val="003B6FE9"/>
    <w:rsid w:val="003C04FA"/>
    <w:rsid w:val="003C0C86"/>
    <w:rsid w:val="003C2860"/>
    <w:rsid w:val="003D0A7C"/>
    <w:rsid w:val="003E2C97"/>
    <w:rsid w:val="003E3891"/>
    <w:rsid w:val="003E4BC2"/>
    <w:rsid w:val="003E788C"/>
    <w:rsid w:val="003F0BC9"/>
    <w:rsid w:val="003F41FC"/>
    <w:rsid w:val="00403669"/>
    <w:rsid w:val="00405930"/>
    <w:rsid w:val="00407993"/>
    <w:rsid w:val="004101FA"/>
    <w:rsid w:val="004164BA"/>
    <w:rsid w:val="00420011"/>
    <w:rsid w:val="00420751"/>
    <w:rsid w:val="004214DC"/>
    <w:rsid w:val="00424C01"/>
    <w:rsid w:val="004275C7"/>
    <w:rsid w:val="0043115D"/>
    <w:rsid w:val="00442AE5"/>
    <w:rsid w:val="00462809"/>
    <w:rsid w:val="00473A72"/>
    <w:rsid w:val="004753BD"/>
    <w:rsid w:val="004761C9"/>
    <w:rsid w:val="00486F01"/>
    <w:rsid w:val="0049319A"/>
    <w:rsid w:val="004B0E4A"/>
    <w:rsid w:val="004B6D17"/>
    <w:rsid w:val="004C0E9D"/>
    <w:rsid w:val="004C1071"/>
    <w:rsid w:val="004C4345"/>
    <w:rsid w:val="004C604F"/>
    <w:rsid w:val="004D169B"/>
    <w:rsid w:val="004E00BD"/>
    <w:rsid w:val="0050204D"/>
    <w:rsid w:val="00504A4B"/>
    <w:rsid w:val="0050732E"/>
    <w:rsid w:val="005108EC"/>
    <w:rsid w:val="00511F1B"/>
    <w:rsid w:val="00513906"/>
    <w:rsid w:val="00514112"/>
    <w:rsid w:val="005170DA"/>
    <w:rsid w:val="00520397"/>
    <w:rsid w:val="0052443D"/>
    <w:rsid w:val="005325B2"/>
    <w:rsid w:val="005364A8"/>
    <w:rsid w:val="00545C3B"/>
    <w:rsid w:val="00557715"/>
    <w:rsid w:val="00557D4C"/>
    <w:rsid w:val="005600D7"/>
    <w:rsid w:val="00571D48"/>
    <w:rsid w:val="005734DB"/>
    <w:rsid w:val="00573734"/>
    <w:rsid w:val="00576BD3"/>
    <w:rsid w:val="0058465C"/>
    <w:rsid w:val="00585C09"/>
    <w:rsid w:val="00592400"/>
    <w:rsid w:val="00595650"/>
    <w:rsid w:val="00596209"/>
    <w:rsid w:val="005A0B8E"/>
    <w:rsid w:val="005B25B7"/>
    <w:rsid w:val="005C3CAC"/>
    <w:rsid w:val="005D567F"/>
    <w:rsid w:val="005E0F64"/>
    <w:rsid w:val="005E18D6"/>
    <w:rsid w:val="005E28DE"/>
    <w:rsid w:val="005E7AB9"/>
    <w:rsid w:val="005F0091"/>
    <w:rsid w:val="005F2713"/>
    <w:rsid w:val="005F3FE1"/>
    <w:rsid w:val="00602C49"/>
    <w:rsid w:val="0061097B"/>
    <w:rsid w:val="00611B84"/>
    <w:rsid w:val="00615D8C"/>
    <w:rsid w:val="00617CCD"/>
    <w:rsid w:val="00621A8C"/>
    <w:rsid w:val="00631F48"/>
    <w:rsid w:val="00637453"/>
    <w:rsid w:val="0064427D"/>
    <w:rsid w:val="00647749"/>
    <w:rsid w:val="006521FD"/>
    <w:rsid w:val="00653370"/>
    <w:rsid w:val="006548D2"/>
    <w:rsid w:val="0065726A"/>
    <w:rsid w:val="00662C43"/>
    <w:rsid w:val="00674AD5"/>
    <w:rsid w:val="0069221E"/>
    <w:rsid w:val="00695DF5"/>
    <w:rsid w:val="006A6989"/>
    <w:rsid w:val="006B11B1"/>
    <w:rsid w:val="006B232D"/>
    <w:rsid w:val="006B2B6A"/>
    <w:rsid w:val="006B77EE"/>
    <w:rsid w:val="006C4AE6"/>
    <w:rsid w:val="006C600D"/>
    <w:rsid w:val="006D41AF"/>
    <w:rsid w:val="006E050F"/>
    <w:rsid w:val="006E20A8"/>
    <w:rsid w:val="006E22D0"/>
    <w:rsid w:val="006E4D32"/>
    <w:rsid w:val="006F230C"/>
    <w:rsid w:val="006F6039"/>
    <w:rsid w:val="00715C33"/>
    <w:rsid w:val="00720A46"/>
    <w:rsid w:val="00731815"/>
    <w:rsid w:val="0075009F"/>
    <w:rsid w:val="00753099"/>
    <w:rsid w:val="00755A16"/>
    <w:rsid w:val="00756CD0"/>
    <w:rsid w:val="007631CB"/>
    <w:rsid w:val="00765684"/>
    <w:rsid w:val="0076628C"/>
    <w:rsid w:val="007671D1"/>
    <w:rsid w:val="00770A8A"/>
    <w:rsid w:val="00777DF4"/>
    <w:rsid w:val="00785367"/>
    <w:rsid w:val="007900A3"/>
    <w:rsid w:val="00791BAF"/>
    <w:rsid w:val="007953D1"/>
    <w:rsid w:val="007A282C"/>
    <w:rsid w:val="007A4FC4"/>
    <w:rsid w:val="007D7A38"/>
    <w:rsid w:val="007E1742"/>
    <w:rsid w:val="007E51D8"/>
    <w:rsid w:val="007F26BF"/>
    <w:rsid w:val="007F3A0B"/>
    <w:rsid w:val="007F5801"/>
    <w:rsid w:val="00805794"/>
    <w:rsid w:val="00806A28"/>
    <w:rsid w:val="008111A7"/>
    <w:rsid w:val="00812B1F"/>
    <w:rsid w:val="00815191"/>
    <w:rsid w:val="008160D5"/>
    <w:rsid w:val="00820D84"/>
    <w:rsid w:val="00821FCE"/>
    <w:rsid w:val="00826876"/>
    <w:rsid w:val="00826A64"/>
    <w:rsid w:val="00827CE0"/>
    <w:rsid w:val="00834198"/>
    <w:rsid w:val="008344FB"/>
    <w:rsid w:val="008412D6"/>
    <w:rsid w:val="00841896"/>
    <w:rsid w:val="00842BF1"/>
    <w:rsid w:val="008567E0"/>
    <w:rsid w:val="00857142"/>
    <w:rsid w:val="0086050F"/>
    <w:rsid w:val="008626F9"/>
    <w:rsid w:val="00862AEB"/>
    <w:rsid w:val="00865199"/>
    <w:rsid w:val="008834AD"/>
    <w:rsid w:val="008901E9"/>
    <w:rsid w:val="008B279A"/>
    <w:rsid w:val="008B32B9"/>
    <w:rsid w:val="008B57B8"/>
    <w:rsid w:val="008C238E"/>
    <w:rsid w:val="008C45B3"/>
    <w:rsid w:val="008C75A5"/>
    <w:rsid w:val="008D25BD"/>
    <w:rsid w:val="008D4999"/>
    <w:rsid w:val="008E32BE"/>
    <w:rsid w:val="008F0910"/>
    <w:rsid w:val="008F18FD"/>
    <w:rsid w:val="008F4342"/>
    <w:rsid w:val="008F5C9E"/>
    <w:rsid w:val="009148A9"/>
    <w:rsid w:val="00923192"/>
    <w:rsid w:val="00923340"/>
    <w:rsid w:val="009253BE"/>
    <w:rsid w:val="00927870"/>
    <w:rsid w:val="009420E1"/>
    <w:rsid w:val="009466EC"/>
    <w:rsid w:val="00951D24"/>
    <w:rsid w:val="00956339"/>
    <w:rsid w:val="009572BC"/>
    <w:rsid w:val="00960E50"/>
    <w:rsid w:val="009724B4"/>
    <w:rsid w:val="009734D8"/>
    <w:rsid w:val="00975C31"/>
    <w:rsid w:val="00977AD4"/>
    <w:rsid w:val="009810ED"/>
    <w:rsid w:val="00984DBB"/>
    <w:rsid w:val="00990069"/>
    <w:rsid w:val="009929F1"/>
    <w:rsid w:val="00993D16"/>
    <w:rsid w:val="009A3E38"/>
    <w:rsid w:val="009A5479"/>
    <w:rsid w:val="009B35B9"/>
    <w:rsid w:val="009C160E"/>
    <w:rsid w:val="009C2384"/>
    <w:rsid w:val="009C7D3A"/>
    <w:rsid w:val="009D0903"/>
    <w:rsid w:val="009D1346"/>
    <w:rsid w:val="009D4DA3"/>
    <w:rsid w:val="009D4E66"/>
    <w:rsid w:val="009D5955"/>
    <w:rsid w:val="009F1BFA"/>
    <w:rsid w:val="009F3DA3"/>
    <w:rsid w:val="009F7158"/>
    <w:rsid w:val="00A00098"/>
    <w:rsid w:val="00A05542"/>
    <w:rsid w:val="00A11865"/>
    <w:rsid w:val="00A16EB5"/>
    <w:rsid w:val="00A32ACA"/>
    <w:rsid w:val="00A412FE"/>
    <w:rsid w:val="00A42A69"/>
    <w:rsid w:val="00A507B7"/>
    <w:rsid w:val="00A75484"/>
    <w:rsid w:val="00A760D7"/>
    <w:rsid w:val="00A7661E"/>
    <w:rsid w:val="00A779A2"/>
    <w:rsid w:val="00A9284E"/>
    <w:rsid w:val="00A92856"/>
    <w:rsid w:val="00AA275F"/>
    <w:rsid w:val="00AA4726"/>
    <w:rsid w:val="00AB1A00"/>
    <w:rsid w:val="00AB25E0"/>
    <w:rsid w:val="00AB282D"/>
    <w:rsid w:val="00AB2992"/>
    <w:rsid w:val="00AB4206"/>
    <w:rsid w:val="00AB7B79"/>
    <w:rsid w:val="00AC0759"/>
    <w:rsid w:val="00AC2A2E"/>
    <w:rsid w:val="00AC746D"/>
    <w:rsid w:val="00AD1D9C"/>
    <w:rsid w:val="00AD382A"/>
    <w:rsid w:val="00AE0665"/>
    <w:rsid w:val="00AE1738"/>
    <w:rsid w:val="00AE2CC3"/>
    <w:rsid w:val="00AE7F82"/>
    <w:rsid w:val="00AF07EB"/>
    <w:rsid w:val="00AF3905"/>
    <w:rsid w:val="00AF5E1D"/>
    <w:rsid w:val="00AF5EDD"/>
    <w:rsid w:val="00B0039E"/>
    <w:rsid w:val="00B12EF2"/>
    <w:rsid w:val="00B21471"/>
    <w:rsid w:val="00B248E7"/>
    <w:rsid w:val="00B36111"/>
    <w:rsid w:val="00B45FF7"/>
    <w:rsid w:val="00B46B24"/>
    <w:rsid w:val="00B53F72"/>
    <w:rsid w:val="00B56A23"/>
    <w:rsid w:val="00B636C7"/>
    <w:rsid w:val="00B75AA9"/>
    <w:rsid w:val="00B920DC"/>
    <w:rsid w:val="00B9288C"/>
    <w:rsid w:val="00B941FF"/>
    <w:rsid w:val="00B94466"/>
    <w:rsid w:val="00BA50AA"/>
    <w:rsid w:val="00BB559D"/>
    <w:rsid w:val="00BB7C47"/>
    <w:rsid w:val="00BD04C9"/>
    <w:rsid w:val="00BD35CA"/>
    <w:rsid w:val="00BD4242"/>
    <w:rsid w:val="00BE4FA0"/>
    <w:rsid w:val="00BE59F5"/>
    <w:rsid w:val="00BF4AD9"/>
    <w:rsid w:val="00BF4BDB"/>
    <w:rsid w:val="00C06D93"/>
    <w:rsid w:val="00C10B4D"/>
    <w:rsid w:val="00C16609"/>
    <w:rsid w:val="00C2202E"/>
    <w:rsid w:val="00C241F0"/>
    <w:rsid w:val="00C31EB4"/>
    <w:rsid w:val="00C35A2C"/>
    <w:rsid w:val="00C40119"/>
    <w:rsid w:val="00C47C6A"/>
    <w:rsid w:val="00C51304"/>
    <w:rsid w:val="00C53312"/>
    <w:rsid w:val="00C553B5"/>
    <w:rsid w:val="00C60C87"/>
    <w:rsid w:val="00C61117"/>
    <w:rsid w:val="00C630BB"/>
    <w:rsid w:val="00C641DA"/>
    <w:rsid w:val="00C74E55"/>
    <w:rsid w:val="00C92039"/>
    <w:rsid w:val="00C9238C"/>
    <w:rsid w:val="00C97BFF"/>
    <w:rsid w:val="00CA450C"/>
    <w:rsid w:val="00CA6008"/>
    <w:rsid w:val="00CB3E27"/>
    <w:rsid w:val="00CC34C5"/>
    <w:rsid w:val="00CD1BC8"/>
    <w:rsid w:val="00CD3C8D"/>
    <w:rsid w:val="00CD5985"/>
    <w:rsid w:val="00CD61D2"/>
    <w:rsid w:val="00CD73B6"/>
    <w:rsid w:val="00CF3865"/>
    <w:rsid w:val="00D11FE6"/>
    <w:rsid w:val="00D15585"/>
    <w:rsid w:val="00D318C2"/>
    <w:rsid w:val="00D37289"/>
    <w:rsid w:val="00D42D25"/>
    <w:rsid w:val="00D44F8E"/>
    <w:rsid w:val="00D45A8D"/>
    <w:rsid w:val="00D56044"/>
    <w:rsid w:val="00D61CA4"/>
    <w:rsid w:val="00D62784"/>
    <w:rsid w:val="00D81CD7"/>
    <w:rsid w:val="00D8445D"/>
    <w:rsid w:val="00D85EC7"/>
    <w:rsid w:val="00D9321A"/>
    <w:rsid w:val="00D950D3"/>
    <w:rsid w:val="00DA758D"/>
    <w:rsid w:val="00DB293D"/>
    <w:rsid w:val="00DB5A83"/>
    <w:rsid w:val="00DC0320"/>
    <w:rsid w:val="00DC0C37"/>
    <w:rsid w:val="00DC0E1B"/>
    <w:rsid w:val="00DC4C77"/>
    <w:rsid w:val="00DC5065"/>
    <w:rsid w:val="00DD0E93"/>
    <w:rsid w:val="00DD19CD"/>
    <w:rsid w:val="00DE3D98"/>
    <w:rsid w:val="00DE499A"/>
    <w:rsid w:val="00DE75E4"/>
    <w:rsid w:val="00E042B1"/>
    <w:rsid w:val="00E04719"/>
    <w:rsid w:val="00E134BC"/>
    <w:rsid w:val="00E164DB"/>
    <w:rsid w:val="00E20750"/>
    <w:rsid w:val="00E231E9"/>
    <w:rsid w:val="00E24046"/>
    <w:rsid w:val="00E32D4A"/>
    <w:rsid w:val="00E35A96"/>
    <w:rsid w:val="00E3740E"/>
    <w:rsid w:val="00E517FF"/>
    <w:rsid w:val="00E533D4"/>
    <w:rsid w:val="00E558EA"/>
    <w:rsid w:val="00E600DD"/>
    <w:rsid w:val="00E6567A"/>
    <w:rsid w:val="00E65BAA"/>
    <w:rsid w:val="00E702B0"/>
    <w:rsid w:val="00E712A9"/>
    <w:rsid w:val="00E72C45"/>
    <w:rsid w:val="00E769F9"/>
    <w:rsid w:val="00E822A8"/>
    <w:rsid w:val="00EA490B"/>
    <w:rsid w:val="00EA7E9D"/>
    <w:rsid w:val="00EB2511"/>
    <w:rsid w:val="00EB2689"/>
    <w:rsid w:val="00EB76D1"/>
    <w:rsid w:val="00EC305F"/>
    <w:rsid w:val="00EC38FD"/>
    <w:rsid w:val="00EC3D3A"/>
    <w:rsid w:val="00EC3E01"/>
    <w:rsid w:val="00ED4FE1"/>
    <w:rsid w:val="00EF18B6"/>
    <w:rsid w:val="00EF3846"/>
    <w:rsid w:val="00EF7E0F"/>
    <w:rsid w:val="00F01660"/>
    <w:rsid w:val="00F07F47"/>
    <w:rsid w:val="00F12513"/>
    <w:rsid w:val="00F232A6"/>
    <w:rsid w:val="00F3418C"/>
    <w:rsid w:val="00F34D21"/>
    <w:rsid w:val="00F35292"/>
    <w:rsid w:val="00F37928"/>
    <w:rsid w:val="00F419F0"/>
    <w:rsid w:val="00F422B6"/>
    <w:rsid w:val="00F42E45"/>
    <w:rsid w:val="00F51B1E"/>
    <w:rsid w:val="00F54C38"/>
    <w:rsid w:val="00F55A9A"/>
    <w:rsid w:val="00F56CB9"/>
    <w:rsid w:val="00F57FF4"/>
    <w:rsid w:val="00F61B30"/>
    <w:rsid w:val="00F648E2"/>
    <w:rsid w:val="00F709B6"/>
    <w:rsid w:val="00F82C3D"/>
    <w:rsid w:val="00F92D70"/>
    <w:rsid w:val="00FA0964"/>
    <w:rsid w:val="00FB3F2D"/>
    <w:rsid w:val="00FD4448"/>
    <w:rsid w:val="00FE0BDC"/>
    <w:rsid w:val="00FE2896"/>
    <w:rsid w:val="00FF2A70"/>
    <w:rsid w:val="00FF35B5"/>
    <w:rsid w:val="00FF58DA"/>
    <w:rsid w:val="00FF6993"/>
    <w:rsid w:val="00FF6B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3613D6"/>
  <w15:docId w15:val="{B388490F-B400-4C13-9921-DC0BA083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7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9F7158"/>
    <w:pPr>
      <w:ind w:left="720"/>
      <w:contextualSpacing/>
    </w:pPr>
  </w:style>
  <w:style w:type="character" w:styleId="Hyperlink">
    <w:name w:val="Hyperlink"/>
    <w:uiPriority w:val="99"/>
    <w:unhideWhenUsed/>
    <w:rsid w:val="00405930"/>
    <w:rPr>
      <w:color w:val="0000FF"/>
      <w:u w:val="single"/>
    </w:rPr>
  </w:style>
  <w:style w:type="character" w:customStyle="1" w:styleId="FontStyle97">
    <w:name w:val="Font Style97"/>
    <w:basedOn w:val="DefaultParagraphFont"/>
    <w:uiPriority w:val="99"/>
    <w:rsid w:val="004753BD"/>
    <w:rPr>
      <w:rFonts w:ascii="Palatino Linotype" w:hAnsi="Palatino Linotype" w:cs="Palatino Linotype"/>
      <w:sz w:val="18"/>
      <w:szCs w:val="18"/>
    </w:rPr>
  </w:style>
  <w:style w:type="paragraph" w:styleId="BodyText">
    <w:name w:val="Body Text"/>
    <w:basedOn w:val="Normal"/>
    <w:link w:val="BodyTextChar"/>
    <w:uiPriority w:val="1"/>
    <w:qFormat/>
    <w:rsid w:val="0064427D"/>
    <w:pPr>
      <w:widowControl w:val="0"/>
      <w:autoSpaceDE w:val="0"/>
      <w:autoSpaceDN w:val="0"/>
      <w:spacing w:after="200" w:line="276" w:lineRule="auto"/>
      <w:ind w:left="305" w:firstLine="719"/>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4427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F2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0F3"/>
  </w:style>
  <w:style w:type="paragraph" w:styleId="Footer">
    <w:name w:val="footer"/>
    <w:basedOn w:val="Normal"/>
    <w:link w:val="FooterChar"/>
    <w:uiPriority w:val="99"/>
    <w:unhideWhenUsed/>
    <w:rsid w:val="001F2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0F3"/>
  </w:style>
  <w:style w:type="paragraph" w:styleId="BalloonText">
    <w:name w:val="Balloon Text"/>
    <w:basedOn w:val="Normal"/>
    <w:link w:val="BalloonTextChar"/>
    <w:uiPriority w:val="99"/>
    <w:semiHidden/>
    <w:unhideWhenUsed/>
    <w:rsid w:val="00FF3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5B5"/>
    <w:rPr>
      <w:rFonts w:ascii="Tahoma" w:hAnsi="Tahoma" w:cs="Tahoma"/>
      <w:sz w:val="16"/>
      <w:szCs w:val="16"/>
    </w:rPr>
  </w:style>
  <w:style w:type="character" w:styleId="UnresolvedMention">
    <w:name w:val="Unresolved Mention"/>
    <w:basedOn w:val="DefaultParagraphFont"/>
    <w:uiPriority w:val="99"/>
    <w:semiHidden/>
    <w:unhideWhenUsed/>
    <w:rsid w:val="0028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847392">
      <w:bodyDiv w:val="1"/>
      <w:marLeft w:val="0"/>
      <w:marRight w:val="0"/>
      <w:marTop w:val="0"/>
      <w:marBottom w:val="0"/>
      <w:divBdr>
        <w:top w:val="none" w:sz="0" w:space="0" w:color="auto"/>
        <w:left w:val="none" w:sz="0" w:space="0" w:color="auto"/>
        <w:bottom w:val="none" w:sz="0" w:space="0" w:color="auto"/>
        <w:right w:val="none" w:sz="0" w:space="0" w:color="auto"/>
      </w:divBdr>
    </w:div>
    <w:div w:id="1133521722">
      <w:bodyDiv w:val="1"/>
      <w:marLeft w:val="0"/>
      <w:marRight w:val="0"/>
      <w:marTop w:val="0"/>
      <w:marBottom w:val="0"/>
      <w:divBdr>
        <w:top w:val="none" w:sz="0" w:space="0" w:color="auto"/>
        <w:left w:val="none" w:sz="0" w:space="0" w:color="auto"/>
        <w:bottom w:val="none" w:sz="0" w:space="0" w:color="auto"/>
        <w:right w:val="none" w:sz="0" w:space="0" w:color="auto"/>
      </w:divBdr>
      <w:divsChild>
        <w:div w:id="1781148343">
          <w:marLeft w:val="547"/>
          <w:marRight w:val="0"/>
          <w:marTop w:val="0"/>
          <w:marBottom w:val="0"/>
          <w:divBdr>
            <w:top w:val="none" w:sz="0" w:space="0" w:color="auto"/>
            <w:left w:val="none" w:sz="0" w:space="0" w:color="auto"/>
            <w:bottom w:val="none" w:sz="0" w:space="0" w:color="auto"/>
            <w:right w:val="none" w:sz="0" w:space="0" w:color="auto"/>
          </w:divBdr>
        </w:div>
      </w:divsChild>
    </w:div>
    <w:div w:id="1524586793">
      <w:bodyDiv w:val="1"/>
      <w:marLeft w:val="0"/>
      <w:marRight w:val="0"/>
      <w:marTop w:val="0"/>
      <w:marBottom w:val="0"/>
      <w:divBdr>
        <w:top w:val="none" w:sz="0" w:space="0" w:color="auto"/>
        <w:left w:val="none" w:sz="0" w:space="0" w:color="auto"/>
        <w:bottom w:val="none" w:sz="0" w:space="0" w:color="auto"/>
        <w:right w:val="none" w:sz="0" w:space="0" w:color="auto"/>
      </w:divBdr>
      <w:divsChild>
        <w:div w:id="6007185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41052847117519"/>
          <c:y val="5.2757793764988022E-2"/>
          <c:w val="0.7415800152640496"/>
          <c:h val="0.71073547461243636"/>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7713-4A89-986E-9FBBAB5FD9FC}"/>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7713-4A89-986E-9FBBAB5FD9FC}"/>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7713-4A89-986E-9FBBAB5FD9FC}"/>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Sheet3!$A$2:$A$5</c:f>
              <c:strCache>
                <c:ptCount val="3"/>
                <c:pt idx="0">
                  <c:v>&lt; 1.2</c:v>
                </c:pt>
                <c:pt idx="1">
                  <c:v>1.2 - 1.4</c:v>
                </c:pt>
                <c:pt idx="2">
                  <c:v>1.4 - 1.6</c:v>
                </c:pt>
              </c:strCache>
            </c:strRef>
          </c:cat>
          <c:val>
            <c:numRef>
              <c:f>Sheet3!$B$2:$B$5</c:f>
              <c:numCache>
                <c:formatCode>General</c:formatCode>
                <c:ptCount val="4"/>
                <c:pt idx="0">
                  <c:v>5</c:v>
                </c:pt>
                <c:pt idx="1">
                  <c:v>70</c:v>
                </c:pt>
                <c:pt idx="2">
                  <c:v>25</c:v>
                </c:pt>
              </c:numCache>
            </c:numRef>
          </c:val>
          <c:extLst>
            <c:ext xmlns:c16="http://schemas.microsoft.com/office/drawing/2014/chart" uri="{C3380CC4-5D6E-409C-BE32-E72D297353CC}">
              <c16:uniqueId val="{00000006-7713-4A89-986E-9FBBAB5FD9FC}"/>
            </c:ext>
          </c:extLst>
        </c:ser>
        <c:dLbls>
          <c:showLegendKey val="0"/>
          <c:showVal val="0"/>
          <c:showCatName val="0"/>
          <c:showSerName val="0"/>
          <c:showPercent val="0"/>
          <c:showBubbleSize val="0"/>
        </c:dLbls>
        <c:gapWidth val="150"/>
        <c:axId val="125524224"/>
        <c:axId val="166142336"/>
      </c:barChart>
      <c:catAx>
        <c:axId val="125524224"/>
        <c:scaling>
          <c:orientation val="minMax"/>
        </c:scaling>
        <c:delete val="0"/>
        <c:axPos val="b"/>
        <c:title>
          <c:tx>
            <c:rich>
              <a:bodyPr/>
              <a:lstStyle/>
              <a:p>
                <a:pPr>
                  <a:defRPr sz="1000" b="1"/>
                </a:pPr>
                <a:r>
                  <a:rPr lang="en-IN" sz="1000" b="1">
                    <a:latin typeface="Times New Roman" panose="02020603050405020304" pitchFamily="18" charset="0"/>
                    <a:cs typeface="Times New Roman" panose="02020603050405020304" pitchFamily="18" charset="0"/>
                  </a:rPr>
                  <a:t>Bulk</a:t>
                </a:r>
                <a:r>
                  <a:rPr lang="en-IN" sz="1000" b="1" baseline="0">
                    <a:latin typeface="Times New Roman" panose="02020603050405020304" pitchFamily="18" charset="0"/>
                    <a:cs typeface="Times New Roman" panose="02020603050405020304" pitchFamily="18" charset="0"/>
                  </a:rPr>
                  <a:t> density </a:t>
                </a:r>
                <a:r>
                  <a:rPr lang="en-IN" sz="1000" b="1" i="0" u="none" strike="noStrike" baseline="0">
                    <a:effectLst/>
                    <a:latin typeface="Times New Roman" panose="02020603050405020304" pitchFamily="18" charset="0"/>
                    <a:cs typeface="Times New Roman" panose="02020603050405020304" pitchFamily="18" charset="0"/>
                  </a:rPr>
                  <a:t>(Mg m</a:t>
                </a:r>
                <a:r>
                  <a:rPr lang="en-IN" sz="1000" b="1" i="0" u="none" strike="noStrike" baseline="30000">
                    <a:effectLst/>
                    <a:latin typeface="Times New Roman" panose="02020603050405020304" pitchFamily="18" charset="0"/>
                    <a:cs typeface="Times New Roman" panose="02020603050405020304" pitchFamily="18" charset="0"/>
                  </a:rPr>
                  <a:t>-3</a:t>
                </a:r>
                <a:r>
                  <a:rPr lang="en-IN" sz="1000" b="1" i="0" u="none" strike="noStrike" baseline="0">
                    <a:effectLst/>
                    <a:latin typeface="Times New Roman" panose="02020603050405020304" pitchFamily="18" charset="0"/>
                    <a:cs typeface="Times New Roman" panose="02020603050405020304" pitchFamily="18" charset="0"/>
                  </a:rPr>
                  <a:t> ) </a:t>
                </a:r>
                <a:endParaRPr lang="en-IN" sz="1000" b="1">
                  <a:latin typeface="Times New Roman" panose="02020603050405020304" pitchFamily="18" charset="0"/>
                  <a:cs typeface="Times New Roman" panose="02020603050405020304" pitchFamily="18" charset="0"/>
                </a:endParaRPr>
              </a:p>
            </c:rich>
          </c:tx>
          <c:layout>
            <c:manualLayout>
              <c:xMode val="edge"/>
              <c:yMode val="edge"/>
              <c:x val="0.32046536736099507"/>
              <c:y val="0.8842791593496856"/>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166142336"/>
        <c:crosses val="autoZero"/>
        <c:auto val="1"/>
        <c:lblAlgn val="ctr"/>
        <c:lblOffset val="100"/>
        <c:noMultiLvlLbl val="0"/>
      </c:catAx>
      <c:valAx>
        <c:axId val="166142336"/>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4.5138962372786397E-2"/>
              <c:y val="0.29628448882914044"/>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12552422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04643283225975"/>
          <c:y val="0.15121449041484666"/>
          <c:w val="0.72162023383440754"/>
          <c:h val="0.60577353625849817"/>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7128-4497-9545-B3B1193B16EB}"/>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7128-4497-9545-B3B1193B16EB}"/>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Sheet25!$A$2:$A$3</c:f>
              <c:strCache>
                <c:ptCount val="2"/>
                <c:pt idx="0">
                  <c:v>Low (&lt; 280)</c:v>
                </c:pt>
                <c:pt idx="1">
                  <c:v>Medium (280-560)</c:v>
                </c:pt>
              </c:strCache>
            </c:strRef>
          </c:cat>
          <c:val>
            <c:numRef>
              <c:f>Sheet25!$B$2:$B$3</c:f>
              <c:numCache>
                <c:formatCode>General</c:formatCode>
                <c:ptCount val="2"/>
                <c:pt idx="0">
                  <c:v>20</c:v>
                </c:pt>
                <c:pt idx="1">
                  <c:v>80</c:v>
                </c:pt>
              </c:numCache>
            </c:numRef>
          </c:val>
          <c:extLst>
            <c:ext xmlns:c16="http://schemas.microsoft.com/office/drawing/2014/chart" uri="{C3380CC4-5D6E-409C-BE32-E72D297353CC}">
              <c16:uniqueId val="{00000004-7128-4497-9545-B3B1193B16EB}"/>
            </c:ext>
          </c:extLst>
        </c:ser>
        <c:dLbls>
          <c:showLegendKey val="0"/>
          <c:showVal val="0"/>
          <c:showCatName val="0"/>
          <c:showSerName val="0"/>
          <c:showPercent val="0"/>
          <c:showBubbleSize val="0"/>
        </c:dLbls>
        <c:gapWidth val="150"/>
        <c:axId val="125277312"/>
        <c:axId val="125279232"/>
      </c:barChart>
      <c:catAx>
        <c:axId val="12527731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Nitrogen </a:t>
                </a:r>
                <a:r>
                  <a:rPr lang="en-IN" sz="1000" b="1" i="0" u="none" strike="noStrike" baseline="0">
                    <a:effectLst/>
                    <a:latin typeface="Times New Roman" panose="02020603050405020304" pitchFamily="18" charset="0"/>
                    <a:cs typeface="Times New Roman" panose="02020603050405020304" pitchFamily="18" charset="0"/>
                  </a:rPr>
                  <a:t>(kg ha</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32090975900739682"/>
              <c:y val="0.89266610904406163"/>
            </c:manualLayout>
          </c:layout>
          <c:overlay val="0"/>
        </c:title>
        <c:numFmt formatCode="General" sourceLinked="1"/>
        <c:majorTickMark val="out"/>
        <c:minorTickMark val="none"/>
        <c:tickLblPos val="nextTo"/>
        <c:spPr>
          <a:ln>
            <a:solidFill>
              <a:schemeClr val="tx1"/>
            </a:solidFill>
          </a:ln>
        </c:spPr>
        <c:crossAx val="125279232"/>
        <c:crosses val="autoZero"/>
        <c:auto val="1"/>
        <c:lblAlgn val="ctr"/>
        <c:lblOffset val="100"/>
        <c:noMultiLvlLbl val="0"/>
      </c:catAx>
      <c:valAx>
        <c:axId val="125279232"/>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7.4669247904295674E-2"/>
              <c:y val="0.31004593175853018"/>
            </c:manualLayout>
          </c:layout>
          <c:overlay val="0"/>
        </c:title>
        <c:numFmt formatCode="General" sourceLinked="1"/>
        <c:majorTickMark val="out"/>
        <c:minorTickMark val="none"/>
        <c:tickLblPos val="nextTo"/>
        <c:spPr>
          <a:ln>
            <a:solidFill>
              <a:schemeClr val="tx1"/>
            </a:solidFill>
          </a:ln>
        </c:spPr>
        <c:crossAx val="12527731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24859392575929"/>
          <c:y val="0.11578885972586757"/>
          <c:w val="0.74210650497956043"/>
          <c:h val="0.60375442200159812"/>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D26D-4A0B-9AF4-1B95BE303B46}"/>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D26D-4A0B-9AF4-1B95BE303B46}"/>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D26D-4A0B-9AF4-1B95BE303B46}"/>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Sheet26!$A$2:$A$4</c:f>
              <c:strCache>
                <c:ptCount val="3"/>
                <c:pt idx="0">
                  <c:v>Low (&lt; 10)</c:v>
                </c:pt>
                <c:pt idx="1">
                  <c:v>Medium (10.1-24.0)</c:v>
                </c:pt>
                <c:pt idx="2">
                  <c:v>High (&gt; 24)</c:v>
                </c:pt>
              </c:strCache>
            </c:strRef>
          </c:cat>
          <c:val>
            <c:numRef>
              <c:f>Sheet26!$B$2:$B$4</c:f>
              <c:numCache>
                <c:formatCode>General</c:formatCode>
                <c:ptCount val="3"/>
                <c:pt idx="0">
                  <c:v>7.84</c:v>
                </c:pt>
                <c:pt idx="1">
                  <c:v>50.98</c:v>
                </c:pt>
                <c:pt idx="2">
                  <c:v>41.18</c:v>
                </c:pt>
              </c:numCache>
            </c:numRef>
          </c:val>
          <c:extLst>
            <c:ext xmlns:c16="http://schemas.microsoft.com/office/drawing/2014/chart" uri="{C3380CC4-5D6E-409C-BE32-E72D297353CC}">
              <c16:uniqueId val="{00000006-D26D-4A0B-9AF4-1B95BE303B46}"/>
            </c:ext>
          </c:extLst>
        </c:ser>
        <c:dLbls>
          <c:showLegendKey val="0"/>
          <c:showVal val="0"/>
          <c:showCatName val="0"/>
          <c:showSerName val="0"/>
          <c:showPercent val="0"/>
          <c:showBubbleSize val="0"/>
        </c:dLbls>
        <c:gapWidth val="150"/>
        <c:axId val="125293312"/>
        <c:axId val="125295232"/>
      </c:barChart>
      <c:catAx>
        <c:axId val="12529331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phosphorus </a:t>
                </a:r>
                <a:r>
                  <a:rPr lang="en-IN" sz="1000" b="1" i="0" u="none" strike="noStrike" baseline="0">
                    <a:effectLst/>
                    <a:latin typeface="Times New Roman" panose="02020603050405020304" pitchFamily="18" charset="0"/>
                    <a:cs typeface="Times New Roman" panose="02020603050405020304" pitchFamily="18" charset="0"/>
                  </a:rPr>
                  <a:t>(kg ha</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5147896742792225"/>
              <c:y val="0.91364118786461734"/>
            </c:manualLayout>
          </c:layout>
          <c:overlay val="0"/>
        </c:title>
        <c:numFmt formatCode="General" sourceLinked="1"/>
        <c:majorTickMark val="out"/>
        <c:minorTickMark val="none"/>
        <c:tickLblPos val="nextTo"/>
        <c:spPr>
          <a:ln>
            <a:solidFill>
              <a:schemeClr val="tx1"/>
            </a:solidFill>
          </a:ln>
        </c:spPr>
        <c:crossAx val="125295232"/>
        <c:crosses val="autoZero"/>
        <c:auto val="1"/>
        <c:lblAlgn val="ctr"/>
        <c:lblOffset val="100"/>
        <c:noMultiLvlLbl val="0"/>
      </c:catAx>
      <c:valAx>
        <c:axId val="125295232"/>
        <c:scaling>
          <c:orientation val="minMax"/>
          <c:max val="7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3.2044200996614577E-2"/>
              <c:y val="0.22353604735578264"/>
            </c:manualLayout>
          </c:layout>
          <c:overlay val="0"/>
        </c:title>
        <c:numFmt formatCode="General" sourceLinked="1"/>
        <c:majorTickMark val="out"/>
        <c:minorTickMark val="none"/>
        <c:tickLblPos val="nextTo"/>
        <c:spPr>
          <a:ln>
            <a:solidFill>
              <a:schemeClr val="tx1"/>
            </a:solidFill>
          </a:ln>
        </c:spPr>
        <c:crossAx val="12529331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99560997935761"/>
          <c:y val="0.17800445398870593"/>
          <c:w val="0.74101904521721251"/>
          <c:h val="0.55440586972083039"/>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6D32-42F2-B877-132EE2519CE7}"/>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6D32-42F2-B877-132EE2519CE7}"/>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6D32-42F2-B877-132EE2519CE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Sheet14!$A$2:$A$4</c:f>
              <c:strCache>
                <c:ptCount val="3"/>
                <c:pt idx="0">
                  <c:v>Low (&lt; 115)</c:v>
                </c:pt>
                <c:pt idx="1">
                  <c:v>Medium (115-275)</c:v>
                </c:pt>
                <c:pt idx="2">
                  <c:v>High (&gt; 275)</c:v>
                </c:pt>
              </c:strCache>
            </c:strRef>
          </c:cat>
          <c:val>
            <c:numRef>
              <c:f>Sheet14!$B$2:$B$4</c:f>
              <c:numCache>
                <c:formatCode>General</c:formatCode>
                <c:ptCount val="3"/>
                <c:pt idx="0">
                  <c:v>15</c:v>
                </c:pt>
                <c:pt idx="1">
                  <c:v>30</c:v>
                </c:pt>
                <c:pt idx="2">
                  <c:v>55</c:v>
                </c:pt>
              </c:numCache>
            </c:numRef>
          </c:val>
          <c:extLst>
            <c:ext xmlns:c16="http://schemas.microsoft.com/office/drawing/2014/chart" uri="{C3380CC4-5D6E-409C-BE32-E72D297353CC}">
              <c16:uniqueId val="{00000006-6D32-42F2-B877-132EE2519CE7}"/>
            </c:ext>
          </c:extLst>
        </c:ser>
        <c:dLbls>
          <c:showLegendKey val="0"/>
          <c:showVal val="0"/>
          <c:showCatName val="0"/>
          <c:showSerName val="0"/>
          <c:showPercent val="0"/>
          <c:showBubbleSize val="0"/>
        </c:dLbls>
        <c:gapWidth val="150"/>
        <c:axId val="126620032"/>
        <c:axId val="126621952"/>
      </c:barChart>
      <c:catAx>
        <c:axId val="12662003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 Potassium </a:t>
                </a:r>
                <a:r>
                  <a:rPr lang="en-IN" sz="1000" b="1" i="0" u="none" strike="noStrike" baseline="0">
                    <a:effectLst/>
                    <a:latin typeface="Times New Roman" panose="02020603050405020304" pitchFamily="18" charset="0"/>
                    <a:cs typeface="Times New Roman" panose="02020603050405020304" pitchFamily="18" charset="0"/>
                  </a:rPr>
                  <a:t>(kg ha</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5705237932215014"/>
              <c:y val="0.89613423322084762"/>
            </c:manualLayout>
          </c:layout>
          <c:overlay val="0"/>
        </c:title>
        <c:numFmt formatCode="General" sourceLinked="1"/>
        <c:majorTickMark val="out"/>
        <c:minorTickMark val="none"/>
        <c:tickLblPos val="nextTo"/>
        <c:spPr>
          <a:ln>
            <a:solidFill>
              <a:schemeClr val="tx1"/>
            </a:solidFill>
          </a:ln>
        </c:spPr>
        <c:crossAx val="126621952"/>
        <c:crosses val="autoZero"/>
        <c:auto val="1"/>
        <c:lblAlgn val="ctr"/>
        <c:lblOffset val="100"/>
        <c:noMultiLvlLbl val="0"/>
      </c:catAx>
      <c:valAx>
        <c:axId val="126621952"/>
        <c:scaling>
          <c:orientation val="minMax"/>
          <c:max val="7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2.8704383482313838E-2"/>
              <c:y val="0.22764213169006053"/>
            </c:manualLayout>
          </c:layout>
          <c:overlay val="0"/>
        </c:title>
        <c:numFmt formatCode="General" sourceLinked="1"/>
        <c:majorTickMark val="out"/>
        <c:minorTickMark val="none"/>
        <c:tickLblPos val="nextTo"/>
        <c:spPr>
          <a:ln>
            <a:solidFill>
              <a:schemeClr val="tx1"/>
            </a:solidFill>
          </a:ln>
        </c:spPr>
        <c:crossAx val="12662003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35200657169768"/>
          <c:y val="0.10478256607965503"/>
          <c:w val="0.75840172919561522"/>
          <c:h val="0.61880964049618326"/>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A455-4AD8-8AAF-002095D718BA}"/>
              </c:ext>
            </c:extLst>
          </c:dPt>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3-A455-4AD8-8AAF-002095D718B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Sheet29!$A$2:$A$3</c:f>
              <c:strCache>
                <c:ptCount val="2"/>
                <c:pt idx="0">
                  <c:v>Deficient (&lt; 300)</c:v>
                </c:pt>
                <c:pt idx="1">
                  <c:v>Adequate (&gt; 300)</c:v>
                </c:pt>
              </c:strCache>
            </c:strRef>
          </c:cat>
          <c:val>
            <c:numRef>
              <c:f>Sheet29!$B$2:$B$3</c:f>
              <c:numCache>
                <c:formatCode>General</c:formatCode>
                <c:ptCount val="2"/>
                <c:pt idx="0">
                  <c:v>5</c:v>
                </c:pt>
                <c:pt idx="1">
                  <c:v>95</c:v>
                </c:pt>
              </c:numCache>
            </c:numRef>
          </c:val>
          <c:extLst>
            <c:ext xmlns:c16="http://schemas.microsoft.com/office/drawing/2014/chart" uri="{C3380CC4-5D6E-409C-BE32-E72D297353CC}">
              <c16:uniqueId val="{00000004-A455-4AD8-8AAF-002095D718BA}"/>
            </c:ext>
          </c:extLst>
        </c:ser>
        <c:dLbls>
          <c:showLegendKey val="0"/>
          <c:showVal val="0"/>
          <c:showCatName val="0"/>
          <c:showSerName val="0"/>
          <c:showPercent val="0"/>
          <c:showBubbleSize val="0"/>
        </c:dLbls>
        <c:gapWidth val="150"/>
        <c:axId val="126647680"/>
        <c:axId val="126649856"/>
      </c:barChart>
      <c:catAx>
        <c:axId val="12664768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 Calcium </a:t>
                </a:r>
                <a:r>
                  <a:rPr lang="en-IN" sz="1000" b="1" i="0" u="none" strike="noStrike" baseline="0">
                    <a:effectLst/>
                    <a:latin typeface="Times New Roman" panose="02020603050405020304" pitchFamily="18" charset="0"/>
                    <a:cs typeface="Times New Roman" panose="02020603050405020304" pitchFamily="18" charset="0"/>
                  </a:rPr>
                  <a:t>(mg kg</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6159564613246872"/>
              <c:y val="0.87490748303764931"/>
            </c:manualLayout>
          </c:layout>
          <c:overlay val="0"/>
        </c:title>
        <c:numFmt formatCode="General" sourceLinked="1"/>
        <c:majorTickMark val="out"/>
        <c:minorTickMark val="none"/>
        <c:tickLblPos val="nextTo"/>
        <c:spPr>
          <a:ln>
            <a:solidFill>
              <a:schemeClr val="tx1"/>
            </a:solidFill>
          </a:ln>
        </c:spPr>
        <c:crossAx val="126649856"/>
        <c:crosses val="autoZero"/>
        <c:auto val="1"/>
        <c:lblAlgn val="ctr"/>
        <c:lblOffset val="100"/>
        <c:noMultiLvlLbl val="0"/>
      </c:catAx>
      <c:valAx>
        <c:axId val="126649856"/>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6175698625907068E-2"/>
              <c:y val="0.20369762908267172"/>
            </c:manualLayout>
          </c:layout>
          <c:overlay val="0"/>
        </c:title>
        <c:numFmt formatCode="General" sourceLinked="1"/>
        <c:majorTickMark val="out"/>
        <c:minorTickMark val="none"/>
        <c:tickLblPos val="nextTo"/>
        <c:spPr>
          <a:ln>
            <a:solidFill>
              <a:schemeClr val="tx1"/>
            </a:solidFill>
          </a:ln>
        </c:spPr>
        <c:crossAx val="12664768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23193811299918"/>
          <c:y val="0.11913266028468439"/>
          <c:w val="0.77676808398950181"/>
          <c:h val="0.60349723919364862"/>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04FA-448B-9900-D5F32F1AF8CF}"/>
              </c:ext>
            </c:extLst>
          </c:dPt>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3-04FA-448B-9900-D5F32F1AF8CF}"/>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Sheet31!$A$2:$A$3</c:f>
              <c:strCache>
                <c:ptCount val="2"/>
                <c:pt idx="0">
                  <c:v>Deficient (&lt; 120)</c:v>
                </c:pt>
                <c:pt idx="1">
                  <c:v>Adequate (&gt;120)</c:v>
                </c:pt>
              </c:strCache>
            </c:strRef>
          </c:cat>
          <c:val>
            <c:numRef>
              <c:f>Sheet31!$B$2:$B$3</c:f>
              <c:numCache>
                <c:formatCode>General</c:formatCode>
                <c:ptCount val="2"/>
                <c:pt idx="0">
                  <c:v>60</c:v>
                </c:pt>
                <c:pt idx="1">
                  <c:v>40</c:v>
                </c:pt>
              </c:numCache>
            </c:numRef>
          </c:val>
          <c:extLst>
            <c:ext xmlns:c16="http://schemas.microsoft.com/office/drawing/2014/chart" uri="{C3380CC4-5D6E-409C-BE32-E72D297353CC}">
              <c16:uniqueId val="{00000004-04FA-448B-9900-D5F32F1AF8CF}"/>
            </c:ext>
          </c:extLst>
        </c:ser>
        <c:dLbls>
          <c:showLegendKey val="0"/>
          <c:showVal val="0"/>
          <c:showCatName val="0"/>
          <c:showSerName val="0"/>
          <c:showPercent val="0"/>
          <c:showBubbleSize val="0"/>
        </c:dLbls>
        <c:gapWidth val="150"/>
        <c:axId val="126663296"/>
        <c:axId val="126812928"/>
      </c:barChart>
      <c:catAx>
        <c:axId val="126663296"/>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Magnesium </a:t>
                </a:r>
                <a:r>
                  <a:rPr lang="en-IN" sz="1000" b="1" i="0" u="none" strike="noStrike" baseline="0">
                    <a:effectLst/>
                    <a:latin typeface="Times New Roman" panose="02020603050405020304" pitchFamily="18" charset="0"/>
                    <a:cs typeface="Times New Roman" panose="02020603050405020304" pitchFamily="18" charset="0"/>
                  </a:rPr>
                  <a:t>(mg kg</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4328020997375327"/>
              <c:y val="0.86918025288332756"/>
            </c:manualLayout>
          </c:layout>
          <c:overlay val="0"/>
        </c:title>
        <c:numFmt formatCode="General" sourceLinked="1"/>
        <c:majorTickMark val="out"/>
        <c:minorTickMark val="none"/>
        <c:tickLblPos val="nextTo"/>
        <c:spPr>
          <a:ln>
            <a:solidFill>
              <a:schemeClr val="tx1"/>
            </a:solidFill>
          </a:ln>
        </c:spPr>
        <c:crossAx val="126812928"/>
        <c:crosses val="autoZero"/>
        <c:auto val="1"/>
        <c:lblAlgn val="ctr"/>
        <c:lblOffset val="100"/>
        <c:noMultiLvlLbl val="0"/>
      </c:catAx>
      <c:valAx>
        <c:axId val="12681292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3.2650576658373752E-2"/>
              <c:y val="0.2283621393798804"/>
            </c:manualLayout>
          </c:layout>
          <c:overlay val="0"/>
        </c:title>
        <c:numFmt formatCode="General" sourceLinked="1"/>
        <c:majorTickMark val="out"/>
        <c:minorTickMark val="none"/>
        <c:tickLblPos val="nextTo"/>
        <c:spPr>
          <a:ln>
            <a:solidFill>
              <a:schemeClr val="tx1"/>
            </a:solidFill>
          </a:ln>
        </c:spPr>
        <c:crossAx val="12666329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932633420822416"/>
          <c:y val="0.10829328152162805"/>
          <c:w val="0.7079790026246725"/>
          <c:h val="0.61273477178989011"/>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3C37-4DF9-B97E-FB9AEDE09E70}"/>
              </c:ext>
            </c:extLst>
          </c:dPt>
          <c:dPt>
            <c:idx val="1"/>
            <c:invertIfNegative val="0"/>
            <c:bubble3D val="0"/>
            <c:spPr>
              <a:solidFill>
                <a:srgbClr val="00FF00"/>
              </a:solidFill>
            </c:spPr>
            <c:extLst>
              <c:ext xmlns:c16="http://schemas.microsoft.com/office/drawing/2014/chart" uri="{C3380CC4-5D6E-409C-BE32-E72D297353CC}">
                <c16:uniqueId val="{00000003-3C37-4DF9-B97E-FB9AEDE09E70}"/>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Sheet53!$A$2:$A$3</c:f>
              <c:strCache>
                <c:ptCount val="2"/>
                <c:pt idx="0">
                  <c:v>Deficient (&lt; 5)</c:v>
                </c:pt>
                <c:pt idx="1">
                  <c:v>Adequate (&gt; 5)</c:v>
                </c:pt>
              </c:strCache>
            </c:strRef>
          </c:cat>
          <c:val>
            <c:numRef>
              <c:f>Sheet53!$B$2:$B$3</c:f>
              <c:numCache>
                <c:formatCode>General</c:formatCode>
                <c:ptCount val="2"/>
                <c:pt idx="0">
                  <c:v>5</c:v>
                </c:pt>
                <c:pt idx="1">
                  <c:v>95</c:v>
                </c:pt>
              </c:numCache>
            </c:numRef>
          </c:val>
          <c:extLst>
            <c:ext xmlns:c16="http://schemas.microsoft.com/office/drawing/2014/chart" uri="{C3380CC4-5D6E-409C-BE32-E72D297353CC}">
              <c16:uniqueId val="{00000004-3C37-4DF9-B97E-FB9AEDE09E70}"/>
            </c:ext>
          </c:extLst>
        </c:ser>
        <c:dLbls>
          <c:showLegendKey val="0"/>
          <c:showVal val="0"/>
          <c:showCatName val="0"/>
          <c:showSerName val="0"/>
          <c:showPercent val="0"/>
          <c:showBubbleSize val="0"/>
        </c:dLbls>
        <c:gapWidth val="150"/>
        <c:axId val="166188928"/>
        <c:axId val="166690816"/>
      </c:barChart>
      <c:catAx>
        <c:axId val="166188928"/>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Sulphur </a:t>
                </a:r>
                <a:r>
                  <a:rPr lang="en-IN" sz="1000" b="1" i="0" u="none" strike="noStrike" baseline="0">
                    <a:effectLst/>
                    <a:latin typeface="Times New Roman" panose="02020603050405020304" pitchFamily="18" charset="0"/>
                    <a:cs typeface="Times New Roman" panose="02020603050405020304" pitchFamily="18" charset="0"/>
                  </a:rPr>
                  <a:t>(mg kg</a:t>
                </a:r>
                <a:r>
                  <a:rPr lang="en-IN" sz="1000" b="1" i="0" u="none" strike="noStrike" baseline="30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1452715790438856"/>
              <c:y val="0.87855297157622736"/>
            </c:manualLayout>
          </c:layout>
          <c:overlay val="0"/>
        </c:title>
        <c:numFmt formatCode="General" sourceLinked="1"/>
        <c:majorTickMark val="out"/>
        <c:minorTickMark val="none"/>
        <c:tickLblPos val="nextTo"/>
        <c:spPr>
          <a:ln>
            <a:solidFill>
              <a:schemeClr val="tx1"/>
            </a:solidFill>
          </a:ln>
        </c:spPr>
        <c:crossAx val="166690816"/>
        <c:crosses val="autoZero"/>
        <c:auto val="1"/>
        <c:lblAlgn val="ctr"/>
        <c:lblOffset val="100"/>
        <c:noMultiLvlLbl val="0"/>
      </c:catAx>
      <c:valAx>
        <c:axId val="166690816"/>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spPr>
          <a:ln>
            <a:solidFill>
              <a:schemeClr val="tx1"/>
            </a:solidFill>
          </a:ln>
        </c:spPr>
        <c:crossAx val="16618892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952121691108316"/>
          <c:y val="0.1084573519219189"/>
          <c:w val="0.6650028783576778"/>
          <c:h val="0.6276479076479079"/>
        </c:manualLayout>
      </c:layout>
      <c:barChart>
        <c:barDir val="col"/>
        <c:grouping val="clustered"/>
        <c:varyColors val="0"/>
        <c:ser>
          <c:idx val="0"/>
          <c:order val="0"/>
          <c:tx>
            <c:v>Frequency</c:v>
          </c:tx>
          <c:spPr>
            <a:solidFill>
              <a:srgbClr val="FF0000"/>
            </a:solidFill>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Sheet49!$A$2</c:f>
              <c:strCache>
                <c:ptCount val="1"/>
                <c:pt idx="0">
                  <c:v>Deficient (&lt; 0.5)</c:v>
                </c:pt>
              </c:strCache>
            </c:strRef>
          </c:cat>
          <c:val>
            <c:numRef>
              <c:f>Sheet49!$B$2</c:f>
              <c:numCache>
                <c:formatCode>General</c:formatCode>
                <c:ptCount val="1"/>
                <c:pt idx="0">
                  <c:v>100</c:v>
                </c:pt>
              </c:numCache>
            </c:numRef>
          </c:val>
          <c:extLst>
            <c:ext xmlns:c16="http://schemas.microsoft.com/office/drawing/2014/chart" uri="{C3380CC4-5D6E-409C-BE32-E72D297353CC}">
              <c16:uniqueId val="{00000000-DBBA-48C4-A851-4F9051BA80B0}"/>
            </c:ext>
          </c:extLst>
        </c:ser>
        <c:dLbls>
          <c:showLegendKey val="0"/>
          <c:showVal val="0"/>
          <c:showCatName val="0"/>
          <c:showSerName val="0"/>
          <c:showPercent val="0"/>
          <c:showBubbleSize val="0"/>
        </c:dLbls>
        <c:gapWidth val="150"/>
        <c:axId val="185823616"/>
        <c:axId val="185825536"/>
      </c:barChart>
      <c:catAx>
        <c:axId val="185823616"/>
        <c:scaling>
          <c:orientation val="minMax"/>
        </c:scaling>
        <c:delete val="0"/>
        <c:axPos val="b"/>
        <c:title>
          <c:tx>
            <c:rich>
              <a:bodyPr/>
              <a:lstStyle/>
              <a:p>
                <a:pPr>
                  <a:defRPr sz="1000">
                    <a:latin typeface="Times New Roman" panose="02020603050405020304" pitchFamily="18" charset="0"/>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Boron </a:t>
                </a:r>
                <a:r>
                  <a:rPr lang="en-IN" sz="1000" b="1" i="0" u="none" strike="noStrike" baseline="0">
                    <a:effectLst/>
                  </a:rPr>
                  <a:t>(mg kg</a:t>
                </a:r>
                <a:r>
                  <a:rPr lang="en-IN" sz="1000" b="1" i="0" u="none" strike="noStrike" baseline="30000">
                    <a:effectLst/>
                  </a:rPr>
                  <a:t>-1</a:t>
                </a:r>
                <a:r>
                  <a:rPr lang="en-IN" sz="1000" b="1" i="0" u="none" strike="noStrike" baseline="0">
                    <a:effectLst/>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747912458898028"/>
              <c:y val="0.89012055311267912"/>
            </c:manualLayout>
          </c:layout>
          <c:overlay val="0"/>
        </c:title>
        <c:numFmt formatCode="General" sourceLinked="1"/>
        <c:majorTickMark val="out"/>
        <c:minorTickMark val="none"/>
        <c:tickLblPos val="nextTo"/>
        <c:spPr>
          <a:ln>
            <a:solidFill>
              <a:schemeClr val="tx1"/>
            </a:solidFill>
          </a:ln>
        </c:spPr>
        <c:crossAx val="185825536"/>
        <c:crosses val="autoZero"/>
        <c:auto val="1"/>
        <c:lblAlgn val="ctr"/>
        <c:lblOffset val="100"/>
        <c:noMultiLvlLbl val="0"/>
      </c:catAx>
      <c:valAx>
        <c:axId val="185825536"/>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8.3841432171576219E-2"/>
              <c:y val="0.29622651485111134"/>
            </c:manualLayout>
          </c:layout>
          <c:overlay val="0"/>
        </c:title>
        <c:numFmt formatCode="General" sourceLinked="1"/>
        <c:majorTickMark val="out"/>
        <c:minorTickMark val="none"/>
        <c:tickLblPos val="nextTo"/>
        <c:spPr>
          <a:ln>
            <a:solidFill>
              <a:schemeClr val="tx1"/>
            </a:solidFill>
          </a:ln>
        </c:spPr>
        <c:crossAx val="18582361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442998972954474"/>
          <c:y val="0.13556345168045336"/>
          <c:w val="0.69471223705732432"/>
          <c:h val="0.63030595904753783"/>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C7A6-4331-99A6-7B7E405278AF}"/>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Sheet37!$A$2</c:f>
              <c:strCache>
                <c:ptCount val="1"/>
                <c:pt idx="0">
                  <c:v>&lt; 75</c:v>
                </c:pt>
              </c:strCache>
            </c:strRef>
          </c:cat>
          <c:val>
            <c:numRef>
              <c:f>Sheet37!$B$2</c:f>
              <c:numCache>
                <c:formatCode>General</c:formatCode>
                <c:ptCount val="1"/>
                <c:pt idx="0">
                  <c:v>100</c:v>
                </c:pt>
              </c:numCache>
            </c:numRef>
          </c:val>
          <c:extLst>
            <c:ext xmlns:c16="http://schemas.microsoft.com/office/drawing/2014/chart" uri="{C3380CC4-5D6E-409C-BE32-E72D297353CC}">
              <c16:uniqueId val="{00000002-C7A6-4331-99A6-7B7E405278AF}"/>
            </c:ext>
          </c:extLst>
        </c:ser>
        <c:dLbls>
          <c:showLegendKey val="0"/>
          <c:showVal val="0"/>
          <c:showCatName val="0"/>
          <c:showSerName val="0"/>
          <c:showPercent val="0"/>
          <c:showBubbleSize val="0"/>
        </c:dLbls>
        <c:gapWidth val="150"/>
        <c:axId val="166702080"/>
        <c:axId val="186119296"/>
      </c:barChart>
      <c:catAx>
        <c:axId val="16670208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Dehydrogenase</a:t>
                </a:r>
                <a:r>
                  <a:rPr lang="en-IN" sz="1000" baseline="0">
                    <a:latin typeface="Times New Roman" panose="02020603050405020304" pitchFamily="18" charset="0"/>
                    <a:cs typeface="Times New Roman" panose="02020603050405020304" pitchFamily="18" charset="0"/>
                  </a:rPr>
                  <a:t> activity </a:t>
                </a:r>
                <a:r>
                  <a:rPr lang="en-IN" sz="1000" b="1" i="0" u="none" strike="noStrike" baseline="0">
                    <a:effectLst/>
                    <a:latin typeface="Times New Roman" panose="02020603050405020304" pitchFamily="18" charset="0"/>
                    <a:cs typeface="Times New Roman" panose="02020603050405020304" pitchFamily="18" charset="0"/>
                  </a:rPr>
                  <a:t>(</a:t>
                </a:r>
                <a:r>
                  <a:rPr lang="en-US" sz="1000" b="1" i="0" u="none" strike="noStrike" baseline="0">
                    <a:effectLst/>
                    <a:latin typeface="Times New Roman" panose="02020603050405020304" pitchFamily="18" charset="0"/>
                    <a:cs typeface="Times New Roman" panose="02020603050405020304" pitchFamily="18" charset="0"/>
                  </a:rPr>
                  <a:t>µg TPF g</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soil 24h</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17617946194225725"/>
              <c:y val="0.84193415637860103"/>
            </c:manualLayout>
          </c:layout>
          <c:overlay val="0"/>
        </c:title>
        <c:numFmt formatCode="General" sourceLinked="1"/>
        <c:majorTickMark val="out"/>
        <c:minorTickMark val="none"/>
        <c:tickLblPos val="nextTo"/>
        <c:spPr>
          <a:ln>
            <a:solidFill>
              <a:schemeClr val="tx1"/>
            </a:solidFill>
          </a:ln>
        </c:spPr>
        <c:crossAx val="186119296"/>
        <c:crosses val="autoZero"/>
        <c:auto val="1"/>
        <c:lblAlgn val="ctr"/>
        <c:lblOffset val="100"/>
        <c:noMultiLvlLbl val="0"/>
      </c:catAx>
      <c:valAx>
        <c:axId val="186119296"/>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6.0857538035961306E-2"/>
              <c:y val="0.25017659829558342"/>
            </c:manualLayout>
          </c:layout>
          <c:overlay val="0"/>
        </c:title>
        <c:numFmt formatCode="General" sourceLinked="1"/>
        <c:majorTickMark val="out"/>
        <c:minorTickMark val="none"/>
        <c:tickLblPos val="nextTo"/>
        <c:spPr>
          <a:ln>
            <a:solidFill>
              <a:schemeClr val="tx1"/>
            </a:solidFill>
          </a:ln>
        </c:spPr>
        <c:crossAx val="16670208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w="12700"/>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42154884069093"/>
          <c:y val="0.1400843306139079"/>
          <c:w val="0.72363019604498924"/>
          <c:h val="0.61417967158437381"/>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C367-4C65-8681-4648978F3686}"/>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C367-4C65-8681-4648978F3686}"/>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C367-4C65-8681-4648978F3686}"/>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Sheet40!$A$2:$A$4</c:f>
              <c:strCache>
                <c:ptCount val="3"/>
                <c:pt idx="0">
                  <c:v>&lt; 10</c:v>
                </c:pt>
                <c:pt idx="1">
                  <c:v>10 - 25</c:v>
                </c:pt>
                <c:pt idx="2">
                  <c:v>&gt; 50</c:v>
                </c:pt>
              </c:strCache>
            </c:strRef>
          </c:cat>
          <c:val>
            <c:numRef>
              <c:f>Sheet40!$B$2:$B$4</c:f>
              <c:numCache>
                <c:formatCode>General</c:formatCode>
                <c:ptCount val="3"/>
                <c:pt idx="0">
                  <c:v>20</c:v>
                </c:pt>
                <c:pt idx="1">
                  <c:v>55</c:v>
                </c:pt>
                <c:pt idx="2">
                  <c:v>25</c:v>
                </c:pt>
              </c:numCache>
            </c:numRef>
          </c:val>
          <c:extLst>
            <c:ext xmlns:c16="http://schemas.microsoft.com/office/drawing/2014/chart" uri="{C3380CC4-5D6E-409C-BE32-E72D297353CC}">
              <c16:uniqueId val="{00000006-C367-4C65-8681-4648978F3686}"/>
            </c:ext>
          </c:extLst>
        </c:ser>
        <c:dLbls>
          <c:showLegendKey val="0"/>
          <c:showVal val="0"/>
          <c:showCatName val="0"/>
          <c:showSerName val="0"/>
          <c:showPercent val="0"/>
          <c:showBubbleSize val="0"/>
        </c:dLbls>
        <c:gapWidth val="150"/>
        <c:axId val="186161792"/>
        <c:axId val="186200832"/>
      </c:barChart>
      <c:catAx>
        <c:axId val="18616179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Acid</a:t>
                </a:r>
                <a:r>
                  <a:rPr lang="en-IN" sz="1000" baseline="0">
                    <a:latin typeface="Times New Roman" panose="02020603050405020304" pitchFamily="18" charset="0"/>
                    <a:cs typeface="Times New Roman" panose="02020603050405020304" pitchFamily="18" charset="0"/>
                  </a:rPr>
                  <a:t> Phosphatase activity </a:t>
                </a:r>
                <a:r>
                  <a:rPr lang="en-IN" sz="1000" b="1" i="0" u="none" strike="noStrike" baseline="0">
                    <a:effectLst/>
                    <a:latin typeface="Times New Roman" panose="02020603050405020304" pitchFamily="18" charset="0"/>
                    <a:cs typeface="Times New Roman" panose="02020603050405020304" pitchFamily="18" charset="0"/>
                  </a:rPr>
                  <a:t>activity (</a:t>
                </a:r>
                <a:r>
                  <a:rPr lang="en-US" sz="1000" b="1" i="0" u="none" strike="noStrike" baseline="0">
                    <a:effectLst/>
                    <a:latin typeface="Times New Roman" panose="02020603050405020304" pitchFamily="18" charset="0"/>
                    <a:cs typeface="Times New Roman" panose="02020603050405020304" pitchFamily="18" charset="0"/>
                  </a:rPr>
                  <a:t>µg p- nitro phenol g</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soil h</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3140775273126973"/>
              <c:y val="0.83877654282384373"/>
            </c:manualLayout>
          </c:layout>
          <c:overlay val="0"/>
        </c:title>
        <c:numFmt formatCode="General" sourceLinked="1"/>
        <c:majorTickMark val="out"/>
        <c:minorTickMark val="none"/>
        <c:tickLblPos val="nextTo"/>
        <c:spPr>
          <a:ln>
            <a:solidFill>
              <a:schemeClr val="tx1"/>
            </a:solidFill>
          </a:ln>
        </c:spPr>
        <c:crossAx val="186200832"/>
        <c:crosses val="autoZero"/>
        <c:auto val="1"/>
        <c:lblAlgn val="ctr"/>
        <c:lblOffset val="100"/>
        <c:noMultiLvlLbl val="0"/>
      </c:catAx>
      <c:valAx>
        <c:axId val="186200832"/>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3.8170878459687141E-2"/>
              <c:y val="0.23244473502184076"/>
            </c:manualLayout>
          </c:layout>
          <c:overlay val="0"/>
        </c:title>
        <c:numFmt formatCode="General" sourceLinked="1"/>
        <c:majorTickMark val="out"/>
        <c:minorTickMark val="none"/>
        <c:tickLblPos val="nextTo"/>
        <c:spPr>
          <a:ln>
            <a:solidFill>
              <a:schemeClr val="tx1"/>
            </a:solidFill>
          </a:ln>
        </c:spPr>
        <c:crossAx val="18616179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80159424516381"/>
          <c:y val="0.17733509588673688"/>
          <c:w val="0.75586507242150336"/>
          <c:h val="0.59897043891411383"/>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C52D-4869-BADA-5DDA1E8364D5}"/>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C52D-4869-BADA-5DDA1E8364D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Sheet42!$A$2:$A$3</c:f>
              <c:strCache>
                <c:ptCount val="2"/>
                <c:pt idx="0">
                  <c:v>Poor (&lt; 50)</c:v>
                </c:pt>
                <c:pt idx="1">
                  <c:v>Medium (50-70)</c:v>
                </c:pt>
              </c:strCache>
            </c:strRef>
          </c:cat>
          <c:val>
            <c:numRef>
              <c:f>Sheet42!$B$2:$B$3</c:f>
              <c:numCache>
                <c:formatCode>General</c:formatCode>
                <c:ptCount val="2"/>
                <c:pt idx="0">
                  <c:v>5</c:v>
                </c:pt>
                <c:pt idx="1">
                  <c:v>95</c:v>
                </c:pt>
              </c:numCache>
            </c:numRef>
          </c:val>
          <c:extLst>
            <c:ext xmlns:c16="http://schemas.microsoft.com/office/drawing/2014/chart" uri="{C3380CC4-5D6E-409C-BE32-E72D297353CC}">
              <c16:uniqueId val="{00000004-C52D-4869-BADA-5DDA1E8364D5}"/>
            </c:ext>
          </c:extLst>
        </c:ser>
        <c:dLbls>
          <c:showLegendKey val="0"/>
          <c:showVal val="0"/>
          <c:showCatName val="0"/>
          <c:showSerName val="0"/>
          <c:showPercent val="0"/>
          <c:showBubbleSize val="0"/>
        </c:dLbls>
        <c:gapWidth val="150"/>
        <c:axId val="192837504"/>
        <c:axId val="206241792"/>
      </c:barChart>
      <c:catAx>
        <c:axId val="192837504"/>
        <c:scaling>
          <c:orientation val="minMax"/>
        </c:scaling>
        <c:delete val="0"/>
        <c:axPos val="b"/>
        <c:title>
          <c:tx>
            <c:rich>
              <a:bodyPr/>
              <a:lstStyle/>
              <a:p>
                <a:pPr>
                  <a:defRPr/>
                </a:pPr>
                <a:r>
                  <a:rPr lang="en-IN" sz="1200">
                    <a:latin typeface="Times New Roman" panose="02020603050405020304" pitchFamily="18" charset="0"/>
                    <a:cs typeface="Times New Roman" panose="02020603050405020304" pitchFamily="18" charset="0"/>
                  </a:rPr>
                  <a:t>RSQI</a:t>
                </a:r>
                <a:r>
                  <a:rPr lang="en-IN" sz="1200" baseline="0">
                    <a:latin typeface="Times New Roman" panose="02020603050405020304" pitchFamily="18" charset="0"/>
                    <a:cs typeface="Times New Roman" panose="02020603050405020304" pitchFamily="18" charset="0"/>
                  </a:rPr>
                  <a:t> (%)</a:t>
                </a:r>
                <a:endParaRPr lang="en-IN" sz="12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spPr>
          <a:ln>
            <a:solidFill>
              <a:schemeClr val="tx1"/>
            </a:solidFill>
          </a:ln>
        </c:spPr>
        <c:crossAx val="206241792"/>
        <c:crosses val="autoZero"/>
        <c:auto val="1"/>
        <c:lblAlgn val="ctr"/>
        <c:lblOffset val="100"/>
        <c:noMultiLvlLbl val="0"/>
      </c:catAx>
      <c:valAx>
        <c:axId val="206241792"/>
        <c:scaling>
          <c:orientation val="minMax"/>
        </c:scaling>
        <c:delete val="0"/>
        <c:axPos val="l"/>
        <c:majorGridlines/>
        <c:title>
          <c:tx>
            <c:rich>
              <a:bodyPr/>
              <a:lstStyle/>
              <a:p>
                <a:pPr>
                  <a:defRPr/>
                </a:pPr>
                <a:r>
                  <a:rPr lang="en-IN"/>
                  <a:t>% of samples</a:t>
                </a:r>
              </a:p>
            </c:rich>
          </c:tx>
          <c:overlay val="0"/>
        </c:title>
        <c:numFmt formatCode="General" sourceLinked="1"/>
        <c:majorTickMark val="out"/>
        <c:minorTickMark val="none"/>
        <c:tickLblPos val="nextTo"/>
        <c:spPr>
          <a:ln>
            <a:solidFill>
              <a:schemeClr val="tx1"/>
            </a:solidFill>
          </a:ln>
        </c:spPr>
        <c:crossAx val="192837504"/>
        <c:crosses val="autoZero"/>
        <c:crossBetween val="between"/>
      </c:valAx>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58432973656078"/>
          <c:y val="0.16306954436450838"/>
          <c:w val="0.73009468260911881"/>
          <c:h val="0.66596016251393264"/>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0622-456C-8A59-5D8B7977F1E1}"/>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0622-456C-8A59-5D8B7977F1E1}"/>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0622-456C-8A59-5D8B7977F1E1}"/>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0622-456C-8A59-5D8B7977F1E1}"/>
              </c:ext>
            </c:extLst>
          </c:dPt>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Sheet5!$A$2:$A$5</c:f>
              <c:strCache>
                <c:ptCount val="4"/>
                <c:pt idx="0">
                  <c:v>&lt; 2.2</c:v>
                </c:pt>
                <c:pt idx="1">
                  <c:v>2.2 - 2.4</c:v>
                </c:pt>
                <c:pt idx="2">
                  <c:v>2.4 - 2.6</c:v>
                </c:pt>
                <c:pt idx="3">
                  <c:v>&gt; 2.6</c:v>
                </c:pt>
              </c:strCache>
            </c:strRef>
          </c:cat>
          <c:val>
            <c:numRef>
              <c:f>Sheet5!$B$2:$B$5</c:f>
              <c:numCache>
                <c:formatCode>General</c:formatCode>
                <c:ptCount val="4"/>
                <c:pt idx="0">
                  <c:v>15</c:v>
                </c:pt>
                <c:pt idx="1">
                  <c:v>15</c:v>
                </c:pt>
                <c:pt idx="2">
                  <c:v>35</c:v>
                </c:pt>
                <c:pt idx="3">
                  <c:v>35</c:v>
                </c:pt>
              </c:numCache>
            </c:numRef>
          </c:val>
          <c:extLst>
            <c:ext xmlns:c16="http://schemas.microsoft.com/office/drawing/2014/chart" uri="{C3380CC4-5D6E-409C-BE32-E72D297353CC}">
              <c16:uniqueId val="{00000008-0622-456C-8A59-5D8B7977F1E1}"/>
            </c:ext>
          </c:extLst>
        </c:ser>
        <c:dLbls>
          <c:showLegendKey val="0"/>
          <c:showVal val="0"/>
          <c:showCatName val="0"/>
          <c:showSerName val="0"/>
          <c:showPercent val="0"/>
          <c:showBubbleSize val="0"/>
        </c:dLbls>
        <c:gapWidth val="150"/>
        <c:axId val="166670336"/>
        <c:axId val="166673408"/>
      </c:barChart>
      <c:catAx>
        <c:axId val="166670336"/>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Particle</a:t>
                </a:r>
                <a:r>
                  <a:rPr lang="en-IN" sz="1000" baseline="0">
                    <a:latin typeface="Times New Roman" panose="02020603050405020304" pitchFamily="18" charset="0"/>
                    <a:cs typeface="Times New Roman" panose="02020603050405020304" pitchFamily="18" charset="0"/>
                  </a:rPr>
                  <a:t> density </a:t>
                </a:r>
                <a:r>
                  <a:rPr lang="en-IN" sz="1000" b="1" i="0" u="none" strike="noStrike" baseline="0">
                    <a:effectLst/>
                    <a:latin typeface="Times New Roman" panose="02020603050405020304" pitchFamily="18" charset="0"/>
                    <a:cs typeface="Times New Roman" panose="02020603050405020304" pitchFamily="18" charset="0"/>
                  </a:rPr>
                  <a:t>(Mg m</a:t>
                </a:r>
                <a:r>
                  <a:rPr lang="en-IN" sz="1000" b="1" i="0" u="none" strike="noStrike" baseline="30000">
                    <a:effectLst/>
                    <a:latin typeface="Times New Roman" panose="02020603050405020304" pitchFamily="18" charset="0"/>
                    <a:cs typeface="Times New Roman" panose="02020603050405020304" pitchFamily="18" charset="0"/>
                  </a:rPr>
                  <a:t>-3</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9730883639545086"/>
              <c:y val="0.90452916407031858"/>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166673408"/>
        <c:crosses val="autoZero"/>
        <c:auto val="1"/>
        <c:lblAlgn val="ctr"/>
        <c:lblOffset val="100"/>
        <c:noMultiLvlLbl val="0"/>
      </c:catAx>
      <c:valAx>
        <c:axId val="166673408"/>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a:t>
                </a:r>
                <a:r>
                  <a:rPr lang="en-IN" sz="1000" baseline="0">
                    <a:latin typeface="Times New Roman" panose="02020603050405020304" pitchFamily="18" charset="0"/>
                    <a:cs typeface="Times New Roman" panose="02020603050405020304" pitchFamily="18" charset="0"/>
                  </a:rPr>
                  <a:t>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4.6704773014484322E-2"/>
              <c:y val="0.32273361377772986"/>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16667033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52279871860122"/>
          <c:y val="9.5049820900047099E-2"/>
          <c:w val="0.81941652976831103"/>
          <c:h val="0.67420593702383003"/>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CA30-4960-9F8A-8628C3DF2A4F}"/>
              </c:ext>
            </c:extLst>
          </c:dPt>
          <c:dPt>
            <c:idx val="1"/>
            <c:invertIfNegative val="0"/>
            <c:bubble3D val="0"/>
            <c:spPr>
              <a:solidFill>
                <a:srgbClr val="C00000"/>
              </a:solidFill>
              <a:ln>
                <a:solidFill>
                  <a:schemeClr val="tx1"/>
                </a:solidFill>
              </a:ln>
            </c:spPr>
            <c:extLst>
              <c:ext xmlns:c16="http://schemas.microsoft.com/office/drawing/2014/chart" uri="{C3380CC4-5D6E-409C-BE32-E72D297353CC}">
                <c16:uniqueId val="{00000003-CA30-4960-9F8A-8628C3DF2A4F}"/>
              </c:ext>
            </c:extLst>
          </c:dPt>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Sheet46!$A$2:$A$3</c:f>
              <c:strCache>
                <c:ptCount val="2"/>
                <c:pt idx="0">
                  <c:v>Sandy clay loam</c:v>
                </c:pt>
                <c:pt idx="1">
                  <c:v>Clay loam</c:v>
                </c:pt>
              </c:strCache>
            </c:strRef>
          </c:cat>
          <c:val>
            <c:numRef>
              <c:f>Sheet46!$B$2:$B$3</c:f>
              <c:numCache>
                <c:formatCode>General</c:formatCode>
                <c:ptCount val="2"/>
                <c:pt idx="0">
                  <c:v>65</c:v>
                </c:pt>
                <c:pt idx="1">
                  <c:v>35</c:v>
                </c:pt>
              </c:numCache>
            </c:numRef>
          </c:val>
          <c:extLst>
            <c:ext xmlns:c16="http://schemas.microsoft.com/office/drawing/2014/chart" uri="{C3380CC4-5D6E-409C-BE32-E72D297353CC}">
              <c16:uniqueId val="{00000004-CA30-4960-9F8A-8628C3DF2A4F}"/>
            </c:ext>
          </c:extLst>
        </c:ser>
        <c:dLbls>
          <c:showLegendKey val="0"/>
          <c:showVal val="0"/>
          <c:showCatName val="0"/>
          <c:showSerName val="0"/>
          <c:showPercent val="0"/>
          <c:showBubbleSize val="0"/>
        </c:dLbls>
        <c:gapWidth val="150"/>
        <c:axId val="186192256"/>
        <c:axId val="186194176"/>
      </c:barChart>
      <c:catAx>
        <c:axId val="186192256"/>
        <c:scaling>
          <c:orientation val="minMax"/>
        </c:scaling>
        <c:delete val="0"/>
        <c:axPos val="b"/>
        <c:title>
          <c:tx>
            <c:rich>
              <a:bodyPr/>
              <a:lstStyle/>
              <a:p>
                <a:pPr>
                  <a:defRPr sz="900" b="0"/>
                </a:pPr>
                <a:r>
                  <a:rPr lang="en-IN" sz="900" b="1">
                    <a:latin typeface="Times New Roman" panose="02020603050405020304" pitchFamily="18" charset="0"/>
                    <a:cs typeface="Times New Roman" panose="02020603050405020304" pitchFamily="18" charset="0"/>
                  </a:rPr>
                  <a:t>Soil textural</a:t>
                </a:r>
                <a:r>
                  <a:rPr lang="en-IN" sz="900" b="1" baseline="0">
                    <a:latin typeface="Times New Roman" panose="02020603050405020304" pitchFamily="18" charset="0"/>
                    <a:cs typeface="Times New Roman" panose="02020603050405020304" pitchFamily="18" charset="0"/>
                  </a:rPr>
                  <a:t> classes</a:t>
                </a:r>
                <a:endParaRPr lang="en-IN" sz="900" b="1">
                  <a:latin typeface="Times New Roman" panose="02020603050405020304" pitchFamily="18" charset="0"/>
                  <a:cs typeface="Times New Roman" panose="02020603050405020304" pitchFamily="18" charset="0"/>
                </a:endParaRPr>
              </a:p>
            </c:rich>
          </c:tx>
          <c:layout>
            <c:manualLayout>
              <c:xMode val="edge"/>
              <c:yMode val="edge"/>
              <c:x val="0.31421242650345571"/>
              <c:y val="0.87084508053514631"/>
            </c:manualLayout>
          </c:layout>
          <c:overlay val="0"/>
        </c:title>
        <c:numFmt formatCode="General" sourceLinked="1"/>
        <c:majorTickMark val="out"/>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86194176"/>
        <c:crosses val="autoZero"/>
        <c:auto val="1"/>
        <c:lblAlgn val="ctr"/>
        <c:lblOffset val="100"/>
        <c:noMultiLvlLbl val="0"/>
      </c:catAx>
      <c:valAx>
        <c:axId val="186194176"/>
        <c:scaling>
          <c:orientation val="minMax"/>
        </c:scaling>
        <c:delete val="0"/>
        <c:axPos val="l"/>
        <c:title>
          <c:tx>
            <c:rich>
              <a:bodyPr/>
              <a:lstStyle/>
              <a:p>
                <a:pPr>
                  <a:defRPr sz="900" b="0"/>
                </a:pPr>
                <a:r>
                  <a:rPr lang="en-IN" sz="1000" b="0">
                    <a:latin typeface="Times New Roman" panose="02020603050405020304" pitchFamily="18" charset="0"/>
                    <a:cs typeface="Times New Roman" panose="02020603050405020304" pitchFamily="18" charset="0"/>
                  </a:rPr>
                  <a:t>%</a:t>
                </a:r>
                <a:r>
                  <a:rPr lang="en-IN" sz="1000" b="0" baseline="0">
                    <a:latin typeface="Times New Roman" panose="02020603050405020304" pitchFamily="18" charset="0"/>
                    <a:cs typeface="Times New Roman" panose="02020603050405020304" pitchFamily="18" charset="0"/>
                  </a:rPr>
                  <a:t> of samples</a:t>
                </a:r>
                <a:endParaRPr lang="en-IN" sz="1000" b="0">
                  <a:latin typeface="Times New Roman" panose="02020603050405020304" pitchFamily="18" charset="0"/>
                  <a:cs typeface="Times New Roman" panose="02020603050405020304" pitchFamily="18" charset="0"/>
                </a:endParaRPr>
              </a:p>
            </c:rich>
          </c:tx>
          <c:layout>
            <c:manualLayout>
              <c:xMode val="edge"/>
              <c:yMode val="edge"/>
              <c:x val="3.5645107680317284E-3"/>
              <c:y val="0.25738542297597422"/>
            </c:manualLayout>
          </c:layout>
          <c:overlay val="0"/>
        </c:title>
        <c:numFmt formatCode="General" sourceLinked="1"/>
        <c:majorTickMark val="out"/>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8619225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04642143612652"/>
          <c:y val="0.12220642460178312"/>
          <c:w val="0.72162023383440754"/>
          <c:h val="0.64182089778970586"/>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AAD0-48BA-AF5E-1ED0405810B8}"/>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AAD0-48BA-AF5E-1ED0405810B8}"/>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AAD0-48BA-AF5E-1ED0405810B8}"/>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AAD0-48BA-AF5E-1ED0405810B8}"/>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Sheet9!$A$2:$A$5</c:f>
              <c:strCache>
                <c:ptCount val="4"/>
                <c:pt idx="0">
                  <c:v>&lt; 10</c:v>
                </c:pt>
                <c:pt idx="1">
                  <c:v>10 - 15</c:v>
                </c:pt>
                <c:pt idx="2">
                  <c:v>15 - 25</c:v>
                </c:pt>
                <c:pt idx="3">
                  <c:v>&gt; 25</c:v>
                </c:pt>
              </c:strCache>
            </c:strRef>
          </c:cat>
          <c:val>
            <c:numRef>
              <c:f>Sheet9!$B$2:$B$5</c:f>
              <c:numCache>
                <c:formatCode>General</c:formatCode>
                <c:ptCount val="4"/>
                <c:pt idx="0">
                  <c:v>5</c:v>
                </c:pt>
                <c:pt idx="1">
                  <c:v>30</c:v>
                </c:pt>
                <c:pt idx="2">
                  <c:v>45</c:v>
                </c:pt>
                <c:pt idx="3">
                  <c:v>20</c:v>
                </c:pt>
              </c:numCache>
            </c:numRef>
          </c:val>
          <c:extLst>
            <c:ext xmlns:c16="http://schemas.microsoft.com/office/drawing/2014/chart" uri="{C3380CC4-5D6E-409C-BE32-E72D297353CC}">
              <c16:uniqueId val="{00000008-AAD0-48BA-AF5E-1ED0405810B8}"/>
            </c:ext>
          </c:extLst>
        </c:ser>
        <c:dLbls>
          <c:showLegendKey val="0"/>
          <c:showVal val="0"/>
          <c:showCatName val="0"/>
          <c:showSerName val="0"/>
          <c:showPercent val="0"/>
          <c:showBubbleSize val="0"/>
        </c:dLbls>
        <c:gapWidth val="150"/>
        <c:axId val="206416128"/>
        <c:axId val="206512512"/>
      </c:barChart>
      <c:catAx>
        <c:axId val="206416128"/>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Soil moisture content </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7900027421945411"/>
              <c:y val="0.88394062078272573"/>
            </c:manualLayout>
          </c:layout>
          <c:overlay val="0"/>
        </c:title>
        <c:numFmt formatCode="General" sourceLinked="1"/>
        <c:majorTickMark val="out"/>
        <c:minorTickMark val="none"/>
        <c:tickLblPos val="nextTo"/>
        <c:spPr>
          <a:ln>
            <a:solidFill>
              <a:schemeClr val="tx1"/>
            </a:solidFill>
          </a:ln>
        </c:spPr>
        <c:crossAx val="206512512"/>
        <c:crosses val="autoZero"/>
        <c:auto val="1"/>
        <c:lblAlgn val="ctr"/>
        <c:lblOffset val="100"/>
        <c:noMultiLvlLbl val="0"/>
      </c:catAx>
      <c:valAx>
        <c:axId val="206512512"/>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4065891017354188E-2"/>
              <c:y val="0.2729999746816214"/>
            </c:manualLayout>
          </c:layout>
          <c:overlay val="0"/>
        </c:title>
        <c:numFmt formatCode="General" sourceLinked="1"/>
        <c:majorTickMark val="out"/>
        <c:minorTickMark val="none"/>
        <c:tickLblPos val="nextTo"/>
        <c:spPr>
          <a:ln>
            <a:solidFill>
              <a:schemeClr val="tx1"/>
            </a:solidFill>
          </a:ln>
        </c:spPr>
        <c:crossAx val="20641612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15346479126006"/>
          <c:y val="0.16737015267457758"/>
          <c:w val="0.65586001749781286"/>
          <c:h val="0.66807844441980013"/>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7603-4157-9DC3-EA57338BE2A5}"/>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7603-4157-9DC3-EA57338BE2A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Sheet10!$A$2:$A$3</c:f>
              <c:strCache>
                <c:ptCount val="2"/>
                <c:pt idx="0">
                  <c:v>&lt; 30</c:v>
                </c:pt>
                <c:pt idx="1">
                  <c:v>30 - 50</c:v>
                </c:pt>
              </c:strCache>
            </c:strRef>
          </c:cat>
          <c:val>
            <c:numRef>
              <c:f>Sheet10!$B$2:$B$3</c:f>
              <c:numCache>
                <c:formatCode>General</c:formatCode>
                <c:ptCount val="2"/>
                <c:pt idx="0">
                  <c:v>90.2</c:v>
                </c:pt>
                <c:pt idx="1">
                  <c:v>9.8000000000000007</c:v>
                </c:pt>
              </c:numCache>
            </c:numRef>
          </c:val>
          <c:extLst>
            <c:ext xmlns:c16="http://schemas.microsoft.com/office/drawing/2014/chart" uri="{C3380CC4-5D6E-409C-BE32-E72D297353CC}">
              <c16:uniqueId val="{00000004-7603-4157-9DC3-EA57338BE2A5}"/>
            </c:ext>
          </c:extLst>
        </c:ser>
        <c:dLbls>
          <c:showLegendKey val="0"/>
          <c:showVal val="0"/>
          <c:showCatName val="0"/>
          <c:showSerName val="0"/>
          <c:showPercent val="0"/>
          <c:showBubbleSize val="0"/>
        </c:dLbls>
        <c:gapWidth val="150"/>
        <c:axId val="124919808"/>
        <c:axId val="124921728"/>
      </c:barChart>
      <c:catAx>
        <c:axId val="124919808"/>
        <c:scaling>
          <c:orientation val="minMax"/>
        </c:scaling>
        <c:delete val="0"/>
        <c:axPos val="b"/>
        <c:title>
          <c:tx>
            <c:rich>
              <a:bodyPr/>
              <a:lstStyle/>
              <a:p>
                <a:pPr>
                  <a:defRPr sz="900"/>
                </a:pPr>
                <a:r>
                  <a:rPr lang="en-IN" sz="1000">
                    <a:latin typeface="Times New Roman" panose="02020603050405020304" pitchFamily="18" charset="0"/>
                    <a:cs typeface="Times New Roman" panose="02020603050405020304" pitchFamily="18" charset="0"/>
                  </a:rPr>
                  <a:t>Water holding capacity </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6920940764757345"/>
              <c:y val="0.92507462397458662"/>
            </c:manualLayout>
          </c:layout>
          <c:overlay val="0"/>
        </c:title>
        <c:numFmt formatCode="General" sourceLinked="1"/>
        <c:majorTickMark val="out"/>
        <c:minorTickMark val="none"/>
        <c:tickLblPos val="nextTo"/>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crossAx val="124921728"/>
        <c:crossesAt val="0"/>
        <c:auto val="1"/>
        <c:lblAlgn val="ctr"/>
        <c:lblOffset val="100"/>
        <c:noMultiLvlLbl val="0"/>
      </c:catAx>
      <c:valAx>
        <c:axId val="124921728"/>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3681848592455377E-2"/>
              <c:y val="0.30052456471110139"/>
            </c:manualLayout>
          </c:layout>
          <c:overlay val="0"/>
        </c:title>
        <c:numFmt formatCode="General" sourceLinked="0"/>
        <c:majorTickMark val="out"/>
        <c:minorTickMark val="none"/>
        <c:tickLblPos val="nextTo"/>
        <c:spPr>
          <a:ln>
            <a:solidFill>
              <a:schemeClr val="tx1"/>
            </a:solidFill>
          </a:ln>
        </c:spPr>
        <c:crossAx val="124919808"/>
        <c:crosses val="autoZero"/>
        <c:crossBetween val="between"/>
        <c:majorUnit val="20"/>
      </c:valAx>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23390458545633"/>
          <c:y val="0.14347844019497574"/>
          <c:w val="0.72562644742936566"/>
          <c:h val="0.67032470941132372"/>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EED8-4A78-9AD9-4BDA1DBD3CDE}"/>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EED8-4A78-9AD9-4BDA1DBD3CDE}"/>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EED8-4A78-9AD9-4BDA1DBD3CDE}"/>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EED8-4A78-9AD9-4BDA1DBD3CDE}"/>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Sheet17!$A$2:$A$5</c:f>
              <c:strCache>
                <c:ptCount val="4"/>
                <c:pt idx="0">
                  <c:v>&lt; 1</c:v>
                </c:pt>
                <c:pt idx="1">
                  <c:v>1 - 1.5</c:v>
                </c:pt>
                <c:pt idx="2">
                  <c:v>1.5 -2</c:v>
                </c:pt>
                <c:pt idx="3">
                  <c:v>&gt; 2</c:v>
                </c:pt>
              </c:strCache>
            </c:strRef>
          </c:cat>
          <c:val>
            <c:numRef>
              <c:f>Sheet17!$B$2:$B$5</c:f>
              <c:numCache>
                <c:formatCode>General</c:formatCode>
                <c:ptCount val="4"/>
                <c:pt idx="0">
                  <c:v>15</c:v>
                </c:pt>
                <c:pt idx="1">
                  <c:v>5</c:v>
                </c:pt>
                <c:pt idx="2">
                  <c:v>20</c:v>
                </c:pt>
                <c:pt idx="3">
                  <c:v>60</c:v>
                </c:pt>
              </c:numCache>
            </c:numRef>
          </c:val>
          <c:extLst>
            <c:ext xmlns:c16="http://schemas.microsoft.com/office/drawing/2014/chart" uri="{C3380CC4-5D6E-409C-BE32-E72D297353CC}">
              <c16:uniqueId val="{00000008-EED8-4A78-9AD9-4BDA1DBD3CDE}"/>
            </c:ext>
          </c:extLst>
        </c:ser>
        <c:dLbls>
          <c:showLegendKey val="0"/>
          <c:showVal val="0"/>
          <c:showCatName val="0"/>
          <c:showSerName val="0"/>
          <c:showPercent val="0"/>
          <c:showBubbleSize val="0"/>
        </c:dLbls>
        <c:gapWidth val="150"/>
        <c:axId val="124971648"/>
        <c:axId val="124973824"/>
      </c:barChart>
      <c:catAx>
        <c:axId val="124971648"/>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Mean</a:t>
                </a:r>
                <a:r>
                  <a:rPr lang="en-IN" sz="1000" baseline="0">
                    <a:latin typeface="Times New Roman" panose="02020603050405020304" pitchFamily="18" charset="0"/>
                    <a:cs typeface="Times New Roman" panose="02020603050405020304" pitchFamily="18" charset="0"/>
                  </a:rPr>
                  <a:t> weight diameter </a:t>
                </a:r>
                <a:r>
                  <a:rPr lang="en-US" sz="1000" b="1" i="0" u="none" strike="noStrike" baseline="0">
                    <a:effectLst/>
                    <a:latin typeface="Times New Roman" panose="02020603050405020304" pitchFamily="18" charset="0"/>
                    <a:cs typeface="Times New Roman" panose="02020603050405020304" pitchFamily="18" charset="0"/>
                  </a:rPr>
                  <a:t>(mm) </a:t>
                </a:r>
                <a:endParaRPr lang="en-IN" sz="1000">
                  <a:latin typeface="Times New Roman" panose="02020603050405020304" pitchFamily="18" charset="0"/>
                  <a:cs typeface="Times New Roman" panose="02020603050405020304" pitchFamily="18" charset="0"/>
                </a:endParaRPr>
              </a:p>
            </c:rich>
          </c:tx>
          <c:layout>
            <c:manualLayout>
              <c:xMode val="edge"/>
              <c:yMode val="edge"/>
              <c:x val="0.26987610004631785"/>
              <c:y val="0.90496034970717609"/>
            </c:manualLayout>
          </c:layout>
          <c:overlay val="0"/>
        </c:title>
        <c:numFmt formatCode="General" sourceLinked="1"/>
        <c:majorTickMark val="out"/>
        <c:minorTickMark val="none"/>
        <c:tickLblPos val="nextTo"/>
        <c:spPr>
          <a:ln>
            <a:solidFill>
              <a:schemeClr val="tx1"/>
            </a:solidFill>
          </a:ln>
        </c:spPr>
        <c:crossAx val="124973824"/>
        <c:crosses val="autoZero"/>
        <c:auto val="1"/>
        <c:lblAlgn val="ctr"/>
        <c:lblOffset val="100"/>
        <c:noMultiLvlLbl val="0"/>
      </c:catAx>
      <c:valAx>
        <c:axId val="124973824"/>
        <c:scaling>
          <c:orientation val="minMax"/>
          <c:max val="7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2.8304770727188514E-2"/>
              <c:y val="0.1658455193100862"/>
            </c:manualLayout>
          </c:layout>
          <c:overlay val="0"/>
        </c:title>
        <c:numFmt formatCode="General" sourceLinked="1"/>
        <c:majorTickMark val="out"/>
        <c:minorTickMark val="none"/>
        <c:tickLblPos val="nextTo"/>
        <c:spPr>
          <a:ln>
            <a:solidFill>
              <a:schemeClr val="tx1"/>
            </a:solidFill>
          </a:ln>
        </c:spPr>
        <c:crossAx val="12497164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CC3300"/>
              </a:solidFill>
              <a:ln>
                <a:solidFill>
                  <a:schemeClr val="tx1"/>
                </a:solidFill>
              </a:ln>
            </c:spPr>
            <c:extLst>
              <c:ext xmlns:c16="http://schemas.microsoft.com/office/drawing/2014/chart" uri="{C3380CC4-5D6E-409C-BE32-E72D297353CC}">
                <c16:uniqueId val="{00000001-BDC4-48F6-BDAD-CB5B3170E288}"/>
              </c:ext>
            </c:extLst>
          </c:dPt>
          <c:dPt>
            <c:idx val="1"/>
            <c:invertIfNegative val="0"/>
            <c:bubble3D val="0"/>
            <c:spPr>
              <a:solidFill>
                <a:srgbClr val="990033"/>
              </a:solidFill>
              <a:ln>
                <a:solidFill>
                  <a:schemeClr val="tx1"/>
                </a:solidFill>
              </a:ln>
            </c:spPr>
            <c:extLst>
              <c:ext xmlns:c16="http://schemas.microsoft.com/office/drawing/2014/chart" uri="{C3380CC4-5D6E-409C-BE32-E72D297353CC}">
                <c16:uniqueId val="{00000003-BDC4-48F6-BDAD-CB5B3170E288}"/>
              </c:ext>
            </c:extLst>
          </c:dPt>
          <c:dPt>
            <c:idx val="2"/>
            <c:invertIfNegative val="0"/>
            <c:bubble3D val="0"/>
            <c:spPr>
              <a:solidFill>
                <a:srgbClr val="FF0000"/>
              </a:solidFill>
              <a:ln>
                <a:solidFill>
                  <a:schemeClr val="tx1"/>
                </a:solidFill>
              </a:ln>
            </c:spPr>
            <c:extLst>
              <c:ext xmlns:c16="http://schemas.microsoft.com/office/drawing/2014/chart" uri="{C3380CC4-5D6E-409C-BE32-E72D297353CC}">
                <c16:uniqueId val="{00000005-BDC4-48F6-BDAD-CB5B3170E288}"/>
              </c:ext>
            </c:extLst>
          </c:dPt>
          <c:dPt>
            <c:idx val="3"/>
            <c:invertIfNegative val="0"/>
            <c:bubble3D val="0"/>
            <c:spPr>
              <a:solidFill>
                <a:srgbClr val="FFFF00"/>
              </a:solidFill>
              <a:ln>
                <a:solidFill>
                  <a:schemeClr val="tx1"/>
                </a:solidFill>
              </a:ln>
            </c:spPr>
            <c:extLst>
              <c:ext xmlns:c16="http://schemas.microsoft.com/office/drawing/2014/chart" uri="{C3380CC4-5D6E-409C-BE32-E72D297353CC}">
                <c16:uniqueId val="{00000007-BDC4-48F6-BDAD-CB5B3170E288}"/>
              </c:ext>
            </c:extLst>
          </c:dPt>
          <c:dPt>
            <c:idx val="4"/>
            <c:invertIfNegative val="0"/>
            <c:bubble3D val="0"/>
            <c:spPr>
              <a:solidFill>
                <a:srgbClr val="00FF00"/>
              </a:solidFill>
              <a:ln>
                <a:solidFill>
                  <a:schemeClr val="tx1"/>
                </a:solidFill>
              </a:ln>
            </c:spPr>
            <c:extLst>
              <c:ext xmlns:c16="http://schemas.microsoft.com/office/drawing/2014/chart" uri="{C3380CC4-5D6E-409C-BE32-E72D297353CC}">
                <c16:uniqueId val="{00000009-BDC4-48F6-BDAD-CB5B3170E288}"/>
              </c:ext>
            </c:extLst>
          </c:dPt>
          <c:dPt>
            <c:idx val="6"/>
            <c:invertIfNegative val="0"/>
            <c:bubble3D val="0"/>
            <c:spPr>
              <a:solidFill>
                <a:srgbClr val="002060"/>
              </a:solidFill>
              <a:ln>
                <a:solidFill>
                  <a:schemeClr val="tx1"/>
                </a:solidFill>
              </a:ln>
            </c:spPr>
            <c:extLst>
              <c:ext xmlns:c16="http://schemas.microsoft.com/office/drawing/2014/chart" uri="{C3380CC4-5D6E-409C-BE32-E72D297353CC}">
                <c16:uniqueId val="{0000000B-BDC4-48F6-BDAD-CB5B3170E288}"/>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Sheet19!$A$2:$A$8</c:f>
              <c:strCache>
                <c:ptCount val="7"/>
                <c:pt idx="0">
                  <c:v>Extremely acidic (3.51-4.50)</c:v>
                </c:pt>
                <c:pt idx="1">
                  <c:v>Very strongly acidic (4.51-5.0)</c:v>
                </c:pt>
                <c:pt idx="2">
                  <c:v>Strongly acidic (5.01-5.50)</c:v>
                </c:pt>
                <c:pt idx="3">
                  <c:v>Moderately acidic (5.51-6.0)</c:v>
                </c:pt>
                <c:pt idx="4">
                  <c:v>Slightly acidic (6.01-6.50)</c:v>
                </c:pt>
                <c:pt idx="5">
                  <c:v>Neutral (6.51-7.30)</c:v>
                </c:pt>
                <c:pt idx="6">
                  <c:v>Slightly alkaline (7.40-7.80)</c:v>
                </c:pt>
              </c:strCache>
            </c:strRef>
          </c:cat>
          <c:val>
            <c:numRef>
              <c:f>Sheet19!$B$2:$B$8</c:f>
              <c:numCache>
                <c:formatCode>General</c:formatCode>
                <c:ptCount val="7"/>
                <c:pt idx="0">
                  <c:v>10</c:v>
                </c:pt>
                <c:pt idx="1">
                  <c:v>30</c:v>
                </c:pt>
                <c:pt idx="2">
                  <c:v>30</c:v>
                </c:pt>
                <c:pt idx="3">
                  <c:v>10</c:v>
                </c:pt>
                <c:pt idx="4">
                  <c:v>10</c:v>
                </c:pt>
                <c:pt idx="5">
                  <c:v>0</c:v>
                </c:pt>
                <c:pt idx="6">
                  <c:v>10</c:v>
                </c:pt>
              </c:numCache>
            </c:numRef>
          </c:val>
          <c:extLst>
            <c:ext xmlns:c16="http://schemas.microsoft.com/office/drawing/2014/chart" uri="{C3380CC4-5D6E-409C-BE32-E72D297353CC}">
              <c16:uniqueId val="{0000000C-BDC4-48F6-BDAD-CB5B3170E288}"/>
            </c:ext>
          </c:extLst>
        </c:ser>
        <c:dLbls>
          <c:showLegendKey val="0"/>
          <c:showVal val="0"/>
          <c:showCatName val="0"/>
          <c:showSerName val="0"/>
          <c:showPercent val="0"/>
          <c:showBubbleSize val="0"/>
        </c:dLbls>
        <c:gapWidth val="150"/>
        <c:axId val="124996992"/>
        <c:axId val="125007360"/>
      </c:barChart>
      <c:catAx>
        <c:axId val="124996992"/>
        <c:scaling>
          <c:orientation val="minMax"/>
        </c:scaling>
        <c:delete val="0"/>
        <c:axPos val="b"/>
        <c:title>
          <c:tx>
            <c:rich>
              <a:bodyPr/>
              <a:lstStyle/>
              <a:p>
                <a:pPr>
                  <a:defRPr/>
                </a:pPr>
                <a:r>
                  <a:rPr lang="en-IN" sz="1200">
                    <a:latin typeface="Times New Roman" panose="02020603050405020304" pitchFamily="18" charset="0"/>
                    <a:cs typeface="Times New Roman" panose="02020603050405020304" pitchFamily="18" charset="0"/>
                  </a:rPr>
                  <a:t>pH</a:t>
                </a:r>
              </a:p>
            </c:rich>
          </c:tx>
          <c:overlay val="0"/>
        </c:title>
        <c:numFmt formatCode="General" sourceLinked="1"/>
        <c:majorTickMark val="out"/>
        <c:minorTickMark val="none"/>
        <c:tickLblPos val="nextTo"/>
        <c:spPr>
          <a:ln>
            <a:solidFill>
              <a:schemeClr val="tx1"/>
            </a:solidFill>
          </a:ln>
        </c:spPr>
        <c:crossAx val="125007360"/>
        <c:crosses val="autoZero"/>
        <c:auto val="1"/>
        <c:lblAlgn val="ctr"/>
        <c:lblOffset val="100"/>
        <c:noMultiLvlLbl val="0"/>
      </c:catAx>
      <c:valAx>
        <c:axId val="125007360"/>
        <c:scaling>
          <c:orientation val="minMax"/>
        </c:scaling>
        <c:delete val="0"/>
        <c:axPos val="l"/>
        <c:title>
          <c:tx>
            <c:rich>
              <a:bodyPr/>
              <a:lstStyle/>
              <a:p>
                <a:pPr>
                  <a:defRPr/>
                </a:pPr>
                <a:r>
                  <a:rPr lang="en-IN" sz="1200">
                    <a:latin typeface="Times New Roman" panose="02020603050405020304" pitchFamily="18" charset="0"/>
                    <a:cs typeface="Times New Roman" panose="02020603050405020304" pitchFamily="18" charset="0"/>
                  </a:rPr>
                  <a:t>% of samples</a:t>
                </a:r>
              </a:p>
            </c:rich>
          </c:tx>
          <c:overlay val="0"/>
        </c:title>
        <c:numFmt formatCode="General" sourceLinked="1"/>
        <c:majorTickMark val="out"/>
        <c:minorTickMark val="none"/>
        <c:tickLblPos val="nextTo"/>
        <c:spPr>
          <a:ln>
            <a:solidFill>
              <a:schemeClr val="tx1"/>
            </a:solidFill>
          </a:ln>
        </c:spPr>
        <c:crossAx val="12499699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2588097065483"/>
          <c:y val="0.15142619496506604"/>
          <c:w val="0.64627760880070495"/>
          <c:h val="0.62165391297918804"/>
        </c:manualLayout>
      </c:layout>
      <c:barChart>
        <c:barDir val="col"/>
        <c:grouping val="clustered"/>
        <c:varyColors val="0"/>
        <c:ser>
          <c:idx val="0"/>
          <c:order val="0"/>
          <c:tx>
            <c:v>Frequency</c:v>
          </c:tx>
          <c:spPr>
            <a:solidFill>
              <a:srgbClr val="FF0000"/>
            </a:solidFill>
            <a:ln>
              <a:solidFill>
                <a:schemeClr val="tx1"/>
              </a:solidFill>
            </a:ln>
          </c:spPr>
          <c:invertIfNegative val="0"/>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1-2F22-4CDC-A7FE-0A5D8E12C3F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Sheet21!$A$2:$A$3</c:f>
              <c:strCache>
                <c:ptCount val="2"/>
                <c:pt idx="0">
                  <c:v>&lt; 1</c:v>
                </c:pt>
                <c:pt idx="1">
                  <c:v>1.0 - 2</c:v>
                </c:pt>
              </c:strCache>
            </c:strRef>
          </c:cat>
          <c:val>
            <c:numRef>
              <c:f>Sheet21!$B$2:$B$3</c:f>
              <c:numCache>
                <c:formatCode>General</c:formatCode>
                <c:ptCount val="2"/>
                <c:pt idx="0">
                  <c:v>95</c:v>
                </c:pt>
                <c:pt idx="1">
                  <c:v>5</c:v>
                </c:pt>
              </c:numCache>
            </c:numRef>
          </c:val>
          <c:extLst>
            <c:ext xmlns:c16="http://schemas.microsoft.com/office/drawing/2014/chart" uri="{C3380CC4-5D6E-409C-BE32-E72D297353CC}">
              <c16:uniqueId val="{00000002-2F22-4CDC-A7FE-0A5D8E12C3F7}"/>
            </c:ext>
          </c:extLst>
        </c:ser>
        <c:dLbls>
          <c:showLegendKey val="0"/>
          <c:showVal val="0"/>
          <c:showCatName val="0"/>
          <c:showSerName val="0"/>
          <c:showPercent val="0"/>
          <c:showBubbleSize val="0"/>
        </c:dLbls>
        <c:gapWidth val="150"/>
        <c:axId val="125012224"/>
        <c:axId val="125018496"/>
      </c:barChart>
      <c:catAx>
        <c:axId val="125012224"/>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Electrical</a:t>
                </a:r>
                <a:r>
                  <a:rPr lang="en-IN" sz="1000" baseline="0">
                    <a:latin typeface="Times New Roman" panose="02020603050405020304" pitchFamily="18" charset="0"/>
                    <a:cs typeface="Times New Roman" panose="02020603050405020304" pitchFamily="18" charset="0"/>
                  </a:rPr>
                  <a:t> conductivity </a:t>
                </a:r>
                <a:r>
                  <a:rPr lang="en-US" sz="1000" b="1" i="0" u="none" strike="noStrike" baseline="0">
                    <a:effectLst/>
                    <a:latin typeface="Times New Roman" panose="02020603050405020304" pitchFamily="18" charset="0"/>
                    <a:cs typeface="Times New Roman" panose="02020603050405020304" pitchFamily="18" charset="0"/>
                  </a:rPr>
                  <a:t>(dSm</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18030998280387367"/>
              <c:y val="0.90527758269930059"/>
            </c:manualLayout>
          </c:layout>
          <c:overlay val="0"/>
        </c:title>
        <c:numFmt formatCode="General" sourceLinked="1"/>
        <c:majorTickMark val="out"/>
        <c:minorTickMark val="none"/>
        <c:tickLblPos val="nextTo"/>
        <c:spPr>
          <a:ln>
            <a:solidFill>
              <a:schemeClr val="tx1"/>
            </a:solidFill>
          </a:ln>
        </c:spPr>
        <c:crossAx val="125018496"/>
        <c:crosses val="autoZero"/>
        <c:auto val="1"/>
        <c:lblAlgn val="ctr"/>
        <c:lblOffset val="100"/>
        <c:noMultiLvlLbl val="0"/>
      </c:catAx>
      <c:valAx>
        <c:axId val="125018496"/>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4.1453807635747665E-2"/>
              <c:y val="0.29057003437950552"/>
            </c:manualLayout>
          </c:layout>
          <c:overlay val="0"/>
        </c:title>
        <c:numFmt formatCode="General" sourceLinked="1"/>
        <c:majorTickMark val="out"/>
        <c:minorTickMark val="none"/>
        <c:tickLblPos val="nextTo"/>
        <c:spPr>
          <a:ln>
            <a:solidFill>
              <a:schemeClr val="tx1"/>
            </a:solidFill>
          </a:ln>
        </c:spPr>
        <c:crossAx val="12501222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217787431743456"/>
          <c:y val="0.17567340667782383"/>
          <c:w val="0.69832604257801134"/>
          <c:h val="0.61554573970936555"/>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6154-44D1-8386-498B51119508}"/>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6154-44D1-8386-498B51119508}"/>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6154-44D1-8386-498B51119508}"/>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Sheet23!$A$2:$A$4</c:f>
              <c:strCache>
                <c:ptCount val="3"/>
                <c:pt idx="0">
                  <c:v>Low (&lt; 0.50)</c:v>
                </c:pt>
                <c:pt idx="1">
                  <c:v>Medium (0.50-1.50)</c:v>
                </c:pt>
                <c:pt idx="2">
                  <c:v>High (&gt; 1.50)</c:v>
                </c:pt>
              </c:strCache>
            </c:strRef>
          </c:cat>
          <c:val>
            <c:numRef>
              <c:f>Sheet23!$B$2:$B$4</c:f>
              <c:numCache>
                <c:formatCode>General</c:formatCode>
                <c:ptCount val="3"/>
                <c:pt idx="0">
                  <c:v>30</c:v>
                </c:pt>
                <c:pt idx="1">
                  <c:v>25</c:v>
                </c:pt>
                <c:pt idx="2">
                  <c:v>45</c:v>
                </c:pt>
              </c:numCache>
            </c:numRef>
          </c:val>
          <c:extLst>
            <c:ext xmlns:c16="http://schemas.microsoft.com/office/drawing/2014/chart" uri="{C3380CC4-5D6E-409C-BE32-E72D297353CC}">
              <c16:uniqueId val="{00000006-6154-44D1-8386-498B51119508}"/>
            </c:ext>
          </c:extLst>
        </c:ser>
        <c:dLbls>
          <c:showLegendKey val="0"/>
          <c:showVal val="0"/>
          <c:showCatName val="0"/>
          <c:showSerName val="0"/>
          <c:showPercent val="0"/>
          <c:showBubbleSize val="0"/>
        </c:dLbls>
        <c:gapWidth val="150"/>
        <c:axId val="125245312"/>
        <c:axId val="125259776"/>
      </c:barChart>
      <c:catAx>
        <c:axId val="12524531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Organic</a:t>
                </a:r>
                <a:r>
                  <a:rPr lang="en-IN" sz="1000" baseline="0">
                    <a:latin typeface="Times New Roman" panose="02020603050405020304" pitchFamily="18" charset="0"/>
                    <a:cs typeface="Times New Roman" panose="02020603050405020304" pitchFamily="18" charset="0"/>
                  </a:rPr>
                  <a:t> carbon </a:t>
                </a:r>
                <a:r>
                  <a:rPr lang="en-US"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40912606627296616"/>
              <c:y val="0.93005569425772994"/>
            </c:manualLayout>
          </c:layout>
          <c:overlay val="0"/>
        </c:title>
        <c:numFmt formatCode="General" sourceLinked="1"/>
        <c:majorTickMark val="out"/>
        <c:minorTickMark val="none"/>
        <c:tickLblPos val="nextTo"/>
        <c:spPr>
          <a:ln>
            <a:solidFill>
              <a:schemeClr val="tx1"/>
            </a:solidFill>
          </a:ln>
        </c:spPr>
        <c:crossAx val="125259776"/>
        <c:crosses val="autoZero"/>
        <c:auto val="1"/>
        <c:lblAlgn val="ctr"/>
        <c:lblOffset val="100"/>
        <c:noMultiLvlLbl val="0"/>
      </c:catAx>
      <c:valAx>
        <c:axId val="125259776"/>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6.1302681992337203E-2"/>
              <c:y val="0.30407345423285514"/>
            </c:manualLayout>
          </c:layout>
          <c:overlay val="0"/>
        </c:title>
        <c:numFmt formatCode="General" sourceLinked="1"/>
        <c:majorTickMark val="out"/>
        <c:minorTickMark val="none"/>
        <c:tickLblPos val="nextTo"/>
        <c:spPr>
          <a:ln>
            <a:solidFill>
              <a:schemeClr val="tx1"/>
            </a:solidFill>
          </a:ln>
        </c:spPr>
        <c:crossAx val="12524531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1621</TotalTime>
  <Pages>20</Pages>
  <Words>4003</Words>
  <Characters>22822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1186</cp:lastModifiedBy>
  <cp:revision>477</cp:revision>
  <dcterms:created xsi:type="dcterms:W3CDTF">2020-11-03T09:53:00Z</dcterms:created>
  <dcterms:modified xsi:type="dcterms:W3CDTF">2026-01-21T07:23:00Z</dcterms:modified>
</cp:coreProperties>
</file>