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D1A9" w14:textId="77777777" w:rsidR="004C6CEA" w:rsidRPr="00D55FDB" w:rsidRDefault="0090294E" w:rsidP="00D55FDB">
      <w:pPr>
        <w:tabs>
          <w:tab w:val="left" w:pos="5270"/>
        </w:tabs>
        <w:jc w:val="right"/>
        <w:rPr>
          <w:rFonts w:asciiTheme="minorBidi" w:hAnsiTheme="minorBidi"/>
          <w:b/>
          <w:bCs/>
          <w:sz w:val="36"/>
          <w:szCs w:val="36"/>
        </w:rPr>
      </w:pPr>
      <w:r w:rsidRPr="00D55FDB">
        <w:rPr>
          <w:rFonts w:asciiTheme="minorBidi" w:hAnsiTheme="minorBidi"/>
          <w:b/>
          <w:bCs/>
          <w:sz w:val="36"/>
          <w:szCs w:val="36"/>
        </w:rPr>
        <w:t>Status and behavior of sodium and magnesium during leaching of local and non-saline soils</w:t>
      </w:r>
    </w:p>
    <w:p w14:paraId="1D9F3B8F" w14:textId="77777777" w:rsidR="009923DE" w:rsidRDefault="009923DE" w:rsidP="00A862AB">
      <w:pPr>
        <w:jc w:val="center"/>
        <w:rPr>
          <w:b/>
          <w:bCs/>
        </w:rPr>
      </w:pPr>
    </w:p>
    <w:p w14:paraId="48D48399" w14:textId="4210E7F3" w:rsidR="00A862AB" w:rsidRPr="00A862AB" w:rsidRDefault="00A862AB" w:rsidP="00A862AB">
      <w:pPr>
        <w:jc w:val="center"/>
        <w:rPr>
          <w:b/>
          <w:bCs/>
        </w:rPr>
      </w:pPr>
      <w:r w:rsidRPr="00A862AB">
        <w:rPr>
          <w:b/>
          <w:bCs/>
        </w:rPr>
        <w:t>ABSTRACT</w:t>
      </w:r>
    </w:p>
    <w:p w14:paraId="1BC969F6" w14:textId="041AE489" w:rsidR="00BE0A18" w:rsidRPr="00A862AB" w:rsidRDefault="005C7A77" w:rsidP="007032AA">
      <w:pPr>
        <w:jc w:val="both"/>
        <w:rPr>
          <w:rFonts w:asciiTheme="minorBidi" w:hAnsiTheme="minorBidi"/>
          <w:sz w:val="20"/>
          <w:szCs w:val="20"/>
          <w:rtl/>
        </w:rPr>
      </w:pPr>
      <w:r>
        <w:rPr>
          <w:rFonts w:asciiTheme="majorBidi" w:hAnsiTheme="majorBidi" w:cstheme="majorBidi"/>
          <w:sz w:val="24"/>
          <w:szCs w:val="24"/>
        </w:rPr>
        <w:t xml:space="preserve">      </w:t>
      </w:r>
      <w:r w:rsidRPr="00A862AB">
        <w:rPr>
          <w:rFonts w:asciiTheme="minorBidi" w:hAnsiTheme="minorBidi"/>
          <w:sz w:val="20"/>
          <w:szCs w:val="20"/>
        </w:rPr>
        <w:t>Two different sites in northern Iraq (</w:t>
      </w:r>
      <w:proofErr w:type="spellStart"/>
      <w:r w:rsidRPr="00A862AB">
        <w:rPr>
          <w:rFonts w:asciiTheme="minorBidi" w:hAnsiTheme="minorBidi"/>
          <w:sz w:val="20"/>
          <w:szCs w:val="20"/>
        </w:rPr>
        <w:t>Bashiqa</w:t>
      </w:r>
      <w:proofErr w:type="spellEnd"/>
      <w:r w:rsidRPr="00A862AB">
        <w:rPr>
          <w:rFonts w:asciiTheme="minorBidi" w:hAnsiTheme="minorBidi"/>
          <w:sz w:val="20"/>
          <w:szCs w:val="20"/>
        </w:rPr>
        <w:t xml:space="preserve"> and </w:t>
      </w:r>
      <w:proofErr w:type="spellStart"/>
      <w:r w:rsidRPr="00A862AB">
        <w:rPr>
          <w:rFonts w:asciiTheme="minorBidi" w:hAnsiTheme="minorBidi"/>
          <w:sz w:val="20"/>
          <w:szCs w:val="20"/>
        </w:rPr>
        <w:t>Hawija</w:t>
      </w:r>
      <w:proofErr w:type="spellEnd"/>
      <w:r w:rsidRPr="00A862AB">
        <w:rPr>
          <w:rFonts w:asciiTheme="minorBidi" w:hAnsiTheme="minorBidi"/>
          <w:sz w:val="20"/>
          <w:szCs w:val="20"/>
        </w:rPr>
        <w:t>) were selected based on their varying rainfall patterns and land use characteristics. Soil samples were collected from the topsoil (0-30 cm) of the study sites, and undisturbed natural soil columns were taken to the same depth (0-30 cm) and with a diameter of 8 cm</w:t>
      </w:r>
      <w:r w:rsidR="0050394A" w:rsidRPr="0050394A">
        <w:t xml:space="preserve"> </w:t>
      </w:r>
      <w:r w:rsidR="0050394A" w:rsidRPr="0050394A">
        <w:rPr>
          <w:rFonts w:asciiTheme="minorBidi" w:hAnsiTheme="minorBidi"/>
          <w:sz w:val="20"/>
          <w:szCs w:val="20"/>
          <w:highlight w:val="yellow"/>
        </w:rPr>
        <w:t xml:space="preserve">Three samples per </w:t>
      </w:r>
      <w:proofErr w:type="gramStart"/>
      <w:r w:rsidR="0050394A" w:rsidRPr="0050394A">
        <w:rPr>
          <w:rFonts w:asciiTheme="minorBidi" w:hAnsiTheme="minorBidi"/>
          <w:sz w:val="20"/>
          <w:szCs w:val="20"/>
          <w:highlight w:val="yellow"/>
        </w:rPr>
        <w:t>site</w:t>
      </w:r>
      <w:r w:rsidR="0050394A">
        <w:rPr>
          <w:rFonts w:asciiTheme="minorBidi" w:hAnsiTheme="minorBidi"/>
          <w:sz w:val="20"/>
          <w:szCs w:val="20"/>
        </w:rPr>
        <w:t xml:space="preserve"> </w:t>
      </w:r>
      <w:r w:rsidRPr="00A862AB">
        <w:rPr>
          <w:rFonts w:asciiTheme="minorBidi" w:hAnsiTheme="minorBidi"/>
          <w:sz w:val="20"/>
          <w:szCs w:val="20"/>
        </w:rPr>
        <w:t>.</w:t>
      </w:r>
      <w:proofErr w:type="gramEnd"/>
      <w:r w:rsidRPr="00A862AB">
        <w:rPr>
          <w:rFonts w:asciiTheme="minorBidi" w:hAnsiTheme="minorBidi"/>
          <w:sz w:val="20"/>
          <w:szCs w:val="20"/>
        </w:rPr>
        <w:t xml:space="preserve"> Well water and Tigris River water samples were also collected from the same study areas. A laboratory experiment based on miscible displacement was conducted. The soil columns were moistened with Tigris River water and well water to a pore volume of one (PV 1). The moistening and drying process was repeated every ten days until the pore volume reached ten (PV 10). The soil columns were then washed using intermittent </w:t>
      </w:r>
      <w:r w:rsidR="00280871" w:rsidRPr="00A862AB">
        <w:rPr>
          <w:rFonts w:asciiTheme="minorBidi" w:hAnsiTheme="minorBidi"/>
          <w:sz w:val="20"/>
          <w:szCs w:val="20"/>
        </w:rPr>
        <w:t>leaching</w:t>
      </w:r>
      <w:r w:rsidRPr="00A862AB">
        <w:rPr>
          <w:rFonts w:asciiTheme="minorBidi" w:hAnsiTheme="minorBidi"/>
          <w:sz w:val="20"/>
          <w:szCs w:val="20"/>
        </w:rPr>
        <w:t xml:space="preserve"> after the completion of the moistening and drying cycles for each type of water (Tigris River water and well water) used for moistening and </w:t>
      </w:r>
      <w:r w:rsidR="00280871" w:rsidRPr="00A862AB">
        <w:rPr>
          <w:rFonts w:asciiTheme="minorBidi" w:hAnsiTheme="minorBidi"/>
          <w:sz w:val="20"/>
          <w:szCs w:val="20"/>
        </w:rPr>
        <w:t>leaching</w:t>
      </w:r>
      <w:r w:rsidRPr="00A862AB">
        <w:rPr>
          <w:rFonts w:asciiTheme="minorBidi" w:hAnsiTheme="minorBidi"/>
          <w:sz w:val="20"/>
          <w:szCs w:val="20"/>
        </w:rPr>
        <w:t>.</w:t>
      </w:r>
      <w:r w:rsidR="00A0676F" w:rsidRPr="00A862AB">
        <w:rPr>
          <w:rFonts w:asciiTheme="minorBidi" w:hAnsiTheme="minorBidi"/>
          <w:sz w:val="20"/>
          <w:szCs w:val="20"/>
        </w:rPr>
        <w:t xml:space="preserve"> The results showed that the salt concentration increased at both study sites after the completion of ten wetting and drying cycles. The electrical conductivity values ​​increased to (1.30 - 10.3) </w:t>
      </w:r>
      <w:proofErr w:type="spellStart"/>
      <w:r w:rsidR="00A0676F" w:rsidRPr="006E2D38">
        <w:rPr>
          <w:rFonts w:asciiTheme="minorBidi" w:hAnsiTheme="minorBidi"/>
          <w:sz w:val="20"/>
          <w:szCs w:val="20"/>
          <w:highlight w:val="yellow"/>
        </w:rPr>
        <w:t>dS</w:t>
      </w:r>
      <w:proofErr w:type="spellEnd"/>
      <w:r w:rsidR="00A0676F" w:rsidRPr="006E2D38">
        <w:rPr>
          <w:rFonts w:asciiTheme="minorBidi" w:hAnsiTheme="minorBidi"/>
          <w:sz w:val="20"/>
          <w:szCs w:val="20"/>
          <w:highlight w:val="yellow"/>
        </w:rPr>
        <w:t xml:space="preserve"> m</w:t>
      </w:r>
      <w:r w:rsidR="00A0676F" w:rsidRPr="006E2D38">
        <w:rPr>
          <w:rFonts w:ascii="Cambria Math" w:hAnsi="Cambria Math" w:cs="Cambria Math"/>
          <w:sz w:val="20"/>
          <w:szCs w:val="20"/>
          <w:highlight w:val="yellow"/>
        </w:rPr>
        <w:t>⁻</w:t>
      </w:r>
      <w:r w:rsidR="00A0676F" w:rsidRPr="006E2D38">
        <w:rPr>
          <w:rFonts w:ascii="Arial" w:hAnsi="Arial" w:cs="Arial"/>
          <w:sz w:val="20"/>
          <w:szCs w:val="20"/>
          <w:highlight w:val="yellow"/>
        </w:rPr>
        <w:t>¹</w:t>
      </w:r>
      <w:r w:rsidR="00A0676F" w:rsidRPr="00A862AB">
        <w:rPr>
          <w:rFonts w:asciiTheme="minorBidi" w:hAnsiTheme="minorBidi"/>
          <w:sz w:val="20"/>
          <w:szCs w:val="20"/>
        </w:rPr>
        <w:t xml:space="preserve"> at the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when using river water, respectively. However, when using well water, the electrical conductivity values ​​increased to (3.4 - 17.8) </w:t>
      </w:r>
      <w:proofErr w:type="spellStart"/>
      <w:r w:rsidR="00A0676F" w:rsidRPr="006E2D38">
        <w:rPr>
          <w:rFonts w:asciiTheme="minorBidi" w:hAnsiTheme="minorBidi"/>
          <w:sz w:val="20"/>
          <w:szCs w:val="20"/>
          <w:highlight w:val="yellow"/>
        </w:rPr>
        <w:t>dS</w:t>
      </w:r>
      <w:proofErr w:type="spellEnd"/>
      <w:r w:rsidR="00A0676F" w:rsidRPr="006E2D38">
        <w:rPr>
          <w:rFonts w:asciiTheme="minorBidi" w:hAnsiTheme="minorBidi"/>
          <w:sz w:val="20"/>
          <w:szCs w:val="20"/>
          <w:highlight w:val="yellow"/>
        </w:rPr>
        <w:t xml:space="preserve"> m</w:t>
      </w:r>
      <w:r w:rsidR="00A0676F" w:rsidRPr="006E2D38">
        <w:rPr>
          <w:rFonts w:ascii="Cambria Math" w:hAnsi="Cambria Math" w:cs="Cambria Math"/>
          <w:sz w:val="20"/>
          <w:szCs w:val="20"/>
          <w:highlight w:val="yellow"/>
        </w:rPr>
        <w:t>⁻</w:t>
      </w:r>
      <w:r w:rsidR="00A0676F" w:rsidRPr="006E2D38">
        <w:rPr>
          <w:rFonts w:ascii="Arial" w:hAnsi="Arial" w:cs="Arial"/>
          <w:sz w:val="20"/>
          <w:szCs w:val="20"/>
          <w:highlight w:val="yellow"/>
        </w:rPr>
        <w:t>¹</w:t>
      </w:r>
      <w:r w:rsidR="00A0676F" w:rsidRPr="00A862AB">
        <w:rPr>
          <w:rFonts w:asciiTheme="minorBidi" w:hAnsiTheme="minorBidi"/>
          <w:sz w:val="20"/>
          <w:szCs w:val="20"/>
        </w:rPr>
        <w:t xml:space="preserve"> at the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respectively. The results also showed that the amount of aggregated magnesium was higher than the amount of sodium in both cases, whether using river or well water. Furthermore, the results indicated that the release velocity coefficient for sodium was higher than that of magnesium, according to the power function equation.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using river water was initially rapid, accompanied by a rapid decrease in the electrical conductivity of the effluent and an increase in pore volume at both study sites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up to pore volume 8, at which point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stabilized and the slope ended. This indicates the dissolution of all easily soluble salts and most of the trace salts. The solubility, however, the path of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using well water behaved differently at the site (Bashiqa), where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path curve rose. This indicates a rise in the concentration of salts at the site during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instead of a decrease. The reason for this is that the well water has a high concentration of </w:t>
      </w:r>
      <w:proofErr w:type="gramStart"/>
      <w:r w:rsidR="00A0676F" w:rsidRPr="00A862AB">
        <w:rPr>
          <w:rFonts w:asciiTheme="minorBidi" w:hAnsiTheme="minorBidi"/>
          <w:sz w:val="20"/>
          <w:szCs w:val="20"/>
        </w:rPr>
        <w:t xml:space="preserve">salts </w:t>
      </w:r>
      <w:r w:rsidR="00280871" w:rsidRPr="00A862AB">
        <w:rPr>
          <w:rFonts w:asciiTheme="minorBidi" w:hAnsiTheme="minorBidi"/>
          <w:sz w:val="20"/>
          <w:szCs w:val="20"/>
        </w:rPr>
        <w:t xml:space="preserve"> </w:t>
      </w:r>
      <w:r w:rsidR="00A0676F" w:rsidRPr="00A862AB">
        <w:rPr>
          <w:rFonts w:asciiTheme="minorBidi" w:hAnsiTheme="minorBidi"/>
          <w:sz w:val="20"/>
          <w:szCs w:val="20"/>
        </w:rPr>
        <w:t>(</w:t>
      </w:r>
      <w:proofErr w:type="gramEnd"/>
      <w:r w:rsidR="00A0676F" w:rsidRPr="00A862AB">
        <w:rPr>
          <w:rFonts w:asciiTheme="minorBidi" w:hAnsiTheme="minorBidi"/>
          <w:sz w:val="20"/>
          <w:szCs w:val="20"/>
        </w:rPr>
        <w:t xml:space="preserve">3.5 </w:t>
      </w:r>
      <w:proofErr w:type="spellStart"/>
      <w:r w:rsidR="00A0676F" w:rsidRPr="006E2D38">
        <w:rPr>
          <w:rFonts w:asciiTheme="minorBidi" w:hAnsiTheme="minorBidi"/>
          <w:sz w:val="20"/>
          <w:szCs w:val="20"/>
          <w:highlight w:val="yellow"/>
        </w:rPr>
        <w:t>dS</w:t>
      </w:r>
      <w:proofErr w:type="spellEnd"/>
      <w:r w:rsidR="00A0676F" w:rsidRPr="006E2D38">
        <w:rPr>
          <w:rFonts w:asciiTheme="minorBidi" w:hAnsiTheme="minorBidi"/>
          <w:sz w:val="20"/>
          <w:szCs w:val="20"/>
          <w:highlight w:val="yellow"/>
        </w:rPr>
        <w:t xml:space="preserve"> m</w:t>
      </w:r>
      <w:r w:rsidR="00A0676F" w:rsidRPr="006E2D38">
        <w:rPr>
          <w:rFonts w:asciiTheme="minorBidi" w:hAnsiTheme="minorBidi"/>
          <w:sz w:val="20"/>
          <w:szCs w:val="20"/>
          <w:highlight w:val="yellow"/>
          <w:vertAlign w:val="superscript"/>
        </w:rPr>
        <w:t>-1</w:t>
      </w:r>
      <w:r w:rsidR="00A0676F" w:rsidRPr="00A862AB">
        <w:rPr>
          <w:rFonts w:asciiTheme="minorBidi" w:hAnsiTheme="minorBidi"/>
          <w:sz w:val="20"/>
          <w:szCs w:val="20"/>
        </w:rPr>
        <w:t xml:space="preserve">). At the site of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the values ​​of electrical conductivity decreased slightly, which is considered insufficient because the value of electrical conductivity did not reach the critical limit at which the soil is considered non-saline (4 </w:t>
      </w:r>
      <w:proofErr w:type="spellStart"/>
      <w:r w:rsidR="00A0676F" w:rsidRPr="006E2D38">
        <w:rPr>
          <w:rFonts w:asciiTheme="minorBidi" w:hAnsiTheme="minorBidi"/>
          <w:sz w:val="20"/>
          <w:szCs w:val="20"/>
          <w:highlight w:val="yellow"/>
        </w:rPr>
        <w:t>dS</w:t>
      </w:r>
      <w:proofErr w:type="spellEnd"/>
      <w:r w:rsidR="00A0676F" w:rsidRPr="006E2D38">
        <w:rPr>
          <w:rFonts w:asciiTheme="minorBidi" w:hAnsiTheme="minorBidi"/>
          <w:sz w:val="20"/>
          <w:szCs w:val="20"/>
          <w:highlight w:val="yellow"/>
        </w:rPr>
        <w:t xml:space="preserve"> m</w:t>
      </w:r>
      <w:r w:rsidR="00A0676F" w:rsidRPr="006E2D38">
        <w:rPr>
          <w:rFonts w:asciiTheme="minorBidi" w:hAnsiTheme="minorBidi"/>
          <w:sz w:val="20"/>
          <w:szCs w:val="20"/>
          <w:highlight w:val="yellow"/>
          <w:vertAlign w:val="superscript"/>
        </w:rPr>
        <w:t>-1</w:t>
      </w:r>
      <w:r w:rsidR="00A0676F" w:rsidRPr="00A862AB">
        <w:rPr>
          <w:rFonts w:asciiTheme="minorBidi" w:hAnsiTheme="minorBidi"/>
          <w:sz w:val="20"/>
          <w:szCs w:val="20"/>
        </w:rPr>
        <w:t>).</w:t>
      </w:r>
    </w:p>
    <w:p w14:paraId="18F2D2FE" w14:textId="77777777" w:rsidR="00BE0A18" w:rsidRPr="006E2D38" w:rsidRDefault="00A0676F" w:rsidP="00F74F06">
      <w:pPr>
        <w:rPr>
          <w:rFonts w:asciiTheme="minorBidi" w:hAnsiTheme="minorBidi"/>
          <w:b/>
          <w:bCs/>
          <w:i/>
          <w:iCs/>
          <w:sz w:val="20"/>
          <w:szCs w:val="20"/>
          <w:rtl/>
        </w:rPr>
      </w:pPr>
      <w:r w:rsidRPr="006E2D38">
        <w:rPr>
          <w:rFonts w:asciiTheme="minorBidi" w:hAnsiTheme="minorBidi"/>
          <w:b/>
          <w:bCs/>
          <w:i/>
          <w:iCs/>
          <w:sz w:val="20"/>
          <w:szCs w:val="20"/>
          <w:highlight w:val="yellow"/>
        </w:rPr>
        <w:t>Keywords: sodium and magnesium, well water, river water,</w:t>
      </w:r>
      <w:r w:rsidR="00F74F06" w:rsidRPr="006E2D38">
        <w:rPr>
          <w:rFonts w:asciiTheme="minorBidi" w:hAnsiTheme="minorBidi"/>
          <w:b/>
          <w:bCs/>
          <w:i/>
          <w:iCs/>
          <w:sz w:val="20"/>
          <w:szCs w:val="20"/>
          <w:highlight w:val="yellow"/>
        </w:rPr>
        <w:t xml:space="preserve"> soil salinity, leaching </w:t>
      </w:r>
      <w:r w:rsidR="00E84DED" w:rsidRPr="006E2D38">
        <w:rPr>
          <w:rFonts w:asciiTheme="minorBidi" w:hAnsiTheme="minorBidi"/>
          <w:b/>
          <w:bCs/>
          <w:i/>
          <w:iCs/>
          <w:sz w:val="20"/>
          <w:szCs w:val="20"/>
          <w:highlight w:val="yellow"/>
        </w:rPr>
        <w:t>process.</w:t>
      </w:r>
    </w:p>
    <w:p w14:paraId="36951ED5" w14:textId="77777777" w:rsidR="00551CCC" w:rsidRDefault="00551CCC" w:rsidP="00090E00">
      <w:pPr>
        <w:rPr>
          <w:rFonts w:asciiTheme="majorBidi" w:hAnsiTheme="majorBidi" w:cstheme="majorBidi"/>
          <w:b/>
          <w:bCs/>
          <w:sz w:val="24"/>
          <w:szCs w:val="24"/>
        </w:rPr>
      </w:pPr>
    </w:p>
    <w:p w14:paraId="11CCB2F0" w14:textId="77777777" w:rsidR="007032AA" w:rsidRDefault="007032AA" w:rsidP="002321F9">
      <w:pPr>
        <w:jc w:val="both"/>
        <w:rPr>
          <w:sz w:val="28"/>
          <w:szCs w:val="28"/>
        </w:rPr>
      </w:pPr>
      <w:r w:rsidRPr="00DB082F">
        <w:rPr>
          <w:rFonts w:ascii="Arial" w:eastAsia="Times New Roman" w:hAnsi="Arial" w:cs="Arial"/>
          <w:b/>
          <w:bCs/>
        </w:rPr>
        <w:t>INTRODUCTION</w:t>
      </w:r>
      <w:r w:rsidR="00090E00" w:rsidRPr="00DB082F">
        <w:rPr>
          <w:b/>
          <w:bCs/>
          <w:sz w:val="32"/>
          <w:szCs w:val="32"/>
        </w:rPr>
        <w:t xml:space="preserve"> </w:t>
      </w:r>
      <w:r w:rsidR="00090E00">
        <w:rPr>
          <w:sz w:val="28"/>
          <w:szCs w:val="28"/>
        </w:rPr>
        <w:t xml:space="preserve">    </w:t>
      </w:r>
      <w:r w:rsidR="00AE5AD0">
        <w:rPr>
          <w:sz w:val="28"/>
          <w:szCs w:val="28"/>
        </w:rPr>
        <w:t xml:space="preserve"> </w:t>
      </w:r>
    </w:p>
    <w:p w14:paraId="74F967B1" w14:textId="2F203EF8" w:rsidR="006460AD" w:rsidRPr="00DB082F" w:rsidRDefault="00090E00" w:rsidP="0001152A">
      <w:pPr>
        <w:jc w:val="both"/>
        <w:rPr>
          <w:rFonts w:asciiTheme="minorBidi" w:hAnsiTheme="minorBidi"/>
          <w:sz w:val="20"/>
          <w:szCs w:val="20"/>
        </w:rPr>
      </w:pPr>
      <w:r w:rsidRPr="00DB082F">
        <w:rPr>
          <w:rFonts w:asciiTheme="minorBidi" w:hAnsiTheme="minorBidi"/>
          <w:sz w:val="20"/>
          <w:szCs w:val="20"/>
        </w:rPr>
        <w:t>The ionic and salinity composition of irrigation water affects the quantity and quality of ions in the soil solution. Irrigation water contains a quantity of dissolved ions, including basic cations, which participate in cation exchange. The irrigation process causes the precipitation or release of these ions depending on their ionic composition. The ion with the highest concentration in the irrigation water dominates the exchange surfaces of soil colloids, thus affecting the availability and absorption of other ions. The properties of irrigated soil are affected by the quality and ionic composition of the irrigation water and consequently, its availability to plants (</w:t>
      </w:r>
      <w:proofErr w:type="spellStart"/>
      <w:r w:rsidRPr="00DB082F">
        <w:rPr>
          <w:rFonts w:asciiTheme="minorBidi" w:hAnsiTheme="minorBidi"/>
          <w:sz w:val="20"/>
          <w:szCs w:val="20"/>
        </w:rPr>
        <w:t>Alhadede</w:t>
      </w:r>
      <w:proofErr w:type="spellEnd"/>
      <w:r w:rsidRPr="00DB082F">
        <w:rPr>
          <w:rFonts w:asciiTheme="minorBidi" w:hAnsiTheme="minorBidi"/>
          <w:sz w:val="20"/>
          <w:szCs w:val="20"/>
        </w:rPr>
        <w:t xml:space="preserve"> </w:t>
      </w:r>
      <w:r w:rsidRPr="0001152A">
        <w:rPr>
          <w:rFonts w:asciiTheme="minorBidi" w:hAnsiTheme="minorBidi"/>
          <w:i/>
          <w:iCs/>
          <w:sz w:val="20"/>
          <w:szCs w:val="20"/>
        </w:rPr>
        <w:t>et al.,</w:t>
      </w:r>
      <w:r w:rsidRPr="00DB082F">
        <w:rPr>
          <w:rFonts w:asciiTheme="minorBidi" w:hAnsiTheme="minorBidi"/>
          <w:sz w:val="20"/>
          <w:szCs w:val="20"/>
        </w:rPr>
        <w:t xml:space="preserve"> 2022)</w:t>
      </w:r>
      <w:r w:rsidR="001D1E33" w:rsidRPr="00DB082F">
        <w:rPr>
          <w:rFonts w:asciiTheme="minorBidi" w:hAnsiTheme="minorBidi"/>
          <w:sz w:val="20"/>
          <w:szCs w:val="20"/>
        </w:rPr>
        <w:t>,</w:t>
      </w:r>
      <w:r w:rsidRPr="00DB082F">
        <w:rPr>
          <w:rFonts w:asciiTheme="minorBidi" w:hAnsiTheme="minorBidi"/>
          <w:sz w:val="20"/>
          <w:szCs w:val="20"/>
        </w:rPr>
        <w:t xml:space="preserve"> </w:t>
      </w:r>
      <w:r w:rsidR="00317D48" w:rsidRPr="00DB082F">
        <w:rPr>
          <w:rFonts w:asciiTheme="minorBidi" w:hAnsiTheme="minorBidi"/>
          <w:sz w:val="20"/>
          <w:szCs w:val="20"/>
        </w:rPr>
        <w:t xml:space="preserve">stated </w:t>
      </w:r>
      <w:r w:rsidR="001D1E33" w:rsidRPr="00DB082F">
        <w:rPr>
          <w:rFonts w:asciiTheme="minorBidi" w:hAnsiTheme="minorBidi"/>
          <w:sz w:val="20"/>
          <w:szCs w:val="20"/>
        </w:rPr>
        <w:t xml:space="preserve">(Rengasamy, 2018) that the dissolution of salts and minerals increases and the intensity of weathering increases with the increase in </w:t>
      </w:r>
      <w:r w:rsidR="001D1E33" w:rsidRPr="00DB082F">
        <w:rPr>
          <w:rFonts w:asciiTheme="minorBidi" w:hAnsiTheme="minorBidi"/>
          <w:sz w:val="20"/>
          <w:szCs w:val="20"/>
        </w:rPr>
        <w:lastRenderedPageBreak/>
        <w:t>the ionic strength of water, and that the increase in the ionic strength of water directly affects the rate of dissolution of carbonate minerals and the release of ions into the soil solution. That is, the ionic strength of water will affect the dissolution of ion-bearing minerals and salts, and thus affect the rate of their dissolution and change the ionic composition of the soil solution.</w:t>
      </w:r>
    </w:p>
    <w:p w14:paraId="1F0BEE95" w14:textId="2EDFE402" w:rsidR="002321F9" w:rsidRPr="00DB082F" w:rsidRDefault="00AE5AD0" w:rsidP="00B70CDD">
      <w:pPr>
        <w:jc w:val="both"/>
        <w:rPr>
          <w:rFonts w:asciiTheme="minorBidi" w:hAnsiTheme="minorBidi"/>
          <w:sz w:val="20"/>
          <w:szCs w:val="20"/>
        </w:rPr>
      </w:pPr>
      <w:r w:rsidRPr="00DB082F">
        <w:rPr>
          <w:rFonts w:asciiTheme="minorBidi" w:hAnsiTheme="minorBidi"/>
          <w:sz w:val="20"/>
          <w:szCs w:val="20"/>
        </w:rPr>
        <w:t xml:space="preserve">    Giving these ions a chemical attention is required to identify the state and behavior of their various reactions that occur in the soil system, such as adsorption, release, dissolution, precipitation, oxidation, and reduction between the liquid and solid phases of the soil. This is because the dynamic equilibrium state of these ions is based primarily on the concept of ion or cation </w:t>
      </w:r>
      <w:proofErr w:type="gramStart"/>
      <w:r w:rsidRPr="00DB082F">
        <w:rPr>
          <w:rFonts w:asciiTheme="minorBidi" w:hAnsiTheme="minorBidi"/>
          <w:sz w:val="20"/>
          <w:szCs w:val="20"/>
        </w:rPr>
        <w:t>exchange</w:t>
      </w:r>
      <w:r w:rsidR="00B70CDD">
        <w:rPr>
          <w:rFonts w:asciiTheme="minorBidi" w:hAnsiTheme="minorBidi"/>
          <w:sz w:val="20"/>
          <w:szCs w:val="20"/>
        </w:rPr>
        <w:t xml:space="preserve"> </w:t>
      </w:r>
      <w:r w:rsidRPr="00DB082F">
        <w:rPr>
          <w:rFonts w:asciiTheme="minorBidi" w:hAnsiTheme="minorBidi"/>
          <w:sz w:val="20"/>
          <w:szCs w:val="20"/>
        </w:rPr>
        <w:t xml:space="preserve"> and</w:t>
      </w:r>
      <w:proofErr w:type="gramEnd"/>
      <w:r w:rsidRPr="00DB082F">
        <w:rPr>
          <w:rFonts w:asciiTheme="minorBidi" w:hAnsiTheme="minorBidi"/>
          <w:sz w:val="20"/>
          <w:szCs w:val="20"/>
        </w:rPr>
        <w:t xml:space="preserve"> the chemical and salt composition of the equilibrium solution is greatly affected by the ionic strength of the solutions that make it up. Researchers have conducted numerous studies to predict the effect of varying water ionic strength on the chemical composition of the liquid phase represented by the equilibrium solution (Farahmand </w:t>
      </w:r>
      <w:r w:rsidRPr="00215107">
        <w:rPr>
          <w:rFonts w:asciiTheme="minorBidi" w:hAnsiTheme="minorBidi"/>
          <w:sz w:val="20"/>
          <w:szCs w:val="20"/>
        </w:rPr>
        <w:t>et al</w:t>
      </w:r>
      <w:r w:rsidRPr="00DB082F">
        <w:rPr>
          <w:rFonts w:asciiTheme="minorBidi" w:hAnsiTheme="minorBidi"/>
          <w:sz w:val="20"/>
          <w:szCs w:val="20"/>
        </w:rPr>
        <w:t>., 2009 and Ahmed et al., 2018). Sodium ions are important and reliable ions in evaluating irrigation water, due to their effect on some physical properties of the soil. They work to disperse soil particles and aggregates, which causes a decrease in water conductivity, poor aeration, and an increase in the apparent density of the soil, which reduces the availability of nutrients to the plant (Morari et al., 2021). Magnesium ions have a negative effect, twice that of calcium ions. Therefore, exchange surfaces containing exchangeable magnesium ions tend to absorb more water than exchangeable calcium ions, which weakens the forces that keep soil particles together, leading to increased swelling and dispersal of clay. In general, the effect of divalent positive ions on soil properties is less than that of monovalent ions (</w:t>
      </w:r>
      <w:proofErr w:type="spellStart"/>
      <w:r w:rsidRPr="00DB082F">
        <w:rPr>
          <w:rFonts w:asciiTheme="minorBidi" w:hAnsiTheme="minorBidi"/>
          <w:sz w:val="20"/>
          <w:szCs w:val="20"/>
        </w:rPr>
        <w:t>Haviln</w:t>
      </w:r>
      <w:proofErr w:type="spellEnd"/>
      <w:r w:rsidRPr="00DB082F">
        <w:rPr>
          <w:rFonts w:asciiTheme="minorBidi" w:hAnsiTheme="minorBidi"/>
          <w:sz w:val="20"/>
          <w:szCs w:val="20"/>
        </w:rPr>
        <w:t>, 2020).</w:t>
      </w:r>
    </w:p>
    <w:p w14:paraId="27CC9895" w14:textId="77777777" w:rsidR="00680BD2" w:rsidRPr="00C17B75" w:rsidRDefault="002321F9" w:rsidP="00C17B75">
      <w:pPr>
        <w:jc w:val="both"/>
        <w:rPr>
          <w:rFonts w:asciiTheme="minorBidi" w:hAnsiTheme="minorBidi"/>
          <w:sz w:val="20"/>
          <w:szCs w:val="20"/>
        </w:rPr>
      </w:pPr>
      <w:r w:rsidRPr="00DB082F">
        <w:rPr>
          <w:rFonts w:asciiTheme="minorBidi" w:hAnsiTheme="minorBidi"/>
          <w:sz w:val="20"/>
          <w:szCs w:val="20"/>
        </w:rPr>
        <w:t xml:space="preserve">    Given the risks of salinity, which has recently begun to spread towards the northern regions of Iraq due to the lack of rainfall, as most of the agricultural lands in Iraq are located within the arid and semi-arid regions that depend on irrigation, there is a need to study the reactions in systems containing basic positive ions in some soils of northern Iraq, including to show the extent of the effect of the ionic strength of irrigation water, especially well water that has been widely used for irrigation. Based on the above, this study came with the aim of knowing the effect of the ionic strength of irrigation water on the release of sodium and magnesium ions and studying the path of the kinetic reaction of basic positive ions with a mathematical description using one of the kinetic equations.</w:t>
      </w:r>
    </w:p>
    <w:p w14:paraId="6F06466C" w14:textId="77777777" w:rsidR="008C5874" w:rsidRPr="008C5874" w:rsidRDefault="008C5874" w:rsidP="00680BD2">
      <w:pPr>
        <w:jc w:val="both"/>
        <w:rPr>
          <w:rFonts w:ascii="Arial" w:eastAsia="Times New Roman" w:hAnsi="Arial" w:cs="Arial"/>
          <w:b/>
          <w:bCs/>
        </w:rPr>
      </w:pPr>
      <w:r w:rsidRPr="008C5874">
        <w:rPr>
          <w:rFonts w:ascii="Arial" w:eastAsia="Times New Roman" w:hAnsi="Arial" w:cs="Arial"/>
          <w:b/>
          <w:bCs/>
        </w:rPr>
        <w:t xml:space="preserve">MATERIAL AND METHODS </w:t>
      </w:r>
    </w:p>
    <w:p w14:paraId="5EC88336" w14:textId="77777777" w:rsidR="00680BD2" w:rsidRPr="008C5874" w:rsidRDefault="008C5874" w:rsidP="00680BD2">
      <w:pPr>
        <w:jc w:val="both"/>
        <w:rPr>
          <w:rFonts w:asciiTheme="minorBidi" w:hAnsiTheme="minorBidi"/>
          <w:sz w:val="20"/>
          <w:szCs w:val="20"/>
          <w:rtl/>
          <w:lang w:bidi="ar-IQ"/>
        </w:rPr>
      </w:pPr>
      <w:r w:rsidRPr="008C5874">
        <w:rPr>
          <w:rFonts w:asciiTheme="minorBidi" w:hAnsiTheme="minorBidi"/>
          <w:sz w:val="20"/>
          <w:szCs w:val="20"/>
        </w:rPr>
        <w:t xml:space="preserve">    </w:t>
      </w:r>
      <w:r w:rsidR="00680BD2" w:rsidRPr="008C5874">
        <w:rPr>
          <w:rFonts w:asciiTheme="minorBidi" w:hAnsiTheme="minorBidi"/>
          <w:sz w:val="20"/>
          <w:szCs w:val="20"/>
        </w:rPr>
        <w:t>Two different sites in northern Iraq (</w:t>
      </w:r>
      <w:proofErr w:type="spellStart"/>
      <w:r w:rsidR="00680BD2" w:rsidRPr="008C5874">
        <w:rPr>
          <w:rFonts w:asciiTheme="minorBidi" w:hAnsiTheme="minorBidi"/>
          <w:sz w:val="20"/>
          <w:szCs w:val="20"/>
        </w:rPr>
        <w:t>Bashiqa</w:t>
      </w:r>
      <w:proofErr w:type="spellEnd"/>
      <w:r w:rsidR="00680BD2" w:rsidRPr="008C5874">
        <w:rPr>
          <w:rFonts w:asciiTheme="minorBidi" w:hAnsiTheme="minorBidi"/>
          <w:sz w:val="20"/>
          <w:szCs w:val="20"/>
        </w:rPr>
        <w:t xml:space="preserve">, </w:t>
      </w:r>
      <w:proofErr w:type="spellStart"/>
      <w:r w:rsidR="00680BD2" w:rsidRPr="008C5874">
        <w:rPr>
          <w:rFonts w:asciiTheme="minorBidi" w:hAnsiTheme="minorBidi"/>
          <w:sz w:val="20"/>
          <w:szCs w:val="20"/>
        </w:rPr>
        <w:t>Hawija</w:t>
      </w:r>
      <w:proofErr w:type="spellEnd"/>
      <w:r w:rsidR="00680BD2" w:rsidRPr="008C5874">
        <w:rPr>
          <w:rFonts w:asciiTheme="minorBidi" w:hAnsiTheme="minorBidi"/>
          <w:sz w:val="20"/>
          <w:szCs w:val="20"/>
        </w:rPr>
        <w:t>) were chosen based on the difference in rainfall range and land use. Soil samples were collected from the surface layer (0-30 cm) of the soils at the study sites. Undisturbed natural soil columns were taken to the same depth (0-30 cm) and diameter (8 cm) with three replicates for each site, whose geographical locations are recorded in Table (1). After the samples arrived at the laboratory, they were air-dried and then ground using a wooden mallet. They were sieved through a sieve with openings of (2 mm) and stored inside plastic containers to prepare them for various laboratory analyses and studies. Well water and Tigris River water samples were taken from the same study areas.</w:t>
      </w:r>
    </w:p>
    <w:p w14:paraId="7A8CF507"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bookmarkStart w:id="0" w:name="_GoBack"/>
      <w:bookmarkEnd w:id="0"/>
    </w:p>
    <w:p w14:paraId="1D414461" w14:textId="2A17A3C1" w:rsidR="00680BD2" w:rsidRPr="00C17B75" w:rsidRDefault="00997D23" w:rsidP="005F0A7C">
      <w:pPr>
        <w:widowControl w:val="0"/>
        <w:bidi/>
        <w:spacing w:after="0"/>
        <w:ind w:right="-270"/>
        <w:jc w:val="center"/>
        <w:outlineLvl w:val="5"/>
        <w:rPr>
          <w:rFonts w:asciiTheme="minorBidi" w:eastAsia="Times New Roman" w:hAnsiTheme="minorBidi"/>
          <w:b/>
          <w:bCs/>
          <w:sz w:val="20"/>
          <w:szCs w:val="20"/>
          <w:rtl/>
          <w:lang w:bidi="ar-IQ"/>
        </w:rPr>
      </w:pPr>
      <w:r w:rsidRPr="00C17B75">
        <w:rPr>
          <w:rFonts w:asciiTheme="minorBidi" w:eastAsia="Calibri" w:hAnsiTheme="minorBidi"/>
          <w:b/>
          <w:bCs/>
          <w:sz w:val="20"/>
          <w:szCs w:val="20"/>
          <w:lang w:bidi="ar-IQ"/>
        </w:rPr>
        <w:t xml:space="preserve"> </w:t>
      </w:r>
      <w:r w:rsidR="00680BD2" w:rsidRPr="00C17B75">
        <w:rPr>
          <w:rFonts w:asciiTheme="minorBidi" w:eastAsia="Calibri" w:hAnsiTheme="minorBidi"/>
          <w:b/>
          <w:bCs/>
          <w:sz w:val="20"/>
          <w:szCs w:val="20"/>
          <w:lang w:bidi="ar-IQ"/>
        </w:rPr>
        <w:t>Table 1</w:t>
      </w:r>
      <w:r w:rsidR="00C17B75">
        <w:rPr>
          <w:rFonts w:asciiTheme="minorBidi" w:eastAsia="Calibri" w:hAnsiTheme="minorBidi"/>
          <w:b/>
          <w:bCs/>
          <w:sz w:val="20"/>
          <w:szCs w:val="20"/>
          <w:lang w:bidi="ar-IQ"/>
        </w:rPr>
        <w:t xml:space="preserve">. </w:t>
      </w:r>
      <w:r w:rsidR="005F0A7C" w:rsidRPr="005F0A7C">
        <w:rPr>
          <w:rFonts w:asciiTheme="minorBidi" w:eastAsia="Calibri" w:hAnsiTheme="minorBidi"/>
          <w:b/>
          <w:bCs/>
          <w:sz w:val="20"/>
          <w:szCs w:val="20"/>
          <w:highlight w:val="yellow"/>
          <w:lang w:bidi="ar-IQ"/>
        </w:rPr>
        <w:t>S</w:t>
      </w:r>
      <w:r w:rsidR="00680BD2" w:rsidRPr="005F0A7C">
        <w:rPr>
          <w:rFonts w:asciiTheme="minorBidi" w:eastAsia="Calibri" w:hAnsiTheme="minorBidi"/>
          <w:b/>
          <w:bCs/>
          <w:sz w:val="20"/>
          <w:szCs w:val="20"/>
          <w:highlight w:val="yellow"/>
          <w:lang w:bidi="ar-IQ"/>
        </w:rPr>
        <w:t>oil</w:t>
      </w:r>
      <w:r w:rsidR="00680BD2" w:rsidRPr="00C17B75">
        <w:rPr>
          <w:rFonts w:asciiTheme="minorBidi" w:eastAsia="Calibri" w:hAnsiTheme="minorBidi"/>
          <w:b/>
          <w:bCs/>
          <w:sz w:val="20"/>
          <w:szCs w:val="20"/>
          <w:lang w:bidi="ar-IQ"/>
        </w:rPr>
        <w:t xml:space="preserve"> sampling locations and GPS coordinates for the study</w:t>
      </w:r>
    </w:p>
    <w:tbl>
      <w:tblPr>
        <w:tblStyle w:val="LightShading"/>
        <w:tblpPr w:leftFromText="180" w:rightFromText="180" w:vertAnchor="page" w:horzAnchor="margin" w:tblpY="2201"/>
        <w:bidiVisual/>
        <w:tblW w:w="0" w:type="auto"/>
        <w:tblLook w:val="04A0" w:firstRow="1" w:lastRow="0" w:firstColumn="1" w:lastColumn="0" w:noHBand="0" w:noVBand="1"/>
      </w:tblPr>
      <w:tblGrid>
        <w:gridCol w:w="2389"/>
        <w:gridCol w:w="2389"/>
        <w:gridCol w:w="2389"/>
        <w:gridCol w:w="2389"/>
      </w:tblGrid>
      <w:tr w:rsidR="00924249" w14:paraId="0A886706" w14:textId="77777777" w:rsidTr="00924249">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89" w:type="dxa"/>
          </w:tcPr>
          <w:p w14:paraId="1EC22AC8" w14:textId="77777777" w:rsidR="00924249" w:rsidRPr="00C17B75" w:rsidRDefault="00924249" w:rsidP="00924249">
            <w:pPr>
              <w:widowControl w:val="0"/>
              <w:bidi/>
              <w:spacing w:line="276" w:lineRule="auto"/>
              <w:ind w:right="-270"/>
              <w:jc w:val="center"/>
              <w:outlineLvl w:val="5"/>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Elevation</w:t>
            </w:r>
          </w:p>
        </w:tc>
        <w:tc>
          <w:tcPr>
            <w:tcW w:w="2389" w:type="dxa"/>
          </w:tcPr>
          <w:p w14:paraId="19F00D74" w14:textId="77777777" w:rsidR="00924249" w:rsidRPr="00C17B75" w:rsidRDefault="00924249" w:rsidP="00924249">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Longitude</w:t>
            </w:r>
          </w:p>
        </w:tc>
        <w:tc>
          <w:tcPr>
            <w:tcW w:w="2389" w:type="dxa"/>
          </w:tcPr>
          <w:p w14:paraId="2940E9F8" w14:textId="77777777" w:rsidR="00924249" w:rsidRPr="00C17B75" w:rsidRDefault="00924249" w:rsidP="00924249">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Latitude</w:t>
            </w:r>
          </w:p>
        </w:tc>
        <w:tc>
          <w:tcPr>
            <w:tcW w:w="2389" w:type="dxa"/>
          </w:tcPr>
          <w:p w14:paraId="3A5C85DE" w14:textId="77777777" w:rsidR="00924249" w:rsidRPr="00C17B75" w:rsidRDefault="00924249" w:rsidP="00924249">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hAnsiTheme="minorBidi"/>
                <w:b w:val="0"/>
                <w:bCs w:val="0"/>
                <w:sz w:val="20"/>
                <w:szCs w:val="20"/>
                <w:lang w:bidi="ar-IQ"/>
              </w:rPr>
              <w:t>Location</w:t>
            </w:r>
          </w:p>
        </w:tc>
      </w:tr>
      <w:tr w:rsidR="00924249" w14:paraId="5E5D6F4C" w14:textId="77777777" w:rsidTr="0092424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89" w:type="dxa"/>
            <w:shd w:val="clear" w:color="auto" w:fill="auto"/>
          </w:tcPr>
          <w:p w14:paraId="2DE50EB2" w14:textId="77777777" w:rsidR="00924249" w:rsidRPr="00C17B75" w:rsidRDefault="00924249" w:rsidP="00924249">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lastRenderedPageBreak/>
              <w:t>297</w:t>
            </w:r>
          </w:p>
        </w:tc>
        <w:tc>
          <w:tcPr>
            <w:tcW w:w="2389" w:type="dxa"/>
            <w:shd w:val="clear" w:color="auto" w:fill="auto"/>
          </w:tcPr>
          <w:p w14:paraId="4771A160" w14:textId="77777777" w:rsidR="00924249" w:rsidRPr="00C17B75" w:rsidRDefault="00924249" w:rsidP="00924249">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43.253222</w:t>
            </w:r>
          </w:p>
        </w:tc>
        <w:tc>
          <w:tcPr>
            <w:tcW w:w="2389" w:type="dxa"/>
            <w:shd w:val="clear" w:color="auto" w:fill="auto"/>
          </w:tcPr>
          <w:p w14:paraId="6D48AA20" w14:textId="77777777" w:rsidR="00924249" w:rsidRPr="00C17B75" w:rsidRDefault="00924249" w:rsidP="00924249">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36.470495</w:t>
            </w:r>
          </w:p>
        </w:tc>
        <w:tc>
          <w:tcPr>
            <w:tcW w:w="2389" w:type="dxa"/>
            <w:shd w:val="clear" w:color="auto" w:fill="auto"/>
          </w:tcPr>
          <w:p w14:paraId="17B38E0E" w14:textId="77777777" w:rsidR="00924249" w:rsidRPr="00C17B75" w:rsidRDefault="00924249" w:rsidP="00924249">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C17B75">
              <w:rPr>
                <w:rFonts w:asciiTheme="minorBidi" w:hAnsiTheme="minorBidi"/>
                <w:sz w:val="20"/>
                <w:szCs w:val="20"/>
              </w:rPr>
              <w:t>Bashiqa</w:t>
            </w:r>
          </w:p>
        </w:tc>
      </w:tr>
      <w:tr w:rsidR="00924249" w14:paraId="6FFA6269" w14:textId="77777777" w:rsidTr="00924249">
        <w:trPr>
          <w:trHeight w:val="319"/>
        </w:trPr>
        <w:tc>
          <w:tcPr>
            <w:cnfStyle w:val="001000000000" w:firstRow="0" w:lastRow="0" w:firstColumn="1" w:lastColumn="0" w:oddVBand="0" w:evenVBand="0" w:oddHBand="0" w:evenHBand="0" w:firstRowFirstColumn="0" w:firstRowLastColumn="0" w:lastRowFirstColumn="0" w:lastRowLastColumn="0"/>
            <w:tcW w:w="2389" w:type="dxa"/>
          </w:tcPr>
          <w:p w14:paraId="4183AA00" w14:textId="77777777" w:rsidR="00924249" w:rsidRPr="00C17B75" w:rsidRDefault="00924249" w:rsidP="00924249">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191</w:t>
            </w:r>
          </w:p>
        </w:tc>
        <w:tc>
          <w:tcPr>
            <w:tcW w:w="2389" w:type="dxa"/>
          </w:tcPr>
          <w:p w14:paraId="731D9159" w14:textId="77777777" w:rsidR="00924249" w:rsidRPr="00C17B75" w:rsidRDefault="00924249" w:rsidP="00924249">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43.889397</w:t>
            </w:r>
          </w:p>
        </w:tc>
        <w:tc>
          <w:tcPr>
            <w:tcW w:w="2389" w:type="dxa"/>
          </w:tcPr>
          <w:p w14:paraId="505DEAE2" w14:textId="77777777" w:rsidR="00924249" w:rsidRPr="00C17B75" w:rsidRDefault="00924249" w:rsidP="00924249">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53.275536</w:t>
            </w:r>
          </w:p>
        </w:tc>
        <w:tc>
          <w:tcPr>
            <w:tcW w:w="2389" w:type="dxa"/>
          </w:tcPr>
          <w:p w14:paraId="3E08BAFD" w14:textId="77777777" w:rsidR="00924249" w:rsidRPr="00C17B75" w:rsidRDefault="00924249" w:rsidP="00924249">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C17B75">
              <w:rPr>
                <w:rFonts w:asciiTheme="minorBidi" w:hAnsiTheme="minorBidi"/>
                <w:sz w:val="20"/>
                <w:szCs w:val="20"/>
              </w:rPr>
              <w:t>Hawija</w:t>
            </w:r>
            <w:proofErr w:type="spellEnd"/>
          </w:p>
        </w:tc>
      </w:tr>
    </w:tbl>
    <w:p w14:paraId="6BE90A0A" w14:textId="77777777" w:rsidR="00501320" w:rsidRDefault="00501320" w:rsidP="00680BD2">
      <w:pPr>
        <w:rPr>
          <w:rFonts w:asciiTheme="majorBidi" w:hAnsiTheme="majorBidi" w:cstheme="majorBidi"/>
          <w:sz w:val="24"/>
          <w:szCs w:val="24"/>
          <w:lang w:bidi="ar-IQ"/>
        </w:rPr>
      </w:pPr>
    </w:p>
    <w:p w14:paraId="66330270" w14:textId="77777777" w:rsidR="00680BD2" w:rsidRPr="00501320" w:rsidRDefault="00680BD2" w:rsidP="00680BD2">
      <w:pPr>
        <w:rPr>
          <w:rFonts w:asciiTheme="minorBidi" w:hAnsiTheme="minorBidi"/>
          <w:b/>
          <w:bCs/>
          <w:lang w:bidi="ar-IQ"/>
        </w:rPr>
      </w:pPr>
      <w:r w:rsidRPr="00501320">
        <w:rPr>
          <w:rFonts w:asciiTheme="minorBidi" w:hAnsiTheme="minorBidi"/>
          <w:b/>
          <w:bCs/>
          <w:lang w:bidi="ar-IQ"/>
        </w:rPr>
        <w:t>Laboratory Analyses</w:t>
      </w:r>
    </w:p>
    <w:p w14:paraId="4DF1769A" w14:textId="4DE007C9" w:rsidR="00073487" w:rsidRPr="00501320" w:rsidRDefault="00501320" w:rsidP="009F295C">
      <w:pPr>
        <w:jc w:val="both"/>
        <w:rPr>
          <w:rFonts w:asciiTheme="minorBidi" w:hAnsiTheme="minorBidi"/>
          <w:sz w:val="20"/>
          <w:szCs w:val="20"/>
          <w:lang w:bidi="ar-IQ"/>
        </w:rPr>
      </w:pPr>
      <w:r>
        <w:rPr>
          <w:rFonts w:asciiTheme="minorBidi" w:hAnsiTheme="minorBidi"/>
          <w:sz w:val="20"/>
          <w:szCs w:val="20"/>
          <w:lang w:bidi="ar-IQ"/>
        </w:rPr>
        <w:t xml:space="preserve">      </w:t>
      </w:r>
      <w:r w:rsidR="00680BD2" w:rsidRPr="00501320">
        <w:rPr>
          <w:rFonts w:asciiTheme="minorBidi" w:hAnsiTheme="minorBidi"/>
          <w:sz w:val="20"/>
          <w:szCs w:val="20"/>
          <w:lang w:bidi="ar-IQ"/>
        </w:rPr>
        <w:t>Chemical and physical analyses were performed on soil samples in the laboratories of the Department of Soil Science and Water Resources, College of Agriculture and Forestry, University of Mosul. The degree of reaction was measured using a pH meter and electrical conductivity using an EC meter. The cations of calcium and magnesium were determined by titration with ferric acid (</w:t>
      </w:r>
      <w:proofErr w:type="gramStart"/>
      <w:r w:rsidR="00680BD2" w:rsidRPr="00501320">
        <w:rPr>
          <w:rFonts w:asciiTheme="minorBidi" w:hAnsiTheme="minorBidi"/>
          <w:sz w:val="20"/>
          <w:szCs w:val="20"/>
          <w:lang w:bidi="ar-IQ"/>
        </w:rPr>
        <w:t>0.01)</w:t>
      </w:r>
      <w:r w:rsidR="00EE23DC" w:rsidRPr="00501320">
        <w:rPr>
          <w:rFonts w:asciiTheme="minorBidi" w:hAnsiTheme="minorBidi"/>
          <w:sz w:val="20"/>
          <w:szCs w:val="20"/>
          <w:lang w:bidi="ar-IQ"/>
        </w:rPr>
        <w:t>M</w:t>
      </w:r>
      <w:proofErr w:type="gramEnd"/>
      <w:r w:rsidR="00680BD2" w:rsidRPr="00501320">
        <w:rPr>
          <w:rFonts w:asciiTheme="minorBidi" w:hAnsiTheme="minorBidi"/>
          <w:sz w:val="20"/>
          <w:szCs w:val="20"/>
          <w:lang w:bidi="ar-IQ"/>
        </w:rPr>
        <w:t xml:space="preserve">, and sodium and potassium using a flame photometer. Chloride ions were determined by titration with silver nitrate </w:t>
      </w:r>
      <w:r w:rsidR="00EE23DC" w:rsidRPr="00501320">
        <w:rPr>
          <w:rFonts w:asciiTheme="minorBidi" w:hAnsiTheme="minorBidi"/>
          <w:sz w:val="20"/>
          <w:szCs w:val="20"/>
          <w:lang w:bidi="ar-IQ"/>
        </w:rPr>
        <w:t>(</w:t>
      </w:r>
      <w:proofErr w:type="gramStart"/>
      <w:r w:rsidR="00EE23DC" w:rsidRPr="00501320">
        <w:rPr>
          <w:rFonts w:asciiTheme="minorBidi" w:hAnsiTheme="minorBidi"/>
          <w:sz w:val="20"/>
          <w:szCs w:val="20"/>
          <w:lang w:bidi="ar-IQ"/>
        </w:rPr>
        <w:t>0.01)M</w:t>
      </w:r>
      <w:proofErr w:type="gramEnd"/>
      <w:r w:rsidR="00680BD2" w:rsidRPr="00501320">
        <w:rPr>
          <w:rFonts w:asciiTheme="minorBidi" w:hAnsiTheme="minorBidi"/>
          <w:sz w:val="20"/>
          <w:szCs w:val="20"/>
          <w:lang w:bidi="ar-IQ"/>
        </w:rPr>
        <w:t xml:space="preserve">, and carbonates and bicarbonates by titration with dilute sulfuric acid </w:t>
      </w:r>
      <w:r w:rsidR="00EE23DC" w:rsidRPr="00501320">
        <w:rPr>
          <w:rFonts w:asciiTheme="minorBidi" w:hAnsiTheme="minorBidi"/>
          <w:sz w:val="20"/>
          <w:szCs w:val="20"/>
          <w:lang w:bidi="ar-IQ"/>
        </w:rPr>
        <w:t>(0.01)M</w:t>
      </w:r>
      <w:r w:rsidR="00680BD2" w:rsidRPr="00501320">
        <w:rPr>
          <w:rFonts w:asciiTheme="minorBidi" w:hAnsiTheme="minorBidi"/>
          <w:sz w:val="20"/>
          <w:szCs w:val="20"/>
          <w:lang w:bidi="ar-IQ"/>
        </w:rPr>
        <w:t xml:space="preserve">, while sulfates were determined by precipitation using barium chloride. Soil texture was measured using a hydrometer and apparent density by the paraffin wax method. Soil organic matter was calculated by wet oxidation using potassium dichromate (1M), and calcium carbonate by titration with a 1M NaOH solution. The cation exchange capacity (CEC) was determined by saturation with an acetate solution. Sodium at a concentration of (1M), gypsum was measured by the acetone precipitation method as shown in </w:t>
      </w:r>
      <w:r w:rsidR="009F295C">
        <w:rPr>
          <w:rFonts w:asciiTheme="minorBidi" w:hAnsiTheme="minorBidi"/>
          <w:sz w:val="20"/>
          <w:szCs w:val="20"/>
          <w:highlight w:val="yellow"/>
          <w:lang w:bidi="ar-IQ"/>
        </w:rPr>
        <w:t>T</w:t>
      </w:r>
      <w:r w:rsidR="00680BD2" w:rsidRPr="009E06A3">
        <w:rPr>
          <w:rFonts w:asciiTheme="minorBidi" w:hAnsiTheme="minorBidi"/>
          <w:sz w:val="20"/>
          <w:szCs w:val="20"/>
          <w:highlight w:val="yellow"/>
          <w:lang w:bidi="ar-IQ"/>
        </w:rPr>
        <w:t>ables</w:t>
      </w:r>
      <w:r w:rsidR="00680BD2" w:rsidRPr="00501320">
        <w:rPr>
          <w:rFonts w:asciiTheme="minorBidi" w:hAnsiTheme="minorBidi"/>
          <w:sz w:val="20"/>
          <w:szCs w:val="20"/>
          <w:lang w:bidi="ar-IQ"/>
        </w:rPr>
        <w:t xml:space="preserve"> (2,3) according to the methods mentioned in Salem and Ali (2017).</w:t>
      </w:r>
    </w:p>
    <w:p w14:paraId="435FCBB6" w14:textId="77777777" w:rsidR="00073487" w:rsidRPr="00A92D4B" w:rsidRDefault="00073487" w:rsidP="00A92D4B">
      <w:pPr>
        <w:jc w:val="center"/>
        <w:rPr>
          <w:rFonts w:asciiTheme="minorBidi" w:hAnsiTheme="minorBidi"/>
          <w:b/>
          <w:bCs/>
        </w:rPr>
      </w:pPr>
      <w:r w:rsidRPr="00A92D4B">
        <w:rPr>
          <w:rFonts w:asciiTheme="minorBidi" w:hAnsiTheme="minorBidi"/>
          <w:b/>
          <w:bCs/>
        </w:rPr>
        <w:t>Table 2</w:t>
      </w:r>
      <w:r w:rsidR="00A92D4B">
        <w:rPr>
          <w:rFonts w:asciiTheme="minorBidi" w:hAnsiTheme="minorBidi"/>
          <w:b/>
          <w:bCs/>
        </w:rPr>
        <w:t>.</w:t>
      </w:r>
      <w:r w:rsidRPr="00A92D4B">
        <w:rPr>
          <w:rFonts w:asciiTheme="minorBidi" w:hAnsiTheme="minorBidi"/>
          <w:b/>
          <w:bCs/>
        </w:rPr>
        <w:t xml:space="preserve"> The concentration of dissolved ions in the soil samples of the study</w:t>
      </w:r>
    </w:p>
    <w:tbl>
      <w:tblPr>
        <w:tblStyle w:val="LightShading"/>
        <w:tblpPr w:leftFromText="180" w:rightFromText="180" w:vertAnchor="text" w:horzAnchor="margin" w:tblpXSpec="center" w:tblpY="130"/>
        <w:bidiVisual/>
        <w:tblW w:w="0" w:type="auto"/>
        <w:tblLook w:val="04A0" w:firstRow="1" w:lastRow="0" w:firstColumn="1" w:lastColumn="0" w:noHBand="0" w:noVBand="1"/>
      </w:tblPr>
      <w:tblGrid>
        <w:gridCol w:w="766"/>
        <w:gridCol w:w="910"/>
        <w:gridCol w:w="756"/>
        <w:gridCol w:w="694"/>
        <w:gridCol w:w="793"/>
        <w:gridCol w:w="853"/>
        <w:gridCol w:w="1151"/>
        <w:gridCol w:w="912"/>
        <w:gridCol w:w="825"/>
        <w:gridCol w:w="1346"/>
      </w:tblGrid>
      <w:tr w:rsidR="00073487" w:rsidRPr="00E12399" w14:paraId="5E4B076A" w14:textId="77777777" w:rsidTr="00A92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14:paraId="4D16CFD2" w14:textId="77777777" w:rsidR="00073487" w:rsidRPr="00E12399" w:rsidRDefault="00073487" w:rsidP="00073487">
            <w:pPr>
              <w:bidi/>
              <w:spacing w:line="276" w:lineRule="auto"/>
              <w:jc w:val="center"/>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910" w:type="dxa"/>
          </w:tcPr>
          <w:p w14:paraId="7F2F88C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HCO</w:t>
            </w:r>
            <w:r w:rsidRPr="00E12399">
              <w:rPr>
                <w:rFonts w:asciiTheme="majorBidi" w:hAnsiTheme="majorBidi" w:cstheme="majorBidi"/>
                <w:sz w:val="24"/>
                <w:szCs w:val="24"/>
                <w:vertAlign w:val="subscript"/>
                <w:lang w:bidi="ar-IQ"/>
              </w:rPr>
              <w:t>3</w:t>
            </w:r>
            <w:r w:rsidRPr="00E12399">
              <w:rPr>
                <w:rFonts w:asciiTheme="majorBidi" w:hAnsiTheme="majorBidi" w:cstheme="majorBidi"/>
                <w:sz w:val="24"/>
                <w:szCs w:val="24"/>
                <w:vertAlign w:val="superscript"/>
                <w:lang w:bidi="ar-IQ"/>
              </w:rPr>
              <w:t>-</w:t>
            </w:r>
          </w:p>
        </w:tc>
        <w:tc>
          <w:tcPr>
            <w:tcW w:w="756" w:type="dxa"/>
          </w:tcPr>
          <w:p w14:paraId="5D9FEE52"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tc>
        <w:tc>
          <w:tcPr>
            <w:tcW w:w="694" w:type="dxa"/>
          </w:tcPr>
          <w:p w14:paraId="5B86B58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93" w:type="dxa"/>
          </w:tcPr>
          <w:p w14:paraId="59EDD70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3" w:type="dxa"/>
          </w:tcPr>
          <w:p w14:paraId="145FE89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1151" w:type="dxa"/>
          </w:tcPr>
          <w:p w14:paraId="3E6B8F2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12" w:type="dxa"/>
            <w:vMerge w:val="restart"/>
          </w:tcPr>
          <w:p w14:paraId="3F607768" w14:textId="77777777" w:rsidR="00073487"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EC</w:t>
            </w:r>
          </w:p>
          <w:p w14:paraId="72D1A44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dS</w:t>
            </w:r>
            <w:proofErr w:type="spellEnd"/>
            <w:r>
              <w:rPr>
                <w:rFonts w:asciiTheme="majorBidi" w:hAnsiTheme="majorBidi" w:cstheme="majorBidi"/>
                <w:sz w:val="24"/>
                <w:szCs w:val="24"/>
                <w:lang w:bidi="ar-IQ"/>
              </w:rPr>
              <w:t xml:space="preserve"> m</w:t>
            </w:r>
            <w:r w:rsidRPr="000A3AEF">
              <w:rPr>
                <w:rFonts w:asciiTheme="majorBidi" w:hAnsiTheme="majorBidi" w:cstheme="majorBidi"/>
                <w:sz w:val="24"/>
                <w:szCs w:val="24"/>
                <w:vertAlign w:val="superscript"/>
                <w:lang w:bidi="ar-IQ"/>
              </w:rPr>
              <w:t>-1</w:t>
            </w:r>
          </w:p>
        </w:tc>
        <w:tc>
          <w:tcPr>
            <w:tcW w:w="825" w:type="dxa"/>
            <w:vMerge w:val="restart"/>
          </w:tcPr>
          <w:p w14:paraId="6F97126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1346" w:type="dxa"/>
            <w:vMerge w:val="restart"/>
          </w:tcPr>
          <w:p w14:paraId="11AABE16"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073487" w:rsidRPr="00E12399" w14:paraId="390D5A8F" w14:textId="77777777" w:rsidTr="00A92D4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923" w:type="dxa"/>
            <w:gridSpan w:val="7"/>
            <w:shd w:val="clear" w:color="auto" w:fill="auto"/>
          </w:tcPr>
          <w:p w14:paraId="7F685AE6" w14:textId="77777777" w:rsidR="00073487" w:rsidRPr="000A3AEF" w:rsidRDefault="00073487" w:rsidP="00073487">
            <w:pPr>
              <w:bidi/>
              <w:spacing w:line="276" w:lineRule="auto"/>
              <w:jc w:val="center"/>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12" w:type="dxa"/>
            <w:vMerge/>
            <w:shd w:val="clear" w:color="auto" w:fill="auto"/>
          </w:tcPr>
          <w:p w14:paraId="61743140"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25" w:type="dxa"/>
            <w:vMerge/>
            <w:shd w:val="clear" w:color="auto" w:fill="auto"/>
          </w:tcPr>
          <w:p w14:paraId="41923C4A"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346" w:type="dxa"/>
            <w:vMerge/>
            <w:shd w:val="clear" w:color="auto" w:fill="auto"/>
          </w:tcPr>
          <w:p w14:paraId="221FCD22"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6C9ADFFF" w14:textId="77777777" w:rsidTr="00A92D4B">
        <w:tc>
          <w:tcPr>
            <w:cnfStyle w:val="001000000000" w:firstRow="0" w:lastRow="0" w:firstColumn="1" w:lastColumn="0" w:oddVBand="0" w:evenVBand="0" w:oddHBand="0" w:evenHBand="0" w:firstRowFirstColumn="0" w:firstRowLastColumn="0" w:lastRowFirstColumn="0" w:lastRowLastColumn="0"/>
            <w:tcW w:w="766" w:type="dxa"/>
          </w:tcPr>
          <w:p w14:paraId="5057E52F"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2.0</w:t>
            </w:r>
          </w:p>
        </w:tc>
        <w:tc>
          <w:tcPr>
            <w:tcW w:w="910" w:type="dxa"/>
          </w:tcPr>
          <w:p w14:paraId="57000F9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3.0</w:t>
            </w:r>
          </w:p>
        </w:tc>
        <w:tc>
          <w:tcPr>
            <w:tcW w:w="756" w:type="dxa"/>
          </w:tcPr>
          <w:p w14:paraId="38640E8B"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0.60</w:t>
            </w:r>
          </w:p>
        </w:tc>
        <w:tc>
          <w:tcPr>
            <w:tcW w:w="694" w:type="dxa"/>
          </w:tcPr>
          <w:p w14:paraId="718EC4C8"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0.10</w:t>
            </w:r>
          </w:p>
        </w:tc>
        <w:tc>
          <w:tcPr>
            <w:tcW w:w="793" w:type="dxa"/>
          </w:tcPr>
          <w:p w14:paraId="0D202824"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0.50</w:t>
            </w:r>
          </w:p>
        </w:tc>
        <w:tc>
          <w:tcPr>
            <w:tcW w:w="853" w:type="dxa"/>
          </w:tcPr>
          <w:p w14:paraId="25B0ADB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2.40</w:t>
            </w:r>
          </w:p>
        </w:tc>
        <w:tc>
          <w:tcPr>
            <w:tcW w:w="1151" w:type="dxa"/>
          </w:tcPr>
          <w:p w14:paraId="0606228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2.60</w:t>
            </w:r>
          </w:p>
        </w:tc>
        <w:tc>
          <w:tcPr>
            <w:tcW w:w="912" w:type="dxa"/>
          </w:tcPr>
          <w:p w14:paraId="34663F2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0.53</w:t>
            </w:r>
          </w:p>
        </w:tc>
        <w:tc>
          <w:tcPr>
            <w:tcW w:w="825" w:type="dxa"/>
          </w:tcPr>
          <w:p w14:paraId="5190720F"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7.40</w:t>
            </w:r>
          </w:p>
        </w:tc>
        <w:tc>
          <w:tcPr>
            <w:tcW w:w="1346" w:type="dxa"/>
          </w:tcPr>
          <w:p w14:paraId="2D749592"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073487" w:rsidRPr="00E12399" w14:paraId="65D345DB" w14:textId="77777777" w:rsidTr="00A92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14:paraId="0C90314D"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28.3</w:t>
            </w:r>
          </w:p>
        </w:tc>
        <w:tc>
          <w:tcPr>
            <w:tcW w:w="910" w:type="dxa"/>
            <w:shd w:val="clear" w:color="auto" w:fill="auto"/>
          </w:tcPr>
          <w:p w14:paraId="12C00D9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6.7</w:t>
            </w:r>
          </w:p>
        </w:tc>
        <w:tc>
          <w:tcPr>
            <w:tcW w:w="756" w:type="dxa"/>
            <w:shd w:val="clear" w:color="auto" w:fill="auto"/>
          </w:tcPr>
          <w:p w14:paraId="6CD66A04"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18.20</w:t>
            </w:r>
          </w:p>
        </w:tc>
        <w:tc>
          <w:tcPr>
            <w:tcW w:w="694" w:type="dxa"/>
            <w:shd w:val="clear" w:color="auto" w:fill="auto"/>
          </w:tcPr>
          <w:p w14:paraId="78AE0792"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0.50</w:t>
            </w:r>
          </w:p>
        </w:tc>
        <w:tc>
          <w:tcPr>
            <w:tcW w:w="793" w:type="dxa"/>
            <w:shd w:val="clear" w:color="auto" w:fill="auto"/>
          </w:tcPr>
          <w:p w14:paraId="47657070"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18.70</w:t>
            </w:r>
          </w:p>
        </w:tc>
        <w:tc>
          <w:tcPr>
            <w:tcW w:w="853" w:type="dxa"/>
            <w:shd w:val="clear" w:color="auto" w:fill="auto"/>
          </w:tcPr>
          <w:p w14:paraId="19975108"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13.5</w:t>
            </w:r>
          </w:p>
        </w:tc>
        <w:tc>
          <w:tcPr>
            <w:tcW w:w="1151" w:type="dxa"/>
            <w:shd w:val="clear" w:color="auto" w:fill="auto"/>
          </w:tcPr>
          <w:p w14:paraId="5D0C594D"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20.50</w:t>
            </w:r>
          </w:p>
        </w:tc>
        <w:tc>
          <w:tcPr>
            <w:tcW w:w="912" w:type="dxa"/>
            <w:shd w:val="clear" w:color="auto" w:fill="auto"/>
          </w:tcPr>
          <w:p w14:paraId="3DCABE0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5.60</w:t>
            </w:r>
          </w:p>
        </w:tc>
        <w:tc>
          <w:tcPr>
            <w:tcW w:w="825" w:type="dxa"/>
            <w:shd w:val="clear" w:color="auto" w:fill="auto"/>
          </w:tcPr>
          <w:p w14:paraId="25EA0C2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7.38</w:t>
            </w:r>
          </w:p>
        </w:tc>
        <w:tc>
          <w:tcPr>
            <w:tcW w:w="1346" w:type="dxa"/>
            <w:shd w:val="clear" w:color="auto" w:fill="auto"/>
          </w:tcPr>
          <w:p w14:paraId="1EE22C8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752BC456" w14:textId="77777777" w:rsidR="0095404C" w:rsidRDefault="0095404C" w:rsidP="00073487">
      <w:pPr>
        <w:jc w:val="center"/>
        <w:rPr>
          <w:rFonts w:asciiTheme="majorBidi" w:hAnsiTheme="majorBidi" w:cstheme="majorBidi"/>
          <w:sz w:val="24"/>
          <w:szCs w:val="24"/>
          <w:lang w:bidi="ar-IQ"/>
        </w:rPr>
      </w:pPr>
    </w:p>
    <w:p w14:paraId="2B181905" w14:textId="77777777" w:rsidR="00073487" w:rsidRPr="00A92D4B" w:rsidRDefault="00073487" w:rsidP="00A92D4B">
      <w:pPr>
        <w:jc w:val="center"/>
        <w:rPr>
          <w:rFonts w:asciiTheme="minorBidi" w:hAnsiTheme="minorBidi"/>
          <w:b/>
          <w:bCs/>
        </w:rPr>
      </w:pPr>
      <w:r w:rsidRPr="00A92D4B">
        <w:rPr>
          <w:rFonts w:asciiTheme="minorBidi" w:hAnsiTheme="minorBidi"/>
          <w:b/>
          <w:bCs/>
        </w:rPr>
        <w:t>Table 3</w:t>
      </w:r>
      <w:r w:rsidR="00A92D4B">
        <w:rPr>
          <w:rFonts w:asciiTheme="minorBidi" w:hAnsiTheme="minorBidi"/>
          <w:b/>
          <w:bCs/>
        </w:rPr>
        <w:t>.</w:t>
      </w:r>
      <w:r w:rsidRPr="00A92D4B">
        <w:rPr>
          <w:rFonts w:asciiTheme="minorBidi" w:hAnsiTheme="minorBidi"/>
          <w:b/>
          <w:bCs/>
        </w:rPr>
        <w:t xml:space="preserve"> Some physical and chemical properties of the study soil samples</w:t>
      </w:r>
    </w:p>
    <w:tbl>
      <w:tblPr>
        <w:tblStyle w:val="LightShading"/>
        <w:tblpPr w:leftFromText="180" w:rightFromText="180" w:vertAnchor="text" w:horzAnchor="margin" w:tblpXSpec="center" w:tblpY="60"/>
        <w:bidiVisual/>
        <w:tblW w:w="10694" w:type="dxa"/>
        <w:tblLayout w:type="fixed"/>
        <w:tblLook w:val="04A0" w:firstRow="1" w:lastRow="0" w:firstColumn="1" w:lastColumn="0" w:noHBand="0" w:noVBand="1"/>
      </w:tblPr>
      <w:tblGrid>
        <w:gridCol w:w="1161"/>
        <w:gridCol w:w="1161"/>
        <w:gridCol w:w="750"/>
        <w:gridCol w:w="865"/>
        <w:gridCol w:w="763"/>
        <w:gridCol w:w="1119"/>
        <w:gridCol w:w="975"/>
        <w:gridCol w:w="974"/>
        <w:gridCol w:w="974"/>
        <w:gridCol w:w="806"/>
        <w:gridCol w:w="1146"/>
      </w:tblGrid>
      <w:tr w:rsidR="00073487" w:rsidRPr="00E12399" w14:paraId="2444C3C6" w14:textId="77777777" w:rsidTr="00133B8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val="restart"/>
          </w:tcPr>
          <w:p w14:paraId="56849F5E" w14:textId="77777777" w:rsidR="00073487"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PV</w:t>
            </w:r>
          </w:p>
          <w:p w14:paraId="38E2CF16" w14:textId="77777777" w:rsidR="00073487" w:rsidRDefault="00073487" w:rsidP="00362D76">
            <w:pPr>
              <w:bidi/>
              <w:spacing w:line="276" w:lineRule="auto"/>
              <w:jc w:val="center"/>
              <w:rPr>
                <w:rFonts w:asciiTheme="majorBidi" w:hAnsiTheme="majorBidi" w:cstheme="majorBidi"/>
                <w:sz w:val="24"/>
                <w:szCs w:val="24"/>
                <w:lang w:bidi="ar-IQ"/>
              </w:rPr>
            </w:pPr>
          </w:p>
          <w:p w14:paraId="702F5515" w14:textId="77777777" w:rsidR="00073487" w:rsidRPr="00E12399"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ml</w:t>
            </w:r>
          </w:p>
        </w:tc>
        <w:tc>
          <w:tcPr>
            <w:tcW w:w="1161" w:type="dxa"/>
          </w:tcPr>
          <w:p w14:paraId="62DFFB8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Textuer</w:t>
            </w:r>
            <w:proofErr w:type="spellEnd"/>
          </w:p>
        </w:tc>
        <w:tc>
          <w:tcPr>
            <w:tcW w:w="750" w:type="dxa"/>
          </w:tcPr>
          <w:p w14:paraId="45C0DE9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Sand</w:t>
            </w:r>
          </w:p>
        </w:tc>
        <w:tc>
          <w:tcPr>
            <w:tcW w:w="865" w:type="dxa"/>
          </w:tcPr>
          <w:p w14:paraId="1327B5A0"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Silt</w:t>
            </w:r>
          </w:p>
        </w:tc>
        <w:tc>
          <w:tcPr>
            <w:tcW w:w="763" w:type="dxa"/>
          </w:tcPr>
          <w:p w14:paraId="756F772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Clay</w:t>
            </w:r>
          </w:p>
        </w:tc>
        <w:tc>
          <w:tcPr>
            <w:tcW w:w="1119" w:type="dxa"/>
            <w:vMerge w:val="restart"/>
          </w:tcPr>
          <w:p w14:paraId="503A8CE0"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CEC</w:t>
            </w:r>
          </w:p>
          <w:p w14:paraId="713B3D52"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Cmol</w:t>
            </w:r>
            <w:proofErr w:type="spellEnd"/>
            <w:r>
              <w:rPr>
                <w:rFonts w:asciiTheme="majorBidi" w:hAnsiTheme="majorBidi" w:cstheme="majorBidi"/>
                <w:sz w:val="24"/>
                <w:szCs w:val="24"/>
                <w:lang w:bidi="ar-IQ"/>
              </w:rPr>
              <w:t xml:space="preserve">   kg</w:t>
            </w:r>
            <w:r w:rsidRPr="00E350D8">
              <w:rPr>
                <w:rFonts w:asciiTheme="majorBidi" w:hAnsiTheme="majorBidi" w:cstheme="majorBidi"/>
                <w:sz w:val="24"/>
                <w:szCs w:val="24"/>
                <w:vertAlign w:val="superscript"/>
                <w:lang w:bidi="ar-IQ"/>
              </w:rPr>
              <w:t>-1</w:t>
            </w:r>
          </w:p>
        </w:tc>
        <w:tc>
          <w:tcPr>
            <w:tcW w:w="975" w:type="dxa"/>
            <w:vMerge w:val="restart"/>
          </w:tcPr>
          <w:p w14:paraId="08AC6BBA"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Pb</w:t>
            </w:r>
          </w:p>
          <w:p w14:paraId="59AD78A3"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bscript"/>
                <w:lang w:bidi="ar-IQ"/>
              </w:rPr>
            </w:pPr>
            <w:r>
              <w:rPr>
                <w:rFonts w:asciiTheme="majorBidi" w:hAnsiTheme="majorBidi" w:cstheme="majorBidi"/>
                <w:sz w:val="24"/>
                <w:szCs w:val="24"/>
                <w:lang w:bidi="ar-IQ"/>
              </w:rPr>
              <w:t>µg m</w:t>
            </w:r>
            <w:r w:rsidRPr="00E350D8">
              <w:rPr>
                <w:rFonts w:asciiTheme="majorBidi" w:hAnsiTheme="majorBidi" w:cstheme="majorBidi"/>
                <w:sz w:val="24"/>
                <w:szCs w:val="24"/>
                <w:vertAlign w:val="superscript"/>
                <w:lang w:bidi="ar-IQ"/>
              </w:rPr>
              <w:t>3</w:t>
            </w:r>
            <w:r>
              <w:rPr>
                <w:rFonts w:asciiTheme="majorBidi" w:hAnsiTheme="majorBidi" w:cstheme="majorBidi"/>
                <w:sz w:val="24"/>
                <w:szCs w:val="24"/>
                <w:vertAlign w:val="subscript"/>
                <w:lang w:bidi="ar-IQ"/>
              </w:rPr>
              <w:t xml:space="preserve">  </w:t>
            </w:r>
          </w:p>
        </w:tc>
        <w:tc>
          <w:tcPr>
            <w:tcW w:w="974" w:type="dxa"/>
          </w:tcPr>
          <w:p w14:paraId="6EF9FCA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CaSO</w:t>
            </w:r>
            <w:r w:rsidRPr="00E350D8">
              <w:rPr>
                <w:rFonts w:asciiTheme="majorBidi" w:hAnsiTheme="majorBidi" w:cstheme="majorBidi"/>
                <w:sz w:val="24"/>
                <w:szCs w:val="24"/>
                <w:vertAlign w:val="subscript"/>
                <w:lang w:bidi="ar-IQ"/>
              </w:rPr>
              <w:t>4</w:t>
            </w:r>
          </w:p>
        </w:tc>
        <w:tc>
          <w:tcPr>
            <w:tcW w:w="974" w:type="dxa"/>
          </w:tcPr>
          <w:p w14:paraId="075E5AAE"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CaCO</w:t>
            </w:r>
            <w:r w:rsidRPr="00E12399">
              <w:rPr>
                <w:rFonts w:asciiTheme="majorBidi" w:hAnsiTheme="majorBidi" w:cstheme="majorBidi"/>
                <w:sz w:val="24"/>
                <w:szCs w:val="24"/>
                <w:vertAlign w:val="subscript"/>
                <w:lang w:bidi="ar-IQ"/>
              </w:rPr>
              <w:t>3</w:t>
            </w:r>
          </w:p>
        </w:tc>
        <w:tc>
          <w:tcPr>
            <w:tcW w:w="806" w:type="dxa"/>
          </w:tcPr>
          <w:p w14:paraId="49C967C1"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O.M</w:t>
            </w:r>
          </w:p>
        </w:tc>
        <w:tc>
          <w:tcPr>
            <w:tcW w:w="1146" w:type="dxa"/>
            <w:vMerge w:val="restart"/>
          </w:tcPr>
          <w:p w14:paraId="4E9E26D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133B85" w:rsidRPr="00E12399" w14:paraId="0C9F5A38" w14:textId="77777777" w:rsidTr="00133B85">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shd w:val="clear" w:color="auto" w:fill="auto"/>
          </w:tcPr>
          <w:p w14:paraId="7D174936" w14:textId="77777777" w:rsidR="00073487" w:rsidRPr="00E12399" w:rsidRDefault="00073487" w:rsidP="00362D76">
            <w:pPr>
              <w:bidi/>
              <w:spacing w:line="276" w:lineRule="auto"/>
              <w:jc w:val="center"/>
              <w:rPr>
                <w:rFonts w:asciiTheme="majorBidi" w:hAnsiTheme="majorBidi" w:cstheme="majorBidi"/>
                <w:sz w:val="24"/>
                <w:szCs w:val="24"/>
                <w:lang w:bidi="ar-IQ"/>
              </w:rPr>
            </w:pPr>
          </w:p>
        </w:tc>
        <w:tc>
          <w:tcPr>
            <w:tcW w:w="1161" w:type="dxa"/>
            <w:shd w:val="clear" w:color="auto" w:fill="auto"/>
          </w:tcPr>
          <w:p w14:paraId="016084F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378" w:type="dxa"/>
            <w:gridSpan w:val="3"/>
            <w:shd w:val="clear" w:color="auto" w:fill="auto"/>
          </w:tcPr>
          <w:p w14:paraId="6EDADF2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g k</w:t>
            </w:r>
            <w:r w:rsidRPr="00E12399">
              <w:rPr>
                <w:rFonts w:asciiTheme="majorBidi" w:hAnsiTheme="majorBidi" w:cstheme="majorBidi"/>
                <w:sz w:val="24"/>
                <w:szCs w:val="24"/>
                <w:vertAlign w:val="superscript"/>
                <w:lang w:bidi="ar-IQ"/>
              </w:rPr>
              <w:t>-1</w:t>
            </w:r>
          </w:p>
        </w:tc>
        <w:tc>
          <w:tcPr>
            <w:tcW w:w="1119" w:type="dxa"/>
            <w:vMerge/>
            <w:shd w:val="clear" w:color="auto" w:fill="auto"/>
          </w:tcPr>
          <w:p w14:paraId="5DB00E65"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75" w:type="dxa"/>
            <w:vMerge/>
            <w:shd w:val="clear" w:color="auto" w:fill="auto"/>
          </w:tcPr>
          <w:p w14:paraId="462530A7"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754" w:type="dxa"/>
            <w:gridSpan w:val="3"/>
            <w:shd w:val="clear" w:color="auto" w:fill="auto"/>
          </w:tcPr>
          <w:p w14:paraId="1BC84917" w14:textId="77777777" w:rsidR="00073487"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g k</w:t>
            </w:r>
            <w:r w:rsidRPr="00E350D8">
              <w:rPr>
                <w:rFonts w:asciiTheme="majorBidi" w:hAnsiTheme="majorBidi" w:cstheme="majorBidi"/>
                <w:sz w:val="24"/>
                <w:szCs w:val="24"/>
                <w:vertAlign w:val="superscript"/>
                <w:lang w:bidi="ar-IQ"/>
              </w:rPr>
              <w:t>-1</w:t>
            </w:r>
          </w:p>
          <w:p w14:paraId="6DA8C9B3"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146" w:type="dxa"/>
            <w:vMerge/>
            <w:shd w:val="clear" w:color="auto" w:fill="auto"/>
          </w:tcPr>
          <w:p w14:paraId="7F4EC9C4"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38326EAA" w14:textId="77777777" w:rsidTr="00133B85">
        <w:trPr>
          <w:trHeight w:val="428"/>
        </w:trPr>
        <w:tc>
          <w:tcPr>
            <w:cnfStyle w:val="001000000000" w:firstRow="0" w:lastRow="0" w:firstColumn="1" w:lastColumn="0" w:oddVBand="0" w:evenVBand="0" w:oddHBand="0" w:evenHBand="0" w:firstRowFirstColumn="0" w:firstRowLastColumn="0" w:lastRowFirstColumn="0" w:lastRowLastColumn="0"/>
            <w:tcW w:w="1161" w:type="dxa"/>
          </w:tcPr>
          <w:p w14:paraId="5854CD1D"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224</w:t>
            </w:r>
          </w:p>
        </w:tc>
        <w:tc>
          <w:tcPr>
            <w:tcW w:w="1161" w:type="dxa"/>
          </w:tcPr>
          <w:p w14:paraId="484DC945"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Si-C-L</w:t>
            </w:r>
          </w:p>
        </w:tc>
        <w:tc>
          <w:tcPr>
            <w:tcW w:w="750" w:type="dxa"/>
          </w:tcPr>
          <w:p w14:paraId="6B2F3FF2"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149</w:t>
            </w:r>
          </w:p>
        </w:tc>
        <w:tc>
          <w:tcPr>
            <w:tcW w:w="865" w:type="dxa"/>
          </w:tcPr>
          <w:p w14:paraId="0EB505A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lang w:bidi="ar-IQ"/>
              </w:rPr>
              <w:t>450</w:t>
            </w:r>
          </w:p>
        </w:tc>
        <w:tc>
          <w:tcPr>
            <w:tcW w:w="763" w:type="dxa"/>
          </w:tcPr>
          <w:p w14:paraId="51A59561"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401</w:t>
            </w:r>
          </w:p>
        </w:tc>
        <w:tc>
          <w:tcPr>
            <w:tcW w:w="1119" w:type="dxa"/>
          </w:tcPr>
          <w:p w14:paraId="5860844D"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23.80</w:t>
            </w:r>
          </w:p>
        </w:tc>
        <w:tc>
          <w:tcPr>
            <w:tcW w:w="975" w:type="dxa"/>
          </w:tcPr>
          <w:p w14:paraId="09C0648E"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1.50</w:t>
            </w:r>
          </w:p>
        </w:tc>
        <w:tc>
          <w:tcPr>
            <w:tcW w:w="974" w:type="dxa"/>
          </w:tcPr>
          <w:p w14:paraId="34DE424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3.30</w:t>
            </w:r>
          </w:p>
        </w:tc>
        <w:tc>
          <w:tcPr>
            <w:tcW w:w="974" w:type="dxa"/>
          </w:tcPr>
          <w:p w14:paraId="4DA06099"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465</w:t>
            </w:r>
          </w:p>
        </w:tc>
        <w:tc>
          <w:tcPr>
            <w:tcW w:w="806" w:type="dxa"/>
          </w:tcPr>
          <w:p w14:paraId="1CA6B523"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13.50</w:t>
            </w:r>
          </w:p>
        </w:tc>
        <w:tc>
          <w:tcPr>
            <w:tcW w:w="1146" w:type="dxa"/>
          </w:tcPr>
          <w:p w14:paraId="427FB43D" w14:textId="77777777" w:rsidR="00073487" w:rsidRPr="002478DC"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133B85" w:rsidRPr="00E12399" w14:paraId="30AD4CD8" w14:textId="77777777" w:rsidTr="00133B8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tcPr>
          <w:p w14:paraId="01CC35D2"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205</w:t>
            </w:r>
          </w:p>
        </w:tc>
        <w:tc>
          <w:tcPr>
            <w:tcW w:w="1161" w:type="dxa"/>
            <w:shd w:val="clear" w:color="auto" w:fill="auto"/>
          </w:tcPr>
          <w:p w14:paraId="12396666"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L</w:t>
            </w:r>
          </w:p>
        </w:tc>
        <w:tc>
          <w:tcPr>
            <w:tcW w:w="750" w:type="dxa"/>
            <w:shd w:val="clear" w:color="auto" w:fill="auto"/>
          </w:tcPr>
          <w:p w14:paraId="3F1A17D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276</w:t>
            </w:r>
          </w:p>
        </w:tc>
        <w:tc>
          <w:tcPr>
            <w:tcW w:w="865" w:type="dxa"/>
            <w:shd w:val="clear" w:color="auto" w:fill="auto"/>
          </w:tcPr>
          <w:p w14:paraId="6712950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462</w:t>
            </w:r>
          </w:p>
        </w:tc>
        <w:tc>
          <w:tcPr>
            <w:tcW w:w="763" w:type="dxa"/>
            <w:shd w:val="clear" w:color="auto" w:fill="auto"/>
          </w:tcPr>
          <w:p w14:paraId="4EED527D"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262</w:t>
            </w:r>
          </w:p>
        </w:tc>
        <w:tc>
          <w:tcPr>
            <w:tcW w:w="1119" w:type="dxa"/>
            <w:shd w:val="clear" w:color="auto" w:fill="auto"/>
          </w:tcPr>
          <w:p w14:paraId="018270C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22.90</w:t>
            </w:r>
          </w:p>
        </w:tc>
        <w:tc>
          <w:tcPr>
            <w:tcW w:w="975" w:type="dxa"/>
            <w:shd w:val="clear" w:color="auto" w:fill="auto"/>
          </w:tcPr>
          <w:p w14:paraId="042D8DA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1.60</w:t>
            </w:r>
          </w:p>
        </w:tc>
        <w:tc>
          <w:tcPr>
            <w:tcW w:w="974" w:type="dxa"/>
            <w:shd w:val="clear" w:color="auto" w:fill="auto"/>
          </w:tcPr>
          <w:p w14:paraId="62A0608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w:t>
            </w:r>
          </w:p>
        </w:tc>
        <w:tc>
          <w:tcPr>
            <w:tcW w:w="974" w:type="dxa"/>
            <w:shd w:val="clear" w:color="auto" w:fill="auto"/>
          </w:tcPr>
          <w:p w14:paraId="3DA472CB"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280</w:t>
            </w:r>
          </w:p>
        </w:tc>
        <w:tc>
          <w:tcPr>
            <w:tcW w:w="806" w:type="dxa"/>
            <w:shd w:val="clear" w:color="auto" w:fill="auto"/>
          </w:tcPr>
          <w:p w14:paraId="68D4BC78"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14.80</w:t>
            </w:r>
          </w:p>
        </w:tc>
        <w:tc>
          <w:tcPr>
            <w:tcW w:w="1146" w:type="dxa"/>
            <w:shd w:val="clear" w:color="auto" w:fill="auto"/>
          </w:tcPr>
          <w:p w14:paraId="444F48EC" w14:textId="77777777" w:rsidR="00073487" w:rsidRPr="002478DC"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0369BC69" w14:textId="77777777" w:rsidR="0054363F" w:rsidRDefault="0054363F" w:rsidP="009D497A">
      <w:pPr>
        <w:rPr>
          <w:rFonts w:asciiTheme="majorBidi" w:hAnsiTheme="majorBidi" w:cstheme="majorBidi"/>
          <w:sz w:val="24"/>
          <w:szCs w:val="24"/>
          <w:lang w:bidi="ar-IQ"/>
        </w:rPr>
      </w:pPr>
    </w:p>
    <w:p w14:paraId="0A6DB5A1" w14:textId="77777777" w:rsidR="009D497A" w:rsidRPr="002B0F1D" w:rsidRDefault="009D497A" w:rsidP="009D497A">
      <w:pPr>
        <w:rPr>
          <w:rFonts w:asciiTheme="minorBidi" w:hAnsiTheme="minorBidi"/>
          <w:b/>
          <w:bCs/>
          <w:lang w:bidi="ar-IQ"/>
        </w:rPr>
      </w:pPr>
      <w:r w:rsidRPr="002B0F1D">
        <w:rPr>
          <w:rFonts w:asciiTheme="minorBidi" w:hAnsiTheme="minorBidi"/>
          <w:b/>
          <w:bCs/>
          <w:lang w:bidi="ar-IQ"/>
        </w:rPr>
        <w:t>Chemical analysis of water samples (river, well)</w:t>
      </w:r>
    </w:p>
    <w:p w14:paraId="2DDD9EC8" w14:textId="3BC0E104" w:rsidR="00736B61" w:rsidRPr="002B0F1D" w:rsidRDefault="002B0F1D" w:rsidP="009E06A3">
      <w:pPr>
        <w:jc w:val="both"/>
        <w:rPr>
          <w:rFonts w:asciiTheme="minorBidi" w:hAnsiTheme="minorBidi"/>
          <w:sz w:val="24"/>
          <w:szCs w:val="24"/>
          <w:lang w:bidi="ar-IQ"/>
        </w:rPr>
      </w:pPr>
      <w:r>
        <w:rPr>
          <w:rFonts w:asciiTheme="majorBidi" w:hAnsiTheme="majorBidi" w:cstheme="majorBidi"/>
          <w:sz w:val="24"/>
          <w:szCs w:val="24"/>
          <w:lang w:bidi="ar-IQ"/>
        </w:rPr>
        <w:t xml:space="preserve">     </w:t>
      </w:r>
      <w:r w:rsidR="009D497A" w:rsidRPr="002B0F1D">
        <w:rPr>
          <w:rFonts w:asciiTheme="minorBidi" w:hAnsiTheme="minorBidi"/>
          <w:sz w:val="20"/>
          <w:szCs w:val="20"/>
          <w:lang w:bidi="ar-IQ"/>
        </w:rPr>
        <w:t>The chemical properties of the well water samples used in the study were estimated, including (degree of reactivity, electrical conductivity and positive and negative dissolved ions</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according to the methods mentioned in Salem and Ali (2017) and classified according to the American salinity laboratory </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Richard</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1954</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as shown in Table (4).</w:t>
      </w:r>
    </w:p>
    <w:p w14:paraId="2A212876" w14:textId="77777777" w:rsidR="00736B61" w:rsidRPr="002B0F1D" w:rsidRDefault="00736B61" w:rsidP="002B0F1D">
      <w:pPr>
        <w:jc w:val="center"/>
        <w:rPr>
          <w:rFonts w:asciiTheme="minorBidi" w:hAnsiTheme="minorBidi"/>
          <w:b/>
          <w:bCs/>
          <w:lang w:bidi="ar-IQ"/>
        </w:rPr>
      </w:pPr>
      <w:r w:rsidRPr="002B0F1D">
        <w:rPr>
          <w:rFonts w:asciiTheme="minorBidi" w:hAnsiTheme="minorBidi"/>
          <w:b/>
          <w:bCs/>
          <w:lang w:bidi="ar-IQ"/>
        </w:rPr>
        <w:t>Table 4</w:t>
      </w:r>
      <w:r w:rsidR="002B0F1D">
        <w:rPr>
          <w:rFonts w:asciiTheme="minorBidi" w:hAnsiTheme="minorBidi"/>
          <w:b/>
          <w:bCs/>
          <w:lang w:bidi="ar-IQ"/>
        </w:rPr>
        <w:t>.</w:t>
      </w:r>
      <w:r w:rsidRPr="002B0F1D">
        <w:rPr>
          <w:rFonts w:asciiTheme="minorBidi" w:hAnsiTheme="minorBidi"/>
          <w:b/>
          <w:bCs/>
          <w:lang w:bidi="ar-IQ"/>
        </w:rPr>
        <w:t xml:space="preserve"> Some chemical properties of well water samples used in the study</w:t>
      </w:r>
    </w:p>
    <w:tbl>
      <w:tblPr>
        <w:tblStyle w:val="LightShading"/>
        <w:tblpPr w:leftFromText="180" w:rightFromText="180" w:vertAnchor="text" w:horzAnchor="margin" w:tblpXSpec="center" w:tblpY="69"/>
        <w:bidiVisual/>
        <w:tblW w:w="10606" w:type="dxa"/>
        <w:tblLayout w:type="fixed"/>
        <w:tblLook w:val="04A0" w:firstRow="1" w:lastRow="0" w:firstColumn="1" w:lastColumn="0" w:noHBand="0" w:noVBand="1"/>
      </w:tblPr>
      <w:tblGrid>
        <w:gridCol w:w="838"/>
        <w:gridCol w:w="838"/>
        <w:gridCol w:w="837"/>
        <w:gridCol w:w="838"/>
        <w:gridCol w:w="722"/>
        <w:gridCol w:w="710"/>
        <w:gridCol w:w="710"/>
        <w:gridCol w:w="852"/>
        <w:gridCol w:w="710"/>
        <w:gridCol w:w="994"/>
        <w:gridCol w:w="710"/>
        <w:gridCol w:w="898"/>
        <w:gridCol w:w="949"/>
      </w:tblGrid>
      <w:tr w:rsidR="00546702" w:rsidRPr="00E12399" w14:paraId="171D4D2D" w14:textId="77777777" w:rsidTr="002B0F1D">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38" w:type="dxa"/>
            <w:vMerge w:val="restart"/>
          </w:tcPr>
          <w:p w14:paraId="551A0D7C" w14:textId="77777777" w:rsidR="00736B61" w:rsidRPr="00E12399" w:rsidRDefault="00736B61" w:rsidP="00736B61">
            <w:pPr>
              <w:bidi/>
              <w:jc w:val="center"/>
              <w:rPr>
                <w:rFonts w:asciiTheme="majorBidi" w:hAnsiTheme="majorBidi" w:cstheme="majorBidi"/>
                <w:sz w:val="24"/>
                <w:szCs w:val="24"/>
                <w:lang w:bidi="ar-IQ"/>
              </w:rPr>
            </w:pPr>
            <w:r w:rsidRPr="00A816E9">
              <w:rPr>
                <w:rFonts w:asciiTheme="majorBidi" w:hAnsiTheme="majorBidi" w:cstheme="majorBidi"/>
                <w:sz w:val="24"/>
                <w:szCs w:val="24"/>
                <w:lang w:bidi="ar-IQ"/>
              </w:rPr>
              <w:lastRenderedPageBreak/>
              <w:t>class</w:t>
            </w:r>
          </w:p>
        </w:tc>
        <w:tc>
          <w:tcPr>
            <w:tcW w:w="838" w:type="dxa"/>
            <w:vMerge w:val="restart"/>
          </w:tcPr>
          <w:p w14:paraId="638426FC"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37" w:type="dxa"/>
          </w:tcPr>
          <w:p w14:paraId="5FD882B0"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838" w:type="dxa"/>
          </w:tcPr>
          <w:p w14:paraId="101A7E6B"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43B32">
              <w:rPr>
                <w:rFonts w:asciiTheme="majorBidi" w:hAnsiTheme="majorBidi" w:cstheme="majorBidi"/>
                <w:lang w:bidi="ar-IQ"/>
              </w:rPr>
              <w:t>HCO</w:t>
            </w:r>
            <w:r w:rsidRPr="00E43B32">
              <w:rPr>
                <w:rFonts w:asciiTheme="majorBidi" w:hAnsiTheme="majorBidi" w:cstheme="majorBidi"/>
                <w:vertAlign w:val="subscript"/>
                <w:lang w:bidi="ar-IQ"/>
              </w:rPr>
              <w:t>3</w:t>
            </w:r>
            <w:r w:rsidRPr="00E43B32">
              <w:rPr>
                <w:rFonts w:asciiTheme="majorBidi" w:hAnsiTheme="majorBidi" w:cstheme="majorBidi"/>
                <w:vertAlign w:val="superscript"/>
                <w:lang w:bidi="ar-IQ"/>
              </w:rPr>
              <w:t>-</w:t>
            </w:r>
          </w:p>
        </w:tc>
        <w:tc>
          <w:tcPr>
            <w:tcW w:w="722" w:type="dxa"/>
          </w:tcPr>
          <w:p w14:paraId="63709899"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p w14:paraId="719B1B9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
        </w:tc>
        <w:tc>
          <w:tcPr>
            <w:tcW w:w="710" w:type="dxa"/>
          </w:tcPr>
          <w:p w14:paraId="667E734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10" w:type="dxa"/>
          </w:tcPr>
          <w:p w14:paraId="1C195BB6"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2" w:type="dxa"/>
          </w:tcPr>
          <w:p w14:paraId="13E024B2"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710" w:type="dxa"/>
          </w:tcPr>
          <w:p w14:paraId="18EC706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94" w:type="dxa"/>
            <w:vMerge w:val="restart"/>
          </w:tcPr>
          <w:p w14:paraId="41A0A13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I</w:t>
            </w:r>
          </w:p>
          <w:p w14:paraId="4A55A29B"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gramStart"/>
            <w:r w:rsidRPr="00E12399">
              <w:rPr>
                <w:rFonts w:asciiTheme="majorBidi" w:hAnsiTheme="majorBidi" w:cstheme="majorBidi"/>
                <w:sz w:val="24"/>
                <w:szCs w:val="24"/>
                <w:lang w:bidi="ar-IQ"/>
              </w:rPr>
              <w:t>mol.l</w:t>
            </w:r>
            <w:proofErr w:type="gramEnd"/>
            <w:r w:rsidRPr="00E12399">
              <w:rPr>
                <w:rFonts w:asciiTheme="majorBidi" w:hAnsiTheme="majorBidi" w:cstheme="majorBidi"/>
                <w:sz w:val="24"/>
                <w:szCs w:val="24"/>
                <w:vertAlign w:val="superscript"/>
                <w:lang w:bidi="ar-IQ"/>
              </w:rPr>
              <w:t>-1</w:t>
            </w:r>
          </w:p>
          <w:p w14:paraId="524BF62A" w14:textId="77777777" w:rsidR="00736B61" w:rsidRPr="0096418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Simplified Arabic" w:hAnsi="Simplified Arabic" w:cs="Simplified Arabic"/>
                <w:sz w:val="24"/>
                <w:szCs w:val="24"/>
                <w:lang w:bidi="ar-IQ"/>
              </w:rPr>
              <w:t>x 10</w:t>
            </w:r>
            <w:r w:rsidRPr="00964189">
              <w:rPr>
                <w:rFonts w:ascii="Simplified Arabic" w:hAnsi="Simplified Arabic" w:cs="Simplified Arabic"/>
                <w:sz w:val="24"/>
                <w:szCs w:val="24"/>
                <w:vertAlign w:val="superscript"/>
                <w:lang w:bidi="ar-IQ"/>
              </w:rPr>
              <w:t>-2</w:t>
            </w:r>
          </w:p>
        </w:tc>
        <w:tc>
          <w:tcPr>
            <w:tcW w:w="710" w:type="dxa"/>
            <w:vMerge w:val="restart"/>
          </w:tcPr>
          <w:p w14:paraId="472F8BA3"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898" w:type="dxa"/>
            <w:vMerge w:val="restart"/>
          </w:tcPr>
          <w:p w14:paraId="060CD904"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EC</w:t>
            </w:r>
          </w:p>
          <w:p w14:paraId="35EE180A"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dS</w:t>
            </w:r>
            <w:proofErr w:type="spellEnd"/>
            <w:r w:rsidRPr="00E12399">
              <w:rPr>
                <w:rFonts w:asciiTheme="majorBidi" w:hAnsiTheme="majorBidi" w:cstheme="majorBidi"/>
                <w:sz w:val="24"/>
                <w:szCs w:val="24"/>
                <w:lang w:bidi="ar-IQ"/>
              </w:rPr>
              <w:t xml:space="preserve"> m</w:t>
            </w:r>
            <w:r w:rsidRPr="00E12399">
              <w:rPr>
                <w:rFonts w:asciiTheme="majorBidi" w:hAnsiTheme="majorBidi" w:cstheme="majorBidi"/>
                <w:sz w:val="24"/>
                <w:szCs w:val="24"/>
                <w:vertAlign w:val="superscript"/>
                <w:lang w:bidi="ar-IQ"/>
              </w:rPr>
              <w:t>-1</w:t>
            </w:r>
          </w:p>
        </w:tc>
        <w:tc>
          <w:tcPr>
            <w:tcW w:w="949" w:type="dxa"/>
            <w:vMerge w:val="restart"/>
          </w:tcPr>
          <w:p w14:paraId="0A1D0A3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Water quality</w:t>
            </w:r>
          </w:p>
        </w:tc>
      </w:tr>
      <w:tr w:rsidR="00736B61" w:rsidRPr="00E12399" w14:paraId="165A3AA5" w14:textId="77777777" w:rsidTr="002B0F1D">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838" w:type="dxa"/>
            <w:vMerge/>
          </w:tcPr>
          <w:p w14:paraId="5A267A7B" w14:textId="77777777" w:rsidR="00736B61" w:rsidRPr="00E12399" w:rsidRDefault="00736B61" w:rsidP="00736B61">
            <w:pPr>
              <w:bidi/>
              <w:jc w:val="center"/>
              <w:rPr>
                <w:rFonts w:asciiTheme="majorBidi" w:hAnsiTheme="majorBidi" w:cstheme="majorBidi"/>
                <w:sz w:val="24"/>
                <w:szCs w:val="24"/>
                <w:lang w:bidi="ar-IQ"/>
              </w:rPr>
            </w:pPr>
          </w:p>
        </w:tc>
        <w:tc>
          <w:tcPr>
            <w:tcW w:w="838" w:type="dxa"/>
            <w:vMerge/>
            <w:shd w:val="clear" w:color="auto" w:fill="auto"/>
          </w:tcPr>
          <w:p w14:paraId="1135B74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5379" w:type="dxa"/>
            <w:gridSpan w:val="7"/>
            <w:shd w:val="clear" w:color="auto" w:fill="auto"/>
          </w:tcPr>
          <w:p w14:paraId="54C5A6B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94" w:type="dxa"/>
            <w:vMerge/>
            <w:shd w:val="clear" w:color="auto" w:fill="auto"/>
          </w:tcPr>
          <w:p w14:paraId="3D98A41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710" w:type="dxa"/>
            <w:vMerge/>
            <w:shd w:val="clear" w:color="auto" w:fill="auto"/>
          </w:tcPr>
          <w:p w14:paraId="23DC3E1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98" w:type="dxa"/>
            <w:vMerge/>
            <w:shd w:val="clear" w:color="auto" w:fill="auto"/>
          </w:tcPr>
          <w:p w14:paraId="53466DC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49" w:type="dxa"/>
            <w:vMerge/>
            <w:shd w:val="clear" w:color="auto" w:fill="auto"/>
          </w:tcPr>
          <w:p w14:paraId="4FEEC7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546702" w:rsidRPr="00E12399" w14:paraId="3D863DDD" w14:textId="77777777" w:rsidTr="002B0F1D">
        <w:trPr>
          <w:trHeight w:val="409"/>
        </w:trPr>
        <w:tc>
          <w:tcPr>
            <w:cnfStyle w:val="001000000000" w:firstRow="0" w:lastRow="0" w:firstColumn="1" w:lastColumn="0" w:oddVBand="0" w:evenVBand="0" w:oddHBand="0" w:evenHBand="0" w:firstRowFirstColumn="0" w:firstRowLastColumn="0" w:lastRowFirstColumn="0" w:lastRowLastColumn="0"/>
            <w:tcW w:w="838" w:type="dxa"/>
          </w:tcPr>
          <w:p w14:paraId="1E8896DF" w14:textId="77777777" w:rsidR="00736B61"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2</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tcPr>
          <w:p w14:paraId="7910B510"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0.43</w:t>
            </w:r>
          </w:p>
        </w:tc>
        <w:tc>
          <w:tcPr>
            <w:tcW w:w="837" w:type="dxa"/>
          </w:tcPr>
          <w:p w14:paraId="10FF0EAB"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1.2</w:t>
            </w:r>
          </w:p>
          <w:p w14:paraId="23E2604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838" w:type="dxa"/>
          </w:tcPr>
          <w:p w14:paraId="3E95744A"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3.2</w:t>
            </w:r>
            <w:r w:rsidRPr="00E12399">
              <w:rPr>
                <w:rFonts w:asciiTheme="majorBidi" w:hAnsiTheme="majorBidi" w:cstheme="majorBidi"/>
                <w:sz w:val="24"/>
                <w:szCs w:val="24"/>
                <w:rtl/>
                <w:lang w:bidi="ar-IQ"/>
              </w:rPr>
              <w:t xml:space="preserve">                               </w:t>
            </w:r>
          </w:p>
        </w:tc>
        <w:tc>
          <w:tcPr>
            <w:tcW w:w="722" w:type="dxa"/>
          </w:tcPr>
          <w:p w14:paraId="069B209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w:t>
            </w:r>
          </w:p>
        </w:tc>
        <w:tc>
          <w:tcPr>
            <w:tcW w:w="710" w:type="dxa"/>
          </w:tcPr>
          <w:p w14:paraId="083CFA73"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12</w:t>
            </w:r>
          </w:p>
        </w:tc>
        <w:tc>
          <w:tcPr>
            <w:tcW w:w="710" w:type="dxa"/>
          </w:tcPr>
          <w:p w14:paraId="2660C1DB"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0.70</w:t>
            </w:r>
          </w:p>
        </w:tc>
        <w:tc>
          <w:tcPr>
            <w:tcW w:w="852" w:type="dxa"/>
          </w:tcPr>
          <w:p w14:paraId="68F9AB4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w:t>
            </w:r>
          </w:p>
        </w:tc>
        <w:tc>
          <w:tcPr>
            <w:tcW w:w="710" w:type="dxa"/>
          </w:tcPr>
          <w:p w14:paraId="4D2B9509"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3.</w:t>
            </w:r>
            <w:r>
              <w:rPr>
                <w:rFonts w:asciiTheme="majorBidi" w:hAnsiTheme="majorBidi" w:cstheme="majorBidi"/>
                <w:sz w:val="24"/>
                <w:szCs w:val="24"/>
                <w:lang w:bidi="ar-IQ"/>
              </w:rPr>
              <w:t>0</w:t>
            </w:r>
          </w:p>
        </w:tc>
        <w:tc>
          <w:tcPr>
            <w:tcW w:w="994" w:type="dxa"/>
          </w:tcPr>
          <w:p w14:paraId="1C014B7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78</w:t>
            </w:r>
          </w:p>
        </w:tc>
        <w:tc>
          <w:tcPr>
            <w:tcW w:w="710" w:type="dxa"/>
          </w:tcPr>
          <w:p w14:paraId="78B9F6B7"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7.20</w:t>
            </w:r>
          </w:p>
        </w:tc>
        <w:tc>
          <w:tcPr>
            <w:tcW w:w="898" w:type="dxa"/>
          </w:tcPr>
          <w:p w14:paraId="113AB16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0.6</w:t>
            </w:r>
          </w:p>
        </w:tc>
        <w:tc>
          <w:tcPr>
            <w:tcW w:w="949" w:type="dxa"/>
          </w:tcPr>
          <w:p w14:paraId="13B5B8FB" w14:textId="77777777" w:rsidR="00736B61" w:rsidRPr="0096418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964189">
              <w:rPr>
                <w:rFonts w:asciiTheme="majorBidi" w:hAnsiTheme="majorBidi" w:cstheme="majorBidi"/>
                <w:sz w:val="24"/>
                <w:szCs w:val="24"/>
                <w:shd w:val="clear" w:color="auto" w:fill="FFFFFF"/>
              </w:rPr>
              <w:t>River water</w:t>
            </w:r>
          </w:p>
        </w:tc>
      </w:tr>
      <w:tr w:rsidR="00546702" w:rsidRPr="00E12399" w14:paraId="3039631A" w14:textId="77777777" w:rsidTr="002B0F1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2002877" w14:textId="77777777" w:rsidR="00736B61" w:rsidRPr="00E12399"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4</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shd w:val="clear" w:color="auto" w:fill="auto"/>
          </w:tcPr>
          <w:p w14:paraId="3B1D4DA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4.3</w:t>
            </w:r>
          </w:p>
        </w:tc>
        <w:tc>
          <w:tcPr>
            <w:tcW w:w="837" w:type="dxa"/>
            <w:shd w:val="clear" w:color="auto" w:fill="auto"/>
          </w:tcPr>
          <w:p w14:paraId="6E37B848" w14:textId="77777777" w:rsidR="00736B61"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19.8</w:t>
            </w:r>
          </w:p>
          <w:p w14:paraId="6AA5951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38" w:type="dxa"/>
            <w:shd w:val="clear" w:color="auto" w:fill="auto"/>
          </w:tcPr>
          <w:p w14:paraId="6D55AC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2.0</w:t>
            </w:r>
          </w:p>
        </w:tc>
        <w:tc>
          <w:tcPr>
            <w:tcW w:w="722" w:type="dxa"/>
            <w:shd w:val="clear" w:color="auto" w:fill="auto"/>
          </w:tcPr>
          <w:p w14:paraId="0AB97C3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10.0</w:t>
            </w:r>
          </w:p>
        </w:tc>
        <w:tc>
          <w:tcPr>
            <w:tcW w:w="710" w:type="dxa"/>
            <w:shd w:val="clear" w:color="auto" w:fill="auto"/>
          </w:tcPr>
          <w:p w14:paraId="08DEA77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0.30</w:t>
            </w:r>
          </w:p>
        </w:tc>
        <w:tc>
          <w:tcPr>
            <w:tcW w:w="710" w:type="dxa"/>
            <w:shd w:val="clear" w:color="auto" w:fill="auto"/>
          </w:tcPr>
          <w:p w14:paraId="60CA57A4"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17.4</w:t>
            </w:r>
          </w:p>
        </w:tc>
        <w:tc>
          <w:tcPr>
            <w:tcW w:w="852" w:type="dxa"/>
            <w:shd w:val="clear" w:color="auto" w:fill="auto"/>
          </w:tcPr>
          <w:p w14:paraId="4D91144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18.5</w:t>
            </w:r>
          </w:p>
        </w:tc>
        <w:tc>
          <w:tcPr>
            <w:tcW w:w="710" w:type="dxa"/>
            <w:shd w:val="clear" w:color="auto" w:fill="auto"/>
          </w:tcPr>
          <w:p w14:paraId="51C2EE1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13.5</w:t>
            </w:r>
          </w:p>
        </w:tc>
        <w:tc>
          <w:tcPr>
            <w:tcW w:w="994" w:type="dxa"/>
            <w:shd w:val="clear" w:color="auto" w:fill="auto"/>
          </w:tcPr>
          <w:p w14:paraId="3E35829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4.55</w:t>
            </w:r>
          </w:p>
        </w:tc>
        <w:tc>
          <w:tcPr>
            <w:tcW w:w="710" w:type="dxa"/>
            <w:shd w:val="clear" w:color="auto" w:fill="auto"/>
          </w:tcPr>
          <w:p w14:paraId="25E07DB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7.30</w:t>
            </w:r>
          </w:p>
        </w:tc>
        <w:tc>
          <w:tcPr>
            <w:tcW w:w="898" w:type="dxa"/>
            <w:shd w:val="clear" w:color="auto" w:fill="auto"/>
          </w:tcPr>
          <w:p w14:paraId="3044275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3.5</w:t>
            </w:r>
          </w:p>
        </w:tc>
        <w:tc>
          <w:tcPr>
            <w:tcW w:w="949" w:type="dxa"/>
            <w:shd w:val="clear" w:color="auto" w:fill="auto"/>
          </w:tcPr>
          <w:p w14:paraId="41A69F4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well water</w:t>
            </w:r>
          </w:p>
        </w:tc>
      </w:tr>
    </w:tbl>
    <w:p w14:paraId="249B9D09" w14:textId="77777777" w:rsidR="00546702" w:rsidRDefault="00546702" w:rsidP="00546702">
      <w:pPr>
        <w:spacing w:line="240" w:lineRule="auto"/>
        <w:rPr>
          <w:rFonts w:asciiTheme="majorBidi" w:hAnsiTheme="majorBidi" w:cstheme="majorBidi"/>
          <w:sz w:val="24"/>
          <w:szCs w:val="24"/>
          <w:rtl/>
          <w:lang w:bidi="ar-IQ"/>
        </w:rPr>
      </w:pPr>
    </w:p>
    <w:p w14:paraId="00E42BC7" w14:textId="77777777" w:rsidR="00546702" w:rsidRPr="002B0F1D" w:rsidRDefault="00546702" w:rsidP="00546702">
      <w:pPr>
        <w:spacing w:line="240" w:lineRule="auto"/>
        <w:rPr>
          <w:rFonts w:asciiTheme="minorBidi" w:hAnsiTheme="minorBidi"/>
          <w:b/>
          <w:bCs/>
          <w:lang w:bidi="ar-IQ"/>
        </w:rPr>
      </w:pPr>
      <w:r w:rsidRPr="002B0F1D">
        <w:rPr>
          <w:rFonts w:asciiTheme="minorBidi" w:hAnsiTheme="minorBidi"/>
          <w:b/>
          <w:bCs/>
          <w:lang w:bidi="ar-IQ"/>
        </w:rPr>
        <w:t>Kinetic Approach</w:t>
      </w:r>
    </w:p>
    <w:p w14:paraId="4C702C09" w14:textId="77777777" w:rsidR="0011186D" w:rsidRPr="002B0F1D" w:rsidRDefault="002B0F1D" w:rsidP="0011186D">
      <w:pPr>
        <w:jc w:val="both"/>
        <w:rPr>
          <w:rFonts w:asciiTheme="minorBidi" w:hAnsiTheme="minorBidi"/>
          <w:sz w:val="20"/>
          <w:szCs w:val="20"/>
          <w:lang w:bidi="ar-IQ"/>
        </w:rPr>
      </w:pPr>
      <w:r>
        <w:rPr>
          <w:rFonts w:asciiTheme="minorBidi" w:hAnsiTheme="minorBidi"/>
          <w:sz w:val="20"/>
          <w:szCs w:val="20"/>
          <w:lang w:bidi="ar-IQ"/>
        </w:rPr>
        <w:t xml:space="preserve">   </w:t>
      </w:r>
      <w:r w:rsidR="00546702" w:rsidRPr="002B0F1D">
        <w:rPr>
          <w:rFonts w:asciiTheme="minorBidi" w:hAnsiTheme="minorBidi"/>
          <w:sz w:val="20"/>
          <w:szCs w:val="20"/>
          <w:lang w:bidi="ar-IQ"/>
        </w:rPr>
        <w:t>This approach was used to describe the release behavior of sodium and magnesium ions over time as a kinetic parameter under the influence of water with different ionic strengths (0.0078, 0.0455) mol L</w:t>
      </w:r>
      <w:r w:rsidR="00546702" w:rsidRPr="002B0F1D">
        <w:rPr>
          <w:rFonts w:ascii="Cambria Math" w:hAnsi="Cambria Math" w:cs="Cambria Math"/>
          <w:sz w:val="20"/>
          <w:szCs w:val="20"/>
          <w:lang w:bidi="ar-IQ"/>
        </w:rPr>
        <w:t>⁻</w:t>
      </w:r>
      <w:r w:rsidR="00546702" w:rsidRPr="002B0F1D">
        <w:rPr>
          <w:rFonts w:ascii="Arial" w:hAnsi="Arial" w:cs="Arial"/>
          <w:sz w:val="20"/>
          <w:szCs w:val="20"/>
          <w:lang w:bidi="ar-IQ"/>
        </w:rPr>
        <w:t>¹</w:t>
      </w:r>
      <w:r w:rsidR="00546702" w:rsidRPr="002B0F1D">
        <w:rPr>
          <w:rFonts w:asciiTheme="minorBidi" w:hAnsiTheme="minorBidi"/>
          <w:sz w:val="20"/>
          <w:szCs w:val="20"/>
          <w:lang w:bidi="ar-IQ"/>
        </w:rPr>
        <w:t xml:space="preserve"> (River water, well water)</w:t>
      </w:r>
      <w:r w:rsidR="00461C16" w:rsidRPr="002B0F1D">
        <w:rPr>
          <w:rFonts w:asciiTheme="minorBidi" w:hAnsiTheme="minorBidi"/>
          <w:sz w:val="20"/>
          <w:szCs w:val="20"/>
          <w:lang w:bidi="ar-IQ"/>
        </w:rPr>
        <w:t xml:space="preserve"> respectively</w:t>
      </w:r>
      <w:r w:rsidR="00546702" w:rsidRPr="002B0F1D">
        <w:rPr>
          <w:rFonts w:asciiTheme="minorBidi" w:hAnsiTheme="minorBidi"/>
          <w:sz w:val="20"/>
          <w:szCs w:val="20"/>
          <w:lang w:bidi="ar-IQ"/>
        </w:rPr>
        <w:t xml:space="preserve">. A laboratory experiment based on miscibility displacement (Sparks, 2017) was conducted using natural soil columns. The soil columns were moistened with (Tigris River water, well water) via capillary action and left to equilibrium for 24 hours. The following day, water equivalent to one pore volume (PV1) was added to each soil column. This process was repeated every ten days until the tenth pore volume (PV10) was reached. The soil columns were washed using intermittent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After ten cycles of moistening and drying, the filtrate was collected for each pore volume and for each type of water (Tigris River water, well water) used for moistening and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At the end of the experiment, ten extracts were obtained for each treatment. </w:t>
      </w:r>
      <w:r w:rsidR="0011186D" w:rsidRPr="002B0F1D">
        <w:rPr>
          <w:rFonts w:asciiTheme="minorBidi" w:hAnsiTheme="minorBidi"/>
          <w:sz w:val="20"/>
          <w:szCs w:val="20"/>
          <w:lang w:bidi="ar-IQ"/>
        </w:rPr>
        <w:t xml:space="preserve">The electrical conductivity, degree of reactivity, and concentration of ions (sodium, magnesium, calcium, and potassium) of the effluents exiting the </w:t>
      </w:r>
      <w:r w:rsidR="00280871" w:rsidRPr="002B0F1D">
        <w:rPr>
          <w:rFonts w:asciiTheme="minorBidi" w:hAnsiTheme="minorBidi"/>
          <w:sz w:val="20"/>
          <w:szCs w:val="20"/>
          <w:lang w:bidi="ar-IQ"/>
        </w:rPr>
        <w:t>leaching</w:t>
      </w:r>
      <w:r w:rsidR="0011186D" w:rsidRPr="002B0F1D">
        <w:rPr>
          <w:rFonts w:asciiTheme="minorBidi" w:hAnsiTheme="minorBidi"/>
          <w:sz w:val="20"/>
          <w:szCs w:val="20"/>
          <w:lang w:bidi="ar-IQ"/>
        </w:rPr>
        <w:t xml:space="preserve"> columns are measured.</w:t>
      </w:r>
    </w:p>
    <w:p w14:paraId="06563EB3" w14:textId="77777777" w:rsidR="0011186D" w:rsidRPr="002B0F1D" w:rsidRDefault="0011186D" w:rsidP="0011186D">
      <w:pPr>
        <w:rPr>
          <w:rFonts w:asciiTheme="minorBidi" w:hAnsiTheme="minorBidi"/>
          <w:b/>
          <w:bCs/>
          <w:lang w:bidi="ar-IQ"/>
        </w:rPr>
      </w:pPr>
      <w:r w:rsidRPr="002B0F1D">
        <w:rPr>
          <w:rFonts w:asciiTheme="minorBidi" w:hAnsiTheme="minorBidi"/>
          <w:b/>
          <w:bCs/>
          <w:lang w:bidi="ar-IQ"/>
        </w:rPr>
        <w:t>Calculations:</w:t>
      </w:r>
    </w:p>
    <w:p w14:paraId="45CCF982" w14:textId="0AB30C5A" w:rsidR="00066C1E" w:rsidRPr="00066C1E" w:rsidRDefault="0011186D" w:rsidP="00066C1E">
      <w:pPr>
        <w:pStyle w:val="ListParagraph"/>
        <w:numPr>
          <w:ilvl w:val="0"/>
          <w:numId w:val="1"/>
        </w:numPr>
        <w:rPr>
          <w:rFonts w:asciiTheme="minorBidi" w:hAnsiTheme="minorBidi"/>
          <w:sz w:val="20"/>
          <w:szCs w:val="20"/>
          <w:rtl/>
          <w:lang w:bidi="ar-IQ"/>
        </w:rPr>
      </w:pPr>
      <w:r w:rsidRPr="0000727E">
        <w:rPr>
          <w:rFonts w:asciiTheme="minorBidi" w:hAnsiTheme="minorBidi"/>
          <w:sz w:val="20"/>
          <w:szCs w:val="20"/>
          <w:lang w:bidi="ar-IQ"/>
        </w:rPr>
        <w:t>Calculate the effect of pore size on the aggregate concentration of dissolved sodium and magnesium.</w:t>
      </w:r>
    </w:p>
    <w:p w14:paraId="5FE5CCE1" w14:textId="151445F8" w:rsidR="008A3772" w:rsidRPr="0000727E" w:rsidRDefault="00066C1E" w:rsidP="00031169">
      <w:pPr>
        <w:pStyle w:val="ListParagraph"/>
        <w:rPr>
          <w:rFonts w:asciiTheme="minorBidi" w:hAnsiTheme="minorBidi"/>
          <w:sz w:val="20"/>
          <w:szCs w:val="20"/>
          <w:lang w:bidi="ar-IQ"/>
        </w:rPr>
      </w:pPr>
      <w:r w:rsidRPr="00066C1E">
        <w:rPr>
          <w:rFonts w:asciiTheme="minorBidi" w:hAnsiTheme="minorBidi"/>
          <w:sz w:val="20"/>
          <w:szCs w:val="20"/>
          <w:highlight w:val="yellow"/>
          <w:lang w:bidi="ar-IQ"/>
        </w:rPr>
        <w:t>The rate of release is determined by the power function equation, due to the ability of this equation to better study the fast and slow release phases, considering the washing time or the contact time of the solution as a function of the release of ions.</w:t>
      </w:r>
    </w:p>
    <w:p w14:paraId="04D47A99" w14:textId="77777777" w:rsidR="0011186D" w:rsidRPr="0000727E" w:rsidRDefault="00031169" w:rsidP="00AE7931">
      <w:pPr>
        <w:jc w:val="center"/>
        <w:rPr>
          <w:rFonts w:asciiTheme="minorBidi" w:hAnsiTheme="minorBidi"/>
          <w:sz w:val="20"/>
          <w:szCs w:val="20"/>
          <w:lang w:bidi="ar-IQ"/>
        </w:rPr>
      </w:pPr>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t</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o</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KLnt</w:t>
      </w:r>
      <w:proofErr w:type="spellEnd"/>
      <w:r w:rsidRPr="0000727E">
        <w:rPr>
          <w:rFonts w:asciiTheme="minorBidi" w:hAnsiTheme="minorBidi"/>
          <w:sz w:val="20"/>
          <w:szCs w:val="20"/>
          <w:lang w:bidi="ar-IQ"/>
        </w:rPr>
        <w:t xml:space="preserve"> ……… (1)</w:t>
      </w:r>
    </w:p>
    <w:p w14:paraId="666FF454"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Where:</w:t>
      </w:r>
    </w:p>
    <w:p w14:paraId="6FFD35EB"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Co = Concentration at time zero</w:t>
      </w:r>
    </w:p>
    <w:p w14:paraId="600A7ECA"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Ct = Washable concentration at time t</w:t>
      </w:r>
    </w:p>
    <w:p w14:paraId="0DAF067E"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 xml:space="preserve">K = </w:t>
      </w:r>
      <w:r w:rsidR="00280871" w:rsidRPr="0000727E">
        <w:rPr>
          <w:rFonts w:asciiTheme="minorBidi" w:hAnsiTheme="minorBidi"/>
          <w:sz w:val="20"/>
          <w:szCs w:val="20"/>
          <w:lang w:bidi="ar-IQ"/>
        </w:rPr>
        <w:t>Leaching</w:t>
      </w:r>
      <w:r w:rsidR="0011186D" w:rsidRPr="0000727E">
        <w:rPr>
          <w:rFonts w:asciiTheme="minorBidi" w:hAnsiTheme="minorBidi"/>
          <w:sz w:val="20"/>
          <w:szCs w:val="20"/>
          <w:lang w:bidi="ar-IQ"/>
        </w:rPr>
        <w:t xml:space="preserve"> rate coefficient for each equation</w:t>
      </w:r>
    </w:p>
    <w:p w14:paraId="0E98D3F6"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t = Time (minutes)</w:t>
      </w:r>
    </w:p>
    <w:p w14:paraId="18084316" w14:textId="77777777" w:rsidR="008202F7" w:rsidRPr="0000727E" w:rsidRDefault="0011186D" w:rsidP="008202F7">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rate of reaction (release) of sodium and magnesium.</w:t>
      </w:r>
      <w:r w:rsidR="008202F7" w:rsidRPr="0000727E">
        <w:rPr>
          <w:rFonts w:asciiTheme="minorBidi" w:hAnsiTheme="minorBidi"/>
          <w:sz w:val="20"/>
          <w:szCs w:val="20"/>
          <w:lang w:bidi="ar-IQ"/>
        </w:rPr>
        <w:t xml:space="preserve"> </w:t>
      </w:r>
    </w:p>
    <w:p w14:paraId="44ECE911" w14:textId="1F096E2A" w:rsidR="0000727E" w:rsidRPr="002F3E66" w:rsidRDefault="008202F7" w:rsidP="002F3E66">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effect of pore size on the electrical conductivity values ​​in terms of (</w:t>
      </w:r>
      <w:proofErr w:type="spellStart"/>
      <w:r w:rsidRPr="0000727E">
        <w:rPr>
          <w:rFonts w:asciiTheme="minorBidi" w:hAnsiTheme="minorBidi"/>
          <w:sz w:val="20"/>
          <w:szCs w:val="20"/>
          <w:lang w:bidi="ar-IQ"/>
        </w:rPr>
        <w:t>ECt</w:t>
      </w:r>
      <w:proofErr w:type="spellEnd"/>
      <w:r w:rsidRPr="0000727E">
        <w:rPr>
          <w:rFonts w:asciiTheme="minorBidi" w:hAnsiTheme="minorBidi"/>
          <w:sz w:val="20"/>
          <w:szCs w:val="20"/>
          <w:lang w:bidi="ar-IQ"/>
        </w:rPr>
        <w:t>/</w:t>
      </w:r>
      <w:proofErr w:type="spellStart"/>
      <w:r w:rsidRPr="0000727E">
        <w:rPr>
          <w:rFonts w:asciiTheme="minorBidi" w:hAnsiTheme="minorBidi"/>
          <w:sz w:val="20"/>
          <w:szCs w:val="20"/>
          <w:lang w:bidi="ar-IQ"/>
        </w:rPr>
        <w:t>ECo</w:t>
      </w:r>
      <w:proofErr w:type="spellEnd"/>
      <w:r w:rsidRPr="0000727E">
        <w:rPr>
          <w:rFonts w:asciiTheme="minorBidi" w:hAnsiTheme="minorBidi"/>
          <w:sz w:val="20"/>
          <w:szCs w:val="20"/>
          <w:lang w:bidi="ar-IQ"/>
        </w:rPr>
        <w:t>) of the discharge.</w:t>
      </w:r>
    </w:p>
    <w:p w14:paraId="4FB6113C" w14:textId="77777777" w:rsidR="00293970" w:rsidRPr="0000727E" w:rsidRDefault="0000727E" w:rsidP="0000727E">
      <w:pPr>
        <w:rPr>
          <w:rFonts w:asciiTheme="majorBidi" w:hAnsiTheme="majorBidi" w:cstheme="majorBidi"/>
          <w:b/>
          <w:bCs/>
          <w:lang w:bidi="ar-IQ"/>
        </w:rPr>
      </w:pPr>
      <w:r w:rsidRPr="0000727E">
        <w:rPr>
          <w:rFonts w:asciiTheme="majorBidi" w:hAnsiTheme="majorBidi" w:cstheme="majorBidi"/>
          <w:b/>
          <w:bCs/>
          <w:lang w:bidi="ar-IQ"/>
        </w:rPr>
        <w:t>RESULTS AND DISCUSSION</w:t>
      </w:r>
    </w:p>
    <w:p w14:paraId="16BFFF65" w14:textId="0D77D1D8" w:rsidR="00073487" w:rsidRPr="0000727E" w:rsidRDefault="00293970" w:rsidP="0029763F">
      <w:pPr>
        <w:jc w:val="both"/>
        <w:rPr>
          <w:rFonts w:asciiTheme="minorBidi" w:hAnsiTheme="minorBidi"/>
          <w:lang w:bidi="ar-IQ"/>
        </w:rPr>
      </w:pPr>
      <w:r>
        <w:rPr>
          <w:rFonts w:asciiTheme="majorBidi" w:hAnsiTheme="majorBidi" w:cstheme="majorBidi"/>
          <w:sz w:val="24"/>
          <w:szCs w:val="24"/>
          <w:lang w:bidi="ar-IQ"/>
        </w:rPr>
        <w:lastRenderedPageBreak/>
        <w:t xml:space="preserve">    </w:t>
      </w:r>
      <w:r w:rsidRPr="0000727E">
        <w:rPr>
          <w:rFonts w:asciiTheme="minorBidi" w:hAnsiTheme="minorBidi"/>
          <w:lang w:bidi="ar-IQ"/>
        </w:rPr>
        <w:t xml:space="preserve">The results shown in Table (5) indicate the soil reactivity, electrical conductivity, and ion concentrations of sodium, magnesium, calcium and potassium in the leachate from the two study sites using river water and well water. The results show that the salt concentration increased at both study sites after the completion of ten wetting and drying cycles. The electrical conductivity values ​​rose to (1.30 - 10.3)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Bashiqa</w:t>
      </w:r>
      <w:proofErr w:type="spellEnd"/>
      <w:r w:rsidRPr="0000727E">
        <w:rPr>
          <w:rFonts w:asciiTheme="minorBidi" w:hAnsiTheme="minorBidi"/>
          <w:lang w:bidi="ar-IQ"/>
        </w:rPr>
        <w:t xml:space="preserve">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when using river water, respectively. When using well water, the electrical conductivity values ​​rose to (3.4 - 17.8)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Bashiqa</w:t>
      </w:r>
      <w:proofErr w:type="spellEnd"/>
      <w:r w:rsidRPr="0000727E">
        <w:rPr>
          <w:rFonts w:asciiTheme="minorBidi" w:hAnsiTheme="minorBidi"/>
          <w:lang w:bidi="ar-IQ"/>
        </w:rPr>
        <w:t xml:space="preserve">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respectively, compared to the salt concentrations at the two sites before the completion of the wetting and drying process. The electrical conductivity values, as shown in Table (2), were (0.53)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Bashiqa site and (5.60)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The reason for the increased concentration is... The salts in the two study sites are the dissolution of salts deposited in the soil in succession without </w:t>
      </w:r>
      <w:r w:rsidR="00280871" w:rsidRPr="0000727E">
        <w:rPr>
          <w:rFonts w:asciiTheme="minorBidi" w:hAnsiTheme="minorBidi"/>
          <w:lang w:bidi="ar-IQ"/>
        </w:rPr>
        <w:t>leaching</w:t>
      </w:r>
      <w:r w:rsidRPr="0000727E">
        <w:rPr>
          <w:rFonts w:asciiTheme="minorBidi" w:hAnsiTheme="minorBidi"/>
          <w:lang w:bidi="ar-IQ"/>
        </w:rPr>
        <w:t xml:space="preserve"> them from the soil columns, and thus their accumulation and high concentration due to the lack of suitable drainage conditions and </w:t>
      </w:r>
      <w:r w:rsidR="00280871" w:rsidRPr="0000727E">
        <w:rPr>
          <w:rFonts w:asciiTheme="minorBidi" w:hAnsiTheme="minorBidi"/>
          <w:lang w:bidi="ar-IQ"/>
        </w:rPr>
        <w:t>leaching</w:t>
      </w:r>
      <w:r w:rsidRPr="0000727E">
        <w:rPr>
          <w:rFonts w:asciiTheme="minorBidi" w:hAnsiTheme="minorBidi"/>
          <w:lang w:bidi="ar-IQ"/>
        </w:rPr>
        <w:t xml:space="preserve"> the salts from the soil and removing them (Zhao et al., 2023). When the </w:t>
      </w:r>
      <w:r w:rsidR="00280871" w:rsidRPr="0000727E">
        <w:rPr>
          <w:rFonts w:asciiTheme="minorBidi" w:hAnsiTheme="minorBidi"/>
          <w:lang w:bidi="ar-IQ"/>
        </w:rPr>
        <w:t>leaching</w:t>
      </w:r>
      <w:r w:rsidRPr="0000727E">
        <w:rPr>
          <w:rFonts w:asciiTheme="minorBidi" w:hAnsiTheme="minorBidi"/>
          <w:lang w:bidi="ar-IQ"/>
        </w:rPr>
        <w:t xml:space="preserve"> process was completed up to the tenth pore size, we note that the values ​​of electrical conductivity decreased to (0.6)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Theme="minorBidi" w:hAnsiTheme="minorBidi"/>
          <w:vertAlign w:val="superscript"/>
          <w:lang w:bidi="ar-IQ"/>
        </w:rPr>
        <w:t>-1</w:t>
      </w:r>
      <w:r w:rsidRPr="0000727E">
        <w:rPr>
          <w:rFonts w:asciiTheme="minorBidi" w:hAnsiTheme="minorBidi"/>
          <w:lang w:bidi="ar-IQ"/>
        </w:rPr>
        <w:t xml:space="preserve"> in the Bashiqa site and to (6.8)</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respectively when using river water. However, when using well water in the </w:t>
      </w:r>
      <w:r w:rsidR="00280871" w:rsidRPr="0000727E">
        <w:rPr>
          <w:rFonts w:asciiTheme="minorBidi" w:hAnsiTheme="minorBidi"/>
          <w:lang w:bidi="ar-IQ"/>
        </w:rPr>
        <w:t>leaching</w:t>
      </w:r>
      <w:r w:rsidRPr="0000727E">
        <w:rPr>
          <w:rFonts w:asciiTheme="minorBidi" w:hAnsiTheme="minorBidi"/>
          <w:lang w:bidi="ar-IQ"/>
        </w:rPr>
        <w:t xml:space="preserve"> process, we note that the </w:t>
      </w:r>
      <w:r w:rsidR="00280871" w:rsidRPr="0000727E">
        <w:rPr>
          <w:rFonts w:asciiTheme="minorBidi" w:hAnsiTheme="minorBidi"/>
          <w:lang w:bidi="ar-IQ"/>
        </w:rPr>
        <w:t>leaching</w:t>
      </w:r>
      <w:r w:rsidRPr="0000727E">
        <w:rPr>
          <w:rFonts w:asciiTheme="minorBidi" w:hAnsiTheme="minorBidi"/>
          <w:lang w:bidi="ar-IQ"/>
        </w:rPr>
        <w:t xml:space="preserve"> process followed the opposite path of the </w:t>
      </w:r>
      <w:r w:rsidR="00280871" w:rsidRPr="0000727E">
        <w:rPr>
          <w:rFonts w:asciiTheme="minorBidi" w:hAnsiTheme="minorBidi"/>
          <w:lang w:bidi="ar-IQ"/>
        </w:rPr>
        <w:t>leaching</w:t>
      </w:r>
      <w:r w:rsidRPr="0000727E">
        <w:rPr>
          <w:rFonts w:asciiTheme="minorBidi" w:hAnsiTheme="minorBidi"/>
          <w:lang w:bidi="ar-IQ"/>
        </w:rPr>
        <w:t xml:space="preserve"> process using river water, as the concentration of salts increased to (4.2)</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Bashiqa site, and decreased slightly to (16.1)</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w:t>
      </w:r>
    </w:p>
    <w:p w14:paraId="5EB57BF0" w14:textId="363670AE" w:rsidR="00AE7931" w:rsidRPr="00F60FD6" w:rsidRDefault="002E1C13" w:rsidP="00DE69E9">
      <w:pPr>
        <w:jc w:val="both"/>
        <w:rPr>
          <w:rFonts w:asciiTheme="minorBidi" w:hAnsiTheme="minorBidi"/>
          <w:lang w:bidi="ar-IQ"/>
        </w:rPr>
      </w:pPr>
      <w:r w:rsidRPr="0000727E">
        <w:rPr>
          <w:rFonts w:asciiTheme="minorBidi" w:hAnsiTheme="minorBidi"/>
          <w:lang w:bidi="ar-IQ"/>
        </w:rPr>
        <w:t xml:space="preserve">     </w:t>
      </w:r>
      <w:r w:rsidR="009116BD" w:rsidRPr="0000727E">
        <w:rPr>
          <w:rFonts w:asciiTheme="minorBidi" w:hAnsiTheme="minorBidi"/>
          <w:lang w:bidi="ar-IQ"/>
        </w:rPr>
        <w:t xml:space="preserve">The increased electrical conductivity values ​​after completing the </w:t>
      </w:r>
      <w:r w:rsidR="00280871" w:rsidRPr="0000727E">
        <w:rPr>
          <w:rFonts w:asciiTheme="minorBidi" w:hAnsiTheme="minorBidi"/>
          <w:lang w:bidi="ar-IQ"/>
        </w:rPr>
        <w:t>leaching</w:t>
      </w:r>
      <w:r w:rsidR="009116BD" w:rsidRPr="0000727E">
        <w:rPr>
          <w:rFonts w:asciiTheme="minorBidi" w:hAnsiTheme="minorBidi"/>
          <w:lang w:bidi="ar-IQ"/>
        </w:rPr>
        <w:t xml:space="preserve"> process using well water are due to the high concentration of the main cations that contribute to soil salt formation, most importantly sodium and magnesium ions. These ions contribute to the formation of highly soluble salts, which in turn increase the osmotic pressure of the soil. They have a negative impact on soil structure and clay dispersion, thus reducing water permeability and the soil's ability to retain water (</w:t>
      </w:r>
      <w:proofErr w:type="spellStart"/>
      <w:r w:rsidR="009116BD" w:rsidRPr="0000727E">
        <w:rPr>
          <w:rFonts w:asciiTheme="minorBidi" w:hAnsiTheme="minorBidi"/>
          <w:lang w:bidi="ar-IQ"/>
        </w:rPr>
        <w:t>Rengasamy</w:t>
      </w:r>
      <w:proofErr w:type="spellEnd"/>
      <w:r w:rsidR="009116BD" w:rsidRPr="0000727E">
        <w:rPr>
          <w:rFonts w:asciiTheme="minorBidi" w:hAnsiTheme="minorBidi"/>
          <w:lang w:bidi="ar-IQ"/>
        </w:rPr>
        <w:t xml:space="preserve"> et al., 2018). Table (5) shows that the sodium and magnesium ion concentrations at the Bashiqa site increased to (2.9 </w:t>
      </w:r>
      <w:r w:rsidR="00C86BAF" w:rsidRPr="0000727E">
        <w:rPr>
          <w:rFonts w:asciiTheme="minorBidi" w:hAnsiTheme="minorBidi"/>
          <w:lang w:bidi="ar-IQ"/>
        </w:rPr>
        <w:t xml:space="preserve">- </w:t>
      </w:r>
      <w:r w:rsidR="009116BD" w:rsidRPr="0000727E">
        <w:rPr>
          <w:rFonts w:asciiTheme="minorBidi" w:hAnsiTheme="minorBidi"/>
          <w:lang w:bidi="ar-IQ"/>
        </w:rPr>
        <w:t>4.5)</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(13.4 </w:t>
      </w:r>
      <w:r w:rsidR="00C86BAF" w:rsidRPr="0000727E">
        <w:rPr>
          <w:rFonts w:asciiTheme="minorBidi" w:hAnsiTheme="minorBidi"/>
          <w:lang w:bidi="ar-IQ"/>
        </w:rPr>
        <w:t xml:space="preserve">- </w:t>
      </w:r>
      <w:r w:rsidR="009116BD" w:rsidRPr="0000727E">
        <w:rPr>
          <w:rFonts w:asciiTheme="minorBidi" w:hAnsiTheme="minorBidi"/>
          <w:lang w:bidi="ar-IQ"/>
        </w:rPr>
        <w:t>10.8)</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increased to (28.6 </w:t>
      </w:r>
      <w:r w:rsidR="004A5CAD" w:rsidRPr="0000727E">
        <w:rPr>
          <w:rFonts w:asciiTheme="minorBidi" w:hAnsiTheme="minorBidi"/>
          <w:lang w:bidi="ar-IQ"/>
        </w:rPr>
        <w:t xml:space="preserve">- </w:t>
      </w:r>
      <w:r w:rsidR="009116BD" w:rsidRPr="0000727E">
        <w:rPr>
          <w:rFonts w:asciiTheme="minorBidi" w:hAnsiTheme="minorBidi"/>
          <w:lang w:bidi="ar-IQ"/>
        </w:rPr>
        <w:t>33.7)</w:t>
      </w:r>
      <w:r w:rsidR="004A5CAD" w:rsidRPr="0000727E">
        <w:rPr>
          <w:rFonts w:asciiTheme="minorBidi" w:hAnsiTheme="minorBidi"/>
          <w:lang w:bidi="ar-IQ"/>
        </w:rPr>
        <w:t xml:space="preserve"> </w:t>
      </w:r>
      <w:proofErr w:type="spellStart"/>
      <w:r w:rsidR="004A5CAD" w:rsidRPr="0000727E">
        <w:rPr>
          <w:rFonts w:asciiTheme="minorBidi" w:hAnsiTheme="minorBidi"/>
          <w:lang w:bidi="ar-IQ"/>
        </w:rPr>
        <w:t>meq</w:t>
      </w:r>
      <w:proofErr w:type="spellEnd"/>
      <w:r w:rsidR="004A5CAD" w:rsidRPr="0000727E">
        <w:rPr>
          <w:rFonts w:asciiTheme="minorBidi" w:hAnsiTheme="minorBidi"/>
          <w:lang w:bidi="ar-IQ"/>
        </w:rPr>
        <w:t xml:space="preserve"> l</w:t>
      </w:r>
      <w:r w:rsidR="004A5CA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w:t>
      </w:r>
      <w:r w:rsidR="00360898" w:rsidRPr="0000727E">
        <w:rPr>
          <w:rFonts w:asciiTheme="minorBidi" w:hAnsiTheme="minorBidi"/>
          <w:lang w:bidi="ar-IQ"/>
        </w:rPr>
        <w:t xml:space="preserve">71.6 - </w:t>
      </w:r>
      <w:r w:rsidR="009116BD" w:rsidRPr="0000727E">
        <w:rPr>
          <w:rFonts w:asciiTheme="minorBidi" w:hAnsiTheme="minorBidi"/>
          <w:lang w:bidi="ar-IQ"/>
        </w:rPr>
        <w:t>44.</w:t>
      </w:r>
      <w:r w:rsidR="00360898" w:rsidRPr="0000727E">
        <w:rPr>
          <w:rFonts w:asciiTheme="minorBidi" w:hAnsiTheme="minorBidi"/>
          <w:lang w:bidi="ar-IQ"/>
        </w:rPr>
        <w:t>2</w:t>
      </w:r>
      <w:r w:rsidR="009116BD" w:rsidRPr="0000727E">
        <w:rPr>
          <w:rFonts w:asciiTheme="minorBidi" w:hAnsiTheme="minorBidi"/>
          <w:lang w:bidi="ar-IQ"/>
        </w:rPr>
        <w:t>)</w:t>
      </w:r>
      <w:r w:rsidR="00360898" w:rsidRPr="0000727E">
        <w:rPr>
          <w:rFonts w:asciiTheme="minorBidi" w:hAnsiTheme="minorBidi"/>
          <w:lang w:bidi="ar-IQ"/>
        </w:rPr>
        <w:t xml:space="preserve"> </w:t>
      </w:r>
      <w:proofErr w:type="spellStart"/>
      <w:r w:rsidR="00360898" w:rsidRPr="0000727E">
        <w:rPr>
          <w:rFonts w:asciiTheme="minorBidi" w:hAnsiTheme="minorBidi"/>
          <w:lang w:bidi="ar-IQ"/>
        </w:rPr>
        <w:t>meq</w:t>
      </w:r>
      <w:proofErr w:type="spellEnd"/>
      <w:r w:rsidR="00360898" w:rsidRPr="0000727E">
        <w:rPr>
          <w:rFonts w:asciiTheme="minorBidi" w:hAnsiTheme="minorBidi"/>
          <w:lang w:bidi="ar-IQ"/>
        </w:rPr>
        <w:t xml:space="preserve"> l</w:t>
      </w:r>
      <w:r w:rsidR="00360898"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When using well water, the sodium and magnesium concentrations decreased to </w:t>
      </w:r>
      <w:r w:rsidR="001C66E5" w:rsidRPr="0000727E">
        <w:rPr>
          <w:rFonts w:asciiTheme="minorBidi" w:hAnsiTheme="minorBidi"/>
          <w:lang w:bidi="ar-IQ"/>
        </w:rPr>
        <w:t>(</w:t>
      </w:r>
      <w:r w:rsidR="009116BD" w:rsidRPr="0000727E">
        <w:rPr>
          <w:rFonts w:asciiTheme="minorBidi" w:hAnsiTheme="minorBidi"/>
          <w:lang w:bidi="ar-IQ"/>
        </w:rPr>
        <w:t xml:space="preserve">1.3 </w:t>
      </w:r>
      <w:r w:rsidR="001C66E5" w:rsidRPr="0000727E">
        <w:rPr>
          <w:rFonts w:asciiTheme="minorBidi" w:hAnsiTheme="minorBidi"/>
          <w:lang w:bidi="ar-IQ"/>
        </w:rPr>
        <w:t>-</w:t>
      </w:r>
      <w:r w:rsidR="009116BD" w:rsidRPr="0000727E">
        <w:rPr>
          <w:rFonts w:asciiTheme="minorBidi" w:hAnsiTheme="minorBidi"/>
          <w:lang w:bidi="ar-IQ"/>
        </w:rPr>
        <w:t xml:space="preserve"> </w:t>
      </w:r>
      <w:proofErr w:type="gramStart"/>
      <w:r w:rsidR="009116BD" w:rsidRPr="0000727E">
        <w:rPr>
          <w:rFonts w:asciiTheme="minorBidi" w:hAnsiTheme="minorBidi"/>
          <w:lang w:bidi="ar-IQ"/>
        </w:rPr>
        <w:t xml:space="preserve">2.0 </w:t>
      </w:r>
      <w:r w:rsidR="001C66E5" w:rsidRPr="0000727E">
        <w:rPr>
          <w:rFonts w:asciiTheme="minorBidi" w:hAnsiTheme="minorBidi"/>
          <w:lang w:bidi="ar-IQ"/>
        </w:rPr>
        <w:t>)</w:t>
      </w:r>
      <w:proofErr w:type="gramEnd"/>
      <w:r w:rsidR="001C66E5"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after the </w:t>
      </w:r>
      <w:r w:rsidR="00280871" w:rsidRPr="0000727E">
        <w:rPr>
          <w:rFonts w:asciiTheme="minorBidi" w:hAnsiTheme="minorBidi"/>
          <w:lang w:bidi="ar-IQ"/>
        </w:rPr>
        <w:t>leaching</w:t>
      </w:r>
      <w:r w:rsidR="009116BD" w:rsidRPr="0000727E">
        <w:rPr>
          <w:rFonts w:asciiTheme="minorBidi" w:hAnsiTheme="minorBidi"/>
          <w:lang w:bidi="ar-IQ"/>
        </w:rPr>
        <w:t xml:space="preserve"> process was completed and up to the 10th pore size, as shown in Table (5). At the Bashiqa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15.2 </w:t>
      </w:r>
      <w:r w:rsidR="00A3624F" w:rsidRPr="0000727E">
        <w:rPr>
          <w:rFonts w:asciiTheme="minorBidi" w:hAnsiTheme="minorBidi"/>
          <w:lang w:bidi="ar-IQ"/>
        </w:rPr>
        <w:t>-</w:t>
      </w:r>
      <w:r w:rsidR="009116BD" w:rsidRPr="0000727E">
        <w:rPr>
          <w:rFonts w:asciiTheme="minorBidi" w:hAnsiTheme="minorBidi"/>
          <w:lang w:bidi="ar-IQ"/>
        </w:rPr>
        <w:t xml:space="preserve"> 22.2</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increased to </w:t>
      </w:r>
      <w:r w:rsidR="00A3624F" w:rsidRPr="0000727E">
        <w:rPr>
          <w:rFonts w:asciiTheme="minorBidi" w:hAnsiTheme="minorBidi"/>
          <w:lang w:bidi="ar-IQ"/>
        </w:rPr>
        <w:t>(</w:t>
      </w:r>
      <w:r w:rsidR="009116BD" w:rsidRPr="0000727E">
        <w:rPr>
          <w:rFonts w:asciiTheme="minorBidi" w:hAnsiTheme="minorBidi"/>
          <w:lang w:bidi="ar-IQ"/>
        </w:rPr>
        <w:t xml:space="preserve">14.7 </w:t>
      </w:r>
      <w:r w:rsidR="00A3624F" w:rsidRPr="0000727E">
        <w:rPr>
          <w:rFonts w:asciiTheme="minorBidi" w:hAnsiTheme="minorBidi"/>
          <w:lang w:bidi="ar-IQ"/>
        </w:rPr>
        <w:t>-</w:t>
      </w:r>
      <w:r w:rsidR="009116BD" w:rsidRPr="0000727E">
        <w:rPr>
          <w:rFonts w:asciiTheme="minorBidi" w:hAnsiTheme="minorBidi"/>
          <w:lang w:bidi="ar-IQ"/>
        </w:rPr>
        <w:t xml:space="preserve"> 13.3</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32.4 </w:t>
      </w:r>
      <w:r w:rsidR="00A3624F" w:rsidRPr="0000727E">
        <w:rPr>
          <w:rFonts w:asciiTheme="minorBidi" w:hAnsiTheme="minorBidi"/>
          <w:lang w:bidi="ar-IQ"/>
        </w:rPr>
        <w:t>-</w:t>
      </w:r>
      <w:r w:rsidR="009116BD" w:rsidRPr="0000727E">
        <w:rPr>
          <w:rFonts w:asciiTheme="minorBidi" w:hAnsiTheme="minorBidi"/>
          <w:lang w:bidi="ar-IQ"/>
        </w:rPr>
        <w:t xml:space="preserve"> 54.6</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decreased slightly to </w:t>
      </w:r>
      <w:r w:rsidR="00CE6A4F" w:rsidRPr="0000727E">
        <w:rPr>
          <w:rFonts w:asciiTheme="minorBidi" w:hAnsiTheme="minorBidi"/>
          <w:lang w:bidi="ar-IQ"/>
        </w:rPr>
        <w:t>(</w:t>
      </w:r>
      <w:r w:rsidR="009116BD" w:rsidRPr="0000727E">
        <w:rPr>
          <w:rFonts w:asciiTheme="minorBidi" w:hAnsiTheme="minorBidi"/>
          <w:lang w:bidi="ar-IQ"/>
        </w:rPr>
        <w:t xml:space="preserve">32.4 </w:t>
      </w:r>
      <w:r w:rsidR="00CE6A4F" w:rsidRPr="0000727E">
        <w:rPr>
          <w:rFonts w:asciiTheme="minorBidi" w:hAnsiTheme="minorBidi"/>
          <w:lang w:bidi="ar-IQ"/>
        </w:rPr>
        <w:t>-</w:t>
      </w:r>
      <w:r w:rsidR="009116BD" w:rsidRPr="0000727E">
        <w:rPr>
          <w:rFonts w:asciiTheme="minorBidi" w:hAnsiTheme="minorBidi"/>
          <w:lang w:bidi="ar-IQ"/>
        </w:rPr>
        <w:t xml:space="preserve"> 54.6</w:t>
      </w:r>
      <w:r w:rsidR="00CE6A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This can be explained by the fact that well water already contains dissolved salts, and when used for </w:t>
      </w:r>
      <w:r w:rsidR="00280871" w:rsidRPr="0000727E">
        <w:rPr>
          <w:rFonts w:asciiTheme="minorBidi" w:hAnsiTheme="minorBidi"/>
          <w:lang w:bidi="ar-IQ"/>
        </w:rPr>
        <w:t>leaching</w:t>
      </w:r>
      <w:r w:rsidR="009116BD" w:rsidRPr="0000727E">
        <w:rPr>
          <w:rFonts w:asciiTheme="minorBidi" w:hAnsiTheme="minorBidi"/>
          <w:lang w:bidi="ar-IQ"/>
        </w:rPr>
        <w:t xml:space="preserve">, an ionic balance is not achieved between the soil solution and the </w:t>
      </w:r>
      <w:r w:rsidR="00280871" w:rsidRPr="0000727E">
        <w:rPr>
          <w:rFonts w:asciiTheme="minorBidi" w:hAnsiTheme="minorBidi"/>
          <w:lang w:bidi="ar-IQ"/>
        </w:rPr>
        <w:t>leaching</w:t>
      </w:r>
      <w:r w:rsidR="009116BD" w:rsidRPr="0000727E">
        <w:rPr>
          <w:rFonts w:asciiTheme="minorBidi" w:hAnsiTheme="minorBidi"/>
          <w:lang w:bidi="ar-IQ"/>
        </w:rPr>
        <w:t xml:space="preserve"> water. A sufficient concentration difference is created to push the salts out of the soil bed, while the river water keeps the system in equilibrium, allowing the salts to continue to dissolve and move out of the soil bed and creating a large concentration difference and acting as a medium that washes the salts out of the soil more </w:t>
      </w:r>
      <w:r w:rsidR="009116BD" w:rsidRPr="0000727E">
        <w:rPr>
          <w:rFonts w:asciiTheme="minorBidi" w:hAnsiTheme="minorBidi"/>
          <w:lang w:bidi="ar-IQ"/>
        </w:rPr>
        <w:lastRenderedPageBreak/>
        <w:t xml:space="preserve">efficiently </w:t>
      </w:r>
      <w:r w:rsidR="00B654CA" w:rsidRPr="00B654CA">
        <w:rPr>
          <w:rFonts w:asciiTheme="minorBidi" w:hAnsiTheme="minorBidi"/>
          <w:highlight w:val="yellow"/>
          <w:lang w:bidi="ar-IQ"/>
        </w:rPr>
        <w:t>These results are consistent with what was obtained</w:t>
      </w:r>
      <w:r w:rsidR="00B654CA" w:rsidRPr="00B654CA">
        <w:rPr>
          <w:rFonts w:asciiTheme="minorBidi" w:hAnsiTheme="minorBidi"/>
          <w:lang w:bidi="ar-IQ"/>
        </w:rPr>
        <w:t xml:space="preserve"> </w:t>
      </w:r>
      <w:r w:rsidR="009116BD" w:rsidRPr="0000727E">
        <w:rPr>
          <w:rFonts w:asciiTheme="minorBidi" w:hAnsiTheme="minorBidi"/>
          <w:lang w:bidi="ar-IQ"/>
        </w:rPr>
        <w:t>(</w:t>
      </w:r>
      <w:proofErr w:type="spellStart"/>
      <w:r w:rsidR="009116BD" w:rsidRPr="0000727E">
        <w:rPr>
          <w:rFonts w:asciiTheme="minorBidi" w:hAnsiTheme="minorBidi"/>
          <w:lang w:bidi="ar-IQ"/>
        </w:rPr>
        <w:t>Hoshan</w:t>
      </w:r>
      <w:proofErr w:type="spellEnd"/>
      <w:r w:rsidR="009116BD" w:rsidRPr="0000727E">
        <w:rPr>
          <w:rFonts w:asciiTheme="minorBidi" w:hAnsiTheme="minorBidi"/>
          <w:lang w:bidi="ar-IQ"/>
        </w:rPr>
        <w:t>, 2022 and Author, 2024).</w:t>
      </w:r>
    </w:p>
    <w:p w14:paraId="73609381" w14:textId="77777777" w:rsidR="00D70DBD" w:rsidRPr="00F60FD6" w:rsidRDefault="00D70DBD" w:rsidP="00D70DBD">
      <w:pPr>
        <w:bidi/>
        <w:jc w:val="center"/>
        <w:rPr>
          <w:rFonts w:asciiTheme="minorBidi" w:hAnsiTheme="minorBidi"/>
          <w:b/>
          <w:bCs/>
          <w:sz w:val="24"/>
          <w:szCs w:val="24"/>
        </w:rPr>
      </w:pPr>
      <w:r w:rsidRPr="00F60FD6">
        <w:rPr>
          <w:rFonts w:asciiTheme="minorBidi" w:hAnsiTheme="minorBidi"/>
          <w:b/>
          <w:bCs/>
        </w:rPr>
        <w:t xml:space="preserve">Table 5. Some chemical properties of leachate from river water used in the two study sites of </w:t>
      </w:r>
      <w:proofErr w:type="spellStart"/>
      <w:r w:rsidRPr="00F60FD6">
        <w:rPr>
          <w:rFonts w:asciiTheme="minorBidi" w:hAnsiTheme="minorBidi"/>
          <w:b/>
          <w:bCs/>
        </w:rPr>
        <w:t>Bashiqa</w:t>
      </w:r>
      <w:proofErr w:type="spellEnd"/>
      <w:r w:rsidRPr="00F60FD6">
        <w:rPr>
          <w:rFonts w:asciiTheme="minorBidi" w:hAnsiTheme="minorBidi"/>
          <w:b/>
          <w:bCs/>
        </w:rPr>
        <w:t xml:space="preserve"> and </w:t>
      </w:r>
      <w:proofErr w:type="spellStart"/>
      <w:r w:rsidRPr="00F60FD6">
        <w:rPr>
          <w:rFonts w:asciiTheme="minorBidi" w:hAnsiTheme="minorBidi"/>
          <w:b/>
          <w:bCs/>
        </w:rPr>
        <w:t>Hawija</w:t>
      </w:r>
      <w:proofErr w:type="spellEnd"/>
    </w:p>
    <w:tbl>
      <w:tblPr>
        <w:tblStyle w:val="LightShading"/>
        <w:tblpPr w:leftFromText="180" w:rightFromText="180" w:vertAnchor="text" w:horzAnchor="margin" w:tblpY="17"/>
        <w:tblW w:w="9796" w:type="dxa"/>
        <w:tblLook w:val="04A0" w:firstRow="1" w:lastRow="0" w:firstColumn="1" w:lastColumn="0" w:noHBand="0" w:noVBand="1"/>
      </w:tblPr>
      <w:tblGrid>
        <w:gridCol w:w="537"/>
        <w:gridCol w:w="751"/>
        <w:gridCol w:w="544"/>
        <w:gridCol w:w="631"/>
        <w:gridCol w:w="636"/>
        <w:gridCol w:w="724"/>
        <w:gridCol w:w="658"/>
        <w:gridCol w:w="639"/>
        <w:gridCol w:w="750"/>
        <w:gridCol w:w="564"/>
        <w:gridCol w:w="698"/>
        <w:gridCol w:w="639"/>
        <w:gridCol w:w="724"/>
        <w:gridCol w:w="658"/>
        <w:gridCol w:w="643"/>
      </w:tblGrid>
      <w:tr w:rsidR="00D70DBD" w14:paraId="0AE36290" w14:textId="77777777" w:rsidTr="00F60FD6">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val="restart"/>
          </w:tcPr>
          <w:p w14:paraId="5B07BC97" w14:textId="77777777" w:rsidR="00D70DBD" w:rsidRDefault="00D70DBD" w:rsidP="00D70DBD">
            <w:pPr>
              <w:pStyle w:val="NormalWeb"/>
              <w:spacing w:before="0" w:beforeAutospacing="0" w:after="0" w:afterAutospacing="0"/>
              <w:jc w:val="center"/>
              <w:rPr>
                <w:rFonts w:asciiTheme="majorBidi" w:hAnsiTheme="majorBidi" w:cstheme="majorBidi"/>
              </w:rPr>
            </w:pPr>
          </w:p>
          <w:p w14:paraId="52DAC917" w14:textId="77777777" w:rsidR="00D70DBD" w:rsidRDefault="00D70DBD" w:rsidP="00D70DBD">
            <w:pPr>
              <w:pStyle w:val="NormalWeb"/>
              <w:spacing w:before="0" w:beforeAutospacing="0" w:after="0" w:afterAutospacing="0"/>
              <w:jc w:val="center"/>
              <w:rPr>
                <w:rFonts w:asciiTheme="majorBidi" w:hAnsiTheme="majorBidi" w:cstheme="majorBidi"/>
              </w:rPr>
            </w:pPr>
          </w:p>
          <w:p w14:paraId="2E616833" w14:textId="77777777" w:rsidR="00D70DBD" w:rsidRPr="005814C2" w:rsidRDefault="00D70DBD" w:rsidP="00D70DBD">
            <w:pPr>
              <w:pStyle w:val="NormalWeb"/>
              <w:spacing w:before="0" w:beforeAutospacing="0" w:after="0" w:afterAutospacing="0"/>
              <w:rPr>
                <w:rFonts w:asciiTheme="majorBidi" w:hAnsiTheme="majorBidi" w:cstheme="majorBidi"/>
              </w:rPr>
            </w:pPr>
            <w:r>
              <w:rPr>
                <w:rFonts w:asciiTheme="majorBidi" w:hAnsiTheme="majorBidi" w:cstheme="majorBidi"/>
              </w:rPr>
              <w:t>PV</w:t>
            </w:r>
          </w:p>
        </w:tc>
        <w:tc>
          <w:tcPr>
            <w:tcW w:w="728" w:type="dxa"/>
            <w:vMerge w:val="restart"/>
          </w:tcPr>
          <w:p w14:paraId="69E73521"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Time</w:t>
            </w:r>
          </w:p>
          <w:p w14:paraId="65EE3390"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min</w:t>
            </w:r>
          </w:p>
        </w:tc>
        <w:tc>
          <w:tcPr>
            <w:tcW w:w="3223" w:type="dxa"/>
            <w:gridSpan w:val="5"/>
          </w:tcPr>
          <w:p w14:paraId="7E3D0FD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Bashiqa</w:t>
            </w:r>
          </w:p>
        </w:tc>
        <w:tc>
          <w:tcPr>
            <w:tcW w:w="640" w:type="dxa"/>
          </w:tcPr>
          <w:p w14:paraId="0794FCCE"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bidi="ar-IQ"/>
              </w:rPr>
            </w:pPr>
          </w:p>
        </w:tc>
        <w:tc>
          <w:tcPr>
            <w:tcW w:w="728" w:type="dxa"/>
            <w:vMerge w:val="restart"/>
          </w:tcPr>
          <w:p w14:paraId="79B314B8" w14:textId="77777777" w:rsidR="00D70DBD" w:rsidRPr="005814C2" w:rsidRDefault="00D70DBD" w:rsidP="00D70DBD">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lang w:bidi="ar-IQ"/>
              </w:rPr>
              <w:t>Time</w:t>
            </w:r>
          </w:p>
          <w:p w14:paraId="662EC549" w14:textId="77777777" w:rsidR="00D70DBD" w:rsidRPr="005814C2" w:rsidRDefault="00D70DBD" w:rsidP="00D70DB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814C2">
              <w:rPr>
                <w:rFonts w:asciiTheme="majorBidi" w:hAnsiTheme="majorBidi" w:cstheme="majorBidi"/>
                <w:sz w:val="24"/>
                <w:szCs w:val="24"/>
              </w:rPr>
              <w:t>min</w:t>
            </w:r>
          </w:p>
        </w:tc>
        <w:tc>
          <w:tcPr>
            <w:tcW w:w="3309" w:type="dxa"/>
            <w:gridSpan w:val="5"/>
          </w:tcPr>
          <w:p w14:paraId="2B5377D5"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Hawija</w:t>
            </w:r>
            <w:proofErr w:type="spellEnd"/>
          </w:p>
        </w:tc>
        <w:tc>
          <w:tcPr>
            <w:tcW w:w="644" w:type="dxa"/>
          </w:tcPr>
          <w:p w14:paraId="3C28F8F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r>
      <w:tr w:rsidR="00D70DBD" w14:paraId="3B0C4B86" w14:textId="77777777" w:rsidTr="00F60FD6">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24" w:type="dxa"/>
            <w:vMerge/>
          </w:tcPr>
          <w:p w14:paraId="5048F173"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19639907"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50" w:type="dxa"/>
            <w:vMerge w:val="restart"/>
            <w:shd w:val="clear" w:color="auto" w:fill="auto"/>
          </w:tcPr>
          <w:p w14:paraId="1CF269A0"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653" w:type="dxa"/>
            <w:vMerge w:val="restart"/>
            <w:shd w:val="clear" w:color="auto" w:fill="auto"/>
          </w:tcPr>
          <w:p w14:paraId="1ACAEEED"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63CBEBB"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36" w:type="dxa"/>
            <w:shd w:val="clear" w:color="auto" w:fill="auto"/>
          </w:tcPr>
          <w:p w14:paraId="136DF47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7C481553"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746715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0" w:type="dxa"/>
            <w:shd w:val="clear" w:color="auto" w:fill="auto"/>
          </w:tcPr>
          <w:p w14:paraId="31BB3A40"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c>
          <w:tcPr>
            <w:tcW w:w="728" w:type="dxa"/>
            <w:vMerge/>
            <w:shd w:val="clear" w:color="auto" w:fill="auto"/>
          </w:tcPr>
          <w:p w14:paraId="76B683AF"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74" w:type="dxa"/>
            <w:vMerge w:val="restart"/>
            <w:shd w:val="clear" w:color="auto" w:fill="auto"/>
          </w:tcPr>
          <w:p w14:paraId="52E6D9F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711" w:type="dxa"/>
            <w:vMerge w:val="restart"/>
            <w:shd w:val="clear" w:color="auto" w:fill="auto"/>
          </w:tcPr>
          <w:p w14:paraId="7D45C434"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8850469"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40" w:type="dxa"/>
            <w:shd w:val="clear" w:color="auto" w:fill="auto"/>
          </w:tcPr>
          <w:p w14:paraId="2207245C"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070AAC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3F92E91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4" w:type="dxa"/>
            <w:shd w:val="clear" w:color="auto" w:fill="auto"/>
          </w:tcPr>
          <w:p w14:paraId="0205FECA"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r>
      <w:tr w:rsidR="00C55655" w14:paraId="6341540B" w14:textId="77777777" w:rsidTr="00F60FD6">
        <w:trPr>
          <w:trHeight w:val="353"/>
        </w:trPr>
        <w:tc>
          <w:tcPr>
            <w:cnfStyle w:val="001000000000" w:firstRow="0" w:lastRow="0" w:firstColumn="1" w:lastColumn="0" w:oddVBand="0" w:evenVBand="0" w:oddHBand="0" w:evenHBand="0" w:firstRowFirstColumn="0" w:firstRowLastColumn="0" w:lastRowFirstColumn="0" w:lastRowLastColumn="0"/>
            <w:tcW w:w="524" w:type="dxa"/>
            <w:vMerge/>
          </w:tcPr>
          <w:p w14:paraId="61BA19BD"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3B7A5222"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50" w:type="dxa"/>
            <w:vMerge/>
          </w:tcPr>
          <w:p w14:paraId="5EADC07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53" w:type="dxa"/>
            <w:vMerge/>
          </w:tcPr>
          <w:p w14:paraId="4ABD4E1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0" w:type="dxa"/>
            <w:gridSpan w:val="4"/>
          </w:tcPr>
          <w:p w14:paraId="5B6A101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c>
          <w:tcPr>
            <w:tcW w:w="728" w:type="dxa"/>
            <w:vMerge/>
          </w:tcPr>
          <w:p w14:paraId="0EF90C1E"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74" w:type="dxa"/>
            <w:vMerge/>
          </w:tcPr>
          <w:p w14:paraId="03529DB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1" w:type="dxa"/>
            <w:vMerge/>
          </w:tcPr>
          <w:p w14:paraId="137A100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8" w:type="dxa"/>
            <w:gridSpan w:val="4"/>
          </w:tcPr>
          <w:p w14:paraId="4CC601D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r>
      <w:tr w:rsidR="00D70DBD" w14:paraId="0E92FD89"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tcPr>
          <w:p w14:paraId="5C421A03" w14:textId="77777777" w:rsidR="00D70DBD" w:rsidRDefault="00D70DBD" w:rsidP="00D70DBD">
            <w:pPr>
              <w:pStyle w:val="NormalWeb"/>
              <w:jc w:val="center"/>
              <w:rPr>
                <w:rFonts w:asciiTheme="majorBidi" w:hAnsiTheme="majorBidi" w:cstheme="majorBidi"/>
              </w:rPr>
            </w:pPr>
          </w:p>
        </w:tc>
        <w:tc>
          <w:tcPr>
            <w:tcW w:w="9272" w:type="dxa"/>
            <w:gridSpan w:val="14"/>
            <w:shd w:val="clear" w:color="auto" w:fill="auto"/>
          </w:tcPr>
          <w:p w14:paraId="6EECD422" w14:textId="77777777" w:rsidR="00D70DBD"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River water</w:t>
            </w:r>
          </w:p>
        </w:tc>
      </w:tr>
      <w:tr w:rsidR="00D70DBD" w14:paraId="2B120D7D"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8153AE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tcPr>
          <w:p w14:paraId="21806F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w:t>
            </w:r>
          </w:p>
        </w:tc>
        <w:tc>
          <w:tcPr>
            <w:tcW w:w="550" w:type="dxa"/>
          </w:tcPr>
          <w:p w14:paraId="5742705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ADBC61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p>
        </w:tc>
        <w:tc>
          <w:tcPr>
            <w:tcW w:w="636" w:type="dxa"/>
          </w:tcPr>
          <w:p w14:paraId="4C4A509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2.9</w:t>
            </w:r>
          </w:p>
        </w:tc>
        <w:tc>
          <w:tcPr>
            <w:tcW w:w="725" w:type="dxa"/>
          </w:tcPr>
          <w:p w14:paraId="5A01B51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4.5</w:t>
            </w:r>
          </w:p>
        </w:tc>
        <w:tc>
          <w:tcPr>
            <w:tcW w:w="659" w:type="dxa"/>
          </w:tcPr>
          <w:p w14:paraId="0E8C710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4.4</w:t>
            </w:r>
          </w:p>
        </w:tc>
        <w:tc>
          <w:tcPr>
            <w:tcW w:w="640" w:type="dxa"/>
          </w:tcPr>
          <w:p w14:paraId="3CD996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tcPr>
          <w:p w14:paraId="0269CE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75</w:t>
            </w:r>
          </w:p>
        </w:tc>
        <w:tc>
          <w:tcPr>
            <w:tcW w:w="574" w:type="dxa"/>
          </w:tcPr>
          <w:p w14:paraId="3036A7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BB1F5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10.3</w:t>
            </w:r>
          </w:p>
        </w:tc>
        <w:tc>
          <w:tcPr>
            <w:tcW w:w="640" w:type="dxa"/>
          </w:tcPr>
          <w:p w14:paraId="3525524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28</w:t>
            </w:r>
            <w:r w:rsidRPr="005814C2">
              <w:rPr>
                <w:rFonts w:asciiTheme="majorBidi" w:hAnsiTheme="majorBidi" w:cstheme="majorBidi"/>
              </w:rPr>
              <w:t>.6</w:t>
            </w:r>
          </w:p>
        </w:tc>
        <w:tc>
          <w:tcPr>
            <w:tcW w:w="725" w:type="dxa"/>
          </w:tcPr>
          <w:p w14:paraId="73D228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r w:rsidRPr="005814C2">
              <w:rPr>
                <w:rFonts w:asciiTheme="majorBidi" w:hAnsiTheme="majorBidi" w:cstheme="majorBidi"/>
              </w:rPr>
              <w:t>.7</w:t>
            </w:r>
          </w:p>
        </w:tc>
        <w:tc>
          <w:tcPr>
            <w:tcW w:w="659" w:type="dxa"/>
          </w:tcPr>
          <w:p w14:paraId="6069F9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5C89BC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0.20</w:t>
            </w:r>
          </w:p>
        </w:tc>
      </w:tr>
      <w:tr w:rsidR="00F60FD6" w14:paraId="58EDB5C6"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E9C3FB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shd w:val="clear" w:color="auto" w:fill="auto"/>
          </w:tcPr>
          <w:p w14:paraId="7B45180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142</w:t>
            </w:r>
          </w:p>
        </w:tc>
        <w:tc>
          <w:tcPr>
            <w:tcW w:w="550" w:type="dxa"/>
            <w:shd w:val="clear" w:color="auto" w:fill="auto"/>
          </w:tcPr>
          <w:p w14:paraId="24B6FE5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1B47FB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w:t>
            </w:r>
          </w:p>
        </w:tc>
        <w:tc>
          <w:tcPr>
            <w:tcW w:w="636" w:type="dxa"/>
            <w:shd w:val="clear" w:color="auto" w:fill="auto"/>
          </w:tcPr>
          <w:p w14:paraId="338B9B3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2.7</w:t>
            </w:r>
          </w:p>
        </w:tc>
        <w:tc>
          <w:tcPr>
            <w:tcW w:w="725" w:type="dxa"/>
            <w:shd w:val="clear" w:color="auto" w:fill="auto"/>
          </w:tcPr>
          <w:p w14:paraId="0DCF1C4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w:t>
            </w:r>
          </w:p>
        </w:tc>
        <w:tc>
          <w:tcPr>
            <w:tcW w:w="659" w:type="dxa"/>
            <w:shd w:val="clear" w:color="auto" w:fill="auto"/>
          </w:tcPr>
          <w:p w14:paraId="5D7D5E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2DA824F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shd w:val="clear" w:color="auto" w:fill="auto"/>
          </w:tcPr>
          <w:p w14:paraId="269E18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155</w:t>
            </w:r>
          </w:p>
        </w:tc>
        <w:tc>
          <w:tcPr>
            <w:tcW w:w="574" w:type="dxa"/>
            <w:shd w:val="clear" w:color="auto" w:fill="auto"/>
          </w:tcPr>
          <w:p w14:paraId="1A2A55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652C5CD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10.2</w:t>
            </w:r>
          </w:p>
        </w:tc>
        <w:tc>
          <w:tcPr>
            <w:tcW w:w="640" w:type="dxa"/>
            <w:shd w:val="clear" w:color="auto" w:fill="auto"/>
          </w:tcPr>
          <w:p w14:paraId="71F1A8D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w:t>
            </w:r>
            <w:r w:rsidRPr="005814C2">
              <w:rPr>
                <w:rFonts w:asciiTheme="majorBidi" w:hAnsiTheme="majorBidi" w:cstheme="majorBidi"/>
              </w:rPr>
              <w:t>.4</w:t>
            </w:r>
          </w:p>
        </w:tc>
        <w:tc>
          <w:tcPr>
            <w:tcW w:w="725" w:type="dxa"/>
            <w:shd w:val="clear" w:color="auto" w:fill="auto"/>
          </w:tcPr>
          <w:p w14:paraId="5EE76E6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.2</w:t>
            </w:r>
          </w:p>
        </w:tc>
        <w:tc>
          <w:tcPr>
            <w:tcW w:w="659" w:type="dxa"/>
            <w:shd w:val="clear" w:color="auto" w:fill="auto"/>
          </w:tcPr>
          <w:p w14:paraId="6F82B8F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41.1</w:t>
            </w:r>
          </w:p>
        </w:tc>
        <w:tc>
          <w:tcPr>
            <w:tcW w:w="644" w:type="dxa"/>
            <w:shd w:val="clear" w:color="auto" w:fill="auto"/>
          </w:tcPr>
          <w:p w14:paraId="04FF806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D70DBD" w14:paraId="782CE6D8"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2635C4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tcPr>
          <w:p w14:paraId="28D7C02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222</w:t>
            </w:r>
          </w:p>
        </w:tc>
        <w:tc>
          <w:tcPr>
            <w:tcW w:w="550" w:type="dxa"/>
          </w:tcPr>
          <w:p w14:paraId="77F245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4546FA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w:t>
            </w:r>
          </w:p>
        </w:tc>
        <w:tc>
          <w:tcPr>
            <w:tcW w:w="636" w:type="dxa"/>
          </w:tcPr>
          <w:p w14:paraId="564BCB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725" w:type="dxa"/>
          </w:tcPr>
          <w:p w14:paraId="34CB076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w:t>
            </w:r>
          </w:p>
        </w:tc>
        <w:tc>
          <w:tcPr>
            <w:tcW w:w="659" w:type="dxa"/>
          </w:tcPr>
          <w:p w14:paraId="6BE7D7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40" w:type="dxa"/>
          </w:tcPr>
          <w:p w14:paraId="384AF3B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2E73F5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260</w:t>
            </w:r>
          </w:p>
        </w:tc>
        <w:tc>
          <w:tcPr>
            <w:tcW w:w="574" w:type="dxa"/>
          </w:tcPr>
          <w:p w14:paraId="31A45A3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0925D98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tcPr>
          <w:p w14:paraId="0C17F3C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.6</w:t>
            </w:r>
          </w:p>
        </w:tc>
        <w:tc>
          <w:tcPr>
            <w:tcW w:w="725" w:type="dxa"/>
          </w:tcPr>
          <w:p w14:paraId="0DF0E9C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w:t>
            </w:r>
            <w:r w:rsidRPr="005814C2">
              <w:rPr>
                <w:rFonts w:asciiTheme="majorBidi" w:hAnsiTheme="majorBidi" w:cstheme="majorBidi"/>
                <w:rtl/>
              </w:rPr>
              <w:t>0</w:t>
            </w:r>
          </w:p>
        </w:tc>
        <w:tc>
          <w:tcPr>
            <w:tcW w:w="659" w:type="dxa"/>
          </w:tcPr>
          <w:p w14:paraId="6E46074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0F923CA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F60FD6" w14:paraId="42793C84"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DA0DE0F"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shd w:val="clear" w:color="auto" w:fill="auto"/>
          </w:tcPr>
          <w:p w14:paraId="4F73CD6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307</w:t>
            </w:r>
          </w:p>
        </w:tc>
        <w:tc>
          <w:tcPr>
            <w:tcW w:w="550" w:type="dxa"/>
            <w:shd w:val="clear" w:color="auto" w:fill="auto"/>
          </w:tcPr>
          <w:p w14:paraId="289AB35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51DE03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w:t>
            </w:r>
          </w:p>
        </w:tc>
        <w:tc>
          <w:tcPr>
            <w:tcW w:w="636" w:type="dxa"/>
            <w:shd w:val="clear" w:color="auto" w:fill="auto"/>
          </w:tcPr>
          <w:p w14:paraId="4D31180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725" w:type="dxa"/>
            <w:shd w:val="clear" w:color="auto" w:fill="auto"/>
          </w:tcPr>
          <w:p w14:paraId="6F74B9A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w:t>
            </w:r>
          </w:p>
        </w:tc>
        <w:tc>
          <w:tcPr>
            <w:tcW w:w="659" w:type="dxa"/>
            <w:shd w:val="clear" w:color="auto" w:fill="auto"/>
          </w:tcPr>
          <w:p w14:paraId="6C045E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7EA2367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0.12</w:t>
            </w:r>
          </w:p>
        </w:tc>
        <w:tc>
          <w:tcPr>
            <w:tcW w:w="728" w:type="dxa"/>
            <w:shd w:val="clear" w:color="auto" w:fill="auto"/>
          </w:tcPr>
          <w:p w14:paraId="3011521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347</w:t>
            </w:r>
          </w:p>
        </w:tc>
        <w:tc>
          <w:tcPr>
            <w:tcW w:w="574" w:type="dxa"/>
            <w:shd w:val="clear" w:color="auto" w:fill="auto"/>
          </w:tcPr>
          <w:p w14:paraId="23883A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3C4154F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shd w:val="clear" w:color="auto" w:fill="auto"/>
          </w:tcPr>
          <w:p w14:paraId="3164B9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.4</w:t>
            </w:r>
          </w:p>
        </w:tc>
        <w:tc>
          <w:tcPr>
            <w:tcW w:w="725" w:type="dxa"/>
            <w:shd w:val="clear" w:color="auto" w:fill="auto"/>
          </w:tcPr>
          <w:p w14:paraId="0024D22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32</w:t>
            </w:r>
            <w:r w:rsidRPr="005814C2">
              <w:rPr>
                <w:rFonts w:asciiTheme="majorBidi" w:hAnsiTheme="majorBidi" w:cstheme="majorBidi"/>
              </w:rPr>
              <w:t>.4</w:t>
            </w:r>
          </w:p>
        </w:tc>
        <w:tc>
          <w:tcPr>
            <w:tcW w:w="659" w:type="dxa"/>
            <w:shd w:val="clear" w:color="auto" w:fill="auto"/>
          </w:tcPr>
          <w:p w14:paraId="1F9FEC1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38.0</w:t>
            </w:r>
          </w:p>
        </w:tc>
        <w:tc>
          <w:tcPr>
            <w:tcW w:w="644" w:type="dxa"/>
            <w:shd w:val="clear" w:color="auto" w:fill="auto"/>
          </w:tcPr>
          <w:p w14:paraId="55308C0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6028ECD5" w14:textId="77777777" w:rsidTr="00F60FD6">
        <w:trPr>
          <w:trHeight w:val="212"/>
        </w:trPr>
        <w:tc>
          <w:tcPr>
            <w:cnfStyle w:val="001000000000" w:firstRow="0" w:lastRow="0" w:firstColumn="1" w:lastColumn="0" w:oddVBand="0" w:evenVBand="0" w:oddHBand="0" w:evenHBand="0" w:firstRowFirstColumn="0" w:firstRowLastColumn="0" w:lastRowFirstColumn="0" w:lastRowLastColumn="0"/>
            <w:tcW w:w="524" w:type="dxa"/>
          </w:tcPr>
          <w:p w14:paraId="4013687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tcPr>
          <w:p w14:paraId="439BBF9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397</w:t>
            </w:r>
          </w:p>
        </w:tc>
        <w:tc>
          <w:tcPr>
            <w:tcW w:w="550" w:type="dxa"/>
          </w:tcPr>
          <w:p w14:paraId="491242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7.3</w:t>
            </w:r>
          </w:p>
        </w:tc>
        <w:tc>
          <w:tcPr>
            <w:tcW w:w="653" w:type="dxa"/>
          </w:tcPr>
          <w:p w14:paraId="5C7BBA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w:t>
            </w:r>
          </w:p>
        </w:tc>
        <w:tc>
          <w:tcPr>
            <w:tcW w:w="636" w:type="dxa"/>
          </w:tcPr>
          <w:p w14:paraId="11A1E33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725" w:type="dxa"/>
          </w:tcPr>
          <w:p w14:paraId="0A971F9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w:t>
            </w:r>
          </w:p>
        </w:tc>
        <w:tc>
          <w:tcPr>
            <w:tcW w:w="659" w:type="dxa"/>
          </w:tcPr>
          <w:p w14:paraId="62A3661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tcPr>
          <w:p w14:paraId="3190DE8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1DB55D7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425</w:t>
            </w:r>
          </w:p>
        </w:tc>
        <w:tc>
          <w:tcPr>
            <w:tcW w:w="574" w:type="dxa"/>
          </w:tcPr>
          <w:p w14:paraId="51CEC30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041D54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640" w:type="dxa"/>
          </w:tcPr>
          <w:p w14:paraId="7445C52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.7</w:t>
            </w:r>
          </w:p>
        </w:tc>
        <w:tc>
          <w:tcPr>
            <w:tcW w:w="725" w:type="dxa"/>
          </w:tcPr>
          <w:p w14:paraId="33A9BA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1</w:t>
            </w:r>
            <w:r w:rsidRPr="005814C2">
              <w:rPr>
                <w:rFonts w:asciiTheme="majorBidi" w:hAnsiTheme="majorBidi" w:cstheme="majorBidi"/>
              </w:rPr>
              <w:t>.1</w:t>
            </w:r>
          </w:p>
        </w:tc>
        <w:tc>
          <w:tcPr>
            <w:tcW w:w="659" w:type="dxa"/>
          </w:tcPr>
          <w:p w14:paraId="115407E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38.1</w:t>
            </w:r>
          </w:p>
        </w:tc>
        <w:tc>
          <w:tcPr>
            <w:tcW w:w="644" w:type="dxa"/>
          </w:tcPr>
          <w:p w14:paraId="5FBFE7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0.17</w:t>
            </w:r>
          </w:p>
        </w:tc>
      </w:tr>
      <w:tr w:rsidR="00F60FD6" w14:paraId="371FE0A1"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D129EAB"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shd w:val="clear" w:color="auto" w:fill="auto"/>
          </w:tcPr>
          <w:p w14:paraId="6E5DC03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497</w:t>
            </w:r>
          </w:p>
        </w:tc>
        <w:tc>
          <w:tcPr>
            <w:tcW w:w="550" w:type="dxa"/>
            <w:shd w:val="clear" w:color="auto" w:fill="auto"/>
          </w:tcPr>
          <w:p w14:paraId="1DA2E8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DCCA18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shd w:val="clear" w:color="auto" w:fill="auto"/>
          </w:tcPr>
          <w:p w14:paraId="7E5DB52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725" w:type="dxa"/>
            <w:shd w:val="clear" w:color="auto" w:fill="auto"/>
          </w:tcPr>
          <w:p w14:paraId="6BFC3FD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659" w:type="dxa"/>
            <w:shd w:val="clear" w:color="auto" w:fill="auto"/>
          </w:tcPr>
          <w:p w14:paraId="472AC3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w:t>
            </w:r>
          </w:p>
        </w:tc>
        <w:tc>
          <w:tcPr>
            <w:tcW w:w="640" w:type="dxa"/>
            <w:shd w:val="clear" w:color="auto" w:fill="auto"/>
          </w:tcPr>
          <w:p w14:paraId="4EAA14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6DDFDE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595</w:t>
            </w:r>
          </w:p>
        </w:tc>
        <w:tc>
          <w:tcPr>
            <w:tcW w:w="574" w:type="dxa"/>
            <w:shd w:val="clear" w:color="auto" w:fill="auto"/>
          </w:tcPr>
          <w:p w14:paraId="4071CE4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690297B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8.7</w:t>
            </w:r>
          </w:p>
        </w:tc>
        <w:tc>
          <w:tcPr>
            <w:tcW w:w="640" w:type="dxa"/>
            <w:shd w:val="clear" w:color="auto" w:fill="auto"/>
          </w:tcPr>
          <w:p w14:paraId="238303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19.8</w:t>
            </w:r>
          </w:p>
        </w:tc>
        <w:tc>
          <w:tcPr>
            <w:tcW w:w="725" w:type="dxa"/>
            <w:shd w:val="clear" w:color="auto" w:fill="auto"/>
          </w:tcPr>
          <w:p w14:paraId="74386B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30</w:t>
            </w:r>
            <w:r w:rsidRPr="005814C2">
              <w:rPr>
                <w:rFonts w:asciiTheme="majorBidi" w:hAnsiTheme="majorBidi" w:cstheme="majorBidi"/>
              </w:rPr>
              <w:t>.4</w:t>
            </w:r>
          </w:p>
        </w:tc>
        <w:tc>
          <w:tcPr>
            <w:tcW w:w="659" w:type="dxa"/>
            <w:shd w:val="clear" w:color="auto" w:fill="auto"/>
          </w:tcPr>
          <w:p w14:paraId="3378B13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35.5</w:t>
            </w:r>
          </w:p>
        </w:tc>
        <w:tc>
          <w:tcPr>
            <w:tcW w:w="644" w:type="dxa"/>
            <w:shd w:val="clear" w:color="auto" w:fill="auto"/>
          </w:tcPr>
          <w:p w14:paraId="3833D28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18FE8C8B"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5CF94FB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tcPr>
          <w:p w14:paraId="6372EC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607</w:t>
            </w:r>
          </w:p>
        </w:tc>
        <w:tc>
          <w:tcPr>
            <w:tcW w:w="550" w:type="dxa"/>
          </w:tcPr>
          <w:p w14:paraId="4AE9C0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0485227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tcPr>
          <w:p w14:paraId="028762E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1.8</w:t>
            </w:r>
          </w:p>
        </w:tc>
        <w:tc>
          <w:tcPr>
            <w:tcW w:w="725" w:type="dxa"/>
          </w:tcPr>
          <w:p w14:paraId="1EE9280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659" w:type="dxa"/>
          </w:tcPr>
          <w:p w14:paraId="71B284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2.6</w:t>
            </w:r>
          </w:p>
        </w:tc>
        <w:tc>
          <w:tcPr>
            <w:tcW w:w="640" w:type="dxa"/>
          </w:tcPr>
          <w:p w14:paraId="6892AE3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3274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715</w:t>
            </w:r>
          </w:p>
        </w:tc>
        <w:tc>
          <w:tcPr>
            <w:tcW w:w="574" w:type="dxa"/>
          </w:tcPr>
          <w:p w14:paraId="50A5C0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01D64C9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7.2</w:t>
            </w:r>
          </w:p>
        </w:tc>
        <w:tc>
          <w:tcPr>
            <w:tcW w:w="640" w:type="dxa"/>
          </w:tcPr>
          <w:p w14:paraId="1543D8E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17.7</w:t>
            </w:r>
          </w:p>
        </w:tc>
        <w:tc>
          <w:tcPr>
            <w:tcW w:w="725" w:type="dxa"/>
          </w:tcPr>
          <w:p w14:paraId="66E5C0C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7</w:t>
            </w:r>
            <w:r w:rsidRPr="005814C2">
              <w:rPr>
                <w:rFonts w:asciiTheme="majorBidi" w:hAnsiTheme="majorBidi" w:cstheme="majorBidi"/>
              </w:rPr>
              <w:t>.6</w:t>
            </w:r>
          </w:p>
        </w:tc>
        <w:tc>
          <w:tcPr>
            <w:tcW w:w="659" w:type="dxa"/>
          </w:tcPr>
          <w:p w14:paraId="1722A55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31.2</w:t>
            </w:r>
          </w:p>
        </w:tc>
        <w:tc>
          <w:tcPr>
            <w:tcW w:w="644" w:type="dxa"/>
          </w:tcPr>
          <w:p w14:paraId="272D897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0.15</w:t>
            </w:r>
          </w:p>
        </w:tc>
      </w:tr>
      <w:tr w:rsidR="00F60FD6" w14:paraId="7FF51099"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86277D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shd w:val="clear" w:color="auto" w:fill="auto"/>
          </w:tcPr>
          <w:p w14:paraId="749BD6D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727</w:t>
            </w:r>
          </w:p>
        </w:tc>
        <w:tc>
          <w:tcPr>
            <w:tcW w:w="550" w:type="dxa"/>
            <w:shd w:val="clear" w:color="auto" w:fill="auto"/>
          </w:tcPr>
          <w:p w14:paraId="198E7D7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A709D2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0.7</w:t>
            </w:r>
          </w:p>
        </w:tc>
        <w:tc>
          <w:tcPr>
            <w:tcW w:w="636" w:type="dxa"/>
            <w:shd w:val="clear" w:color="auto" w:fill="auto"/>
          </w:tcPr>
          <w:p w14:paraId="1D49568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w:t>
            </w:r>
          </w:p>
        </w:tc>
        <w:tc>
          <w:tcPr>
            <w:tcW w:w="725" w:type="dxa"/>
            <w:shd w:val="clear" w:color="auto" w:fill="auto"/>
          </w:tcPr>
          <w:p w14:paraId="21895A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659" w:type="dxa"/>
            <w:shd w:val="clear" w:color="auto" w:fill="auto"/>
          </w:tcPr>
          <w:p w14:paraId="2D6E2C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shd w:val="clear" w:color="auto" w:fill="auto"/>
          </w:tcPr>
          <w:p w14:paraId="769D52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shd w:val="clear" w:color="auto" w:fill="auto"/>
          </w:tcPr>
          <w:p w14:paraId="0C7B9F8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856</w:t>
            </w:r>
          </w:p>
        </w:tc>
        <w:tc>
          <w:tcPr>
            <w:tcW w:w="574" w:type="dxa"/>
            <w:shd w:val="clear" w:color="auto" w:fill="auto"/>
          </w:tcPr>
          <w:p w14:paraId="7DA3147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74551C0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7.1</w:t>
            </w:r>
          </w:p>
        </w:tc>
        <w:tc>
          <w:tcPr>
            <w:tcW w:w="640" w:type="dxa"/>
            <w:shd w:val="clear" w:color="auto" w:fill="auto"/>
          </w:tcPr>
          <w:p w14:paraId="002224A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w:t>
            </w:r>
            <w:r w:rsidRPr="005814C2">
              <w:rPr>
                <w:rFonts w:asciiTheme="majorBidi" w:hAnsiTheme="majorBidi" w:cstheme="majorBidi"/>
              </w:rPr>
              <w:t>.2</w:t>
            </w:r>
          </w:p>
        </w:tc>
        <w:tc>
          <w:tcPr>
            <w:tcW w:w="725" w:type="dxa"/>
            <w:shd w:val="clear" w:color="auto" w:fill="auto"/>
          </w:tcPr>
          <w:p w14:paraId="38E3B2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25</w:t>
            </w:r>
            <w:r w:rsidRPr="005814C2">
              <w:rPr>
                <w:rFonts w:asciiTheme="majorBidi" w:hAnsiTheme="majorBidi" w:cstheme="majorBidi"/>
              </w:rPr>
              <w:t>.3</w:t>
            </w:r>
          </w:p>
        </w:tc>
        <w:tc>
          <w:tcPr>
            <w:tcW w:w="659" w:type="dxa"/>
            <w:shd w:val="clear" w:color="auto" w:fill="auto"/>
          </w:tcPr>
          <w:p w14:paraId="12311D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29.3</w:t>
            </w:r>
          </w:p>
        </w:tc>
        <w:tc>
          <w:tcPr>
            <w:tcW w:w="644" w:type="dxa"/>
            <w:shd w:val="clear" w:color="auto" w:fill="auto"/>
          </w:tcPr>
          <w:p w14:paraId="014645E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0.14</w:t>
            </w:r>
          </w:p>
        </w:tc>
      </w:tr>
      <w:tr w:rsidR="00D70DBD" w14:paraId="6681F1B6"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778AC1AE"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tcPr>
          <w:p w14:paraId="21351E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877</w:t>
            </w:r>
          </w:p>
        </w:tc>
        <w:tc>
          <w:tcPr>
            <w:tcW w:w="550" w:type="dxa"/>
          </w:tcPr>
          <w:p w14:paraId="0DE3030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58F83F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tcPr>
          <w:p w14:paraId="46BBD74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1.5</w:t>
            </w:r>
          </w:p>
        </w:tc>
        <w:tc>
          <w:tcPr>
            <w:tcW w:w="725" w:type="dxa"/>
          </w:tcPr>
          <w:p w14:paraId="2F3F91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659" w:type="dxa"/>
          </w:tcPr>
          <w:p w14:paraId="34C242C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p>
        </w:tc>
        <w:tc>
          <w:tcPr>
            <w:tcW w:w="640" w:type="dxa"/>
          </w:tcPr>
          <w:p w14:paraId="1B8880B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BFD8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992</w:t>
            </w:r>
          </w:p>
        </w:tc>
        <w:tc>
          <w:tcPr>
            <w:tcW w:w="574" w:type="dxa"/>
          </w:tcPr>
          <w:p w14:paraId="00E3B02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39E8B5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640" w:type="dxa"/>
          </w:tcPr>
          <w:p w14:paraId="2F77D1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w:t>
            </w:r>
            <w:r>
              <w:rPr>
                <w:rFonts w:asciiTheme="majorBidi" w:hAnsiTheme="majorBidi" w:cstheme="majorBidi"/>
              </w:rPr>
              <w:t>8</w:t>
            </w:r>
          </w:p>
        </w:tc>
        <w:tc>
          <w:tcPr>
            <w:tcW w:w="725" w:type="dxa"/>
          </w:tcPr>
          <w:p w14:paraId="22A65BA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2</w:t>
            </w:r>
            <w:r w:rsidRPr="005814C2">
              <w:rPr>
                <w:rFonts w:asciiTheme="majorBidi" w:hAnsiTheme="majorBidi" w:cstheme="majorBidi"/>
              </w:rPr>
              <w:t>.4</w:t>
            </w:r>
          </w:p>
        </w:tc>
        <w:tc>
          <w:tcPr>
            <w:tcW w:w="659" w:type="dxa"/>
          </w:tcPr>
          <w:p w14:paraId="631620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25.5</w:t>
            </w:r>
          </w:p>
        </w:tc>
        <w:tc>
          <w:tcPr>
            <w:tcW w:w="644" w:type="dxa"/>
          </w:tcPr>
          <w:p w14:paraId="62F184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0.13</w:t>
            </w:r>
          </w:p>
        </w:tc>
      </w:tr>
      <w:tr w:rsidR="00F60FD6" w14:paraId="397441DB"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2222C982"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shd w:val="clear" w:color="auto" w:fill="auto"/>
          </w:tcPr>
          <w:p w14:paraId="2B99336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1027</w:t>
            </w:r>
          </w:p>
        </w:tc>
        <w:tc>
          <w:tcPr>
            <w:tcW w:w="550" w:type="dxa"/>
            <w:shd w:val="clear" w:color="auto" w:fill="auto"/>
          </w:tcPr>
          <w:p w14:paraId="2F55D29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0A7C61A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shd w:val="clear" w:color="auto" w:fill="auto"/>
          </w:tcPr>
          <w:p w14:paraId="60BA9D4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p>
        </w:tc>
        <w:tc>
          <w:tcPr>
            <w:tcW w:w="725" w:type="dxa"/>
            <w:shd w:val="clear" w:color="auto" w:fill="auto"/>
          </w:tcPr>
          <w:p w14:paraId="7231932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2.0</w:t>
            </w:r>
          </w:p>
        </w:tc>
        <w:tc>
          <w:tcPr>
            <w:tcW w:w="659" w:type="dxa"/>
            <w:shd w:val="clear" w:color="auto" w:fill="auto"/>
          </w:tcPr>
          <w:p w14:paraId="72E7F7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p>
        </w:tc>
        <w:tc>
          <w:tcPr>
            <w:tcW w:w="640" w:type="dxa"/>
            <w:shd w:val="clear" w:color="auto" w:fill="auto"/>
          </w:tcPr>
          <w:p w14:paraId="47FC5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363D034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1215</w:t>
            </w:r>
          </w:p>
        </w:tc>
        <w:tc>
          <w:tcPr>
            <w:tcW w:w="574" w:type="dxa"/>
            <w:shd w:val="clear" w:color="auto" w:fill="auto"/>
          </w:tcPr>
          <w:p w14:paraId="5DB445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67CB4BF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6.8</w:t>
            </w:r>
          </w:p>
        </w:tc>
        <w:tc>
          <w:tcPr>
            <w:tcW w:w="640" w:type="dxa"/>
            <w:shd w:val="clear" w:color="auto" w:fill="auto"/>
          </w:tcPr>
          <w:p w14:paraId="7D2DF69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.2</w:t>
            </w:r>
          </w:p>
        </w:tc>
        <w:tc>
          <w:tcPr>
            <w:tcW w:w="725" w:type="dxa"/>
            <w:shd w:val="clear" w:color="auto" w:fill="auto"/>
          </w:tcPr>
          <w:p w14:paraId="6759804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.2</w:t>
            </w:r>
          </w:p>
        </w:tc>
        <w:tc>
          <w:tcPr>
            <w:tcW w:w="659" w:type="dxa"/>
            <w:shd w:val="clear" w:color="auto" w:fill="auto"/>
          </w:tcPr>
          <w:p w14:paraId="6F9B0F0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24.4</w:t>
            </w:r>
          </w:p>
        </w:tc>
        <w:tc>
          <w:tcPr>
            <w:tcW w:w="644" w:type="dxa"/>
            <w:shd w:val="clear" w:color="auto" w:fill="auto"/>
          </w:tcPr>
          <w:p w14:paraId="2A9BE38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0.12</w:t>
            </w:r>
          </w:p>
        </w:tc>
      </w:tr>
      <w:tr w:rsidR="00D70DBD" w14:paraId="2B7CFEAF"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C0F2E8C" w14:textId="77777777" w:rsidR="00D70DBD" w:rsidRPr="005814C2" w:rsidRDefault="00D70DBD" w:rsidP="00D70DBD">
            <w:pPr>
              <w:pStyle w:val="NormalWeb"/>
              <w:jc w:val="center"/>
              <w:rPr>
                <w:rFonts w:asciiTheme="majorBidi" w:hAnsiTheme="majorBidi" w:cstheme="majorBidi"/>
              </w:rPr>
            </w:pPr>
          </w:p>
        </w:tc>
        <w:tc>
          <w:tcPr>
            <w:tcW w:w="9272" w:type="dxa"/>
            <w:gridSpan w:val="14"/>
          </w:tcPr>
          <w:p w14:paraId="2D798F58" w14:textId="77777777" w:rsidR="00D70DBD"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well water</w:t>
            </w:r>
          </w:p>
        </w:tc>
      </w:tr>
      <w:tr w:rsidR="00F60FD6" w14:paraId="46557851"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5433FA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shd w:val="clear" w:color="auto" w:fill="auto"/>
          </w:tcPr>
          <w:p w14:paraId="2FED35A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76</w:t>
            </w:r>
          </w:p>
        </w:tc>
        <w:tc>
          <w:tcPr>
            <w:tcW w:w="550" w:type="dxa"/>
            <w:shd w:val="clear" w:color="auto" w:fill="auto"/>
          </w:tcPr>
          <w:p w14:paraId="3A30B8D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7A30C4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3.4</w:t>
            </w:r>
          </w:p>
        </w:tc>
        <w:tc>
          <w:tcPr>
            <w:tcW w:w="636" w:type="dxa"/>
            <w:shd w:val="clear" w:color="auto" w:fill="auto"/>
          </w:tcPr>
          <w:p w14:paraId="3BF561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sidRPr="005814C2">
              <w:rPr>
                <w:rFonts w:asciiTheme="majorBidi" w:hAnsiTheme="majorBidi" w:cstheme="majorBidi"/>
                <w:rtl/>
              </w:rPr>
              <w:t>3</w:t>
            </w:r>
            <w:r w:rsidRPr="005814C2">
              <w:rPr>
                <w:rFonts w:asciiTheme="majorBidi" w:hAnsiTheme="majorBidi" w:cstheme="majorBidi"/>
              </w:rPr>
              <w:t>.4</w:t>
            </w:r>
          </w:p>
        </w:tc>
        <w:tc>
          <w:tcPr>
            <w:tcW w:w="725" w:type="dxa"/>
            <w:shd w:val="clear" w:color="auto" w:fill="auto"/>
          </w:tcPr>
          <w:p w14:paraId="4F9A4CC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0</w:t>
            </w:r>
            <w:r w:rsidRPr="005814C2">
              <w:rPr>
                <w:rFonts w:asciiTheme="majorBidi" w:hAnsiTheme="majorBidi" w:cstheme="majorBidi"/>
              </w:rPr>
              <w:t>.8</w:t>
            </w:r>
          </w:p>
        </w:tc>
        <w:tc>
          <w:tcPr>
            <w:tcW w:w="659" w:type="dxa"/>
            <w:shd w:val="clear" w:color="auto" w:fill="auto"/>
          </w:tcPr>
          <w:p w14:paraId="6D813D1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11.5</w:t>
            </w:r>
          </w:p>
        </w:tc>
        <w:tc>
          <w:tcPr>
            <w:tcW w:w="640" w:type="dxa"/>
            <w:shd w:val="clear" w:color="auto" w:fill="auto"/>
          </w:tcPr>
          <w:p w14:paraId="1210CB4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0.17</w:t>
            </w:r>
          </w:p>
        </w:tc>
        <w:tc>
          <w:tcPr>
            <w:tcW w:w="728" w:type="dxa"/>
            <w:shd w:val="clear" w:color="auto" w:fill="auto"/>
          </w:tcPr>
          <w:p w14:paraId="2952763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91</w:t>
            </w:r>
          </w:p>
        </w:tc>
        <w:tc>
          <w:tcPr>
            <w:tcW w:w="574" w:type="dxa"/>
            <w:shd w:val="clear" w:color="auto" w:fill="auto"/>
          </w:tcPr>
          <w:p w14:paraId="5B8E3A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7A7973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17.8</w:t>
            </w:r>
          </w:p>
        </w:tc>
        <w:tc>
          <w:tcPr>
            <w:tcW w:w="640" w:type="dxa"/>
            <w:shd w:val="clear" w:color="auto" w:fill="auto"/>
          </w:tcPr>
          <w:p w14:paraId="205461D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w:t>
            </w:r>
            <w:r w:rsidRPr="005814C2">
              <w:rPr>
                <w:rFonts w:asciiTheme="majorBidi" w:hAnsiTheme="majorBidi" w:cstheme="majorBidi"/>
                <w:rtl/>
              </w:rPr>
              <w:t>4</w:t>
            </w:r>
            <w:r w:rsidRPr="005814C2">
              <w:rPr>
                <w:rFonts w:asciiTheme="majorBidi" w:hAnsiTheme="majorBidi" w:cstheme="majorBidi"/>
              </w:rPr>
              <w:t>.2</w:t>
            </w:r>
          </w:p>
        </w:tc>
        <w:tc>
          <w:tcPr>
            <w:tcW w:w="725" w:type="dxa"/>
            <w:shd w:val="clear" w:color="auto" w:fill="auto"/>
          </w:tcPr>
          <w:p w14:paraId="603A43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71.6</w:t>
            </w:r>
          </w:p>
        </w:tc>
        <w:tc>
          <w:tcPr>
            <w:tcW w:w="659" w:type="dxa"/>
            <w:shd w:val="clear" w:color="auto" w:fill="auto"/>
          </w:tcPr>
          <w:p w14:paraId="3649FE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65.7</w:t>
            </w:r>
          </w:p>
        </w:tc>
        <w:tc>
          <w:tcPr>
            <w:tcW w:w="644" w:type="dxa"/>
            <w:shd w:val="clear" w:color="auto" w:fill="auto"/>
          </w:tcPr>
          <w:p w14:paraId="4FBDFB1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0.50</w:t>
            </w:r>
          </w:p>
        </w:tc>
      </w:tr>
      <w:tr w:rsidR="00D70DBD" w14:paraId="24CF0B7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57F59DA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tcPr>
          <w:p w14:paraId="04AE14E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161</w:t>
            </w:r>
          </w:p>
        </w:tc>
        <w:tc>
          <w:tcPr>
            <w:tcW w:w="550" w:type="dxa"/>
          </w:tcPr>
          <w:p w14:paraId="2564470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13055C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c>
          <w:tcPr>
            <w:tcW w:w="636" w:type="dxa"/>
          </w:tcPr>
          <w:p w14:paraId="4FBFC0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r w:rsidRPr="005814C2">
              <w:rPr>
                <w:rFonts w:asciiTheme="majorBidi" w:hAnsiTheme="majorBidi" w:cstheme="majorBidi"/>
                <w:rtl/>
              </w:rPr>
              <w:t>0</w:t>
            </w:r>
          </w:p>
        </w:tc>
        <w:tc>
          <w:tcPr>
            <w:tcW w:w="725" w:type="dxa"/>
          </w:tcPr>
          <w:p w14:paraId="0A4A5A7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.6</w:t>
            </w:r>
          </w:p>
        </w:tc>
        <w:tc>
          <w:tcPr>
            <w:tcW w:w="659" w:type="dxa"/>
          </w:tcPr>
          <w:p w14:paraId="617DED2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12.7</w:t>
            </w:r>
          </w:p>
        </w:tc>
        <w:tc>
          <w:tcPr>
            <w:tcW w:w="640" w:type="dxa"/>
          </w:tcPr>
          <w:p w14:paraId="37010F5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0.16</w:t>
            </w:r>
          </w:p>
        </w:tc>
        <w:tc>
          <w:tcPr>
            <w:tcW w:w="728" w:type="dxa"/>
          </w:tcPr>
          <w:p w14:paraId="3EB78D8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182</w:t>
            </w:r>
          </w:p>
        </w:tc>
        <w:tc>
          <w:tcPr>
            <w:tcW w:w="574" w:type="dxa"/>
          </w:tcPr>
          <w:p w14:paraId="22BE0C2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6FE4006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18.1</w:t>
            </w:r>
          </w:p>
        </w:tc>
        <w:tc>
          <w:tcPr>
            <w:tcW w:w="640" w:type="dxa"/>
          </w:tcPr>
          <w:p w14:paraId="18F0C5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42.3</w:t>
            </w:r>
          </w:p>
        </w:tc>
        <w:tc>
          <w:tcPr>
            <w:tcW w:w="725" w:type="dxa"/>
          </w:tcPr>
          <w:p w14:paraId="67DDC3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71.2</w:t>
            </w:r>
          </w:p>
        </w:tc>
        <w:tc>
          <w:tcPr>
            <w:tcW w:w="659" w:type="dxa"/>
          </w:tcPr>
          <w:p w14:paraId="41AED8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66.3</w:t>
            </w:r>
          </w:p>
        </w:tc>
        <w:tc>
          <w:tcPr>
            <w:tcW w:w="644" w:type="dxa"/>
          </w:tcPr>
          <w:p w14:paraId="6BA49AA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0.45</w:t>
            </w:r>
          </w:p>
        </w:tc>
      </w:tr>
      <w:tr w:rsidR="00F60FD6" w14:paraId="75460A26"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35F85AB5"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shd w:val="clear" w:color="auto" w:fill="auto"/>
          </w:tcPr>
          <w:p w14:paraId="13BC903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280</w:t>
            </w:r>
          </w:p>
        </w:tc>
        <w:tc>
          <w:tcPr>
            <w:tcW w:w="550" w:type="dxa"/>
            <w:shd w:val="clear" w:color="auto" w:fill="auto"/>
          </w:tcPr>
          <w:p w14:paraId="43F6871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63A9852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3.6</w:t>
            </w:r>
          </w:p>
        </w:tc>
        <w:tc>
          <w:tcPr>
            <w:tcW w:w="636" w:type="dxa"/>
            <w:shd w:val="clear" w:color="auto" w:fill="auto"/>
          </w:tcPr>
          <w:p w14:paraId="7964FB8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725" w:type="dxa"/>
            <w:shd w:val="clear" w:color="auto" w:fill="auto"/>
          </w:tcPr>
          <w:p w14:paraId="32137C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w:t>
            </w:r>
            <w:r>
              <w:rPr>
                <w:rFonts w:asciiTheme="majorBidi" w:hAnsiTheme="majorBidi" w:cstheme="majorBidi"/>
              </w:rPr>
              <w:t>9</w:t>
            </w:r>
          </w:p>
        </w:tc>
        <w:tc>
          <w:tcPr>
            <w:tcW w:w="659" w:type="dxa"/>
            <w:shd w:val="clear" w:color="auto" w:fill="auto"/>
          </w:tcPr>
          <w:p w14:paraId="308D0C0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12.8</w:t>
            </w:r>
          </w:p>
        </w:tc>
        <w:tc>
          <w:tcPr>
            <w:tcW w:w="640" w:type="dxa"/>
            <w:shd w:val="clear" w:color="auto" w:fill="auto"/>
          </w:tcPr>
          <w:p w14:paraId="2E1311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0.14</w:t>
            </w:r>
          </w:p>
        </w:tc>
        <w:tc>
          <w:tcPr>
            <w:tcW w:w="728" w:type="dxa"/>
            <w:shd w:val="clear" w:color="auto" w:fill="auto"/>
          </w:tcPr>
          <w:p w14:paraId="2C916F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314</w:t>
            </w:r>
          </w:p>
        </w:tc>
        <w:tc>
          <w:tcPr>
            <w:tcW w:w="574" w:type="dxa"/>
            <w:shd w:val="clear" w:color="auto" w:fill="auto"/>
          </w:tcPr>
          <w:p w14:paraId="6277EB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2D8783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18.0</w:t>
            </w:r>
          </w:p>
        </w:tc>
        <w:tc>
          <w:tcPr>
            <w:tcW w:w="640" w:type="dxa"/>
            <w:shd w:val="clear" w:color="auto" w:fill="auto"/>
          </w:tcPr>
          <w:p w14:paraId="42BD92C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42.1</w:t>
            </w:r>
          </w:p>
        </w:tc>
        <w:tc>
          <w:tcPr>
            <w:tcW w:w="725" w:type="dxa"/>
            <w:shd w:val="clear" w:color="auto" w:fill="auto"/>
          </w:tcPr>
          <w:p w14:paraId="7DB3B7D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70.6</w:t>
            </w:r>
          </w:p>
        </w:tc>
        <w:tc>
          <w:tcPr>
            <w:tcW w:w="659" w:type="dxa"/>
            <w:shd w:val="clear" w:color="auto" w:fill="auto"/>
          </w:tcPr>
          <w:p w14:paraId="729FFEF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67.6</w:t>
            </w:r>
          </w:p>
        </w:tc>
        <w:tc>
          <w:tcPr>
            <w:tcW w:w="644" w:type="dxa"/>
            <w:shd w:val="clear" w:color="auto" w:fill="auto"/>
          </w:tcPr>
          <w:p w14:paraId="7F04C6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D70DBD" w14:paraId="4BEC4CD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1B003C0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tcPr>
          <w:p w14:paraId="730BCBD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406</w:t>
            </w:r>
          </w:p>
        </w:tc>
        <w:tc>
          <w:tcPr>
            <w:tcW w:w="550" w:type="dxa"/>
          </w:tcPr>
          <w:p w14:paraId="26987F4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435898C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3.7</w:t>
            </w:r>
          </w:p>
        </w:tc>
        <w:tc>
          <w:tcPr>
            <w:tcW w:w="636" w:type="dxa"/>
          </w:tcPr>
          <w:p w14:paraId="38EA8C3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.2</w:t>
            </w:r>
          </w:p>
        </w:tc>
        <w:tc>
          <w:tcPr>
            <w:tcW w:w="725" w:type="dxa"/>
          </w:tcPr>
          <w:p w14:paraId="19113BF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12.1</w:t>
            </w:r>
          </w:p>
        </w:tc>
        <w:tc>
          <w:tcPr>
            <w:tcW w:w="659" w:type="dxa"/>
          </w:tcPr>
          <w:p w14:paraId="45358E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13.4</w:t>
            </w:r>
          </w:p>
        </w:tc>
        <w:tc>
          <w:tcPr>
            <w:tcW w:w="640" w:type="dxa"/>
          </w:tcPr>
          <w:p w14:paraId="32A1F7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0A903D1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512</w:t>
            </w:r>
          </w:p>
        </w:tc>
        <w:tc>
          <w:tcPr>
            <w:tcW w:w="574" w:type="dxa"/>
          </w:tcPr>
          <w:p w14:paraId="5A8557A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487F8A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17.2</w:t>
            </w:r>
          </w:p>
        </w:tc>
        <w:tc>
          <w:tcPr>
            <w:tcW w:w="640" w:type="dxa"/>
          </w:tcPr>
          <w:p w14:paraId="5FDE7C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41.2</w:t>
            </w:r>
          </w:p>
        </w:tc>
        <w:tc>
          <w:tcPr>
            <w:tcW w:w="725" w:type="dxa"/>
          </w:tcPr>
          <w:p w14:paraId="75635A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67.8</w:t>
            </w:r>
          </w:p>
        </w:tc>
        <w:tc>
          <w:tcPr>
            <w:tcW w:w="659" w:type="dxa"/>
          </w:tcPr>
          <w:p w14:paraId="7F8D77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64.6</w:t>
            </w:r>
          </w:p>
        </w:tc>
        <w:tc>
          <w:tcPr>
            <w:tcW w:w="644" w:type="dxa"/>
          </w:tcPr>
          <w:p w14:paraId="7132FBA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F60FD6" w14:paraId="4A18FC98"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434CCFF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shd w:val="clear" w:color="auto" w:fill="auto"/>
          </w:tcPr>
          <w:p w14:paraId="74D2F3D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541</w:t>
            </w:r>
          </w:p>
        </w:tc>
        <w:tc>
          <w:tcPr>
            <w:tcW w:w="550" w:type="dxa"/>
            <w:shd w:val="clear" w:color="auto" w:fill="auto"/>
          </w:tcPr>
          <w:p w14:paraId="5BE2943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1E5DED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w:t>
            </w:r>
          </w:p>
        </w:tc>
        <w:tc>
          <w:tcPr>
            <w:tcW w:w="636" w:type="dxa"/>
            <w:shd w:val="clear" w:color="auto" w:fill="auto"/>
          </w:tcPr>
          <w:p w14:paraId="146B80A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3</w:t>
            </w:r>
          </w:p>
        </w:tc>
        <w:tc>
          <w:tcPr>
            <w:tcW w:w="725" w:type="dxa"/>
            <w:shd w:val="clear" w:color="auto" w:fill="auto"/>
          </w:tcPr>
          <w:p w14:paraId="7B33C7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12.0</w:t>
            </w:r>
          </w:p>
        </w:tc>
        <w:tc>
          <w:tcPr>
            <w:tcW w:w="659" w:type="dxa"/>
            <w:shd w:val="clear" w:color="auto" w:fill="auto"/>
          </w:tcPr>
          <w:p w14:paraId="0C77BB3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13.5</w:t>
            </w:r>
          </w:p>
        </w:tc>
        <w:tc>
          <w:tcPr>
            <w:tcW w:w="640" w:type="dxa"/>
            <w:shd w:val="clear" w:color="auto" w:fill="auto"/>
          </w:tcPr>
          <w:p w14:paraId="6855A2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shd w:val="clear" w:color="auto" w:fill="auto"/>
          </w:tcPr>
          <w:p w14:paraId="385024B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616</w:t>
            </w:r>
          </w:p>
        </w:tc>
        <w:tc>
          <w:tcPr>
            <w:tcW w:w="574" w:type="dxa"/>
            <w:shd w:val="clear" w:color="auto" w:fill="auto"/>
          </w:tcPr>
          <w:p w14:paraId="759E53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5602DE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17.1</w:t>
            </w:r>
          </w:p>
        </w:tc>
        <w:tc>
          <w:tcPr>
            <w:tcW w:w="640" w:type="dxa"/>
            <w:shd w:val="clear" w:color="auto" w:fill="auto"/>
          </w:tcPr>
          <w:p w14:paraId="472A69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40.7</w:t>
            </w:r>
          </w:p>
        </w:tc>
        <w:tc>
          <w:tcPr>
            <w:tcW w:w="725" w:type="dxa"/>
            <w:shd w:val="clear" w:color="auto" w:fill="auto"/>
          </w:tcPr>
          <w:p w14:paraId="4111526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64.2</w:t>
            </w:r>
          </w:p>
        </w:tc>
        <w:tc>
          <w:tcPr>
            <w:tcW w:w="659" w:type="dxa"/>
            <w:shd w:val="clear" w:color="auto" w:fill="auto"/>
          </w:tcPr>
          <w:p w14:paraId="5093846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63.5</w:t>
            </w:r>
          </w:p>
        </w:tc>
        <w:tc>
          <w:tcPr>
            <w:tcW w:w="644" w:type="dxa"/>
            <w:shd w:val="clear" w:color="auto" w:fill="auto"/>
          </w:tcPr>
          <w:p w14:paraId="464B195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0.28</w:t>
            </w:r>
          </w:p>
        </w:tc>
      </w:tr>
      <w:tr w:rsidR="00D70DBD" w14:paraId="4C41CC4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B9F3E11"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tcPr>
          <w:p w14:paraId="671CECC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686</w:t>
            </w:r>
          </w:p>
        </w:tc>
        <w:tc>
          <w:tcPr>
            <w:tcW w:w="550" w:type="dxa"/>
          </w:tcPr>
          <w:p w14:paraId="5BB3E5D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1F84F2E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3.9</w:t>
            </w:r>
          </w:p>
        </w:tc>
        <w:tc>
          <w:tcPr>
            <w:tcW w:w="636" w:type="dxa"/>
          </w:tcPr>
          <w:p w14:paraId="4A6819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5</w:t>
            </w:r>
          </w:p>
        </w:tc>
        <w:tc>
          <w:tcPr>
            <w:tcW w:w="725" w:type="dxa"/>
          </w:tcPr>
          <w:p w14:paraId="16AF03A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.4</w:t>
            </w:r>
          </w:p>
        </w:tc>
        <w:tc>
          <w:tcPr>
            <w:tcW w:w="659" w:type="dxa"/>
          </w:tcPr>
          <w:p w14:paraId="532C01C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5A4CD62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50C186F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792</w:t>
            </w:r>
          </w:p>
        </w:tc>
        <w:tc>
          <w:tcPr>
            <w:tcW w:w="574" w:type="dxa"/>
          </w:tcPr>
          <w:p w14:paraId="2B638CE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2521EF6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16.8</w:t>
            </w:r>
          </w:p>
        </w:tc>
        <w:tc>
          <w:tcPr>
            <w:tcW w:w="640" w:type="dxa"/>
          </w:tcPr>
          <w:p w14:paraId="21E95E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38.6</w:t>
            </w:r>
          </w:p>
        </w:tc>
        <w:tc>
          <w:tcPr>
            <w:tcW w:w="725" w:type="dxa"/>
          </w:tcPr>
          <w:p w14:paraId="10DCA91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62.4</w:t>
            </w:r>
          </w:p>
        </w:tc>
        <w:tc>
          <w:tcPr>
            <w:tcW w:w="659" w:type="dxa"/>
          </w:tcPr>
          <w:p w14:paraId="7C50238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61.7</w:t>
            </w:r>
          </w:p>
        </w:tc>
        <w:tc>
          <w:tcPr>
            <w:tcW w:w="644" w:type="dxa"/>
          </w:tcPr>
          <w:p w14:paraId="297017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F60FD6" w14:paraId="725A4B4A"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346D70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shd w:val="clear" w:color="auto" w:fill="auto"/>
          </w:tcPr>
          <w:p w14:paraId="1FB2E3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836</w:t>
            </w:r>
          </w:p>
        </w:tc>
        <w:tc>
          <w:tcPr>
            <w:tcW w:w="550" w:type="dxa"/>
            <w:shd w:val="clear" w:color="auto" w:fill="auto"/>
          </w:tcPr>
          <w:p w14:paraId="2CD28B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243F61D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4.0</w:t>
            </w:r>
          </w:p>
        </w:tc>
        <w:tc>
          <w:tcPr>
            <w:tcW w:w="636" w:type="dxa"/>
            <w:shd w:val="clear" w:color="auto" w:fill="auto"/>
          </w:tcPr>
          <w:p w14:paraId="2E98ED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14.6</w:t>
            </w:r>
          </w:p>
        </w:tc>
        <w:tc>
          <w:tcPr>
            <w:tcW w:w="725" w:type="dxa"/>
            <w:shd w:val="clear" w:color="auto" w:fill="auto"/>
          </w:tcPr>
          <w:p w14:paraId="3BCF3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w:t>
            </w:r>
            <w:r>
              <w:rPr>
                <w:rFonts w:asciiTheme="majorBidi" w:hAnsiTheme="majorBidi" w:cstheme="majorBidi"/>
              </w:rPr>
              <w:t>8</w:t>
            </w:r>
          </w:p>
        </w:tc>
        <w:tc>
          <w:tcPr>
            <w:tcW w:w="659" w:type="dxa"/>
            <w:shd w:val="clear" w:color="auto" w:fill="auto"/>
          </w:tcPr>
          <w:p w14:paraId="1718679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13.9</w:t>
            </w:r>
          </w:p>
        </w:tc>
        <w:tc>
          <w:tcPr>
            <w:tcW w:w="640" w:type="dxa"/>
            <w:shd w:val="clear" w:color="auto" w:fill="auto"/>
          </w:tcPr>
          <w:p w14:paraId="1E49FDB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17973F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991</w:t>
            </w:r>
          </w:p>
        </w:tc>
        <w:tc>
          <w:tcPr>
            <w:tcW w:w="574" w:type="dxa"/>
            <w:shd w:val="clear" w:color="auto" w:fill="auto"/>
          </w:tcPr>
          <w:p w14:paraId="2074B22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37E2D45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16.5</w:t>
            </w:r>
          </w:p>
        </w:tc>
        <w:tc>
          <w:tcPr>
            <w:tcW w:w="640" w:type="dxa"/>
            <w:shd w:val="clear" w:color="auto" w:fill="auto"/>
          </w:tcPr>
          <w:p w14:paraId="13F7D4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37.4</w:t>
            </w:r>
          </w:p>
        </w:tc>
        <w:tc>
          <w:tcPr>
            <w:tcW w:w="725" w:type="dxa"/>
            <w:shd w:val="clear" w:color="auto" w:fill="auto"/>
          </w:tcPr>
          <w:p w14:paraId="25A42C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60.6</w:t>
            </w:r>
          </w:p>
        </w:tc>
        <w:tc>
          <w:tcPr>
            <w:tcW w:w="659" w:type="dxa"/>
            <w:shd w:val="clear" w:color="auto" w:fill="auto"/>
          </w:tcPr>
          <w:p w14:paraId="264A386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61.3</w:t>
            </w:r>
          </w:p>
        </w:tc>
        <w:tc>
          <w:tcPr>
            <w:tcW w:w="644" w:type="dxa"/>
            <w:shd w:val="clear" w:color="auto" w:fill="auto"/>
          </w:tcPr>
          <w:p w14:paraId="0863A91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D70DBD" w14:paraId="6059725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0D074CB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tcPr>
          <w:p w14:paraId="6C170BF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1002</w:t>
            </w:r>
          </w:p>
        </w:tc>
        <w:tc>
          <w:tcPr>
            <w:tcW w:w="550" w:type="dxa"/>
          </w:tcPr>
          <w:p w14:paraId="4B336D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0EFEC49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4.1</w:t>
            </w:r>
          </w:p>
        </w:tc>
        <w:tc>
          <w:tcPr>
            <w:tcW w:w="636" w:type="dxa"/>
          </w:tcPr>
          <w:p w14:paraId="5EC9A7A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6</w:t>
            </w:r>
          </w:p>
        </w:tc>
        <w:tc>
          <w:tcPr>
            <w:tcW w:w="725" w:type="dxa"/>
          </w:tcPr>
          <w:p w14:paraId="7932A6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659" w:type="dxa"/>
          </w:tcPr>
          <w:p w14:paraId="272DA34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1CDEC6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298023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1181</w:t>
            </w:r>
          </w:p>
        </w:tc>
        <w:tc>
          <w:tcPr>
            <w:tcW w:w="574" w:type="dxa"/>
          </w:tcPr>
          <w:p w14:paraId="33D2E1E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C30F8E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16.4</w:t>
            </w:r>
          </w:p>
        </w:tc>
        <w:tc>
          <w:tcPr>
            <w:tcW w:w="640" w:type="dxa"/>
          </w:tcPr>
          <w:p w14:paraId="3DC90F7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36.2</w:t>
            </w:r>
          </w:p>
        </w:tc>
        <w:tc>
          <w:tcPr>
            <w:tcW w:w="725" w:type="dxa"/>
          </w:tcPr>
          <w:p w14:paraId="6563B4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57.4</w:t>
            </w:r>
          </w:p>
        </w:tc>
        <w:tc>
          <w:tcPr>
            <w:tcW w:w="659" w:type="dxa"/>
          </w:tcPr>
          <w:p w14:paraId="3D12816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60.5</w:t>
            </w:r>
          </w:p>
        </w:tc>
        <w:tc>
          <w:tcPr>
            <w:tcW w:w="644" w:type="dxa"/>
          </w:tcPr>
          <w:p w14:paraId="09FA3F4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0.24</w:t>
            </w:r>
          </w:p>
        </w:tc>
      </w:tr>
      <w:tr w:rsidR="00F60FD6" w14:paraId="62E78CDE"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28513C7"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shd w:val="clear" w:color="auto" w:fill="auto"/>
          </w:tcPr>
          <w:p w14:paraId="2654A9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1176</w:t>
            </w:r>
          </w:p>
        </w:tc>
        <w:tc>
          <w:tcPr>
            <w:tcW w:w="550" w:type="dxa"/>
            <w:shd w:val="clear" w:color="auto" w:fill="auto"/>
          </w:tcPr>
          <w:p w14:paraId="190169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664B178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shd w:val="clear" w:color="auto" w:fill="auto"/>
          </w:tcPr>
          <w:p w14:paraId="69D3487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.7</w:t>
            </w:r>
          </w:p>
        </w:tc>
        <w:tc>
          <w:tcPr>
            <w:tcW w:w="725" w:type="dxa"/>
            <w:shd w:val="clear" w:color="auto" w:fill="auto"/>
          </w:tcPr>
          <w:p w14:paraId="69912CE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w:t>
            </w:r>
          </w:p>
        </w:tc>
        <w:tc>
          <w:tcPr>
            <w:tcW w:w="659" w:type="dxa"/>
            <w:shd w:val="clear" w:color="auto" w:fill="auto"/>
          </w:tcPr>
          <w:p w14:paraId="0174113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shd w:val="clear" w:color="auto" w:fill="auto"/>
          </w:tcPr>
          <w:p w14:paraId="5CC5B53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27C5BB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1316</w:t>
            </w:r>
          </w:p>
        </w:tc>
        <w:tc>
          <w:tcPr>
            <w:tcW w:w="574" w:type="dxa"/>
            <w:shd w:val="clear" w:color="auto" w:fill="auto"/>
          </w:tcPr>
          <w:p w14:paraId="67C91F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29BF60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16.2</w:t>
            </w:r>
          </w:p>
        </w:tc>
        <w:tc>
          <w:tcPr>
            <w:tcW w:w="640" w:type="dxa"/>
            <w:shd w:val="clear" w:color="auto" w:fill="auto"/>
          </w:tcPr>
          <w:p w14:paraId="2DD532E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35.6</w:t>
            </w:r>
          </w:p>
        </w:tc>
        <w:tc>
          <w:tcPr>
            <w:tcW w:w="725" w:type="dxa"/>
            <w:shd w:val="clear" w:color="auto" w:fill="auto"/>
          </w:tcPr>
          <w:p w14:paraId="670EDA1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w:t>
            </w:r>
            <w:r w:rsidRPr="005814C2">
              <w:rPr>
                <w:rFonts w:asciiTheme="majorBidi" w:hAnsiTheme="majorBidi" w:cstheme="majorBidi"/>
              </w:rPr>
              <w:t>.4</w:t>
            </w:r>
          </w:p>
        </w:tc>
        <w:tc>
          <w:tcPr>
            <w:tcW w:w="659" w:type="dxa"/>
            <w:shd w:val="clear" w:color="auto" w:fill="auto"/>
          </w:tcPr>
          <w:p w14:paraId="3FD1FF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60.2</w:t>
            </w:r>
          </w:p>
        </w:tc>
        <w:tc>
          <w:tcPr>
            <w:tcW w:w="644" w:type="dxa"/>
            <w:shd w:val="clear" w:color="auto" w:fill="auto"/>
          </w:tcPr>
          <w:p w14:paraId="7652D5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0.23</w:t>
            </w:r>
          </w:p>
        </w:tc>
      </w:tr>
      <w:tr w:rsidR="00D70DBD" w14:paraId="2FA94254"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6814119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tcPr>
          <w:p w14:paraId="64F2B73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27</w:t>
            </w:r>
          </w:p>
        </w:tc>
        <w:tc>
          <w:tcPr>
            <w:tcW w:w="550" w:type="dxa"/>
          </w:tcPr>
          <w:p w14:paraId="4E6CE85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431A467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tcPr>
          <w:p w14:paraId="620F376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7</w:t>
            </w:r>
          </w:p>
        </w:tc>
        <w:tc>
          <w:tcPr>
            <w:tcW w:w="725" w:type="dxa"/>
          </w:tcPr>
          <w:p w14:paraId="7CCD25E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r w:rsidRPr="005814C2">
              <w:rPr>
                <w:rFonts w:asciiTheme="majorBidi" w:hAnsiTheme="majorBidi" w:cstheme="majorBidi"/>
              </w:rPr>
              <w:t>.</w:t>
            </w:r>
            <w:r>
              <w:rPr>
                <w:rFonts w:asciiTheme="majorBidi" w:hAnsiTheme="majorBidi" w:cstheme="majorBidi"/>
              </w:rPr>
              <w:t>3</w:t>
            </w:r>
          </w:p>
        </w:tc>
        <w:tc>
          <w:tcPr>
            <w:tcW w:w="659" w:type="dxa"/>
          </w:tcPr>
          <w:p w14:paraId="65343E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tcPr>
          <w:p w14:paraId="203C590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46311E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w:t>
            </w:r>
            <w:r>
              <w:rPr>
                <w:rFonts w:asciiTheme="majorBidi" w:hAnsiTheme="majorBidi" w:cstheme="majorBidi"/>
              </w:rPr>
              <w:t>5</w:t>
            </w:r>
            <w:r w:rsidRPr="005814C2">
              <w:rPr>
                <w:rFonts w:asciiTheme="majorBidi" w:hAnsiTheme="majorBidi" w:cstheme="majorBidi"/>
                <w:rtl/>
              </w:rPr>
              <w:t>15</w:t>
            </w:r>
          </w:p>
        </w:tc>
        <w:tc>
          <w:tcPr>
            <w:tcW w:w="574" w:type="dxa"/>
          </w:tcPr>
          <w:p w14:paraId="6571480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45E5153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16.1</w:t>
            </w:r>
          </w:p>
        </w:tc>
        <w:tc>
          <w:tcPr>
            <w:tcW w:w="640" w:type="dxa"/>
          </w:tcPr>
          <w:p w14:paraId="006B2B8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32.4</w:t>
            </w:r>
          </w:p>
        </w:tc>
        <w:tc>
          <w:tcPr>
            <w:tcW w:w="725" w:type="dxa"/>
          </w:tcPr>
          <w:p w14:paraId="2A70D5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Pr="005814C2">
              <w:rPr>
                <w:rFonts w:asciiTheme="majorBidi" w:hAnsiTheme="majorBidi" w:cstheme="majorBidi"/>
              </w:rPr>
              <w:t>.6</w:t>
            </w:r>
          </w:p>
        </w:tc>
        <w:tc>
          <w:tcPr>
            <w:tcW w:w="659" w:type="dxa"/>
          </w:tcPr>
          <w:p w14:paraId="45C995F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60.3</w:t>
            </w:r>
          </w:p>
        </w:tc>
        <w:tc>
          <w:tcPr>
            <w:tcW w:w="644" w:type="dxa"/>
          </w:tcPr>
          <w:p w14:paraId="618B14C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0.22</w:t>
            </w:r>
          </w:p>
        </w:tc>
      </w:tr>
    </w:tbl>
    <w:p w14:paraId="0B626C28" w14:textId="77777777" w:rsidR="00F60FD6" w:rsidRDefault="00F60FD6" w:rsidP="00CE2B7F">
      <w:pPr>
        <w:rPr>
          <w:rFonts w:asciiTheme="majorBidi" w:hAnsiTheme="majorBidi" w:cstheme="majorBidi"/>
          <w:b/>
          <w:bCs/>
          <w:sz w:val="24"/>
          <w:szCs w:val="24"/>
          <w:lang w:bidi="ar-IQ"/>
        </w:rPr>
      </w:pPr>
    </w:p>
    <w:p w14:paraId="59DBF3A0" w14:textId="77777777" w:rsidR="00D70DBD" w:rsidRPr="0039488B" w:rsidRDefault="00CE2B7F" w:rsidP="00CE2B7F">
      <w:pPr>
        <w:rPr>
          <w:rFonts w:asciiTheme="minorBidi" w:hAnsiTheme="minorBidi"/>
          <w:b/>
          <w:bCs/>
          <w:lang w:bidi="ar-IQ"/>
        </w:rPr>
      </w:pPr>
      <w:r w:rsidRPr="0039488B">
        <w:rPr>
          <w:rFonts w:asciiTheme="minorBidi" w:hAnsiTheme="minorBidi"/>
          <w:b/>
          <w:bCs/>
          <w:lang w:bidi="ar-IQ"/>
        </w:rPr>
        <w:t>Calculating the effect of pore size on the aggregate concentration of dissolved sodium and magnesium</w:t>
      </w:r>
    </w:p>
    <w:p w14:paraId="2E58EC3F" w14:textId="47D40BF6" w:rsidR="00DE69E9" w:rsidRDefault="00DC709F" w:rsidP="002F3E66">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Pr="0039488B">
        <w:rPr>
          <w:rFonts w:asciiTheme="minorBidi" w:hAnsiTheme="minorBidi"/>
          <w:sz w:val="20"/>
          <w:szCs w:val="20"/>
          <w:lang w:bidi="ar-IQ"/>
        </w:rPr>
        <w:t xml:space="preserve">Figures (1,2) show the aggregate release pathway of sodium and magnesium resulting from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of undisturbed soil columns using river water and well water across ten pore sizes using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method. The results showed variation in the aggregate sodium and magnesium amounts obtained from the studied sites as a result of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process up to the tenth pore size. We observe from the results obtained in </w:t>
      </w:r>
      <w:r w:rsidRPr="00766516">
        <w:rPr>
          <w:rFonts w:asciiTheme="minorBidi" w:hAnsiTheme="minorBidi"/>
          <w:sz w:val="20"/>
          <w:szCs w:val="20"/>
          <w:highlight w:val="yellow"/>
          <w:lang w:bidi="ar-IQ"/>
        </w:rPr>
        <w:t>Fig</w:t>
      </w:r>
      <w:r w:rsidR="00766516" w:rsidRPr="00766516">
        <w:rPr>
          <w:rFonts w:asciiTheme="minorBidi" w:hAnsiTheme="minorBidi"/>
          <w:sz w:val="20"/>
          <w:szCs w:val="20"/>
          <w:highlight w:val="yellow"/>
          <w:lang w:bidi="ar-IQ"/>
        </w:rPr>
        <w:t>.</w:t>
      </w:r>
      <w:r w:rsidRPr="00766516">
        <w:rPr>
          <w:rFonts w:asciiTheme="minorBidi" w:hAnsiTheme="minorBidi"/>
          <w:sz w:val="20"/>
          <w:szCs w:val="20"/>
          <w:highlight w:val="yellow"/>
          <w:lang w:bidi="ar-IQ"/>
        </w:rPr>
        <w:t xml:space="preserve"> (1,2)</w:t>
      </w:r>
      <w:r w:rsidRPr="0039488B">
        <w:rPr>
          <w:rFonts w:asciiTheme="minorBidi" w:hAnsiTheme="minorBidi"/>
          <w:sz w:val="20"/>
          <w:szCs w:val="20"/>
          <w:lang w:bidi="ar-IQ"/>
        </w:rPr>
        <w:t xml:space="preserve"> that the aggregate magnesium amount was higher than the sodium amount in both cases, whether using river or well water. This can be explained by the fact that the alternating wetting and drying process and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affect the mechanism of changes occurring in magnesium (Shi and Xia, 2024). The higher cumulative amount of magnesium compared to sodium after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is attributed to the high solubility of magnesium salts and their ease of displacement from the exchange complex and movement within the soil pores, in contrast to the relative retention of sodium on clay colloids. Furthermore, magnesium is more easily displaced with increasing </w:t>
      </w:r>
      <w:r w:rsidR="00280871" w:rsidRPr="0039488B">
        <w:rPr>
          <w:rFonts w:asciiTheme="minorBidi" w:hAnsiTheme="minorBidi"/>
          <w:sz w:val="20"/>
          <w:szCs w:val="20"/>
          <w:lang w:bidi="ar-IQ"/>
        </w:rPr>
        <w:lastRenderedPageBreak/>
        <w:t>leaching</w:t>
      </w:r>
      <w:r w:rsidRPr="0039488B">
        <w:rPr>
          <w:rFonts w:asciiTheme="minorBidi" w:hAnsiTheme="minorBidi"/>
          <w:sz w:val="20"/>
          <w:szCs w:val="20"/>
          <w:lang w:bidi="ar-IQ"/>
        </w:rPr>
        <w:t xml:space="preserve"> power and the presence of calcium with decreasing solution power. The ionizing (El </w:t>
      </w:r>
      <w:proofErr w:type="spellStart"/>
      <w:r w:rsidRPr="0039488B">
        <w:rPr>
          <w:rFonts w:asciiTheme="minorBidi" w:hAnsiTheme="minorBidi"/>
          <w:sz w:val="20"/>
          <w:szCs w:val="20"/>
          <w:lang w:bidi="ar-IQ"/>
        </w:rPr>
        <w:t>Ramady</w:t>
      </w:r>
      <w:proofErr w:type="spellEnd"/>
      <w:r w:rsidRPr="0039488B">
        <w:rPr>
          <w:rFonts w:asciiTheme="minorBidi" w:hAnsiTheme="minorBidi"/>
          <w:sz w:val="20"/>
          <w:szCs w:val="20"/>
          <w:lang w:bidi="ar-IQ"/>
        </w:rPr>
        <w:t xml:space="preserve"> et al., 2024), as shown in Fig</w:t>
      </w:r>
      <w:r w:rsidR="00B411F1">
        <w:rPr>
          <w:rFonts w:asciiTheme="minorBidi" w:hAnsiTheme="minorBidi"/>
          <w:sz w:val="20"/>
          <w:szCs w:val="20"/>
          <w:lang w:bidi="ar-IQ"/>
        </w:rPr>
        <w:t>.</w:t>
      </w:r>
      <w:r w:rsidRPr="0039488B">
        <w:rPr>
          <w:rFonts w:asciiTheme="minorBidi" w:hAnsiTheme="minorBidi"/>
          <w:sz w:val="20"/>
          <w:szCs w:val="20"/>
          <w:lang w:bidi="ar-IQ"/>
        </w:rPr>
        <w:t xml:space="preserve"> (1, 2), indicates that the aggregate concentration of sodium and magnesium was higher when using well water compared to using river water. This is due to the dissolved concentrations of sodium and magnesium added to the soil when using well water, compared to river water, which has low salinity and is a renewable source with the ability to continuously reduce salts. When using well water, it adds new salts with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water, thus compensating for the sodium and magnesium concentration that was washed away or increasing the sodium and magnesium concentration in the soil solution instead of reducing it</w:t>
      </w:r>
      <w:r w:rsidR="00B654CA" w:rsidRPr="00B654CA">
        <w:t xml:space="preserve"> </w:t>
      </w:r>
      <w:r w:rsidR="00B654CA" w:rsidRPr="00B654CA">
        <w:rPr>
          <w:rFonts w:asciiTheme="minorBidi" w:hAnsiTheme="minorBidi"/>
          <w:sz w:val="20"/>
          <w:szCs w:val="20"/>
          <w:highlight w:val="yellow"/>
          <w:lang w:bidi="ar-IQ"/>
        </w:rPr>
        <w:t>These results are consistent with what was obtained</w:t>
      </w:r>
      <w:r w:rsidRPr="0039488B">
        <w:rPr>
          <w:rFonts w:asciiTheme="minorBidi" w:hAnsiTheme="minorBidi"/>
          <w:sz w:val="20"/>
          <w:szCs w:val="20"/>
          <w:lang w:bidi="ar-IQ"/>
        </w:rPr>
        <w:t xml:space="preserve"> (Ghanim and </w:t>
      </w:r>
      <w:proofErr w:type="spellStart"/>
      <w:r w:rsidRPr="0039488B">
        <w:rPr>
          <w:rFonts w:asciiTheme="minorBidi" w:hAnsiTheme="minorBidi"/>
          <w:sz w:val="20"/>
          <w:szCs w:val="20"/>
          <w:lang w:bidi="ar-IQ"/>
        </w:rPr>
        <w:t>Alhadede</w:t>
      </w:r>
      <w:proofErr w:type="spellEnd"/>
      <w:r w:rsidRPr="0039488B">
        <w:rPr>
          <w:rFonts w:asciiTheme="minorBidi" w:hAnsiTheme="minorBidi"/>
          <w:sz w:val="20"/>
          <w:szCs w:val="20"/>
          <w:lang w:bidi="ar-IQ"/>
        </w:rPr>
        <w:t>, 2022 and Zhao et al., 2025).</w:t>
      </w:r>
    </w:p>
    <w:p w14:paraId="2CDBB9E1" w14:textId="77777777" w:rsidR="002F3E66" w:rsidRPr="002F3E66" w:rsidRDefault="002F3E66" w:rsidP="002F3E66">
      <w:pPr>
        <w:jc w:val="both"/>
        <w:rPr>
          <w:rFonts w:asciiTheme="minorBidi" w:hAnsiTheme="minorBidi"/>
          <w:sz w:val="20"/>
          <w:szCs w:val="20"/>
          <w:rtl/>
          <w:lang w:bidi="ar-IQ"/>
        </w:rPr>
      </w:pPr>
    </w:p>
    <w:p w14:paraId="246BF0D9" w14:textId="77777777" w:rsidR="009E3622" w:rsidRPr="0036248E" w:rsidRDefault="002A7CB0" w:rsidP="009E3622">
      <w:pPr>
        <w:tabs>
          <w:tab w:val="left" w:pos="6270"/>
        </w:tabs>
        <w:bidi/>
        <w:jc w:val="both"/>
        <w:rPr>
          <w:rFonts w:asciiTheme="majorBidi" w:hAnsiTheme="majorBidi" w:cstheme="majorBidi"/>
          <w:sz w:val="24"/>
          <w:szCs w:val="24"/>
          <w:rtl/>
          <w:lang w:bidi="ar-IQ"/>
        </w:rPr>
      </w:pPr>
      <w:r w:rsidRPr="0036248E">
        <w:rPr>
          <w:rFonts w:asciiTheme="majorBidi" w:hAnsiTheme="majorBidi" w:cstheme="majorBidi" w:hint="cs"/>
          <w:noProof/>
          <w:sz w:val="24"/>
          <w:szCs w:val="24"/>
          <w:rtl/>
        </w:rPr>
        <mc:AlternateContent>
          <mc:Choice Requires="wps">
            <w:drawing>
              <wp:anchor distT="0" distB="0" distL="114300" distR="114300" simplePos="0" relativeHeight="251659264" behindDoc="0" locked="0" layoutInCell="1" allowOverlap="1" wp14:anchorId="5DD5201B" wp14:editId="543D8CC4">
                <wp:simplePos x="0" y="0"/>
                <wp:positionH relativeFrom="column">
                  <wp:posOffset>-469900</wp:posOffset>
                </wp:positionH>
                <wp:positionV relativeFrom="paragraph">
                  <wp:posOffset>-57785</wp:posOffset>
                </wp:positionV>
                <wp:extent cx="6885940" cy="2451100"/>
                <wp:effectExtent l="0" t="0" r="10160" b="25400"/>
                <wp:wrapNone/>
                <wp:docPr id="3" name="مربع نص 3"/>
                <wp:cNvGraphicFramePr/>
                <a:graphic xmlns:a="http://schemas.openxmlformats.org/drawingml/2006/main">
                  <a:graphicData uri="http://schemas.microsoft.com/office/word/2010/wordprocessingShape">
                    <wps:wsp>
                      <wps:cNvSpPr txBox="1"/>
                      <wps:spPr>
                        <a:xfrm>
                          <a:off x="0" y="0"/>
                          <a:ext cx="6885940" cy="2451100"/>
                        </a:xfrm>
                        <a:prstGeom prst="rect">
                          <a:avLst/>
                        </a:prstGeom>
                        <a:solidFill>
                          <a:sysClr val="window" lastClr="FFFFFF"/>
                        </a:solidFill>
                        <a:ln w="6350">
                          <a:solidFill>
                            <a:prstClr val="black"/>
                          </a:solidFill>
                        </a:ln>
                        <a:effectLst/>
                      </wps:spPr>
                      <wps:txbx>
                        <w:txbxContent>
                          <w:p w14:paraId="7B885565" w14:textId="77777777" w:rsidR="001A2540" w:rsidRDefault="001A2540"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D5201B" id="_x0000_t202" coordsize="21600,21600" o:spt="202" path="m,l,21600r21600,l21600,xe">
                <v:stroke joinstyle="miter"/>
                <v:path gradientshapeok="t" o:connecttype="rect"/>
              </v:shapetype>
              <v:shape id="مربع نص 3" o:spid="_x0000_s1026" type="#_x0000_t202" style="position:absolute;left:0;text-align:left;margin-left:-37pt;margin-top:-4.55pt;width:542.2pt;height:1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" fillcolor="window" strokeweight=".5pt">
                <v:textbox>
                  <w:txbxContent>
                    <w:p w14:paraId="7B885565" w14:textId="77777777" w:rsidR="001A2540" w:rsidRDefault="001A2540" w:rsidP="009E3622"/>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0288" behindDoc="0" locked="0" layoutInCell="1" allowOverlap="1" wp14:anchorId="584E16B0" wp14:editId="46C955D3">
                <wp:simplePos x="0" y="0"/>
                <wp:positionH relativeFrom="column">
                  <wp:posOffset>3022600</wp:posOffset>
                </wp:positionH>
                <wp:positionV relativeFrom="paragraph">
                  <wp:posOffset>5715</wp:posOffset>
                </wp:positionV>
                <wp:extent cx="3347720" cy="2324100"/>
                <wp:effectExtent l="0" t="0" r="24130" b="19050"/>
                <wp:wrapNone/>
                <wp:docPr id="4" name="مربع نص 4"/>
                <wp:cNvGraphicFramePr/>
                <a:graphic xmlns:a="http://schemas.openxmlformats.org/drawingml/2006/main">
                  <a:graphicData uri="http://schemas.microsoft.com/office/word/2010/wordprocessingShape">
                    <wps:wsp>
                      <wps:cNvSpPr txBox="1"/>
                      <wps:spPr>
                        <a:xfrm>
                          <a:off x="0" y="0"/>
                          <a:ext cx="3347720" cy="2324100"/>
                        </a:xfrm>
                        <a:prstGeom prst="rect">
                          <a:avLst/>
                        </a:prstGeom>
                        <a:solidFill>
                          <a:sysClr val="window" lastClr="FFFFFF"/>
                        </a:solidFill>
                        <a:ln w="6350">
                          <a:solidFill>
                            <a:prstClr val="black"/>
                          </a:solidFill>
                        </a:ln>
                        <a:effectLst/>
                      </wps:spPr>
                      <wps:txbx>
                        <w:txbxContent>
                          <w:p w14:paraId="2FEEE925" w14:textId="77777777" w:rsidR="001A2540" w:rsidRDefault="001A2540"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0" id="مربع نص 4" o:spid="_x0000_s1027" type="#_x0000_t202" style="position:absolute;left:0;text-align:left;margin-left:238pt;margin-top:.45pt;width:263.6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" fillcolor="window" strokeweight=".5pt">
                <v:textbox>
                  <w:txbxContent>
                    <w:p w14:paraId="2FEEE925" w14:textId="77777777" w:rsidR="001A2540" w:rsidRDefault="001A2540"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1312" behindDoc="0" locked="0" layoutInCell="1" allowOverlap="1" wp14:anchorId="34EE4B1B" wp14:editId="34C42147">
                <wp:simplePos x="0" y="0"/>
                <wp:positionH relativeFrom="column">
                  <wp:posOffset>-387350</wp:posOffset>
                </wp:positionH>
                <wp:positionV relativeFrom="paragraph">
                  <wp:posOffset>5715</wp:posOffset>
                </wp:positionV>
                <wp:extent cx="3333750" cy="232410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333750" cy="2324100"/>
                        </a:xfrm>
                        <a:prstGeom prst="rect">
                          <a:avLst/>
                        </a:prstGeom>
                        <a:solidFill>
                          <a:sysClr val="window" lastClr="FFFFFF"/>
                        </a:solidFill>
                        <a:ln w="6350">
                          <a:solidFill>
                            <a:prstClr val="black"/>
                          </a:solidFill>
                        </a:ln>
                        <a:effectLst/>
                      </wps:spPr>
                      <wps:txbx>
                        <w:txbxContent>
                          <w:p w14:paraId="06E86322" w14:textId="77777777" w:rsidR="001A2540" w:rsidRDefault="001A2540"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B1B" id="مربع نص 5" o:spid="_x0000_s1028" type="#_x0000_t202" style="position:absolute;left:0;text-align:left;margin-left:-30.5pt;margin-top:.45pt;width:262.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" fillcolor="window" strokeweight=".5pt">
                <v:textbox>
                  <w:txbxContent>
                    <w:p w14:paraId="06E86322" w14:textId="77777777" w:rsidR="001A2540" w:rsidRDefault="001A2540"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14:paraId="5C038501"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0E125ED8"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71CD3206" w14:textId="77777777" w:rsidR="009E3622" w:rsidRDefault="009E3622" w:rsidP="009E3622">
      <w:pPr>
        <w:tabs>
          <w:tab w:val="left" w:pos="6270"/>
        </w:tabs>
        <w:bidi/>
        <w:jc w:val="both"/>
        <w:rPr>
          <w:rFonts w:asciiTheme="majorBidi" w:hAnsiTheme="majorBidi" w:cstheme="majorBidi"/>
          <w:sz w:val="28"/>
          <w:szCs w:val="28"/>
          <w:rtl/>
          <w:lang w:bidi="ar-IQ"/>
        </w:rPr>
      </w:pPr>
    </w:p>
    <w:p w14:paraId="6804FACD" w14:textId="77777777" w:rsidR="009E3622" w:rsidRDefault="009E3622" w:rsidP="009E3622">
      <w:pPr>
        <w:tabs>
          <w:tab w:val="left" w:pos="6270"/>
        </w:tabs>
        <w:bidi/>
        <w:jc w:val="both"/>
        <w:rPr>
          <w:rFonts w:asciiTheme="majorBidi" w:hAnsiTheme="majorBidi" w:cstheme="majorBidi"/>
          <w:sz w:val="28"/>
          <w:szCs w:val="28"/>
          <w:rtl/>
          <w:lang w:bidi="ar-IQ"/>
        </w:rPr>
      </w:pPr>
    </w:p>
    <w:p w14:paraId="22167699" w14:textId="77777777" w:rsidR="009E3622" w:rsidRDefault="009E3622" w:rsidP="009E3622">
      <w:pPr>
        <w:tabs>
          <w:tab w:val="left" w:pos="6270"/>
        </w:tabs>
        <w:bidi/>
        <w:jc w:val="both"/>
        <w:rPr>
          <w:rFonts w:asciiTheme="majorBidi" w:hAnsiTheme="majorBidi" w:cstheme="majorBidi"/>
          <w:sz w:val="28"/>
          <w:szCs w:val="28"/>
          <w:rtl/>
          <w:lang w:bidi="ar-IQ"/>
        </w:rPr>
      </w:pPr>
    </w:p>
    <w:p w14:paraId="52D0832E" w14:textId="77777777" w:rsidR="0036248E" w:rsidRDefault="0036248E" w:rsidP="0036248E">
      <w:pPr>
        <w:tabs>
          <w:tab w:val="center" w:pos="4680"/>
        </w:tabs>
        <w:bidi/>
        <w:rPr>
          <w:rFonts w:asciiTheme="majorBidi" w:hAnsiTheme="majorBidi" w:cstheme="majorBidi"/>
          <w:b/>
          <w:bCs/>
          <w:sz w:val="24"/>
          <w:szCs w:val="24"/>
          <w:lang w:bidi="ar-IQ"/>
        </w:rPr>
      </w:pPr>
    </w:p>
    <w:p w14:paraId="24454D03" w14:textId="77777777" w:rsidR="009E3622" w:rsidRPr="00AB6847" w:rsidRDefault="00A954BF" w:rsidP="00AB6847">
      <w:pPr>
        <w:tabs>
          <w:tab w:val="center" w:pos="4680"/>
        </w:tabs>
        <w:bidi/>
        <w:jc w:val="center"/>
        <w:rPr>
          <w:rFonts w:asciiTheme="minorBidi" w:hAnsiTheme="minorBidi"/>
          <w:b/>
          <w:bCs/>
          <w:lang w:bidi="ar-IQ"/>
        </w:rPr>
      </w:pPr>
      <w:r w:rsidRPr="00AB6847">
        <w:rPr>
          <w:rFonts w:asciiTheme="minorBidi" w:hAnsiTheme="minorBidi"/>
          <w:noProof/>
          <w:sz w:val="24"/>
          <w:szCs w:val="24"/>
          <w:rtl/>
        </w:rPr>
        <mc:AlternateContent>
          <mc:Choice Requires="wps">
            <w:drawing>
              <wp:anchor distT="0" distB="0" distL="114300" distR="114300" simplePos="0" relativeHeight="251662336" behindDoc="0" locked="0" layoutInCell="1" allowOverlap="1" wp14:anchorId="633D6BCB" wp14:editId="465D4421">
                <wp:simplePos x="0" y="0"/>
                <wp:positionH relativeFrom="column">
                  <wp:posOffset>-469900</wp:posOffset>
                </wp:positionH>
                <wp:positionV relativeFrom="paragraph">
                  <wp:posOffset>518795</wp:posOffset>
                </wp:positionV>
                <wp:extent cx="6885940" cy="2622550"/>
                <wp:effectExtent l="0" t="0" r="10160" b="25400"/>
                <wp:wrapNone/>
                <wp:docPr id="10" name="مربع نص 10"/>
                <wp:cNvGraphicFramePr/>
                <a:graphic xmlns:a="http://schemas.openxmlformats.org/drawingml/2006/main">
                  <a:graphicData uri="http://schemas.microsoft.com/office/word/2010/wordprocessingShape">
                    <wps:wsp>
                      <wps:cNvSpPr txBox="1"/>
                      <wps:spPr>
                        <a:xfrm>
                          <a:off x="0" y="0"/>
                          <a:ext cx="6885940" cy="2622550"/>
                        </a:xfrm>
                        <a:prstGeom prst="rect">
                          <a:avLst/>
                        </a:prstGeom>
                        <a:solidFill>
                          <a:sysClr val="window" lastClr="FFFFFF"/>
                        </a:solidFill>
                        <a:ln w="6350">
                          <a:solidFill>
                            <a:prstClr val="black"/>
                          </a:solidFill>
                        </a:ln>
                        <a:effectLst/>
                      </wps:spPr>
                      <wps:txbx>
                        <w:txbxContent>
                          <w:p w14:paraId="7196B690" w14:textId="77777777" w:rsidR="001A2540" w:rsidRDefault="001A2540"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D6BCB" id="مربع نص 10" o:spid="_x0000_s1029" type="#_x0000_t202" style="position:absolute;left:0;text-align:left;margin-left:-37pt;margin-top:40.85pt;width:542.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" fillcolor="window" strokeweight=".5pt">
                <v:textbox>
                  <w:txbxContent>
                    <w:p w14:paraId="7196B690" w14:textId="77777777" w:rsidR="001A2540" w:rsidRDefault="001A2540" w:rsidP="009E3622"/>
                  </w:txbxContent>
                </v:textbox>
              </v:shape>
            </w:pict>
          </mc:Fallback>
        </mc:AlternateContent>
      </w:r>
      <w:r w:rsidR="00F8589D" w:rsidRPr="00AB6847">
        <w:rPr>
          <w:rFonts w:asciiTheme="minorBidi" w:hAnsiTheme="minorBidi"/>
          <w:b/>
          <w:bCs/>
          <w:lang w:bidi="ar-IQ"/>
        </w:rPr>
        <w:t>Figure 1</w:t>
      </w:r>
      <w:r w:rsidR="00AB6847">
        <w:rPr>
          <w:rFonts w:asciiTheme="minorBidi" w:hAnsiTheme="minorBidi"/>
          <w:b/>
          <w:bCs/>
          <w:lang w:bidi="ar-IQ"/>
        </w:rPr>
        <w:t>.</w:t>
      </w:r>
      <w:r w:rsidR="00F8589D"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00F8589D" w:rsidRPr="00AB6847">
        <w:rPr>
          <w:rFonts w:asciiTheme="minorBidi" w:hAnsiTheme="minorBidi"/>
          <w:b/>
          <w:bCs/>
          <w:lang w:bidi="ar-IQ"/>
        </w:rPr>
        <w:t xml:space="preserve"> process at the Bashiqa site</w:t>
      </w:r>
    </w:p>
    <w:p w14:paraId="11A822A4" w14:textId="77777777" w:rsidR="00F8589D" w:rsidRDefault="00A954BF" w:rsidP="00F8589D">
      <w:pPr>
        <w:tabs>
          <w:tab w:val="center" w:pos="4680"/>
        </w:tabs>
        <w:bidi/>
        <w:jc w:val="both"/>
        <w:rPr>
          <w:rFonts w:asciiTheme="majorBidi" w:hAnsiTheme="majorBidi" w:cstheme="majorBidi"/>
          <w:b/>
          <w:bCs/>
          <w:sz w:val="28"/>
          <w:szCs w:val="28"/>
          <w:lang w:bidi="ar-IQ"/>
        </w:rPr>
      </w:pPr>
      <w:r>
        <w:rPr>
          <w:rFonts w:asciiTheme="majorBidi" w:hAnsiTheme="majorBidi" w:cstheme="majorBidi" w:hint="cs"/>
          <w:noProof/>
          <w:sz w:val="28"/>
          <w:szCs w:val="28"/>
          <w:rtl/>
        </w:rPr>
        <mc:AlternateContent>
          <mc:Choice Requires="wps">
            <w:drawing>
              <wp:anchor distT="0" distB="0" distL="114300" distR="114300" simplePos="0" relativeHeight="251664384" behindDoc="0" locked="0" layoutInCell="1" allowOverlap="1" wp14:anchorId="030B89B9" wp14:editId="6CAF289D">
                <wp:simplePos x="0" y="0"/>
                <wp:positionH relativeFrom="column">
                  <wp:posOffset>-419100</wp:posOffset>
                </wp:positionH>
                <wp:positionV relativeFrom="paragraph">
                  <wp:posOffset>64770</wp:posOffset>
                </wp:positionV>
                <wp:extent cx="3305810" cy="2514600"/>
                <wp:effectExtent l="0" t="0" r="27940" b="19050"/>
                <wp:wrapNone/>
                <wp:docPr id="12" name="مربع نص 12"/>
                <wp:cNvGraphicFramePr/>
                <a:graphic xmlns:a="http://schemas.openxmlformats.org/drawingml/2006/main">
                  <a:graphicData uri="http://schemas.microsoft.com/office/word/2010/wordprocessingShape">
                    <wps:wsp>
                      <wps:cNvSpPr txBox="1"/>
                      <wps:spPr>
                        <a:xfrm>
                          <a:off x="0" y="0"/>
                          <a:ext cx="3305810" cy="2514600"/>
                        </a:xfrm>
                        <a:prstGeom prst="rect">
                          <a:avLst/>
                        </a:prstGeom>
                        <a:solidFill>
                          <a:sysClr val="window" lastClr="FFFFFF"/>
                        </a:solidFill>
                        <a:ln w="6350">
                          <a:solidFill>
                            <a:prstClr val="black"/>
                          </a:solidFill>
                        </a:ln>
                        <a:effectLst/>
                      </wps:spPr>
                      <wps:txbx>
                        <w:txbxContent>
                          <w:p w14:paraId="5244F2C6" w14:textId="77777777" w:rsidR="001A2540" w:rsidRDefault="001A2540"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B89B9" id="مربع نص 12" o:spid="_x0000_s1030" type="#_x0000_t202" style="position:absolute;left:0;text-align:left;margin-left:-33pt;margin-top:5.1pt;width:260.3pt;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" fillcolor="window" strokeweight=".5pt">
                <v:textbox>
                  <w:txbxContent>
                    <w:p w14:paraId="5244F2C6" w14:textId="77777777" w:rsidR="001A2540" w:rsidRDefault="001A2540"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Pr>
          <w:rFonts w:asciiTheme="majorBidi" w:hAnsiTheme="majorBidi" w:cstheme="majorBidi" w:hint="cs"/>
          <w:noProof/>
          <w:sz w:val="28"/>
          <w:szCs w:val="28"/>
          <w:rtl/>
        </w:rPr>
        <mc:AlternateContent>
          <mc:Choice Requires="wps">
            <w:drawing>
              <wp:anchor distT="0" distB="0" distL="114300" distR="114300" simplePos="0" relativeHeight="251663360" behindDoc="0" locked="0" layoutInCell="1" allowOverlap="1" wp14:anchorId="16B607E6" wp14:editId="6059CC82">
                <wp:simplePos x="0" y="0"/>
                <wp:positionH relativeFrom="column">
                  <wp:posOffset>2966085</wp:posOffset>
                </wp:positionH>
                <wp:positionV relativeFrom="paragraph">
                  <wp:posOffset>71120</wp:posOffset>
                </wp:positionV>
                <wp:extent cx="3424555" cy="2520950"/>
                <wp:effectExtent l="0" t="0" r="23495" b="12700"/>
                <wp:wrapNone/>
                <wp:docPr id="11" name="مربع نص 11"/>
                <wp:cNvGraphicFramePr/>
                <a:graphic xmlns:a="http://schemas.openxmlformats.org/drawingml/2006/main">
                  <a:graphicData uri="http://schemas.microsoft.com/office/word/2010/wordprocessingShape">
                    <wps:wsp>
                      <wps:cNvSpPr txBox="1"/>
                      <wps:spPr>
                        <a:xfrm>
                          <a:off x="0" y="0"/>
                          <a:ext cx="3424555" cy="2520950"/>
                        </a:xfrm>
                        <a:prstGeom prst="rect">
                          <a:avLst/>
                        </a:prstGeom>
                        <a:solidFill>
                          <a:sysClr val="window" lastClr="FFFFFF"/>
                        </a:solidFill>
                        <a:ln w="6350">
                          <a:solidFill>
                            <a:prstClr val="black"/>
                          </a:solidFill>
                        </a:ln>
                        <a:effectLst/>
                      </wps:spPr>
                      <wps:txbx>
                        <w:txbxContent>
                          <w:p w14:paraId="57B63843" w14:textId="77777777" w:rsidR="001A2540" w:rsidRDefault="001A2540"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07E6" id="مربع نص 11" o:spid="_x0000_s1031" type="#_x0000_t202" style="position:absolute;left:0;text-align:left;margin-left:233.55pt;margin-top:5.6pt;width:269.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" fillcolor="window" strokeweight=".5pt">
                <v:textbox>
                  <w:txbxContent>
                    <w:p w14:paraId="57B63843" w14:textId="77777777" w:rsidR="001A2540" w:rsidRDefault="001A2540"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7A45AA0B" w14:textId="77777777" w:rsidR="00773345" w:rsidRDefault="00773345" w:rsidP="00773345">
      <w:pPr>
        <w:tabs>
          <w:tab w:val="left" w:pos="6270"/>
        </w:tabs>
        <w:bidi/>
        <w:jc w:val="both"/>
        <w:rPr>
          <w:rFonts w:asciiTheme="majorBidi" w:hAnsiTheme="majorBidi" w:cstheme="majorBidi"/>
          <w:b/>
          <w:bCs/>
          <w:sz w:val="28"/>
          <w:szCs w:val="28"/>
          <w:lang w:bidi="ar-IQ"/>
        </w:rPr>
      </w:pPr>
    </w:p>
    <w:p w14:paraId="5D99583D" w14:textId="77777777" w:rsidR="00773345" w:rsidRDefault="00773345" w:rsidP="00773345">
      <w:pPr>
        <w:tabs>
          <w:tab w:val="left" w:pos="6270"/>
        </w:tabs>
        <w:bidi/>
        <w:jc w:val="both"/>
        <w:rPr>
          <w:rFonts w:asciiTheme="majorBidi" w:hAnsiTheme="majorBidi" w:cstheme="majorBidi"/>
          <w:b/>
          <w:bCs/>
          <w:sz w:val="28"/>
          <w:szCs w:val="28"/>
          <w:lang w:bidi="ar-IQ"/>
        </w:rPr>
      </w:pPr>
    </w:p>
    <w:p w14:paraId="5EDAF9E5" w14:textId="77777777" w:rsidR="00773345" w:rsidRPr="0035732B" w:rsidRDefault="00773345" w:rsidP="00773345">
      <w:pPr>
        <w:tabs>
          <w:tab w:val="left" w:pos="6270"/>
        </w:tabs>
        <w:bidi/>
        <w:jc w:val="both"/>
        <w:rPr>
          <w:rFonts w:asciiTheme="majorBidi" w:hAnsiTheme="majorBidi" w:cstheme="majorBidi"/>
          <w:b/>
          <w:bCs/>
          <w:sz w:val="28"/>
          <w:szCs w:val="28"/>
          <w:rtl/>
          <w:lang w:bidi="ar-IQ"/>
        </w:rPr>
      </w:pPr>
    </w:p>
    <w:p w14:paraId="11B1A8F3" w14:textId="77777777" w:rsidR="009E3622" w:rsidRDefault="009E3622" w:rsidP="009E3622">
      <w:pPr>
        <w:tabs>
          <w:tab w:val="left" w:pos="6270"/>
        </w:tabs>
        <w:bidi/>
        <w:jc w:val="both"/>
        <w:rPr>
          <w:rFonts w:asciiTheme="majorBidi" w:hAnsiTheme="majorBidi" w:cstheme="majorBidi"/>
          <w:sz w:val="28"/>
          <w:szCs w:val="28"/>
          <w:rtl/>
          <w:lang w:bidi="ar-IQ"/>
        </w:rPr>
      </w:pPr>
    </w:p>
    <w:p w14:paraId="67AB3530" w14:textId="77777777" w:rsidR="009E3622" w:rsidRDefault="009E3622" w:rsidP="009E3622">
      <w:pPr>
        <w:tabs>
          <w:tab w:val="left" w:pos="6270"/>
        </w:tabs>
        <w:bidi/>
        <w:jc w:val="both"/>
        <w:rPr>
          <w:rFonts w:asciiTheme="majorBidi" w:hAnsiTheme="majorBidi" w:cstheme="majorBidi"/>
          <w:sz w:val="28"/>
          <w:szCs w:val="28"/>
          <w:rtl/>
          <w:lang w:bidi="ar-IQ"/>
        </w:rPr>
      </w:pPr>
    </w:p>
    <w:p w14:paraId="2E245425" w14:textId="77777777" w:rsidR="009E3622" w:rsidRPr="00A954BF" w:rsidRDefault="009E3622" w:rsidP="009E3622">
      <w:pPr>
        <w:tabs>
          <w:tab w:val="left" w:pos="6270"/>
        </w:tabs>
        <w:bidi/>
        <w:jc w:val="both"/>
        <w:rPr>
          <w:rFonts w:asciiTheme="majorBidi" w:hAnsiTheme="majorBidi" w:cstheme="majorBidi"/>
          <w:b/>
          <w:bCs/>
          <w:sz w:val="24"/>
          <w:szCs w:val="24"/>
          <w:rtl/>
          <w:lang w:bidi="ar-IQ"/>
        </w:rPr>
      </w:pPr>
    </w:p>
    <w:p w14:paraId="42BCE3E3" w14:textId="77777777" w:rsidR="00A954BF" w:rsidRDefault="00A954BF" w:rsidP="00A954BF">
      <w:pPr>
        <w:tabs>
          <w:tab w:val="left" w:pos="6270"/>
        </w:tabs>
        <w:bidi/>
        <w:jc w:val="center"/>
        <w:rPr>
          <w:rFonts w:asciiTheme="majorBidi" w:hAnsiTheme="majorBidi" w:cstheme="majorBidi"/>
          <w:b/>
          <w:bCs/>
          <w:sz w:val="24"/>
          <w:szCs w:val="24"/>
          <w:lang w:bidi="ar-IQ"/>
        </w:rPr>
      </w:pPr>
    </w:p>
    <w:p w14:paraId="637F4A23" w14:textId="77777777" w:rsidR="009E3622" w:rsidRDefault="00A954BF" w:rsidP="00AB6847">
      <w:pPr>
        <w:tabs>
          <w:tab w:val="left" w:pos="6270"/>
        </w:tabs>
        <w:bidi/>
        <w:jc w:val="center"/>
        <w:rPr>
          <w:rFonts w:asciiTheme="minorBidi" w:hAnsiTheme="minorBidi"/>
          <w:b/>
          <w:bCs/>
          <w:lang w:bidi="ar-IQ"/>
        </w:rPr>
      </w:pPr>
      <w:r w:rsidRPr="00AB6847">
        <w:rPr>
          <w:rFonts w:asciiTheme="minorBidi" w:hAnsiTheme="minorBidi"/>
          <w:b/>
          <w:bCs/>
          <w:lang w:bidi="ar-IQ"/>
        </w:rPr>
        <w:t>Figure 2</w:t>
      </w:r>
      <w:r w:rsidR="00AB6847">
        <w:rPr>
          <w:rFonts w:asciiTheme="minorBidi" w:hAnsiTheme="minorBidi"/>
          <w:b/>
          <w:bCs/>
          <w:lang w:bidi="ar-IQ"/>
        </w:rPr>
        <w:t>.</w:t>
      </w:r>
      <w:r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Pr="00AB6847">
        <w:rPr>
          <w:rFonts w:asciiTheme="minorBidi" w:hAnsiTheme="minorBidi"/>
          <w:b/>
          <w:bCs/>
          <w:lang w:bidi="ar-IQ"/>
        </w:rPr>
        <w:t xml:space="preserve"> process at the </w:t>
      </w:r>
      <w:proofErr w:type="spellStart"/>
      <w:r w:rsidRPr="00AB6847">
        <w:rPr>
          <w:rFonts w:asciiTheme="minorBidi" w:hAnsiTheme="minorBidi"/>
          <w:b/>
          <w:bCs/>
          <w:lang w:bidi="ar-IQ"/>
        </w:rPr>
        <w:t>Hawija</w:t>
      </w:r>
      <w:proofErr w:type="spellEnd"/>
      <w:r w:rsidRPr="00AB6847">
        <w:rPr>
          <w:rFonts w:asciiTheme="minorBidi" w:hAnsiTheme="minorBidi"/>
          <w:b/>
          <w:bCs/>
          <w:lang w:bidi="ar-IQ"/>
        </w:rPr>
        <w:t xml:space="preserve"> site</w:t>
      </w:r>
    </w:p>
    <w:p w14:paraId="254C1647" w14:textId="77777777" w:rsidR="00AB6847" w:rsidRPr="00AB6847" w:rsidRDefault="00AB6847" w:rsidP="00AB6847">
      <w:pPr>
        <w:tabs>
          <w:tab w:val="left" w:pos="6270"/>
        </w:tabs>
        <w:bidi/>
        <w:jc w:val="center"/>
        <w:rPr>
          <w:rFonts w:asciiTheme="minorBidi" w:hAnsiTheme="minorBidi"/>
          <w:b/>
          <w:bCs/>
          <w:sz w:val="24"/>
          <w:szCs w:val="24"/>
          <w:rtl/>
          <w:lang w:bidi="ar-IQ"/>
        </w:rPr>
      </w:pPr>
    </w:p>
    <w:p w14:paraId="72FF7B68" w14:textId="77777777" w:rsidR="009E3622" w:rsidRPr="00AB6847" w:rsidRDefault="001A7102" w:rsidP="001A7102">
      <w:pPr>
        <w:tabs>
          <w:tab w:val="left" w:pos="6270"/>
        </w:tabs>
        <w:bidi/>
        <w:jc w:val="right"/>
        <w:rPr>
          <w:rFonts w:asciiTheme="minorBidi" w:hAnsiTheme="minorBidi"/>
          <w:b/>
          <w:bCs/>
          <w:lang w:bidi="ar-IQ"/>
        </w:rPr>
      </w:pPr>
      <w:r w:rsidRPr="00AB6847">
        <w:rPr>
          <w:rFonts w:asciiTheme="minorBidi" w:hAnsiTheme="minorBidi"/>
          <w:b/>
          <w:bCs/>
          <w:lang w:bidi="ar-IQ"/>
        </w:rPr>
        <w:t>Calculating the rate of reaction (release) coefficient for sodium and magnesium</w:t>
      </w:r>
    </w:p>
    <w:p w14:paraId="4E2E27E9" w14:textId="283B4124" w:rsidR="009E3622" w:rsidRPr="00AB6847" w:rsidRDefault="00AB6847" w:rsidP="00B411F1">
      <w:pPr>
        <w:tabs>
          <w:tab w:val="left" w:pos="6270"/>
        </w:tabs>
        <w:jc w:val="both"/>
        <w:rPr>
          <w:rFonts w:asciiTheme="minorBidi" w:hAnsiTheme="minorBidi"/>
          <w:sz w:val="20"/>
          <w:szCs w:val="20"/>
          <w:rtl/>
          <w:lang w:bidi="ar-IQ"/>
        </w:rPr>
      </w:pPr>
      <w:r>
        <w:rPr>
          <w:rFonts w:asciiTheme="majorBidi" w:hAnsiTheme="majorBidi" w:cstheme="majorBidi"/>
          <w:b/>
          <w:bCs/>
          <w:sz w:val="24"/>
          <w:szCs w:val="24"/>
          <w:lang w:bidi="ar-IQ"/>
        </w:rPr>
        <w:t xml:space="preserve">      </w:t>
      </w:r>
      <w:r w:rsidR="001A7102" w:rsidRPr="00AB6847">
        <w:rPr>
          <w:rFonts w:asciiTheme="minorBidi" w:hAnsiTheme="minorBidi"/>
          <w:sz w:val="20"/>
          <w:szCs w:val="20"/>
          <w:lang w:bidi="ar-IQ"/>
        </w:rPr>
        <w:t xml:space="preserve">The concept of reaction rate (release rate) is defined as the rate of change in the concentration of reactants or products as a function of time. Based on this concept, it was applied to the soils of the study sites to determine the release rate of sodium and magnesium according to the power function equation. </w:t>
      </w:r>
      <w:r w:rsidR="001A7102" w:rsidRPr="00B411F1">
        <w:rPr>
          <w:rFonts w:asciiTheme="minorBidi" w:hAnsiTheme="minorBidi"/>
          <w:sz w:val="20"/>
          <w:szCs w:val="20"/>
          <w:highlight w:val="yellow"/>
          <w:lang w:bidi="ar-IQ"/>
        </w:rPr>
        <w:t>Fig</w:t>
      </w:r>
      <w:r w:rsidR="00B411F1" w:rsidRPr="00B411F1">
        <w:rPr>
          <w:rFonts w:asciiTheme="minorBidi" w:hAnsiTheme="minorBidi"/>
          <w:sz w:val="20"/>
          <w:szCs w:val="20"/>
          <w:highlight w:val="yellow"/>
          <w:lang w:bidi="ar-IQ"/>
        </w:rPr>
        <w:t>.</w:t>
      </w:r>
      <w:r w:rsidR="001A7102" w:rsidRPr="00B411F1">
        <w:rPr>
          <w:rFonts w:asciiTheme="minorBidi" w:hAnsiTheme="minorBidi"/>
          <w:sz w:val="20"/>
          <w:szCs w:val="20"/>
          <w:highlight w:val="yellow"/>
          <w:lang w:bidi="ar-IQ"/>
        </w:rPr>
        <w:t xml:space="preserve"> (3, 4)</w:t>
      </w:r>
      <w:r w:rsidR="001A7102" w:rsidRPr="00AB6847">
        <w:rPr>
          <w:rFonts w:asciiTheme="minorBidi" w:hAnsiTheme="minorBidi"/>
          <w:sz w:val="20"/>
          <w:szCs w:val="20"/>
          <w:lang w:bidi="ar-IQ"/>
        </w:rPr>
        <w:t xml:space="preserve"> illustrate the release process and the release rate coefficient. The results showed the values ​​of the release rate coefficient according to the power function equation. The release rate coefficient for sodium treated with river water ranged between (0.2955 – 0.2314)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(0.2613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0.1689)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in the soils of the two study sites (</w:t>
      </w:r>
      <w:proofErr w:type="spellStart"/>
      <w:r w:rsidR="001A7102" w:rsidRPr="00AB6847">
        <w:rPr>
          <w:rFonts w:asciiTheme="minorBidi" w:hAnsiTheme="minorBidi"/>
          <w:sz w:val="20"/>
          <w:szCs w:val="20"/>
          <w:lang w:bidi="ar-IQ"/>
        </w:rPr>
        <w:t>Bashiqa</w:t>
      </w:r>
      <w:proofErr w:type="spellEnd"/>
      <w:r w:rsidR="001A7102" w:rsidRPr="00AB6847">
        <w:rPr>
          <w:rFonts w:asciiTheme="minorBidi" w:hAnsiTheme="minorBidi"/>
          <w:sz w:val="20"/>
          <w:szCs w:val="20"/>
          <w:lang w:bidi="ar-IQ"/>
        </w:rPr>
        <w:t xml:space="preserve"> and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xml:space="preserve">), respectively. The release rate for sodium treated with well water ranged between (0.0361 – 0.1028)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(0.0612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0.1121)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min-1 in the soil of the two study sites (</w:t>
      </w:r>
      <w:proofErr w:type="spellStart"/>
      <w:r w:rsidR="001A7102" w:rsidRPr="00AB6847">
        <w:rPr>
          <w:rFonts w:asciiTheme="minorBidi" w:hAnsiTheme="minorBidi"/>
          <w:sz w:val="20"/>
          <w:szCs w:val="20"/>
          <w:lang w:bidi="ar-IQ"/>
        </w:rPr>
        <w:t>Bashiqa</w:t>
      </w:r>
      <w:proofErr w:type="spellEnd"/>
      <w:r w:rsidR="001A7102" w:rsidRPr="00AB6847">
        <w:rPr>
          <w:rFonts w:asciiTheme="minorBidi" w:hAnsiTheme="minorBidi"/>
          <w:sz w:val="20"/>
          <w:szCs w:val="20"/>
          <w:lang w:bidi="ar-IQ"/>
        </w:rPr>
        <w:t xml:space="preserve">,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respectively</w:t>
      </w:r>
      <w:r w:rsidR="001A7102" w:rsidRPr="00AB6847">
        <w:rPr>
          <w:rFonts w:asciiTheme="minorBidi" w:hAnsiTheme="minorBidi"/>
          <w:sz w:val="20"/>
          <w:szCs w:val="20"/>
          <w:rtl/>
          <w:lang w:bidi="ar-IQ"/>
        </w:rPr>
        <w:t>.</w:t>
      </w:r>
    </w:p>
    <w:p w14:paraId="22652507" w14:textId="6D5B8D91" w:rsidR="00301BCB" w:rsidRPr="00AB6847" w:rsidRDefault="00EA5CFF" w:rsidP="00B654CA">
      <w:pPr>
        <w:tabs>
          <w:tab w:val="left" w:pos="6270"/>
        </w:tabs>
        <w:jc w:val="both"/>
        <w:rPr>
          <w:rFonts w:asciiTheme="minorBidi" w:hAnsiTheme="minorBidi"/>
          <w:sz w:val="20"/>
          <w:szCs w:val="20"/>
          <w:rtl/>
          <w:lang w:bidi="ar-IQ"/>
        </w:rPr>
      </w:pPr>
      <w:r w:rsidRPr="00AB6847">
        <w:rPr>
          <w:rFonts w:asciiTheme="minorBidi" w:hAnsiTheme="minorBidi"/>
          <w:sz w:val="20"/>
          <w:szCs w:val="20"/>
          <w:lang w:bidi="ar-IQ"/>
        </w:rPr>
        <w:t xml:space="preserve">    </w:t>
      </w:r>
      <w:r w:rsidR="002C0DE8" w:rsidRPr="00AB6847">
        <w:rPr>
          <w:rFonts w:asciiTheme="minorBidi" w:hAnsiTheme="minorBidi"/>
          <w:sz w:val="20"/>
          <w:szCs w:val="20"/>
          <w:lang w:bidi="ar-IQ"/>
        </w:rPr>
        <w:t xml:space="preserve">The results showed that the release rate coefficient for sodium was higher than that for magnesium. The difference in the release rate coefficients of sodium and magnesium in the studied soils can be explained by variations in soil clay and organic matter content, sodium and magnesium formulations, as well as the electrical conductivity and adsorption capacity of monovalent sodium and divalent magnesium ions on soil particles and organic matter. These factors are significant in determining the release of the ion based on its binding energy to the soil solid phase. This clearly indicates that the intermittent leaching process allowed for the release of more washed salts, thus demonstrating the efficiency of intermittent leaching in the </w:t>
      </w:r>
      <w:r w:rsidR="00280871" w:rsidRPr="00AB6847">
        <w:rPr>
          <w:rFonts w:asciiTheme="minorBidi" w:hAnsiTheme="minorBidi"/>
          <w:sz w:val="20"/>
          <w:szCs w:val="20"/>
          <w:lang w:bidi="ar-IQ"/>
        </w:rPr>
        <w:t>leaching</w:t>
      </w:r>
      <w:r w:rsidR="002C0DE8" w:rsidRPr="00AB6847">
        <w:rPr>
          <w:rFonts w:asciiTheme="minorBidi" w:hAnsiTheme="minorBidi"/>
          <w:sz w:val="20"/>
          <w:szCs w:val="20"/>
          <w:lang w:bidi="ar-IQ"/>
        </w:rPr>
        <w:t xml:space="preserve"> process </w:t>
      </w:r>
      <w:r w:rsidR="00B654CA" w:rsidRPr="00B654CA">
        <w:rPr>
          <w:rFonts w:asciiTheme="minorBidi" w:hAnsiTheme="minorBidi"/>
          <w:sz w:val="20"/>
          <w:szCs w:val="20"/>
          <w:highlight w:val="yellow"/>
          <w:lang w:bidi="ar-IQ"/>
        </w:rPr>
        <w:t>These results are consistent with what was obtained</w:t>
      </w:r>
      <w:r w:rsidR="00B654CA" w:rsidRPr="00B654CA">
        <w:rPr>
          <w:rFonts w:asciiTheme="minorBidi" w:hAnsiTheme="minorBidi"/>
          <w:sz w:val="20"/>
          <w:szCs w:val="20"/>
          <w:lang w:bidi="ar-IQ"/>
        </w:rPr>
        <w:t xml:space="preserve"> </w:t>
      </w:r>
      <w:r w:rsidR="002C0DE8" w:rsidRPr="00AB6847">
        <w:rPr>
          <w:rFonts w:asciiTheme="minorBidi" w:hAnsiTheme="minorBidi"/>
          <w:sz w:val="20"/>
          <w:szCs w:val="20"/>
          <w:lang w:bidi="ar-IQ"/>
        </w:rPr>
        <w:t>(Al-Abbasi, 2021 and Al-Tai, 2022).</w:t>
      </w:r>
    </w:p>
    <w:p w14:paraId="1D4A4FBE" w14:textId="77777777" w:rsidR="00EA5CFF" w:rsidRDefault="00847F86" w:rsidP="00EA5CFF">
      <w:pPr>
        <w:tabs>
          <w:tab w:val="left" w:pos="5173"/>
        </w:tabs>
        <w:bidi/>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6432" behindDoc="0" locked="0" layoutInCell="1" allowOverlap="1" wp14:anchorId="70077BC7" wp14:editId="6A24785A">
                <wp:simplePos x="0" y="0"/>
                <wp:positionH relativeFrom="column">
                  <wp:posOffset>-330200</wp:posOffset>
                </wp:positionH>
                <wp:positionV relativeFrom="paragraph">
                  <wp:posOffset>9525</wp:posOffset>
                </wp:positionV>
                <wp:extent cx="6611620" cy="2730500"/>
                <wp:effectExtent l="0" t="0" r="17780" b="12700"/>
                <wp:wrapNone/>
                <wp:docPr id="23" name="مربع نص 23"/>
                <wp:cNvGraphicFramePr/>
                <a:graphic xmlns:a="http://schemas.openxmlformats.org/drawingml/2006/main">
                  <a:graphicData uri="http://schemas.microsoft.com/office/word/2010/wordprocessingShape">
                    <wps:wsp>
                      <wps:cNvSpPr txBox="1"/>
                      <wps:spPr>
                        <a:xfrm>
                          <a:off x="0" y="0"/>
                          <a:ext cx="6611620" cy="2730500"/>
                        </a:xfrm>
                        <a:prstGeom prst="rect">
                          <a:avLst/>
                        </a:prstGeom>
                        <a:solidFill>
                          <a:sysClr val="window" lastClr="FFFFFF"/>
                        </a:solidFill>
                        <a:ln w="6350">
                          <a:solidFill>
                            <a:prstClr val="black"/>
                          </a:solidFill>
                        </a:ln>
                        <a:effectLst/>
                      </wps:spPr>
                      <wps:txbx>
                        <w:txbxContent>
                          <w:p w14:paraId="05F9DEA3" w14:textId="77777777" w:rsidR="001A2540" w:rsidRDefault="001A2540" w:rsidP="00EA5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7BC7" id="مربع نص 23" o:spid="_x0000_s1032" type="#_x0000_t202" style="position:absolute;left:0;text-align:left;margin-left:-26pt;margin-top:.75pt;width:520.6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" fillcolor="window" strokeweight=".5pt">
                <v:textbox>
                  <w:txbxContent>
                    <w:p w14:paraId="05F9DEA3" w14:textId="77777777" w:rsidR="001A2540" w:rsidRDefault="001A2540" w:rsidP="00EA5CFF"/>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7456" behindDoc="0" locked="0" layoutInCell="1" allowOverlap="1" wp14:anchorId="142A06AA" wp14:editId="2B4E65CD">
                <wp:simplePos x="0" y="0"/>
                <wp:positionH relativeFrom="column">
                  <wp:posOffset>2952750</wp:posOffset>
                </wp:positionH>
                <wp:positionV relativeFrom="paragraph">
                  <wp:posOffset>53975</wp:posOffset>
                </wp:positionV>
                <wp:extent cx="3249295" cy="2628900"/>
                <wp:effectExtent l="0" t="0" r="27305" b="19050"/>
                <wp:wrapNone/>
                <wp:docPr id="6" name="مربع نص 6"/>
                <wp:cNvGraphicFramePr/>
                <a:graphic xmlns:a="http://schemas.openxmlformats.org/drawingml/2006/main">
                  <a:graphicData uri="http://schemas.microsoft.com/office/word/2010/wordprocessingShape">
                    <wps:wsp>
                      <wps:cNvSpPr txBox="1"/>
                      <wps:spPr>
                        <a:xfrm>
                          <a:off x="0" y="0"/>
                          <a:ext cx="3249295" cy="2628900"/>
                        </a:xfrm>
                        <a:prstGeom prst="rect">
                          <a:avLst/>
                        </a:prstGeom>
                        <a:solidFill>
                          <a:sysClr val="window" lastClr="FFFFFF"/>
                        </a:solidFill>
                        <a:ln w="6350">
                          <a:solidFill>
                            <a:prstClr val="black"/>
                          </a:solidFill>
                        </a:ln>
                        <a:effectLst/>
                      </wps:spPr>
                      <wps:txbx>
                        <w:txbxContent>
                          <w:p w14:paraId="45BE6E61" w14:textId="77777777" w:rsidR="001A2540" w:rsidRDefault="001A2540"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A06AA" id="مربع نص 6" o:spid="_x0000_s1033" type="#_x0000_t202" style="position:absolute;left:0;text-align:left;margin-left:232.5pt;margin-top:4.25pt;width:255.85pt;height:2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" fillcolor="window" strokeweight=".5pt">
                <v:textbox>
                  <w:txbxContent>
                    <w:p w14:paraId="45BE6E61" w14:textId="77777777" w:rsidR="001A2540" w:rsidRDefault="001A2540"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8480" behindDoc="0" locked="0" layoutInCell="1" allowOverlap="1" wp14:anchorId="79A42C3B" wp14:editId="2A41CD92">
                <wp:simplePos x="0" y="0"/>
                <wp:positionH relativeFrom="column">
                  <wp:posOffset>-285750</wp:posOffset>
                </wp:positionH>
                <wp:positionV relativeFrom="paragraph">
                  <wp:posOffset>53975</wp:posOffset>
                </wp:positionV>
                <wp:extent cx="3161030" cy="2628900"/>
                <wp:effectExtent l="0" t="0" r="20320" b="19050"/>
                <wp:wrapNone/>
                <wp:docPr id="7" name="مربع نص 7"/>
                <wp:cNvGraphicFramePr/>
                <a:graphic xmlns:a="http://schemas.openxmlformats.org/drawingml/2006/main">
                  <a:graphicData uri="http://schemas.microsoft.com/office/word/2010/wordprocessingShape">
                    <wps:wsp>
                      <wps:cNvSpPr txBox="1"/>
                      <wps:spPr>
                        <a:xfrm>
                          <a:off x="0" y="0"/>
                          <a:ext cx="3161030" cy="2628900"/>
                        </a:xfrm>
                        <a:prstGeom prst="rect">
                          <a:avLst/>
                        </a:prstGeom>
                        <a:solidFill>
                          <a:sysClr val="window" lastClr="FFFFFF"/>
                        </a:solidFill>
                        <a:ln w="6350">
                          <a:solidFill>
                            <a:prstClr val="black"/>
                          </a:solidFill>
                        </a:ln>
                        <a:effectLst/>
                      </wps:spPr>
                      <wps:txbx>
                        <w:txbxContent>
                          <w:p w14:paraId="704407E0" w14:textId="77777777" w:rsidR="001A2540" w:rsidRDefault="001A2540"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2C3B" id="مربع نص 7" o:spid="_x0000_s1034" type="#_x0000_t202" style="position:absolute;left:0;text-align:left;margin-left:-22.5pt;margin-top:4.25pt;width:248.9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" fillcolor="window" strokeweight=".5pt">
                <v:textbox>
                  <w:txbxContent>
                    <w:p w14:paraId="704407E0" w14:textId="77777777" w:rsidR="001A2540" w:rsidRDefault="001A2540"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46E1E97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63C651F8"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4A438BD5"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1C584412"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01382A4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7427833F" w14:textId="0476BA98" w:rsidR="00301BCB" w:rsidRDefault="00847F86" w:rsidP="002F3E66">
      <w:pPr>
        <w:tabs>
          <w:tab w:val="left" w:pos="5173"/>
        </w:tabs>
        <w:bidi/>
        <w:jc w:val="center"/>
        <w:rPr>
          <w:rFonts w:asciiTheme="majorBidi" w:eastAsia="Calibri" w:hAnsiTheme="majorBidi" w:cstheme="majorBidi"/>
          <w:b/>
          <w:bCs/>
          <w:sz w:val="24"/>
          <w:szCs w:val="24"/>
          <w:lang w:bidi="ar-IQ"/>
        </w:rPr>
      </w:pPr>
      <w:r w:rsidRPr="00847F86">
        <w:rPr>
          <w:rFonts w:asciiTheme="majorBidi" w:eastAsia="Calibri" w:hAnsiTheme="majorBidi" w:cstheme="majorBidi"/>
          <w:b/>
          <w:bCs/>
          <w:sz w:val="24"/>
          <w:szCs w:val="24"/>
          <w:lang w:bidi="ar-IQ"/>
        </w:rPr>
        <w:t>Figure 3</w:t>
      </w:r>
      <w:r w:rsidR="00AB6847">
        <w:rPr>
          <w:rFonts w:asciiTheme="majorBidi" w:eastAsia="Calibri" w:hAnsiTheme="majorBidi" w:cstheme="majorBidi"/>
          <w:b/>
          <w:bCs/>
          <w:sz w:val="24"/>
          <w:szCs w:val="24"/>
          <w:lang w:bidi="ar-IQ"/>
        </w:rPr>
        <w:t>.</w:t>
      </w:r>
      <w:r w:rsidRPr="00847F86">
        <w:rPr>
          <w:rFonts w:asciiTheme="majorBidi" w:eastAsia="Calibri" w:hAnsiTheme="majorBidi" w:cstheme="majorBidi"/>
          <w:b/>
          <w:bCs/>
          <w:sz w:val="24"/>
          <w:szCs w:val="24"/>
          <w:lang w:bidi="ar-IQ"/>
        </w:rPr>
        <w:t xml:space="preserve"> shows the logarithmic relationship between (Na</w:t>
      </w:r>
      <w:r w:rsidRPr="00847F86">
        <w:rPr>
          <w:rFonts w:asciiTheme="majorBidi" w:eastAsia="Calibri" w:hAnsiTheme="majorBidi" w:cstheme="majorBidi"/>
          <w:b/>
          <w:bCs/>
          <w:sz w:val="24"/>
          <w:szCs w:val="24"/>
          <w:vertAlign w:val="superscript"/>
          <w:lang w:bidi="ar-IQ"/>
        </w:rPr>
        <w:t>+</w:t>
      </w:r>
      <w:r w:rsidRPr="00847F86">
        <w:rPr>
          <w:rFonts w:asciiTheme="majorBidi" w:eastAsia="Calibri" w:hAnsiTheme="majorBidi" w:cstheme="majorBidi"/>
          <w:b/>
          <w:bCs/>
          <w:sz w:val="24"/>
          <w:szCs w:val="24"/>
          <w:lang w:bidi="ar-IQ"/>
        </w:rPr>
        <w:t>, Mg</w:t>
      </w:r>
      <w:r w:rsidRPr="00847F86">
        <w:rPr>
          <w:rFonts w:asciiTheme="majorBidi" w:eastAsia="Calibri" w:hAnsiTheme="majorBidi" w:cstheme="majorBidi"/>
          <w:b/>
          <w:bCs/>
          <w:sz w:val="24"/>
          <w:szCs w:val="24"/>
          <w:vertAlign w:val="superscript"/>
          <w:lang w:bidi="ar-IQ"/>
        </w:rPr>
        <w:t>+2</w:t>
      </w:r>
      <w:r w:rsidRPr="00847F86">
        <w:rPr>
          <w:rFonts w:asciiTheme="majorBidi" w:eastAsia="Calibri" w:hAnsiTheme="majorBidi" w:cstheme="majorBidi"/>
          <w:b/>
          <w:bCs/>
          <w:sz w:val="24"/>
          <w:szCs w:val="24"/>
          <w:lang w:bidi="ar-IQ"/>
        </w:rPr>
        <w:t>) and time for river and well water at the Bashiqa site</w:t>
      </w:r>
    </w:p>
    <w:p w14:paraId="2AE2FAAE" w14:textId="77777777" w:rsidR="0008389E" w:rsidRPr="0008389E" w:rsidRDefault="0008389E" w:rsidP="00301BCB">
      <w:pPr>
        <w:tabs>
          <w:tab w:val="left" w:pos="5173"/>
        </w:tabs>
        <w:bidi/>
        <w:jc w:val="center"/>
        <w:rPr>
          <w:rFonts w:asciiTheme="majorBidi" w:eastAsia="Calibri" w:hAnsiTheme="majorBidi" w:cstheme="majorBidi"/>
          <w:b/>
          <w:bCs/>
          <w:sz w:val="24"/>
          <w:szCs w:val="24"/>
          <w:lang w:bidi="ar-IQ"/>
        </w:rPr>
      </w:pPr>
      <w:r>
        <w:rPr>
          <w:rFonts w:ascii="Simplified Arabic" w:eastAsia="Calibri" w:hAnsi="Simplified Arabic" w:cs="Simplified Arabic"/>
          <w:b/>
          <w:bCs/>
          <w:noProof/>
          <w:sz w:val="28"/>
          <w:szCs w:val="28"/>
        </w:rPr>
        <mc:AlternateContent>
          <mc:Choice Requires="wps">
            <w:drawing>
              <wp:anchor distT="0" distB="0" distL="114300" distR="114300" simplePos="0" relativeHeight="251672576" behindDoc="0" locked="0" layoutInCell="1" allowOverlap="1" wp14:anchorId="39781083" wp14:editId="4E1E4D74">
                <wp:simplePos x="0" y="0"/>
                <wp:positionH relativeFrom="column">
                  <wp:posOffset>-288388</wp:posOffset>
                </wp:positionH>
                <wp:positionV relativeFrom="paragraph">
                  <wp:posOffset>347052</wp:posOffset>
                </wp:positionV>
                <wp:extent cx="3242603" cy="2700655"/>
                <wp:effectExtent l="0" t="0" r="15240" b="23495"/>
                <wp:wrapNone/>
                <wp:docPr id="26" name="مربع نص 26"/>
                <wp:cNvGraphicFramePr/>
                <a:graphic xmlns:a="http://schemas.openxmlformats.org/drawingml/2006/main">
                  <a:graphicData uri="http://schemas.microsoft.com/office/word/2010/wordprocessingShape">
                    <wps:wsp>
                      <wps:cNvSpPr txBox="1"/>
                      <wps:spPr>
                        <a:xfrm>
                          <a:off x="0" y="0"/>
                          <a:ext cx="3242603" cy="2700655"/>
                        </a:xfrm>
                        <a:prstGeom prst="rect">
                          <a:avLst/>
                        </a:prstGeom>
                        <a:solidFill>
                          <a:sysClr val="window" lastClr="FFFFFF"/>
                        </a:solidFill>
                        <a:ln w="6350">
                          <a:solidFill>
                            <a:prstClr val="black"/>
                          </a:solidFill>
                        </a:ln>
                        <a:effectLst/>
                      </wps:spPr>
                      <wps:txbx>
                        <w:txbxContent>
                          <w:p w14:paraId="79DAE619" w14:textId="77777777" w:rsidR="001A2540" w:rsidRDefault="001A2540"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781083" id="مربع نص 26" o:spid="_x0000_s1035" type="#_x0000_t202" style="position:absolute;left:0;text-align:left;margin-left:-22.7pt;margin-top:27.35pt;width:255.3pt;height:212.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" fillcolor="window" strokeweight=".5pt">
                <v:textbox>
                  <w:txbxContent>
                    <w:p w14:paraId="79DAE619" w14:textId="77777777" w:rsidR="001A2540" w:rsidRDefault="001A2540"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1552" behindDoc="0" locked="0" layoutInCell="1" allowOverlap="1" wp14:anchorId="7B8E2923" wp14:editId="17CD274B">
                <wp:simplePos x="0" y="0"/>
                <wp:positionH relativeFrom="column">
                  <wp:posOffset>3045655</wp:posOffset>
                </wp:positionH>
                <wp:positionV relativeFrom="paragraph">
                  <wp:posOffset>347052</wp:posOffset>
                </wp:positionV>
                <wp:extent cx="3334043" cy="2700997"/>
                <wp:effectExtent l="0" t="0" r="19050" b="23495"/>
                <wp:wrapNone/>
                <wp:docPr id="27" name="مربع نص 27"/>
                <wp:cNvGraphicFramePr/>
                <a:graphic xmlns:a="http://schemas.openxmlformats.org/drawingml/2006/main">
                  <a:graphicData uri="http://schemas.microsoft.com/office/word/2010/wordprocessingShape">
                    <wps:wsp>
                      <wps:cNvSpPr txBox="1"/>
                      <wps:spPr>
                        <a:xfrm>
                          <a:off x="0" y="0"/>
                          <a:ext cx="3334043" cy="2700997"/>
                        </a:xfrm>
                        <a:prstGeom prst="rect">
                          <a:avLst/>
                        </a:prstGeom>
                        <a:solidFill>
                          <a:sysClr val="window" lastClr="FFFFFF"/>
                        </a:solidFill>
                        <a:ln w="6350">
                          <a:solidFill>
                            <a:prstClr val="black"/>
                          </a:solidFill>
                        </a:ln>
                        <a:effectLst/>
                      </wps:spPr>
                      <wps:txbx>
                        <w:txbxContent>
                          <w:p w14:paraId="4B9BE4A6" w14:textId="77777777" w:rsidR="001A2540" w:rsidRDefault="001A2540"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E2923" id="مربع نص 27" o:spid="_x0000_s1036" type="#_x0000_t202" style="position:absolute;left:0;text-align:left;margin-left:239.8pt;margin-top:27.35pt;width:262.5pt;height:21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" fillcolor="window" strokeweight=".5pt">
                <v:textbox>
                  <w:txbxContent>
                    <w:p w14:paraId="4B9BE4A6" w14:textId="77777777" w:rsidR="001A2540" w:rsidRDefault="001A2540"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0528" behindDoc="0" locked="0" layoutInCell="1" allowOverlap="1" wp14:anchorId="34691A39" wp14:editId="3F1FDC77">
                <wp:simplePos x="0" y="0"/>
                <wp:positionH relativeFrom="column">
                  <wp:posOffset>-330591</wp:posOffset>
                </wp:positionH>
                <wp:positionV relativeFrom="paragraph">
                  <wp:posOffset>304849</wp:posOffset>
                </wp:positionV>
                <wp:extent cx="6751955" cy="2813538"/>
                <wp:effectExtent l="0" t="0" r="10795" b="25400"/>
                <wp:wrapNone/>
                <wp:docPr id="28" name="مربع نص 28"/>
                <wp:cNvGraphicFramePr/>
                <a:graphic xmlns:a="http://schemas.openxmlformats.org/drawingml/2006/main">
                  <a:graphicData uri="http://schemas.microsoft.com/office/word/2010/wordprocessingShape">
                    <wps:wsp>
                      <wps:cNvSpPr txBox="1"/>
                      <wps:spPr>
                        <a:xfrm>
                          <a:off x="0" y="0"/>
                          <a:ext cx="6751955" cy="2813538"/>
                        </a:xfrm>
                        <a:prstGeom prst="rect">
                          <a:avLst/>
                        </a:prstGeom>
                        <a:solidFill>
                          <a:sysClr val="window" lastClr="FFFFFF"/>
                        </a:solidFill>
                        <a:ln w="6350">
                          <a:solidFill>
                            <a:prstClr val="black"/>
                          </a:solidFill>
                        </a:ln>
                        <a:effectLst/>
                      </wps:spPr>
                      <wps:txbx>
                        <w:txbxContent>
                          <w:p w14:paraId="253EEF09" w14:textId="77777777" w:rsidR="001A2540" w:rsidRDefault="001A2540" w:rsidP="00083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1A39" id="مربع نص 28" o:spid="_x0000_s1037" type="#_x0000_t202" style="position:absolute;left:0;text-align:left;margin-left:-26.05pt;margin-top:24pt;width:531.65pt;height:2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" fillcolor="window" strokeweight=".5pt">
                <v:textbox>
                  <w:txbxContent>
                    <w:p w14:paraId="253EEF09" w14:textId="77777777" w:rsidR="001A2540" w:rsidRDefault="001A2540" w:rsidP="0008389E"/>
                  </w:txbxContent>
                </v:textbox>
              </v:shape>
            </w:pict>
          </mc:Fallback>
        </mc:AlternateContent>
      </w:r>
    </w:p>
    <w:p w14:paraId="60B7A32D"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FFBD78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B8747C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FD89381"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29F6DFF" w14:textId="77777777" w:rsidR="009E3622" w:rsidRPr="0008389E" w:rsidRDefault="009E3622" w:rsidP="00AF3412">
      <w:pPr>
        <w:tabs>
          <w:tab w:val="left" w:pos="6270"/>
        </w:tabs>
        <w:bidi/>
        <w:jc w:val="center"/>
        <w:rPr>
          <w:rFonts w:asciiTheme="majorBidi" w:hAnsiTheme="majorBidi" w:cstheme="majorBidi"/>
          <w:b/>
          <w:bCs/>
          <w:sz w:val="28"/>
          <w:szCs w:val="28"/>
          <w:rtl/>
          <w:lang w:bidi="ar-IQ"/>
        </w:rPr>
      </w:pPr>
    </w:p>
    <w:p w14:paraId="394B709B" w14:textId="77777777" w:rsidR="009E3622" w:rsidRDefault="009E3622" w:rsidP="009E3622">
      <w:pPr>
        <w:jc w:val="center"/>
        <w:rPr>
          <w:rFonts w:asciiTheme="majorBidi" w:hAnsiTheme="majorBidi" w:cstheme="majorBidi"/>
          <w:sz w:val="24"/>
          <w:szCs w:val="24"/>
          <w:lang w:bidi="ar-IQ"/>
        </w:rPr>
      </w:pPr>
    </w:p>
    <w:p w14:paraId="1E2BC128" w14:textId="77777777" w:rsidR="00DC709F" w:rsidRDefault="00DC709F" w:rsidP="009E3622">
      <w:pPr>
        <w:jc w:val="center"/>
        <w:rPr>
          <w:rFonts w:asciiTheme="majorBidi" w:hAnsiTheme="majorBidi" w:cstheme="majorBidi"/>
          <w:sz w:val="24"/>
          <w:szCs w:val="24"/>
          <w:lang w:bidi="ar-IQ"/>
        </w:rPr>
      </w:pPr>
    </w:p>
    <w:p w14:paraId="0F9DD3A8" w14:textId="77777777" w:rsidR="0008389E" w:rsidRPr="00301BCB" w:rsidRDefault="0008389E" w:rsidP="00301BCB">
      <w:pPr>
        <w:jc w:val="center"/>
        <w:rPr>
          <w:rFonts w:asciiTheme="minorBidi" w:hAnsiTheme="minorBidi"/>
          <w:b/>
          <w:bCs/>
          <w:lang w:bidi="ar-IQ"/>
        </w:rPr>
      </w:pPr>
      <w:r w:rsidRPr="00301BCB">
        <w:rPr>
          <w:rFonts w:asciiTheme="minorBidi" w:hAnsiTheme="minorBidi"/>
          <w:b/>
          <w:bCs/>
          <w:lang w:bidi="ar-IQ"/>
        </w:rPr>
        <w:t xml:space="preserve">Figure </w:t>
      </w:r>
      <w:proofErr w:type="gramStart"/>
      <w:r w:rsidRPr="00301BCB">
        <w:rPr>
          <w:rFonts w:asciiTheme="minorBidi" w:hAnsiTheme="minorBidi"/>
          <w:b/>
          <w:bCs/>
          <w:lang w:bidi="ar-IQ"/>
        </w:rPr>
        <w:t>4</w:t>
      </w:r>
      <w:r w:rsidR="00301BCB">
        <w:rPr>
          <w:rFonts w:asciiTheme="minorBidi" w:hAnsiTheme="minorBidi"/>
          <w:b/>
          <w:bCs/>
          <w:lang w:bidi="ar-IQ"/>
        </w:rPr>
        <w:t>.</w:t>
      </w:r>
      <w:r w:rsidRPr="00301BCB">
        <w:rPr>
          <w:rFonts w:asciiTheme="minorBidi" w:hAnsiTheme="minorBidi"/>
          <w:b/>
          <w:bCs/>
          <w:lang w:bidi="ar-IQ"/>
        </w:rPr>
        <w:t>shows</w:t>
      </w:r>
      <w:proofErr w:type="gramEnd"/>
      <w:r w:rsidRPr="00301BCB">
        <w:rPr>
          <w:rFonts w:asciiTheme="minorBidi" w:hAnsiTheme="minorBidi"/>
          <w:b/>
          <w:bCs/>
          <w:lang w:bidi="ar-IQ"/>
        </w:rPr>
        <w:t xml:space="preserve"> the logarithmic relationship between (Na+, Mg+2) and time for river and well water at the </w:t>
      </w:r>
      <w:proofErr w:type="spellStart"/>
      <w:r w:rsidRPr="00301BCB">
        <w:rPr>
          <w:rFonts w:asciiTheme="minorBidi" w:hAnsiTheme="minorBidi"/>
          <w:b/>
          <w:bCs/>
          <w:lang w:bidi="ar-IQ"/>
        </w:rPr>
        <w:t>Hawija</w:t>
      </w:r>
      <w:proofErr w:type="spellEnd"/>
      <w:r w:rsidRPr="00301BCB">
        <w:rPr>
          <w:rFonts w:asciiTheme="minorBidi" w:hAnsiTheme="minorBidi"/>
          <w:b/>
          <w:bCs/>
          <w:lang w:bidi="ar-IQ"/>
        </w:rPr>
        <w:t xml:space="preserve"> site</w:t>
      </w:r>
    </w:p>
    <w:p w14:paraId="34CD8962" w14:textId="77777777" w:rsidR="0008389E" w:rsidRPr="00301BCB" w:rsidRDefault="00165460" w:rsidP="008C1DDB">
      <w:pPr>
        <w:rPr>
          <w:rFonts w:asciiTheme="minorBidi" w:hAnsiTheme="minorBidi"/>
          <w:b/>
          <w:bCs/>
          <w:lang w:bidi="ar-IQ"/>
        </w:rPr>
      </w:pPr>
      <w:r w:rsidRPr="00301BCB">
        <w:rPr>
          <w:rFonts w:asciiTheme="minorBidi" w:hAnsiTheme="minorBidi"/>
          <w:b/>
          <w:bCs/>
          <w:lang w:bidi="ar-IQ"/>
        </w:rPr>
        <w:t>Calculating the effect of pore size on electrical conductivity values ​​in terms of (</w:t>
      </w:r>
      <w:proofErr w:type="spellStart"/>
      <w:r w:rsidRPr="00301BCB">
        <w:rPr>
          <w:rFonts w:asciiTheme="minorBidi" w:hAnsiTheme="minorBidi"/>
          <w:b/>
          <w:bCs/>
          <w:lang w:bidi="ar-IQ"/>
        </w:rPr>
        <w:t>ECt</w:t>
      </w:r>
      <w:proofErr w:type="spellEnd"/>
      <w:r w:rsidRPr="00301BCB">
        <w:rPr>
          <w:rFonts w:asciiTheme="minorBidi" w:hAnsiTheme="minorBidi"/>
          <w:b/>
          <w:bCs/>
          <w:lang w:bidi="ar-IQ"/>
        </w:rPr>
        <w:t>/</w:t>
      </w:r>
      <w:proofErr w:type="spellStart"/>
      <w:r w:rsidRPr="00301BCB">
        <w:rPr>
          <w:rFonts w:asciiTheme="minorBidi" w:hAnsiTheme="minorBidi"/>
          <w:b/>
          <w:bCs/>
          <w:lang w:bidi="ar-IQ"/>
        </w:rPr>
        <w:t>EC</w:t>
      </w:r>
      <w:r w:rsidR="008C1DDB" w:rsidRPr="00301BCB">
        <w:rPr>
          <w:rFonts w:asciiTheme="minorBidi" w:hAnsiTheme="minorBidi"/>
          <w:b/>
          <w:bCs/>
          <w:lang w:bidi="ar-IQ"/>
        </w:rPr>
        <w:t>o</w:t>
      </w:r>
      <w:proofErr w:type="spellEnd"/>
      <w:r w:rsidRPr="00301BCB">
        <w:rPr>
          <w:rFonts w:asciiTheme="minorBidi" w:hAnsiTheme="minorBidi"/>
          <w:b/>
          <w:bCs/>
          <w:lang w:bidi="ar-IQ"/>
        </w:rPr>
        <w:t>) of the outgoing discharge</w:t>
      </w:r>
    </w:p>
    <w:p w14:paraId="4C1C34AA" w14:textId="7DACB94D" w:rsidR="00AD2CB5" w:rsidRPr="00977905" w:rsidRDefault="00977905" w:rsidP="009F295C">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008C1DDB" w:rsidRPr="00977905">
        <w:rPr>
          <w:rFonts w:asciiTheme="minorBidi" w:hAnsiTheme="minorBidi"/>
          <w:sz w:val="20"/>
          <w:szCs w:val="20"/>
          <w:lang w:bidi="ar-IQ"/>
        </w:rPr>
        <w:t>Fig</w:t>
      </w:r>
      <w:r w:rsidR="009F295C">
        <w:rPr>
          <w:rFonts w:asciiTheme="minorBidi" w:hAnsiTheme="minorBidi"/>
          <w:sz w:val="20"/>
          <w:szCs w:val="20"/>
          <w:lang w:bidi="ar-IQ"/>
        </w:rPr>
        <w:t>.</w:t>
      </w:r>
      <w:r w:rsidR="008C1DDB" w:rsidRPr="00977905">
        <w:rPr>
          <w:rFonts w:asciiTheme="minorBidi" w:hAnsiTheme="minorBidi"/>
          <w:sz w:val="20"/>
          <w:szCs w:val="20"/>
          <w:lang w:bidi="ar-IQ"/>
        </w:rPr>
        <w:t xml:space="preserve"> (5) shows the change in the electrical conductivity of the effluent (</w:t>
      </w:r>
      <w:proofErr w:type="spellStart"/>
      <w:r w:rsidR="008C1DDB" w:rsidRPr="00977905">
        <w:rPr>
          <w:rFonts w:asciiTheme="minorBidi" w:hAnsiTheme="minorBidi"/>
          <w:sz w:val="20"/>
          <w:szCs w:val="20"/>
          <w:lang w:bidi="ar-IQ"/>
        </w:rPr>
        <w:t>ECt</w:t>
      </w:r>
      <w:proofErr w:type="spellEnd"/>
      <w:r w:rsidR="008C1DDB" w:rsidRPr="00977905">
        <w:rPr>
          <w:rFonts w:asciiTheme="minorBidi" w:hAnsiTheme="minorBidi"/>
          <w:sz w:val="20"/>
          <w:szCs w:val="20"/>
          <w:lang w:bidi="ar-IQ"/>
        </w:rPr>
        <w:t>/</w:t>
      </w:r>
      <w:proofErr w:type="spellStart"/>
      <w:r w:rsidR="008C1DDB" w:rsidRPr="00977905">
        <w:rPr>
          <w:rFonts w:asciiTheme="minorBidi" w:hAnsiTheme="minorBidi"/>
          <w:sz w:val="20"/>
          <w:szCs w:val="20"/>
          <w:lang w:bidi="ar-IQ"/>
        </w:rPr>
        <w:t>ECo</w:t>
      </w:r>
      <w:proofErr w:type="spellEnd"/>
      <w:r w:rsidR="008C1DDB" w:rsidRPr="00977905">
        <w:rPr>
          <w:rFonts w:asciiTheme="minorBidi" w:hAnsiTheme="minorBidi"/>
          <w:sz w:val="20"/>
          <w:szCs w:val="20"/>
          <w:lang w:bidi="ar-IQ"/>
        </w:rPr>
        <w:t>) ratio with pore volume using the intermittent leaching method. The leaching process using river water was initially rapid, accompanied by a rapid decrease in the electrical conductivity of the effluent and an increase in pore volume at the two study sites (</w:t>
      </w:r>
      <w:proofErr w:type="spellStart"/>
      <w:r w:rsidR="008C1DDB" w:rsidRPr="00977905">
        <w:rPr>
          <w:rFonts w:asciiTheme="minorBidi" w:hAnsiTheme="minorBidi"/>
          <w:sz w:val="20"/>
          <w:szCs w:val="20"/>
          <w:lang w:bidi="ar-IQ"/>
        </w:rPr>
        <w:t>Bashiqa</w:t>
      </w:r>
      <w:proofErr w:type="spellEnd"/>
      <w:r w:rsidR="008C1DDB" w:rsidRPr="00977905">
        <w:rPr>
          <w:rFonts w:asciiTheme="minorBidi" w:hAnsiTheme="minorBidi"/>
          <w:sz w:val="20"/>
          <w:szCs w:val="20"/>
          <w:lang w:bidi="ar-IQ"/>
        </w:rPr>
        <w:t xml:space="preserve"> and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The leaching curve exhibited a continuous slope to the eighth pore volume, where the curve stabilized and the slope ceased. This indicates the dissolution of all easily soluble salts and most of the sparingly soluble salts. This may be attributed to the ten-day leaching pause, which allowed for a longer dissolution period for the sparingly soluble salts, thus reducing salt concentration and the electrical conductivity. Using river water in the leaching process helps restore the concentration difference, dissolve the salts, and wash them out of the soil. These results are consistent with those of (Al-</w:t>
      </w:r>
      <w:proofErr w:type="spellStart"/>
      <w:r w:rsidR="008C1DDB" w:rsidRPr="00977905">
        <w:rPr>
          <w:rFonts w:asciiTheme="minorBidi" w:hAnsiTheme="minorBidi"/>
          <w:sz w:val="20"/>
          <w:szCs w:val="20"/>
          <w:lang w:bidi="ar-IQ"/>
        </w:rPr>
        <w:t>Zughaibi</w:t>
      </w:r>
      <w:proofErr w:type="spellEnd"/>
      <w:r w:rsidR="008C1DDB" w:rsidRPr="00977905">
        <w:rPr>
          <w:rFonts w:asciiTheme="minorBidi" w:hAnsiTheme="minorBidi"/>
          <w:sz w:val="20"/>
          <w:szCs w:val="20"/>
          <w:lang w:bidi="ar-IQ"/>
        </w:rPr>
        <w:t xml:space="preserve">, 2021, and Li et al., 2023). However, the leaching curve using well water exhibited a different behavior at the (Bashiqa) site. The path of the leaching curve increased, and this shows that the concentration of salts at the site increased during the leaching process instead of decreasing. The reason for this is that the well water has a high concentration of salts (3.5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xml:space="preserve">) as shown in Table (4), and that the continuous addition of well water with a high salt content led to an increase in the electrical conductivity (EC) values ​​of the soil compared to the soil to which low-salinity river water was added. This increase is attributed to the repeated addition of dissolved salts with water, which contains high concentrations of soluble ions, especially (sodium, magnesium, calcium and chloride), which leads to an increase in the concentration of salts in the soil solution with repeated water additions. The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process with the same well water, which works to re-dissolve the salts in the soil, contributed to this, in addition to the negative effect of sodium, which works to disperse soil particles and thus reduce water permeability within the soil, which limits the efficiency of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salts. As for the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xml:space="preserve"> site, the values ​​of electrical conductivity decreased slightly, which is considered insufficient because the value of electrical conductivity did not reach the critical limit at which the soil is considered non-saline (4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These results are consistent with (</w:t>
      </w:r>
      <w:proofErr w:type="spellStart"/>
      <w:r w:rsidR="008C1DDB" w:rsidRPr="00977905">
        <w:rPr>
          <w:rFonts w:asciiTheme="minorBidi" w:hAnsiTheme="minorBidi"/>
          <w:sz w:val="20"/>
          <w:szCs w:val="20"/>
          <w:lang w:bidi="ar-IQ"/>
        </w:rPr>
        <w:t>Gharaibeh</w:t>
      </w:r>
      <w:proofErr w:type="spellEnd"/>
      <w:r w:rsidR="008C1DDB" w:rsidRPr="00977905">
        <w:rPr>
          <w:rFonts w:asciiTheme="minorBidi" w:hAnsiTheme="minorBidi"/>
          <w:sz w:val="20"/>
          <w:szCs w:val="20"/>
          <w:lang w:bidi="ar-IQ"/>
        </w:rPr>
        <w:t xml:space="preserve"> et al., 2014 and Ding et al., 2023).</w:t>
      </w:r>
    </w:p>
    <w:p w14:paraId="711D4335" w14:textId="77777777" w:rsidR="00AD2CB5" w:rsidRPr="00AD2CB5" w:rsidRDefault="00AD2CB5" w:rsidP="00AD2CB5">
      <w:pPr>
        <w:jc w:val="both"/>
        <w:rPr>
          <w:rFonts w:asciiTheme="majorBidi" w:hAnsiTheme="majorBidi" w:cstheme="majorBidi"/>
          <w:sz w:val="24"/>
          <w:szCs w:val="24"/>
          <w:rtl/>
          <w:lang w:bidi="ar-IQ"/>
        </w:rPr>
      </w:pPr>
    </w:p>
    <w:p w14:paraId="0AA84636" w14:textId="77777777" w:rsidR="00AD2CB5" w:rsidRDefault="00AD2CB5" w:rsidP="00AD2CB5">
      <w:pPr>
        <w:tabs>
          <w:tab w:val="left" w:pos="5173"/>
        </w:tabs>
        <w:bidi/>
        <w:jc w:val="both"/>
        <w:rPr>
          <w:rFonts w:ascii="Simplified Arabic" w:hAnsi="Simplified Arabic" w:cs="Simplified Arabic"/>
          <w:sz w:val="28"/>
          <w:szCs w:val="28"/>
          <w:rtl/>
        </w:rPr>
      </w:pPr>
    </w:p>
    <w:p w14:paraId="749A4621" w14:textId="77777777" w:rsidR="00AD2CB5" w:rsidRDefault="00AD2CB5" w:rsidP="00AD2CB5">
      <w:pPr>
        <w:tabs>
          <w:tab w:val="left" w:pos="5173"/>
        </w:tabs>
        <w:bidi/>
        <w:jc w:val="both"/>
        <w:rPr>
          <w:rFonts w:ascii="Simplified Arabic" w:hAnsi="Simplified Arabic" w:cs="Simplified Arabic"/>
          <w:sz w:val="28"/>
          <w:szCs w:val="28"/>
          <w:rtl/>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675648" behindDoc="0" locked="0" layoutInCell="1" allowOverlap="1" wp14:anchorId="4459A051" wp14:editId="3D680A29">
                <wp:simplePos x="0" y="0"/>
                <wp:positionH relativeFrom="column">
                  <wp:posOffset>2954020</wp:posOffset>
                </wp:positionH>
                <wp:positionV relativeFrom="paragraph">
                  <wp:posOffset>-570230</wp:posOffset>
                </wp:positionV>
                <wp:extent cx="3502025" cy="2974975"/>
                <wp:effectExtent l="0" t="0" r="22225" b="15875"/>
                <wp:wrapNone/>
                <wp:docPr id="16" name="مربع نص 16"/>
                <wp:cNvGraphicFramePr/>
                <a:graphic xmlns:a="http://schemas.openxmlformats.org/drawingml/2006/main">
                  <a:graphicData uri="http://schemas.microsoft.com/office/word/2010/wordprocessingShape">
                    <wps:wsp>
                      <wps:cNvSpPr txBox="1"/>
                      <wps:spPr>
                        <a:xfrm>
                          <a:off x="0" y="0"/>
                          <a:ext cx="3502025" cy="2974975"/>
                        </a:xfrm>
                        <a:prstGeom prst="rect">
                          <a:avLst/>
                        </a:prstGeom>
                        <a:solidFill>
                          <a:sysClr val="window" lastClr="FFFFFF"/>
                        </a:solidFill>
                        <a:ln w="6350">
                          <a:solidFill>
                            <a:prstClr val="black"/>
                          </a:solidFill>
                        </a:ln>
                        <a:effectLst/>
                      </wps:spPr>
                      <wps:txbx>
                        <w:txbxContent>
                          <w:p w14:paraId="0B0252E6" w14:textId="77777777" w:rsidR="001A2540" w:rsidRDefault="001A2540"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9A051" id="مربع نص 16" o:spid="_x0000_s1038" type="#_x0000_t202" style="position:absolute;left:0;text-align:left;margin-left:232.6pt;margin-top:-44.9pt;width:275.75pt;height:23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" fillcolor="window" strokeweight=".5pt">
                <v:textbox>
                  <w:txbxContent>
                    <w:p w14:paraId="0B0252E6" w14:textId="77777777" w:rsidR="001A2540" w:rsidRDefault="001A2540"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6672" behindDoc="0" locked="0" layoutInCell="1" allowOverlap="1" wp14:anchorId="5B5A8C5A" wp14:editId="3BC74125">
                <wp:simplePos x="0" y="0"/>
                <wp:positionH relativeFrom="column">
                  <wp:posOffset>-506437</wp:posOffset>
                </wp:positionH>
                <wp:positionV relativeFrom="paragraph">
                  <wp:posOffset>-569742</wp:posOffset>
                </wp:positionV>
                <wp:extent cx="3397348" cy="2974585"/>
                <wp:effectExtent l="0" t="0" r="12700" b="16510"/>
                <wp:wrapNone/>
                <wp:docPr id="17" name="مربع نص 17"/>
                <wp:cNvGraphicFramePr/>
                <a:graphic xmlns:a="http://schemas.openxmlformats.org/drawingml/2006/main">
                  <a:graphicData uri="http://schemas.microsoft.com/office/word/2010/wordprocessingShape">
                    <wps:wsp>
                      <wps:cNvSpPr txBox="1"/>
                      <wps:spPr>
                        <a:xfrm>
                          <a:off x="0" y="0"/>
                          <a:ext cx="3397348" cy="2974585"/>
                        </a:xfrm>
                        <a:prstGeom prst="rect">
                          <a:avLst/>
                        </a:prstGeom>
                        <a:solidFill>
                          <a:sysClr val="window" lastClr="FFFFFF"/>
                        </a:solidFill>
                        <a:ln w="6350">
                          <a:solidFill>
                            <a:prstClr val="black"/>
                          </a:solidFill>
                        </a:ln>
                        <a:effectLst/>
                      </wps:spPr>
                      <wps:txbx>
                        <w:txbxContent>
                          <w:p w14:paraId="05118408" w14:textId="77777777" w:rsidR="001A2540" w:rsidRDefault="001A2540"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A8C5A" id="مربع نص 17" o:spid="_x0000_s1039" type="#_x0000_t202" style="position:absolute;left:0;text-align:left;margin-left:-39.9pt;margin-top:-44.85pt;width:267.5pt;height:23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" fillcolor="window" strokeweight=".5pt">
                <v:textbox>
                  <w:txbxContent>
                    <w:p w14:paraId="05118408" w14:textId="77777777" w:rsidR="001A2540" w:rsidRDefault="001A2540"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4624" behindDoc="0" locked="0" layoutInCell="1" allowOverlap="1" wp14:anchorId="661B0A39" wp14:editId="3664081F">
                <wp:simplePos x="0" y="0"/>
                <wp:positionH relativeFrom="column">
                  <wp:posOffset>-576774</wp:posOffset>
                </wp:positionH>
                <wp:positionV relativeFrom="paragraph">
                  <wp:posOffset>-626012</wp:posOffset>
                </wp:positionV>
                <wp:extent cx="7117910" cy="3137095"/>
                <wp:effectExtent l="0" t="0" r="26035" b="25400"/>
                <wp:wrapNone/>
                <wp:docPr id="15" name="مربع نص 15"/>
                <wp:cNvGraphicFramePr/>
                <a:graphic xmlns:a="http://schemas.openxmlformats.org/drawingml/2006/main">
                  <a:graphicData uri="http://schemas.microsoft.com/office/word/2010/wordprocessingShape">
                    <wps:wsp>
                      <wps:cNvSpPr txBox="1"/>
                      <wps:spPr>
                        <a:xfrm>
                          <a:off x="0" y="0"/>
                          <a:ext cx="7117910" cy="3137095"/>
                        </a:xfrm>
                        <a:prstGeom prst="rect">
                          <a:avLst/>
                        </a:prstGeom>
                        <a:solidFill>
                          <a:sysClr val="window" lastClr="FFFFFF"/>
                        </a:solidFill>
                        <a:ln w="6350">
                          <a:solidFill>
                            <a:prstClr val="black"/>
                          </a:solidFill>
                        </a:ln>
                        <a:effectLst/>
                      </wps:spPr>
                      <wps:txbx>
                        <w:txbxContent>
                          <w:p w14:paraId="62CBC6EE" w14:textId="77777777" w:rsidR="001A2540" w:rsidRDefault="001A2540" w:rsidP="00AD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B0A39" id="مربع نص 15" o:spid="_x0000_s1040" type="#_x0000_t202" style="position:absolute;left:0;text-align:left;margin-left:-45.4pt;margin-top:-49.3pt;width:560.45pt;height:24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" fillcolor="window" strokeweight=".5pt">
                <v:textbox>
                  <w:txbxContent>
                    <w:p w14:paraId="62CBC6EE" w14:textId="77777777" w:rsidR="001A2540" w:rsidRDefault="001A2540" w:rsidP="00AD2CB5"/>
                  </w:txbxContent>
                </v:textbox>
              </v:shape>
            </w:pict>
          </mc:Fallback>
        </mc:AlternateContent>
      </w:r>
    </w:p>
    <w:p w14:paraId="5D8148E3" w14:textId="77777777" w:rsidR="00AD2CB5" w:rsidRDefault="00AD2CB5" w:rsidP="00AD2CB5">
      <w:pPr>
        <w:tabs>
          <w:tab w:val="left" w:pos="5173"/>
        </w:tabs>
        <w:bidi/>
        <w:jc w:val="both"/>
        <w:rPr>
          <w:rFonts w:ascii="Simplified Arabic" w:hAnsi="Simplified Arabic" w:cs="Simplified Arabic"/>
          <w:sz w:val="28"/>
          <w:szCs w:val="28"/>
          <w:rtl/>
        </w:rPr>
      </w:pPr>
    </w:p>
    <w:p w14:paraId="43D611B1" w14:textId="77777777" w:rsidR="00AD2CB5" w:rsidRDefault="00AD2CB5" w:rsidP="00AD2CB5">
      <w:pPr>
        <w:tabs>
          <w:tab w:val="left" w:pos="5173"/>
        </w:tabs>
        <w:bidi/>
        <w:jc w:val="both"/>
        <w:rPr>
          <w:rFonts w:ascii="Simplified Arabic" w:hAnsi="Simplified Arabic" w:cs="Simplified Arabic"/>
          <w:sz w:val="28"/>
          <w:szCs w:val="28"/>
          <w:rtl/>
        </w:rPr>
      </w:pPr>
    </w:p>
    <w:p w14:paraId="06719C5B" w14:textId="77777777" w:rsidR="00AD2CB5" w:rsidRDefault="00AD2CB5" w:rsidP="00AD2CB5">
      <w:pPr>
        <w:tabs>
          <w:tab w:val="left" w:pos="5173"/>
        </w:tabs>
        <w:bidi/>
        <w:jc w:val="both"/>
        <w:rPr>
          <w:rFonts w:ascii="Simplified Arabic" w:hAnsi="Simplified Arabic" w:cs="Simplified Arabic"/>
          <w:sz w:val="28"/>
          <w:szCs w:val="28"/>
          <w:rtl/>
        </w:rPr>
      </w:pPr>
    </w:p>
    <w:p w14:paraId="4F87F57F" w14:textId="77777777" w:rsidR="00AD2CB5" w:rsidRDefault="00AD2CB5" w:rsidP="00AD2CB5">
      <w:pPr>
        <w:tabs>
          <w:tab w:val="left" w:pos="5173"/>
        </w:tabs>
        <w:bidi/>
        <w:jc w:val="both"/>
        <w:rPr>
          <w:rFonts w:ascii="Simplified Arabic" w:hAnsi="Simplified Arabic" w:cs="Simplified Arabic"/>
          <w:sz w:val="28"/>
          <w:szCs w:val="28"/>
          <w:rtl/>
        </w:rPr>
      </w:pPr>
    </w:p>
    <w:p w14:paraId="2DE1E9F2" w14:textId="77777777" w:rsidR="00AD2CB5" w:rsidRDefault="00AD2CB5" w:rsidP="00AD2CB5">
      <w:pPr>
        <w:rPr>
          <w:rFonts w:asciiTheme="majorBidi" w:hAnsiTheme="majorBidi" w:cstheme="majorBidi"/>
          <w:sz w:val="24"/>
          <w:szCs w:val="24"/>
          <w:lang w:bidi="ar-IQ"/>
        </w:rPr>
      </w:pPr>
    </w:p>
    <w:p w14:paraId="4ED8B677" w14:textId="77777777" w:rsidR="00E17B48" w:rsidRDefault="00AD2CB5" w:rsidP="000F7BA4">
      <w:pPr>
        <w:jc w:val="center"/>
        <w:rPr>
          <w:rFonts w:asciiTheme="minorBidi" w:hAnsiTheme="minorBidi"/>
          <w:b/>
          <w:bCs/>
          <w:lang w:bidi="ar-IQ"/>
        </w:rPr>
      </w:pPr>
      <w:r w:rsidRPr="000F7BA4">
        <w:rPr>
          <w:rFonts w:asciiTheme="minorBidi" w:hAnsiTheme="minorBidi"/>
          <w:b/>
          <w:bCs/>
          <w:lang w:bidi="ar-IQ"/>
        </w:rPr>
        <w:t>Figure 5</w:t>
      </w:r>
      <w:r w:rsidR="000F7BA4">
        <w:rPr>
          <w:rFonts w:asciiTheme="minorBidi" w:hAnsiTheme="minorBidi"/>
          <w:b/>
          <w:bCs/>
          <w:lang w:bidi="ar-IQ"/>
        </w:rPr>
        <w:t>.</w:t>
      </w:r>
      <w:r w:rsidRPr="000F7BA4">
        <w:rPr>
          <w:rFonts w:asciiTheme="minorBidi" w:hAnsiTheme="minorBidi"/>
          <w:b/>
          <w:bCs/>
          <w:lang w:bidi="ar-IQ"/>
        </w:rPr>
        <w:t xml:space="preserve"> Effect of pore size on electrical conductivity values ​​in terms of ((</w:t>
      </w:r>
      <w:proofErr w:type="spellStart"/>
      <w:r w:rsidRPr="000F7BA4">
        <w:rPr>
          <w:rFonts w:asciiTheme="minorBidi" w:hAnsiTheme="minorBidi"/>
          <w:b/>
          <w:bCs/>
          <w:lang w:bidi="ar-IQ"/>
        </w:rPr>
        <w:t>ECt</w:t>
      </w:r>
      <w:proofErr w:type="spellEnd"/>
      <w:r w:rsidRPr="000F7BA4">
        <w:rPr>
          <w:rFonts w:asciiTheme="minorBidi" w:hAnsiTheme="minorBidi"/>
          <w:b/>
          <w:bCs/>
          <w:lang w:bidi="ar-IQ"/>
        </w:rPr>
        <w:t>/</w:t>
      </w:r>
      <w:proofErr w:type="spellStart"/>
      <w:r w:rsidRPr="000F7BA4">
        <w:rPr>
          <w:rFonts w:asciiTheme="minorBidi" w:hAnsiTheme="minorBidi"/>
          <w:b/>
          <w:bCs/>
          <w:lang w:bidi="ar-IQ"/>
        </w:rPr>
        <w:t>ECo</w:t>
      </w:r>
      <w:proofErr w:type="spellEnd"/>
      <w:r w:rsidRPr="000F7BA4">
        <w:rPr>
          <w:rFonts w:asciiTheme="minorBidi" w:hAnsiTheme="minorBidi"/>
          <w:b/>
          <w:bCs/>
          <w:lang w:bidi="ar-IQ"/>
        </w:rPr>
        <w:t>) for the outgoing discharge</w:t>
      </w:r>
    </w:p>
    <w:p w14:paraId="6ADCCCFE" w14:textId="77777777" w:rsidR="004905D3" w:rsidRPr="004905D3" w:rsidRDefault="004905D3" w:rsidP="004905D3">
      <w:pPr>
        <w:jc w:val="both"/>
        <w:rPr>
          <w:rFonts w:asciiTheme="minorBidi" w:hAnsiTheme="minorBidi"/>
          <w:b/>
          <w:bCs/>
          <w:sz w:val="20"/>
          <w:szCs w:val="20"/>
        </w:rPr>
      </w:pPr>
      <w:r w:rsidRPr="004905D3">
        <w:rPr>
          <w:rFonts w:asciiTheme="minorBidi" w:hAnsiTheme="minorBidi"/>
          <w:b/>
          <w:bCs/>
        </w:rPr>
        <w:t>CONCLUSIONS</w:t>
      </w:r>
      <w:r w:rsidRPr="004905D3">
        <w:rPr>
          <w:rFonts w:asciiTheme="minorBidi" w:hAnsiTheme="minorBidi"/>
          <w:b/>
          <w:bCs/>
          <w:sz w:val="20"/>
          <w:szCs w:val="20"/>
        </w:rPr>
        <w:t xml:space="preserve"> </w:t>
      </w:r>
    </w:p>
    <w:p w14:paraId="33B11D57" w14:textId="58FD5753" w:rsidR="004905D3" w:rsidRPr="006A0C29" w:rsidRDefault="004905D3" w:rsidP="006A0C29">
      <w:pPr>
        <w:jc w:val="both"/>
        <w:rPr>
          <w:rFonts w:asciiTheme="minorBidi" w:hAnsiTheme="minorBidi"/>
          <w:sz w:val="20"/>
          <w:szCs w:val="20"/>
        </w:rPr>
      </w:pPr>
      <w:r w:rsidRPr="00A93BEE">
        <w:rPr>
          <w:rFonts w:asciiTheme="minorBidi" w:hAnsiTheme="minorBidi"/>
          <w:sz w:val="20"/>
          <w:szCs w:val="20"/>
        </w:rPr>
        <w:t xml:space="preserve">Using river water in the wetting and drying process had a lesser effect on raising the values ​​of electrical conductivity and sodium and magnesium concentration than well water in the soils of the study sites. The release rate coefficient for sodium was higher than the release rate coefficient for magnesium, but the amount of magnesium that was released or </w:t>
      </w:r>
      <w:proofErr w:type="gramStart"/>
      <w:r w:rsidRPr="00A93BEE">
        <w:rPr>
          <w:rFonts w:asciiTheme="minorBidi" w:hAnsiTheme="minorBidi"/>
          <w:sz w:val="20"/>
          <w:szCs w:val="20"/>
        </w:rPr>
        <w:t>leaching  away</w:t>
      </w:r>
      <w:proofErr w:type="gramEnd"/>
      <w:r w:rsidRPr="00A93BEE">
        <w:rPr>
          <w:rFonts w:asciiTheme="minorBidi" w:hAnsiTheme="minorBidi"/>
          <w:sz w:val="20"/>
          <w:szCs w:val="20"/>
        </w:rPr>
        <w:t xml:space="preserve"> was higher than the amount of sodium. Using river water in the washing process works to restore the concentration difference and dissolve the salts and wash them out of the soil surface, and its efficiency in the washing process is better than well water, which led to an increase in the concentration of salts during the washing process</w:t>
      </w:r>
      <w:r w:rsidR="006A0C29">
        <w:rPr>
          <w:rFonts w:asciiTheme="minorBidi" w:hAnsiTheme="minorBidi"/>
          <w:sz w:val="20"/>
          <w:szCs w:val="20"/>
        </w:rPr>
        <w:t>,</w:t>
      </w:r>
      <w:r w:rsidR="006A0C29" w:rsidRPr="006A0C29">
        <w:t xml:space="preserve"> </w:t>
      </w:r>
      <w:r w:rsidR="006A0C29" w:rsidRPr="006A0C29">
        <w:rPr>
          <w:rFonts w:asciiTheme="minorBidi" w:hAnsiTheme="minorBidi"/>
          <w:sz w:val="20"/>
          <w:szCs w:val="20"/>
          <w:highlight w:val="yellow"/>
        </w:rPr>
        <w:t>This study can be considered as a source for conducting further studies on soils with different electrical conductivity and well water with different or more different salt concentrations to study and understand the behavior of sodium and magnesium ions or other ions.</w:t>
      </w:r>
    </w:p>
    <w:p w14:paraId="2CBF7031" w14:textId="77777777" w:rsidR="001E5970" w:rsidRPr="004905D3" w:rsidRDefault="001E5970" w:rsidP="001E5970">
      <w:pPr>
        <w:tabs>
          <w:tab w:val="left" w:pos="450"/>
        </w:tabs>
        <w:rPr>
          <w:rFonts w:asciiTheme="minorBidi" w:hAnsiTheme="minorBidi"/>
          <w:b/>
          <w:bCs/>
        </w:rPr>
      </w:pPr>
      <w:r w:rsidRPr="004905D3">
        <w:rPr>
          <w:rFonts w:asciiTheme="minorBidi" w:hAnsiTheme="minorBidi"/>
          <w:b/>
          <w:bCs/>
        </w:rPr>
        <w:t xml:space="preserve">DISCLAIMER (ARTIFICIAL INTELLIGENCE) </w:t>
      </w:r>
    </w:p>
    <w:p w14:paraId="473FDC9F" w14:textId="77777777" w:rsidR="001E5970" w:rsidRPr="001E5970" w:rsidRDefault="001E5970" w:rsidP="001E5970">
      <w:pPr>
        <w:tabs>
          <w:tab w:val="left" w:pos="450"/>
        </w:tabs>
        <w:rPr>
          <w:rFonts w:asciiTheme="minorBidi" w:hAnsiTheme="minorBidi"/>
          <w:sz w:val="20"/>
          <w:szCs w:val="20"/>
        </w:rPr>
      </w:pPr>
      <w:r w:rsidRPr="001E5970">
        <w:rPr>
          <w:rFonts w:asciiTheme="minorBidi" w:hAnsiTheme="minorBidi"/>
          <w:sz w:val="20"/>
          <w:szCs w:val="20"/>
        </w:rPr>
        <w:t>Author(s) hereby declare that NO generative AI technologies such as Large Language Models (</w:t>
      </w:r>
      <w:proofErr w:type="spellStart"/>
      <w:r w:rsidRPr="001E5970">
        <w:rPr>
          <w:rFonts w:asciiTheme="minorBidi" w:hAnsiTheme="minorBidi"/>
          <w:sz w:val="20"/>
          <w:szCs w:val="20"/>
        </w:rPr>
        <w:t>ChatGPT</w:t>
      </w:r>
      <w:proofErr w:type="spellEnd"/>
      <w:r w:rsidRPr="001E5970">
        <w:rPr>
          <w:rFonts w:asciiTheme="minorBidi" w:hAnsiTheme="minorBidi"/>
          <w:sz w:val="20"/>
          <w:szCs w:val="20"/>
        </w:rPr>
        <w:t xml:space="preserve">, COPILOT, </w:t>
      </w:r>
      <w:proofErr w:type="spellStart"/>
      <w:r w:rsidRPr="001E5970">
        <w:rPr>
          <w:rFonts w:asciiTheme="minorBidi" w:hAnsiTheme="minorBidi"/>
          <w:sz w:val="20"/>
          <w:szCs w:val="20"/>
        </w:rPr>
        <w:t>etc</w:t>
      </w:r>
      <w:proofErr w:type="spellEnd"/>
      <w:r w:rsidRPr="001E5970">
        <w:rPr>
          <w:rFonts w:asciiTheme="minorBidi" w:hAnsiTheme="minorBidi"/>
          <w:sz w:val="20"/>
          <w:szCs w:val="20"/>
        </w:rPr>
        <w:t xml:space="preserve">) and text-to-image generators have been used during writing or editing of this manuscript. </w:t>
      </w:r>
    </w:p>
    <w:p w14:paraId="77FF8AE9" w14:textId="77777777" w:rsidR="00D52D4D" w:rsidRPr="00D52D4D" w:rsidRDefault="001E5970" w:rsidP="001E5970">
      <w:pPr>
        <w:tabs>
          <w:tab w:val="left" w:pos="450"/>
        </w:tabs>
        <w:rPr>
          <w:rFonts w:asciiTheme="minorBidi" w:hAnsiTheme="minorBidi"/>
          <w:b/>
          <w:bCs/>
        </w:rPr>
      </w:pPr>
      <w:r w:rsidRPr="00D52D4D">
        <w:rPr>
          <w:rFonts w:asciiTheme="minorBidi" w:hAnsiTheme="minorBidi"/>
          <w:b/>
          <w:bCs/>
        </w:rPr>
        <w:t xml:space="preserve">COMPETING INTERESTS </w:t>
      </w:r>
    </w:p>
    <w:p w14:paraId="218113F8" w14:textId="77777777" w:rsidR="001E5970" w:rsidRDefault="001E5970" w:rsidP="001E5970">
      <w:pPr>
        <w:tabs>
          <w:tab w:val="left" w:pos="450"/>
        </w:tabs>
        <w:rPr>
          <w:rFonts w:asciiTheme="minorBidi" w:hAnsiTheme="minorBidi"/>
          <w:sz w:val="20"/>
          <w:szCs w:val="20"/>
        </w:rPr>
      </w:pPr>
      <w:r w:rsidRPr="00D52D4D">
        <w:rPr>
          <w:rFonts w:asciiTheme="minorBidi" w:hAnsiTheme="minorBidi"/>
          <w:sz w:val="20"/>
          <w:szCs w:val="20"/>
        </w:rPr>
        <w:t>Authors have declared that no competing interests exist.</w:t>
      </w:r>
    </w:p>
    <w:p w14:paraId="0CC5B022" w14:textId="77777777" w:rsidR="007B2F27" w:rsidRDefault="007B2F27" w:rsidP="001E5970">
      <w:pPr>
        <w:tabs>
          <w:tab w:val="left" w:pos="450"/>
        </w:tabs>
        <w:rPr>
          <w:rFonts w:asciiTheme="minorBidi" w:hAnsiTheme="minorBidi"/>
          <w:sz w:val="20"/>
          <w:szCs w:val="20"/>
        </w:rPr>
      </w:pPr>
    </w:p>
    <w:p w14:paraId="3030C0C2" w14:textId="77777777" w:rsidR="007B2F27" w:rsidRPr="007B2F27" w:rsidRDefault="007B2F27" w:rsidP="007B2F27">
      <w:pPr>
        <w:jc w:val="both"/>
        <w:outlineLvl w:val="0"/>
        <w:rPr>
          <w:rFonts w:ascii="Arial" w:eastAsia="Times New Roman" w:hAnsi="Arial" w:cs="Arial"/>
          <w:lang w:val="en-GB" w:eastAsia="en-GB"/>
        </w:rPr>
      </w:pPr>
      <w:r w:rsidRPr="007B2F27">
        <w:rPr>
          <w:rFonts w:ascii="Arial" w:eastAsia="Times New Roman" w:hAnsi="Arial" w:cs="Arial"/>
          <w:b/>
          <w:bCs/>
          <w:lang w:val="en-GB" w:eastAsia="en-GB"/>
        </w:rPr>
        <w:t>COMPETING INTERESTS DISCLAIMER:</w:t>
      </w:r>
    </w:p>
    <w:p w14:paraId="595FA1F9" w14:textId="77777777" w:rsidR="007B2F27" w:rsidRPr="007B2F27" w:rsidRDefault="007B2F27" w:rsidP="007B2F27">
      <w:pPr>
        <w:rPr>
          <w:rFonts w:ascii="Calibri" w:eastAsia="Times New Roman" w:hAnsi="Calibri" w:cs="Times New Roman"/>
          <w:lang w:val="en-GB" w:eastAsia="en-GB"/>
        </w:rPr>
      </w:pPr>
      <w:r w:rsidRPr="007B2F2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E290E7B" w14:textId="77777777" w:rsidR="007B2F27" w:rsidRPr="00D52D4D" w:rsidRDefault="007B2F27" w:rsidP="001E5970">
      <w:pPr>
        <w:tabs>
          <w:tab w:val="left" w:pos="450"/>
        </w:tabs>
        <w:rPr>
          <w:rFonts w:asciiTheme="minorBidi" w:hAnsiTheme="minorBidi"/>
          <w:b/>
          <w:bCs/>
          <w:sz w:val="20"/>
          <w:szCs w:val="20"/>
          <w:lang w:bidi="ar-IQ"/>
        </w:rPr>
      </w:pPr>
    </w:p>
    <w:p w14:paraId="6FE7C65D" w14:textId="77777777" w:rsidR="00F34E4D" w:rsidRPr="003A47F4" w:rsidRDefault="003A47F4" w:rsidP="00F34E4D">
      <w:pPr>
        <w:jc w:val="both"/>
        <w:rPr>
          <w:rFonts w:asciiTheme="minorBidi" w:hAnsiTheme="minorBidi"/>
          <w:b/>
          <w:bCs/>
          <w:sz w:val="24"/>
          <w:szCs w:val="24"/>
          <w:rtl/>
          <w:lang w:bidi="ar-IQ"/>
        </w:rPr>
      </w:pPr>
      <w:r w:rsidRPr="003A47F4">
        <w:rPr>
          <w:rFonts w:asciiTheme="minorBidi" w:hAnsiTheme="minorBidi"/>
          <w:b/>
          <w:bCs/>
        </w:rPr>
        <w:lastRenderedPageBreak/>
        <w:t>REFERENCES</w:t>
      </w:r>
      <w:r w:rsidR="00F34E4D" w:rsidRPr="003A47F4">
        <w:rPr>
          <w:rFonts w:asciiTheme="minorBidi" w:hAnsiTheme="minorBidi"/>
          <w:b/>
          <w:bCs/>
          <w:sz w:val="24"/>
          <w:szCs w:val="24"/>
        </w:rPr>
        <w:t xml:space="preserve"> </w:t>
      </w:r>
    </w:p>
    <w:p w14:paraId="29B1E39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Al-Abbasi, R. N. H. (2021). Comparison of magnesium status in some salt-affected and unaffected soils in Nineveh Governorate. Higher Diploma thesis, College of Agriculture and</w:t>
      </w:r>
      <w:r w:rsidR="000E16FB" w:rsidRPr="005845DC">
        <w:rPr>
          <w:rFonts w:asciiTheme="minorBidi" w:eastAsia="Times New Roman" w:hAnsiTheme="minorBidi"/>
          <w:sz w:val="20"/>
          <w:szCs w:val="20"/>
        </w:rPr>
        <w:t xml:space="preserve"> Forestry, University of </w:t>
      </w:r>
      <w:proofErr w:type="spellStart"/>
      <w:r w:rsidR="000E16FB" w:rsidRPr="005845DC">
        <w:rPr>
          <w:rFonts w:asciiTheme="minorBidi" w:eastAsia="Times New Roman" w:hAnsiTheme="minorBidi"/>
          <w:sz w:val="20"/>
          <w:szCs w:val="20"/>
        </w:rPr>
        <w:t>Mosul.</w:t>
      </w:r>
      <w:r w:rsidRPr="005845DC">
        <w:rPr>
          <w:rFonts w:asciiTheme="minorBidi" w:eastAsia="Times New Roman" w:hAnsiTheme="minorBidi"/>
          <w:sz w:val="20"/>
          <w:szCs w:val="20"/>
        </w:rPr>
        <w:t>Al</w:t>
      </w:r>
      <w:proofErr w:type="spellEnd"/>
      <w:r w:rsidRPr="005845DC">
        <w:rPr>
          <w:rFonts w:asciiTheme="minorBidi" w:eastAsia="Times New Roman" w:hAnsiTheme="minorBidi"/>
          <w:sz w:val="20"/>
          <w:szCs w:val="20"/>
        </w:rPr>
        <w:t>-Tai, R. R. G. (2022). Kinetic approach to magnesium dissolution using continuous and intermittent leaching in some calcareous soils of Nineveh Governorate. Master's thesis, College of Agriculture, University of Mosul.</w:t>
      </w:r>
    </w:p>
    <w:p w14:paraId="28759B0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w:t>
      </w:r>
      <w:proofErr w:type="spellStart"/>
      <w:r w:rsidRPr="005845DC">
        <w:rPr>
          <w:rFonts w:asciiTheme="minorBidi" w:eastAsia="Times New Roman" w:hAnsiTheme="minorBidi"/>
          <w:sz w:val="20"/>
          <w:szCs w:val="20"/>
        </w:rPr>
        <w:t>Zughaibi</w:t>
      </w:r>
      <w:proofErr w:type="spellEnd"/>
      <w:r w:rsidRPr="005845DC">
        <w:rPr>
          <w:rFonts w:asciiTheme="minorBidi" w:eastAsia="Times New Roman" w:hAnsiTheme="minorBidi"/>
          <w:sz w:val="20"/>
          <w:szCs w:val="20"/>
        </w:rPr>
        <w:t>, S. K. (2021). Evaluation of the properties of reclaimed mangrove soils using water with different ionic strengths based on thermodynamic and kinetic parameters. PhD dissertation, College of Agricultural Engineering, University of Baghdad.</w:t>
      </w:r>
    </w:p>
    <w:p w14:paraId="42C9670F" w14:textId="250FB6B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Ahmed, H. M., Al-Obaidi, M. A. J., &amp; Khalil, M. T. S. (2018). Kinetic approach of sodium leaching from some calcareous soils in northern Iraq. Mesopotamia Journal of Agriculture, 46(2), 92–101. ISSN 2224-9796.</w:t>
      </w:r>
      <w:r w:rsidR="0057071F" w:rsidRPr="0057071F">
        <w:t xml:space="preserve"> </w:t>
      </w:r>
      <w:hyperlink r:id="rId17" w:history="1">
        <w:r w:rsidR="0057071F" w:rsidRPr="008C6785">
          <w:rPr>
            <w:rStyle w:val="Hyperlink"/>
            <w:rFonts w:asciiTheme="minorBidi" w:eastAsia="Times New Roman" w:hAnsiTheme="minorBidi"/>
            <w:sz w:val="20"/>
            <w:szCs w:val="20"/>
          </w:rPr>
          <w:t>https://iasj.rdd.edu.iq/journals/journal/issue/5688</w:t>
        </w:r>
      </w:hyperlink>
      <w:r w:rsidR="0057071F">
        <w:rPr>
          <w:rFonts w:asciiTheme="minorBidi" w:eastAsia="Times New Roman" w:hAnsiTheme="minorBidi"/>
          <w:sz w:val="20"/>
          <w:szCs w:val="20"/>
        </w:rPr>
        <w:t xml:space="preserve"> </w:t>
      </w:r>
    </w:p>
    <w:p w14:paraId="43838C88" w14:textId="117C34CC"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K., </w:t>
      </w:r>
      <w:proofErr w:type="spellStart"/>
      <w:r w:rsidRPr="005845DC">
        <w:rPr>
          <w:rFonts w:asciiTheme="minorBidi" w:eastAsia="Times New Roman" w:hAnsiTheme="minorBidi"/>
          <w:sz w:val="20"/>
          <w:szCs w:val="20"/>
        </w:rPr>
        <w:t>Alrobiaa</w:t>
      </w:r>
      <w:proofErr w:type="spellEnd"/>
      <w:r w:rsidRPr="005845DC">
        <w:rPr>
          <w:rFonts w:asciiTheme="minorBidi" w:eastAsia="Times New Roman" w:hAnsiTheme="minorBidi"/>
          <w:sz w:val="20"/>
          <w:szCs w:val="20"/>
        </w:rPr>
        <w:t xml:space="preserve">, S. M., &amp; Alobaidi, M. A. J. (2022). Effect of continuous and discontinuous leaching on calcium and magnesium release from some calcareous soil. </w:t>
      </w:r>
      <w:r w:rsidRPr="005845DC">
        <w:rPr>
          <w:rFonts w:asciiTheme="minorBidi" w:eastAsia="Times New Roman" w:hAnsiTheme="minorBidi"/>
          <w:i/>
          <w:iCs/>
          <w:sz w:val="20"/>
          <w:szCs w:val="20"/>
        </w:rPr>
        <w:t>International Journal of Agricultural and Statistical Sciences, 18</w:t>
      </w:r>
      <w:r w:rsidRPr="005845DC">
        <w:rPr>
          <w:rFonts w:asciiTheme="minorBidi" w:eastAsia="Times New Roman" w:hAnsiTheme="minorBidi"/>
          <w:sz w:val="20"/>
          <w:szCs w:val="20"/>
        </w:rPr>
        <w:t>(1), 79–84.</w:t>
      </w:r>
      <w:r w:rsidR="0057071F">
        <w:rPr>
          <w:rFonts w:asciiTheme="minorBidi" w:eastAsia="Times New Roman" w:hAnsiTheme="minorBidi"/>
          <w:sz w:val="20"/>
          <w:szCs w:val="20"/>
        </w:rPr>
        <w:t xml:space="preserve"> </w:t>
      </w:r>
      <w:hyperlink r:id="rId18" w:history="1">
        <w:r w:rsidR="0057071F" w:rsidRPr="008C6785">
          <w:rPr>
            <w:rStyle w:val="Hyperlink"/>
            <w:rFonts w:asciiTheme="minorBidi" w:eastAsia="Times New Roman" w:hAnsiTheme="minorBidi"/>
            <w:sz w:val="20"/>
            <w:szCs w:val="20"/>
          </w:rPr>
          <w:t>https://connectjournals.com/03899.2022.18.79</w:t>
        </w:r>
      </w:hyperlink>
      <w:r w:rsidR="0057071F">
        <w:rPr>
          <w:rFonts w:asciiTheme="minorBidi" w:eastAsia="Times New Roman" w:hAnsiTheme="minorBidi"/>
          <w:sz w:val="20"/>
          <w:szCs w:val="20"/>
        </w:rPr>
        <w:t xml:space="preserve"> </w:t>
      </w:r>
    </w:p>
    <w:p w14:paraId="28B30E55"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Author, S. (2024). Effect of Irrigation Water Salinity and Soil Amendments on Leaching Efficiency of Salts and Sodium Under Lysimeter Conditions. </w:t>
      </w:r>
      <w:r w:rsidRPr="005845DC">
        <w:rPr>
          <w:rFonts w:asciiTheme="minorBidi" w:eastAsia="Times New Roman" w:hAnsiTheme="minorBidi"/>
          <w:i/>
          <w:iCs/>
          <w:sz w:val="20"/>
          <w:szCs w:val="20"/>
        </w:rPr>
        <w:t>Environment, Biodiversity and Soil Security, 8</w:t>
      </w:r>
      <w:r w:rsidRPr="005845DC">
        <w:rPr>
          <w:rFonts w:asciiTheme="minorBidi" w:eastAsia="Times New Roman" w:hAnsiTheme="minorBidi"/>
          <w:sz w:val="20"/>
          <w:szCs w:val="20"/>
        </w:rPr>
        <w:t xml:space="preserve">, 73–82. </w:t>
      </w:r>
      <w:hyperlink r:id="rId19" w:tgtFrame="_new" w:history="1">
        <w:r w:rsidRPr="005845DC">
          <w:rPr>
            <w:rFonts w:asciiTheme="minorBidi" w:eastAsia="Times New Roman" w:hAnsiTheme="minorBidi"/>
            <w:color w:val="0000FF"/>
            <w:sz w:val="20"/>
            <w:szCs w:val="20"/>
            <w:u w:val="single"/>
          </w:rPr>
          <w:t>https://journals.ekb.eg/article_362249.html?utm_source=chatgpt.com</w:t>
        </w:r>
      </w:hyperlink>
    </w:p>
    <w:p w14:paraId="78398CF2"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Ding, B., Bai, Y., Guo, S., He, Z., Wang, B., Liu, H., Zhai, J., &amp; Cao, H. (2023). Effect of irrigation water salinity on soil characteristics and microbial communities in cotton fields in southern Xinjiang, China. </w:t>
      </w:r>
      <w:r w:rsidRPr="005845DC">
        <w:rPr>
          <w:rFonts w:asciiTheme="minorBidi" w:eastAsia="Times New Roman" w:hAnsiTheme="minorBidi"/>
          <w:i/>
          <w:iCs/>
          <w:sz w:val="20"/>
          <w:szCs w:val="20"/>
        </w:rPr>
        <w:t>Agronomy, 13</w:t>
      </w:r>
      <w:r w:rsidRPr="005845DC">
        <w:rPr>
          <w:rFonts w:asciiTheme="minorBidi" w:eastAsia="Times New Roman" w:hAnsiTheme="minorBidi"/>
          <w:sz w:val="20"/>
          <w:szCs w:val="20"/>
        </w:rPr>
        <w:t xml:space="preserve">(7), 1679. </w:t>
      </w:r>
      <w:hyperlink r:id="rId20" w:tgtFrame="_new" w:history="1">
        <w:r w:rsidRPr="005845DC">
          <w:rPr>
            <w:rFonts w:asciiTheme="minorBidi" w:eastAsia="Times New Roman" w:hAnsiTheme="minorBidi"/>
            <w:color w:val="0000FF"/>
            <w:sz w:val="20"/>
            <w:szCs w:val="20"/>
            <w:u w:val="single"/>
          </w:rPr>
          <w:t>https://doi.org/10.3390/agronomy13071679</w:t>
        </w:r>
      </w:hyperlink>
    </w:p>
    <w:p w14:paraId="52E117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El </w:t>
      </w:r>
      <w:proofErr w:type="spellStart"/>
      <w:r w:rsidRPr="005845DC">
        <w:rPr>
          <w:rFonts w:asciiTheme="minorBidi" w:eastAsia="Times New Roman" w:hAnsiTheme="minorBidi"/>
          <w:sz w:val="20"/>
          <w:szCs w:val="20"/>
        </w:rPr>
        <w:t>Ramady</w:t>
      </w:r>
      <w:proofErr w:type="spellEnd"/>
      <w:r w:rsidRPr="005845DC">
        <w:rPr>
          <w:rFonts w:asciiTheme="minorBidi" w:eastAsia="Times New Roman" w:hAnsiTheme="minorBidi"/>
          <w:sz w:val="20"/>
          <w:szCs w:val="20"/>
        </w:rPr>
        <w:t xml:space="preserve">, H., Prokisch, J., Mansour, H., Bayoumi, Y. A., Shalaby, T. A., Veres, S., &amp; Brevik, E. C. (2024). Review of crop response to soil salinity stress: Possible approaches from leaching to nano management. </w:t>
      </w:r>
      <w:r w:rsidRPr="005845DC">
        <w:rPr>
          <w:rFonts w:asciiTheme="minorBidi" w:eastAsia="Times New Roman" w:hAnsiTheme="minorBidi"/>
          <w:i/>
          <w:iCs/>
          <w:sz w:val="20"/>
          <w:szCs w:val="20"/>
        </w:rPr>
        <w:t>Soil Systems, 8</w:t>
      </w:r>
      <w:r w:rsidRPr="005845DC">
        <w:rPr>
          <w:rFonts w:asciiTheme="minorBidi" w:eastAsia="Times New Roman" w:hAnsiTheme="minorBidi"/>
          <w:sz w:val="20"/>
          <w:szCs w:val="20"/>
        </w:rPr>
        <w:t xml:space="preserve">(1), 11. </w:t>
      </w:r>
      <w:hyperlink r:id="rId21" w:tgtFrame="_new" w:history="1">
        <w:r w:rsidRPr="005845DC">
          <w:rPr>
            <w:rFonts w:asciiTheme="minorBidi" w:eastAsia="Times New Roman" w:hAnsiTheme="minorBidi"/>
            <w:color w:val="0000FF"/>
            <w:sz w:val="20"/>
            <w:szCs w:val="20"/>
            <w:u w:val="single"/>
          </w:rPr>
          <w:t>https://doi.org/10.3390/soilsystems8010011</w:t>
        </w:r>
      </w:hyperlink>
    </w:p>
    <w:p w14:paraId="20499FD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Farahmand, A., </w:t>
      </w:r>
      <w:proofErr w:type="spellStart"/>
      <w:r w:rsidRPr="005845DC">
        <w:rPr>
          <w:rFonts w:asciiTheme="minorBidi" w:eastAsia="Times New Roman" w:hAnsiTheme="minorBidi"/>
          <w:sz w:val="20"/>
          <w:szCs w:val="20"/>
        </w:rPr>
        <w:t>Ostan</w:t>
      </w:r>
      <w:proofErr w:type="spellEnd"/>
      <w:r w:rsidRPr="005845DC">
        <w:rPr>
          <w:rFonts w:asciiTheme="minorBidi" w:eastAsia="Times New Roman" w:hAnsiTheme="minorBidi"/>
          <w:sz w:val="20"/>
          <w:szCs w:val="20"/>
        </w:rPr>
        <w:t xml:space="preserve">, S., </w:t>
      </w:r>
      <w:proofErr w:type="spellStart"/>
      <w:r w:rsidRPr="005845DC">
        <w:rPr>
          <w:rFonts w:asciiTheme="minorBidi" w:eastAsia="Times New Roman" w:hAnsiTheme="minorBidi"/>
          <w:sz w:val="20"/>
          <w:szCs w:val="20"/>
        </w:rPr>
        <w:t>Jafarazadeh</w:t>
      </w:r>
      <w:proofErr w:type="spellEnd"/>
      <w:r w:rsidRPr="005845DC">
        <w:rPr>
          <w:rFonts w:asciiTheme="minorBidi" w:eastAsia="Times New Roman" w:hAnsiTheme="minorBidi"/>
          <w:sz w:val="20"/>
          <w:szCs w:val="20"/>
        </w:rPr>
        <w:t xml:space="preserve">, A., &amp; </w:t>
      </w:r>
      <w:proofErr w:type="spellStart"/>
      <w:r w:rsidRPr="005845DC">
        <w:rPr>
          <w:rFonts w:asciiTheme="minorBidi" w:eastAsia="Times New Roman" w:hAnsiTheme="minorBidi"/>
          <w:sz w:val="20"/>
          <w:szCs w:val="20"/>
        </w:rPr>
        <w:t>Aliasgharzad</w:t>
      </w:r>
      <w:proofErr w:type="spellEnd"/>
      <w:r w:rsidRPr="005845DC">
        <w:rPr>
          <w:rFonts w:asciiTheme="minorBidi" w:eastAsia="Times New Roman" w:hAnsiTheme="minorBidi"/>
          <w:sz w:val="20"/>
          <w:szCs w:val="20"/>
        </w:rPr>
        <w:t xml:space="preserve">, N. (2009). Estimation of </w:t>
      </w:r>
      <w:proofErr w:type="spellStart"/>
      <w:r w:rsidRPr="005845DC">
        <w:rPr>
          <w:rFonts w:asciiTheme="minorBidi" w:eastAsia="Times New Roman" w:hAnsiTheme="minorBidi"/>
          <w:sz w:val="20"/>
          <w:szCs w:val="20"/>
        </w:rPr>
        <w:t>Gapon</w:t>
      </w:r>
      <w:proofErr w:type="spellEnd"/>
      <w:r w:rsidRPr="005845DC">
        <w:rPr>
          <w:rFonts w:asciiTheme="minorBidi" w:eastAsia="Times New Roman" w:hAnsiTheme="minorBidi"/>
          <w:sz w:val="20"/>
          <w:szCs w:val="20"/>
        </w:rPr>
        <w:t xml:space="preserve"> selectivity coefficient for Na/</w:t>
      </w:r>
      <w:proofErr w:type="spellStart"/>
      <w:r w:rsidRPr="005845DC">
        <w:rPr>
          <w:rFonts w:asciiTheme="minorBidi" w:eastAsia="Times New Roman" w:hAnsiTheme="minorBidi"/>
          <w:sz w:val="20"/>
          <w:szCs w:val="20"/>
        </w:rPr>
        <w:t>Ca+Mg</w:t>
      </w:r>
      <w:proofErr w:type="spellEnd"/>
      <w:r w:rsidRPr="005845DC">
        <w:rPr>
          <w:rFonts w:asciiTheme="minorBidi" w:eastAsia="Times New Roman" w:hAnsiTheme="minorBidi"/>
          <w:sz w:val="20"/>
          <w:szCs w:val="20"/>
        </w:rPr>
        <w:t xml:space="preserve"> exchange in some salt-affected soil of Tabriz plain. </w:t>
      </w:r>
      <w:r w:rsidRPr="005845DC">
        <w:rPr>
          <w:rFonts w:asciiTheme="minorBidi" w:eastAsia="Times New Roman" w:hAnsiTheme="minorBidi"/>
          <w:i/>
          <w:iCs/>
          <w:sz w:val="20"/>
          <w:szCs w:val="20"/>
        </w:rPr>
        <w:t>Iranian Journal of Soil and Water Research, 20</w:t>
      </w:r>
      <w:r w:rsidRPr="005845DC">
        <w:rPr>
          <w:rFonts w:asciiTheme="minorBidi" w:eastAsia="Times New Roman" w:hAnsiTheme="minorBidi"/>
          <w:sz w:val="20"/>
          <w:szCs w:val="20"/>
        </w:rPr>
        <w:t>, 17–27.</w:t>
      </w:r>
    </w:p>
    <w:p w14:paraId="438644F6" w14:textId="7D287002"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Ghanim, R. R., &amp; </w:t>
      </w: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(2022). The effect of the leaching process on the kinetics of magnesium dissolution for soils of different uses. </w:t>
      </w:r>
      <w:proofErr w:type="spellStart"/>
      <w:r w:rsidRPr="005845DC">
        <w:rPr>
          <w:rFonts w:asciiTheme="minorBidi" w:eastAsia="Times New Roman" w:hAnsiTheme="minorBidi"/>
          <w:i/>
          <w:iCs/>
          <w:sz w:val="20"/>
          <w:szCs w:val="20"/>
        </w:rPr>
        <w:t>NeuroQuantology</w:t>
      </w:r>
      <w:proofErr w:type="spellEnd"/>
      <w:r w:rsidRPr="005845DC">
        <w:rPr>
          <w:rFonts w:asciiTheme="minorBidi" w:eastAsia="Times New Roman" w:hAnsiTheme="minorBidi"/>
          <w:i/>
          <w:iCs/>
          <w:sz w:val="20"/>
          <w:szCs w:val="20"/>
        </w:rPr>
        <w:t>, 20</w:t>
      </w:r>
      <w:r w:rsidRPr="005845DC">
        <w:rPr>
          <w:rFonts w:asciiTheme="minorBidi" w:eastAsia="Times New Roman" w:hAnsiTheme="minorBidi"/>
          <w:sz w:val="20"/>
          <w:szCs w:val="20"/>
        </w:rPr>
        <w:t xml:space="preserve">(12), 1242–1252. </w:t>
      </w:r>
      <w:hyperlink r:id="rId22" w:history="1">
        <w:r w:rsidR="0057071F" w:rsidRPr="008C6785">
          <w:rPr>
            <w:rStyle w:val="Hyperlink"/>
          </w:rPr>
          <w:t>https://doi.org/10.14704/nq.2022.20.12.NQ77103</w:t>
        </w:r>
      </w:hyperlink>
      <w:r w:rsidR="0057071F">
        <w:t xml:space="preserve"> </w:t>
      </w:r>
    </w:p>
    <w:p w14:paraId="1110783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Hoshan</w:t>
      </w:r>
      <w:proofErr w:type="spellEnd"/>
      <w:r w:rsidRPr="005845DC">
        <w:rPr>
          <w:rFonts w:asciiTheme="minorBidi" w:eastAsia="Times New Roman" w:hAnsiTheme="minorBidi"/>
          <w:sz w:val="20"/>
          <w:szCs w:val="20"/>
        </w:rPr>
        <w:t xml:space="preserve">, M. N. (2022). Review of reclamation of salinity affected soils by leaching and their effect on soil properties and plant growth. </w:t>
      </w:r>
      <w:r w:rsidRPr="005845DC">
        <w:rPr>
          <w:rFonts w:asciiTheme="minorBidi" w:eastAsia="Times New Roman" w:hAnsiTheme="minorBidi"/>
          <w:i/>
          <w:iCs/>
          <w:sz w:val="20"/>
          <w:szCs w:val="20"/>
        </w:rPr>
        <w:t>Tikrit Journal for Agricultural Sciences, 22</w:t>
      </w:r>
      <w:r w:rsidRPr="005845DC">
        <w:rPr>
          <w:rFonts w:asciiTheme="minorBidi" w:eastAsia="Times New Roman" w:hAnsiTheme="minorBidi"/>
          <w:sz w:val="20"/>
          <w:szCs w:val="20"/>
        </w:rPr>
        <w:t xml:space="preserve">(1), 149–168. </w:t>
      </w:r>
      <w:hyperlink r:id="rId23" w:tgtFrame="_new" w:history="1">
        <w:r w:rsidRPr="005845DC">
          <w:rPr>
            <w:rFonts w:asciiTheme="minorBidi" w:eastAsia="Times New Roman" w:hAnsiTheme="minorBidi"/>
            <w:color w:val="0000FF"/>
            <w:sz w:val="20"/>
            <w:szCs w:val="20"/>
            <w:u w:val="single"/>
          </w:rPr>
          <w:t>https://doi.org/10.25130/tjas.22.1.14</w:t>
        </w:r>
      </w:hyperlink>
    </w:p>
    <w:p w14:paraId="3FE1CB6C" w14:textId="64308B63"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Havlin, J. L. (2020). Soil: Fertility and nutrient management. In </w:t>
      </w:r>
      <w:r w:rsidRPr="005845DC">
        <w:rPr>
          <w:rFonts w:asciiTheme="minorBidi" w:eastAsia="Times New Roman" w:hAnsiTheme="minorBidi"/>
          <w:i/>
          <w:iCs/>
          <w:sz w:val="20"/>
          <w:szCs w:val="20"/>
        </w:rPr>
        <w:t>Landscape and land capacity</w:t>
      </w:r>
      <w:r w:rsidRPr="005845DC">
        <w:rPr>
          <w:rFonts w:asciiTheme="minorBidi" w:eastAsia="Times New Roman" w:hAnsiTheme="minorBidi"/>
          <w:sz w:val="20"/>
          <w:szCs w:val="20"/>
        </w:rPr>
        <w:t xml:space="preserve"> (pp. 251–265). CRC Press.</w:t>
      </w:r>
      <w:r w:rsidR="0057071F">
        <w:rPr>
          <w:rFonts w:asciiTheme="minorBidi" w:eastAsia="Times New Roman" w:hAnsiTheme="minorBidi"/>
          <w:sz w:val="20"/>
          <w:szCs w:val="20"/>
        </w:rPr>
        <w:t xml:space="preserve"> </w:t>
      </w:r>
      <w:hyperlink r:id="rId24" w:history="1">
        <w:r w:rsidR="0057071F" w:rsidRPr="008C6785">
          <w:rPr>
            <w:rStyle w:val="Hyperlink"/>
            <w:rFonts w:asciiTheme="minorBidi" w:eastAsia="Times New Roman" w:hAnsiTheme="minorBidi"/>
            <w:sz w:val="20"/>
            <w:szCs w:val="20"/>
          </w:rPr>
          <w:t>https://doi.org/10.1201/9780429445552-34</w:t>
        </w:r>
      </w:hyperlink>
      <w:r w:rsidR="0057071F">
        <w:rPr>
          <w:rFonts w:asciiTheme="minorBidi" w:eastAsia="Times New Roman" w:hAnsiTheme="minorBidi"/>
          <w:sz w:val="20"/>
          <w:szCs w:val="20"/>
        </w:rPr>
        <w:t xml:space="preserve"> </w:t>
      </w:r>
    </w:p>
    <w:p w14:paraId="5445D376" w14:textId="75D68C6A"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Li, X., Zhang, Y., Zhao, Q., et al.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25" w:history="1">
        <w:r w:rsidR="0057071F" w:rsidRPr="008C6785">
          <w:rPr>
            <w:rStyle w:val="Hyperlink"/>
          </w:rPr>
          <w:t>https://doi.org/10.3390/agronomy13112709</w:t>
        </w:r>
      </w:hyperlink>
      <w:r w:rsidR="0057071F">
        <w:t xml:space="preserve"> </w:t>
      </w:r>
    </w:p>
    <w:p w14:paraId="15CE3EE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Morari, F., </w:t>
      </w:r>
      <w:proofErr w:type="spellStart"/>
      <w:r w:rsidRPr="005845DC">
        <w:rPr>
          <w:rFonts w:asciiTheme="minorBidi" w:eastAsia="Times New Roman" w:hAnsiTheme="minorBidi"/>
          <w:sz w:val="20"/>
          <w:szCs w:val="20"/>
        </w:rPr>
        <w:t>Mornar</w:t>
      </w:r>
      <w:proofErr w:type="spellEnd"/>
      <w:r w:rsidRPr="005845DC">
        <w:rPr>
          <w:rFonts w:asciiTheme="minorBidi" w:eastAsia="Times New Roman" w:hAnsiTheme="minorBidi"/>
          <w:sz w:val="20"/>
          <w:szCs w:val="20"/>
        </w:rPr>
        <w:t xml:space="preserve">, A., Consoli, S., &amp; De Sanctis, G. (2021). Soil Physical Hydrological Degradation in the Root Zone of Tree Crops: Problems and Solutions. </w:t>
      </w:r>
      <w:r w:rsidRPr="005845DC">
        <w:rPr>
          <w:rFonts w:asciiTheme="minorBidi" w:eastAsia="Times New Roman" w:hAnsiTheme="minorBidi"/>
          <w:i/>
          <w:iCs/>
          <w:sz w:val="20"/>
          <w:szCs w:val="20"/>
        </w:rPr>
        <w:t>Agronomy, 11</w:t>
      </w:r>
      <w:r w:rsidRPr="005845DC">
        <w:rPr>
          <w:rFonts w:asciiTheme="minorBidi" w:eastAsia="Times New Roman" w:hAnsiTheme="minorBidi"/>
          <w:sz w:val="20"/>
          <w:szCs w:val="20"/>
        </w:rPr>
        <w:t xml:space="preserve">(1), 68. </w:t>
      </w:r>
      <w:hyperlink r:id="rId26" w:tgtFrame="_new" w:history="1">
        <w:r w:rsidRPr="005845DC">
          <w:rPr>
            <w:rFonts w:asciiTheme="minorBidi" w:eastAsia="Times New Roman" w:hAnsiTheme="minorBidi"/>
            <w:color w:val="0000FF"/>
            <w:sz w:val="20"/>
            <w:szCs w:val="20"/>
            <w:u w:val="single"/>
          </w:rPr>
          <w:t>https://doi.org/10.3390/agronomy11010068</w:t>
        </w:r>
      </w:hyperlink>
    </w:p>
    <w:p w14:paraId="24508A2D"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Rengasamy, P. (2018). Irrigation water quality and soil structural stability: A perspective with some new insights. </w:t>
      </w:r>
      <w:r w:rsidRPr="005845DC">
        <w:rPr>
          <w:rFonts w:asciiTheme="minorBidi" w:eastAsia="Times New Roman" w:hAnsiTheme="minorBidi"/>
          <w:i/>
          <w:iCs/>
          <w:sz w:val="20"/>
          <w:szCs w:val="20"/>
        </w:rPr>
        <w:t>Agronomy, 8</w:t>
      </w:r>
      <w:r w:rsidRPr="005845DC">
        <w:rPr>
          <w:rFonts w:asciiTheme="minorBidi" w:eastAsia="Times New Roman" w:hAnsiTheme="minorBidi"/>
          <w:sz w:val="20"/>
          <w:szCs w:val="20"/>
        </w:rPr>
        <w:t xml:space="preserve">(5), 72. </w:t>
      </w:r>
      <w:hyperlink r:id="rId27" w:tgtFrame="_new" w:history="1">
        <w:r w:rsidRPr="005845DC">
          <w:rPr>
            <w:rFonts w:asciiTheme="minorBidi" w:eastAsia="Times New Roman" w:hAnsiTheme="minorBidi"/>
            <w:color w:val="0000FF"/>
            <w:sz w:val="20"/>
            <w:szCs w:val="20"/>
            <w:u w:val="single"/>
          </w:rPr>
          <w:t>https://www.mdpi.com/2073-4395/8/5/72</w:t>
        </w:r>
      </w:hyperlink>
    </w:p>
    <w:p w14:paraId="40D19ACB" w14:textId="236C6385"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Richards, A. (1954). Diagnosis and improvement of saline and alkaline soil. </w:t>
      </w:r>
      <w:r w:rsidRPr="005845DC">
        <w:rPr>
          <w:rFonts w:asciiTheme="minorBidi" w:eastAsia="Times New Roman" w:hAnsiTheme="minorBidi"/>
          <w:i/>
          <w:iCs/>
          <w:sz w:val="20"/>
          <w:szCs w:val="20"/>
        </w:rPr>
        <w:t>Agriculture Handbook No. 60.</w:t>
      </w:r>
      <w:r w:rsidRPr="005845DC">
        <w:rPr>
          <w:rFonts w:asciiTheme="minorBidi" w:eastAsia="Times New Roman" w:hAnsiTheme="minorBidi"/>
          <w:sz w:val="20"/>
          <w:szCs w:val="20"/>
        </w:rPr>
        <w:t xml:space="preserve"> USDA, </w:t>
      </w:r>
      <w:proofErr w:type="spellStart"/>
      <w:r w:rsidR="00280871" w:rsidRPr="005845DC">
        <w:rPr>
          <w:rFonts w:asciiTheme="minorBidi" w:eastAsia="Times New Roman" w:hAnsiTheme="minorBidi"/>
          <w:sz w:val="20"/>
          <w:szCs w:val="20"/>
        </w:rPr>
        <w:t>Leaching</w:t>
      </w:r>
      <w:r w:rsidRPr="005845DC">
        <w:rPr>
          <w:rFonts w:asciiTheme="minorBidi" w:eastAsia="Times New Roman" w:hAnsiTheme="minorBidi"/>
          <w:sz w:val="20"/>
          <w:szCs w:val="20"/>
        </w:rPr>
        <w:t>ton</w:t>
      </w:r>
      <w:proofErr w:type="spellEnd"/>
      <w:r w:rsidRPr="005845DC">
        <w:rPr>
          <w:rFonts w:asciiTheme="minorBidi" w:eastAsia="Times New Roman" w:hAnsiTheme="minorBidi"/>
          <w:sz w:val="20"/>
          <w:szCs w:val="20"/>
        </w:rPr>
        <w:t>.</w:t>
      </w:r>
      <w:r w:rsidR="0057071F">
        <w:rPr>
          <w:rFonts w:asciiTheme="minorBidi" w:eastAsia="Times New Roman" w:hAnsiTheme="minorBidi"/>
          <w:sz w:val="20"/>
          <w:szCs w:val="20"/>
        </w:rPr>
        <w:t xml:space="preserve"> </w:t>
      </w:r>
      <w:hyperlink r:id="rId28" w:history="1">
        <w:r w:rsidR="0057071F" w:rsidRPr="008C6785">
          <w:rPr>
            <w:rStyle w:val="Hyperlink"/>
            <w:rFonts w:asciiTheme="minorBidi" w:eastAsia="Times New Roman" w:hAnsiTheme="minorBidi"/>
            <w:sz w:val="20"/>
            <w:szCs w:val="20"/>
          </w:rPr>
          <w:t>https://www.ars.usda.gov/ARSUserFiles/20360500/pdf/ah60.pdf</w:t>
        </w:r>
      </w:hyperlink>
      <w:r w:rsidR="0057071F">
        <w:rPr>
          <w:rFonts w:asciiTheme="minorBidi" w:eastAsia="Times New Roman" w:hAnsiTheme="minorBidi"/>
          <w:sz w:val="20"/>
          <w:szCs w:val="20"/>
        </w:rPr>
        <w:t xml:space="preserve"> </w:t>
      </w:r>
    </w:p>
    <w:p w14:paraId="442C2B4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lastRenderedPageBreak/>
        <w:t>Salem, S. H. J., &amp; Ali, N. S. H. (2017). Handbook of Chemical Analysis of Soil, Water, Plants and Fertilizers. College of Agriculture, University of Baghdad, Baghdad, Iraq.</w:t>
      </w:r>
    </w:p>
    <w:p w14:paraId="6D85DC5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Shi, L., &amp; Xia, L. (2024). Study on the leaching status of magnesium nutrients in soil and its influencing factors. </w:t>
      </w:r>
      <w:r w:rsidRPr="005845DC">
        <w:rPr>
          <w:rFonts w:asciiTheme="minorBidi" w:eastAsia="Times New Roman" w:hAnsiTheme="minorBidi"/>
          <w:i/>
          <w:iCs/>
          <w:sz w:val="20"/>
          <w:szCs w:val="20"/>
        </w:rPr>
        <w:t>Frontiers in Science and Engineering, 4</w:t>
      </w:r>
      <w:r w:rsidRPr="005845DC">
        <w:rPr>
          <w:rFonts w:asciiTheme="minorBidi" w:eastAsia="Times New Roman" w:hAnsiTheme="minorBidi"/>
          <w:sz w:val="20"/>
          <w:szCs w:val="20"/>
        </w:rPr>
        <w:t xml:space="preserve">(2), 15–20. </w:t>
      </w:r>
      <w:hyperlink r:id="rId29" w:tgtFrame="_new" w:history="1">
        <w:r w:rsidRPr="005845DC">
          <w:rPr>
            <w:rFonts w:asciiTheme="minorBidi" w:eastAsia="Times New Roman" w:hAnsiTheme="minorBidi"/>
            <w:color w:val="0000FF"/>
            <w:sz w:val="20"/>
            <w:szCs w:val="20"/>
            <w:u w:val="single"/>
          </w:rPr>
          <w:t>https://doi.org/10.54691/e8tr7471</w:t>
        </w:r>
      </w:hyperlink>
    </w:p>
    <w:p w14:paraId="43641994" w14:textId="78BB5DF0"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Sparks, D. L. (2017). Environmental Soil Chemistry. Department of Plant and Soil Science, University of Delaware, Newark, Delaware, pp. 205.</w:t>
      </w:r>
      <w:r w:rsidR="0057071F">
        <w:rPr>
          <w:rFonts w:asciiTheme="minorBidi" w:eastAsia="Times New Roman" w:hAnsiTheme="minorBidi"/>
          <w:sz w:val="20"/>
          <w:szCs w:val="20"/>
        </w:rPr>
        <w:t xml:space="preserve"> </w:t>
      </w:r>
      <w:hyperlink r:id="rId30" w:history="1">
        <w:r w:rsidR="0057071F" w:rsidRPr="008C6785">
          <w:rPr>
            <w:rStyle w:val="Hyperlink"/>
            <w:rFonts w:asciiTheme="minorBidi" w:eastAsia="Times New Roman" w:hAnsiTheme="minorBidi"/>
            <w:sz w:val="20"/>
            <w:szCs w:val="20"/>
          </w:rPr>
          <w:t>https://www.elsevier.com/books/environmental-soil-chemistry/sparks/978-0-443-14034-1</w:t>
        </w:r>
      </w:hyperlink>
      <w:r w:rsidR="0057071F">
        <w:rPr>
          <w:rFonts w:asciiTheme="minorBidi" w:eastAsia="Times New Roman" w:hAnsiTheme="minorBidi"/>
          <w:sz w:val="20"/>
          <w:szCs w:val="20"/>
        </w:rPr>
        <w:t xml:space="preserve"> </w:t>
      </w:r>
    </w:p>
    <w:p w14:paraId="723620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Xin, M., Ai, P., &amp; Ma, Y.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31" w:tgtFrame="_new" w:history="1">
        <w:r w:rsidRPr="005845DC">
          <w:rPr>
            <w:rFonts w:asciiTheme="minorBidi" w:eastAsia="Times New Roman" w:hAnsiTheme="minorBidi"/>
            <w:color w:val="0000FF"/>
            <w:sz w:val="20"/>
            <w:szCs w:val="20"/>
            <w:u w:val="single"/>
          </w:rPr>
          <w:t>https://doi.org/10.3390/agronomy15081898</w:t>
        </w:r>
      </w:hyperlink>
    </w:p>
    <w:p w14:paraId="2183F184" w14:textId="77777777" w:rsidR="008C1DDB"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Yu, H., Yang, F., Wang, X., Feng, D., Zhang, Y., Wang, M., &amp; Liao, H. (2023). Study on the characteristics of soil nutrients and salinization of lake wetlands in semi-arid region: Taking </w:t>
      </w:r>
      <w:proofErr w:type="spellStart"/>
      <w:r w:rsidRPr="005845DC">
        <w:rPr>
          <w:rFonts w:asciiTheme="minorBidi" w:eastAsia="Times New Roman" w:hAnsiTheme="minorBidi"/>
          <w:sz w:val="20"/>
          <w:szCs w:val="20"/>
        </w:rPr>
        <w:t>Daihai</w:t>
      </w:r>
      <w:proofErr w:type="spellEnd"/>
      <w:r w:rsidRPr="005845DC">
        <w:rPr>
          <w:rFonts w:asciiTheme="minorBidi" w:eastAsia="Times New Roman" w:hAnsiTheme="minorBidi"/>
          <w:sz w:val="20"/>
          <w:szCs w:val="20"/>
        </w:rPr>
        <w:t xml:space="preserve"> Lake as an example. </w:t>
      </w:r>
      <w:r w:rsidRPr="005845DC">
        <w:rPr>
          <w:rFonts w:asciiTheme="minorBidi" w:eastAsia="Times New Roman" w:hAnsiTheme="minorBidi"/>
          <w:i/>
          <w:iCs/>
          <w:sz w:val="20"/>
          <w:szCs w:val="20"/>
        </w:rPr>
        <w:t>Journal of Environmental Engineering Technology, 13</w:t>
      </w:r>
      <w:r w:rsidRPr="005845DC">
        <w:rPr>
          <w:rFonts w:asciiTheme="minorBidi" w:eastAsia="Times New Roman" w:hAnsiTheme="minorBidi"/>
          <w:sz w:val="20"/>
          <w:szCs w:val="20"/>
        </w:rPr>
        <w:t xml:space="preserve">(1), 188–196. </w:t>
      </w:r>
      <w:hyperlink r:id="rId32" w:tgtFrame="_new" w:history="1">
        <w:r w:rsidRPr="005845DC">
          <w:rPr>
            <w:rFonts w:asciiTheme="minorBidi" w:eastAsia="Times New Roman" w:hAnsiTheme="minorBidi"/>
            <w:color w:val="0000FF"/>
            <w:sz w:val="20"/>
            <w:szCs w:val="20"/>
            <w:u w:val="single"/>
          </w:rPr>
          <w:t>https://doi.org/10.12153/j.issn.1674-991X.20210530</w:t>
        </w:r>
      </w:hyperlink>
    </w:p>
    <w:sectPr w:rsidR="008C1DDB" w:rsidRPr="005845D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0DEC2" w14:textId="77777777" w:rsidR="003F59A9" w:rsidRDefault="003F59A9" w:rsidP="00DA4460">
      <w:pPr>
        <w:spacing w:after="0" w:line="240" w:lineRule="auto"/>
      </w:pPr>
      <w:r>
        <w:separator/>
      </w:r>
    </w:p>
  </w:endnote>
  <w:endnote w:type="continuationSeparator" w:id="0">
    <w:p w14:paraId="2EFA5610" w14:textId="77777777" w:rsidR="003F59A9" w:rsidRDefault="003F59A9" w:rsidP="00D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E517" w14:textId="77777777" w:rsidR="001A2540" w:rsidRDefault="001A2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7031" w14:textId="77777777" w:rsidR="001A2540" w:rsidRDefault="001A2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A75C" w14:textId="77777777" w:rsidR="001A2540" w:rsidRDefault="001A2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D2E0" w14:textId="77777777" w:rsidR="003F59A9" w:rsidRDefault="003F59A9" w:rsidP="00DA4460">
      <w:pPr>
        <w:spacing w:after="0" w:line="240" w:lineRule="auto"/>
      </w:pPr>
      <w:r>
        <w:separator/>
      </w:r>
    </w:p>
  </w:footnote>
  <w:footnote w:type="continuationSeparator" w:id="0">
    <w:p w14:paraId="2233D91F" w14:textId="77777777" w:rsidR="003F59A9" w:rsidRDefault="003F59A9" w:rsidP="00D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5B47" w14:textId="631381CE" w:rsidR="001A2540" w:rsidRDefault="001A2540">
    <w:pPr>
      <w:pStyle w:val="Header"/>
    </w:pPr>
    <w:r>
      <w:rPr>
        <w:noProof/>
      </w:rPr>
      <w:pict w14:anchorId="786C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8AE8" w14:textId="2C8C0775" w:rsidR="001A2540" w:rsidRDefault="001A2540">
    <w:pPr>
      <w:pStyle w:val="Header"/>
    </w:pPr>
    <w:r>
      <w:rPr>
        <w:noProof/>
      </w:rPr>
      <w:pict w14:anchorId="6A99E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7302" w14:textId="7866DBC0" w:rsidR="001A2540" w:rsidRDefault="001A2540">
    <w:pPr>
      <w:pStyle w:val="Header"/>
    </w:pPr>
    <w:r>
      <w:rPr>
        <w:noProof/>
      </w:rPr>
      <w:pict w14:anchorId="79FCF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8AE"/>
    <w:multiLevelType w:val="multilevel"/>
    <w:tmpl w:val="716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375228"/>
    <w:multiLevelType w:val="hybridMultilevel"/>
    <w:tmpl w:val="2C8A0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4B11ED"/>
    <w:multiLevelType w:val="hybridMultilevel"/>
    <w:tmpl w:val="9DE27AAE"/>
    <w:lvl w:ilvl="0" w:tplc="58D44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94E"/>
    <w:rsid w:val="0000727E"/>
    <w:rsid w:val="0001152A"/>
    <w:rsid w:val="00031169"/>
    <w:rsid w:val="000360E0"/>
    <w:rsid w:val="00066C1E"/>
    <w:rsid w:val="00073487"/>
    <w:rsid w:val="0008389E"/>
    <w:rsid w:val="00090E00"/>
    <w:rsid w:val="000A047A"/>
    <w:rsid w:val="000E16FB"/>
    <w:rsid w:val="000F7BA4"/>
    <w:rsid w:val="0011186D"/>
    <w:rsid w:val="00112CA1"/>
    <w:rsid w:val="00133B85"/>
    <w:rsid w:val="00165460"/>
    <w:rsid w:val="001A2540"/>
    <w:rsid w:val="001A7102"/>
    <w:rsid w:val="001C66E5"/>
    <w:rsid w:val="001D1E33"/>
    <w:rsid w:val="001E5970"/>
    <w:rsid w:val="00215107"/>
    <w:rsid w:val="002321F9"/>
    <w:rsid w:val="0028009B"/>
    <w:rsid w:val="00280871"/>
    <w:rsid w:val="00293970"/>
    <w:rsid w:val="0029763F"/>
    <w:rsid w:val="002A7CB0"/>
    <w:rsid w:val="002B0F1D"/>
    <w:rsid w:val="002C0DE8"/>
    <w:rsid w:val="002D1D14"/>
    <w:rsid w:val="002E1C13"/>
    <w:rsid w:val="002F1A9C"/>
    <w:rsid w:val="002F3E66"/>
    <w:rsid w:val="00301BCB"/>
    <w:rsid w:val="00317D48"/>
    <w:rsid w:val="00360898"/>
    <w:rsid w:val="00361B87"/>
    <w:rsid w:val="0036248E"/>
    <w:rsid w:val="00362D76"/>
    <w:rsid w:val="0039488B"/>
    <w:rsid w:val="003A47F4"/>
    <w:rsid w:val="003F59A9"/>
    <w:rsid w:val="004563E1"/>
    <w:rsid w:val="004576E5"/>
    <w:rsid w:val="00461C16"/>
    <w:rsid w:val="00462DAC"/>
    <w:rsid w:val="004905D3"/>
    <w:rsid w:val="004A5CAD"/>
    <w:rsid w:val="004B3300"/>
    <w:rsid w:val="004C6CEA"/>
    <w:rsid w:val="00501320"/>
    <w:rsid w:val="0050394A"/>
    <w:rsid w:val="0054363F"/>
    <w:rsid w:val="00546702"/>
    <w:rsid w:val="00551CCC"/>
    <w:rsid w:val="0057071F"/>
    <w:rsid w:val="005845DC"/>
    <w:rsid w:val="005956B0"/>
    <w:rsid w:val="005C7A77"/>
    <w:rsid w:val="005F0A7C"/>
    <w:rsid w:val="006460AD"/>
    <w:rsid w:val="00661E27"/>
    <w:rsid w:val="00680BD2"/>
    <w:rsid w:val="006A0C29"/>
    <w:rsid w:val="006D22C5"/>
    <w:rsid w:val="006E2D38"/>
    <w:rsid w:val="007032AA"/>
    <w:rsid w:val="00736B61"/>
    <w:rsid w:val="00766516"/>
    <w:rsid w:val="00773345"/>
    <w:rsid w:val="007B2F27"/>
    <w:rsid w:val="008202F7"/>
    <w:rsid w:val="00833FE2"/>
    <w:rsid w:val="0084565E"/>
    <w:rsid w:val="00847F86"/>
    <w:rsid w:val="00865449"/>
    <w:rsid w:val="00866323"/>
    <w:rsid w:val="008A3772"/>
    <w:rsid w:val="008C1DDB"/>
    <w:rsid w:val="008C5874"/>
    <w:rsid w:val="0090294E"/>
    <w:rsid w:val="009116BD"/>
    <w:rsid w:val="00924249"/>
    <w:rsid w:val="00925CAA"/>
    <w:rsid w:val="0095404C"/>
    <w:rsid w:val="00977905"/>
    <w:rsid w:val="00981FB0"/>
    <w:rsid w:val="009923DE"/>
    <w:rsid w:val="00997D23"/>
    <w:rsid w:val="009A286E"/>
    <w:rsid w:val="009D497A"/>
    <w:rsid w:val="009E06A3"/>
    <w:rsid w:val="009E3622"/>
    <w:rsid w:val="009F295C"/>
    <w:rsid w:val="00A0676F"/>
    <w:rsid w:val="00A3624F"/>
    <w:rsid w:val="00A73524"/>
    <w:rsid w:val="00A862AB"/>
    <w:rsid w:val="00A92D4B"/>
    <w:rsid w:val="00A954BF"/>
    <w:rsid w:val="00AB6847"/>
    <w:rsid w:val="00AD2CB5"/>
    <w:rsid w:val="00AE5AD0"/>
    <w:rsid w:val="00AE7931"/>
    <w:rsid w:val="00AF3412"/>
    <w:rsid w:val="00B411F1"/>
    <w:rsid w:val="00B654CA"/>
    <w:rsid w:val="00B70CDD"/>
    <w:rsid w:val="00BE0A18"/>
    <w:rsid w:val="00C10650"/>
    <w:rsid w:val="00C17B75"/>
    <w:rsid w:val="00C55655"/>
    <w:rsid w:val="00C86BAF"/>
    <w:rsid w:val="00CE2B7F"/>
    <w:rsid w:val="00CE6A4F"/>
    <w:rsid w:val="00D44AAF"/>
    <w:rsid w:val="00D52D4D"/>
    <w:rsid w:val="00D55FDB"/>
    <w:rsid w:val="00D70DBD"/>
    <w:rsid w:val="00DA4460"/>
    <w:rsid w:val="00DB082F"/>
    <w:rsid w:val="00DC709F"/>
    <w:rsid w:val="00DE69E9"/>
    <w:rsid w:val="00E17B48"/>
    <w:rsid w:val="00E84DED"/>
    <w:rsid w:val="00EA5CFF"/>
    <w:rsid w:val="00EE23DC"/>
    <w:rsid w:val="00F22680"/>
    <w:rsid w:val="00F34E4D"/>
    <w:rsid w:val="00F354B1"/>
    <w:rsid w:val="00F40A28"/>
    <w:rsid w:val="00F60FD6"/>
    <w:rsid w:val="00F74F06"/>
    <w:rsid w:val="00F834DC"/>
    <w:rsid w:val="00F8589D"/>
    <w:rsid w:val="00F9040D"/>
    <w:rsid w:val="00FF1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D1541"/>
  <w15:docId w15:val="{D3D7BE26-7216-4B0B-BF48-4FF006B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6D"/>
    <w:pPr>
      <w:ind w:left="720"/>
      <w:contextualSpacing/>
    </w:pPr>
  </w:style>
  <w:style w:type="paragraph" w:styleId="NormalWeb">
    <w:name w:val="Normal (Web)"/>
    <w:basedOn w:val="Normal"/>
    <w:uiPriority w:val="99"/>
    <w:unhideWhenUsed/>
    <w:rsid w:val="00D70D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22"/>
    <w:rPr>
      <w:rFonts w:ascii="Tahoma" w:hAnsi="Tahoma" w:cs="Tahoma"/>
      <w:sz w:val="16"/>
      <w:szCs w:val="16"/>
    </w:rPr>
  </w:style>
  <w:style w:type="paragraph" w:styleId="Header">
    <w:name w:val="header"/>
    <w:basedOn w:val="Normal"/>
    <w:link w:val="HeaderChar"/>
    <w:uiPriority w:val="99"/>
    <w:unhideWhenUsed/>
    <w:rsid w:val="00DA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60"/>
  </w:style>
  <w:style w:type="paragraph" w:styleId="Footer">
    <w:name w:val="footer"/>
    <w:basedOn w:val="Normal"/>
    <w:link w:val="FooterChar"/>
    <w:uiPriority w:val="99"/>
    <w:unhideWhenUsed/>
    <w:rsid w:val="00DA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60"/>
  </w:style>
  <w:style w:type="character" w:styleId="Hyperlink">
    <w:name w:val="Hyperlink"/>
    <w:basedOn w:val="DefaultParagraphFont"/>
    <w:uiPriority w:val="99"/>
    <w:unhideWhenUsed/>
    <w:rsid w:val="00F34E4D"/>
    <w:rPr>
      <w:color w:val="0000FF" w:themeColor="hyperlink"/>
      <w:u w:val="single"/>
    </w:rPr>
  </w:style>
  <w:style w:type="table" w:styleId="LightShading">
    <w:name w:val="Light Shading"/>
    <w:basedOn w:val="TableNormal"/>
    <w:uiPriority w:val="60"/>
    <w:rsid w:val="00997D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661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connectjournals.com/03899.2022.18.79" TargetMode="External"/><Relationship Id="rId26" Type="http://schemas.openxmlformats.org/officeDocument/2006/relationships/hyperlink" Target="https://doi.org/10.3390/agronomy11010068" TargetMode="External"/><Relationship Id="rId39" Type="http://schemas.openxmlformats.org/officeDocument/2006/relationships/fontTable" Target="fontTable.xml"/><Relationship Id="rId21" Type="http://schemas.openxmlformats.org/officeDocument/2006/relationships/hyperlink" Target="https://doi.org/10.3390/soilsystems8010011"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iasj.rdd.edu.iq/journals/journal/issue/5688" TargetMode="External"/><Relationship Id="rId25" Type="http://schemas.openxmlformats.org/officeDocument/2006/relationships/hyperlink" Target="https://doi.org/10.3390/agronomy1311270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3390/agronomy13071679" TargetMode="External"/><Relationship Id="rId29" Type="http://schemas.openxmlformats.org/officeDocument/2006/relationships/hyperlink" Target="https://doi.org/10.54691/e8tr7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201/9780429445552-34" TargetMode="External"/><Relationship Id="rId32" Type="http://schemas.openxmlformats.org/officeDocument/2006/relationships/hyperlink" Target="https://doi.org/10.12153/j.issn.1674-991X.2021053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25130/tjas.22.1.14" TargetMode="External"/><Relationship Id="rId28" Type="http://schemas.openxmlformats.org/officeDocument/2006/relationships/hyperlink" Target="https://www.ars.usda.gov/ARSUserFiles/20360500/pdf/ah60.pdf"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journals.ekb.eg/article_362249.html?utm_source=chatgpt.com" TargetMode="External"/><Relationship Id="rId31" Type="http://schemas.openxmlformats.org/officeDocument/2006/relationships/hyperlink" Target="https://doi.org/10.3390/agronomy15081898"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4704/nq.2022.20.12.NQ77103" TargetMode="External"/><Relationship Id="rId27" Type="http://schemas.openxmlformats.org/officeDocument/2006/relationships/hyperlink" Target="https://www.mdpi.com/2073-4395/8/5/72?utm_source=chatgpt.com" TargetMode="External"/><Relationship Id="rId30" Type="http://schemas.openxmlformats.org/officeDocument/2006/relationships/hyperlink" Target="https://www.elsevier.com/books/environmental-soil-chemistry/sparks/978-0-443-14034-1"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322407552774491"/>
          <c:y val="6.5486555055344967E-2"/>
          <c:w val="0.62450524640197447"/>
          <c:h val="0.74147025527172483"/>
        </c:manualLayout>
      </c:layout>
      <c:scatterChart>
        <c:scatterStyle val="lineMarker"/>
        <c:varyColors val="0"/>
        <c:ser>
          <c:idx val="0"/>
          <c:order val="0"/>
          <c:tx>
            <c:strRef>
              <c:f>ورقة1!$F$2</c:f>
              <c:strCache>
                <c:ptCount val="1"/>
                <c:pt idx="0">
                  <c:v>River water</c:v>
                </c:pt>
              </c:strCache>
            </c:strRef>
          </c:tx>
          <c:spPr>
            <a:ln w="28575">
              <a:noFill/>
            </a:ln>
          </c:spPr>
          <c:trendline>
            <c:trendlineType val="linear"/>
            <c:dispRSqr val="1"/>
            <c:dispEq val="1"/>
            <c:trendlineLbl>
              <c:layout>
                <c:manualLayout>
                  <c:x val="0.39126849908349604"/>
                  <c:y val="-0.39943360980874426"/>
                </c:manualLayout>
              </c:layout>
              <c:numFmt formatCode="General" sourceLinked="0"/>
              <c:spPr>
                <a:solidFill>
                  <a:schemeClr val="tx2">
                    <a:lumMod val="20000"/>
                    <a:lumOff val="80000"/>
                  </a:schemeClr>
                </a:solidFill>
              </c:spPr>
              <c:txPr>
                <a:bodyPr/>
                <a:lstStyle/>
                <a:p>
                  <a:pPr>
                    <a:defRPr sz="1000" b="1"/>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ورقة1!$F$3:$F$12</c:f>
              <c:numCache>
                <c:formatCode>General</c:formatCode>
                <c:ptCount val="10"/>
                <c:pt idx="0">
                  <c:v>2.9</c:v>
                </c:pt>
                <c:pt idx="1">
                  <c:v>5.6</c:v>
                </c:pt>
                <c:pt idx="2">
                  <c:v>8.1</c:v>
                </c:pt>
                <c:pt idx="3">
                  <c:v>10.4</c:v>
                </c:pt>
                <c:pt idx="4">
                  <c:v>12.6</c:v>
                </c:pt>
                <c:pt idx="5">
                  <c:v>14.7</c:v>
                </c:pt>
                <c:pt idx="6">
                  <c:v>16.5</c:v>
                </c:pt>
                <c:pt idx="7">
                  <c:v>18.100000000000001</c:v>
                </c:pt>
                <c:pt idx="8">
                  <c:v>19.600000000000001</c:v>
                </c:pt>
                <c:pt idx="9">
                  <c:v>20.9</c:v>
                </c:pt>
              </c:numCache>
            </c:numRef>
          </c:yVal>
          <c:smooth val="0"/>
          <c:extLst>
            <c:ext xmlns:c16="http://schemas.microsoft.com/office/drawing/2014/chart" uri="{C3380CC4-5D6E-409C-BE32-E72D297353CC}">
              <c16:uniqueId val="{00000001-B5B6-406C-80D0-88C51F195A80}"/>
            </c:ext>
          </c:extLst>
        </c:ser>
        <c:ser>
          <c:idx val="1"/>
          <c:order val="1"/>
          <c:tx>
            <c:strRef>
              <c:f>ورقة1!$G$2</c:f>
              <c:strCache>
                <c:ptCount val="1"/>
                <c:pt idx="0">
                  <c:v>well water</c:v>
                </c:pt>
              </c:strCache>
            </c:strRef>
          </c:tx>
          <c:spPr>
            <a:ln w="28575">
              <a:noFill/>
            </a:ln>
          </c:spPr>
          <c:trendline>
            <c:trendlineType val="linear"/>
            <c:dispRSqr val="1"/>
            <c:dispEq val="1"/>
            <c:trendlineLbl>
              <c:layout>
                <c:manualLayout>
                  <c:x val="0.387396824743378"/>
                  <c:y val="-7.6669183475353259E-2"/>
                </c:manualLayout>
              </c:layout>
              <c:numFmt formatCode="General" sourceLinked="0"/>
              <c:spPr>
                <a:solidFill>
                  <a:schemeClr val="accent2">
                    <a:lumMod val="40000"/>
                    <a:lumOff val="60000"/>
                  </a:schemeClr>
                </a:solidFill>
              </c:spPr>
              <c:txPr>
                <a:bodyPr/>
                <a:lstStyle/>
                <a:p>
                  <a:pPr>
                    <a:defRPr sz="1000" b="1">
                      <a:solidFill>
                        <a:sysClr val="windowText" lastClr="000000"/>
                      </a:solidFill>
                    </a:defRPr>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ورقة1!$G$3:$G$12</c:f>
              <c:numCache>
                <c:formatCode>General</c:formatCode>
                <c:ptCount val="10"/>
                <c:pt idx="0">
                  <c:v>13.4</c:v>
                </c:pt>
                <c:pt idx="1">
                  <c:v>26.4</c:v>
                </c:pt>
                <c:pt idx="2">
                  <c:v>40.200000000000003</c:v>
                </c:pt>
                <c:pt idx="3">
                  <c:v>54.4</c:v>
                </c:pt>
                <c:pt idx="4">
                  <c:v>69</c:v>
                </c:pt>
                <c:pt idx="5">
                  <c:v>83.2</c:v>
                </c:pt>
                <c:pt idx="6">
                  <c:v>97.9</c:v>
                </c:pt>
                <c:pt idx="7">
                  <c:v>112.4</c:v>
                </c:pt>
                <c:pt idx="8">
                  <c:v>127.1</c:v>
                </c:pt>
                <c:pt idx="9">
                  <c:v>141.6</c:v>
                </c:pt>
              </c:numCache>
            </c:numRef>
          </c:yVal>
          <c:smooth val="0"/>
          <c:extLst>
            <c:ext xmlns:c16="http://schemas.microsoft.com/office/drawing/2014/chart" uri="{C3380CC4-5D6E-409C-BE32-E72D297353CC}">
              <c16:uniqueId val="{00000003-B5B6-406C-80D0-88C51F195A80}"/>
            </c:ext>
          </c:extLst>
        </c:ser>
        <c:dLbls>
          <c:showLegendKey val="0"/>
          <c:showVal val="0"/>
          <c:showCatName val="0"/>
          <c:showSerName val="0"/>
          <c:showPercent val="0"/>
          <c:showBubbleSize val="0"/>
        </c:dLbls>
        <c:axId val="209477632"/>
        <c:axId val="209479552"/>
      </c:scatterChart>
      <c:valAx>
        <c:axId val="209477632"/>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209479552"/>
        <c:crosses val="autoZero"/>
        <c:crossBetween val="midCat"/>
      </c:valAx>
      <c:valAx>
        <c:axId val="209479552"/>
        <c:scaling>
          <c:orientation val="minMax"/>
        </c:scaling>
        <c:delete val="0"/>
        <c:axPos val="l"/>
        <c:title>
          <c:tx>
            <c:rich>
              <a:bodyPr/>
              <a:lstStyle/>
              <a:p>
                <a:pPr rtl="0">
                  <a:defRPr sz="1100"/>
                </a:pPr>
                <a:r>
                  <a:rPr lang="en-US" sz="1100"/>
                  <a:t>Cumulative</a:t>
                </a:r>
                <a:r>
                  <a:rPr lang="en-US" sz="1100" baseline="0"/>
                  <a:t> released Na</a:t>
                </a:r>
                <a:r>
                  <a:rPr lang="en-US" sz="1100" baseline="30000"/>
                  <a:t>+</a:t>
                </a:r>
                <a:endParaRPr lang="ar-IQ" sz="1100" baseline="30000"/>
              </a:p>
            </c:rich>
          </c:tx>
          <c:layout>
            <c:manualLayout>
              <c:xMode val="edge"/>
              <c:yMode val="edge"/>
              <c:x val="1.4070630431252435E-2"/>
              <c:y val="0.14454905465583925"/>
            </c:manualLayout>
          </c:layout>
          <c:overlay val="0"/>
        </c:title>
        <c:numFmt formatCode="General" sourceLinked="1"/>
        <c:majorTickMark val="out"/>
        <c:minorTickMark val="none"/>
        <c:tickLblPos val="nextTo"/>
        <c:txPr>
          <a:bodyPr/>
          <a:lstStyle/>
          <a:p>
            <a:pPr>
              <a:defRPr sz="1100" b="1"/>
            </a:pPr>
            <a:endParaRPr lang="en-US"/>
          </a:p>
        </c:txPr>
        <c:crossAx val="209477632"/>
        <c:crosses val="autoZero"/>
        <c:crossBetween val="midCat"/>
      </c:valAx>
    </c:plotArea>
    <c:legend>
      <c:legendPos val="r"/>
      <c:legendEntry>
        <c:idx val="2"/>
        <c:delete val="1"/>
      </c:legendEntry>
      <c:legendEntry>
        <c:idx val="3"/>
        <c:delete val="1"/>
      </c:legendEntry>
      <c:layout>
        <c:manualLayout>
          <c:xMode val="edge"/>
          <c:yMode val="edge"/>
          <c:x val="0.71594200759051529"/>
          <c:y val="0.53320228317839913"/>
          <c:w val="0.25960351656646324"/>
          <c:h val="0.2021653817103681"/>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Bashiqa</a:t>
            </a:r>
            <a:endParaRPr lang="ar-IQ" sz="1200"/>
          </a:p>
        </c:rich>
      </c:tx>
      <c:layout>
        <c:manualLayout>
          <c:xMode val="edge"/>
          <c:yMode val="edge"/>
          <c:x val="0.18230482575816637"/>
          <c:y val="2.9319221025581446E-2"/>
        </c:manualLayout>
      </c:layout>
      <c:overlay val="1"/>
      <c:spPr>
        <a:ln>
          <a:solidFill>
            <a:srgbClr val="4F81BD"/>
          </a:solidFill>
        </a:ln>
      </c:spPr>
    </c:title>
    <c:autoTitleDeleted val="0"/>
    <c:plotArea>
      <c:layout>
        <c:manualLayout>
          <c:layoutTarget val="inner"/>
          <c:xMode val="edge"/>
          <c:yMode val="edge"/>
          <c:x val="0.1711586271143849"/>
          <c:y val="0.15764680671193673"/>
          <c:w val="0.78300889977349153"/>
          <c:h val="0.70775834059496989"/>
        </c:manualLayout>
      </c:layout>
      <c:scatterChart>
        <c:scatterStyle val="lineMarker"/>
        <c:varyColors val="0"/>
        <c:ser>
          <c:idx val="0"/>
          <c:order val="0"/>
          <c:tx>
            <c:strRef>
              <c:f>ورقة2!$I$1</c:f>
              <c:strCache>
                <c:ptCount val="1"/>
                <c:pt idx="0">
                  <c:v>River water</c:v>
                </c:pt>
              </c:strCache>
            </c:strRef>
          </c:tx>
          <c:spPr>
            <a:ln w="28575">
              <a:noFill/>
            </a:ln>
          </c:spPr>
          <c:trendline>
            <c:trendlineType val="linear"/>
            <c:dispRSqr val="1"/>
            <c:dispEq val="1"/>
            <c:trendlineLbl>
              <c:layout>
                <c:manualLayout>
                  <c:x val="0.29844000642267765"/>
                  <c:y val="-0.48888187589191739"/>
                </c:manualLayout>
              </c:layout>
              <c:numFmt formatCode="General" sourceLinked="0"/>
              <c:spPr>
                <a:solidFill>
                  <a:schemeClr val="accent1">
                    <a:lumMod val="20000"/>
                    <a:lumOff val="80000"/>
                  </a:schemeClr>
                </a:solidFill>
              </c:spPr>
              <c:txPr>
                <a:bodyPr/>
                <a:lstStyle/>
                <a:p>
                  <a:pPr>
                    <a:defRPr sz="1000"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ورقة2!$I$2:$I$11</c:f>
              <c:numCache>
                <c:formatCode>General</c:formatCode>
                <c:ptCount val="10"/>
                <c:pt idx="0">
                  <c:v>2.4528301886792452</c:v>
                </c:pt>
                <c:pt idx="1">
                  <c:v>2.2641509433962264</c:v>
                </c:pt>
                <c:pt idx="2">
                  <c:v>2.0754716981132075</c:v>
                </c:pt>
                <c:pt idx="3">
                  <c:v>1.8867924528301885</c:v>
                </c:pt>
                <c:pt idx="4">
                  <c:v>1.6981132075471699</c:v>
                </c:pt>
                <c:pt idx="5">
                  <c:v>1.5094339622641511</c:v>
                </c:pt>
                <c:pt idx="6">
                  <c:v>1.5094339622641511</c:v>
                </c:pt>
                <c:pt idx="7">
                  <c:v>1.320754716981132</c:v>
                </c:pt>
                <c:pt idx="8">
                  <c:v>1.1320754716981132</c:v>
                </c:pt>
                <c:pt idx="9">
                  <c:v>1.1320754716981132</c:v>
                </c:pt>
              </c:numCache>
            </c:numRef>
          </c:yVal>
          <c:smooth val="0"/>
          <c:extLst>
            <c:ext xmlns:c16="http://schemas.microsoft.com/office/drawing/2014/chart" uri="{C3380CC4-5D6E-409C-BE32-E72D297353CC}">
              <c16:uniqueId val="{00000001-FB0B-4BFE-ABFD-4983F34509AC}"/>
            </c:ext>
          </c:extLst>
        </c:ser>
        <c:ser>
          <c:idx val="1"/>
          <c:order val="1"/>
          <c:tx>
            <c:strRef>
              <c:f>ورقة2!$J$1</c:f>
              <c:strCache>
                <c:ptCount val="1"/>
                <c:pt idx="0">
                  <c:v>well water</c:v>
                </c:pt>
              </c:strCache>
            </c:strRef>
          </c:tx>
          <c:spPr>
            <a:ln w="28575">
              <a:noFill/>
            </a:ln>
          </c:spPr>
          <c:trendline>
            <c:trendlineType val="linear"/>
            <c:dispRSqr val="1"/>
            <c:dispEq val="1"/>
            <c:trendlineLbl>
              <c:layout>
                <c:manualLayout>
                  <c:x val="0.29422834577422324"/>
                  <c:y val="-0.36146964659033654"/>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ورقة2!$J$2:$J$11</c:f>
              <c:numCache>
                <c:formatCode>General</c:formatCode>
                <c:ptCount val="10"/>
                <c:pt idx="0">
                  <c:v>0.60714285714285721</c:v>
                </c:pt>
                <c:pt idx="1">
                  <c:v>0.625</c:v>
                </c:pt>
                <c:pt idx="2">
                  <c:v>0.6428571428571429</c:v>
                </c:pt>
                <c:pt idx="3">
                  <c:v>0.66071428571428581</c:v>
                </c:pt>
                <c:pt idx="4">
                  <c:v>0.6785714285714286</c:v>
                </c:pt>
                <c:pt idx="5">
                  <c:v>0.69642857142857151</c:v>
                </c:pt>
                <c:pt idx="6">
                  <c:v>0.7142857142857143</c:v>
                </c:pt>
                <c:pt idx="7">
                  <c:v>0.7321428571428571</c:v>
                </c:pt>
                <c:pt idx="8">
                  <c:v>0.75000000000000011</c:v>
                </c:pt>
                <c:pt idx="9">
                  <c:v>0.75000000000000011</c:v>
                </c:pt>
              </c:numCache>
            </c:numRef>
          </c:yVal>
          <c:smooth val="0"/>
          <c:extLst>
            <c:ext xmlns:c16="http://schemas.microsoft.com/office/drawing/2014/chart" uri="{C3380CC4-5D6E-409C-BE32-E72D297353CC}">
              <c16:uniqueId val="{00000003-FB0B-4BFE-ABFD-4983F34509AC}"/>
            </c:ext>
          </c:extLst>
        </c:ser>
        <c:dLbls>
          <c:showLegendKey val="0"/>
          <c:showVal val="0"/>
          <c:showCatName val="0"/>
          <c:showSerName val="0"/>
          <c:showPercent val="0"/>
          <c:showBubbleSize val="0"/>
        </c:dLbls>
        <c:axId val="334829056"/>
        <c:axId val="334830976"/>
      </c:scatterChart>
      <c:valAx>
        <c:axId val="334829056"/>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34830976"/>
        <c:crosses val="autoZero"/>
        <c:crossBetween val="midCat"/>
      </c:valAx>
      <c:valAx>
        <c:axId val="334830976"/>
        <c:scaling>
          <c:orientation val="minMax"/>
        </c:scaling>
        <c:delete val="0"/>
        <c:axPos val="l"/>
        <c:title>
          <c:tx>
            <c:rich>
              <a:bodyPr/>
              <a:lstStyle/>
              <a:p>
                <a:pPr>
                  <a:defRPr sz="1100"/>
                </a:pPr>
                <a:r>
                  <a:rPr lang="en-US" sz="1100"/>
                  <a:t>ECt</a:t>
                </a:r>
                <a:r>
                  <a:rPr lang="ar-IQ" sz="1100"/>
                  <a:t>/</a:t>
                </a:r>
                <a:r>
                  <a:rPr lang="en-US" sz="1100"/>
                  <a:t>ECo</a:t>
                </a:r>
                <a:r>
                  <a:rPr lang="en-US" sz="1100" baseline="0"/>
                  <a:t> dSm</a:t>
                </a:r>
                <a:r>
                  <a:rPr lang="en-US" sz="1100" baseline="30000"/>
                  <a:t>-1</a:t>
                </a:r>
                <a:endParaRPr lang="ar-IQ" sz="1100" baseline="30000"/>
              </a:p>
            </c:rich>
          </c:tx>
          <c:layout>
            <c:manualLayout>
              <c:xMode val="edge"/>
              <c:yMode val="edge"/>
              <c:x val="1.1878654400994689E-2"/>
              <c:y val="0.30096426781710645"/>
            </c:manualLayout>
          </c:layout>
          <c:overlay val="0"/>
        </c:title>
        <c:numFmt formatCode="General" sourceLinked="1"/>
        <c:majorTickMark val="out"/>
        <c:minorTickMark val="none"/>
        <c:tickLblPos val="nextTo"/>
        <c:txPr>
          <a:bodyPr/>
          <a:lstStyle/>
          <a:p>
            <a:pPr>
              <a:defRPr sz="1100" b="1"/>
            </a:pPr>
            <a:endParaRPr lang="en-US"/>
          </a:p>
        </c:txPr>
        <c:crossAx val="334829056"/>
        <c:crosses val="autoZero"/>
        <c:crossBetween val="midCat"/>
      </c:valAx>
    </c:plotArea>
    <c:legend>
      <c:legendPos val="t"/>
      <c:legendEntry>
        <c:idx val="2"/>
        <c:delete val="1"/>
      </c:legendEntry>
      <c:legendEntry>
        <c:idx val="3"/>
        <c:delete val="1"/>
      </c:legendEntry>
      <c:layout>
        <c:manualLayout>
          <c:xMode val="edge"/>
          <c:yMode val="edge"/>
          <c:x val="0.20433641075581582"/>
          <c:y val="0.12348993288590604"/>
          <c:w val="0.43510260566493469"/>
          <c:h val="9.708946784336522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45970745484443"/>
          <c:y val="6.3437403692364447E-2"/>
          <c:w val="0.61654163558781572"/>
          <c:h val="0.73511345461253119"/>
        </c:manualLayout>
      </c:layout>
      <c:scatterChart>
        <c:scatterStyle val="lineMarker"/>
        <c:varyColors val="0"/>
        <c:ser>
          <c:idx val="0"/>
          <c:order val="0"/>
          <c:tx>
            <c:strRef>
              <c:f>ورقة1!$F$22</c:f>
              <c:strCache>
                <c:ptCount val="1"/>
                <c:pt idx="0">
                  <c:v>River water</c:v>
                </c:pt>
              </c:strCache>
            </c:strRef>
          </c:tx>
          <c:spPr>
            <a:ln w="28575">
              <a:noFill/>
            </a:ln>
          </c:spPr>
          <c:trendline>
            <c:trendlineType val="linear"/>
            <c:dispRSqr val="1"/>
            <c:dispEq val="1"/>
            <c:trendlineLbl>
              <c:layout>
                <c:manualLayout>
                  <c:x val="0.41813029359473047"/>
                  <c:y val="-0.35591072999219414"/>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ورقة1!$F$23:$F$32</c:f>
              <c:numCache>
                <c:formatCode>General</c:formatCode>
                <c:ptCount val="10"/>
                <c:pt idx="0">
                  <c:v>4.5</c:v>
                </c:pt>
                <c:pt idx="1">
                  <c:v>8</c:v>
                </c:pt>
                <c:pt idx="2">
                  <c:v>11.2</c:v>
                </c:pt>
                <c:pt idx="3">
                  <c:v>14.2</c:v>
                </c:pt>
                <c:pt idx="4">
                  <c:v>17</c:v>
                </c:pt>
                <c:pt idx="5">
                  <c:v>19.5</c:v>
                </c:pt>
                <c:pt idx="6">
                  <c:v>21.8</c:v>
                </c:pt>
                <c:pt idx="7">
                  <c:v>24</c:v>
                </c:pt>
                <c:pt idx="8">
                  <c:v>26.1</c:v>
                </c:pt>
                <c:pt idx="9">
                  <c:v>28.1</c:v>
                </c:pt>
              </c:numCache>
            </c:numRef>
          </c:yVal>
          <c:smooth val="0"/>
          <c:extLst>
            <c:ext xmlns:c16="http://schemas.microsoft.com/office/drawing/2014/chart" uri="{C3380CC4-5D6E-409C-BE32-E72D297353CC}">
              <c16:uniqueId val="{00000001-8C3C-4E7D-8657-EB68BE1A43C2}"/>
            </c:ext>
          </c:extLst>
        </c:ser>
        <c:ser>
          <c:idx val="1"/>
          <c:order val="1"/>
          <c:tx>
            <c:strRef>
              <c:f>ورقة1!$G$22</c:f>
              <c:strCache>
                <c:ptCount val="1"/>
                <c:pt idx="0">
                  <c:v>well water</c:v>
                </c:pt>
              </c:strCache>
            </c:strRef>
          </c:tx>
          <c:spPr>
            <a:ln w="28575">
              <a:noFill/>
            </a:ln>
          </c:spPr>
          <c:trendline>
            <c:trendlineType val="linear"/>
            <c:dispRSqr val="1"/>
            <c:dispEq val="1"/>
            <c:trendlineLbl>
              <c:layout>
                <c:manualLayout>
                  <c:x val="0.43517602643656594"/>
                  <c:y val="-8.057875686947602E-2"/>
                </c:manualLayout>
              </c:layout>
              <c:numFmt formatCode="General" sourceLinked="0"/>
              <c:spPr>
                <a:solidFill>
                  <a:schemeClr val="accent2">
                    <a:lumMod val="20000"/>
                    <a:lumOff val="80000"/>
                  </a:schemeClr>
                </a:solidFill>
              </c:spPr>
              <c:txPr>
                <a:bodyPr/>
                <a:lstStyle/>
                <a:p>
                  <a:pPr>
                    <a:defRPr b="1"/>
                  </a:pPr>
                  <a:endParaRPr lang="en-US"/>
                </a:p>
              </c:txPr>
            </c:trendlineLbl>
          </c:trendline>
          <c:trendline>
            <c:trendlineType val="linear"/>
            <c:dispRSqr val="0"/>
            <c:dispEq val="0"/>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ورقة1!$G$23:$G$32</c:f>
              <c:numCache>
                <c:formatCode>General</c:formatCode>
                <c:ptCount val="10"/>
                <c:pt idx="0">
                  <c:v>10.8</c:v>
                </c:pt>
                <c:pt idx="1">
                  <c:v>22.4</c:v>
                </c:pt>
                <c:pt idx="2">
                  <c:v>33.799999999999997</c:v>
                </c:pt>
                <c:pt idx="3">
                  <c:v>45.9</c:v>
                </c:pt>
                <c:pt idx="4">
                  <c:v>57.9</c:v>
                </c:pt>
                <c:pt idx="5">
                  <c:v>71.3</c:v>
                </c:pt>
                <c:pt idx="6">
                  <c:v>85.1</c:v>
                </c:pt>
                <c:pt idx="7">
                  <c:v>98.9</c:v>
                </c:pt>
                <c:pt idx="8">
                  <c:v>112.1</c:v>
                </c:pt>
                <c:pt idx="9">
                  <c:v>125.4</c:v>
                </c:pt>
              </c:numCache>
            </c:numRef>
          </c:yVal>
          <c:smooth val="0"/>
          <c:extLst>
            <c:ext xmlns:c16="http://schemas.microsoft.com/office/drawing/2014/chart" uri="{C3380CC4-5D6E-409C-BE32-E72D297353CC}">
              <c16:uniqueId val="{00000004-8C3C-4E7D-8657-EB68BE1A43C2}"/>
            </c:ext>
          </c:extLst>
        </c:ser>
        <c:dLbls>
          <c:showLegendKey val="0"/>
          <c:showVal val="0"/>
          <c:showCatName val="0"/>
          <c:showSerName val="0"/>
          <c:showPercent val="0"/>
          <c:showBubbleSize val="0"/>
        </c:dLbls>
        <c:axId val="308836992"/>
        <c:axId val="308839168"/>
      </c:scatterChart>
      <c:valAx>
        <c:axId val="308836992"/>
        <c:scaling>
          <c:orientation val="minMax"/>
        </c:scaling>
        <c:delete val="0"/>
        <c:axPos val="b"/>
        <c:title>
          <c:tx>
            <c:rich>
              <a:bodyPr/>
              <a:lstStyle/>
              <a:p>
                <a:pPr>
                  <a:defRPr sz="1200"/>
                </a:pPr>
                <a:r>
                  <a:rPr lang="en-US" sz="1200"/>
                  <a:t>PV</a:t>
                </a:r>
                <a:endParaRPr lang="ar-IQ" sz="1200"/>
              </a:p>
            </c:rich>
          </c:tx>
          <c:layout>
            <c:manualLayout>
              <c:xMode val="edge"/>
              <c:yMode val="edge"/>
              <c:x val="0.44388272749536439"/>
              <c:y val="0.89050123734533171"/>
            </c:manualLayout>
          </c:layout>
          <c:overlay val="0"/>
        </c:title>
        <c:numFmt formatCode="General" sourceLinked="1"/>
        <c:majorTickMark val="out"/>
        <c:minorTickMark val="none"/>
        <c:tickLblPos val="nextTo"/>
        <c:txPr>
          <a:bodyPr/>
          <a:lstStyle/>
          <a:p>
            <a:pPr>
              <a:defRPr b="1"/>
            </a:pPr>
            <a:endParaRPr lang="en-US"/>
          </a:p>
        </c:txPr>
        <c:crossAx val="308839168"/>
        <c:crosses val="autoZero"/>
        <c:crossBetween val="midCat"/>
      </c:valAx>
      <c:valAx>
        <c:axId val="308839168"/>
        <c:scaling>
          <c:orientation val="minMax"/>
        </c:scaling>
        <c:delete val="0"/>
        <c:axPos val="l"/>
        <c:title>
          <c:tx>
            <c:rich>
              <a:bodyPr/>
              <a:lstStyle/>
              <a:p>
                <a:pPr>
                  <a:defRPr/>
                </a:pPr>
                <a:r>
                  <a:rPr lang="en-US"/>
                  <a:t>Cumulative released Mg</a:t>
                </a:r>
                <a:r>
                  <a:rPr lang="en-US" baseline="30000"/>
                  <a:t>+2</a:t>
                </a:r>
                <a:endParaRPr lang="ar-IQ" baseline="30000"/>
              </a:p>
            </c:rich>
          </c:tx>
          <c:layout>
            <c:manualLayout>
              <c:xMode val="edge"/>
              <c:yMode val="edge"/>
              <c:x val="5.8089556987194783E-3"/>
              <c:y val="0.106518785151856"/>
            </c:manualLayout>
          </c:layout>
          <c:overlay val="0"/>
        </c:title>
        <c:numFmt formatCode="General" sourceLinked="1"/>
        <c:majorTickMark val="out"/>
        <c:minorTickMark val="none"/>
        <c:tickLblPos val="nextTo"/>
        <c:txPr>
          <a:bodyPr/>
          <a:lstStyle/>
          <a:p>
            <a:pPr>
              <a:defRPr b="1"/>
            </a:pPr>
            <a:endParaRPr lang="en-US"/>
          </a:p>
        </c:txPr>
        <c:crossAx val="308836992"/>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656251490873469"/>
          <c:y val="0.48242699662542182"/>
          <c:w val="0.25728039235018907"/>
          <c:h val="0.206643736545050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40988718206773"/>
          <c:y val="5.4330901321455197E-2"/>
          <c:w val="0.57538884672226243"/>
          <c:h val="0.75138220528686295"/>
        </c:manualLayout>
      </c:layout>
      <c:scatterChart>
        <c:scatterStyle val="lineMarker"/>
        <c:varyColors val="0"/>
        <c:ser>
          <c:idx val="0"/>
          <c:order val="0"/>
          <c:tx>
            <c:strRef>
              <c:f>ورقة1!$F$55</c:f>
              <c:strCache>
                <c:ptCount val="1"/>
                <c:pt idx="0">
                  <c:v>River water</c:v>
                </c:pt>
              </c:strCache>
            </c:strRef>
          </c:tx>
          <c:spPr>
            <a:ln w="28575">
              <a:noFill/>
            </a:ln>
          </c:spPr>
          <c:trendline>
            <c:trendlineType val="linear"/>
            <c:dispRSqr val="1"/>
            <c:dispEq val="1"/>
            <c:trendlineLbl>
              <c:layout>
                <c:manualLayout>
                  <c:x val="0.434023621354855"/>
                  <c:y val="-0.17175870452207484"/>
                </c:manualLayout>
              </c:layout>
              <c:numFmt formatCode="General" sourceLinked="0"/>
              <c:spPr>
                <a:solidFill>
                  <a:schemeClr val="tx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ورقة1!$F$56:$F$65</c:f>
              <c:numCache>
                <c:formatCode>General</c:formatCode>
                <c:ptCount val="10"/>
                <c:pt idx="0">
                  <c:v>33.700000000000003</c:v>
                </c:pt>
                <c:pt idx="1">
                  <c:v>56.9</c:v>
                </c:pt>
                <c:pt idx="2">
                  <c:v>97.9</c:v>
                </c:pt>
                <c:pt idx="3">
                  <c:v>130.30000000000001</c:v>
                </c:pt>
                <c:pt idx="4">
                  <c:v>161.4</c:v>
                </c:pt>
                <c:pt idx="5">
                  <c:v>191.4</c:v>
                </c:pt>
                <c:pt idx="6">
                  <c:v>219.4</c:v>
                </c:pt>
                <c:pt idx="7">
                  <c:v>244.7</c:v>
                </c:pt>
                <c:pt idx="8">
                  <c:v>267.10000000000002</c:v>
                </c:pt>
                <c:pt idx="9">
                  <c:v>289.3</c:v>
                </c:pt>
              </c:numCache>
            </c:numRef>
          </c:yVal>
          <c:smooth val="0"/>
          <c:extLst>
            <c:ext xmlns:c16="http://schemas.microsoft.com/office/drawing/2014/chart" uri="{C3380CC4-5D6E-409C-BE32-E72D297353CC}">
              <c16:uniqueId val="{00000001-B0E6-4DB1-BC19-B36D3BAF2DDA}"/>
            </c:ext>
          </c:extLst>
        </c:ser>
        <c:ser>
          <c:idx val="1"/>
          <c:order val="1"/>
          <c:tx>
            <c:strRef>
              <c:f>ورقة1!$G$55</c:f>
              <c:strCache>
                <c:ptCount val="1"/>
                <c:pt idx="0">
                  <c:v>well water</c:v>
                </c:pt>
              </c:strCache>
            </c:strRef>
          </c:tx>
          <c:spPr>
            <a:ln w="28575">
              <a:noFill/>
            </a:ln>
          </c:spPr>
          <c:trendline>
            <c:trendlineType val="linear"/>
            <c:dispRSqr val="1"/>
            <c:dispEq val="1"/>
            <c:trendlineLbl>
              <c:layout>
                <c:manualLayout>
                  <c:x val="0.45524021368102841"/>
                  <c:y val="-2.5802880834585942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ورقة1!$G$56:$G$65</c:f>
              <c:numCache>
                <c:formatCode>General</c:formatCode>
                <c:ptCount val="10"/>
                <c:pt idx="0">
                  <c:v>71.599999999999994</c:v>
                </c:pt>
                <c:pt idx="1">
                  <c:v>142.80000000000001</c:v>
                </c:pt>
                <c:pt idx="2">
                  <c:v>213.4</c:v>
                </c:pt>
                <c:pt idx="3">
                  <c:v>281.2</c:v>
                </c:pt>
                <c:pt idx="4">
                  <c:v>345.4</c:v>
                </c:pt>
                <c:pt idx="5">
                  <c:v>407.8</c:v>
                </c:pt>
                <c:pt idx="6">
                  <c:v>468.4</c:v>
                </c:pt>
                <c:pt idx="7">
                  <c:v>525.79999999999995</c:v>
                </c:pt>
                <c:pt idx="8">
                  <c:v>581.20000000000005</c:v>
                </c:pt>
                <c:pt idx="9">
                  <c:v>635.79999999999995</c:v>
                </c:pt>
              </c:numCache>
            </c:numRef>
          </c:yVal>
          <c:smooth val="0"/>
          <c:extLst>
            <c:ext xmlns:c16="http://schemas.microsoft.com/office/drawing/2014/chart" uri="{C3380CC4-5D6E-409C-BE32-E72D297353CC}">
              <c16:uniqueId val="{00000003-B0E6-4DB1-BC19-B36D3BAF2DDA}"/>
            </c:ext>
          </c:extLst>
        </c:ser>
        <c:dLbls>
          <c:showLegendKey val="0"/>
          <c:showVal val="0"/>
          <c:showCatName val="0"/>
          <c:showSerName val="0"/>
          <c:showPercent val="0"/>
          <c:showBubbleSize val="0"/>
        </c:dLbls>
        <c:axId val="309662848"/>
        <c:axId val="309664768"/>
      </c:scatterChart>
      <c:valAx>
        <c:axId val="30966284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crossAx val="309664768"/>
        <c:crosses val="autoZero"/>
        <c:crossBetween val="midCat"/>
      </c:valAx>
      <c:valAx>
        <c:axId val="309664768"/>
        <c:scaling>
          <c:orientation val="minMax"/>
        </c:scaling>
        <c:delete val="0"/>
        <c:axPos val="l"/>
        <c:title>
          <c:tx>
            <c:rich>
              <a:bodyPr/>
              <a:lstStyle/>
              <a:p>
                <a:pPr>
                  <a:defRPr sz="1100"/>
                </a:pPr>
                <a:r>
                  <a:rPr lang="en-US" sz="1100"/>
                  <a:t>Cumulative released</a:t>
                </a:r>
                <a:r>
                  <a:rPr lang="en-US" sz="1100" baseline="0"/>
                  <a:t> Mg</a:t>
                </a:r>
                <a:r>
                  <a:rPr lang="en-US" sz="1100" baseline="30000"/>
                  <a:t>+2</a:t>
                </a:r>
                <a:endParaRPr lang="ar-IQ" sz="1100" baseline="30000"/>
              </a:p>
            </c:rich>
          </c:tx>
          <c:layout>
            <c:manualLayout>
              <c:xMode val="edge"/>
              <c:yMode val="edge"/>
              <c:x val="2.404207362885049E-2"/>
              <c:y val="0.10256846212807472"/>
            </c:manualLayout>
          </c:layout>
          <c:overlay val="0"/>
        </c:title>
        <c:numFmt formatCode="General" sourceLinked="1"/>
        <c:majorTickMark val="out"/>
        <c:minorTickMark val="none"/>
        <c:tickLblPos val="nextTo"/>
        <c:crossAx val="309662848"/>
        <c:crosses val="autoZero"/>
        <c:crossBetween val="midCat"/>
      </c:valAx>
    </c:plotArea>
    <c:legend>
      <c:legendPos val="r"/>
      <c:legendEntry>
        <c:idx val="2"/>
        <c:delete val="1"/>
      </c:legendEntry>
      <c:legendEntry>
        <c:idx val="3"/>
        <c:delete val="1"/>
      </c:legendEntry>
      <c:layout>
        <c:manualLayout>
          <c:xMode val="edge"/>
          <c:yMode val="edge"/>
          <c:x val="0.72126165839857204"/>
          <c:y val="0.47429606697392912"/>
          <c:w val="0.26071095606629768"/>
          <c:h val="0.2122651233313232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47242549048395"/>
          <c:y val="7.3081967374165571E-2"/>
          <c:w val="0.59996278861615981"/>
          <c:h val="0.76120757831035313"/>
        </c:manualLayout>
      </c:layout>
      <c:scatterChart>
        <c:scatterStyle val="lineMarker"/>
        <c:varyColors val="0"/>
        <c:ser>
          <c:idx val="0"/>
          <c:order val="0"/>
          <c:tx>
            <c:strRef>
              <c:f>ورقة1!$F$38</c:f>
              <c:strCache>
                <c:ptCount val="1"/>
                <c:pt idx="0">
                  <c:v>River water</c:v>
                </c:pt>
              </c:strCache>
            </c:strRef>
          </c:tx>
          <c:spPr>
            <a:ln w="28575">
              <a:noFill/>
            </a:ln>
          </c:spPr>
          <c:trendline>
            <c:trendlineType val="linear"/>
            <c:dispRSqr val="1"/>
            <c:dispEq val="1"/>
            <c:trendlineLbl>
              <c:layout>
                <c:manualLayout>
                  <c:x val="0.56929183089589497"/>
                  <c:y val="-0.17243140986865679"/>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ورقة1!$F$39:$F$48</c:f>
              <c:numCache>
                <c:formatCode>General</c:formatCode>
                <c:ptCount val="10"/>
                <c:pt idx="0">
                  <c:v>28.6</c:v>
                </c:pt>
                <c:pt idx="1">
                  <c:v>53</c:v>
                </c:pt>
                <c:pt idx="2">
                  <c:v>76.599999999999994</c:v>
                </c:pt>
                <c:pt idx="3">
                  <c:v>100</c:v>
                </c:pt>
                <c:pt idx="4">
                  <c:v>122.7</c:v>
                </c:pt>
                <c:pt idx="5">
                  <c:v>142.5</c:v>
                </c:pt>
                <c:pt idx="6">
                  <c:v>160.19999999999999</c:v>
                </c:pt>
                <c:pt idx="7">
                  <c:v>176.4</c:v>
                </c:pt>
                <c:pt idx="8">
                  <c:v>192.8</c:v>
                </c:pt>
                <c:pt idx="9">
                  <c:v>207.4</c:v>
                </c:pt>
              </c:numCache>
            </c:numRef>
          </c:yVal>
          <c:smooth val="0"/>
          <c:extLst>
            <c:ext xmlns:c16="http://schemas.microsoft.com/office/drawing/2014/chart" uri="{C3380CC4-5D6E-409C-BE32-E72D297353CC}">
              <c16:uniqueId val="{00000001-5559-4C75-A908-645295D86406}"/>
            </c:ext>
          </c:extLst>
        </c:ser>
        <c:ser>
          <c:idx val="1"/>
          <c:order val="1"/>
          <c:tx>
            <c:strRef>
              <c:f>ورقة1!$G$38</c:f>
              <c:strCache>
                <c:ptCount val="1"/>
                <c:pt idx="0">
                  <c:v>well water</c:v>
                </c:pt>
              </c:strCache>
            </c:strRef>
          </c:tx>
          <c:spPr>
            <a:ln w="28575">
              <a:noFill/>
            </a:ln>
          </c:spPr>
          <c:trendline>
            <c:trendlineType val="linear"/>
            <c:dispRSqr val="1"/>
            <c:dispEq val="1"/>
            <c:trendlineLbl>
              <c:layout>
                <c:manualLayout>
                  <c:x val="0.56929183089589497"/>
                  <c:y val="-5.840284493486779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ورقة1!$G$39:$G$48</c:f>
              <c:numCache>
                <c:formatCode>General</c:formatCode>
                <c:ptCount val="10"/>
                <c:pt idx="0">
                  <c:v>44.2</c:v>
                </c:pt>
                <c:pt idx="1">
                  <c:v>86.5</c:v>
                </c:pt>
                <c:pt idx="2">
                  <c:v>128.6</c:v>
                </c:pt>
                <c:pt idx="3">
                  <c:v>169.8</c:v>
                </c:pt>
                <c:pt idx="4">
                  <c:v>210.5</c:v>
                </c:pt>
                <c:pt idx="5">
                  <c:v>249.1</c:v>
                </c:pt>
                <c:pt idx="6">
                  <c:v>286.5</c:v>
                </c:pt>
                <c:pt idx="7">
                  <c:v>322.7</c:v>
                </c:pt>
                <c:pt idx="8">
                  <c:v>358.3</c:v>
                </c:pt>
                <c:pt idx="9">
                  <c:v>390.9</c:v>
                </c:pt>
              </c:numCache>
            </c:numRef>
          </c:yVal>
          <c:smooth val="0"/>
          <c:extLst>
            <c:ext xmlns:c16="http://schemas.microsoft.com/office/drawing/2014/chart" uri="{C3380CC4-5D6E-409C-BE32-E72D297353CC}">
              <c16:uniqueId val="{00000003-5559-4C75-A908-645295D86406}"/>
            </c:ext>
          </c:extLst>
        </c:ser>
        <c:dLbls>
          <c:showLegendKey val="0"/>
          <c:showVal val="0"/>
          <c:showCatName val="0"/>
          <c:showSerName val="0"/>
          <c:showPercent val="0"/>
          <c:showBubbleSize val="0"/>
        </c:dLbls>
        <c:axId val="309906432"/>
        <c:axId val="309912704"/>
      </c:scatterChart>
      <c:valAx>
        <c:axId val="309906432"/>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09912704"/>
        <c:crosses val="autoZero"/>
        <c:crossBetween val="midCat"/>
      </c:valAx>
      <c:valAx>
        <c:axId val="309912704"/>
        <c:scaling>
          <c:orientation val="minMax"/>
        </c:scaling>
        <c:delete val="0"/>
        <c:axPos val="l"/>
        <c:title>
          <c:tx>
            <c:rich>
              <a:bodyPr/>
              <a:lstStyle/>
              <a:p>
                <a:pPr rtl="0">
                  <a:defRPr sz="1050"/>
                </a:pPr>
                <a:r>
                  <a:rPr lang="en-US" sz="1050"/>
                  <a:t>Cumulative released</a:t>
                </a:r>
                <a:r>
                  <a:rPr lang="en-US" sz="1050" baseline="0"/>
                  <a:t> Na+</a:t>
                </a:r>
                <a:endParaRPr lang="ar-IQ" sz="1050"/>
              </a:p>
            </c:rich>
          </c:tx>
          <c:layout>
            <c:manualLayout>
              <c:xMode val="edge"/>
              <c:yMode val="edge"/>
              <c:x val="1.9444444444444445E-2"/>
              <c:y val="0.22231080489938762"/>
            </c:manualLayout>
          </c:layout>
          <c:overlay val="0"/>
        </c:title>
        <c:numFmt formatCode="General" sourceLinked="1"/>
        <c:majorTickMark val="out"/>
        <c:minorTickMark val="none"/>
        <c:tickLblPos val="nextTo"/>
        <c:txPr>
          <a:bodyPr/>
          <a:lstStyle/>
          <a:p>
            <a:pPr>
              <a:defRPr sz="1100" b="1"/>
            </a:pPr>
            <a:endParaRPr lang="en-US"/>
          </a:p>
        </c:txPr>
        <c:crossAx val="309906432"/>
        <c:crosses val="autoZero"/>
        <c:crossBetween val="midCat"/>
      </c:valAx>
    </c:plotArea>
    <c:legend>
      <c:legendPos val="r"/>
      <c:legendEntry>
        <c:idx val="2"/>
        <c:delete val="1"/>
      </c:legendEntry>
      <c:legendEntry>
        <c:idx val="3"/>
        <c:delete val="1"/>
      </c:legendEntry>
      <c:layout>
        <c:manualLayout>
          <c:xMode val="edge"/>
          <c:yMode val="edge"/>
          <c:x val="0.72161125292027462"/>
          <c:y val="0.51103152110879702"/>
          <c:w val="0.26017633468044171"/>
          <c:h val="0.25551013488782465"/>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a:t>
            </a:r>
            <a:r>
              <a:rPr lang="en-US" sz="1200" baseline="0"/>
              <a:t> water</a:t>
            </a:r>
            <a:endParaRPr lang="ar-IQ" sz="1200"/>
          </a:p>
        </c:rich>
      </c:tx>
      <c:layout>
        <c:manualLayout>
          <c:xMode val="edge"/>
          <c:yMode val="edge"/>
          <c:x val="0.39826617124423219"/>
          <c:y val="1.4600148510152849E-2"/>
        </c:manualLayout>
      </c:layout>
      <c:overlay val="1"/>
      <c:spPr>
        <a:ln>
          <a:solidFill>
            <a:schemeClr val="bg1">
              <a:lumMod val="75000"/>
            </a:schemeClr>
          </a:solidFill>
        </a:ln>
      </c:spPr>
    </c:title>
    <c:autoTitleDeleted val="0"/>
    <c:plotArea>
      <c:layout>
        <c:manualLayout>
          <c:layoutTarget val="inner"/>
          <c:xMode val="edge"/>
          <c:yMode val="edge"/>
          <c:x val="0.18611403998672854"/>
          <c:y val="0.20071017879519704"/>
          <c:w val="0.63633787484828275"/>
          <c:h val="0.63371121163046107"/>
        </c:manualLayout>
      </c:layout>
      <c:scatterChart>
        <c:scatterStyle val="lineMarker"/>
        <c:varyColors val="0"/>
        <c:ser>
          <c:idx val="0"/>
          <c:order val="0"/>
          <c:tx>
            <c:strRef>
              <c:f>ورقة3!$L$29</c:f>
              <c:strCache>
                <c:ptCount val="1"/>
                <c:pt idx="0">
                  <c:v>Ln Na</c:v>
                </c:pt>
              </c:strCache>
            </c:strRef>
          </c:tx>
          <c:spPr>
            <a:ln w="28575">
              <a:noFill/>
            </a:ln>
          </c:spPr>
          <c:trendline>
            <c:trendlineType val="linear"/>
            <c:dispRSqr val="1"/>
            <c:dispEq val="1"/>
            <c:trendlineLbl>
              <c:layout>
                <c:manualLayout>
                  <c:x val="-0.35877572293143056"/>
                  <c:y val="-0.34038450588013303"/>
                </c:manualLayout>
              </c:layout>
              <c:numFmt formatCode="General" sourceLinked="0"/>
              <c:spPr>
                <a:solidFill>
                  <a:schemeClr val="accent1">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ورقة3!$L$30:$L$39</c:f>
              <c:numCache>
                <c:formatCode>General</c:formatCode>
                <c:ptCount val="10"/>
                <c:pt idx="0">
                  <c:v>2.68</c:v>
                </c:pt>
                <c:pt idx="1">
                  <c:v>2.68</c:v>
                </c:pt>
                <c:pt idx="2">
                  <c:v>2.81</c:v>
                </c:pt>
                <c:pt idx="3">
                  <c:v>2.81</c:v>
                </c:pt>
                <c:pt idx="4">
                  <c:v>2.67</c:v>
                </c:pt>
                <c:pt idx="5">
                  <c:v>2.66</c:v>
                </c:pt>
                <c:pt idx="6">
                  <c:v>2.65</c:v>
                </c:pt>
                <c:pt idx="7">
                  <c:v>2.62</c:v>
                </c:pt>
                <c:pt idx="8">
                  <c:v>2.65</c:v>
                </c:pt>
                <c:pt idx="9">
                  <c:v>2.59</c:v>
                </c:pt>
              </c:numCache>
            </c:numRef>
          </c:yVal>
          <c:smooth val="0"/>
          <c:extLst>
            <c:ext xmlns:c16="http://schemas.microsoft.com/office/drawing/2014/chart" uri="{C3380CC4-5D6E-409C-BE32-E72D297353CC}">
              <c16:uniqueId val="{00000001-6D56-4CD5-A32E-0D8AB7409B7F}"/>
            </c:ext>
          </c:extLst>
        </c:ser>
        <c:ser>
          <c:idx val="1"/>
          <c:order val="1"/>
          <c:tx>
            <c:strRef>
              <c:f>ورقة3!$M$29</c:f>
              <c:strCache>
                <c:ptCount val="1"/>
                <c:pt idx="0">
                  <c:v>Ln Mg</c:v>
                </c:pt>
              </c:strCache>
            </c:strRef>
          </c:tx>
          <c:spPr>
            <a:ln w="28575">
              <a:noFill/>
            </a:ln>
          </c:spPr>
          <c:trendline>
            <c:trendlineType val="linear"/>
            <c:dispRSqr val="1"/>
            <c:dispEq val="1"/>
            <c:trendlineLbl>
              <c:layout>
                <c:manualLayout>
                  <c:x val="0.40509412072421047"/>
                  <c:y val="-0.53415826566940305"/>
                </c:manualLayout>
              </c:layout>
              <c:numFmt formatCode="General" sourceLinked="0"/>
              <c:spPr>
                <a:solidFill>
                  <a:schemeClr val="accent2">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ورقة3!$M$30:$M$39</c:f>
              <c:numCache>
                <c:formatCode>General</c:formatCode>
                <c:ptCount val="10"/>
                <c:pt idx="0">
                  <c:v>2.58</c:v>
                </c:pt>
                <c:pt idx="1">
                  <c:v>2.58</c:v>
                </c:pt>
                <c:pt idx="2">
                  <c:v>2.62</c:v>
                </c:pt>
                <c:pt idx="3">
                  <c:v>2.62</c:v>
                </c:pt>
                <c:pt idx="4">
                  <c:v>2.62</c:v>
                </c:pt>
                <c:pt idx="5">
                  <c:v>2.59</c:v>
                </c:pt>
                <c:pt idx="6">
                  <c:v>2.5</c:v>
                </c:pt>
                <c:pt idx="7">
                  <c:v>2.4700000000000002</c:v>
                </c:pt>
                <c:pt idx="8">
                  <c:v>2.4500000000000002</c:v>
                </c:pt>
                <c:pt idx="9">
                  <c:v>2.37</c:v>
                </c:pt>
              </c:numCache>
            </c:numRef>
          </c:yVal>
          <c:smooth val="0"/>
          <c:extLst>
            <c:ext xmlns:c16="http://schemas.microsoft.com/office/drawing/2014/chart" uri="{C3380CC4-5D6E-409C-BE32-E72D297353CC}">
              <c16:uniqueId val="{00000003-6D56-4CD5-A32E-0D8AB7409B7F}"/>
            </c:ext>
          </c:extLst>
        </c:ser>
        <c:dLbls>
          <c:showLegendKey val="0"/>
          <c:showVal val="0"/>
          <c:showCatName val="0"/>
          <c:showSerName val="0"/>
          <c:showPercent val="0"/>
          <c:showBubbleSize val="0"/>
        </c:dLbls>
        <c:axId val="310051968"/>
        <c:axId val="310053888"/>
      </c:scatterChart>
      <c:valAx>
        <c:axId val="310051968"/>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37653992334461245"/>
              <c:y val="0.91007989399576061"/>
            </c:manualLayout>
          </c:layout>
          <c:overlay val="0"/>
        </c:title>
        <c:numFmt formatCode="General" sourceLinked="1"/>
        <c:majorTickMark val="out"/>
        <c:minorTickMark val="none"/>
        <c:tickLblPos val="nextTo"/>
        <c:txPr>
          <a:bodyPr/>
          <a:lstStyle/>
          <a:p>
            <a:pPr>
              <a:defRPr b="1"/>
            </a:pPr>
            <a:endParaRPr lang="en-US"/>
          </a:p>
        </c:txPr>
        <c:crossAx val="310053888"/>
        <c:crosses val="autoZero"/>
        <c:crossBetween val="midCat"/>
      </c:valAx>
      <c:valAx>
        <c:axId val="310053888"/>
        <c:scaling>
          <c:orientation val="minMax"/>
        </c:scaling>
        <c:delete val="0"/>
        <c:axPos val="l"/>
        <c:title>
          <c:tx>
            <c:rich>
              <a:bodyPr/>
              <a:lstStyle/>
              <a:p>
                <a:pPr>
                  <a:defRPr/>
                </a:pPr>
                <a:r>
                  <a:rPr lang="en-US"/>
                  <a:t>Ln Ct Na</a:t>
                </a:r>
                <a:r>
                  <a:rPr lang="en-US" baseline="30000"/>
                  <a:t>+</a:t>
                </a:r>
                <a:r>
                  <a:rPr lang="en-US"/>
                  <a:t> , Mg</a:t>
                </a:r>
                <a:r>
                  <a:rPr lang="en-US" baseline="30000"/>
                  <a:t>+2</a:t>
                </a:r>
                <a:endParaRPr lang="ar-IQ" baseline="30000"/>
              </a:p>
            </c:rich>
          </c:tx>
          <c:overlay val="0"/>
        </c:title>
        <c:numFmt formatCode="General" sourceLinked="1"/>
        <c:majorTickMark val="out"/>
        <c:minorTickMark val="none"/>
        <c:tickLblPos val="nextTo"/>
        <c:txPr>
          <a:bodyPr/>
          <a:lstStyle/>
          <a:p>
            <a:pPr>
              <a:defRPr sz="1000" b="1"/>
            </a:pPr>
            <a:endParaRPr lang="en-US"/>
          </a:p>
        </c:txPr>
        <c:crossAx val="310051968"/>
        <c:crosses val="autoZero"/>
        <c:crossBetween val="midCat"/>
      </c:valAx>
    </c:plotArea>
    <c:legend>
      <c:legendPos val="r"/>
      <c:legendEntry>
        <c:idx val="2"/>
        <c:delete val="1"/>
      </c:legendEntry>
      <c:legendEntry>
        <c:idx val="3"/>
        <c:delete val="1"/>
      </c:legendEntry>
      <c:layout>
        <c:manualLayout>
          <c:xMode val="edge"/>
          <c:yMode val="edge"/>
          <c:x val="0.81645877881433082"/>
          <c:y val="0.49302445889915936"/>
          <c:w val="0.15729941400184902"/>
          <c:h val="0.232952185324660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a:t>
            </a:r>
            <a:r>
              <a:rPr lang="en-US" sz="1200" baseline="0"/>
              <a:t> water</a:t>
            </a:r>
            <a:endParaRPr lang="ar-IQ" sz="1200"/>
          </a:p>
        </c:rich>
      </c:tx>
      <c:layout>
        <c:manualLayout>
          <c:xMode val="edge"/>
          <c:yMode val="edge"/>
          <c:x val="0.35559672079201221"/>
          <c:y val="3.6083924478473063E-2"/>
        </c:manualLayout>
      </c:layout>
      <c:overlay val="1"/>
      <c:spPr>
        <a:ln>
          <a:solidFill>
            <a:schemeClr val="bg1">
              <a:lumMod val="75000"/>
            </a:schemeClr>
          </a:solidFill>
        </a:ln>
      </c:spPr>
    </c:title>
    <c:autoTitleDeleted val="0"/>
    <c:plotArea>
      <c:layout>
        <c:manualLayout>
          <c:layoutTarget val="inner"/>
          <c:xMode val="edge"/>
          <c:yMode val="edge"/>
          <c:x val="0.18780292271363624"/>
          <c:y val="0.18828613550509615"/>
          <c:w val="0.70816945402485842"/>
          <c:h val="0.65138518642509258"/>
        </c:manualLayout>
      </c:layout>
      <c:scatterChart>
        <c:scatterStyle val="lineMarker"/>
        <c:varyColors val="0"/>
        <c:ser>
          <c:idx val="0"/>
          <c:order val="0"/>
          <c:tx>
            <c:strRef>
              <c:f>ورقة3!$L$2</c:f>
              <c:strCache>
                <c:ptCount val="1"/>
                <c:pt idx="0">
                  <c:v>Ln Na</c:v>
                </c:pt>
              </c:strCache>
            </c:strRef>
          </c:tx>
          <c:spPr>
            <a:ln w="28575">
              <a:noFill/>
            </a:ln>
          </c:spPr>
          <c:trendline>
            <c:trendlineType val="linear"/>
            <c:dispRSqr val="1"/>
            <c:dispEq val="1"/>
            <c:trendlineLbl>
              <c:layout>
                <c:manualLayout>
                  <c:x val="-0.44142103350553114"/>
                  <c:y val="-0.34037152716611491"/>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ورقة3!$L$3:$L$12</c:f>
              <c:numCache>
                <c:formatCode>General</c:formatCode>
                <c:ptCount val="10"/>
                <c:pt idx="0">
                  <c:v>0.26</c:v>
                </c:pt>
                <c:pt idx="1">
                  <c:v>0.4</c:v>
                </c:pt>
                <c:pt idx="2">
                  <c:v>0.47</c:v>
                </c:pt>
                <c:pt idx="3">
                  <c:v>0.57999999999999996</c:v>
                </c:pt>
                <c:pt idx="4">
                  <c:v>0.74</c:v>
                </c:pt>
                <c:pt idx="5">
                  <c:v>0.78</c:v>
                </c:pt>
                <c:pt idx="6">
                  <c:v>0.83</c:v>
                </c:pt>
                <c:pt idx="7">
                  <c:v>0.91</c:v>
                </c:pt>
                <c:pt idx="8">
                  <c:v>0.99</c:v>
                </c:pt>
                <c:pt idx="9">
                  <c:v>1.06</c:v>
                </c:pt>
              </c:numCache>
            </c:numRef>
          </c:yVal>
          <c:smooth val="0"/>
          <c:extLst>
            <c:ext xmlns:c16="http://schemas.microsoft.com/office/drawing/2014/chart" uri="{C3380CC4-5D6E-409C-BE32-E72D297353CC}">
              <c16:uniqueId val="{00000001-68F7-4D00-B91F-55A0DE71328C}"/>
            </c:ext>
          </c:extLst>
        </c:ser>
        <c:ser>
          <c:idx val="1"/>
          <c:order val="1"/>
          <c:tx>
            <c:strRef>
              <c:f>ورقة3!$M$2</c:f>
              <c:strCache>
                <c:ptCount val="1"/>
                <c:pt idx="0">
                  <c:v>Ln Mg</c:v>
                </c:pt>
              </c:strCache>
            </c:strRef>
          </c:tx>
          <c:spPr>
            <a:ln w="28575">
              <a:noFill/>
            </a:ln>
          </c:spPr>
          <c:trendline>
            <c:trendlineType val="linear"/>
            <c:dispRSqr val="1"/>
            <c:dispEq val="1"/>
            <c:trendlineLbl>
              <c:layout>
                <c:manualLayout>
                  <c:x val="0.18588170605014526"/>
                  <c:y val="-0.2356869985610474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ورقة3!$M$3:$M$12</c:f>
              <c:numCache>
                <c:formatCode>General</c:formatCode>
                <c:ptCount val="10"/>
                <c:pt idx="0">
                  <c:v>0.69</c:v>
                </c:pt>
                <c:pt idx="1">
                  <c:v>0.74</c:v>
                </c:pt>
                <c:pt idx="2">
                  <c:v>0.78</c:v>
                </c:pt>
                <c:pt idx="3">
                  <c:v>0.83</c:v>
                </c:pt>
                <c:pt idx="4">
                  <c:v>0.91</c:v>
                </c:pt>
                <c:pt idx="5">
                  <c:v>1.02</c:v>
                </c:pt>
                <c:pt idx="6">
                  <c:v>1.0900000000000001</c:v>
                </c:pt>
                <c:pt idx="7">
                  <c:v>1.1599999999999999</c:v>
                </c:pt>
                <c:pt idx="8">
                  <c:v>1.25</c:v>
                </c:pt>
                <c:pt idx="9">
                  <c:v>1.5</c:v>
                </c:pt>
              </c:numCache>
            </c:numRef>
          </c:yVal>
          <c:smooth val="0"/>
          <c:extLst>
            <c:ext xmlns:c16="http://schemas.microsoft.com/office/drawing/2014/chart" uri="{C3380CC4-5D6E-409C-BE32-E72D297353CC}">
              <c16:uniqueId val="{00000003-68F7-4D00-B91F-55A0DE71328C}"/>
            </c:ext>
          </c:extLst>
        </c:ser>
        <c:dLbls>
          <c:showLegendKey val="0"/>
          <c:showVal val="0"/>
          <c:showCatName val="0"/>
          <c:showSerName val="0"/>
          <c:showPercent val="0"/>
          <c:showBubbleSize val="0"/>
        </c:dLbls>
        <c:axId val="310107520"/>
        <c:axId val="310158848"/>
      </c:scatterChart>
      <c:valAx>
        <c:axId val="31010752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2986787325488296"/>
              <c:y val="0.91154636311129633"/>
            </c:manualLayout>
          </c:layout>
          <c:overlay val="0"/>
        </c:title>
        <c:numFmt formatCode="General" sourceLinked="1"/>
        <c:majorTickMark val="out"/>
        <c:minorTickMark val="none"/>
        <c:tickLblPos val="nextTo"/>
        <c:txPr>
          <a:bodyPr/>
          <a:lstStyle/>
          <a:p>
            <a:pPr>
              <a:defRPr b="1"/>
            </a:pPr>
            <a:endParaRPr lang="en-US"/>
          </a:p>
        </c:txPr>
        <c:crossAx val="310158848"/>
        <c:crosses val="autoZero"/>
        <c:crossBetween val="midCat"/>
      </c:valAx>
      <c:valAx>
        <c:axId val="310158848"/>
        <c:scaling>
          <c:orientation val="minMax"/>
        </c:scaling>
        <c:delete val="0"/>
        <c:axPos val="l"/>
        <c:title>
          <c:tx>
            <c:rich>
              <a:bodyPr/>
              <a:lstStyle/>
              <a:p>
                <a:pPr>
                  <a:defRPr/>
                </a:pPr>
                <a:r>
                  <a:rPr lang="en-US"/>
                  <a:t>Ln Ct Na</a:t>
                </a:r>
                <a:r>
                  <a:rPr lang="en-US" baseline="30000"/>
                  <a:t>+</a:t>
                </a:r>
                <a:r>
                  <a:rPr lang="en-US" baseline="0"/>
                  <a:t>, Mg</a:t>
                </a:r>
                <a:r>
                  <a:rPr lang="en-US" baseline="30000"/>
                  <a:t>+2</a:t>
                </a:r>
                <a:endParaRPr lang="ar-IQ" baseline="30000"/>
              </a:p>
            </c:rich>
          </c:tx>
          <c:layout>
            <c:manualLayout>
              <c:xMode val="edge"/>
              <c:yMode val="edge"/>
              <c:x val="1.7341009378160379E-2"/>
              <c:y val="0.27928297314431694"/>
            </c:manualLayout>
          </c:layout>
          <c:overlay val="0"/>
        </c:title>
        <c:numFmt formatCode="General" sourceLinked="1"/>
        <c:majorTickMark val="out"/>
        <c:minorTickMark val="none"/>
        <c:tickLblPos val="nextTo"/>
        <c:crossAx val="310107520"/>
        <c:crosses val="autoZero"/>
        <c:crossBetween val="midCat"/>
      </c:valAx>
    </c:plotArea>
    <c:legend>
      <c:legendPos val="t"/>
      <c:legendEntry>
        <c:idx val="2"/>
        <c:delete val="1"/>
      </c:legendEntry>
      <c:legendEntry>
        <c:idx val="3"/>
        <c:delete val="1"/>
      </c:legendEntry>
      <c:layout>
        <c:manualLayout>
          <c:xMode val="edge"/>
          <c:yMode val="edge"/>
          <c:x val="0.78357459938579765"/>
          <c:y val="0.55602836879432627"/>
          <c:w val="0.20292430174509146"/>
          <c:h val="0.170683196515329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 water</a:t>
            </a:r>
            <a:endParaRPr lang="ar-IQ" sz="1200"/>
          </a:p>
        </c:rich>
      </c:tx>
      <c:layout>
        <c:manualLayout>
          <c:xMode val="edge"/>
          <c:yMode val="edge"/>
          <c:x val="0.37404655659912284"/>
          <c:y val="2.3567241488340364E-2"/>
        </c:manualLayout>
      </c:layout>
      <c:overlay val="1"/>
      <c:spPr>
        <a:ln>
          <a:solidFill>
            <a:schemeClr val="bg1">
              <a:lumMod val="75000"/>
            </a:schemeClr>
          </a:solidFill>
        </a:ln>
      </c:spPr>
    </c:title>
    <c:autoTitleDeleted val="0"/>
    <c:plotArea>
      <c:layout>
        <c:manualLayout>
          <c:layoutTarget val="inner"/>
          <c:xMode val="edge"/>
          <c:yMode val="edge"/>
          <c:x val="0.16757833063232275"/>
          <c:y val="0.21088631962241833"/>
          <c:w val="0.78037364598259795"/>
          <c:h val="0.61132443138005477"/>
        </c:manualLayout>
      </c:layout>
      <c:scatterChart>
        <c:scatterStyle val="lineMarker"/>
        <c:varyColors val="0"/>
        <c:ser>
          <c:idx val="0"/>
          <c:order val="0"/>
          <c:tx>
            <c:strRef>
              <c:f>ورقة3!$L$15</c:f>
              <c:strCache>
                <c:ptCount val="1"/>
                <c:pt idx="0">
                  <c:v>Ln Na</c:v>
                </c:pt>
              </c:strCache>
            </c:strRef>
          </c:tx>
          <c:spPr>
            <a:ln w="28575">
              <a:noFill/>
            </a:ln>
          </c:spPr>
          <c:trendline>
            <c:trendlineType val="linear"/>
            <c:dispRSqr val="1"/>
            <c:dispEq val="1"/>
            <c:trendlineLbl>
              <c:layout>
                <c:manualLayout>
                  <c:x val="-0.46894378400689229"/>
                  <c:y val="-0.25164916925468289"/>
                </c:manualLayout>
              </c:layout>
              <c:tx>
                <c:rich>
                  <a:bodyPr/>
                  <a:lstStyle/>
                  <a:p>
                    <a:pPr>
                      <a:defRPr b="1"/>
                    </a:pPr>
                    <a:r>
                      <a:rPr lang="en-US" b="1" baseline="0"/>
                      <a:t>y = </a:t>
                    </a:r>
                    <a:r>
                      <a:rPr lang="en-US" sz="900" b="1" baseline="0"/>
                      <a:t>0.2314x</a:t>
                    </a:r>
                    <a:r>
                      <a:rPr lang="en-US" b="1" baseline="0"/>
                      <a:t> + 1.6069
R² = 0.8888</a:t>
                    </a:r>
                    <a:endParaRPr lang="en-US" b="1"/>
                  </a:p>
                </c:rich>
              </c:tx>
              <c:numFmt formatCode="General" sourceLinked="0"/>
              <c:spPr>
                <a:solidFill>
                  <a:schemeClr val="accent1">
                    <a:lumMod val="20000"/>
                    <a:lumOff val="80000"/>
                  </a:schemeClr>
                </a:solidFill>
              </c:sp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ورقة3!$L$16:$L$25</c:f>
              <c:numCache>
                <c:formatCode>General</c:formatCode>
                <c:ptCount val="10"/>
                <c:pt idx="0">
                  <c:v>2.72</c:v>
                </c:pt>
                <c:pt idx="1">
                  <c:v>2.76</c:v>
                </c:pt>
                <c:pt idx="2">
                  <c:v>2.78</c:v>
                </c:pt>
                <c:pt idx="3">
                  <c:v>2.87</c:v>
                </c:pt>
                <c:pt idx="4">
                  <c:v>2.98</c:v>
                </c:pt>
                <c:pt idx="5">
                  <c:v>3.12</c:v>
                </c:pt>
                <c:pt idx="6">
                  <c:v>3.15</c:v>
                </c:pt>
                <c:pt idx="7">
                  <c:v>3.16</c:v>
                </c:pt>
                <c:pt idx="8">
                  <c:v>3.19</c:v>
                </c:pt>
                <c:pt idx="9">
                  <c:v>3.35</c:v>
                </c:pt>
              </c:numCache>
            </c:numRef>
          </c:yVal>
          <c:smooth val="0"/>
          <c:extLst>
            <c:ext xmlns:c16="http://schemas.microsoft.com/office/drawing/2014/chart" uri="{C3380CC4-5D6E-409C-BE32-E72D297353CC}">
              <c16:uniqueId val="{00000001-46AF-42D8-8BFB-36E1D36D68DD}"/>
            </c:ext>
          </c:extLst>
        </c:ser>
        <c:ser>
          <c:idx val="1"/>
          <c:order val="1"/>
          <c:tx>
            <c:strRef>
              <c:f>ورقة3!$M$15</c:f>
              <c:strCache>
                <c:ptCount val="1"/>
                <c:pt idx="0">
                  <c:v>Ln Mg</c:v>
                </c:pt>
              </c:strCache>
            </c:strRef>
          </c:tx>
          <c:spPr>
            <a:ln w="28575">
              <a:noFill/>
            </a:ln>
          </c:spPr>
          <c:trendline>
            <c:trendlineType val="linear"/>
            <c:dispRSqr val="1"/>
            <c:dispEq val="1"/>
            <c:trendlineLbl>
              <c:layout>
                <c:manualLayout>
                  <c:x val="0.16264704244453251"/>
                  <c:y val="-0.2108863336945498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ورقة3!$M$16:$M$25</c:f>
              <c:numCache>
                <c:formatCode>General</c:formatCode>
                <c:ptCount val="10"/>
                <c:pt idx="0">
                  <c:v>3.1</c:v>
                </c:pt>
                <c:pt idx="1">
                  <c:v>3.1</c:v>
                </c:pt>
                <c:pt idx="2">
                  <c:v>3.23</c:v>
                </c:pt>
                <c:pt idx="3">
                  <c:v>3.31</c:v>
                </c:pt>
                <c:pt idx="4">
                  <c:v>3.41</c:v>
                </c:pt>
                <c:pt idx="5">
                  <c:v>3.43</c:v>
                </c:pt>
                <c:pt idx="6">
                  <c:v>3.47</c:v>
                </c:pt>
                <c:pt idx="7">
                  <c:v>3.46</c:v>
                </c:pt>
                <c:pt idx="8">
                  <c:v>3.47</c:v>
                </c:pt>
                <c:pt idx="9">
                  <c:v>3.51</c:v>
                </c:pt>
              </c:numCache>
            </c:numRef>
          </c:yVal>
          <c:smooth val="0"/>
          <c:extLst>
            <c:ext xmlns:c16="http://schemas.microsoft.com/office/drawing/2014/chart" uri="{C3380CC4-5D6E-409C-BE32-E72D297353CC}">
              <c16:uniqueId val="{00000003-46AF-42D8-8BFB-36E1D36D68DD}"/>
            </c:ext>
          </c:extLst>
        </c:ser>
        <c:dLbls>
          <c:showLegendKey val="0"/>
          <c:showVal val="0"/>
          <c:showCatName val="0"/>
          <c:showSerName val="0"/>
          <c:showPercent val="0"/>
          <c:showBubbleSize val="0"/>
        </c:dLbls>
        <c:axId val="310204288"/>
        <c:axId val="310239232"/>
      </c:scatterChart>
      <c:valAx>
        <c:axId val="310204288"/>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380385034969928"/>
              <c:y val="0.92116097418788134"/>
            </c:manualLayout>
          </c:layout>
          <c:overlay val="0"/>
        </c:title>
        <c:numFmt formatCode="General" sourceLinked="1"/>
        <c:majorTickMark val="out"/>
        <c:minorTickMark val="none"/>
        <c:tickLblPos val="nextTo"/>
        <c:txPr>
          <a:bodyPr/>
          <a:lstStyle/>
          <a:p>
            <a:pPr>
              <a:defRPr sz="1100" b="1"/>
            </a:pPr>
            <a:endParaRPr lang="en-US"/>
          </a:p>
        </c:txPr>
        <c:crossAx val="310239232"/>
        <c:crosses val="autoZero"/>
        <c:crossBetween val="midCat"/>
      </c:valAx>
      <c:valAx>
        <c:axId val="310239232"/>
        <c:scaling>
          <c:orientation val="minMax"/>
        </c:scaling>
        <c:delete val="0"/>
        <c:axPos val="l"/>
        <c:title>
          <c:tx>
            <c:rich>
              <a:bodyPr/>
              <a:lstStyle/>
              <a:p>
                <a:pPr rtl="0">
                  <a:defRPr/>
                </a:pPr>
                <a:r>
                  <a:rPr lang="en-US"/>
                  <a:t>Ln Ct Na</a:t>
                </a:r>
                <a:r>
                  <a:rPr lang="en-US" baseline="30000"/>
                  <a:t>+</a:t>
                </a:r>
                <a:r>
                  <a:rPr lang="en-US"/>
                  <a:t> , Mg</a:t>
                </a:r>
                <a:r>
                  <a:rPr lang="en-US" baseline="30000"/>
                  <a:t>+2</a:t>
                </a:r>
                <a:endParaRPr lang="ar-IQ" baseline="30000"/>
              </a:p>
            </c:rich>
          </c:tx>
          <c:layout>
            <c:manualLayout>
              <c:xMode val="edge"/>
              <c:yMode val="edge"/>
              <c:x val="1.045726480775286E-2"/>
              <c:y val="0.24329014901151363"/>
            </c:manualLayout>
          </c:layout>
          <c:overlay val="0"/>
        </c:title>
        <c:numFmt formatCode="General" sourceLinked="1"/>
        <c:majorTickMark val="out"/>
        <c:minorTickMark val="none"/>
        <c:tickLblPos val="nextTo"/>
        <c:txPr>
          <a:bodyPr/>
          <a:lstStyle/>
          <a:p>
            <a:pPr>
              <a:defRPr sz="1050" b="1"/>
            </a:pPr>
            <a:endParaRPr lang="en-US"/>
          </a:p>
        </c:txPr>
        <c:crossAx val="310204288"/>
        <c:crosses val="autoZero"/>
        <c:crossBetween val="midCat"/>
      </c:valAx>
    </c:plotArea>
    <c:legend>
      <c:legendPos val="t"/>
      <c:legendEntry>
        <c:idx val="2"/>
        <c:delete val="1"/>
      </c:legendEntry>
      <c:legendEntry>
        <c:idx val="3"/>
        <c:delete val="1"/>
      </c:legendEntry>
      <c:layout>
        <c:manualLayout>
          <c:xMode val="edge"/>
          <c:yMode val="edge"/>
          <c:x val="0.71069441979506243"/>
          <c:y val="0.53019145802650958"/>
          <c:w val="0.25538848463902408"/>
          <c:h val="0.21845604351002518"/>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 water</a:t>
            </a:r>
            <a:endParaRPr lang="ar-IQ" sz="1200"/>
          </a:p>
        </c:rich>
      </c:tx>
      <c:layout>
        <c:manualLayout>
          <c:xMode val="edge"/>
          <c:yMode val="edge"/>
          <c:x val="0.42914359777339917"/>
          <c:y val="2.5848142164781908E-2"/>
        </c:manualLayout>
      </c:layout>
      <c:overlay val="1"/>
      <c:spPr>
        <a:ln>
          <a:solidFill>
            <a:schemeClr val="bg1">
              <a:lumMod val="75000"/>
            </a:schemeClr>
          </a:solidFill>
        </a:ln>
      </c:spPr>
    </c:title>
    <c:autoTitleDeleted val="0"/>
    <c:plotArea>
      <c:layout>
        <c:manualLayout>
          <c:layoutTarget val="inner"/>
          <c:xMode val="edge"/>
          <c:yMode val="edge"/>
          <c:x val="0.16004135543951392"/>
          <c:y val="0.22683372979023825"/>
          <c:w val="0.67822860867415358"/>
          <c:h val="0.5924246538148249"/>
        </c:manualLayout>
      </c:layout>
      <c:scatterChart>
        <c:scatterStyle val="lineMarker"/>
        <c:varyColors val="0"/>
        <c:ser>
          <c:idx val="0"/>
          <c:order val="0"/>
          <c:tx>
            <c:strRef>
              <c:f>ورقة3!$L$43</c:f>
              <c:strCache>
                <c:ptCount val="1"/>
                <c:pt idx="0">
                  <c:v>Ln Na</c:v>
                </c:pt>
              </c:strCache>
            </c:strRef>
          </c:tx>
          <c:spPr>
            <a:ln w="28575">
              <a:noFill/>
            </a:ln>
          </c:spPr>
          <c:trendline>
            <c:trendlineType val="linear"/>
            <c:dispRSqr val="1"/>
            <c:dispEq val="1"/>
            <c:trendlineLbl>
              <c:layout>
                <c:manualLayout>
                  <c:x val="-0.35116521947601459"/>
                  <c:y val="-0.32690521923854832"/>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ورقة3!$L$44:$L$53</c:f>
              <c:numCache>
                <c:formatCode>General</c:formatCode>
                <c:ptCount val="10"/>
                <c:pt idx="0">
                  <c:v>3.47</c:v>
                </c:pt>
                <c:pt idx="1">
                  <c:v>3.57</c:v>
                </c:pt>
                <c:pt idx="2">
                  <c:v>3.58</c:v>
                </c:pt>
                <c:pt idx="3">
                  <c:v>3.62</c:v>
                </c:pt>
                <c:pt idx="4">
                  <c:v>3.65</c:v>
                </c:pt>
                <c:pt idx="5">
                  <c:v>3.7</c:v>
                </c:pt>
                <c:pt idx="6">
                  <c:v>3.71</c:v>
                </c:pt>
                <c:pt idx="7">
                  <c:v>3.74</c:v>
                </c:pt>
                <c:pt idx="8">
                  <c:v>3.74</c:v>
                </c:pt>
                <c:pt idx="9">
                  <c:v>3.78</c:v>
                </c:pt>
              </c:numCache>
            </c:numRef>
          </c:yVal>
          <c:smooth val="0"/>
          <c:extLst>
            <c:ext xmlns:c16="http://schemas.microsoft.com/office/drawing/2014/chart" uri="{C3380CC4-5D6E-409C-BE32-E72D297353CC}">
              <c16:uniqueId val="{00000001-3D7D-4586-A9B4-0DC07812D8DC}"/>
            </c:ext>
          </c:extLst>
        </c:ser>
        <c:ser>
          <c:idx val="1"/>
          <c:order val="1"/>
          <c:tx>
            <c:strRef>
              <c:f>ورقة3!$M$43</c:f>
              <c:strCache>
                <c:ptCount val="1"/>
                <c:pt idx="0">
                  <c:v>Ln Mg</c:v>
                </c:pt>
              </c:strCache>
            </c:strRef>
          </c:tx>
          <c:spPr>
            <a:ln w="28575">
              <a:noFill/>
            </a:ln>
          </c:spPr>
          <c:trendline>
            <c:trendlineType val="linear"/>
            <c:dispRSqr val="1"/>
            <c:dispEq val="1"/>
            <c:trendlineLbl>
              <c:layout>
                <c:manualLayout>
                  <c:x val="0.22352555121856199"/>
                  <c:y val="-0.3173022273669749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ورقة3!$M$44:$M$53</c:f>
              <c:numCache>
                <c:formatCode>General</c:formatCode>
                <c:ptCount val="10"/>
                <c:pt idx="0">
                  <c:v>4</c:v>
                </c:pt>
                <c:pt idx="1">
                  <c:v>4</c:v>
                </c:pt>
                <c:pt idx="2">
                  <c:v>4</c:v>
                </c:pt>
                <c:pt idx="3">
                  <c:v>4.0999999999999996</c:v>
                </c:pt>
                <c:pt idx="4">
                  <c:v>4.13</c:v>
                </c:pt>
                <c:pt idx="5">
                  <c:v>4.16</c:v>
                </c:pt>
                <c:pt idx="6">
                  <c:v>4.21</c:v>
                </c:pt>
                <c:pt idx="7">
                  <c:v>4.25</c:v>
                </c:pt>
                <c:pt idx="8">
                  <c:v>4.26</c:v>
                </c:pt>
                <c:pt idx="9">
                  <c:v>4.2699999999999996</c:v>
                </c:pt>
              </c:numCache>
            </c:numRef>
          </c:yVal>
          <c:smooth val="0"/>
          <c:extLst>
            <c:ext xmlns:c16="http://schemas.microsoft.com/office/drawing/2014/chart" uri="{C3380CC4-5D6E-409C-BE32-E72D297353CC}">
              <c16:uniqueId val="{00000003-3D7D-4586-A9B4-0DC07812D8DC}"/>
            </c:ext>
          </c:extLst>
        </c:ser>
        <c:dLbls>
          <c:showLegendKey val="0"/>
          <c:showVal val="0"/>
          <c:showCatName val="0"/>
          <c:showSerName val="0"/>
          <c:showPercent val="0"/>
          <c:showBubbleSize val="0"/>
        </c:dLbls>
        <c:axId val="310326400"/>
        <c:axId val="310328320"/>
      </c:scatterChart>
      <c:valAx>
        <c:axId val="3103264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0614882043854106"/>
              <c:y val="0.90248733668439052"/>
            </c:manualLayout>
          </c:layout>
          <c:overlay val="0"/>
        </c:title>
        <c:numFmt formatCode="General" sourceLinked="1"/>
        <c:majorTickMark val="out"/>
        <c:minorTickMark val="none"/>
        <c:tickLblPos val="nextTo"/>
        <c:txPr>
          <a:bodyPr/>
          <a:lstStyle/>
          <a:p>
            <a:pPr>
              <a:defRPr b="1"/>
            </a:pPr>
            <a:endParaRPr lang="en-US"/>
          </a:p>
        </c:txPr>
        <c:crossAx val="310328320"/>
        <c:crosses val="autoZero"/>
        <c:crossBetween val="midCat"/>
      </c:valAx>
      <c:valAx>
        <c:axId val="310328320"/>
        <c:scaling>
          <c:orientation val="minMax"/>
        </c:scaling>
        <c:delete val="0"/>
        <c:axPos val="l"/>
        <c:title>
          <c:tx>
            <c:rich>
              <a:bodyPr/>
              <a:lstStyle/>
              <a:p>
                <a:pPr>
                  <a:defRPr/>
                </a:pPr>
                <a:r>
                  <a:rPr lang="en-US"/>
                  <a:t>Ln Ct Na</a:t>
                </a:r>
                <a:r>
                  <a:rPr lang="en-US" baseline="30000"/>
                  <a:t>+</a:t>
                </a:r>
                <a:r>
                  <a:rPr lang="en-US"/>
                  <a:t>, Mg</a:t>
                </a:r>
                <a:r>
                  <a:rPr lang="en-US" baseline="30000"/>
                  <a:t>+2</a:t>
                </a:r>
                <a:endParaRPr lang="ar-IQ" baseline="30000"/>
              </a:p>
            </c:rich>
          </c:tx>
          <c:overlay val="0"/>
        </c:title>
        <c:numFmt formatCode="General" sourceLinked="1"/>
        <c:majorTickMark val="out"/>
        <c:minorTickMark val="none"/>
        <c:tickLblPos val="nextTo"/>
        <c:txPr>
          <a:bodyPr/>
          <a:lstStyle/>
          <a:p>
            <a:pPr>
              <a:defRPr b="1"/>
            </a:pPr>
            <a:endParaRPr lang="en-US"/>
          </a:p>
        </c:txPr>
        <c:crossAx val="310326400"/>
        <c:crosses val="autoZero"/>
        <c:crossBetween val="midCat"/>
      </c:valAx>
    </c:plotArea>
    <c:legend>
      <c:legendPos val="r"/>
      <c:legendEntry>
        <c:idx val="2"/>
        <c:delete val="1"/>
      </c:legendEntry>
      <c:legendEntry>
        <c:idx val="3"/>
        <c:delete val="1"/>
      </c:legendEntry>
      <c:layout>
        <c:manualLayout>
          <c:xMode val="edge"/>
          <c:yMode val="edge"/>
          <c:x val="0.81747057545494728"/>
          <c:y val="0.49946395634309848"/>
          <c:w val="0.15969402968301655"/>
          <c:h val="0.23370485797514406"/>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Hawija</a:t>
            </a:r>
            <a:endParaRPr lang="ar-IQ" sz="1200"/>
          </a:p>
        </c:rich>
      </c:tx>
      <c:layout>
        <c:manualLayout>
          <c:xMode val="edge"/>
          <c:yMode val="edge"/>
          <c:x val="0.17978733101877423"/>
          <c:y val="1.7103945805656974E-2"/>
        </c:manualLayout>
      </c:layout>
      <c:overlay val="1"/>
      <c:spPr>
        <a:ln>
          <a:solidFill>
            <a:srgbClr val="4F81BD"/>
          </a:solidFill>
        </a:ln>
      </c:spPr>
    </c:title>
    <c:autoTitleDeleted val="0"/>
    <c:plotArea>
      <c:layout>
        <c:manualLayout>
          <c:layoutTarget val="inner"/>
          <c:xMode val="edge"/>
          <c:yMode val="edge"/>
          <c:x val="0.15849719071447674"/>
          <c:y val="0.15725062058490877"/>
          <c:w val="0.79906453613942308"/>
          <c:h val="0.72093385800060117"/>
        </c:manualLayout>
      </c:layout>
      <c:scatterChart>
        <c:scatterStyle val="lineMarker"/>
        <c:varyColors val="0"/>
        <c:ser>
          <c:idx val="0"/>
          <c:order val="0"/>
          <c:tx>
            <c:strRef>
              <c:f>ورقة2!$I$15</c:f>
              <c:strCache>
                <c:ptCount val="1"/>
                <c:pt idx="0">
                  <c:v>River water</c:v>
                </c:pt>
              </c:strCache>
            </c:strRef>
          </c:tx>
          <c:spPr>
            <a:ln w="28575">
              <a:noFill/>
            </a:ln>
          </c:spPr>
          <c:trendline>
            <c:trendlineType val="linear"/>
            <c:dispRSqr val="1"/>
            <c:dispEq val="1"/>
            <c:trendlineLbl>
              <c:layout>
                <c:manualLayout>
                  <c:x val="0.31574848428592772"/>
                  <c:y val="-0.39092385518849249"/>
                </c:manualLayout>
              </c:layout>
              <c:numFmt formatCode="General" sourceLinked="0"/>
              <c:spPr>
                <a:solidFill>
                  <a:schemeClr val="accent1">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ورقة2!$I$16:$I$25</c:f>
              <c:numCache>
                <c:formatCode>General</c:formatCode>
                <c:ptCount val="10"/>
                <c:pt idx="0">
                  <c:v>19.433962264150942</c:v>
                </c:pt>
                <c:pt idx="1">
                  <c:v>19.245283018867923</c:v>
                </c:pt>
                <c:pt idx="2">
                  <c:v>18.301886792452827</c:v>
                </c:pt>
                <c:pt idx="3">
                  <c:v>18.301886792452827</c:v>
                </c:pt>
                <c:pt idx="4">
                  <c:v>18.113207547169811</c:v>
                </c:pt>
                <c:pt idx="5">
                  <c:v>16.415094339622641</c:v>
                </c:pt>
                <c:pt idx="6">
                  <c:v>13.584905660377359</c:v>
                </c:pt>
                <c:pt idx="7">
                  <c:v>13.396226415094338</c:v>
                </c:pt>
                <c:pt idx="8">
                  <c:v>13.018867924528301</c:v>
                </c:pt>
                <c:pt idx="9">
                  <c:v>12.830188679245282</c:v>
                </c:pt>
              </c:numCache>
            </c:numRef>
          </c:yVal>
          <c:smooth val="0"/>
          <c:extLst>
            <c:ext xmlns:c16="http://schemas.microsoft.com/office/drawing/2014/chart" uri="{C3380CC4-5D6E-409C-BE32-E72D297353CC}">
              <c16:uniqueId val="{00000001-65E3-495D-BFC2-D7A2E0312E2C}"/>
            </c:ext>
          </c:extLst>
        </c:ser>
        <c:ser>
          <c:idx val="1"/>
          <c:order val="1"/>
          <c:tx>
            <c:strRef>
              <c:f>ورقة2!$J$15</c:f>
              <c:strCache>
                <c:ptCount val="1"/>
                <c:pt idx="0">
                  <c:v>well water</c:v>
                </c:pt>
              </c:strCache>
            </c:strRef>
          </c:tx>
          <c:spPr>
            <a:ln w="28575">
              <a:noFill/>
            </a:ln>
          </c:spPr>
          <c:trendline>
            <c:trendlineType val="linear"/>
            <c:dispRSqr val="1"/>
            <c:dispEq val="1"/>
            <c:trendlineLbl>
              <c:layout>
                <c:manualLayout>
                  <c:x val="0.31953834386475827"/>
                  <c:y val="-0.46288525707030431"/>
                </c:manualLayout>
              </c:layout>
              <c:numFmt formatCode="General" sourceLinked="0"/>
              <c:spPr>
                <a:solidFill>
                  <a:schemeClr val="accent2">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ورقة2!$J$16:$J$25</c:f>
              <c:numCache>
                <c:formatCode>General</c:formatCode>
                <c:ptCount val="10"/>
                <c:pt idx="0">
                  <c:v>3.1785714285714288</c:v>
                </c:pt>
                <c:pt idx="1">
                  <c:v>3.2321428571428577</c:v>
                </c:pt>
                <c:pt idx="2">
                  <c:v>3.2142857142857144</c:v>
                </c:pt>
                <c:pt idx="3">
                  <c:v>3.0714285714285716</c:v>
                </c:pt>
                <c:pt idx="4">
                  <c:v>3.0535714285714288</c:v>
                </c:pt>
                <c:pt idx="5">
                  <c:v>3.0000000000000004</c:v>
                </c:pt>
                <c:pt idx="6">
                  <c:v>2.9464285714285716</c:v>
                </c:pt>
                <c:pt idx="7">
                  <c:v>2.9285714285714284</c:v>
                </c:pt>
                <c:pt idx="8">
                  <c:v>2.8928571428571428</c:v>
                </c:pt>
                <c:pt idx="9">
                  <c:v>2.8750000000000004</c:v>
                </c:pt>
              </c:numCache>
            </c:numRef>
          </c:yVal>
          <c:smooth val="0"/>
          <c:extLst>
            <c:ext xmlns:c16="http://schemas.microsoft.com/office/drawing/2014/chart" uri="{C3380CC4-5D6E-409C-BE32-E72D297353CC}">
              <c16:uniqueId val="{00000003-65E3-495D-BFC2-D7A2E0312E2C}"/>
            </c:ext>
          </c:extLst>
        </c:ser>
        <c:dLbls>
          <c:showLegendKey val="0"/>
          <c:showVal val="0"/>
          <c:showCatName val="0"/>
          <c:showSerName val="0"/>
          <c:showPercent val="0"/>
          <c:showBubbleSize val="0"/>
        </c:dLbls>
        <c:axId val="310516352"/>
        <c:axId val="310522624"/>
      </c:scatterChart>
      <c:valAx>
        <c:axId val="310516352"/>
        <c:scaling>
          <c:orientation val="minMax"/>
        </c:scaling>
        <c:delete val="0"/>
        <c:axPos val="b"/>
        <c:title>
          <c:tx>
            <c:rich>
              <a:bodyPr/>
              <a:lstStyle/>
              <a:p>
                <a:pPr>
                  <a:defRPr sz="1100"/>
                </a:pPr>
                <a:r>
                  <a:rPr lang="en-US" sz="1100"/>
                  <a:t>PV</a:t>
                </a:r>
                <a:endParaRPr lang="ar-IQ" sz="1100"/>
              </a:p>
            </c:rich>
          </c:tx>
          <c:overlay val="0"/>
        </c:title>
        <c:numFmt formatCode="General" sourceLinked="1"/>
        <c:majorTickMark val="out"/>
        <c:minorTickMark val="none"/>
        <c:tickLblPos val="nextTo"/>
        <c:txPr>
          <a:bodyPr/>
          <a:lstStyle/>
          <a:p>
            <a:pPr>
              <a:defRPr b="1"/>
            </a:pPr>
            <a:endParaRPr lang="en-US"/>
          </a:p>
        </c:txPr>
        <c:crossAx val="310522624"/>
        <c:crosses val="autoZero"/>
        <c:crossBetween val="midCat"/>
      </c:valAx>
      <c:valAx>
        <c:axId val="310522624"/>
        <c:scaling>
          <c:orientation val="minMax"/>
        </c:scaling>
        <c:delete val="0"/>
        <c:axPos val="l"/>
        <c:title>
          <c:tx>
            <c:rich>
              <a:bodyPr/>
              <a:lstStyle/>
              <a:p>
                <a:pPr>
                  <a:defRPr sz="1100"/>
                </a:pPr>
                <a:r>
                  <a:rPr lang="en-US" sz="1100"/>
                  <a:t>ECt</a:t>
                </a:r>
                <a:r>
                  <a:rPr lang="ar-IQ" sz="1100"/>
                  <a:t>/</a:t>
                </a:r>
                <a:r>
                  <a:rPr lang="en-US" sz="1100"/>
                  <a:t>ECo dSm</a:t>
                </a:r>
                <a:r>
                  <a:rPr lang="en-US" sz="1100" baseline="30000"/>
                  <a:t>-1</a:t>
                </a:r>
                <a:endParaRPr lang="ar-IQ" sz="1100" baseline="30000"/>
              </a:p>
            </c:rich>
          </c:tx>
          <c:layout>
            <c:manualLayout>
              <c:xMode val="edge"/>
              <c:yMode val="edge"/>
              <c:x val="1.5333803006512037E-2"/>
              <c:y val="0.30620085338494701"/>
            </c:manualLayout>
          </c:layout>
          <c:overlay val="0"/>
        </c:title>
        <c:numFmt formatCode="General" sourceLinked="1"/>
        <c:majorTickMark val="out"/>
        <c:minorTickMark val="none"/>
        <c:tickLblPos val="nextTo"/>
        <c:crossAx val="310516352"/>
        <c:crosses val="autoZero"/>
        <c:crossBetween val="midCat"/>
      </c:valAx>
    </c:plotArea>
    <c:legend>
      <c:legendPos val="t"/>
      <c:legendEntry>
        <c:idx val="2"/>
        <c:delete val="1"/>
      </c:legendEntry>
      <c:legendEntry>
        <c:idx val="3"/>
        <c:delete val="1"/>
      </c:legendEntry>
      <c:layout>
        <c:manualLayout>
          <c:xMode val="edge"/>
          <c:yMode val="edge"/>
          <c:x val="0.31748598992693483"/>
          <c:y val="0.11979161753952693"/>
          <c:w val="0.31288896696652102"/>
          <c:h val="0.10758939976929092"/>
        </c:manualLayout>
      </c:layou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12</Pages>
  <Words>4845</Words>
  <Characters>27619</Characters>
  <Application>Microsoft Office Word</Application>
  <DocSecurity>0</DocSecurity>
  <Lines>230</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SDI 1022</cp:lastModifiedBy>
  <cp:revision>4</cp:revision>
  <dcterms:created xsi:type="dcterms:W3CDTF">2026-01-06T13:00:00Z</dcterms:created>
  <dcterms:modified xsi:type="dcterms:W3CDTF">2026-01-07T08:06:00Z</dcterms:modified>
</cp:coreProperties>
</file>