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531" w:rsidRDefault="008E3CEF">
      <w:pPr>
        <w:spacing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PROTEIN, FATTY ACID PROFILE AND MICROBIOLOGICAL ASSESSMENT OF CONTAMINATION ROUTE IN TRADITIONAL MILK HANDLING OF COW AND GOAT MILK IN SOUTHWESTERN NIGERIA</w:t>
      </w:r>
    </w:p>
    <w:p w:rsidR="00950531" w:rsidRDefault="00950531">
      <w:pPr>
        <w:spacing w:line="360" w:lineRule="auto"/>
        <w:jc w:val="both"/>
        <w:rPr>
          <w:rFonts w:ascii="Times New Roman" w:eastAsia="Times New Roman" w:hAnsi="Times New Roman" w:cs="Times New Roman"/>
          <w:sz w:val="24"/>
        </w:rPr>
      </w:pP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Abstract</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Milk is a nutritionally complete food pivotal to food security and rural livelihood in Nigeria. Goat milk is valued for its digestibility and nutrient dense, while cow milk remains widely consumed due to production volume. Despite these benefits, traditional handling practice which involve manual milking, use of non-sterile utensils, untreated water, and open-air exposure create significant risks of microbial contamination. This study provides a microbiological assessment </w:t>
      </w:r>
      <w:r>
        <w:rPr>
          <w:rFonts w:ascii="Times New Roman" w:eastAsia="Times New Roman" w:hAnsi="Times New Roman" w:cs="Times New Roman"/>
          <w:color w:val="FF0000"/>
          <w:sz w:val="24"/>
        </w:rPr>
        <w:t>of contamination route o</w:t>
      </w:r>
      <w:r>
        <w:rPr>
          <w:rFonts w:ascii="Times New Roman" w:eastAsia="Times New Roman" w:hAnsi="Times New Roman" w:cs="Times New Roman"/>
          <w:sz w:val="24"/>
        </w:rPr>
        <w:t xml:space="preserve">f cow and goat milk handling in four Local Government Areas (LGAs) of Oyo State: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and Ibadan North while simultaneously evaluating their nutritional profiles. Samples were collected from milking utensils, water sources and air using WHO recommendation protocols. Protein fractions were determined by </w:t>
      </w:r>
      <w:proofErr w:type="spellStart"/>
      <w:r>
        <w:rPr>
          <w:rFonts w:ascii="Times New Roman" w:eastAsia="Times New Roman" w:hAnsi="Times New Roman" w:cs="Times New Roman"/>
          <w:sz w:val="24"/>
        </w:rPr>
        <w:t>Kjeldahl</w:t>
      </w:r>
      <w:proofErr w:type="spellEnd"/>
      <w:r>
        <w:rPr>
          <w:rFonts w:ascii="Times New Roman" w:eastAsia="Times New Roman" w:hAnsi="Times New Roman" w:cs="Times New Roman"/>
          <w:sz w:val="24"/>
        </w:rPr>
        <w:t xml:space="preserve"> method, fatty acids by </w:t>
      </w:r>
      <w:proofErr w:type="spellStart"/>
      <w:r>
        <w:rPr>
          <w:rFonts w:ascii="Times New Roman" w:eastAsia="Times New Roman" w:hAnsi="Times New Roman" w:cs="Times New Roman"/>
          <w:sz w:val="24"/>
        </w:rPr>
        <w:t>soxhlet</w:t>
      </w:r>
      <w:proofErr w:type="spellEnd"/>
      <w:r>
        <w:rPr>
          <w:rFonts w:ascii="Times New Roman" w:eastAsia="Times New Roman" w:hAnsi="Times New Roman" w:cs="Times New Roman"/>
          <w:sz w:val="24"/>
        </w:rPr>
        <w:t xml:space="preserve"> extraction and gas chromatography and microbial loads by standard plate counts. Statistical analysis employed ANOVA within Duncan post hoc tests at p&lt;0.05. Results showed goat milk constantly contained higher crude protein (4.70-5.15%) compared to cow milk (3.91-3.96%), with more casein, whey, and bioactive peptide fractions. Fatty acid analysis revealed goat milk had higher total fat (up to 4.80%), saturated fatty acids (3.36%) and favorable monounsaturated and polyunsaturated profiles, </w:t>
      </w:r>
      <w:r>
        <w:rPr>
          <w:rFonts w:ascii="Times New Roman" w:eastAsia="Times New Roman" w:hAnsi="Times New Roman" w:cs="Times New Roman"/>
          <w:color w:val="FF0000"/>
          <w:sz w:val="24"/>
        </w:rPr>
        <w:t>indicating its better digestibility and functional value.</w:t>
      </w:r>
      <w:r>
        <w:rPr>
          <w:rFonts w:ascii="Times New Roman" w:eastAsia="Times New Roman" w:hAnsi="Times New Roman" w:cs="Times New Roman"/>
          <w:sz w:val="24"/>
        </w:rPr>
        <w:t xml:space="preserve"> However, microbial contaminations </w:t>
      </w:r>
      <w:proofErr w:type="gramStart"/>
      <w:r>
        <w:rPr>
          <w:rFonts w:ascii="Times New Roman" w:eastAsia="Times New Roman" w:hAnsi="Times New Roman" w:cs="Times New Roman"/>
          <w:sz w:val="24"/>
        </w:rPr>
        <w:t>was</w:t>
      </w:r>
      <w:proofErr w:type="gramEnd"/>
      <w:r>
        <w:rPr>
          <w:rFonts w:ascii="Times New Roman" w:eastAsia="Times New Roman" w:hAnsi="Times New Roman" w:cs="Times New Roman"/>
          <w:sz w:val="24"/>
        </w:rPr>
        <w:t xml:space="preserve"> widespread. Water sources recorded the highest total bacteria counts (up to 4.60 × 10</w:t>
      </w:r>
      <w:r>
        <w:rPr>
          <w:rFonts w:ascii="Times New Roman" w:eastAsia="Times New Roman" w:hAnsi="Times New Roman" w:cs="Times New Roman"/>
          <w:sz w:val="24"/>
          <w:vertAlign w:val="superscript"/>
        </w:rPr>
        <w:t xml:space="preserve">5 </w:t>
      </w:r>
      <w:r>
        <w:rPr>
          <w:rFonts w:ascii="Times New Roman" w:eastAsia="Times New Roman" w:hAnsi="Times New Roman" w:cs="Times New Roman"/>
          <w:sz w:val="24"/>
        </w:rPr>
        <w:t xml:space="preserve">CFU/mL), followed by utensils and air. Coliforms were detected in all water samples, exceeding WHO’s recommended limit of 0 CFU/100 mL, indicating fecal contamination. Regional disparities were evident: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LGA exhibited the highest contamination, while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LGA showed the lowest, reflecting differences in hygienic practices. The findings highlight the dual reality of cow and goat milk in Nigeria: nutritionally indispensable yet microbiologically hazardous under traditional handlings. This have public health implications with risks of foodborne illnesses. Addressing this challenge requires hygienic training for farmers, provision of clean water and utensils and community-based behavioral change initiatives. Ultimately, safeguarding milk nutritional integrity while reducing microbial contamination is </w:t>
      </w:r>
      <w:r>
        <w:rPr>
          <w:rFonts w:ascii="Times New Roman" w:eastAsia="Times New Roman" w:hAnsi="Times New Roman" w:cs="Times New Roman"/>
          <w:sz w:val="24"/>
        </w:rPr>
        <w:lastRenderedPageBreak/>
        <w:t>essential for improving dietary quality and protecting consumer’s health in Nigeria’s informal dairy sector.</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Keyword</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Milk hazard, microbiological risk assessment, cow and goat milk, dairy hygiene, coliform count</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Introduction</w:t>
      </w:r>
    </w:p>
    <w:p w:rsidR="00950531" w:rsidRDefault="008E3CEF">
      <w:pPr>
        <w:spacing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Milk is a nutritionally complete food, rich in proteins, fats, vitamins and mineral essential for human health. It is a vital source of nutrition and a very vital to food security globally, especially in Nigeria where it supports the livelihoods of millions of people (</w:t>
      </w:r>
      <w:proofErr w:type="spellStart"/>
      <w:r>
        <w:rPr>
          <w:rFonts w:ascii="Times New Roman" w:eastAsia="Times New Roman" w:hAnsi="Times New Roman" w:cs="Times New Roman"/>
          <w:sz w:val="24"/>
        </w:rPr>
        <w:t>Ghali</w:t>
      </w:r>
      <w:proofErr w:type="spellEnd"/>
      <w:r>
        <w:rPr>
          <w:rFonts w:ascii="Times New Roman" w:eastAsia="Times New Roman" w:hAnsi="Times New Roman" w:cs="Times New Roman"/>
          <w:sz w:val="24"/>
        </w:rPr>
        <w:t xml:space="preserve">-Mohammed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2025).  Cow and goat milk are central to rural diets and economies, particularly among Fulani pastoralists and smallholder farmers. Goat milk is often favored for its digestibility and higher nutrient density especially in magnesium, calcium and zinc compared to milk from other animal while cow milk remains widely consumed due to its availability and volume of production (Mohammad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2023). Despite their nutritional benefits, </w:t>
      </w:r>
      <w:r>
        <w:rPr>
          <w:rFonts w:ascii="Times New Roman" w:eastAsia="Times New Roman" w:hAnsi="Times New Roman" w:cs="Times New Roman"/>
          <w:color w:val="FF0000"/>
          <w:sz w:val="24"/>
        </w:rPr>
        <w:t xml:space="preserve">both cow and goat milk </w:t>
      </w:r>
      <w:proofErr w:type="gramStart"/>
      <w:r>
        <w:rPr>
          <w:rFonts w:ascii="Times New Roman" w:eastAsia="Times New Roman" w:hAnsi="Times New Roman" w:cs="Times New Roman"/>
          <w:color w:val="FF0000"/>
          <w:sz w:val="24"/>
        </w:rPr>
        <w:t>represents</w:t>
      </w:r>
      <w:proofErr w:type="gramEnd"/>
      <w:r>
        <w:rPr>
          <w:rFonts w:ascii="Times New Roman" w:eastAsia="Times New Roman" w:hAnsi="Times New Roman" w:cs="Times New Roman"/>
          <w:color w:val="FF0000"/>
          <w:sz w:val="24"/>
        </w:rPr>
        <w:t xml:space="preserve"> an excellent </w:t>
      </w:r>
      <w:proofErr w:type="spellStart"/>
      <w:r>
        <w:rPr>
          <w:rFonts w:ascii="Times New Roman" w:eastAsia="Times New Roman" w:hAnsi="Times New Roman" w:cs="Times New Roman"/>
          <w:color w:val="FF0000"/>
          <w:sz w:val="24"/>
        </w:rPr>
        <w:t>groth</w:t>
      </w:r>
      <w:proofErr w:type="spellEnd"/>
      <w:r>
        <w:rPr>
          <w:rFonts w:ascii="Times New Roman" w:eastAsia="Times New Roman" w:hAnsi="Times New Roman" w:cs="Times New Roman"/>
          <w:color w:val="FF0000"/>
          <w:sz w:val="24"/>
        </w:rPr>
        <w:t xml:space="preserve"> medium for many microorganisms which can cause spoilage, contamination or quality decline (Sarkar, 2015). </w:t>
      </w:r>
      <w:r>
        <w:rPr>
          <w:rFonts w:ascii="Times New Roman" w:eastAsia="Times New Roman" w:hAnsi="Times New Roman" w:cs="Times New Roman"/>
          <w:sz w:val="24"/>
        </w:rPr>
        <w:t xml:space="preserve">This vulnerability is exacerbated in traditional dairy system, where milk </w:t>
      </w:r>
      <w:proofErr w:type="gramStart"/>
      <w:r>
        <w:rPr>
          <w:rFonts w:ascii="Times New Roman" w:eastAsia="Times New Roman" w:hAnsi="Times New Roman" w:cs="Times New Roman"/>
          <w:sz w:val="24"/>
        </w:rPr>
        <w:t>were</w:t>
      </w:r>
      <w:proofErr w:type="gramEnd"/>
      <w:r>
        <w:rPr>
          <w:rFonts w:ascii="Times New Roman" w:eastAsia="Times New Roman" w:hAnsi="Times New Roman" w:cs="Times New Roman"/>
          <w:sz w:val="24"/>
        </w:rPr>
        <w:t xml:space="preserve"> handled manually, often using </w:t>
      </w:r>
      <w:proofErr w:type="spellStart"/>
      <w:r>
        <w:rPr>
          <w:rFonts w:ascii="Times New Roman" w:eastAsia="Times New Roman" w:hAnsi="Times New Roman" w:cs="Times New Roman"/>
          <w:sz w:val="24"/>
        </w:rPr>
        <w:t>non</w:t>
      </w:r>
      <w:proofErr w:type="spellEnd"/>
      <w:r>
        <w:rPr>
          <w:rFonts w:ascii="Times New Roman" w:eastAsia="Times New Roman" w:hAnsi="Times New Roman" w:cs="Times New Roman"/>
          <w:sz w:val="24"/>
        </w:rPr>
        <w:t>̶ sterile utensil, untreated water and exposed to open air̶ environment. These practices are common in Southwestern Nigeria, where access to a modern infrastructure and hygiene training is limited (</w:t>
      </w:r>
      <w:proofErr w:type="spellStart"/>
      <w:r>
        <w:rPr>
          <w:rFonts w:ascii="Times New Roman" w:eastAsia="Times New Roman" w:hAnsi="Times New Roman" w:cs="Times New Roman"/>
          <w:color w:val="FF0000"/>
          <w:sz w:val="24"/>
        </w:rPr>
        <w:t>Ghali</w:t>
      </w:r>
      <w:proofErr w:type="spellEnd"/>
      <w:r>
        <w:rPr>
          <w:rFonts w:ascii="Times New Roman" w:eastAsia="Times New Roman" w:hAnsi="Times New Roman" w:cs="Times New Roman"/>
          <w:color w:val="FF0000"/>
          <w:sz w:val="24"/>
        </w:rPr>
        <w:t>-Mohammed</w:t>
      </w:r>
      <w:r>
        <w:rPr>
          <w:rFonts w:ascii="Times New Roman" w:eastAsia="Times New Roman" w:hAnsi="Times New Roman" w:cs="Times New Roman"/>
          <w:i/>
          <w:color w:val="FF0000"/>
          <w:sz w:val="24"/>
        </w:rPr>
        <w:t xml:space="preserve"> et al.,</w:t>
      </w:r>
      <w:r>
        <w:rPr>
          <w:rFonts w:ascii="Times New Roman" w:eastAsia="Times New Roman" w:hAnsi="Times New Roman" w:cs="Times New Roman"/>
          <w:color w:val="FF0000"/>
          <w:sz w:val="24"/>
        </w:rPr>
        <w:t xml:space="preserve"> 2025). Contaminated water, aerosols from the environment, packaging materials and </w:t>
      </w:r>
      <w:proofErr w:type="spellStart"/>
      <w:r>
        <w:rPr>
          <w:rFonts w:ascii="Times New Roman" w:eastAsia="Times New Roman" w:hAnsi="Times New Roman" w:cs="Times New Roman"/>
          <w:color w:val="FF0000"/>
          <w:sz w:val="24"/>
        </w:rPr>
        <w:t>equipments</w:t>
      </w:r>
      <w:proofErr w:type="spellEnd"/>
      <w:r>
        <w:rPr>
          <w:rFonts w:ascii="Times New Roman" w:eastAsia="Times New Roman" w:hAnsi="Times New Roman" w:cs="Times New Roman"/>
          <w:color w:val="FF0000"/>
          <w:sz w:val="24"/>
        </w:rPr>
        <w:t xml:space="preserve"> used are some of the route for microbial contamination of milk. Most dairy farms used treated </w:t>
      </w:r>
      <w:proofErr w:type="spellStart"/>
      <w:r>
        <w:rPr>
          <w:rFonts w:ascii="Times New Roman" w:eastAsia="Times New Roman" w:hAnsi="Times New Roman" w:cs="Times New Roman"/>
          <w:color w:val="FF0000"/>
          <w:sz w:val="24"/>
        </w:rPr>
        <w:t>manucipal</w:t>
      </w:r>
      <w:proofErr w:type="spellEnd"/>
      <w:r>
        <w:rPr>
          <w:rFonts w:ascii="Times New Roman" w:eastAsia="Times New Roman" w:hAnsi="Times New Roman" w:cs="Times New Roman"/>
          <w:color w:val="FF0000"/>
          <w:sz w:val="24"/>
        </w:rPr>
        <w:t xml:space="preserve"> water for cleaning and its microbial quality depend on the efficacy of the treatment.  The risk of milk contamination with spoilage and pathogenic microorganisms is high for milk production in developing countries as their milk production practices is traditional type which lack appropriate hygienic control. In order to protect the raw milk from spoilage loss and consumers from risks associated with milk borne diseases, the availability of information on risk assessment and </w:t>
      </w:r>
      <w:proofErr w:type="spellStart"/>
      <w:r>
        <w:rPr>
          <w:rFonts w:ascii="Times New Roman" w:eastAsia="Times New Roman" w:hAnsi="Times New Roman" w:cs="Times New Roman"/>
          <w:color w:val="FF0000"/>
          <w:sz w:val="24"/>
        </w:rPr>
        <w:t>contaminatin</w:t>
      </w:r>
      <w:proofErr w:type="spellEnd"/>
      <w:r>
        <w:rPr>
          <w:rFonts w:ascii="Times New Roman" w:eastAsia="Times New Roman" w:hAnsi="Times New Roman" w:cs="Times New Roman"/>
          <w:color w:val="FF0000"/>
          <w:sz w:val="24"/>
        </w:rPr>
        <w:t xml:space="preserve"> route is essential (</w:t>
      </w:r>
      <w:proofErr w:type="spellStart"/>
      <w:r>
        <w:rPr>
          <w:rFonts w:ascii="Times New Roman" w:eastAsia="Times New Roman" w:hAnsi="Times New Roman" w:cs="Times New Roman"/>
          <w:color w:val="FF0000"/>
          <w:sz w:val="24"/>
        </w:rPr>
        <w:t>Ntuli</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2023). </w:t>
      </w:r>
      <w:r>
        <w:rPr>
          <w:rFonts w:ascii="Times New Roman" w:eastAsia="Times New Roman" w:hAnsi="Times New Roman" w:cs="Times New Roman"/>
          <w:sz w:val="24"/>
        </w:rPr>
        <w:t xml:space="preserve">Studies have revealed that traditional milk processors, particularly Fulani pastoralists often rely on untreated water and lack of sanitation infrastructure, increasing the risk of contamination with pathogens like </w:t>
      </w:r>
      <w:proofErr w:type="gramStart"/>
      <w:r>
        <w:rPr>
          <w:rFonts w:ascii="Times New Roman" w:eastAsia="Times New Roman" w:hAnsi="Times New Roman" w:cs="Times New Roman"/>
          <w:i/>
          <w:sz w:val="24"/>
        </w:rPr>
        <w:t>E.coli</w:t>
      </w:r>
      <w:proofErr w:type="gramEnd"/>
      <w:r>
        <w:rPr>
          <w:rFonts w:ascii="Times New Roman" w:eastAsia="Times New Roman" w:hAnsi="Times New Roman" w:cs="Times New Roman"/>
          <w:i/>
          <w:sz w:val="24"/>
        </w:rPr>
        <w:t>, Staphylococcus</w:t>
      </w:r>
      <w:r>
        <w:rPr>
          <w:rFonts w:ascii="Times New Roman" w:eastAsia="Times New Roman" w:hAnsi="Times New Roman" w:cs="Times New Roman"/>
          <w:sz w:val="24"/>
        </w:rPr>
        <w:t xml:space="preserve"> </w:t>
      </w:r>
      <w:r>
        <w:rPr>
          <w:rFonts w:ascii="Times New Roman" w:eastAsia="Times New Roman" w:hAnsi="Times New Roman" w:cs="Times New Roman"/>
          <w:i/>
          <w:sz w:val="24"/>
        </w:rPr>
        <w:t>aureus</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Salmonella</w:t>
      </w:r>
      <w:r>
        <w:rPr>
          <w:rFonts w:ascii="Times New Roman" w:eastAsia="Times New Roman" w:hAnsi="Times New Roman" w:cs="Times New Roman"/>
          <w:sz w:val="24"/>
        </w:rPr>
        <w:t xml:space="preserve"> </w:t>
      </w:r>
      <w:r>
        <w:rPr>
          <w:rFonts w:ascii="Times New Roman" w:eastAsia="Times New Roman" w:hAnsi="Times New Roman" w:cs="Times New Roman"/>
          <w:i/>
          <w:sz w:val="24"/>
        </w:rPr>
        <w:t>spp.</w:t>
      </w:r>
      <w:r>
        <w:rPr>
          <w:rFonts w:ascii="Times New Roman" w:eastAsia="Times New Roman" w:hAnsi="Times New Roman" w:cs="Times New Roman"/>
          <w:sz w:val="24"/>
        </w:rPr>
        <w:t xml:space="preserve"> which are indicators of fecal contamination and poor sanitation (</w:t>
      </w:r>
      <w:proofErr w:type="spellStart"/>
      <w:r>
        <w:rPr>
          <w:rFonts w:ascii="Times New Roman" w:eastAsia="Times New Roman" w:hAnsi="Times New Roman" w:cs="Times New Roman"/>
          <w:sz w:val="24"/>
        </w:rPr>
        <w:t>Ghali</w:t>
      </w:r>
      <w:proofErr w:type="spellEnd"/>
      <w:r>
        <w:rPr>
          <w:rFonts w:ascii="Times New Roman" w:eastAsia="Times New Roman" w:hAnsi="Times New Roman" w:cs="Times New Roman"/>
          <w:sz w:val="24"/>
        </w:rPr>
        <w:t xml:space="preserve">-Mohammed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2025). </w:t>
      </w:r>
      <w:r>
        <w:rPr>
          <w:rFonts w:ascii="Times New Roman" w:eastAsia="Times New Roman" w:hAnsi="Times New Roman" w:cs="Times New Roman"/>
          <w:color w:val="FF0000"/>
          <w:sz w:val="24"/>
        </w:rPr>
        <w:t xml:space="preserve">Moreover, due to poor hygienic condition or water source, raw milk and </w:t>
      </w:r>
      <w:r>
        <w:rPr>
          <w:rFonts w:ascii="Times New Roman" w:eastAsia="Times New Roman" w:hAnsi="Times New Roman" w:cs="Times New Roman"/>
          <w:color w:val="FF0000"/>
          <w:sz w:val="24"/>
        </w:rPr>
        <w:lastRenderedPageBreak/>
        <w:t xml:space="preserve">some other dairy </w:t>
      </w:r>
      <w:proofErr w:type="gramStart"/>
      <w:r>
        <w:rPr>
          <w:rFonts w:ascii="Times New Roman" w:eastAsia="Times New Roman" w:hAnsi="Times New Roman" w:cs="Times New Roman"/>
          <w:color w:val="FF0000"/>
          <w:sz w:val="24"/>
        </w:rPr>
        <w:t>products  have</w:t>
      </w:r>
      <w:proofErr w:type="gramEnd"/>
      <w:r>
        <w:rPr>
          <w:rFonts w:ascii="Times New Roman" w:eastAsia="Times New Roman" w:hAnsi="Times New Roman" w:cs="Times New Roman"/>
          <w:color w:val="FF0000"/>
          <w:sz w:val="24"/>
        </w:rPr>
        <w:t xml:space="preserve"> been frequently reported to be contaminated  with microorganisms such as </w:t>
      </w:r>
      <w:r>
        <w:rPr>
          <w:rFonts w:ascii="Times New Roman" w:eastAsia="Times New Roman" w:hAnsi="Times New Roman" w:cs="Times New Roman"/>
          <w:i/>
          <w:color w:val="FF0000"/>
          <w:sz w:val="24"/>
        </w:rPr>
        <w:t>Escherichia coli, Staphylococcus aureus, Micrococcus spp. Shigella spp. Salmonella spp.</w:t>
      </w:r>
      <w:r>
        <w:rPr>
          <w:rFonts w:ascii="Times New Roman" w:eastAsia="Times New Roman" w:hAnsi="Times New Roman" w:cs="Times New Roman"/>
          <w:color w:val="FF0000"/>
          <w:sz w:val="24"/>
        </w:rPr>
        <w:t xml:space="preserve"> and </w:t>
      </w:r>
      <w:proofErr w:type="spellStart"/>
      <w:r>
        <w:rPr>
          <w:rFonts w:ascii="Times New Roman" w:eastAsia="Times New Roman" w:hAnsi="Times New Roman" w:cs="Times New Roman"/>
          <w:i/>
          <w:color w:val="FF0000"/>
          <w:sz w:val="24"/>
        </w:rPr>
        <w:t>Klebsella</w:t>
      </w:r>
      <w:proofErr w:type="spellEnd"/>
      <w:r>
        <w:rPr>
          <w:rFonts w:ascii="Times New Roman" w:eastAsia="Times New Roman" w:hAnsi="Times New Roman" w:cs="Times New Roman"/>
          <w:i/>
          <w:color w:val="FF0000"/>
          <w:sz w:val="24"/>
        </w:rPr>
        <w:t xml:space="preserve"> spp</w:t>
      </w:r>
      <w:r>
        <w:rPr>
          <w:rFonts w:ascii="Times New Roman" w:eastAsia="Times New Roman" w:hAnsi="Times New Roman" w:cs="Times New Roman"/>
          <w:color w:val="FF0000"/>
          <w:sz w:val="24"/>
        </w:rPr>
        <w:t xml:space="preserve">. (Afolabi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2017; </w:t>
      </w:r>
      <w:proofErr w:type="spellStart"/>
      <w:r>
        <w:rPr>
          <w:rFonts w:ascii="Times New Roman" w:eastAsia="Times New Roman" w:hAnsi="Times New Roman" w:cs="Times New Roman"/>
          <w:color w:val="FF0000"/>
          <w:sz w:val="24"/>
        </w:rPr>
        <w:t>Adediran</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2023). Again, </w:t>
      </w:r>
      <w:proofErr w:type="spellStart"/>
      <w:r>
        <w:rPr>
          <w:rFonts w:ascii="Times New Roman" w:eastAsia="Times New Roman" w:hAnsi="Times New Roman" w:cs="Times New Roman"/>
          <w:i/>
          <w:color w:val="FF0000"/>
          <w:sz w:val="24"/>
        </w:rPr>
        <w:t>Esherichia</w:t>
      </w:r>
      <w:proofErr w:type="spellEnd"/>
      <w:r>
        <w:rPr>
          <w:rFonts w:ascii="Times New Roman" w:eastAsia="Times New Roman" w:hAnsi="Times New Roman" w:cs="Times New Roman"/>
          <w:i/>
          <w:color w:val="FF0000"/>
          <w:sz w:val="24"/>
        </w:rPr>
        <w:t xml:space="preserve"> coli </w:t>
      </w:r>
      <w:r>
        <w:rPr>
          <w:rFonts w:ascii="Times New Roman" w:eastAsia="Times New Roman" w:hAnsi="Times New Roman" w:cs="Times New Roman"/>
          <w:color w:val="FF0000"/>
          <w:sz w:val="24"/>
        </w:rPr>
        <w:t xml:space="preserve">and </w:t>
      </w:r>
      <w:r>
        <w:rPr>
          <w:rFonts w:ascii="Times New Roman" w:eastAsia="Times New Roman" w:hAnsi="Times New Roman" w:cs="Times New Roman"/>
          <w:i/>
          <w:color w:val="FF0000"/>
          <w:sz w:val="24"/>
        </w:rPr>
        <w:t xml:space="preserve">Staphylococcus aureus </w:t>
      </w:r>
      <w:r>
        <w:rPr>
          <w:rFonts w:ascii="Times New Roman" w:eastAsia="Times New Roman" w:hAnsi="Times New Roman" w:cs="Times New Roman"/>
          <w:color w:val="FF0000"/>
          <w:sz w:val="24"/>
        </w:rPr>
        <w:t xml:space="preserve">produce potent toxins. Pathogenic </w:t>
      </w:r>
      <w:proofErr w:type="spellStart"/>
      <w:r>
        <w:rPr>
          <w:rFonts w:ascii="Times New Roman" w:eastAsia="Times New Roman" w:hAnsi="Times New Roman" w:cs="Times New Roman"/>
          <w:i/>
          <w:color w:val="FF0000"/>
          <w:sz w:val="24"/>
        </w:rPr>
        <w:t>Esherichia</w:t>
      </w:r>
      <w:proofErr w:type="spellEnd"/>
      <w:r>
        <w:rPr>
          <w:rFonts w:ascii="Times New Roman" w:eastAsia="Times New Roman" w:hAnsi="Times New Roman" w:cs="Times New Roman"/>
          <w:i/>
          <w:color w:val="FF0000"/>
          <w:sz w:val="24"/>
        </w:rPr>
        <w:t xml:space="preserve"> coli </w:t>
      </w:r>
      <w:r>
        <w:rPr>
          <w:rFonts w:ascii="Times New Roman" w:eastAsia="Times New Roman" w:hAnsi="Times New Roman" w:cs="Times New Roman"/>
          <w:color w:val="FF0000"/>
          <w:sz w:val="24"/>
        </w:rPr>
        <w:t xml:space="preserve">strains generate </w:t>
      </w:r>
      <w:proofErr w:type="spellStart"/>
      <w:r>
        <w:rPr>
          <w:rFonts w:ascii="Times New Roman" w:eastAsia="Times New Roman" w:hAnsi="Times New Roman" w:cs="Times New Roman"/>
          <w:color w:val="FF0000"/>
          <w:sz w:val="24"/>
        </w:rPr>
        <w:t>shiga</w:t>
      </w:r>
      <w:proofErr w:type="spellEnd"/>
      <w:r>
        <w:rPr>
          <w:rFonts w:ascii="Times New Roman" w:eastAsia="Times New Roman" w:hAnsi="Times New Roman" w:cs="Times New Roman"/>
          <w:color w:val="FF0000"/>
          <w:sz w:val="24"/>
        </w:rPr>
        <w:t xml:space="preserve"> toxins and heat stable enterotoxins, while </w:t>
      </w:r>
      <w:proofErr w:type="spellStart"/>
      <w:proofErr w:type="gramStart"/>
      <w:r>
        <w:rPr>
          <w:rFonts w:ascii="Times New Roman" w:eastAsia="Times New Roman" w:hAnsi="Times New Roman" w:cs="Times New Roman"/>
          <w:i/>
          <w:color w:val="FF0000"/>
          <w:sz w:val="24"/>
        </w:rPr>
        <w:t>S.aureus</w:t>
      </w:r>
      <w:proofErr w:type="spellEnd"/>
      <w:proofErr w:type="gramEnd"/>
      <w:r>
        <w:rPr>
          <w:rFonts w:ascii="Times New Roman" w:eastAsia="Times New Roman" w:hAnsi="Times New Roman" w:cs="Times New Roman"/>
          <w:i/>
          <w:color w:val="FF0000"/>
          <w:sz w:val="24"/>
        </w:rPr>
        <w:t xml:space="preserve"> </w:t>
      </w:r>
      <w:r>
        <w:rPr>
          <w:rFonts w:ascii="Times New Roman" w:eastAsia="Times New Roman" w:hAnsi="Times New Roman" w:cs="Times New Roman"/>
          <w:color w:val="FF0000"/>
          <w:sz w:val="24"/>
        </w:rPr>
        <w:t xml:space="preserve">produces a broad range of toxins including </w:t>
      </w:r>
      <w:proofErr w:type="spellStart"/>
      <w:r>
        <w:rPr>
          <w:rFonts w:ascii="Times New Roman" w:eastAsia="Times New Roman" w:hAnsi="Times New Roman" w:cs="Times New Roman"/>
          <w:color w:val="FF0000"/>
          <w:sz w:val="24"/>
        </w:rPr>
        <w:t>enterooxins</w:t>
      </w:r>
      <w:proofErr w:type="spellEnd"/>
      <w:r>
        <w:rPr>
          <w:rFonts w:ascii="Times New Roman" w:eastAsia="Times New Roman" w:hAnsi="Times New Roman" w:cs="Times New Roman"/>
          <w:color w:val="FF0000"/>
          <w:sz w:val="24"/>
        </w:rPr>
        <w:t xml:space="preserve"> and hemolysins (</w:t>
      </w:r>
      <w:proofErr w:type="spellStart"/>
      <w:r>
        <w:rPr>
          <w:rFonts w:ascii="Times New Roman" w:eastAsia="Times New Roman" w:hAnsi="Times New Roman" w:cs="Times New Roman"/>
          <w:color w:val="FF0000"/>
          <w:sz w:val="24"/>
        </w:rPr>
        <w:t>Batoo</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 xml:space="preserve">et al., </w:t>
      </w:r>
      <w:r>
        <w:rPr>
          <w:rFonts w:ascii="Times New Roman" w:eastAsia="Times New Roman" w:hAnsi="Times New Roman" w:cs="Times New Roman"/>
          <w:color w:val="FF0000"/>
          <w:sz w:val="24"/>
        </w:rPr>
        <w:t>2025).</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World Health </w:t>
      </w:r>
      <w:proofErr w:type="spellStart"/>
      <w:r>
        <w:rPr>
          <w:rFonts w:ascii="Times New Roman" w:eastAsia="Times New Roman" w:hAnsi="Times New Roman" w:cs="Times New Roman"/>
          <w:sz w:val="24"/>
        </w:rPr>
        <w:t>Organisation</w:t>
      </w:r>
      <w:proofErr w:type="spellEnd"/>
      <w:r>
        <w:rPr>
          <w:rFonts w:ascii="Times New Roman" w:eastAsia="Times New Roman" w:hAnsi="Times New Roman" w:cs="Times New Roman"/>
          <w:sz w:val="24"/>
        </w:rPr>
        <w:t xml:space="preserve"> (WHO) has emphasized that milk safety is a critical public health concern, especially in informal markets where regulatory oversight is minimal. Their technical presentation on food safety in primary milk production indicates the need for clean equipment, safe water and </w:t>
      </w:r>
      <w:proofErr w:type="spellStart"/>
      <w:r>
        <w:rPr>
          <w:rFonts w:ascii="Times New Roman" w:eastAsia="Times New Roman" w:hAnsi="Times New Roman" w:cs="Times New Roman"/>
          <w:sz w:val="24"/>
        </w:rPr>
        <w:t>vertinary</w:t>
      </w:r>
      <w:proofErr w:type="spellEnd"/>
      <w:r>
        <w:rPr>
          <w:rFonts w:ascii="Times New Roman" w:eastAsia="Times New Roman" w:hAnsi="Times New Roman" w:cs="Times New Roman"/>
          <w:sz w:val="24"/>
        </w:rPr>
        <w:t xml:space="preserve"> oversight to prevent contamination (WHO, 2023</w:t>
      </w: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Nigeria several studies have consistently reported microbial loads in raw milk that exceeded WHO thresholds. </w:t>
      </w:r>
      <w:proofErr w:type="spellStart"/>
      <w:r>
        <w:rPr>
          <w:rFonts w:ascii="Times New Roman" w:eastAsia="Times New Roman" w:hAnsi="Times New Roman" w:cs="Times New Roman"/>
          <w:sz w:val="24"/>
        </w:rPr>
        <w:t>Adediran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et al. </w:t>
      </w:r>
      <w:r>
        <w:rPr>
          <w:rFonts w:ascii="Times New Roman" w:eastAsia="Times New Roman" w:hAnsi="Times New Roman" w:cs="Times New Roman"/>
          <w:sz w:val="24"/>
        </w:rPr>
        <w:t>(2023) found high level of total bacterial counts and coliform counts in raw milk samples in dairy farms in Ibadan Metropolis Oyo State, Nigeria. Similarly</w:t>
      </w:r>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Abdulaziz</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(2023) also found high levels of coliforms and total bacterial count in raw milk samples collected from </w:t>
      </w:r>
      <w:proofErr w:type="spellStart"/>
      <w:r>
        <w:rPr>
          <w:rFonts w:ascii="Times New Roman" w:eastAsia="Times New Roman" w:hAnsi="Times New Roman" w:cs="Times New Roman"/>
          <w:color w:val="FF0000"/>
          <w:sz w:val="24"/>
        </w:rPr>
        <w:t>Wambia</w:t>
      </w:r>
      <w:proofErr w:type="spellEnd"/>
      <w:r>
        <w:rPr>
          <w:rFonts w:ascii="Times New Roman" w:eastAsia="Times New Roman" w:hAnsi="Times New Roman" w:cs="Times New Roman"/>
          <w:color w:val="FF0000"/>
          <w:sz w:val="24"/>
        </w:rPr>
        <w:t xml:space="preserve"> market, Kano State, Nigeria. </w:t>
      </w:r>
      <w:r>
        <w:rPr>
          <w:rFonts w:ascii="Times New Roman" w:eastAsia="Times New Roman" w:hAnsi="Times New Roman" w:cs="Times New Roman"/>
          <w:sz w:val="24"/>
        </w:rPr>
        <w:t xml:space="preserve">While many studies have </w:t>
      </w:r>
      <w:proofErr w:type="gramStart"/>
      <w:r>
        <w:rPr>
          <w:rFonts w:ascii="Times New Roman" w:eastAsia="Times New Roman" w:hAnsi="Times New Roman" w:cs="Times New Roman"/>
          <w:sz w:val="24"/>
        </w:rPr>
        <w:t>examine</w:t>
      </w:r>
      <w:proofErr w:type="gramEnd"/>
      <w:r>
        <w:rPr>
          <w:rFonts w:ascii="Times New Roman" w:eastAsia="Times New Roman" w:hAnsi="Times New Roman" w:cs="Times New Roman"/>
          <w:sz w:val="24"/>
        </w:rPr>
        <w:t xml:space="preserve"> microbial contamination in Nigerian milk, </w:t>
      </w:r>
      <w:r>
        <w:rPr>
          <w:rFonts w:ascii="Times New Roman" w:eastAsia="Times New Roman" w:hAnsi="Times New Roman" w:cs="Times New Roman"/>
          <w:color w:val="FF0000"/>
          <w:sz w:val="24"/>
        </w:rPr>
        <w:t xml:space="preserve">few have simultaneously </w:t>
      </w:r>
      <w:proofErr w:type="spellStart"/>
      <w:r>
        <w:rPr>
          <w:rFonts w:ascii="Times New Roman" w:eastAsia="Times New Roman" w:hAnsi="Times New Roman" w:cs="Times New Roman"/>
          <w:color w:val="FF0000"/>
          <w:sz w:val="24"/>
        </w:rPr>
        <w:t>assesed</w:t>
      </w:r>
      <w:proofErr w:type="spellEnd"/>
      <w:r>
        <w:rPr>
          <w:rFonts w:ascii="Times New Roman" w:eastAsia="Times New Roman" w:hAnsi="Times New Roman" w:cs="Times New Roman"/>
          <w:color w:val="FF0000"/>
          <w:sz w:val="24"/>
        </w:rPr>
        <w:t xml:space="preserve"> the protein, fatty acid profile as well as milk contamination route as well as their </w:t>
      </w:r>
      <w:r>
        <w:rPr>
          <w:rFonts w:ascii="Times New Roman" w:eastAsia="Times New Roman" w:hAnsi="Times New Roman" w:cs="Times New Roman"/>
          <w:sz w:val="24"/>
        </w:rPr>
        <w:t xml:space="preserve">As a results of these, the present study aims to evaluate the microbiological assessment of contamination route of cow and goat milk across four Local Government Area in Southwestern Nigeria, which are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and Ibadan North. By analyzing samples from milking utensils, water sources and air and comparing protein and fatty acid profile, the research provides a comprehensive view of milk safety and quality in traditional handling systems.</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MATERIALS AND METHODS</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Study Areas</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study was conducted across dairy farms in four Local Government Areas within Oyo State: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and Ibadan North. One dairy farm was selected from each LGA based on their active dairy farming communities and accessibility.</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Study Design</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 cross-sectional observational design was adopted to assess microbial contamination risks in traditional milk handling environment. The study focused on evaluating hygienic condition and environmental vectors of contamination of cow and goat milk.</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Sample collection</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study adopted a cross-sectional design. Milking utensils were swabbed using sterile cotton applicators moistened with buffered peptone water. Swabs were taken from commonly used milking utensils (</w:t>
      </w:r>
      <w:proofErr w:type="spellStart"/>
      <w:r>
        <w:rPr>
          <w:rFonts w:ascii="Times New Roman" w:eastAsia="Times New Roman" w:hAnsi="Times New Roman" w:cs="Times New Roman"/>
          <w:sz w:val="24"/>
        </w:rPr>
        <w:t>Badawy</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2022).</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Water samples were obtained from water source used for cleaning and milking. Total bacterial count and total coliform counts was carried using plate count agar and MacConkey by pour plate method </w:t>
      </w:r>
      <w:r>
        <w:rPr>
          <w:rFonts w:ascii="Times New Roman" w:eastAsia="Times New Roman" w:hAnsi="Times New Roman" w:cs="Times New Roman"/>
          <w:color w:val="FF0000"/>
          <w:sz w:val="24"/>
        </w:rPr>
        <w:t>(Harrigan and McCance, 1966).</w:t>
      </w:r>
    </w:p>
    <w:p w:rsidR="00950531" w:rsidRDefault="008E3CEF">
      <w:pPr>
        <w:spacing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Air sampling was conducted by using settle plate technique, where nutrient agar plates were exposed for 30 minutes at the milking areas to capture airborne microorganisms </w:t>
      </w:r>
      <w:r>
        <w:rPr>
          <w:rFonts w:ascii="Times New Roman" w:eastAsia="Times New Roman" w:hAnsi="Times New Roman" w:cs="Times New Roman"/>
          <w:color w:val="FF0000"/>
          <w:sz w:val="24"/>
        </w:rPr>
        <w:t>(</w:t>
      </w:r>
      <w:proofErr w:type="spellStart"/>
      <w:r>
        <w:rPr>
          <w:rFonts w:ascii="Times New Roman" w:eastAsia="Times New Roman" w:hAnsi="Times New Roman" w:cs="Times New Roman"/>
          <w:color w:val="FF0000"/>
          <w:sz w:val="24"/>
        </w:rPr>
        <w:t>Olaitan</w:t>
      </w:r>
      <w:proofErr w:type="spellEnd"/>
      <w:r>
        <w:rPr>
          <w:rFonts w:ascii="Times New Roman" w:eastAsia="Times New Roman" w:hAnsi="Times New Roman" w:cs="Times New Roman"/>
          <w:color w:val="FF0000"/>
          <w:sz w:val="24"/>
        </w:rPr>
        <w:t xml:space="preserve"> and Muhammad, 2018).</w:t>
      </w:r>
    </w:p>
    <w:p w:rsidR="00950531" w:rsidRDefault="008E3CEF">
      <w:pPr>
        <w:spacing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Collection of milk was done in sterile sampling and transported immediately in ice pack for protein and fatty acid analysis (WHO, 2023).</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All samples were transported to the laboratory and processed within few hours of collection, following WHO guidelines for microbiological sample handling (WHO, 2023).</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Nutritional Analysis</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Protein profile</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protein profile was determined using </w:t>
      </w:r>
      <w:proofErr w:type="spellStart"/>
      <w:r>
        <w:rPr>
          <w:rFonts w:ascii="Times New Roman" w:eastAsia="Times New Roman" w:hAnsi="Times New Roman" w:cs="Times New Roman"/>
          <w:sz w:val="24"/>
        </w:rPr>
        <w:t>Kjeldahl</w:t>
      </w:r>
      <w:proofErr w:type="spellEnd"/>
      <w:r>
        <w:rPr>
          <w:rFonts w:ascii="Times New Roman" w:eastAsia="Times New Roman" w:hAnsi="Times New Roman" w:cs="Times New Roman"/>
          <w:sz w:val="24"/>
        </w:rPr>
        <w:t xml:space="preserve"> method adapted by Muhammad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(2023).</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Fatty acid profile</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Fatty acid profile was determined using Soxhlet extraction and gas chromatography by the method adopted by Muhammad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(2023)</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Microbiological Analysis </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Microbiological analysis involved involve standard plate counts where serial dilution up to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 xml:space="preserve"> where done and plating on nutrient agar for total bacterial count (TBC) and MacConkey agar for </w:t>
      </w:r>
      <w:r>
        <w:rPr>
          <w:rFonts w:ascii="Times New Roman" w:eastAsia="Times New Roman" w:hAnsi="Times New Roman" w:cs="Times New Roman"/>
          <w:sz w:val="24"/>
        </w:rPr>
        <w:lastRenderedPageBreak/>
        <w:t>total coliform count (TCC). Plates were incubated at 37 ̊C for 24̶ 48 hours. Colony counts were expressed in CFU/mL (</w:t>
      </w:r>
      <w:proofErr w:type="spellStart"/>
      <w:r>
        <w:rPr>
          <w:rFonts w:ascii="Times New Roman" w:eastAsia="Times New Roman" w:hAnsi="Times New Roman" w:cs="Times New Roman"/>
          <w:sz w:val="24"/>
        </w:rPr>
        <w:t>Ezugwu</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Agbakoba</w:t>
      </w:r>
      <w:proofErr w:type="spellEnd"/>
      <w:r>
        <w:rPr>
          <w:rFonts w:ascii="Times New Roman" w:eastAsia="Times New Roman" w:hAnsi="Times New Roman" w:cs="Times New Roman"/>
          <w:sz w:val="24"/>
        </w:rPr>
        <w:t>, 2021).</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Statistical Analysis</w:t>
      </w: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Data were </w:t>
      </w:r>
      <w:proofErr w:type="spellStart"/>
      <w:r>
        <w:rPr>
          <w:rFonts w:ascii="Times New Roman" w:eastAsia="Times New Roman" w:hAnsi="Times New Roman" w:cs="Times New Roman"/>
          <w:sz w:val="24"/>
        </w:rPr>
        <w:t>analysed</w:t>
      </w:r>
      <w:proofErr w:type="spellEnd"/>
      <w:r>
        <w:rPr>
          <w:rFonts w:ascii="Times New Roman" w:eastAsia="Times New Roman" w:hAnsi="Times New Roman" w:cs="Times New Roman"/>
          <w:sz w:val="24"/>
        </w:rPr>
        <w:t xml:space="preserve"> by the use of SPSS version 24 using AVOVA to compare microbiological loads across LGAs and different sample types at significance p˂ 0.05 by the method adopted by </w:t>
      </w:r>
      <w:proofErr w:type="spellStart"/>
      <w:r>
        <w:rPr>
          <w:rFonts w:ascii="Times New Roman" w:eastAsia="Times New Roman" w:hAnsi="Times New Roman" w:cs="Times New Roman"/>
          <w:sz w:val="24"/>
        </w:rPr>
        <w:t>Elutade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(2023).</w:t>
      </w: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Table 1: Protein analysis of raw cow and goat milk</w:t>
      </w:r>
    </w:p>
    <w:tbl>
      <w:tblPr>
        <w:tblW w:w="0" w:type="auto"/>
        <w:tblInd w:w="98" w:type="dxa"/>
        <w:tblCellMar>
          <w:left w:w="10" w:type="dxa"/>
          <w:right w:w="10" w:type="dxa"/>
        </w:tblCellMar>
        <w:tblLook w:val="0000" w:firstRow="0" w:lastRow="0" w:firstColumn="0" w:lastColumn="0" w:noHBand="0" w:noVBand="0"/>
      </w:tblPr>
      <w:tblGrid>
        <w:gridCol w:w="980"/>
        <w:gridCol w:w="981"/>
        <w:gridCol w:w="1012"/>
        <w:gridCol w:w="1012"/>
        <w:gridCol w:w="238"/>
        <w:gridCol w:w="372"/>
        <w:gridCol w:w="341"/>
        <w:gridCol w:w="156"/>
        <w:gridCol w:w="989"/>
        <w:gridCol w:w="1012"/>
        <w:gridCol w:w="1012"/>
        <w:gridCol w:w="320"/>
        <w:gridCol w:w="286"/>
        <w:gridCol w:w="462"/>
        <w:gridCol w:w="89"/>
      </w:tblGrid>
      <w:tr w:rsidR="00950531">
        <w:trPr>
          <w:trHeight w:val="1"/>
        </w:trPr>
        <w:tc>
          <w:tcPr>
            <w:tcW w:w="11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Cow milk</w:t>
            </w:r>
          </w:p>
        </w:tc>
        <w:tc>
          <w:tcPr>
            <w:tcW w:w="11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3049"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43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39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4232" w:type="dxa"/>
            <w:gridSpan w:val="4"/>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Goat milk</w:t>
            </w:r>
          </w:p>
        </w:tc>
        <w:tc>
          <w:tcPr>
            <w:tcW w:w="34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30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1283"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r>
      <w:tr w:rsidR="00950531">
        <w:trPr>
          <w:gridAfter w:val="1"/>
          <w:wAfter w:w="770" w:type="dxa"/>
          <w:trHeight w:val="1"/>
        </w:trPr>
        <w:tc>
          <w:tcPr>
            <w:tcW w:w="1137"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Sampling site</w:t>
            </w:r>
          </w:p>
        </w:tc>
        <w:tc>
          <w:tcPr>
            <w:tcW w:w="1139"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Crude protein (%)</w:t>
            </w:r>
          </w:p>
        </w:tc>
        <w:tc>
          <w:tcPr>
            <w:tcW w:w="11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Estimated casein</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1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Estimated whey</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2256" w:type="dxa"/>
            <w:gridSpan w:val="4"/>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Others</w:t>
            </w:r>
          </w:p>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(peptides, enzymes)</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14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Crude </w:t>
            </w:r>
          </w:p>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Protein</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1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Estimated casein</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176"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Estimated whey</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156" w:type="dxa"/>
            <w:gridSpan w:val="3"/>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Others</w:t>
            </w:r>
          </w:p>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(peptides, </w:t>
            </w:r>
          </w:p>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enzymes</w:t>
            </w:r>
          </w:p>
          <w:p w:rsidR="00950531" w:rsidRDefault="008E3CEF">
            <w:pPr>
              <w:spacing w:after="0" w:line="360" w:lineRule="auto"/>
              <w:jc w:val="both"/>
            </w:pPr>
            <w:r>
              <w:rPr>
                <w:rFonts w:ascii="Times New Roman" w:eastAsia="Times New Roman" w:hAnsi="Times New Roman" w:cs="Times New Roman"/>
                <w:color w:val="000000"/>
                <w:sz w:val="24"/>
              </w:rPr>
              <w:t>(%)</w:t>
            </w:r>
          </w:p>
        </w:tc>
      </w:tr>
      <w:tr w:rsidR="00950531">
        <w:trPr>
          <w:gridAfter w:val="1"/>
          <w:wAfter w:w="770" w:type="dxa"/>
          <w:trHeight w:val="1"/>
        </w:trPr>
        <w:tc>
          <w:tcPr>
            <w:tcW w:w="1137"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proofErr w:type="spellStart"/>
            <w:r>
              <w:rPr>
                <w:rFonts w:ascii="Times New Roman" w:eastAsia="Times New Roman" w:hAnsi="Times New Roman" w:cs="Times New Roman"/>
                <w:color w:val="000000"/>
                <w:sz w:val="24"/>
              </w:rPr>
              <w:t>Akinyele</w:t>
            </w:r>
            <w:proofErr w:type="spellEnd"/>
            <w:r>
              <w:rPr>
                <w:rFonts w:ascii="Times New Roman" w:eastAsia="Times New Roman" w:hAnsi="Times New Roman" w:cs="Times New Roman"/>
                <w:color w:val="000000"/>
                <w:sz w:val="24"/>
              </w:rPr>
              <w:t xml:space="preserve"> LGA</w:t>
            </w:r>
          </w:p>
        </w:tc>
        <w:tc>
          <w:tcPr>
            <w:tcW w:w="1139"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3.91±0.0</w:t>
            </w:r>
            <w:r>
              <w:rPr>
                <w:rFonts w:ascii="Times New Roman" w:eastAsia="Times New Roman" w:hAnsi="Times New Roman" w:cs="Times New Roman"/>
                <w:color w:val="000000"/>
                <w:sz w:val="24"/>
                <w:vertAlign w:val="superscript"/>
              </w:rPr>
              <w:t>a</w:t>
            </w:r>
          </w:p>
        </w:tc>
        <w:tc>
          <w:tcPr>
            <w:tcW w:w="1176"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3.13±0.0</w:t>
            </w:r>
            <w:r>
              <w:rPr>
                <w:rFonts w:ascii="Times New Roman" w:eastAsia="Times New Roman" w:hAnsi="Times New Roman" w:cs="Times New Roman"/>
                <w:color w:val="000000"/>
                <w:sz w:val="24"/>
                <w:vertAlign w:val="superscript"/>
              </w:rPr>
              <w:t>a</w:t>
            </w:r>
          </w:p>
        </w:tc>
        <w:tc>
          <w:tcPr>
            <w:tcW w:w="1176"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0.78± 0.0</w:t>
            </w:r>
            <w:r>
              <w:rPr>
                <w:rFonts w:ascii="Times New Roman" w:eastAsia="Times New Roman" w:hAnsi="Times New Roman" w:cs="Times New Roman"/>
                <w:color w:val="000000"/>
                <w:sz w:val="24"/>
                <w:vertAlign w:val="superscript"/>
              </w:rPr>
              <w:t>a</w:t>
            </w:r>
          </w:p>
        </w:tc>
        <w:tc>
          <w:tcPr>
            <w:tcW w:w="2256" w:type="dxa"/>
            <w:gridSpan w:val="4"/>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0.05± 0.0</w:t>
            </w:r>
            <w:r>
              <w:rPr>
                <w:rFonts w:ascii="Times New Roman" w:eastAsia="Times New Roman" w:hAnsi="Times New Roman" w:cs="Times New Roman"/>
                <w:color w:val="000000"/>
                <w:sz w:val="24"/>
                <w:vertAlign w:val="superscript"/>
              </w:rPr>
              <w:t>a</w:t>
            </w:r>
          </w:p>
        </w:tc>
        <w:tc>
          <w:tcPr>
            <w:tcW w:w="1148"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4.70±0.0</w:t>
            </w:r>
            <w:r>
              <w:rPr>
                <w:rFonts w:ascii="Times New Roman" w:eastAsia="Times New Roman" w:hAnsi="Times New Roman" w:cs="Times New Roman"/>
                <w:color w:val="000000"/>
                <w:sz w:val="24"/>
                <w:vertAlign w:val="superscript"/>
              </w:rPr>
              <w:t>b</w:t>
            </w:r>
          </w:p>
        </w:tc>
        <w:tc>
          <w:tcPr>
            <w:tcW w:w="1176"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3.53± 0.0</w:t>
            </w:r>
            <w:r>
              <w:rPr>
                <w:rFonts w:ascii="Times New Roman" w:eastAsia="Times New Roman" w:hAnsi="Times New Roman" w:cs="Times New Roman"/>
                <w:color w:val="000000"/>
                <w:sz w:val="24"/>
                <w:vertAlign w:val="superscript"/>
              </w:rPr>
              <w:t>b</w:t>
            </w:r>
          </w:p>
        </w:tc>
        <w:tc>
          <w:tcPr>
            <w:tcW w:w="1176"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1.18±0.0</w:t>
            </w:r>
            <w:r>
              <w:rPr>
                <w:rFonts w:ascii="Times New Roman" w:eastAsia="Times New Roman" w:hAnsi="Times New Roman" w:cs="Times New Roman"/>
                <w:color w:val="000000"/>
                <w:sz w:val="24"/>
                <w:vertAlign w:val="superscript"/>
              </w:rPr>
              <w:t>b</w:t>
            </w:r>
          </w:p>
        </w:tc>
        <w:tc>
          <w:tcPr>
            <w:tcW w:w="1156" w:type="dxa"/>
            <w:gridSpan w:val="3"/>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0.08± 0.0</w:t>
            </w:r>
            <w:r>
              <w:rPr>
                <w:rFonts w:ascii="Times New Roman" w:eastAsia="Times New Roman" w:hAnsi="Times New Roman" w:cs="Times New Roman"/>
                <w:color w:val="000000"/>
                <w:sz w:val="24"/>
                <w:vertAlign w:val="superscript"/>
              </w:rPr>
              <w:t>b</w:t>
            </w:r>
          </w:p>
        </w:tc>
      </w:tr>
      <w:tr w:rsidR="00950531">
        <w:trPr>
          <w:gridAfter w:val="1"/>
          <w:wAfter w:w="770" w:type="dxa"/>
          <w:trHeight w:val="1"/>
        </w:trPr>
        <w:tc>
          <w:tcPr>
            <w:tcW w:w="11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proofErr w:type="spellStart"/>
            <w:r>
              <w:rPr>
                <w:rFonts w:ascii="Times New Roman" w:eastAsia="Times New Roman" w:hAnsi="Times New Roman" w:cs="Times New Roman"/>
                <w:color w:val="000000"/>
                <w:sz w:val="24"/>
              </w:rPr>
              <w:t>Ido</w:t>
            </w:r>
            <w:proofErr w:type="spellEnd"/>
            <w:r>
              <w:rPr>
                <w:rFonts w:ascii="Times New Roman" w:eastAsia="Times New Roman" w:hAnsi="Times New Roman" w:cs="Times New Roman"/>
                <w:color w:val="000000"/>
                <w:sz w:val="24"/>
              </w:rPr>
              <w:t xml:space="preserve"> LGA</w:t>
            </w:r>
          </w:p>
        </w:tc>
        <w:tc>
          <w:tcPr>
            <w:tcW w:w="11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3.91±0.0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3.12±0.0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0.79± 0.0</w:t>
            </w:r>
            <w:r>
              <w:rPr>
                <w:rFonts w:ascii="Times New Roman" w:eastAsia="Times New Roman" w:hAnsi="Times New Roman" w:cs="Times New Roman"/>
                <w:color w:val="000000"/>
                <w:sz w:val="24"/>
                <w:vertAlign w:val="superscript"/>
              </w:rPr>
              <w:t>a</w:t>
            </w:r>
          </w:p>
        </w:tc>
        <w:tc>
          <w:tcPr>
            <w:tcW w:w="2256" w:type="dxa"/>
            <w:gridSpan w:val="4"/>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0.05± 0.0</w:t>
            </w:r>
            <w:r>
              <w:rPr>
                <w:rFonts w:ascii="Times New Roman" w:eastAsia="Times New Roman" w:hAnsi="Times New Roman" w:cs="Times New Roman"/>
                <w:color w:val="000000"/>
                <w:sz w:val="24"/>
                <w:vertAlign w:val="superscript"/>
              </w:rPr>
              <w:t>a</w:t>
            </w:r>
          </w:p>
        </w:tc>
        <w:tc>
          <w:tcPr>
            <w:tcW w:w="11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4.70±0.0</w:t>
            </w:r>
            <w:r>
              <w:rPr>
                <w:rFonts w:ascii="Times New Roman" w:eastAsia="Times New Roman" w:hAnsi="Times New Roman" w:cs="Times New Roman"/>
                <w:color w:val="000000"/>
                <w:sz w:val="24"/>
                <w:vertAlign w:val="superscript"/>
              </w:rPr>
              <w:t>b</w:t>
            </w:r>
          </w:p>
        </w:tc>
        <w:tc>
          <w:tcPr>
            <w:tcW w:w="11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3.54± 0.0</w:t>
            </w:r>
            <w:r>
              <w:rPr>
                <w:rFonts w:ascii="Times New Roman" w:eastAsia="Times New Roman" w:hAnsi="Times New Roman" w:cs="Times New Roman"/>
                <w:color w:val="000000"/>
                <w:sz w:val="24"/>
                <w:vertAlign w:val="superscript"/>
              </w:rPr>
              <w:t>b</w:t>
            </w:r>
          </w:p>
        </w:tc>
        <w:tc>
          <w:tcPr>
            <w:tcW w:w="11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1.17±0.0</w:t>
            </w:r>
            <w:r>
              <w:rPr>
                <w:rFonts w:ascii="Times New Roman" w:eastAsia="Times New Roman" w:hAnsi="Times New Roman" w:cs="Times New Roman"/>
                <w:color w:val="000000"/>
                <w:sz w:val="24"/>
                <w:vertAlign w:val="superscript"/>
              </w:rPr>
              <w:t>b</w:t>
            </w:r>
          </w:p>
        </w:tc>
        <w:tc>
          <w:tcPr>
            <w:tcW w:w="1156"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0.08± 0.0</w:t>
            </w:r>
            <w:r>
              <w:rPr>
                <w:rFonts w:ascii="Times New Roman" w:eastAsia="Times New Roman" w:hAnsi="Times New Roman" w:cs="Times New Roman"/>
                <w:color w:val="000000"/>
                <w:sz w:val="24"/>
                <w:vertAlign w:val="superscript"/>
              </w:rPr>
              <w:t>b</w:t>
            </w:r>
          </w:p>
        </w:tc>
      </w:tr>
      <w:tr w:rsidR="00950531">
        <w:trPr>
          <w:gridAfter w:val="1"/>
          <w:wAfter w:w="770" w:type="dxa"/>
          <w:trHeight w:val="1"/>
        </w:trPr>
        <w:tc>
          <w:tcPr>
            <w:tcW w:w="113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proofErr w:type="spellStart"/>
            <w:r>
              <w:rPr>
                <w:rFonts w:ascii="Times New Roman" w:eastAsia="Times New Roman" w:hAnsi="Times New Roman" w:cs="Times New Roman"/>
                <w:color w:val="000000"/>
                <w:sz w:val="24"/>
              </w:rPr>
              <w:t>Ibarapa</w:t>
            </w:r>
            <w:proofErr w:type="spellEnd"/>
            <w:r>
              <w:rPr>
                <w:rFonts w:ascii="Times New Roman" w:eastAsia="Times New Roman" w:hAnsi="Times New Roman" w:cs="Times New Roman"/>
                <w:color w:val="000000"/>
                <w:sz w:val="24"/>
              </w:rPr>
              <w:t xml:space="preserve"> East</w:t>
            </w:r>
          </w:p>
        </w:tc>
        <w:tc>
          <w:tcPr>
            <w:tcW w:w="11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3.96±0.0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3.17±0.0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0.79± 0.0</w:t>
            </w:r>
            <w:r>
              <w:rPr>
                <w:rFonts w:ascii="Times New Roman" w:eastAsia="Times New Roman" w:hAnsi="Times New Roman" w:cs="Times New Roman"/>
                <w:color w:val="000000"/>
                <w:sz w:val="24"/>
                <w:vertAlign w:val="superscript"/>
              </w:rPr>
              <w:t>a</w:t>
            </w:r>
          </w:p>
        </w:tc>
        <w:tc>
          <w:tcPr>
            <w:tcW w:w="2256" w:type="dxa"/>
            <w:gridSpan w:val="4"/>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0.05± 0.0</w:t>
            </w:r>
            <w:r>
              <w:rPr>
                <w:rFonts w:ascii="Times New Roman" w:eastAsia="Times New Roman" w:hAnsi="Times New Roman" w:cs="Times New Roman"/>
                <w:color w:val="000000"/>
                <w:sz w:val="24"/>
                <w:vertAlign w:val="superscript"/>
              </w:rPr>
              <w:t>a</w:t>
            </w:r>
          </w:p>
        </w:tc>
        <w:tc>
          <w:tcPr>
            <w:tcW w:w="114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5.15±0.0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3.86± 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1.29±0.0</w:t>
            </w:r>
            <w:r>
              <w:rPr>
                <w:rFonts w:ascii="Times New Roman" w:eastAsia="Times New Roman" w:hAnsi="Times New Roman" w:cs="Times New Roman"/>
                <w:color w:val="000000"/>
                <w:sz w:val="24"/>
                <w:vertAlign w:val="superscript"/>
              </w:rPr>
              <w:t>a</w:t>
            </w:r>
          </w:p>
        </w:tc>
        <w:tc>
          <w:tcPr>
            <w:tcW w:w="1156"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0.10± 0.0</w:t>
            </w:r>
            <w:r>
              <w:rPr>
                <w:rFonts w:ascii="Times New Roman" w:eastAsia="Times New Roman" w:hAnsi="Times New Roman" w:cs="Times New Roman"/>
                <w:color w:val="000000"/>
                <w:sz w:val="24"/>
                <w:vertAlign w:val="superscript"/>
              </w:rPr>
              <w:t>a</w:t>
            </w:r>
          </w:p>
        </w:tc>
      </w:tr>
      <w:tr w:rsidR="00950531">
        <w:trPr>
          <w:gridAfter w:val="1"/>
          <w:wAfter w:w="770" w:type="dxa"/>
          <w:trHeight w:val="1"/>
        </w:trPr>
        <w:tc>
          <w:tcPr>
            <w:tcW w:w="1137"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Ibadan North</w:t>
            </w:r>
          </w:p>
        </w:tc>
        <w:tc>
          <w:tcPr>
            <w:tcW w:w="113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3.94±0.0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3.15±0.0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0.79± 0.0</w:t>
            </w:r>
            <w:r>
              <w:rPr>
                <w:rFonts w:ascii="Times New Roman" w:eastAsia="Times New Roman" w:hAnsi="Times New Roman" w:cs="Times New Roman"/>
                <w:color w:val="000000"/>
                <w:sz w:val="24"/>
                <w:vertAlign w:val="superscript"/>
              </w:rPr>
              <w:t>a</w:t>
            </w:r>
          </w:p>
        </w:tc>
        <w:tc>
          <w:tcPr>
            <w:tcW w:w="2256" w:type="dxa"/>
            <w:gridSpan w:val="4"/>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0.05± 0.0</w:t>
            </w:r>
            <w:r>
              <w:rPr>
                <w:rFonts w:ascii="Times New Roman" w:eastAsia="Times New Roman" w:hAnsi="Times New Roman" w:cs="Times New Roman"/>
                <w:color w:val="000000"/>
                <w:sz w:val="24"/>
                <w:vertAlign w:val="superscript"/>
              </w:rPr>
              <w:t>a</w:t>
            </w:r>
          </w:p>
        </w:tc>
        <w:tc>
          <w:tcPr>
            <w:tcW w:w="114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5.10±0.0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3.83± 0.0</w:t>
            </w:r>
            <w:r>
              <w:rPr>
                <w:rFonts w:ascii="Times New Roman" w:eastAsia="Times New Roman" w:hAnsi="Times New Roman" w:cs="Times New Roman"/>
                <w:color w:val="000000"/>
                <w:sz w:val="24"/>
                <w:vertAlign w:val="superscript"/>
              </w:rPr>
              <w:t>a</w:t>
            </w:r>
          </w:p>
        </w:tc>
        <w:tc>
          <w:tcPr>
            <w:tcW w:w="1176"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1.28±0.0</w:t>
            </w:r>
            <w:r>
              <w:rPr>
                <w:rFonts w:ascii="Times New Roman" w:eastAsia="Times New Roman" w:hAnsi="Times New Roman" w:cs="Times New Roman"/>
                <w:color w:val="000000"/>
                <w:sz w:val="24"/>
                <w:vertAlign w:val="superscript"/>
              </w:rPr>
              <w:t>a</w:t>
            </w:r>
          </w:p>
        </w:tc>
        <w:tc>
          <w:tcPr>
            <w:tcW w:w="1156"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0.10± 0.0</w:t>
            </w:r>
            <w:r>
              <w:rPr>
                <w:rFonts w:ascii="Times New Roman" w:eastAsia="Times New Roman" w:hAnsi="Times New Roman" w:cs="Times New Roman"/>
                <w:color w:val="000000"/>
                <w:sz w:val="24"/>
                <w:vertAlign w:val="superscript"/>
              </w:rPr>
              <w:t>a</w:t>
            </w:r>
          </w:p>
        </w:tc>
      </w:tr>
    </w:tbl>
    <w:p w:rsidR="00950531" w:rsidRDefault="008E3CEF">
      <w:pPr>
        <w:spacing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rPr>
        <w:t>The above table displays the results as means ± standard deviation. The Duncan Multiple Range Test rating of the post hoc test is shown by the superscripts. While the means with the same superscript were similar, those with different superscripts differed significantly from one another down the column at p&lt;0.05</w:t>
      </w:r>
    </w:p>
    <w:p w:rsidR="00950531" w:rsidRDefault="00950531">
      <w:pPr>
        <w:spacing w:line="360" w:lineRule="auto"/>
        <w:jc w:val="both"/>
        <w:rPr>
          <w:rFonts w:ascii="Times New Roman" w:eastAsia="Times New Roman" w:hAnsi="Times New Roman" w:cs="Times New Roman"/>
          <w:i/>
          <w:sz w:val="24"/>
        </w:rPr>
      </w:pP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Table 2: Fatty acid analysis of raw cow and goat milk</w:t>
      </w:r>
    </w:p>
    <w:p w:rsidR="00950531" w:rsidRDefault="008E3CEF">
      <w:pPr>
        <w:spacing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rPr>
        <w:t>The above table displays the results as means ± standard deviation. The Duncan Multiple Range   Test rating of the post hoc test is shown by the superscripts. While the means with the same superscript were similar, those with different superscripts differed significantly from one another down the column at p&lt;0.05</w:t>
      </w:r>
    </w:p>
    <w:p w:rsidR="00950531" w:rsidRDefault="008E3CEF">
      <w:pPr>
        <w:spacing w:after="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keys </w:t>
      </w:r>
      <w:r>
        <w:rPr>
          <w:rFonts w:ascii="Times New Roman" w:eastAsia="Times New Roman" w:hAnsi="Times New Roman" w:cs="Times New Roman"/>
          <w:color w:val="FF0000"/>
          <w:sz w:val="24"/>
        </w:rPr>
        <w:tab/>
      </w:r>
    </w:p>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MUFA: Monounsaturated Fat          PUFA: Polyunsaturated Fat</w:t>
      </w:r>
    </w:p>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TF: Total Fat                                     SFA: Saturated Fat</w:t>
      </w: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1069"/>
        <w:gridCol w:w="1079"/>
        <w:gridCol w:w="1079"/>
        <w:gridCol w:w="1078"/>
        <w:gridCol w:w="1078"/>
        <w:gridCol w:w="216"/>
        <w:gridCol w:w="371"/>
        <w:gridCol w:w="303"/>
        <w:gridCol w:w="236"/>
        <w:gridCol w:w="1078"/>
        <w:gridCol w:w="858"/>
        <w:gridCol w:w="247"/>
        <w:gridCol w:w="236"/>
        <w:gridCol w:w="334"/>
      </w:tblGrid>
      <w:tr w:rsidR="00950531">
        <w:trPr>
          <w:trHeight w:val="1"/>
        </w:trPr>
        <w:tc>
          <w:tcPr>
            <w:tcW w:w="109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Cow milk</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3552" w:type="dxa"/>
            <w:gridSpan w:val="4"/>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4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3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1751"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Goat</w:t>
            </w:r>
          </w:p>
          <w:p w:rsidR="00950531" w:rsidRDefault="008E3CEF">
            <w:pPr>
              <w:spacing w:after="0" w:line="360" w:lineRule="auto"/>
              <w:jc w:val="both"/>
            </w:pPr>
            <w:r>
              <w:rPr>
                <w:rFonts w:ascii="Times New Roman" w:eastAsia="Times New Roman" w:hAnsi="Times New Roman" w:cs="Times New Roman"/>
                <w:color w:val="000000"/>
                <w:sz w:val="24"/>
              </w:rPr>
              <w:t>milk</w:t>
            </w:r>
          </w:p>
        </w:tc>
        <w:tc>
          <w:tcPr>
            <w:tcW w:w="1589"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23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c>
          <w:tcPr>
            <w:tcW w:w="36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950531">
            <w:pPr>
              <w:spacing w:after="0" w:line="360" w:lineRule="auto"/>
              <w:jc w:val="both"/>
              <w:rPr>
                <w:rFonts w:ascii="Calibri" w:eastAsia="Calibri" w:hAnsi="Calibri" w:cs="Calibri"/>
              </w:rPr>
            </w:pPr>
          </w:p>
        </w:tc>
      </w:tr>
      <w:tr w:rsidR="00950531">
        <w:trPr>
          <w:trHeight w:val="1"/>
        </w:trPr>
        <w:tc>
          <w:tcPr>
            <w:tcW w:w="1099"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Sampling site</w:t>
            </w:r>
          </w:p>
        </w:tc>
        <w:tc>
          <w:tcPr>
            <w:tcW w:w="110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TF</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10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SFA</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10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MUFA</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108"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PUFA</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632" w:type="dxa"/>
            <w:gridSpan w:val="4"/>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TF</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1074"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SFA</w:t>
            </w:r>
          </w:p>
          <w:p w:rsidR="00950531" w:rsidRDefault="008E3CEF">
            <w:pPr>
              <w:spacing w:after="0" w:line="360" w:lineRule="auto"/>
              <w:jc w:val="both"/>
            </w:pPr>
            <w:r>
              <w:rPr>
                <w:rFonts w:ascii="Times New Roman" w:eastAsia="Times New Roman" w:hAnsi="Times New Roman" w:cs="Times New Roman"/>
                <w:color w:val="000000"/>
                <w:sz w:val="24"/>
              </w:rPr>
              <w:t>(%)</w:t>
            </w:r>
          </w:p>
        </w:tc>
        <w:tc>
          <w:tcPr>
            <w:tcW w:w="88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MUFA</w:t>
            </w:r>
          </w:p>
          <w:p w:rsidR="00950531" w:rsidRDefault="008E3CEF">
            <w:pPr>
              <w:spacing w:after="0" w:line="360" w:lineRule="auto"/>
              <w:jc w:val="both"/>
            </w:pPr>
            <w:r>
              <w:rPr>
                <w:rFonts w:ascii="Times New Roman" w:eastAsia="Times New Roman" w:hAnsi="Times New Roman" w:cs="Times New Roman"/>
                <w:color w:val="000000"/>
                <w:sz w:val="24"/>
              </w:rPr>
              <w:t xml:space="preserve"> (%)</w:t>
            </w:r>
          </w:p>
        </w:tc>
        <w:tc>
          <w:tcPr>
            <w:tcW w:w="1315" w:type="dxa"/>
            <w:gridSpan w:val="3"/>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PUFA</w:t>
            </w:r>
          </w:p>
          <w:p w:rsidR="00950531" w:rsidRDefault="008E3CEF">
            <w:pPr>
              <w:spacing w:after="0" w:line="360" w:lineRule="auto"/>
              <w:jc w:val="both"/>
            </w:pPr>
            <w:r>
              <w:rPr>
                <w:rFonts w:ascii="Times New Roman" w:eastAsia="Times New Roman" w:hAnsi="Times New Roman" w:cs="Times New Roman"/>
                <w:color w:val="000000"/>
                <w:sz w:val="24"/>
              </w:rPr>
              <w:t>(%)</w:t>
            </w:r>
          </w:p>
        </w:tc>
      </w:tr>
      <w:tr w:rsidR="00950531">
        <w:trPr>
          <w:trHeight w:val="1"/>
        </w:trPr>
        <w:tc>
          <w:tcPr>
            <w:tcW w:w="1099"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proofErr w:type="spellStart"/>
            <w:r>
              <w:rPr>
                <w:rFonts w:ascii="Times New Roman" w:eastAsia="Times New Roman" w:hAnsi="Times New Roman" w:cs="Times New Roman"/>
                <w:color w:val="000000"/>
                <w:sz w:val="24"/>
              </w:rPr>
              <w:t>Akinyele</w:t>
            </w:r>
            <w:proofErr w:type="spellEnd"/>
            <w:r>
              <w:rPr>
                <w:rFonts w:ascii="Times New Roman" w:eastAsia="Times New Roman" w:hAnsi="Times New Roman" w:cs="Times New Roman"/>
                <w:color w:val="000000"/>
                <w:sz w:val="24"/>
              </w:rPr>
              <w:t xml:space="preserve"> LGA</w:t>
            </w:r>
          </w:p>
        </w:tc>
        <w:tc>
          <w:tcPr>
            <w:tcW w:w="1108"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3.90±0.0</w:t>
            </w:r>
            <w:r>
              <w:rPr>
                <w:rFonts w:ascii="Times New Roman" w:eastAsia="Times New Roman" w:hAnsi="Times New Roman" w:cs="Times New Roman"/>
                <w:color w:val="000000"/>
                <w:sz w:val="24"/>
                <w:vertAlign w:val="superscript"/>
              </w:rPr>
              <w:t>b</w:t>
            </w:r>
          </w:p>
        </w:tc>
        <w:tc>
          <w:tcPr>
            <w:tcW w:w="1108"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2.73±0.0</w:t>
            </w:r>
            <w:r>
              <w:rPr>
                <w:rFonts w:ascii="Times New Roman" w:eastAsia="Times New Roman" w:hAnsi="Times New Roman" w:cs="Times New Roman"/>
                <w:color w:val="000000"/>
                <w:sz w:val="24"/>
                <w:vertAlign w:val="superscript"/>
              </w:rPr>
              <w:t>b</w:t>
            </w:r>
          </w:p>
        </w:tc>
        <w:tc>
          <w:tcPr>
            <w:tcW w:w="1108"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1.09±0.0</w:t>
            </w:r>
            <w:r>
              <w:rPr>
                <w:rFonts w:ascii="Times New Roman" w:eastAsia="Times New Roman" w:hAnsi="Times New Roman" w:cs="Times New Roman"/>
                <w:color w:val="000000"/>
                <w:sz w:val="24"/>
                <w:vertAlign w:val="superscript"/>
              </w:rPr>
              <w:t>b</w:t>
            </w:r>
          </w:p>
        </w:tc>
        <w:tc>
          <w:tcPr>
            <w:tcW w:w="1108"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0.08±0.0</w:t>
            </w:r>
            <w:r>
              <w:rPr>
                <w:rFonts w:ascii="Times New Roman" w:eastAsia="Times New Roman" w:hAnsi="Times New Roman" w:cs="Times New Roman"/>
                <w:color w:val="000000"/>
                <w:sz w:val="24"/>
                <w:vertAlign w:val="superscript"/>
              </w:rPr>
              <w:t>b</w:t>
            </w:r>
          </w:p>
        </w:tc>
        <w:tc>
          <w:tcPr>
            <w:tcW w:w="1632" w:type="dxa"/>
            <w:gridSpan w:val="4"/>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4.40±0.0</w:t>
            </w:r>
            <w:r>
              <w:rPr>
                <w:rFonts w:ascii="Times New Roman" w:eastAsia="Times New Roman" w:hAnsi="Times New Roman" w:cs="Times New Roman"/>
                <w:color w:val="000000"/>
                <w:sz w:val="24"/>
                <w:vertAlign w:val="superscript"/>
              </w:rPr>
              <w:t>b</w:t>
            </w:r>
          </w:p>
        </w:tc>
        <w:tc>
          <w:tcPr>
            <w:tcW w:w="1074"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3.08±0.0</w:t>
            </w:r>
            <w:r>
              <w:rPr>
                <w:rFonts w:ascii="Times New Roman" w:eastAsia="Times New Roman" w:hAnsi="Times New Roman" w:cs="Times New Roman"/>
                <w:color w:val="000000"/>
                <w:sz w:val="24"/>
                <w:vertAlign w:val="superscript"/>
              </w:rPr>
              <w:t>b</w:t>
            </w:r>
          </w:p>
        </w:tc>
        <w:tc>
          <w:tcPr>
            <w:tcW w:w="880"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1.21± 0.0</w:t>
            </w:r>
            <w:r>
              <w:rPr>
                <w:rFonts w:ascii="Times New Roman" w:eastAsia="Times New Roman" w:hAnsi="Times New Roman" w:cs="Times New Roman"/>
                <w:color w:val="000000"/>
                <w:sz w:val="24"/>
                <w:vertAlign w:val="superscript"/>
              </w:rPr>
              <w:t>b</w:t>
            </w:r>
          </w:p>
        </w:tc>
        <w:tc>
          <w:tcPr>
            <w:tcW w:w="1315" w:type="dxa"/>
            <w:gridSpan w:val="3"/>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0.11± 0.0</w:t>
            </w:r>
            <w:r>
              <w:rPr>
                <w:rFonts w:ascii="Times New Roman" w:eastAsia="Times New Roman" w:hAnsi="Times New Roman" w:cs="Times New Roman"/>
                <w:color w:val="000000"/>
                <w:sz w:val="24"/>
                <w:vertAlign w:val="superscript"/>
              </w:rPr>
              <w:t>a</w:t>
            </w:r>
          </w:p>
        </w:tc>
      </w:tr>
      <w:tr w:rsidR="00950531">
        <w:trPr>
          <w:trHeight w:val="1"/>
        </w:trPr>
        <w:tc>
          <w:tcPr>
            <w:tcW w:w="109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proofErr w:type="spellStart"/>
            <w:r>
              <w:rPr>
                <w:rFonts w:ascii="Times New Roman" w:eastAsia="Times New Roman" w:hAnsi="Times New Roman" w:cs="Times New Roman"/>
                <w:color w:val="000000"/>
                <w:sz w:val="24"/>
              </w:rPr>
              <w:lastRenderedPageBreak/>
              <w:t>Ido</w:t>
            </w:r>
            <w:proofErr w:type="spellEnd"/>
            <w:r>
              <w:rPr>
                <w:rFonts w:ascii="Times New Roman" w:eastAsia="Times New Roman" w:hAnsi="Times New Roman" w:cs="Times New Roman"/>
                <w:color w:val="000000"/>
                <w:sz w:val="24"/>
              </w:rPr>
              <w:t xml:space="preserve"> LGA</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4.10±0.0</w:t>
            </w:r>
            <w:r>
              <w:rPr>
                <w:rFonts w:ascii="Times New Roman" w:eastAsia="Times New Roman" w:hAnsi="Times New Roman" w:cs="Times New Roman"/>
                <w:color w:val="000000"/>
                <w:sz w:val="24"/>
                <w:vertAlign w:val="superscript"/>
              </w:rPr>
              <w:t>b</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2.87±0.0</w:t>
            </w:r>
            <w:r>
              <w:rPr>
                <w:rFonts w:ascii="Times New Roman" w:eastAsia="Times New Roman" w:hAnsi="Times New Roman" w:cs="Times New Roman"/>
                <w:color w:val="000000"/>
                <w:sz w:val="24"/>
                <w:vertAlign w:val="superscript"/>
              </w:rPr>
              <w:t>b</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1.23±0.0</w:t>
            </w:r>
            <w:r>
              <w:rPr>
                <w:rFonts w:ascii="Times New Roman" w:eastAsia="Times New Roman" w:hAnsi="Times New Roman" w:cs="Times New Roman"/>
                <w:color w:val="000000"/>
                <w:sz w:val="24"/>
                <w:vertAlign w:val="superscript"/>
              </w:rPr>
              <w:t>a</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0.10±0.0</w:t>
            </w:r>
            <w:r>
              <w:rPr>
                <w:rFonts w:ascii="Times New Roman" w:eastAsia="Times New Roman" w:hAnsi="Times New Roman" w:cs="Times New Roman"/>
                <w:color w:val="000000"/>
                <w:sz w:val="24"/>
                <w:vertAlign w:val="superscript"/>
              </w:rPr>
              <w:t>a</w:t>
            </w:r>
          </w:p>
        </w:tc>
        <w:tc>
          <w:tcPr>
            <w:tcW w:w="1632" w:type="dxa"/>
            <w:gridSpan w:val="4"/>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4.70±0.0</w:t>
            </w:r>
            <w:r>
              <w:rPr>
                <w:rFonts w:ascii="Times New Roman" w:eastAsia="Times New Roman" w:hAnsi="Times New Roman" w:cs="Times New Roman"/>
                <w:color w:val="000000"/>
                <w:sz w:val="24"/>
                <w:vertAlign w:val="superscript"/>
              </w:rPr>
              <w:t>a</w:t>
            </w:r>
          </w:p>
        </w:tc>
        <w:tc>
          <w:tcPr>
            <w:tcW w:w="10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3.29±0.0</w:t>
            </w:r>
            <w:r>
              <w:rPr>
                <w:rFonts w:ascii="Times New Roman" w:eastAsia="Times New Roman" w:hAnsi="Times New Roman" w:cs="Times New Roman"/>
                <w:color w:val="000000"/>
                <w:sz w:val="24"/>
                <w:vertAlign w:val="superscript"/>
              </w:rPr>
              <w:t>b</w:t>
            </w:r>
          </w:p>
        </w:tc>
        <w:tc>
          <w:tcPr>
            <w:tcW w:w="88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1.32± 0.0</w:t>
            </w:r>
            <w:r>
              <w:rPr>
                <w:rFonts w:ascii="Times New Roman" w:eastAsia="Times New Roman" w:hAnsi="Times New Roman" w:cs="Times New Roman"/>
                <w:color w:val="000000"/>
                <w:sz w:val="24"/>
                <w:vertAlign w:val="superscript"/>
              </w:rPr>
              <w:t>a</w:t>
            </w:r>
          </w:p>
        </w:tc>
        <w:tc>
          <w:tcPr>
            <w:tcW w:w="1315"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0.09± 0.0</w:t>
            </w:r>
            <w:r>
              <w:rPr>
                <w:rFonts w:ascii="Times New Roman" w:eastAsia="Times New Roman" w:hAnsi="Times New Roman" w:cs="Times New Roman"/>
                <w:color w:val="000000"/>
                <w:sz w:val="24"/>
                <w:vertAlign w:val="superscript"/>
              </w:rPr>
              <w:t>b</w:t>
            </w:r>
          </w:p>
        </w:tc>
      </w:tr>
      <w:tr w:rsidR="00950531">
        <w:trPr>
          <w:trHeight w:val="1"/>
        </w:trPr>
        <w:tc>
          <w:tcPr>
            <w:tcW w:w="109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proofErr w:type="spellStart"/>
            <w:r>
              <w:rPr>
                <w:rFonts w:ascii="Times New Roman" w:eastAsia="Times New Roman" w:hAnsi="Times New Roman" w:cs="Times New Roman"/>
                <w:color w:val="000000"/>
                <w:sz w:val="24"/>
              </w:rPr>
              <w:t>Ibarapa</w:t>
            </w:r>
            <w:proofErr w:type="spellEnd"/>
            <w:r>
              <w:rPr>
                <w:rFonts w:ascii="Times New Roman" w:eastAsia="Times New Roman" w:hAnsi="Times New Roman" w:cs="Times New Roman"/>
                <w:color w:val="000000"/>
                <w:sz w:val="24"/>
              </w:rPr>
              <w:t xml:space="preserve"> East</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4.30±0.0</w:t>
            </w:r>
            <w:r>
              <w:rPr>
                <w:rFonts w:ascii="Times New Roman" w:eastAsia="Times New Roman" w:hAnsi="Times New Roman" w:cs="Times New Roman"/>
                <w:color w:val="000000"/>
                <w:sz w:val="24"/>
                <w:vertAlign w:val="superscript"/>
              </w:rPr>
              <w:t>a</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3.01±0.0</w:t>
            </w:r>
            <w:r>
              <w:rPr>
                <w:rFonts w:ascii="Times New Roman" w:eastAsia="Times New Roman" w:hAnsi="Times New Roman" w:cs="Times New Roman"/>
                <w:color w:val="000000"/>
                <w:sz w:val="24"/>
                <w:vertAlign w:val="superscript"/>
              </w:rPr>
              <w:t>a</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1.29±0.0</w:t>
            </w:r>
            <w:r>
              <w:rPr>
                <w:rFonts w:ascii="Times New Roman" w:eastAsia="Times New Roman" w:hAnsi="Times New Roman" w:cs="Times New Roman"/>
                <w:color w:val="000000"/>
                <w:sz w:val="24"/>
                <w:vertAlign w:val="superscript"/>
              </w:rPr>
              <w:t>a</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0.11±0.0</w:t>
            </w:r>
            <w:r>
              <w:rPr>
                <w:rFonts w:ascii="Times New Roman" w:eastAsia="Times New Roman" w:hAnsi="Times New Roman" w:cs="Times New Roman"/>
                <w:color w:val="000000"/>
                <w:sz w:val="24"/>
                <w:vertAlign w:val="superscript"/>
              </w:rPr>
              <w:t>a</w:t>
            </w:r>
          </w:p>
        </w:tc>
        <w:tc>
          <w:tcPr>
            <w:tcW w:w="1632" w:type="dxa"/>
            <w:gridSpan w:val="4"/>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4.80±0.0</w:t>
            </w:r>
            <w:r>
              <w:rPr>
                <w:rFonts w:ascii="Times New Roman" w:eastAsia="Times New Roman" w:hAnsi="Times New Roman" w:cs="Times New Roman"/>
                <w:color w:val="000000"/>
                <w:sz w:val="24"/>
                <w:vertAlign w:val="superscript"/>
              </w:rPr>
              <w:t>a</w:t>
            </w:r>
          </w:p>
        </w:tc>
        <w:tc>
          <w:tcPr>
            <w:tcW w:w="107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3.36±0.0</w:t>
            </w:r>
            <w:r>
              <w:rPr>
                <w:rFonts w:ascii="Times New Roman" w:eastAsia="Times New Roman" w:hAnsi="Times New Roman" w:cs="Times New Roman"/>
                <w:color w:val="000000"/>
                <w:sz w:val="24"/>
                <w:vertAlign w:val="superscript"/>
              </w:rPr>
              <w:t>a</w:t>
            </w:r>
          </w:p>
        </w:tc>
        <w:tc>
          <w:tcPr>
            <w:tcW w:w="88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1.34± 0.0</w:t>
            </w:r>
            <w:r>
              <w:rPr>
                <w:rFonts w:ascii="Times New Roman" w:eastAsia="Times New Roman" w:hAnsi="Times New Roman" w:cs="Times New Roman"/>
                <w:color w:val="000000"/>
                <w:sz w:val="24"/>
                <w:vertAlign w:val="superscript"/>
              </w:rPr>
              <w:t>a</w:t>
            </w:r>
          </w:p>
        </w:tc>
        <w:tc>
          <w:tcPr>
            <w:tcW w:w="1315"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0.10± 0.0</w:t>
            </w:r>
            <w:r>
              <w:rPr>
                <w:rFonts w:ascii="Times New Roman" w:eastAsia="Times New Roman" w:hAnsi="Times New Roman" w:cs="Times New Roman"/>
                <w:color w:val="000000"/>
                <w:sz w:val="24"/>
                <w:vertAlign w:val="superscript"/>
              </w:rPr>
              <w:t>a</w:t>
            </w:r>
          </w:p>
        </w:tc>
      </w:tr>
      <w:tr w:rsidR="00950531">
        <w:trPr>
          <w:trHeight w:val="1"/>
        </w:trPr>
        <w:tc>
          <w:tcPr>
            <w:tcW w:w="109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Ibadan North</w:t>
            </w:r>
          </w:p>
        </w:tc>
        <w:tc>
          <w:tcPr>
            <w:tcW w:w="110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4.00±0.0</w:t>
            </w:r>
            <w:r>
              <w:rPr>
                <w:rFonts w:ascii="Times New Roman" w:eastAsia="Times New Roman" w:hAnsi="Times New Roman" w:cs="Times New Roman"/>
                <w:color w:val="000000"/>
                <w:sz w:val="24"/>
                <w:vertAlign w:val="superscript"/>
              </w:rPr>
              <w:t>b</w:t>
            </w:r>
          </w:p>
        </w:tc>
        <w:tc>
          <w:tcPr>
            <w:tcW w:w="110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2.80±0.0</w:t>
            </w:r>
            <w:r>
              <w:rPr>
                <w:rFonts w:ascii="Times New Roman" w:eastAsia="Times New Roman" w:hAnsi="Times New Roman" w:cs="Times New Roman"/>
                <w:color w:val="000000"/>
                <w:sz w:val="24"/>
                <w:vertAlign w:val="superscript"/>
              </w:rPr>
              <w:t>b</w:t>
            </w:r>
          </w:p>
        </w:tc>
        <w:tc>
          <w:tcPr>
            <w:tcW w:w="110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1.20±0.0</w:t>
            </w:r>
            <w:r>
              <w:rPr>
                <w:rFonts w:ascii="Times New Roman" w:eastAsia="Times New Roman" w:hAnsi="Times New Roman" w:cs="Times New Roman"/>
                <w:color w:val="000000"/>
                <w:sz w:val="24"/>
                <w:vertAlign w:val="superscript"/>
              </w:rPr>
              <w:t>a</w:t>
            </w:r>
          </w:p>
        </w:tc>
        <w:tc>
          <w:tcPr>
            <w:tcW w:w="110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0.10±0.0</w:t>
            </w:r>
            <w:r>
              <w:rPr>
                <w:rFonts w:ascii="Times New Roman" w:eastAsia="Times New Roman" w:hAnsi="Times New Roman" w:cs="Times New Roman"/>
                <w:color w:val="000000"/>
                <w:sz w:val="24"/>
                <w:vertAlign w:val="superscript"/>
              </w:rPr>
              <w:t>a</w:t>
            </w:r>
          </w:p>
        </w:tc>
        <w:tc>
          <w:tcPr>
            <w:tcW w:w="1632" w:type="dxa"/>
            <w:gridSpan w:val="4"/>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4.30±0.0</w:t>
            </w:r>
            <w:r>
              <w:rPr>
                <w:rFonts w:ascii="Times New Roman" w:eastAsia="Times New Roman" w:hAnsi="Times New Roman" w:cs="Times New Roman"/>
                <w:color w:val="000000"/>
                <w:sz w:val="24"/>
                <w:vertAlign w:val="superscript"/>
              </w:rPr>
              <w:t>a</w:t>
            </w:r>
          </w:p>
        </w:tc>
        <w:tc>
          <w:tcPr>
            <w:tcW w:w="1074"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3.01±0.0</w:t>
            </w:r>
            <w:r>
              <w:rPr>
                <w:rFonts w:ascii="Times New Roman" w:eastAsia="Times New Roman" w:hAnsi="Times New Roman" w:cs="Times New Roman"/>
                <w:color w:val="000000"/>
                <w:sz w:val="24"/>
                <w:vertAlign w:val="superscript"/>
              </w:rPr>
              <w:t>c</w:t>
            </w:r>
          </w:p>
        </w:tc>
        <w:tc>
          <w:tcPr>
            <w:tcW w:w="880"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1.29± 0.0</w:t>
            </w:r>
            <w:r>
              <w:rPr>
                <w:rFonts w:ascii="Times New Roman" w:eastAsia="Times New Roman" w:hAnsi="Times New Roman" w:cs="Times New Roman"/>
                <w:color w:val="000000"/>
                <w:sz w:val="24"/>
                <w:vertAlign w:val="superscript"/>
              </w:rPr>
              <w:t>c</w:t>
            </w:r>
          </w:p>
        </w:tc>
        <w:tc>
          <w:tcPr>
            <w:tcW w:w="1315"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950531" w:rsidRDefault="008E3CEF">
            <w:pPr>
              <w:spacing w:after="0" w:line="360" w:lineRule="auto"/>
              <w:jc w:val="both"/>
            </w:pPr>
            <w:r>
              <w:rPr>
                <w:rFonts w:ascii="Times New Roman" w:eastAsia="Times New Roman" w:hAnsi="Times New Roman" w:cs="Times New Roman"/>
                <w:color w:val="000000"/>
                <w:sz w:val="24"/>
              </w:rPr>
              <w:t>0.10± 0.0</w:t>
            </w:r>
            <w:r>
              <w:rPr>
                <w:rFonts w:ascii="Times New Roman" w:eastAsia="Times New Roman" w:hAnsi="Times New Roman" w:cs="Times New Roman"/>
                <w:color w:val="000000"/>
                <w:sz w:val="24"/>
                <w:vertAlign w:val="superscript"/>
              </w:rPr>
              <w:t>a</w:t>
            </w:r>
          </w:p>
        </w:tc>
      </w:tr>
    </w:tbl>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Table 3: Comparative microbial load in milking utensil, water and milking surroundings of cow and goat milk farms (10</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w:t>
      </w:r>
    </w:p>
    <w:tbl>
      <w:tblPr>
        <w:tblW w:w="0" w:type="auto"/>
        <w:tblInd w:w="98" w:type="dxa"/>
        <w:tblCellMar>
          <w:left w:w="10" w:type="dxa"/>
          <w:right w:w="10" w:type="dxa"/>
        </w:tblCellMar>
        <w:tblLook w:val="0000" w:firstRow="0" w:lastRow="0" w:firstColumn="0" w:lastColumn="0" w:noHBand="0" w:noVBand="0"/>
      </w:tblPr>
      <w:tblGrid>
        <w:gridCol w:w="1349"/>
        <w:gridCol w:w="1205"/>
        <w:gridCol w:w="1359"/>
        <w:gridCol w:w="1494"/>
        <w:gridCol w:w="1251"/>
        <w:gridCol w:w="1228"/>
        <w:gridCol w:w="1376"/>
      </w:tblGrid>
      <w:tr w:rsidR="00950531">
        <w:trPr>
          <w:trHeight w:val="1"/>
        </w:trPr>
        <w:tc>
          <w:tcPr>
            <w:tcW w:w="134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124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Cow farm</w:t>
            </w:r>
          </w:p>
          <w:p w:rsidR="00950531" w:rsidRDefault="008E3CEF">
            <w:pPr>
              <w:spacing w:after="0" w:line="360" w:lineRule="auto"/>
              <w:jc w:val="both"/>
            </w:pPr>
            <w:r>
              <w:rPr>
                <w:rFonts w:ascii="Times New Roman" w:eastAsia="Times New Roman" w:hAnsi="Times New Roman" w:cs="Times New Roman"/>
                <w:sz w:val="24"/>
              </w:rPr>
              <w:t>TBC</w:t>
            </w:r>
          </w:p>
        </w:tc>
        <w:tc>
          <w:tcPr>
            <w:tcW w:w="14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151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130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Goat farm</w:t>
            </w:r>
          </w:p>
          <w:p w:rsidR="00950531" w:rsidRDefault="008E3CEF">
            <w:pPr>
              <w:spacing w:after="0" w:line="360" w:lineRule="auto"/>
              <w:jc w:val="both"/>
            </w:pPr>
            <w:r>
              <w:rPr>
                <w:rFonts w:ascii="Times New Roman" w:eastAsia="Times New Roman" w:hAnsi="Times New Roman" w:cs="Times New Roman"/>
                <w:sz w:val="24"/>
              </w:rPr>
              <w:t>TBC</w:t>
            </w:r>
          </w:p>
        </w:tc>
        <w:tc>
          <w:tcPr>
            <w:tcW w:w="12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13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r>
      <w:tr w:rsidR="00950531">
        <w:trPr>
          <w:trHeight w:val="1"/>
        </w:trPr>
        <w:tc>
          <w:tcPr>
            <w:tcW w:w="134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Sampling sites</w:t>
            </w:r>
          </w:p>
        </w:tc>
        <w:tc>
          <w:tcPr>
            <w:tcW w:w="124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Milking utensil</w:t>
            </w:r>
          </w:p>
        </w:tc>
        <w:tc>
          <w:tcPr>
            <w:tcW w:w="14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water </w:t>
            </w:r>
          </w:p>
          <w:p w:rsidR="00950531" w:rsidRDefault="008E3CEF">
            <w:pPr>
              <w:spacing w:after="0" w:line="360" w:lineRule="auto"/>
              <w:jc w:val="both"/>
            </w:pPr>
            <w:r>
              <w:rPr>
                <w:rFonts w:ascii="Times New Roman" w:eastAsia="Times New Roman" w:hAnsi="Times New Roman" w:cs="Times New Roman"/>
                <w:sz w:val="24"/>
              </w:rPr>
              <w:t>for milking and cleaning</w:t>
            </w:r>
          </w:p>
        </w:tc>
        <w:tc>
          <w:tcPr>
            <w:tcW w:w="151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Milking surrounding</w:t>
            </w:r>
          </w:p>
        </w:tc>
        <w:tc>
          <w:tcPr>
            <w:tcW w:w="130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Milking</w:t>
            </w:r>
          </w:p>
          <w:p w:rsidR="00950531" w:rsidRDefault="008E3CEF">
            <w:pPr>
              <w:spacing w:after="0" w:line="360" w:lineRule="auto"/>
              <w:jc w:val="both"/>
            </w:pPr>
            <w:r>
              <w:rPr>
                <w:rFonts w:ascii="Times New Roman" w:eastAsia="Times New Roman" w:hAnsi="Times New Roman" w:cs="Times New Roman"/>
                <w:sz w:val="24"/>
              </w:rPr>
              <w:t xml:space="preserve"> utensil</w:t>
            </w:r>
          </w:p>
        </w:tc>
        <w:tc>
          <w:tcPr>
            <w:tcW w:w="12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water </w:t>
            </w:r>
          </w:p>
          <w:p w:rsidR="00950531" w:rsidRDefault="008E3CE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for milking </w:t>
            </w:r>
          </w:p>
          <w:p w:rsidR="00950531" w:rsidRDefault="008E3CEF">
            <w:pPr>
              <w:spacing w:after="0" w:line="360" w:lineRule="auto"/>
              <w:jc w:val="both"/>
            </w:pPr>
            <w:r>
              <w:rPr>
                <w:rFonts w:ascii="Times New Roman" w:eastAsia="Times New Roman" w:hAnsi="Times New Roman" w:cs="Times New Roman"/>
                <w:sz w:val="24"/>
              </w:rPr>
              <w:t>and cleaning</w:t>
            </w:r>
          </w:p>
        </w:tc>
        <w:tc>
          <w:tcPr>
            <w:tcW w:w="13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Milking surrounding</w:t>
            </w:r>
          </w:p>
        </w:tc>
      </w:tr>
      <w:tr w:rsidR="00950531">
        <w:trPr>
          <w:trHeight w:val="1"/>
        </w:trPr>
        <w:tc>
          <w:tcPr>
            <w:tcW w:w="1349"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Akinyele</w:t>
            </w:r>
            <w:proofErr w:type="spellEnd"/>
          </w:p>
          <w:p w:rsidR="00950531" w:rsidRDefault="008E3CEF">
            <w:pPr>
              <w:spacing w:after="0" w:line="360" w:lineRule="auto"/>
              <w:jc w:val="both"/>
            </w:pPr>
            <w:r>
              <w:rPr>
                <w:rFonts w:ascii="Times New Roman" w:eastAsia="Times New Roman" w:hAnsi="Times New Roman" w:cs="Times New Roman"/>
                <w:sz w:val="24"/>
              </w:rPr>
              <w:t>LGA</w:t>
            </w:r>
          </w:p>
        </w:tc>
        <w:tc>
          <w:tcPr>
            <w:tcW w:w="124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3.80 ± 0.0</w:t>
            </w:r>
            <w:r>
              <w:rPr>
                <w:rFonts w:ascii="Times New Roman" w:eastAsia="Times New Roman" w:hAnsi="Times New Roman" w:cs="Times New Roman"/>
                <w:sz w:val="24"/>
                <w:vertAlign w:val="superscript"/>
              </w:rPr>
              <w:t>a</w:t>
            </w:r>
          </w:p>
        </w:tc>
        <w:tc>
          <w:tcPr>
            <w:tcW w:w="142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4.60 ± 0.0</w:t>
            </w:r>
            <w:r>
              <w:rPr>
                <w:rFonts w:ascii="Times New Roman" w:eastAsia="Times New Roman" w:hAnsi="Times New Roman" w:cs="Times New Roman"/>
                <w:sz w:val="24"/>
                <w:vertAlign w:val="superscript"/>
              </w:rPr>
              <w:t>a</w:t>
            </w:r>
          </w:p>
        </w:tc>
        <w:tc>
          <w:tcPr>
            <w:tcW w:w="151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1.10 ± 0.1</w:t>
            </w:r>
            <w:r>
              <w:rPr>
                <w:rFonts w:ascii="Times New Roman" w:eastAsia="Times New Roman" w:hAnsi="Times New Roman" w:cs="Times New Roman"/>
                <w:sz w:val="24"/>
                <w:vertAlign w:val="superscript"/>
              </w:rPr>
              <w:t>a</w:t>
            </w:r>
          </w:p>
        </w:tc>
        <w:tc>
          <w:tcPr>
            <w:tcW w:w="1301"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3.40 ± 0.0</w:t>
            </w:r>
            <w:r>
              <w:rPr>
                <w:rFonts w:ascii="Times New Roman" w:eastAsia="Times New Roman" w:hAnsi="Times New Roman" w:cs="Times New Roman"/>
                <w:sz w:val="24"/>
                <w:vertAlign w:val="superscript"/>
              </w:rPr>
              <w:t>a</w:t>
            </w:r>
          </w:p>
        </w:tc>
        <w:tc>
          <w:tcPr>
            <w:tcW w:w="1266"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4.38 ± 0.0</w:t>
            </w:r>
            <w:r>
              <w:rPr>
                <w:rFonts w:ascii="Times New Roman" w:eastAsia="Times New Roman" w:hAnsi="Times New Roman" w:cs="Times New Roman"/>
                <w:sz w:val="24"/>
                <w:vertAlign w:val="superscript"/>
              </w:rPr>
              <w:t>a</w:t>
            </w:r>
          </w:p>
        </w:tc>
        <w:tc>
          <w:tcPr>
            <w:tcW w:w="1376"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0.09 ± 0.0</w:t>
            </w:r>
            <w:r>
              <w:rPr>
                <w:rFonts w:ascii="Times New Roman" w:eastAsia="Times New Roman" w:hAnsi="Times New Roman" w:cs="Times New Roman"/>
                <w:sz w:val="24"/>
                <w:vertAlign w:val="superscript"/>
              </w:rPr>
              <w:t>c</w:t>
            </w:r>
          </w:p>
        </w:tc>
      </w:tr>
      <w:tr w:rsidR="00950531">
        <w:trPr>
          <w:trHeight w:val="1"/>
        </w:trPr>
        <w:tc>
          <w:tcPr>
            <w:tcW w:w="13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LGA</w:t>
            </w:r>
          </w:p>
        </w:tc>
        <w:tc>
          <w:tcPr>
            <w:tcW w:w="12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0.12 ± 0.0</w:t>
            </w:r>
            <w:r>
              <w:rPr>
                <w:rFonts w:ascii="Times New Roman" w:eastAsia="Times New Roman" w:hAnsi="Times New Roman" w:cs="Times New Roman"/>
                <w:sz w:val="24"/>
                <w:vertAlign w:val="superscript"/>
              </w:rPr>
              <w:t>c</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2.50 ± 0.0</w:t>
            </w:r>
            <w:r>
              <w:rPr>
                <w:rFonts w:ascii="Times New Roman" w:eastAsia="Times New Roman" w:hAnsi="Times New Roman" w:cs="Times New Roman"/>
                <w:sz w:val="24"/>
                <w:vertAlign w:val="superscript"/>
              </w:rPr>
              <w:t>c</w:t>
            </w:r>
          </w:p>
        </w:tc>
        <w:tc>
          <w:tcPr>
            <w:tcW w:w="15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0.42 ± 0.0</w:t>
            </w:r>
            <w:r>
              <w:rPr>
                <w:rFonts w:ascii="Times New Roman" w:eastAsia="Times New Roman" w:hAnsi="Times New Roman" w:cs="Times New Roman"/>
                <w:sz w:val="24"/>
                <w:vertAlign w:val="superscript"/>
              </w:rPr>
              <w:t>c</w:t>
            </w:r>
          </w:p>
        </w:tc>
        <w:tc>
          <w:tcPr>
            <w:tcW w:w="1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0.17 ± 0.0</w:t>
            </w:r>
            <w:r>
              <w:rPr>
                <w:rFonts w:ascii="Times New Roman" w:eastAsia="Times New Roman" w:hAnsi="Times New Roman" w:cs="Times New Roman"/>
                <w:sz w:val="24"/>
                <w:vertAlign w:val="superscript"/>
              </w:rPr>
              <w:t>c</w:t>
            </w:r>
          </w:p>
        </w:tc>
        <w:tc>
          <w:tcPr>
            <w:tcW w:w="12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2.35 ± 0.0</w:t>
            </w:r>
            <w:r>
              <w:rPr>
                <w:rFonts w:ascii="Times New Roman" w:eastAsia="Times New Roman" w:hAnsi="Times New Roman" w:cs="Times New Roman"/>
                <w:sz w:val="24"/>
                <w:vertAlign w:val="superscript"/>
              </w:rPr>
              <w:t>c</w:t>
            </w:r>
          </w:p>
        </w:tc>
        <w:tc>
          <w:tcPr>
            <w:tcW w:w="13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0.35 ± 0.0</w:t>
            </w:r>
            <w:r>
              <w:rPr>
                <w:rFonts w:ascii="Times New Roman" w:eastAsia="Times New Roman" w:hAnsi="Times New Roman" w:cs="Times New Roman"/>
                <w:sz w:val="24"/>
                <w:vertAlign w:val="superscript"/>
              </w:rPr>
              <w:t>b</w:t>
            </w:r>
          </w:p>
        </w:tc>
      </w:tr>
      <w:tr w:rsidR="00950531">
        <w:trPr>
          <w:trHeight w:val="1"/>
        </w:trPr>
        <w:tc>
          <w:tcPr>
            <w:tcW w:w="13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IbarapaEast</w:t>
            </w:r>
            <w:proofErr w:type="spellEnd"/>
          </w:p>
          <w:p w:rsidR="00950531" w:rsidRDefault="008E3CEF">
            <w:pPr>
              <w:spacing w:after="0" w:line="360" w:lineRule="auto"/>
              <w:jc w:val="both"/>
            </w:pPr>
            <w:r>
              <w:rPr>
                <w:rFonts w:ascii="Times New Roman" w:eastAsia="Times New Roman" w:hAnsi="Times New Roman" w:cs="Times New Roman"/>
                <w:sz w:val="24"/>
              </w:rPr>
              <w:t>LGA</w:t>
            </w:r>
          </w:p>
        </w:tc>
        <w:tc>
          <w:tcPr>
            <w:tcW w:w="12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0.23 ± 0.0</w:t>
            </w:r>
            <w:r>
              <w:rPr>
                <w:rFonts w:ascii="Times New Roman" w:eastAsia="Times New Roman" w:hAnsi="Times New Roman" w:cs="Times New Roman"/>
                <w:sz w:val="24"/>
                <w:vertAlign w:val="superscript"/>
              </w:rPr>
              <w:t>b</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3.10± 0.0</w:t>
            </w:r>
            <w:r>
              <w:rPr>
                <w:rFonts w:ascii="Times New Roman" w:eastAsia="Times New Roman" w:hAnsi="Times New Roman" w:cs="Times New Roman"/>
                <w:sz w:val="24"/>
                <w:vertAlign w:val="superscript"/>
              </w:rPr>
              <w:t>b</w:t>
            </w:r>
          </w:p>
        </w:tc>
        <w:tc>
          <w:tcPr>
            <w:tcW w:w="15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0.95 ± 0.0</w:t>
            </w:r>
            <w:r>
              <w:rPr>
                <w:rFonts w:ascii="Times New Roman" w:eastAsia="Times New Roman" w:hAnsi="Times New Roman" w:cs="Times New Roman"/>
                <w:sz w:val="24"/>
                <w:vertAlign w:val="superscript"/>
              </w:rPr>
              <w:t>ab</w:t>
            </w:r>
          </w:p>
        </w:tc>
        <w:tc>
          <w:tcPr>
            <w:tcW w:w="1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0.26 ± 0.0</w:t>
            </w:r>
            <w:r>
              <w:rPr>
                <w:rFonts w:ascii="Times New Roman" w:eastAsia="Times New Roman" w:hAnsi="Times New Roman" w:cs="Times New Roman"/>
                <w:sz w:val="24"/>
                <w:vertAlign w:val="superscript"/>
              </w:rPr>
              <w:t>b</w:t>
            </w:r>
          </w:p>
        </w:tc>
        <w:tc>
          <w:tcPr>
            <w:tcW w:w="12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3.15 ± 0.0</w:t>
            </w:r>
            <w:r>
              <w:rPr>
                <w:rFonts w:ascii="Times New Roman" w:eastAsia="Times New Roman" w:hAnsi="Times New Roman" w:cs="Times New Roman"/>
                <w:sz w:val="24"/>
                <w:vertAlign w:val="superscript"/>
              </w:rPr>
              <w:t>b</w:t>
            </w:r>
          </w:p>
        </w:tc>
        <w:tc>
          <w:tcPr>
            <w:tcW w:w="13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0.52 ± 0.0</w:t>
            </w:r>
            <w:r>
              <w:rPr>
                <w:rFonts w:ascii="Times New Roman" w:eastAsia="Times New Roman" w:hAnsi="Times New Roman" w:cs="Times New Roman"/>
                <w:sz w:val="24"/>
                <w:vertAlign w:val="superscript"/>
              </w:rPr>
              <w:t>ab</w:t>
            </w:r>
          </w:p>
        </w:tc>
      </w:tr>
      <w:tr w:rsidR="00950531">
        <w:trPr>
          <w:trHeight w:val="1"/>
        </w:trPr>
        <w:tc>
          <w:tcPr>
            <w:tcW w:w="1349"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Ibadan North</w:t>
            </w:r>
          </w:p>
          <w:p w:rsidR="00950531" w:rsidRDefault="008E3CEF">
            <w:pPr>
              <w:spacing w:after="0" w:line="360" w:lineRule="auto"/>
              <w:jc w:val="both"/>
            </w:pPr>
            <w:r>
              <w:rPr>
                <w:rFonts w:ascii="Times New Roman" w:eastAsia="Times New Roman" w:hAnsi="Times New Roman" w:cs="Times New Roman"/>
                <w:sz w:val="24"/>
              </w:rPr>
              <w:t>LGA</w:t>
            </w:r>
          </w:p>
        </w:tc>
        <w:tc>
          <w:tcPr>
            <w:tcW w:w="124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0.18 ± 0.0</w:t>
            </w:r>
            <w:r>
              <w:rPr>
                <w:rFonts w:ascii="Times New Roman" w:eastAsia="Times New Roman" w:hAnsi="Times New Roman" w:cs="Times New Roman"/>
                <w:sz w:val="24"/>
                <w:vertAlign w:val="superscript"/>
              </w:rPr>
              <w:t>bc</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2.20 ± 0.2</w:t>
            </w:r>
            <w:r>
              <w:rPr>
                <w:rFonts w:ascii="Times New Roman" w:eastAsia="Times New Roman" w:hAnsi="Times New Roman" w:cs="Times New Roman"/>
                <w:sz w:val="24"/>
                <w:vertAlign w:val="superscript"/>
              </w:rPr>
              <w:t>bc</w:t>
            </w:r>
          </w:p>
        </w:tc>
        <w:tc>
          <w:tcPr>
            <w:tcW w:w="151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0.68 ± 0.0</w:t>
            </w:r>
            <w:r>
              <w:rPr>
                <w:rFonts w:ascii="Times New Roman" w:eastAsia="Times New Roman" w:hAnsi="Times New Roman" w:cs="Times New Roman"/>
                <w:sz w:val="24"/>
                <w:vertAlign w:val="superscript"/>
              </w:rPr>
              <w:t>bc</w:t>
            </w:r>
          </w:p>
        </w:tc>
        <w:tc>
          <w:tcPr>
            <w:tcW w:w="13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0.20 ± 0.0</w:t>
            </w:r>
            <w:r>
              <w:rPr>
                <w:rFonts w:ascii="Times New Roman" w:eastAsia="Times New Roman" w:hAnsi="Times New Roman" w:cs="Times New Roman"/>
                <w:sz w:val="24"/>
                <w:vertAlign w:val="superscript"/>
              </w:rPr>
              <w:t>bc</w:t>
            </w:r>
          </w:p>
        </w:tc>
        <w:tc>
          <w:tcPr>
            <w:tcW w:w="126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2.4± 0.0</w:t>
            </w:r>
            <w:r>
              <w:rPr>
                <w:rFonts w:ascii="Times New Roman" w:eastAsia="Times New Roman" w:hAnsi="Times New Roman" w:cs="Times New Roman"/>
                <w:sz w:val="24"/>
                <w:vertAlign w:val="superscript"/>
              </w:rPr>
              <w:t>bc</w:t>
            </w:r>
          </w:p>
        </w:tc>
        <w:tc>
          <w:tcPr>
            <w:tcW w:w="137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0.59± 0.0</w:t>
            </w:r>
            <w:r>
              <w:rPr>
                <w:rFonts w:ascii="Times New Roman" w:eastAsia="Times New Roman" w:hAnsi="Times New Roman" w:cs="Times New Roman"/>
                <w:sz w:val="24"/>
                <w:vertAlign w:val="superscript"/>
              </w:rPr>
              <w:t>a</w:t>
            </w:r>
          </w:p>
        </w:tc>
      </w:tr>
      <w:tr w:rsidR="00950531">
        <w:trPr>
          <w:trHeight w:val="1"/>
        </w:trPr>
        <w:tc>
          <w:tcPr>
            <w:tcW w:w="134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124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TCC</w:t>
            </w:r>
          </w:p>
        </w:tc>
        <w:tc>
          <w:tcPr>
            <w:tcW w:w="14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151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1301"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TCC</w:t>
            </w:r>
          </w:p>
        </w:tc>
        <w:tc>
          <w:tcPr>
            <w:tcW w:w="12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c>
          <w:tcPr>
            <w:tcW w:w="137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950531">
            <w:pPr>
              <w:spacing w:after="0" w:line="360" w:lineRule="auto"/>
              <w:jc w:val="both"/>
              <w:rPr>
                <w:rFonts w:ascii="Calibri" w:eastAsia="Calibri" w:hAnsi="Calibri" w:cs="Calibri"/>
              </w:rPr>
            </w:pPr>
          </w:p>
        </w:tc>
      </w:tr>
      <w:tr w:rsidR="00950531">
        <w:trPr>
          <w:trHeight w:val="1"/>
        </w:trPr>
        <w:tc>
          <w:tcPr>
            <w:tcW w:w="1349"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Akinyele</w:t>
            </w:r>
            <w:proofErr w:type="spellEnd"/>
          </w:p>
          <w:p w:rsidR="00950531" w:rsidRDefault="008E3CEF">
            <w:pPr>
              <w:spacing w:after="0" w:line="360" w:lineRule="auto"/>
              <w:jc w:val="both"/>
            </w:pPr>
            <w:r>
              <w:rPr>
                <w:rFonts w:ascii="Times New Roman" w:eastAsia="Times New Roman" w:hAnsi="Times New Roman" w:cs="Times New Roman"/>
                <w:sz w:val="24"/>
              </w:rPr>
              <w:t>LGA</w:t>
            </w:r>
          </w:p>
        </w:tc>
        <w:tc>
          <w:tcPr>
            <w:tcW w:w="124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0.25 ± 0.0</w:t>
            </w:r>
            <w:r>
              <w:rPr>
                <w:rFonts w:ascii="Times New Roman" w:eastAsia="Times New Roman" w:hAnsi="Times New Roman" w:cs="Times New Roman"/>
                <w:sz w:val="24"/>
                <w:vertAlign w:val="superscript"/>
              </w:rPr>
              <w:t>a</w:t>
            </w:r>
          </w:p>
        </w:tc>
        <w:tc>
          <w:tcPr>
            <w:tcW w:w="142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0.25 ± 0.0</w:t>
            </w:r>
            <w:r>
              <w:rPr>
                <w:rFonts w:ascii="Times New Roman" w:eastAsia="Times New Roman" w:hAnsi="Times New Roman" w:cs="Times New Roman"/>
                <w:sz w:val="24"/>
                <w:vertAlign w:val="superscript"/>
              </w:rPr>
              <w:t>a</w:t>
            </w:r>
          </w:p>
        </w:tc>
        <w:tc>
          <w:tcPr>
            <w:tcW w:w="151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0.18 ± 0.0</w:t>
            </w:r>
            <w:r>
              <w:rPr>
                <w:rFonts w:ascii="Times New Roman" w:eastAsia="Times New Roman" w:hAnsi="Times New Roman" w:cs="Times New Roman"/>
                <w:sz w:val="24"/>
                <w:vertAlign w:val="superscript"/>
              </w:rPr>
              <w:t>a</w:t>
            </w:r>
          </w:p>
        </w:tc>
        <w:tc>
          <w:tcPr>
            <w:tcW w:w="1301"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0.21 ± 0.0</w:t>
            </w:r>
            <w:r>
              <w:rPr>
                <w:rFonts w:ascii="Times New Roman" w:eastAsia="Times New Roman" w:hAnsi="Times New Roman" w:cs="Times New Roman"/>
                <w:sz w:val="24"/>
                <w:vertAlign w:val="superscript"/>
              </w:rPr>
              <w:t>a</w:t>
            </w:r>
          </w:p>
        </w:tc>
        <w:tc>
          <w:tcPr>
            <w:tcW w:w="1266"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0.23 ± 0.0</w:t>
            </w:r>
            <w:r>
              <w:rPr>
                <w:rFonts w:ascii="Times New Roman" w:eastAsia="Times New Roman" w:hAnsi="Times New Roman" w:cs="Times New Roman"/>
                <w:sz w:val="24"/>
                <w:vertAlign w:val="superscript"/>
              </w:rPr>
              <w:t>a</w:t>
            </w:r>
          </w:p>
        </w:tc>
        <w:tc>
          <w:tcPr>
            <w:tcW w:w="1376"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0.11 ± 0.0</w:t>
            </w:r>
            <w:r>
              <w:rPr>
                <w:rFonts w:ascii="Times New Roman" w:eastAsia="Times New Roman" w:hAnsi="Times New Roman" w:cs="Times New Roman"/>
                <w:sz w:val="24"/>
                <w:vertAlign w:val="superscript"/>
              </w:rPr>
              <w:t>ab</w:t>
            </w:r>
          </w:p>
        </w:tc>
      </w:tr>
      <w:tr w:rsidR="00950531">
        <w:trPr>
          <w:trHeight w:val="1"/>
        </w:trPr>
        <w:tc>
          <w:tcPr>
            <w:tcW w:w="13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LGA</w:t>
            </w:r>
          </w:p>
        </w:tc>
        <w:tc>
          <w:tcPr>
            <w:tcW w:w="12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0.00 ± 0.0</w:t>
            </w:r>
            <w:r>
              <w:rPr>
                <w:rFonts w:ascii="Times New Roman" w:eastAsia="Times New Roman" w:hAnsi="Times New Roman" w:cs="Times New Roman"/>
                <w:sz w:val="24"/>
                <w:vertAlign w:val="superscript"/>
              </w:rPr>
              <w:t>c</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0.00± 0.0</w:t>
            </w:r>
            <w:r>
              <w:rPr>
                <w:rFonts w:ascii="Times New Roman" w:eastAsia="Times New Roman" w:hAnsi="Times New Roman" w:cs="Times New Roman"/>
                <w:sz w:val="24"/>
                <w:vertAlign w:val="superscript"/>
              </w:rPr>
              <w:t>c</w:t>
            </w:r>
          </w:p>
        </w:tc>
        <w:tc>
          <w:tcPr>
            <w:tcW w:w="15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0.10 ± 0.0</w:t>
            </w:r>
            <w:r>
              <w:rPr>
                <w:rFonts w:ascii="Times New Roman" w:eastAsia="Times New Roman" w:hAnsi="Times New Roman" w:cs="Times New Roman"/>
                <w:sz w:val="24"/>
                <w:vertAlign w:val="superscript"/>
              </w:rPr>
              <w:t>b</w:t>
            </w:r>
          </w:p>
        </w:tc>
        <w:tc>
          <w:tcPr>
            <w:tcW w:w="1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0.13 ± 0.0</w:t>
            </w:r>
            <w:r>
              <w:rPr>
                <w:rFonts w:ascii="Times New Roman" w:eastAsia="Times New Roman" w:hAnsi="Times New Roman" w:cs="Times New Roman"/>
                <w:sz w:val="24"/>
                <w:vertAlign w:val="superscript"/>
              </w:rPr>
              <w:t>b</w:t>
            </w:r>
          </w:p>
        </w:tc>
        <w:tc>
          <w:tcPr>
            <w:tcW w:w="12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0.00 ± 0.0</w:t>
            </w:r>
            <w:r>
              <w:rPr>
                <w:rFonts w:ascii="Times New Roman" w:eastAsia="Times New Roman" w:hAnsi="Times New Roman" w:cs="Times New Roman"/>
                <w:sz w:val="24"/>
                <w:vertAlign w:val="superscript"/>
              </w:rPr>
              <w:t>c</w:t>
            </w:r>
          </w:p>
        </w:tc>
        <w:tc>
          <w:tcPr>
            <w:tcW w:w="13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0.07 ± 0.0</w:t>
            </w:r>
            <w:r>
              <w:rPr>
                <w:rFonts w:ascii="Times New Roman" w:eastAsia="Times New Roman" w:hAnsi="Times New Roman" w:cs="Times New Roman"/>
                <w:sz w:val="24"/>
                <w:vertAlign w:val="superscript"/>
              </w:rPr>
              <w:t>b</w:t>
            </w:r>
          </w:p>
        </w:tc>
      </w:tr>
      <w:tr w:rsidR="00950531">
        <w:trPr>
          <w:trHeight w:val="1"/>
        </w:trPr>
        <w:tc>
          <w:tcPr>
            <w:tcW w:w="13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IbarapaEast</w:t>
            </w:r>
            <w:proofErr w:type="spellEnd"/>
          </w:p>
          <w:p w:rsidR="00950531" w:rsidRDefault="008E3CEF">
            <w:pPr>
              <w:spacing w:after="0" w:line="360" w:lineRule="auto"/>
              <w:jc w:val="both"/>
            </w:pPr>
            <w:r>
              <w:rPr>
                <w:rFonts w:ascii="Times New Roman" w:eastAsia="Times New Roman" w:hAnsi="Times New Roman" w:cs="Times New Roman"/>
                <w:sz w:val="24"/>
              </w:rPr>
              <w:t>LGA</w:t>
            </w:r>
          </w:p>
        </w:tc>
        <w:tc>
          <w:tcPr>
            <w:tcW w:w="124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0.22 ± 0.0</w:t>
            </w:r>
            <w:r>
              <w:rPr>
                <w:rFonts w:ascii="Times New Roman" w:eastAsia="Times New Roman" w:hAnsi="Times New Roman" w:cs="Times New Roman"/>
                <w:sz w:val="24"/>
                <w:vertAlign w:val="superscript"/>
              </w:rPr>
              <w:t>ab</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0.19 ± 0.0</w:t>
            </w:r>
            <w:r>
              <w:rPr>
                <w:rFonts w:ascii="Times New Roman" w:eastAsia="Times New Roman" w:hAnsi="Times New Roman" w:cs="Times New Roman"/>
                <w:sz w:val="24"/>
                <w:vertAlign w:val="superscript"/>
              </w:rPr>
              <w:t>b</w:t>
            </w:r>
          </w:p>
        </w:tc>
        <w:tc>
          <w:tcPr>
            <w:tcW w:w="15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0.15 ± 0.0</w:t>
            </w:r>
            <w:r>
              <w:rPr>
                <w:rFonts w:ascii="Times New Roman" w:eastAsia="Times New Roman" w:hAnsi="Times New Roman" w:cs="Times New Roman"/>
                <w:sz w:val="24"/>
                <w:vertAlign w:val="superscript"/>
              </w:rPr>
              <w:t>ab</w:t>
            </w:r>
          </w:p>
        </w:tc>
        <w:tc>
          <w:tcPr>
            <w:tcW w:w="130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0.20 ± 0.0</w:t>
            </w:r>
            <w:r>
              <w:rPr>
                <w:rFonts w:ascii="Times New Roman" w:eastAsia="Times New Roman" w:hAnsi="Times New Roman" w:cs="Times New Roman"/>
                <w:sz w:val="24"/>
                <w:vertAlign w:val="superscript"/>
              </w:rPr>
              <w:t>ab</w:t>
            </w:r>
          </w:p>
        </w:tc>
        <w:tc>
          <w:tcPr>
            <w:tcW w:w="12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0.12 ± 0.0</w:t>
            </w:r>
            <w:r>
              <w:rPr>
                <w:rFonts w:ascii="Times New Roman" w:eastAsia="Times New Roman" w:hAnsi="Times New Roman" w:cs="Times New Roman"/>
                <w:sz w:val="24"/>
                <w:vertAlign w:val="superscript"/>
              </w:rPr>
              <w:t>b</w:t>
            </w:r>
          </w:p>
        </w:tc>
        <w:tc>
          <w:tcPr>
            <w:tcW w:w="13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0.09± 0.0</w:t>
            </w:r>
            <w:r>
              <w:rPr>
                <w:rFonts w:ascii="Times New Roman" w:eastAsia="Times New Roman" w:hAnsi="Times New Roman" w:cs="Times New Roman"/>
                <w:sz w:val="24"/>
                <w:vertAlign w:val="superscript"/>
              </w:rPr>
              <w:t>ab</w:t>
            </w:r>
          </w:p>
        </w:tc>
      </w:tr>
      <w:tr w:rsidR="00950531">
        <w:trPr>
          <w:trHeight w:val="1"/>
        </w:trPr>
        <w:tc>
          <w:tcPr>
            <w:tcW w:w="1349"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Ibadan North LGA</w:t>
            </w:r>
          </w:p>
        </w:tc>
        <w:tc>
          <w:tcPr>
            <w:tcW w:w="124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0.14 ± 0.0</w:t>
            </w:r>
            <w:r>
              <w:rPr>
                <w:rFonts w:ascii="Times New Roman" w:eastAsia="Times New Roman" w:hAnsi="Times New Roman" w:cs="Times New Roman"/>
                <w:sz w:val="24"/>
                <w:vertAlign w:val="superscript"/>
              </w:rPr>
              <w:t>b</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0.50 ± 0.0</w:t>
            </w:r>
            <w:r>
              <w:rPr>
                <w:rFonts w:ascii="Times New Roman" w:eastAsia="Times New Roman" w:hAnsi="Times New Roman" w:cs="Times New Roman"/>
                <w:sz w:val="24"/>
                <w:vertAlign w:val="superscript"/>
              </w:rPr>
              <w:t>ab</w:t>
            </w:r>
          </w:p>
        </w:tc>
        <w:tc>
          <w:tcPr>
            <w:tcW w:w="151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0.08 ± 0.0</w:t>
            </w:r>
            <w:r>
              <w:rPr>
                <w:rFonts w:ascii="Times New Roman" w:eastAsia="Times New Roman" w:hAnsi="Times New Roman" w:cs="Times New Roman"/>
                <w:sz w:val="24"/>
                <w:vertAlign w:val="superscript"/>
              </w:rPr>
              <w:t>b</w:t>
            </w:r>
          </w:p>
        </w:tc>
        <w:tc>
          <w:tcPr>
            <w:tcW w:w="1301"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0.11 ± 0.0</w:t>
            </w:r>
            <w:r>
              <w:rPr>
                <w:rFonts w:ascii="Times New Roman" w:eastAsia="Times New Roman" w:hAnsi="Times New Roman" w:cs="Times New Roman"/>
                <w:sz w:val="24"/>
                <w:vertAlign w:val="superscript"/>
              </w:rPr>
              <w:t>b</w:t>
            </w:r>
          </w:p>
        </w:tc>
        <w:tc>
          <w:tcPr>
            <w:tcW w:w="126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0.38 ± 0.0</w:t>
            </w:r>
            <w:r>
              <w:rPr>
                <w:rFonts w:ascii="Times New Roman" w:eastAsia="Times New Roman" w:hAnsi="Times New Roman" w:cs="Times New Roman"/>
                <w:sz w:val="24"/>
                <w:vertAlign w:val="superscript"/>
              </w:rPr>
              <w:t>ab</w:t>
            </w:r>
          </w:p>
        </w:tc>
        <w:tc>
          <w:tcPr>
            <w:tcW w:w="137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950531" w:rsidRDefault="008E3CEF">
            <w:pPr>
              <w:spacing w:after="0" w:line="360" w:lineRule="auto"/>
              <w:jc w:val="both"/>
            </w:pPr>
            <w:r>
              <w:rPr>
                <w:rFonts w:ascii="Times New Roman" w:eastAsia="Times New Roman" w:hAnsi="Times New Roman" w:cs="Times New Roman"/>
                <w:sz w:val="24"/>
              </w:rPr>
              <w:t>0.05 ± 0.0</w:t>
            </w:r>
            <w:r>
              <w:rPr>
                <w:rFonts w:ascii="Times New Roman" w:eastAsia="Times New Roman" w:hAnsi="Times New Roman" w:cs="Times New Roman"/>
                <w:sz w:val="24"/>
                <w:vertAlign w:val="superscript"/>
              </w:rPr>
              <w:t>b</w:t>
            </w:r>
          </w:p>
        </w:tc>
      </w:tr>
    </w:tbl>
    <w:p w:rsidR="00950531" w:rsidRDefault="008E3CEF">
      <w:pPr>
        <w:spacing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rPr>
        <w:t>The above table displays the results as means ± standard deviation. The Duncan Multiple Range Test rating of the post hoc test is shown by the superscripts. While the means with the same superscript were similar, those with different superscripts differed significantly from one another down the column at p&lt;0.05</w:t>
      </w:r>
    </w:p>
    <w:p w:rsidR="00950531" w:rsidRDefault="008E3CEF">
      <w:pPr>
        <w:spacing w:after="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keys </w:t>
      </w:r>
      <w:r>
        <w:rPr>
          <w:rFonts w:ascii="Times New Roman" w:eastAsia="Times New Roman" w:hAnsi="Times New Roman" w:cs="Times New Roman"/>
          <w:color w:val="FF0000"/>
          <w:sz w:val="24"/>
        </w:rPr>
        <w:tab/>
      </w:r>
    </w:p>
    <w:p w:rsidR="00950531" w:rsidRDefault="008E3CE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TBC: Monounsaturated Fat          TCC: Polyunsaturated Fat</w:t>
      </w:r>
    </w:p>
    <w:p w:rsidR="00950531" w:rsidRDefault="00950531">
      <w:pPr>
        <w:spacing w:line="360" w:lineRule="auto"/>
        <w:jc w:val="both"/>
        <w:rPr>
          <w:rFonts w:ascii="Times New Roman" w:eastAsia="Times New Roman" w:hAnsi="Times New Roman" w:cs="Times New Roman"/>
          <w:sz w:val="24"/>
        </w:rPr>
      </w:pP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DISCUSSION</w:t>
      </w: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Table 1 shows the protein profile of cow and goat milk from four different Local Government Area in Oyo State. Protein is a critical macronutrient in milk, contributing to its nutritional value and functional properties. In this study, protein analysis showed that goat milk consistently had higher crude protein levels than cow milk across all the four Local Government Area. For instance,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goat milk had 5.15 ± 0.0% crude protein compared to 3.96 ± 0.0% in cow milk. The protein fraction was further partitioned into casein and whey proteins. Estimated casein and whey contents followed similar patterns, with goat milk outperforming cow milk in all LGAs. </w:t>
      </w:r>
      <w:proofErr w:type="spellStart"/>
      <w:r>
        <w:rPr>
          <w:rFonts w:ascii="Times New Roman" w:eastAsia="Times New Roman" w:hAnsi="Times New Roman" w:cs="Times New Roman"/>
          <w:sz w:val="24"/>
        </w:rPr>
        <w:t>Casein</w:t>
      </w:r>
      <w:proofErr w:type="spellEnd"/>
      <w:r>
        <w:rPr>
          <w:rFonts w:ascii="Times New Roman" w:eastAsia="Times New Roman" w:hAnsi="Times New Roman" w:cs="Times New Roman"/>
          <w:sz w:val="24"/>
        </w:rPr>
        <w:t xml:space="preserve"> which constitutes approximately 80% of the total milk protein, plays an important role in calcium and phosphate transport and is essential for infant growth and development. Goat milk exhibited higher casein levels. This revealed its superior suitability for cheese production and infant nutrition.  These findings align with global data on goat milk’s superior digestibility and nutrient density especially in its magnesium, calcium and zinc </w:t>
      </w:r>
      <w:proofErr w:type="spellStart"/>
      <w:r>
        <w:rPr>
          <w:rFonts w:ascii="Times New Roman" w:eastAsia="Times New Roman" w:hAnsi="Times New Roman" w:cs="Times New Roman"/>
          <w:sz w:val="24"/>
        </w:rPr>
        <w:t>compoition</w:t>
      </w:r>
      <w:proofErr w:type="spellEnd"/>
      <w:r>
        <w:rPr>
          <w:rFonts w:ascii="Times New Roman" w:eastAsia="Times New Roman" w:hAnsi="Times New Roman" w:cs="Times New Roman"/>
          <w:sz w:val="24"/>
        </w:rPr>
        <w:t xml:space="preserve"> (Mohammad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2023). Whey protein, including α-lactalbumin and β-lactoglobulin, are known for their high digestibility and immunomodulatory properties. Goat milk again outperformed cow milk in this regard, with whey </w:t>
      </w:r>
      <w:r>
        <w:rPr>
          <w:rFonts w:ascii="Times New Roman" w:eastAsia="Times New Roman" w:hAnsi="Times New Roman" w:cs="Times New Roman"/>
          <w:sz w:val="24"/>
        </w:rPr>
        <w:lastRenderedPageBreak/>
        <w:t xml:space="preserve">content reaching up to 1.29 ± 0.0% in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compared to 0.79 ± 0.0% in cow milk. These proteins are particularly beneficial for individuals with cow milk protein intolerance, as goat milk proteins form softer curds and are digested more rapidly (</w:t>
      </w:r>
      <w:proofErr w:type="spellStart"/>
      <w:r>
        <w:rPr>
          <w:rFonts w:ascii="Times New Roman" w:eastAsia="Times New Roman" w:hAnsi="Times New Roman" w:cs="Times New Roman"/>
          <w:sz w:val="24"/>
        </w:rPr>
        <w:t>Ndudi</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et al., </w:t>
      </w:r>
      <w:r>
        <w:rPr>
          <w:rFonts w:ascii="Times New Roman" w:eastAsia="Times New Roman" w:hAnsi="Times New Roman" w:cs="Times New Roman"/>
          <w:sz w:val="24"/>
        </w:rPr>
        <w:t>2024).  The component comprising peptides and enzymes, was also marginally higher in goat milk (0.10 ± 0.0%) than in cow milk (0.05 ± 0.0%). These bioactive peptides have been associated with antimicrobial, antihypertensive, and antioxidant activities, further enhancing the functional value of goat milk (</w:t>
      </w:r>
      <w:proofErr w:type="spellStart"/>
      <w:r>
        <w:rPr>
          <w:rFonts w:ascii="Times New Roman" w:eastAsia="Times New Roman" w:hAnsi="Times New Roman" w:cs="Times New Roman"/>
          <w:sz w:val="24"/>
        </w:rPr>
        <w:t>Ghali</w:t>
      </w:r>
      <w:proofErr w:type="spellEnd"/>
      <w:r>
        <w:rPr>
          <w:rFonts w:ascii="Times New Roman" w:eastAsia="Times New Roman" w:hAnsi="Times New Roman" w:cs="Times New Roman"/>
          <w:sz w:val="24"/>
        </w:rPr>
        <w:t xml:space="preserve">-Mohammed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2025).</w:t>
      </w: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Table 2 shows the fatty acid profile of cow and goat milk from four different Local Government Areas in Oyo State. Milk fat is a complex mixture of triglycerides, phospholipids, and free fatty acids, which significantly influence flavor, texture, and nutritional quality. The total fat (TF) content in goat milk was higher than in cow milk across all LGAs. For example, goat milk from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had a TF of 4.80 ± 0.0%, compared to 4.30 ± 0.0% in cow milk. This aligns with previous findings that goat milk contains smaller fat globules and a higher proportion of short- and medium-chain fatty acids, which are more readily digested and metabolized (Mohammed and </w:t>
      </w:r>
      <w:proofErr w:type="spellStart"/>
      <w:r>
        <w:rPr>
          <w:rFonts w:ascii="Times New Roman" w:eastAsia="Times New Roman" w:hAnsi="Times New Roman" w:cs="Times New Roman"/>
          <w:sz w:val="24"/>
        </w:rPr>
        <w:t>Biyabra</w:t>
      </w:r>
      <w:proofErr w:type="spellEnd"/>
      <w:r>
        <w:rPr>
          <w:rFonts w:ascii="Times New Roman" w:eastAsia="Times New Roman" w:hAnsi="Times New Roman" w:cs="Times New Roman"/>
          <w:sz w:val="24"/>
        </w:rPr>
        <w:t xml:space="preserve">, 2024). Saturated fatty acids (SFA) constituted the largest proportion of total fat, with goat milk from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showing the highest SFA content at 3.36 ± 0.0%, compared to 3.01 ± 0.0% in cow milk. While high SFA intake has been linked to cardiovascular risks, the specific profile of goat milk—rich in caproic, caprylic, and capric acids—may confer metabolic benefits, including improved lipid metabolism and reduced adiposity (</w:t>
      </w:r>
      <w:proofErr w:type="spellStart"/>
      <w:r>
        <w:rPr>
          <w:rFonts w:ascii="Times New Roman" w:eastAsia="Times New Roman" w:hAnsi="Times New Roman" w:cs="Times New Roman"/>
          <w:sz w:val="24"/>
        </w:rPr>
        <w:t>Ndudi</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2024). Monounsaturated fatty acids (MUFA), particularly oleic acid, were also more abundant in goat milk (up to 1.34 ± 0.0%) than in cow milk (1.29 ± 0.0%). MUFAs are known to support cardiovascular health by improving lipid profiles and reducing inflammation. The presence of polyunsaturated fatty acids (PUFA), though lower in concentration, is nutritionally significant. Goat milk from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LGA recorded the highest PUFA content at 0.11 ± 0.0%, slightly higher than cow milk from the same location (0.08 ± 0.0%). The balance of SFA, MUFA, and PUFA in goat milk suggests a more favorable lipid profile, particularly for populations at risk of metabolic disorders. Though, goat milk samples have lower PUFA but higher SFA and MUFA (3.36-3.01 and 1.34-1.21) than cow milk samples (3.01-2.73 and 1.29-1.09). This slightly contradicts the report of </w:t>
      </w:r>
      <w:proofErr w:type="spellStart"/>
      <w:r>
        <w:rPr>
          <w:rFonts w:ascii="Times New Roman" w:eastAsia="Times New Roman" w:hAnsi="Times New Roman" w:cs="Times New Roman"/>
          <w:sz w:val="24"/>
        </w:rPr>
        <w:t>Stergiadis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et al. </w:t>
      </w:r>
      <w:r>
        <w:rPr>
          <w:rFonts w:ascii="Times New Roman" w:eastAsia="Times New Roman" w:hAnsi="Times New Roman" w:cs="Times New Roman"/>
          <w:sz w:val="24"/>
        </w:rPr>
        <w:t>(2019). This may be influence by difference in intrinsic species metabolism or season.</w:t>
      </w: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Fatty acid analysis revealed higher saturated and monounsaturated fats in goat milk, particularly in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and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LGAs. Goat milk from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recorded 4.80 ± 0.0a% total fat and </w:t>
      </w:r>
      <w:r>
        <w:rPr>
          <w:rFonts w:ascii="Times New Roman" w:eastAsia="Times New Roman" w:hAnsi="Times New Roman" w:cs="Times New Roman"/>
          <w:sz w:val="24"/>
        </w:rPr>
        <w:lastRenderedPageBreak/>
        <w:t xml:space="preserve">3.36 ± 0.0a% saturated fat, compared to 4.30 ± 0.0a% and 3.01 ± 0.0a% in cow milk, respectively. These </w:t>
      </w:r>
      <w:proofErr w:type="spellStart"/>
      <w:r>
        <w:rPr>
          <w:rFonts w:ascii="Times New Roman" w:eastAsia="Times New Roman" w:hAnsi="Times New Roman" w:cs="Times New Roman"/>
          <w:sz w:val="24"/>
        </w:rPr>
        <w:t>fats</w:t>
      </w:r>
      <w:proofErr w:type="spellEnd"/>
      <w:r>
        <w:rPr>
          <w:rFonts w:ascii="Times New Roman" w:eastAsia="Times New Roman" w:hAnsi="Times New Roman" w:cs="Times New Roman"/>
          <w:sz w:val="24"/>
        </w:rPr>
        <w:t xml:space="preserve"> are essential for energy metabolism and cellular function. However, excessive saturated fat intake may pose cardiovascular risks, necessitating balanced consumption. The superior protein and fat composition of goat milk underscores its potential as a functional food, especially in nutritionally vulnerable populations. Its higher digestibility, richer amino acid profile, and favorable lipid composition make it suitable for infants, the elderly, and individuals with cow milk intolerance. However, the benefits of these nutrients can be undermined by microbial contamination, as observed in this study. Therefore, ensuring hygienic handling and storage is essential to preserve the nutritional integrity of milk.</w:t>
      </w: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 rural Nigerian communities where malnutrition and food insecurity persist, promoting the consumption of hygienically processed goat milk could contribute to improved dietary quality. Public health interventions should thus integrate nutritional education with food safety training to maximize the benefits of traditional dairy products.</w:t>
      </w:r>
    </w:p>
    <w:p w:rsidR="00950531" w:rsidRDefault="00950531">
      <w:pPr>
        <w:spacing w:before="100" w:after="100" w:line="360" w:lineRule="auto"/>
        <w:jc w:val="both"/>
        <w:rPr>
          <w:rFonts w:ascii="Times New Roman" w:eastAsia="Times New Roman" w:hAnsi="Times New Roman" w:cs="Times New Roman"/>
          <w:sz w:val="24"/>
        </w:rPr>
      </w:pPr>
    </w:p>
    <w:p w:rsidR="00950531" w:rsidRDefault="008E3CEF">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Table 3 shows the comparative microbial load in milking utensil, water and milking surroundings of cow and goat milk </w:t>
      </w:r>
      <w:proofErr w:type="gramStart"/>
      <w:r>
        <w:rPr>
          <w:rFonts w:ascii="Times New Roman" w:eastAsia="Times New Roman" w:hAnsi="Times New Roman" w:cs="Times New Roman"/>
          <w:sz w:val="24"/>
        </w:rPr>
        <w:t xml:space="preserve">farms  </w:t>
      </w:r>
      <w:r>
        <w:rPr>
          <w:rFonts w:ascii="Times New Roman" w:eastAsia="Times New Roman" w:hAnsi="Times New Roman" w:cs="Times New Roman"/>
          <w:color w:val="FF0000"/>
          <w:sz w:val="24"/>
        </w:rPr>
        <w:t>Milk</w:t>
      </w:r>
      <w:proofErr w:type="gramEnd"/>
      <w:r>
        <w:rPr>
          <w:rFonts w:ascii="Times New Roman" w:eastAsia="Times New Roman" w:hAnsi="Times New Roman" w:cs="Times New Roman"/>
          <w:color w:val="FF0000"/>
          <w:sz w:val="24"/>
        </w:rPr>
        <w:t xml:space="preserve"> is a biologically fluid which nature and chemical composition makes it one of the best culture media for microbial growth and multiplication (</w:t>
      </w:r>
      <w:proofErr w:type="spellStart"/>
      <w:r>
        <w:rPr>
          <w:rFonts w:ascii="Times New Roman" w:eastAsia="Times New Roman" w:hAnsi="Times New Roman" w:cs="Times New Roman"/>
          <w:color w:val="FF0000"/>
          <w:sz w:val="24"/>
        </w:rPr>
        <w:t>Woldemariam</w:t>
      </w:r>
      <w:proofErr w:type="spellEnd"/>
      <w:r>
        <w:rPr>
          <w:rFonts w:ascii="Times New Roman" w:eastAsia="Times New Roman" w:hAnsi="Times New Roman" w:cs="Times New Roman"/>
          <w:color w:val="FF0000"/>
          <w:sz w:val="24"/>
        </w:rPr>
        <w:t xml:space="preserve"> and </w:t>
      </w:r>
      <w:proofErr w:type="spellStart"/>
      <w:r>
        <w:rPr>
          <w:rFonts w:ascii="Times New Roman" w:eastAsia="Times New Roman" w:hAnsi="Times New Roman" w:cs="Times New Roman"/>
          <w:color w:val="FF0000"/>
          <w:sz w:val="24"/>
        </w:rPr>
        <w:t>Asres</w:t>
      </w:r>
      <w:proofErr w:type="spellEnd"/>
      <w:r>
        <w:rPr>
          <w:rFonts w:ascii="Times New Roman" w:eastAsia="Times New Roman" w:hAnsi="Times New Roman" w:cs="Times New Roman"/>
          <w:color w:val="FF0000"/>
          <w:sz w:val="24"/>
        </w:rPr>
        <w:t xml:space="preserve">, 2017). </w:t>
      </w:r>
      <w:r>
        <w:rPr>
          <w:rFonts w:ascii="Times New Roman" w:eastAsia="Times New Roman" w:hAnsi="Times New Roman" w:cs="Times New Roman"/>
          <w:sz w:val="24"/>
        </w:rPr>
        <w:t xml:space="preserve">In traditional dairy systems across Southwestern Nigeria, milk is often handled manually using non-sterile utensils, untreated water, and exposed to open-air environments. These practices significantly increase the risk of microbial contamination </w:t>
      </w:r>
      <w:r>
        <w:rPr>
          <w:rFonts w:ascii="Times New Roman" w:eastAsia="Times New Roman" w:hAnsi="Times New Roman" w:cs="Times New Roman"/>
          <w:color w:val="FF0000"/>
          <w:sz w:val="24"/>
        </w:rPr>
        <w:t>(</w:t>
      </w:r>
      <w:proofErr w:type="spellStart"/>
      <w:r>
        <w:rPr>
          <w:rFonts w:ascii="Times New Roman" w:eastAsia="Times New Roman" w:hAnsi="Times New Roman" w:cs="Times New Roman"/>
          <w:color w:val="FF0000"/>
          <w:sz w:val="24"/>
        </w:rPr>
        <w:t>Ghali</w:t>
      </w:r>
      <w:proofErr w:type="spellEnd"/>
      <w:r>
        <w:rPr>
          <w:rFonts w:ascii="Times New Roman" w:eastAsia="Times New Roman" w:hAnsi="Times New Roman" w:cs="Times New Roman"/>
          <w:color w:val="FF0000"/>
          <w:sz w:val="24"/>
        </w:rPr>
        <w:t xml:space="preserve">-Mohammed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2025). </w:t>
      </w:r>
      <w:r>
        <w:rPr>
          <w:rFonts w:ascii="Times New Roman" w:eastAsia="Times New Roman" w:hAnsi="Times New Roman" w:cs="Times New Roman"/>
          <w:sz w:val="24"/>
        </w:rPr>
        <w:t xml:space="preserve">The present study revealed that utensil and water for cleaning and milking cow contributed more to microbial contaminant of both cow and goat milk. Cow milking utensils had slightly higher TBC (3.80) than goat </w:t>
      </w:r>
      <w:proofErr w:type="spellStart"/>
      <w:r>
        <w:rPr>
          <w:rFonts w:ascii="Times New Roman" w:eastAsia="Times New Roman" w:hAnsi="Times New Roman" w:cs="Times New Roman"/>
          <w:sz w:val="24"/>
        </w:rPr>
        <w:t>goat</w:t>
      </w:r>
      <w:proofErr w:type="spellEnd"/>
      <w:r>
        <w:rPr>
          <w:rFonts w:ascii="Times New Roman" w:eastAsia="Times New Roman" w:hAnsi="Times New Roman" w:cs="Times New Roman"/>
          <w:sz w:val="24"/>
        </w:rPr>
        <w:t xml:space="preserve"> milking utensil (3.40), therefore indicating differencing in milking routine and herd sizes. For the TCC, there was no significant difference for cow farm and goat milk (0.25-0.00 and 0.21-0.11 respectively). In both cow and goat farm there was no significant difference in the TBC for water use for cleaning and milking (4.60-2.20 and 4.38-2.4 respectively). Similar trends was observed in TCC with the exception of Ibadan North region which have elevated TTC of the milking water from both cow and goat farm (0.50 and 0.38 respectively</w:t>
      </w:r>
      <w:proofErr w:type="gramStart"/>
      <w:r>
        <w:rPr>
          <w:rFonts w:ascii="Times New Roman" w:eastAsia="Times New Roman" w:hAnsi="Times New Roman" w:cs="Times New Roman"/>
          <w:sz w:val="24"/>
        </w:rPr>
        <w:t>).This</w:t>
      </w:r>
      <w:proofErr w:type="gramEnd"/>
      <w:r>
        <w:rPr>
          <w:rFonts w:ascii="Times New Roman" w:eastAsia="Times New Roman" w:hAnsi="Times New Roman" w:cs="Times New Roman"/>
          <w:sz w:val="24"/>
        </w:rPr>
        <w:t xml:space="preserve"> is indicative of </w:t>
      </w:r>
      <w:proofErr w:type="spellStart"/>
      <w:r>
        <w:rPr>
          <w:rFonts w:ascii="Times New Roman" w:eastAsia="Times New Roman" w:hAnsi="Times New Roman" w:cs="Times New Roman"/>
          <w:sz w:val="24"/>
        </w:rPr>
        <w:t>faecal</w:t>
      </w:r>
      <w:proofErr w:type="spellEnd"/>
      <w:r>
        <w:rPr>
          <w:rFonts w:ascii="Times New Roman" w:eastAsia="Times New Roman" w:hAnsi="Times New Roman" w:cs="Times New Roman"/>
          <w:sz w:val="24"/>
        </w:rPr>
        <w:t xml:space="preserve"> indicator organisms and potential pathogen risk if not adequately treated. The TBC from surrounding of most cow farms were higher than the one </w:t>
      </w:r>
      <w:r>
        <w:rPr>
          <w:rFonts w:ascii="Times New Roman" w:eastAsia="Times New Roman" w:hAnsi="Times New Roman" w:cs="Times New Roman"/>
          <w:sz w:val="24"/>
        </w:rPr>
        <w:lastRenderedPageBreak/>
        <w:t>observed in goat milk surroundings, this may be attributed to more dust load, manure proximity and animal traffic seen in cow farms than goat farms.  These findings are consistent with previous studies conducted in Ibadan and Abuja, which reported elevated microbial loads in raw milk samples from informal markets (</w:t>
      </w:r>
      <w:proofErr w:type="spellStart"/>
      <w:r>
        <w:rPr>
          <w:rFonts w:ascii="Times New Roman" w:eastAsia="Times New Roman" w:hAnsi="Times New Roman" w:cs="Times New Roman"/>
          <w:sz w:val="24"/>
        </w:rPr>
        <w:t>Adediran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2023). Coliforms were detected in all water samples used for cleaning and milking, exceeding the World Health Organization’s (WHO) recommended limit of 0 CFU/100 mL (WHO, 2023). Their presence indicates fecal contamination and poor sanitation. Milking utensils also showed significant coliform counts, reinforcing the need for improved hygiene practices. Although airborne transmission was minimal, it still contributed to the overall microbial burden.</w:t>
      </w: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study compared microbial contamination across four Local Government Areas (LGAs):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and Ibadan North.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LGA recorded the highest value for TBC in cow farm was observed in water used for milking and cleaning (4.60). For TCC the highest value was in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LGA in utensil used (0.25) and water for milking and cleaning (0.25). Similar trend was observed in TBC of utensil and water used in goat farming. In contrast,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LGA exhibited the lowest contamination levels, with cow milk utensil TBC (00.0) and water (0.00</w:t>
      </w:r>
      <w:proofErr w:type="gramStart"/>
      <w:r>
        <w:rPr>
          <w:rFonts w:ascii="Times New Roman" w:eastAsia="Times New Roman" w:hAnsi="Times New Roman" w:cs="Times New Roman"/>
          <w:sz w:val="24"/>
        </w:rPr>
        <w:t>).Similar</w:t>
      </w:r>
      <w:proofErr w:type="gramEnd"/>
      <w:r>
        <w:rPr>
          <w:rFonts w:ascii="Times New Roman" w:eastAsia="Times New Roman" w:hAnsi="Times New Roman" w:cs="Times New Roman"/>
          <w:sz w:val="24"/>
        </w:rPr>
        <w:t xml:space="preserve"> trends was also observed in the TCC of the water used in the farm. These disparities may reflect differences in local practices, access to clean water, and awareness of hygiene protocols. This is observed in the high level of hygienic measures put in place by most dairy farmers in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LGA compare to most farmers in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LGA where poor sanitation is observed. </w:t>
      </w:r>
      <w:r>
        <w:rPr>
          <w:rFonts w:ascii="Times New Roman" w:eastAsia="Times New Roman" w:hAnsi="Times New Roman" w:cs="Times New Roman"/>
          <w:color w:val="FF0000"/>
          <w:sz w:val="24"/>
        </w:rPr>
        <w:t>This may be potentially due to the prevalence of piles of the animal feces observed in the surroundings, surface runoff contamination or the use of not too clean and old drawer used in drawing water from the well.</w:t>
      </w:r>
      <w:r>
        <w:rPr>
          <w:rFonts w:ascii="Times New Roman" w:eastAsia="Times New Roman" w:hAnsi="Times New Roman" w:cs="Times New Roman"/>
          <w:sz w:val="24"/>
        </w:rPr>
        <w:t xml:space="preserve">  Similar regional variations were observed in Northern Oyo State, where poor sanitation in cattle milk processing facilities led to elevated Staphylococcus aureus counts (</w:t>
      </w:r>
      <w:proofErr w:type="spellStart"/>
      <w:r>
        <w:rPr>
          <w:rFonts w:ascii="Times New Roman" w:eastAsia="Times New Roman" w:hAnsi="Times New Roman" w:cs="Times New Roman"/>
          <w:sz w:val="24"/>
        </w:rPr>
        <w:t>Ghali</w:t>
      </w:r>
      <w:proofErr w:type="spellEnd"/>
      <w:r>
        <w:rPr>
          <w:rFonts w:ascii="Times New Roman" w:eastAsia="Times New Roman" w:hAnsi="Times New Roman" w:cs="Times New Roman"/>
          <w:sz w:val="24"/>
        </w:rPr>
        <w:t xml:space="preserve">-Mohammed </w:t>
      </w:r>
      <w:r>
        <w:rPr>
          <w:rFonts w:ascii="Times New Roman" w:eastAsia="Times New Roman" w:hAnsi="Times New Roman" w:cs="Times New Roman"/>
          <w:i/>
          <w:sz w:val="24"/>
        </w:rPr>
        <w:t>et al.,</w:t>
      </w:r>
      <w:r>
        <w:rPr>
          <w:rFonts w:ascii="Times New Roman" w:eastAsia="Times New Roman" w:hAnsi="Times New Roman" w:cs="Times New Roman"/>
          <w:sz w:val="24"/>
        </w:rPr>
        <w:t xml:space="preserve"> 2025). The presence of coliforms and high bacterial loads poses serious health risks, including gastrointestinal infections and foodborne illnesses. Pathogens such as </w:t>
      </w:r>
      <w:r>
        <w:rPr>
          <w:rFonts w:ascii="Times New Roman" w:eastAsia="Times New Roman" w:hAnsi="Times New Roman" w:cs="Times New Roman"/>
          <w:i/>
          <w:sz w:val="24"/>
        </w:rPr>
        <w:t>E. coli, Staphylococcus aureus</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Salmonella spp.</w:t>
      </w:r>
      <w:r>
        <w:rPr>
          <w:rFonts w:ascii="Times New Roman" w:eastAsia="Times New Roman" w:hAnsi="Times New Roman" w:cs="Times New Roman"/>
          <w:sz w:val="24"/>
        </w:rPr>
        <w:t xml:space="preserve"> are indicators of poor sanitation (</w:t>
      </w:r>
      <w:r>
        <w:rPr>
          <w:rFonts w:ascii="Times New Roman" w:eastAsia="Times New Roman" w:hAnsi="Times New Roman" w:cs="Times New Roman"/>
          <w:color w:val="FF0000"/>
          <w:sz w:val="24"/>
        </w:rPr>
        <w:t xml:space="preserve">Afolabi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2017</w:t>
      </w:r>
      <w:r>
        <w:rPr>
          <w:rFonts w:ascii="Times New Roman" w:eastAsia="Times New Roman" w:hAnsi="Times New Roman" w:cs="Times New Roman"/>
          <w:sz w:val="24"/>
        </w:rPr>
        <w:t xml:space="preserve">). Inadequate oversight in informal markets exacerbates these risks. A recent study in </w:t>
      </w:r>
      <w:proofErr w:type="spellStart"/>
      <w:r>
        <w:rPr>
          <w:rFonts w:ascii="Times New Roman" w:eastAsia="Times New Roman" w:hAnsi="Times New Roman" w:cs="Times New Roman"/>
          <w:sz w:val="24"/>
        </w:rPr>
        <w:t>Wukari</w:t>
      </w:r>
      <w:proofErr w:type="spellEnd"/>
      <w:r>
        <w:rPr>
          <w:rFonts w:ascii="Times New Roman" w:eastAsia="Times New Roman" w:hAnsi="Times New Roman" w:cs="Times New Roman"/>
          <w:sz w:val="24"/>
        </w:rPr>
        <w:t xml:space="preserve">, Taraba State, found similar contamination in fermented milk sold by Fulani women, with high levels of </w:t>
      </w:r>
      <w:r>
        <w:rPr>
          <w:rFonts w:ascii="Times New Roman" w:eastAsia="Times New Roman" w:hAnsi="Times New Roman" w:cs="Times New Roman"/>
          <w:i/>
          <w:sz w:val="24"/>
        </w:rPr>
        <w:t>E. coli</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(Mohammed and </w:t>
      </w:r>
      <w:proofErr w:type="spellStart"/>
      <w:r>
        <w:rPr>
          <w:rFonts w:ascii="Times New Roman" w:eastAsia="Times New Roman" w:hAnsi="Times New Roman" w:cs="Times New Roman"/>
          <w:sz w:val="24"/>
        </w:rPr>
        <w:t>Biyabra</w:t>
      </w:r>
      <w:proofErr w:type="spellEnd"/>
      <w:r>
        <w:rPr>
          <w:rFonts w:ascii="Times New Roman" w:eastAsia="Times New Roman" w:hAnsi="Times New Roman" w:cs="Times New Roman"/>
          <w:sz w:val="24"/>
        </w:rPr>
        <w:t>, 2024). These findings underscore the widespread nature of microbial hazards in Nigeria’s informal dairy sector.</w:t>
      </w:r>
    </w:p>
    <w:p w:rsidR="00950531" w:rsidRDefault="008E3CEF">
      <w:pPr>
        <w:spacing w:before="100" w:after="10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lastRenderedPageBreak/>
        <w:t xml:space="preserve">Water used for cleaning and milking was the most contaminated vector, followed by utensils and air. This pattern mirrors findings from other Nigerian studies, which emphasize the role of untreated water in spreading pathogens </w:t>
      </w:r>
      <w:r>
        <w:rPr>
          <w:rFonts w:ascii="Times New Roman" w:eastAsia="Times New Roman" w:hAnsi="Times New Roman" w:cs="Times New Roman"/>
          <w:color w:val="FF0000"/>
          <w:sz w:val="24"/>
        </w:rPr>
        <w:t>(</w:t>
      </w:r>
      <w:proofErr w:type="spellStart"/>
      <w:r>
        <w:rPr>
          <w:rFonts w:ascii="Times New Roman" w:eastAsia="Times New Roman" w:hAnsi="Times New Roman" w:cs="Times New Roman"/>
          <w:color w:val="FF0000"/>
          <w:sz w:val="24"/>
        </w:rPr>
        <w:t>Ntuli</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2023) and investigation that revealed high prevalence and diversity of microbial contaminants from been the most contamination route of dairy milk (Velazquez-Ordonez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2019).   </w:t>
      </w:r>
      <w:r>
        <w:rPr>
          <w:rFonts w:ascii="Times New Roman" w:eastAsia="Times New Roman" w:hAnsi="Times New Roman" w:cs="Times New Roman"/>
          <w:sz w:val="24"/>
        </w:rPr>
        <w:t xml:space="preserve">Airborne transmission was minimal but still contributed to overall microbial load. The settle plate technique used in this study confirmed airborne microorganisms in milking areas, though at lower concentrations than water and </w:t>
      </w:r>
      <w:proofErr w:type="spellStart"/>
      <w:proofErr w:type="gramStart"/>
      <w:r>
        <w:rPr>
          <w:rFonts w:ascii="Times New Roman" w:eastAsia="Times New Roman" w:hAnsi="Times New Roman" w:cs="Times New Roman"/>
          <w:sz w:val="24"/>
        </w:rPr>
        <w:t>utensils.</w:t>
      </w:r>
      <w:r>
        <w:rPr>
          <w:rFonts w:ascii="Times New Roman" w:eastAsia="Times New Roman" w:hAnsi="Times New Roman" w:cs="Times New Roman"/>
          <w:color w:val="FF0000"/>
          <w:sz w:val="24"/>
        </w:rPr>
        <w:t>This</w:t>
      </w:r>
      <w:proofErr w:type="spellEnd"/>
      <w:proofErr w:type="gramEnd"/>
      <w:r>
        <w:rPr>
          <w:rFonts w:ascii="Times New Roman" w:eastAsia="Times New Roman" w:hAnsi="Times New Roman" w:cs="Times New Roman"/>
          <w:color w:val="FF0000"/>
          <w:sz w:val="24"/>
        </w:rPr>
        <w:t xml:space="preserve"> findings makes it possible to trace and prevents microbial contamination of milk.</w:t>
      </w:r>
    </w:p>
    <w:p w:rsidR="00950531" w:rsidRDefault="00950531">
      <w:pPr>
        <w:spacing w:before="100" w:after="100" w:line="360" w:lineRule="auto"/>
        <w:jc w:val="both"/>
        <w:rPr>
          <w:rFonts w:ascii="Times New Roman" w:eastAsia="Times New Roman" w:hAnsi="Times New Roman" w:cs="Times New Roman"/>
          <w:sz w:val="24"/>
        </w:rPr>
      </w:pPr>
    </w:p>
    <w:p w:rsidR="00950531" w:rsidRDefault="00950531">
      <w:pPr>
        <w:spacing w:before="100" w:after="100" w:line="360" w:lineRule="auto"/>
        <w:jc w:val="both"/>
        <w:rPr>
          <w:rFonts w:ascii="Times New Roman" w:eastAsia="Times New Roman" w:hAnsi="Times New Roman" w:cs="Times New Roman"/>
          <w:b/>
          <w:sz w:val="24"/>
        </w:rPr>
      </w:pPr>
    </w:p>
    <w:p w:rsidR="00950531" w:rsidRDefault="00950531">
      <w:pPr>
        <w:spacing w:before="100" w:after="100" w:line="360" w:lineRule="auto"/>
        <w:jc w:val="both"/>
        <w:rPr>
          <w:rFonts w:ascii="Times New Roman" w:eastAsia="Times New Roman" w:hAnsi="Times New Roman" w:cs="Times New Roman"/>
          <w:b/>
          <w:sz w:val="24"/>
        </w:rPr>
      </w:pPr>
    </w:p>
    <w:p w:rsidR="00950531" w:rsidRDefault="00950531">
      <w:pPr>
        <w:spacing w:before="100" w:after="100" w:line="360" w:lineRule="auto"/>
        <w:jc w:val="both"/>
        <w:rPr>
          <w:rFonts w:ascii="Times New Roman" w:eastAsia="Times New Roman" w:hAnsi="Times New Roman" w:cs="Times New Roman"/>
          <w:b/>
          <w:sz w:val="24"/>
        </w:rPr>
      </w:pPr>
    </w:p>
    <w:p w:rsidR="00950531" w:rsidRDefault="00950531">
      <w:pPr>
        <w:spacing w:before="100" w:after="100" w:line="360" w:lineRule="auto"/>
        <w:jc w:val="both"/>
        <w:rPr>
          <w:rFonts w:ascii="Times New Roman" w:eastAsia="Times New Roman" w:hAnsi="Times New Roman" w:cs="Times New Roman"/>
          <w:b/>
          <w:sz w:val="24"/>
        </w:rPr>
      </w:pPr>
    </w:p>
    <w:p w:rsidR="00950531" w:rsidRDefault="00950531">
      <w:pPr>
        <w:spacing w:before="100" w:after="100" w:line="360" w:lineRule="auto"/>
        <w:jc w:val="both"/>
        <w:rPr>
          <w:rFonts w:ascii="Times New Roman" w:eastAsia="Times New Roman" w:hAnsi="Times New Roman" w:cs="Times New Roman"/>
          <w:b/>
          <w:sz w:val="24"/>
        </w:rPr>
      </w:pPr>
    </w:p>
    <w:p w:rsidR="00950531" w:rsidRDefault="00950531">
      <w:pPr>
        <w:spacing w:before="100" w:after="100" w:line="360" w:lineRule="auto"/>
        <w:jc w:val="both"/>
        <w:rPr>
          <w:rFonts w:ascii="Times New Roman" w:eastAsia="Times New Roman" w:hAnsi="Times New Roman" w:cs="Times New Roman"/>
          <w:b/>
          <w:sz w:val="24"/>
        </w:rPr>
      </w:pPr>
    </w:p>
    <w:p w:rsidR="00950531" w:rsidRDefault="008E3CEF">
      <w:pPr>
        <w:spacing w:before="100" w:after="1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provides a comprehensive microbiological risk assessment of traditional milk handling practices in Southwestern Nigeria, focusing on cow and goat milk across four Local Government Areas: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Ibarapa</w:t>
      </w:r>
      <w:proofErr w:type="spellEnd"/>
      <w:r>
        <w:rPr>
          <w:rFonts w:ascii="Times New Roman" w:eastAsia="Times New Roman" w:hAnsi="Times New Roman" w:cs="Times New Roman"/>
          <w:sz w:val="24"/>
        </w:rPr>
        <w:t xml:space="preserve"> East, and Ibadan North. The findings emphasized the dual reality of milk as both </w:t>
      </w:r>
      <w:proofErr w:type="spellStart"/>
      <w:proofErr w:type="gramStart"/>
      <w:r>
        <w:rPr>
          <w:rFonts w:ascii="Times New Roman" w:eastAsia="Times New Roman" w:hAnsi="Times New Roman" w:cs="Times New Roman"/>
          <w:sz w:val="24"/>
        </w:rPr>
        <w:t>a</w:t>
      </w:r>
      <w:proofErr w:type="spellEnd"/>
      <w:proofErr w:type="gramEnd"/>
      <w:r>
        <w:rPr>
          <w:rFonts w:ascii="Times New Roman" w:eastAsia="Times New Roman" w:hAnsi="Times New Roman" w:cs="Times New Roman"/>
          <w:sz w:val="24"/>
        </w:rPr>
        <w:t xml:space="preserve"> important nutritional resource and a potential vector for microbial contamination when handled under suboptimal hygienic conditions. Nutritionally, goat milk consistently outperformed cow milk in terms of crude protein, casein, whey, and total fat content. The superior protein profile and favorable fatty acid composition of goat milk Characterized by higher levels of digestible casein, bioactive peptides, and medium-chain fatty acids—position it as a nutritionally advantageous alternative, especially for vulnerable populations such as children, the elderly, and individuals with cow milk intolerance. However, the nutritional benefits are undermined by the presence of pathogenic microorganisms, which pose serious public health risks including gastrointestinal infections and foodborne illnesses. The microbiological analysis revealed alarmingly high levels of total bacterial count (TBC) and total coliform count (TCC) in milking </w:t>
      </w:r>
      <w:r>
        <w:rPr>
          <w:rFonts w:ascii="Times New Roman" w:eastAsia="Times New Roman" w:hAnsi="Times New Roman" w:cs="Times New Roman"/>
          <w:sz w:val="24"/>
        </w:rPr>
        <w:lastRenderedPageBreak/>
        <w:t xml:space="preserve">utensils and water sources, with most water samples exceeding the World Health Organization’s recommended safety threshold. These results highlight the critical role of environmental vectors—particularly water and equipment—in facilitating microbial contamination. Airborne transmission, while present, was comparatively minimal, suggesting that direct contact and waterborne exposure are the dominant routes of contamination. The study also revealed significant regional disparities in contamination levels, with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LGA exhibiting the highest microbial loads and </w:t>
      </w:r>
      <w:proofErr w:type="spellStart"/>
      <w:r>
        <w:rPr>
          <w:rFonts w:ascii="Times New Roman" w:eastAsia="Times New Roman" w:hAnsi="Times New Roman" w:cs="Times New Roman"/>
          <w:sz w:val="24"/>
        </w:rPr>
        <w:t>Ido</w:t>
      </w:r>
      <w:proofErr w:type="spellEnd"/>
      <w:r>
        <w:rPr>
          <w:rFonts w:ascii="Times New Roman" w:eastAsia="Times New Roman" w:hAnsi="Times New Roman" w:cs="Times New Roman"/>
          <w:sz w:val="24"/>
        </w:rPr>
        <w:t xml:space="preserve"> LGA the lowest. These differences may reflect variations in access to clean water, hygiene awareness, and infrastructural support. Such findings emphasize the need for localized interventions tailored to the specific challenges and resources of each community. From a public health perspective, the implications are profound. The informal nature of Nigeria’s dairy sector, coupled with limited regulatory oversight, creates an environment where unsafe milk handling practices persist unchecked. The presence of pathogens such as </w:t>
      </w:r>
      <w:r>
        <w:rPr>
          <w:rFonts w:ascii="Times New Roman" w:eastAsia="Times New Roman" w:hAnsi="Times New Roman" w:cs="Times New Roman"/>
          <w:i/>
          <w:sz w:val="24"/>
        </w:rPr>
        <w:t xml:space="preserve">E. coli, Staphylococcus aureus, </w:t>
      </w:r>
      <w:r>
        <w:rPr>
          <w:rFonts w:ascii="Times New Roman" w:eastAsia="Times New Roman" w:hAnsi="Times New Roman" w:cs="Times New Roman"/>
          <w:sz w:val="24"/>
        </w:rPr>
        <w:t xml:space="preserve">and </w:t>
      </w:r>
      <w:r>
        <w:rPr>
          <w:rFonts w:ascii="Times New Roman" w:eastAsia="Times New Roman" w:hAnsi="Times New Roman" w:cs="Times New Roman"/>
          <w:i/>
          <w:sz w:val="24"/>
        </w:rPr>
        <w:t>Salmonella spp.</w:t>
      </w:r>
      <w:r>
        <w:rPr>
          <w:rFonts w:ascii="Times New Roman" w:eastAsia="Times New Roman" w:hAnsi="Times New Roman" w:cs="Times New Roman"/>
          <w:sz w:val="24"/>
        </w:rPr>
        <w:t xml:space="preserve"> in milk handling environments calls for urgent action to prevent outbreaks and protect consumer health. In conclusion, while cow and goat milk remain indispensable to food security and nutrition in Nigeria, milking hazard remains critical public health concern because their safety is compromised by traditional handling practices which expose consumers to microbiological risks. The findings from this study serve as a call to action for stakeholders—including government agencies, public health institutions, and community leaders—to invest in sustainable solutions that safeguard both the nutritional value and microbiological integrity of milk. Future research should explore scalable interventions, such as low-cost sterilization technologies and community-based monitoring systems, to enhance milk safety in rural and peri-urban settings.</w:t>
      </w: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RECOMMENDATIONS</w:t>
      </w: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address these challenges, a multi-pronged strategy is essential. This includes training programs for pastoralists and smallholder farmers on hygienic milk handling and sanitation, Provision of clean water sources, sterilization equipment, and cold chain facilities, Strengthening regulatory frameworks to monitor and enforce milk safety standards in informal markets, Leveraging local leaders and cultural institutions to promote behavioral change and hygiene awareness, </w:t>
      </w:r>
      <w:proofErr w:type="spellStart"/>
      <w:r>
        <w:rPr>
          <w:rFonts w:ascii="Times New Roman" w:eastAsia="Times New Roman" w:hAnsi="Times New Roman" w:cs="Times New Roman"/>
          <w:sz w:val="24"/>
        </w:rPr>
        <w:t>egular</w:t>
      </w:r>
      <w:proofErr w:type="spellEnd"/>
      <w:r>
        <w:rPr>
          <w:rFonts w:ascii="Times New Roman" w:eastAsia="Times New Roman" w:hAnsi="Times New Roman" w:cs="Times New Roman"/>
          <w:sz w:val="24"/>
        </w:rPr>
        <w:t xml:space="preserve"> health checks for livestock and monitoring of milk quality to prevent zoonotic transmission.</w:t>
      </w:r>
    </w:p>
    <w:p w:rsidR="00D431B2" w:rsidRPr="00D431B2" w:rsidRDefault="00D431B2" w:rsidP="00D431B2">
      <w:pPr>
        <w:spacing w:before="100" w:after="100" w:line="360" w:lineRule="auto"/>
        <w:jc w:val="both"/>
        <w:rPr>
          <w:rFonts w:ascii="Times New Roman" w:eastAsia="Times New Roman" w:hAnsi="Times New Roman" w:cs="Times New Roman"/>
          <w:b/>
          <w:sz w:val="24"/>
        </w:rPr>
      </w:pPr>
      <w:r w:rsidRPr="00D431B2">
        <w:rPr>
          <w:rFonts w:ascii="Times New Roman" w:eastAsia="Times New Roman" w:hAnsi="Times New Roman" w:cs="Times New Roman"/>
          <w:b/>
          <w:sz w:val="24"/>
        </w:rPr>
        <w:t>Disclaimer (Artificial intelligence)</w:t>
      </w:r>
      <w:bookmarkStart w:id="0" w:name="_GoBack"/>
      <w:bookmarkEnd w:id="0"/>
    </w:p>
    <w:p w:rsidR="00D431B2" w:rsidRPr="00D431B2" w:rsidRDefault="00D431B2" w:rsidP="00D431B2">
      <w:pPr>
        <w:spacing w:before="100" w:after="100" w:line="360" w:lineRule="auto"/>
        <w:jc w:val="both"/>
        <w:rPr>
          <w:rFonts w:ascii="Times New Roman" w:eastAsia="Times New Roman" w:hAnsi="Times New Roman" w:cs="Times New Roman"/>
          <w:sz w:val="24"/>
        </w:rPr>
      </w:pPr>
      <w:r w:rsidRPr="00D431B2">
        <w:rPr>
          <w:rFonts w:ascii="Times New Roman" w:eastAsia="Times New Roman" w:hAnsi="Times New Roman" w:cs="Times New Roman"/>
          <w:sz w:val="24"/>
        </w:rPr>
        <w:t xml:space="preserve">Option 1: </w:t>
      </w:r>
    </w:p>
    <w:p w:rsidR="00D431B2" w:rsidRDefault="00D431B2" w:rsidP="00D431B2">
      <w:pPr>
        <w:spacing w:before="100" w:after="100" w:line="360" w:lineRule="auto"/>
        <w:jc w:val="both"/>
        <w:rPr>
          <w:rFonts w:ascii="Times New Roman" w:eastAsia="Times New Roman" w:hAnsi="Times New Roman" w:cs="Times New Roman"/>
          <w:sz w:val="24"/>
        </w:rPr>
      </w:pPr>
      <w:r w:rsidRPr="00D431B2">
        <w:rPr>
          <w:rFonts w:ascii="Times New Roman" w:eastAsia="Times New Roman" w:hAnsi="Times New Roman" w:cs="Times New Roman"/>
          <w:sz w:val="24"/>
        </w:rPr>
        <w:lastRenderedPageBreak/>
        <w:t>Author(s) hereby declare that NO generative AI technologies such as Large Language Models (</w:t>
      </w:r>
      <w:proofErr w:type="spellStart"/>
      <w:r w:rsidRPr="00D431B2">
        <w:rPr>
          <w:rFonts w:ascii="Times New Roman" w:eastAsia="Times New Roman" w:hAnsi="Times New Roman" w:cs="Times New Roman"/>
          <w:sz w:val="24"/>
        </w:rPr>
        <w:t>ChatGPT</w:t>
      </w:r>
      <w:proofErr w:type="spellEnd"/>
      <w:r w:rsidRPr="00D431B2">
        <w:rPr>
          <w:rFonts w:ascii="Times New Roman" w:eastAsia="Times New Roman" w:hAnsi="Times New Roman" w:cs="Times New Roman"/>
          <w:sz w:val="24"/>
        </w:rPr>
        <w:t xml:space="preserve">, COPILOT, </w:t>
      </w:r>
      <w:proofErr w:type="spellStart"/>
      <w:r w:rsidRPr="00D431B2">
        <w:rPr>
          <w:rFonts w:ascii="Times New Roman" w:eastAsia="Times New Roman" w:hAnsi="Times New Roman" w:cs="Times New Roman"/>
          <w:sz w:val="24"/>
        </w:rPr>
        <w:t>etc</w:t>
      </w:r>
      <w:proofErr w:type="spellEnd"/>
      <w:r w:rsidRPr="00D431B2">
        <w:rPr>
          <w:rFonts w:ascii="Times New Roman" w:eastAsia="Times New Roman" w:hAnsi="Times New Roman" w:cs="Times New Roman"/>
          <w:sz w:val="24"/>
        </w:rPr>
        <w:t>) and text-to-image generators have been used during writing or editing of manuscripts.</w:t>
      </w:r>
    </w:p>
    <w:p w:rsidR="00950531" w:rsidRDefault="00950531">
      <w:pPr>
        <w:spacing w:before="100" w:after="100" w:line="360" w:lineRule="auto"/>
        <w:jc w:val="both"/>
        <w:rPr>
          <w:rFonts w:ascii="Times New Roman" w:eastAsia="Times New Roman" w:hAnsi="Times New Roman" w:cs="Times New Roman"/>
          <w:sz w:val="24"/>
        </w:rPr>
      </w:pPr>
    </w:p>
    <w:p w:rsidR="00950531" w:rsidRDefault="00950531">
      <w:pPr>
        <w:spacing w:before="100" w:after="100" w:line="360" w:lineRule="auto"/>
        <w:jc w:val="both"/>
        <w:rPr>
          <w:rFonts w:ascii="Times New Roman" w:eastAsia="Times New Roman" w:hAnsi="Times New Roman" w:cs="Times New Roman"/>
          <w:sz w:val="24"/>
        </w:rPr>
      </w:pPr>
    </w:p>
    <w:p w:rsidR="00950531" w:rsidRDefault="008E3CEF">
      <w:pPr>
        <w:spacing w:before="100"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REFERENCES</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color w:val="FF0000"/>
          <w:sz w:val="24"/>
        </w:rPr>
        <w:t>Abdulaziz</w:t>
      </w:r>
      <w:proofErr w:type="spellEnd"/>
      <w:r w:rsidRPr="00282424">
        <w:rPr>
          <w:rFonts w:ascii="Times New Roman" w:eastAsia="Times New Roman" w:hAnsi="Times New Roman" w:cs="Times New Roman"/>
          <w:color w:val="FF0000"/>
          <w:sz w:val="24"/>
        </w:rPr>
        <w:t xml:space="preserve">, R.T., </w:t>
      </w:r>
      <w:proofErr w:type="spellStart"/>
      <w:r w:rsidRPr="00282424">
        <w:rPr>
          <w:rFonts w:ascii="Times New Roman" w:eastAsia="Times New Roman" w:hAnsi="Times New Roman" w:cs="Times New Roman"/>
          <w:color w:val="FF0000"/>
          <w:sz w:val="24"/>
        </w:rPr>
        <w:t>Agbo</w:t>
      </w:r>
      <w:proofErr w:type="spellEnd"/>
      <w:r w:rsidRPr="00282424">
        <w:rPr>
          <w:rFonts w:ascii="Times New Roman" w:eastAsia="Times New Roman" w:hAnsi="Times New Roman" w:cs="Times New Roman"/>
          <w:color w:val="FF0000"/>
          <w:sz w:val="24"/>
        </w:rPr>
        <w:t xml:space="preserve">, E.B, </w:t>
      </w:r>
      <w:proofErr w:type="spellStart"/>
      <w:r w:rsidRPr="00282424">
        <w:rPr>
          <w:rFonts w:ascii="Times New Roman" w:eastAsia="Times New Roman" w:hAnsi="Times New Roman" w:cs="Times New Roman"/>
          <w:color w:val="FF0000"/>
          <w:sz w:val="24"/>
        </w:rPr>
        <w:t>Adisu</w:t>
      </w:r>
      <w:proofErr w:type="spellEnd"/>
      <w:r w:rsidRPr="00282424">
        <w:rPr>
          <w:rFonts w:ascii="Times New Roman" w:eastAsia="Times New Roman" w:hAnsi="Times New Roman" w:cs="Times New Roman"/>
          <w:color w:val="FF0000"/>
          <w:sz w:val="24"/>
        </w:rPr>
        <w:t xml:space="preserve">, F.U, Shehu, A.I, </w:t>
      </w:r>
      <w:proofErr w:type="spellStart"/>
      <w:r w:rsidRPr="00282424">
        <w:rPr>
          <w:rFonts w:ascii="Times New Roman" w:eastAsia="Times New Roman" w:hAnsi="Times New Roman" w:cs="Times New Roman"/>
          <w:color w:val="FF0000"/>
          <w:sz w:val="24"/>
        </w:rPr>
        <w:t>Negbenebor</w:t>
      </w:r>
      <w:proofErr w:type="spellEnd"/>
      <w:r w:rsidRPr="00282424">
        <w:rPr>
          <w:rFonts w:ascii="Times New Roman" w:eastAsia="Times New Roman" w:hAnsi="Times New Roman" w:cs="Times New Roman"/>
          <w:color w:val="FF0000"/>
          <w:sz w:val="24"/>
        </w:rPr>
        <w:t xml:space="preserve">, H.E, </w:t>
      </w:r>
      <w:proofErr w:type="spellStart"/>
      <w:r w:rsidRPr="00282424">
        <w:rPr>
          <w:rFonts w:ascii="Times New Roman" w:eastAsia="Times New Roman" w:hAnsi="Times New Roman" w:cs="Times New Roman"/>
          <w:color w:val="FF0000"/>
          <w:sz w:val="24"/>
        </w:rPr>
        <w:t>Mairami</w:t>
      </w:r>
      <w:proofErr w:type="spellEnd"/>
      <w:r w:rsidRPr="00282424">
        <w:rPr>
          <w:rFonts w:ascii="Times New Roman" w:eastAsia="Times New Roman" w:hAnsi="Times New Roman" w:cs="Times New Roman"/>
          <w:color w:val="FF0000"/>
          <w:sz w:val="24"/>
        </w:rPr>
        <w:t xml:space="preserve">, F.M, Yakubu U.I. Bacteriological quality </w:t>
      </w:r>
      <w:proofErr w:type="spellStart"/>
      <w:r w:rsidRPr="00282424">
        <w:rPr>
          <w:rFonts w:ascii="Times New Roman" w:eastAsia="Times New Roman" w:hAnsi="Times New Roman" w:cs="Times New Roman"/>
          <w:color w:val="FF0000"/>
          <w:sz w:val="24"/>
        </w:rPr>
        <w:t>aement</w:t>
      </w:r>
      <w:proofErr w:type="spellEnd"/>
      <w:r w:rsidRPr="00282424">
        <w:rPr>
          <w:rFonts w:ascii="Times New Roman" w:eastAsia="Times New Roman" w:hAnsi="Times New Roman" w:cs="Times New Roman"/>
          <w:color w:val="FF0000"/>
          <w:sz w:val="24"/>
        </w:rPr>
        <w:t xml:space="preserve"> of </w:t>
      </w:r>
      <w:proofErr w:type="spellStart"/>
      <w:r w:rsidRPr="00282424">
        <w:rPr>
          <w:rFonts w:ascii="Times New Roman" w:eastAsia="Times New Roman" w:hAnsi="Times New Roman" w:cs="Times New Roman"/>
          <w:color w:val="FF0000"/>
          <w:sz w:val="24"/>
        </w:rPr>
        <w:t>freh</w:t>
      </w:r>
      <w:proofErr w:type="spellEnd"/>
      <w:r w:rsidRPr="00282424">
        <w:rPr>
          <w:rFonts w:ascii="Times New Roman" w:eastAsia="Times New Roman" w:hAnsi="Times New Roman" w:cs="Times New Roman"/>
          <w:color w:val="FF0000"/>
          <w:sz w:val="24"/>
        </w:rPr>
        <w:t xml:space="preserve"> co milk (</w:t>
      </w:r>
      <w:proofErr w:type="spellStart"/>
      <w:r w:rsidRPr="00282424">
        <w:rPr>
          <w:rFonts w:ascii="Times New Roman" w:eastAsia="Times New Roman" w:hAnsi="Times New Roman" w:cs="Times New Roman"/>
          <w:color w:val="FF0000"/>
          <w:sz w:val="24"/>
        </w:rPr>
        <w:t>Nono</w:t>
      </w:r>
      <w:proofErr w:type="spellEnd"/>
      <w:r w:rsidRPr="00282424">
        <w:rPr>
          <w:rFonts w:ascii="Times New Roman" w:eastAsia="Times New Roman" w:hAnsi="Times New Roman" w:cs="Times New Roman"/>
          <w:color w:val="FF0000"/>
          <w:sz w:val="24"/>
        </w:rPr>
        <w:t xml:space="preserve">) vended in </w:t>
      </w:r>
      <w:proofErr w:type="spellStart"/>
      <w:r w:rsidRPr="00282424">
        <w:rPr>
          <w:rFonts w:ascii="Times New Roman" w:eastAsia="Times New Roman" w:hAnsi="Times New Roman" w:cs="Times New Roman"/>
          <w:color w:val="FF0000"/>
          <w:sz w:val="24"/>
        </w:rPr>
        <w:t>heik</w:t>
      </w:r>
      <w:proofErr w:type="spellEnd"/>
      <w:r w:rsidRPr="00282424">
        <w:rPr>
          <w:rFonts w:ascii="Times New Roman" w:eastAsia="Times New Roman" w:hAnsi="Times New Roman" w:cs="Times New Roman"/>
          <w:color w:val="FF0000"/>
          <w:sz w:val="24"/>
        </w:rPr>
        <w:t xml:space="preserve"> Muhammad </w:t>
      </w:r>
      <w:proofErr w:type="spellStart"/>
      <w:r w:rsidRPr="00282424">
        <w:rPr>
          <w:rFonts w:ascii="Times New Roman" w:eastAsia="Times New Roman" w:hAnsi="Times New Roman" w:cs="Times New Roman"/>
          <w:color w:val="FF0000"/>
          <w:sz w:val="24"/>
        </w:rPr>
        <w:t>Nasiru</w:t>
      </w:r>
      <w:proofErr w:type="spellEnd"/>
      <w:r w:rsidRPr="00282424">
        <w:rPr>
          <w:rFonts w:ascii="Times New Roman" w:eastAsia="Times New Roman" w:hAnsi="Times New Roman" w:cs="Times New Roman"/>
          <w:color w:val="FF0000"/>
          <w:sz w:val="24"/>
        </w:rPr>
        <w:t xml:space="preserve"> </w:t>
      </w:r>
      <w:proofErr w:type="spellStart"/>
      <w:r w:rsidRPr="00282424">
        <w:rPr>
          <w:rFonts w:ascii="Times New Roman" w:eastAsia="Times New Roman" w:hAnsi="Times New Roman" w:cs="Times New Roman"/>
          <w:color w:val="FF0000"/>
          <w:sz w:val="24"/>
        </w:rPr>
        <w:t>Kubara</w:t>
      </w:r>
      <w:proofErr w:type="spellEnd"/>
      <w:r w:rsidRPr="00282424">
        <w:rPr>
          <w:rFonts w:ascii="Times New Roman" w:eastAsia="Times New Roman" w:hAnsi="Times New Roman" w:cs="Times New Roman"/>
          <w:color w:val="FF0000"/>
          <w:sz w:val="24"/>
        </w:rPr>
        <w:t xml:space="preserve"> (</w:t>
      </w:r>
      <w:proofErr w:type="spellStart"/>
      <w:r w:rsidRPr="00282424">
        <w:rPr>
          <w:rFonts w:ascii="Times New Roman" w:eastAsia="Times New Roman" w:hAnsi="Times New Roman" w:cs="Times New Roman"/>
          <w:color w:val="FF0000"/>
          <w:sz w:val="24"/>
        </w:rPr>
        <w:t>Wambia</w:t>
      </w:r>
      <w:proofErr w:type="spellEnd"/>
      <w:r w:rsidRPr="00282424">
        <w:rPr>
          <w:rFonts w:ascii="Times New Roman" w:eastAsia="Times New Roman" w:hAnsi="Times New Roman" w:cs="Times New Roman"/>
          <w:color w:val="FF0000"/>
          <w:sz w:val="24"/>
        </w:rPr>
        <w:t>) market, Kano State Nigeria.</w:t>
      </w:r>
      <w:r w:rsidRPr="00282424">
        <w:rPr>
          <w:rFonts w:ascii="Times New Roman" w:eastAsia="Times New Roman" w:hAnsi="Times New Roman" w:cs="Times New Roman"/>
          <w:i/>
          <w:color w:val="FF0000"/>
          <w:sz w:val="24"/>
        </w:rPr>
        <w:t xml:space="preserve"> Nigerian Journal of pure and Applied Sciences,</w:t>
      </w:r>
      <w:r w:rsidRPr="00282424">
        <w:rPr>
          <w:rFonts w:ascii="Times New Roman" w:eastAsia="Times New Roman" w:hAnsi="Times New Roman" w:cs="Times New Roman"/>
          <w:color w:val="FF0000"/>
          <w:sz w:val="24"/>
        </w:rPr>
        <w:t xml:space="preserve"> 38(2): 5787-5794</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sz w:val="24"/>
        </w:rPr>
        <w:t>Adediran</w:t>
      </w:r>
      <w:proofErr w:type="spellEnd"/>
      <w:r w:rsidRPr="00282424">
        <w:rPr>
          <w:rFonts w:ascii="Times New Roman" w:eastAsia="Times New Roman" w:hAnsi="Times New Roman" w:cs="Times New Roman"/>
          <w:sz w:val="24"/>
        </w:rPr>
        <w:t xml:space="preserve">, A. B., </w:t>
      </w:r>
      <w:proofErr w:type="spellStart"/>
      <w:r w:rsidRPr="00282424">
        <w:rPr>
          <w:rFonts w:ascii="Times New Roman" w:eastAsia="Times New Roman" w:hAnsi="Times New Roman" w:cs="Times New Roman"/>
          <w:sz w:val="24"/>
        </w:rPr>
        <w:t>Aforijiku</w:t>
      </w:r>
      <w:proofErr w:type="spellEnd"/>
      <w:r w:rsidRPr="00282424">
        <w:rPr>
          <w:rFonts w:ascii="Times New Roman" w:eastAsia="Times New Roman" w:hAnsi="Times New Roman" w:cs="Times New Roman"/>
          <w:sz w:val="24"/>
        </w:rPr>
        <w:t xml:space="preserve">., </w:t>
      </w:r>
      <w:proofErr w:type="spellStart"/>
      <w:r w:rsidRPr="00282424">
        <w:rPr>
          <w:rFonts w:ascii="Times New Roman" w:eastAsia="Times New Roman" w:hAnsi="Times New Roman" w:cs="Times New Roman"/>
          <w:sz w:val="24"/>
        </w:rPr>
        <w:t>Adediran</w:t>
      </w:r>
      <w:proofErr w:type="spellEnd"/>
      <w:r w:rsidRPr="00282424">
        <w:rPr>
          <w:rFonts w:ascii="Times New Roman" w:eastAsia="Times New Roman" w:hAnsi="Times New Roman" w:cs="Times New Roman"/>
          <w:sz w:val="24"/>
        </w:rPr>
        <w:t xml:space="preserve">, A.T., &amp; </w:t>
      </w:r>
      <w:proofErr w:type="spellStart"/>
      <w:r w:rsidRPr="00282424">
        <w:rPr>
          <w:rFonts w:ascii="Times New Roman" w:eastAsia="Times New Roman" w:hAnsi="Times New Roman" w:cs="Times New Roman"/>
          <w:sz w:val="24"/>
        </w:rPr>
        <w:t>Fasshogbon</w:t>
      </w:r>
      <w:proofErr w:type="spellEnd"/>
      <w:r w:rsidRPr="00282424">
        <w:rPr>
          <w:rFonts w:ascii="Times New Roman" w:eastAsia="Times New Roman" w:hAnsi="Times New Roman" w:cs="Times New Roman"/>
          <w:sz w:val="24"/>
        </w:rPr>
        <w:t xml:space="preserve">, R.O. (2023). </w:t>
      </w:r>
      <w:r w:rsidRPr="00282424">
        <w:rPr>
          <w:rFonts w:ascii="Times New Roman" w:eastAsia="Times New Roman" w:hAnsi="Times New Roman" w:cs="Times New Roman"/>
          <w:color w:val="FF0000"/>
          <w:sz w:val="24"/>
        </w:rPr>
        <w:t xml:space="preserve">Bacteriological quality and the antibiogram of isolates from raw cow milk produced in Ibadan Metropolis Oyo State, Nigeria. </w:t>
      </w:r>
      <w:r w:rsidRPr="00282424">
        <w:rPr>
          <w:rFonts w:ascii="Times New Roman" w:eastAsia="Times New Roman" w:hAnsi="Times New Roman" w:cs="Times New Roman"/>
          <w:i/>
          <w:color w:val="FF0000"/>
          <w:sz w:val="24"/>
        </w:rPr>
        <w:t>Nigerian Journal of Microbiology,</w:t>
      </w:r>
      <w:r w:rsidRPr="00282424">
        <w:rPr>
          <w:rFonts w:ascii="Times New Roman" w:eastAsia="Times New Roman" w:hAnsi="Times New Roman" w:cs="Times New Roman"/>
          <w:color w:val="FF0000"/>
          <w:sz w:val="24"/>
        </w:rPr>
        <w:t xml:space="preserve"> 37(1), 6508-6516.</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r w:rsidRPr="00282424">
        <w:rPr>
          <w:rFonts w:ascii="Times New Roman" w:eastAsia="Times New Roman" w:hAnsi="Times New Roman" w:cs="Times New Roman"/>
          <w:color w:val="FF0000"/>
          <w:sz w:val="24"/>
        </w:rPr>
        <w:t xml:space="preserve">Afolabi, I.S., Nwachukwu, I.C., </w:t>
      </w:r>
      <w:proofErr w:type="spellStart"/>
      <w:r w:rsidRPr="00282424">
        <w:rPr>
          <w:rFonts w:ascii="Times New Roman" w:eastAsia="Times New Roman" w:hAnsi="Times New Roman" w:cs="Times New Roman"/>
          <w:color w:val="FF0000"/>
          <w:sz w:val="24"/>
        </w:rPr>
        <w:t>Ezeoke</w:t>
      </w:r>
      <w:proofErr w:type="spellEnd"/>
      <w:r w:rsidRPr="00282424">
        <w:rPr>
          <w:rFonts w:ascii="Times New Roman" w:eastAsia="Times New Roman" w:hAnsi="Times New Roman" w:cs="Times New Roman"/>
          <w:color w:val="FF0000"/>
          <w:sz w:val="24"/>
        </w:rPr>
        <w:t xml:space="preserve">, C.., Woke, R.C., </w:t>
      </w:r>
      <w:proofErr w:type="spellStart"/>
      <w:r w:rsidRPr="00282424">
        <w:rPr>
          <w:rFonts w:ascii="Times New Roman" w:eastAsia="Times New Roman" w:hAnsi="Times New Roman" w:cs="Times New Roman"/>
          <w:color w:val="FF0000"/>
          <w:sz w:val="24"/>
        </w:rPr>
        <w:t>Adegbite</w:t>
      </w:r>
      <w:proofErr w:type="spellEnd"/>
      <w:r w:rsidRPr="00282424">
        <w:rPr>
          <w:rFonts w:ascii="Times New Roman" w:eastAsia="Times New Roman" w:hAnsi="Times New Roman" w:cs="Times New Roman"/>
          <w:color w:val="FF0000"/>
          <w:sz w:val="24"/>
        </w:rPr>
        <w:t xml:space="preserve">, O.A., Oluwole, T.D and Martins, O.C. (2017). Production of new plant-based milk from </w:t>
      </w:r>
      <w:proofErr w:type="spellStart"/>
      <w:r w:rsidRPr="00282424">
        <w:rPr>
          <w:rFonts w:ascii="Times New Roman" w:eastAsia="Times New Roman" w:hAnsi="Times New Roman" w:cs="Times New Roman"/>
          <w:i/>
          <w:color w:val="FF0000"/>
          <w:sz w:val="24"/>
        </w:rPr>
        <w:t>Adenanthera</w:t>
      </w:r>
      <w:proofErr w:type="spellEnd"/>
      <w:r w:rsidRPr="00282424">
        <w:rPr>
          <w:rFonts w:ascii="Times New Roman" w:eastAsia="Times New Roman" w:hAnsi="Times New Roman" w:cs="Times New Roman"/>
          <w:i/>
          <w:color w:val="FF0000"/>
          <w:sz w:val="24"/>
        </w:rPr>
        <w:t xml:space="preserve"> </w:t>
      </w:r>
      <w:proofErr w:type="spellStart"/>
      <w:r w:rsidRPr="00282424">
        <w:rPr>
          <w:rFonts w:ascii="Times New Roman" w:eastAsia="Times New Roman" w:hAnsi="Times New Roman" w:cs="Times New Roman"/>
          <w:i/>
          <w:color w:val="FF0000"/>
          <w:sz w:val="24"/>
        </w:rPr>
        <w:t>pavonina</w:t>
      </w:r>
      <w:proofErr w:type="spellEnd"/>
      <w:r w:rsidRPr="00282424">
        <w:rPr>
          <w:rFonts w:ascii="Times New Roman" w:eastAsia="Times New Roman" w:hAnsi="Times New Roman" w:cs="Times New Roman"/>
          <w:color w:val="FF0000"/>
          <w:sz w:val="24"/>
        </w:rPr>
        <w:t xml:space="preserve"> seed and evaluation of its nutritional and health benefits. </w:t>
      </w:r>
      <w:r w:rsidRPr="00282424">
        <w:rPr>
          <w:rFonts w:ascii="Times New Roman" w:eastAsia="Times New Roman" w:hAnsi="Times New Roman" w:cs="Times New Roman"/>
          <w:i/>
          <w:color w:val="FF0000"/>
          <w:sz w:val="24"/>
        </w:rPr>
        <w:t>Frontiers in Nutrition</w:t>
      </w:r>
      <w:r w:rsidRPr="00282424">
        <w:rPr>
          <w:rFonts w:ascii="Times New Roman" w:eastAsia="Times New Roman" w:hAnsi="Times New Roman" w:cs="Times New Roman"/>
          <w:color w:val="FF0000"/>
          <w:sz w:val="24"/>
        </w:rPr>
        <w:t xml:space="preserve">, 5(9): 1-13. </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color w:val="FF0000"/>
          <w:sz w:val="24"/>
        </w:rPr>
        <w:t>Badawy</w:t>
      </w:r>
      <w:proofErr w:type="spellEnd"/>
      <w:r w:rsidRPr="00282424">
        <w:rPr>
          <w:rFonts w:ascii="Times New Roman" w:eastAsia="Times New Roman" w:hAnsi="Times New Roman" w:cs="Times New Roman"/>
          <w:color w:val="FF0000"/>
          <w:sz w:val="24"/>
        </w:rPr>
        <w:t xml:space="preserve">, B., </w:t>
      </w:r>
      <w:proofErr w:type="spellStart"/>
      <w:r w:rsidRPr="00282424">
        <w:rPr>
          <w:rFonts w:ascii="Times New Roman" w:eastAsia="Times New Roman" w:hAnsi="Times New Roman" w:cs="Times New Roman"/>
          <w:color w:val="FF0000"/>
          <w:sz w:val="24"/>
        </w:rPr>
        <w:t>Elafify</w:t>
      </w:r>
      <w:proofErr w:type="spellEnd"/>
      <w:r w:rsidRPr="00282424">
        <w:rPr>
          <w:rFonts w:ascii="Times New Roman" w:eastAsia="Times New Roman" w:hAnsi="Times New Roman" w:cs="Times New Roman"/>
          <w:color w:val="FF0000"/>
          <w:sz w:val="24"/>
        </w:rPr>
        <w:t xml:space="preserve">, M., Farag, A.M., </w:t>
      </w:r>
      <w:proofErr w:type="spellStart"/>
      <w:r w:rsidRPr="00282424">
        <w:rPr>
          <w:rFonts w:ascii="Times New Roman" w:eastAsia="Times New Roman" w:hAnsi="Times New Roman" w:cs="Times New Roman"/>
          <w:color w:val="FF0000"/>
          <w:sz w:val="24"/>
        </w:rPr>
        <w:t>Moustafa</w:t>
      </w:r>
      <w:proofErr w:type="spellEnd"/>
      <w:r w:rsidRPr="00282424">
        <w:rPr>
          <w:rFonts w:ascii="Times New Roman" w:eastAsia="Times New Roman" w:hAnsi="Times New Roman" w:cs="Times New Roman"/>
          <w:color w:val="FF0000"/>
          <w:sz w:val="24"/>
        </w:rPr>
        <w:t xml:space="preserve"> S.M., Sayed-Ahmed, M.Z., </w:t>
      </w:r>
      <w:proofErr w:type="spellStart"/>
      <w:r w:rsidRPr="00282424">
        <w:rPr>
          <w:rFonts w:ascii="Times New Roman" w:eastAsia="Times New Roman" w:hAnsi="Times New Roman" w:cs="Times New Roman"/>
          <w:color w:val="FF0000"/>
          <w:sz w:val="24"/>
        </w:rPr>
        <w:t>Moawad</w:t>
      </w:r>
      <w:proofErr w:type="spellEnd"/>
      <w:r w:rsidRPr="00282424">
        <w:rPr>
          <w:rFonts w:ascii="Times New Roman" w:eastAsia="Times New Roman" w:hAnsi="Times New Roman" w:cs="Times New Roman"/>
          <w:color w:val="FF0000"/>
          <w:sz w:val="24"/>
        </w:rPr>
        <w:t xml:space="preserve">, A.A., </w:t>
      </w:r>
      <w:proofErr w:type="spellStart"/>
      <w:r w:rsidRPr="00282424">
        <w:rPr>
          <w:rFonts w:ascii="Times New Roman" w:eastAsia="Times New Roman" w:hAnsi="Times New Roman" w:cs="Times New Roman"/>
          <w:color w:val="FF0000"/>
          <w:sz w:val="24"/>
        </w:rPr>
        <w:t>Algammal</w:t>
      </w:r>
      <w:proofErr w:type="spellEnd"/>
      <w:r w:rsidRPr="00282424">
        <w:rPr>
          <w:rFonts w:ascii="Times New Roman" w:eastAsia="Times New Roman" w:hAnsi="Times New Roman" w:cs="Times New Roman"/>
          <w:color w:val="FF0000"/>
          <w:sz w:val="24"/>
        </w:rPr>
        <w:t xml:space="preserve">, A.M., Ramadan, H., </w:t>
      </w:r>
      <w:r w:rsidRPr="00282424">
        <w:rPr>
          <w:rFonts w:ascii="Times New Roman" w:eastAsia="Times New Roman" w:hAnsi="Times New Roman" w:cs="Times New Roman"/>
          <w:sz w:val="24"/>
        </w:rPr>
        <w:t xml:space="preserve">&amp; </w:t>
      </w:r>
      <w:proofErr w:type="spellStart"/>
      <w:r w:rsidRPr="00282424">
        <w:rPr>
          <w:rFonts w:ascii="Times New Roman" w:eastAsia="Times New Roman" w:hAnsi="Times New Roman" w:cs="Times New Roman"/>
          <w:sz w:val="24"/>
        </w:rPr>
        <w:t>Elthoth</w:t>
      </w:r>
      <w:proofErr w:type="spellEnd"/>
      <w:r w:rsidRPr="00282424">
        <w:rPr>
          <w:rFonts w:ascii="Times New Roman" w:eastAsia="Times New Roman" w:hAnsi="Times New Roman" w:cs="Times New Roman"/>
          <w:sz w:val="24"/>
        </w:rPr>
        <w:t xml:space="preserve">, M. </w:t>
      </w:r>
      <w:r w:rsidRPr="00282424">
        <w:rPr>
          <w:rFonts w:ascii="Times New Roman" w:eastAsia="Times New Roman" w:hAnsi="Times New Roman" w:cs="Times New Roman"/>
          <w:color w:val="FF0000"/>
          <w:sz w:val="24"/>
        </w:rPr>
        <w:t xml:space="preserve">(2017). Ecological Distribution of Virulent Multidrug-Resistant Staphylococcus </w:t>
      </w:r>
      <w:proofErr w:type="gramStart"/>
      <w:r w:rsidRPr="00282424">
        <w:rPr>
          <w:rFonts w:ascii="Times New Roman" w:eastAsia="Times New Roman" w:hAnsi="Times New Roman" w:cs="Times New Roman"/>
          <w:color w:val="FF0000"/>
          <w:sz w:val="24"/>
        </w:rPr>
        <w:t>aureus  in</w:t>
      </w:r>
      <w:proofErr w:type="gramEnd"/>
      <w:r w:rsidRPr="00282424">
        <w:rPr>
          <w:rFonts w:ascii="Times New Roman" w:eastAsia="Times New Roman" w:hAnsi="Times New Roman" w:cs="Times New Roman"/>
          <w:color w:val="FF0000"/>
          <w:sz w:val="24"/>
        </w:rPr>
        <w:t xml:space="preserve"> Livestock, Environment, and Dairy </w:t>
      </w:r>
      <w:proofErr w:type="spellStart"/>
      <w:r w:rsidRPr="00282424">
        <w:rPr>
          <w:rFonts w:ascii="Times New Roman" w:eastAsia="Times New Roman" w:hAnsi="Times New Roman" w:cs="Times New Roman"/>
          <w:color w:val="FF0000"/>
          <w:sz w:val="24"/>
        </w:rPr>
        <w:t>Prducts</w:t>
      </w:r>
      <w:proofErr w:type="spellEnd"/>
      <w:r w:rsidRPr="00282424">
        <w:rPr>
          <w:rFonts w:ascii="Times New Roman" w:eastAsia="Times New Roman" w:hAnsi="Times New Roman" w:cs="Times New Roman"/>
          <w:color w:val="FF0000"/>
          <w:sz w:val="24"/>
        </w:rPr>
        <w:t xml:space="preserve">. </w:t>
      </w:r>
      <w:r w:rsidRPr="00282424">
        <w:rPr>
          <w:rFonts w:ascii="Times New Roman" w:eastAsia="Times New Roman" w:hAnsi="Times New Roman" w:cs="Times New Roman"/>
          <w:i/>
          <w:color w:val="FF0000"/>
          <w:sz w:val="24"/>
        </w:rPr>
        <w:t>Antibiotics</w:t>
      </w:r>
      <w:r w:rsidRPr="00282424">
        <w:rPr>
          <w:rFonts w:ascii="Times New Roman" w:eastAsia="Times New Roman" w:hAnsi="Times New Roman" w:cs="Times New Roman"/>
          <w:color w:val="FF0000"/>
          <w:sz w:val="24"/>
        </w:rPr>
        <w:t>, 11(11), 1651.</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r w:rsidRPr="00282424">
        <w:rPr>
          <w:rFonts w:ascii="Times New Roman" w:eastAsia="Times New Roman" w:hAnsi="Times New Roman" w:cs="Times New Roman"/>
          <w:color w:val="FF0000"/>
          <w:sz w:val="24"/>
        </w:rPr>
        <w:t xml:space="preserve">Batool Shakir Abed and Ban Mousa Hassan (2025). Bacterial toxins of Escherichia coli review article. </w:t>
      </w:r>
      <w:r w:rsidRPr="00282424">
        <w:rPr>
          <w:rFonts w:ascii="Times New Roman" w:eastAsia="Times New Roman" w:hAnsi="Times New Roman" w:cs="Times New Roman"/>
          <w:i/>
          <w:color w:val="FF0000"/>
          <w:sz w:val="24"/>
        </w:rPr>
        <w:t>International Journal of Biology Sciences</w:t>
      </w:r>
      <w:r w:rsidRPr="00282424">
        <w:rPr>
          <w:rFonts w:ascii="Times New Roman" w:eastAsia="Times New Roman" w:hAnsi="Times New Roman" w:cs="Times New Roman"/>
          <w:color w:val="FF0000"/>
          <w:sz w:val="24"/>
        </w:rPr>
        <w:t>. 7(4): 5-11.</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color w:val="FF0000"/>
          <w:sz w:val="24"/>
        </w:rPr>
        <w:t>Elutade</w:t>
      </w:r>
      <w:proofErr w:type="spellEnd"/>
      <w:r w:rsidRPr="00282424">
        <w:rPr>
          <w:rFonts w:ascii="Times New Roman" w:eastAsia="Times New Roman" w:hAnsi="Times New Roman" w:cs="Times New Roman"/>
          <w:color w:val="FF0000"/>
          <w:sz w:val="24"/>
        </w:rPr>
        <w:t xml:space="preserve">, O.O., </w:t>
      </w:r>
      <w:proofErr w:type="spellStart"/>
      <w:r w:rsidRPr="00282424">
        <w:rPr>
          <w:rFonts w:ascii="Times New Roman" w:eastAsia="Times New Roman" w:hAnsi="Times New Roman" w:cs="Times New Roman"/>
          <w:color w:val="FF0000"/>
          <w:sz w:val="24"/>
        </w:rPr>
        <w:t>Imohiosen</w:t>
      </w:r>
      <w:proofErr w:type="spellEnd"/>
      <w:r w:rsidRPr="00282424">
        <w:rPr>
          <w:rFonts w:ascii="Times New Roman" w:eastAsia="Times New Roman" w:hAnsi="Times New Roman" w:cs="Times New Roman"/>
          <w:color w:val="FF0000"/>
          <w:sz w:val="24"/>
        </w:rPr>
        <w:t xml:space="preserve">, J.J., </w:t>
      </w:r>
      <w:proofErr w:type="spellStart"/>
      <w:r w:rsidRPr="00282424">
        <w:rPr>
          <w:rFonts w:ascii="Times New Roman" w:eastAsia="Times New Roman" w:hAnsi="Times New Roman" w:cs="Times New Roman"/>
          <w:color w:val="FF0000"/>
          <w:sz w:val="24"/>
        </w:rPr>
        <w:t>Omowumi</w:t>
      </w:r>
      <w:proofErr w:type="spellEnd"/>
      <w:r w:rsidRPr="00282424">
        <w:rPr>
          <w:rFonts w:ascii="Times New Roman" w:eastAsia="Times New Roman" w:hAnsi="Times New Roman" w:cs="Times New Roman"/>
          <w:color w:val="FF0000"/>
          <w:sz w:val="24"/>
        </w:rPr>
        <w:t xml:space="preserve">, A. (2023). Bacteriological quality of raw cow milk at a collection center in Iwo, Osun State, Nigeria. </w:t>
      </w:r>
      <w:r w:rsidRPr="00282424">
        <w:rPr>
          <w:rFonts w:ascii="Times New Roman" w:eastAsia="Times New Roman" w:hAnsi="Times New Roman" w:cs="Times New Roman"/>
          <w:i/>
          <w:color w:val="FF0000"/>
          <w:sz w:val="24"/>
        </w:rPr>
        <w:t xml:space="preserve">IOP Conference Series Earth and Environmental Science, </w:t>
      </w:r>
      <w:r w:rsidRPr="00282424">
        <w:rPr>
          <w:rFonts w:ascii="Times New Roman" w:eastAsia="Times New Roman" w:hAnsi="Times New Roman" w:cs="Times New Roman"/>
          <w:color w:val="FF0000"/>
          <w:sz w:val="24"/>
        </w:rPr>
        <w:t xml:space="preserve">1219(1): 012002. </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sz w:val="24"/>
        </w:rPr>
        <w:t>Ezugwu</w:t>
      </w:r>
      <w:proofErr w:type="spellEnd"/>
      <w:r w:rsidRPr="00282424">
        <w:rPr>
          <w:rFonts w:ascii="Times New Roman" w:eastAsia="Times New Roman" w:hAnsi="Times New Roman" w:cs="Times New Roman"/>
          <w:sz w:val="24"/>
        </w:rPr>
        <w:t xml:space="preserve">, N.V., &amp; </w:t>
      </w:r>
      <w:proofErr w:type="spellStart"/>
      <w:r w:rsidRPr="00282424">
        <w:rPr>
          <w:rFonts w:ascii="Times New Roman" w:eastAsia="Times New Roman" w:hAnsi="Times New Roman" w:cs="Times New Roman"/>
          <w:sz w:val="24"/>
        </w:rPr>
        <w:t>Agbakoba</w:t>
      </w:r>
      <w:proofErr w:type="spellEnd"/>
      <w:r w:rsidRPr="00282424">
        <w:rPr>
          <w:rFonts w:ascii="Times New Roman" w:eastAsia="Times New Roman" w:hAnsi="Times New Roman" w:cs="Times New Roman"/>
          <w:sz w:val="24"/>
        </w:rPr>
        <w:t>, N.R. (2021). Evaluation of bacteriological quality of milk old in Nnewi, Nigeria</w:t>
      </w:r>
      <w:r w:rsidRPr="00282424">
        <w:rPr>
          <w:rFonts w:ascii="Times New Roman" w:eastAsia="Times New Roman" w:hAnsi="Times New Roman" w:cs="Times New Roman"/>
          <w:i/>
          <w:sz w:val="24"/>
        </w:rPr>
        <w:t xml:space="preserve">. </w:t>
      </w:r>
      <w:r w:rsidRPr="00282424">
        <w:rPr>
          <w:rFonts w:ascii="Times New Roman" w:eastAsia="Times New Roman" w:hAnsi="Times New Roman" w:cs="Times New Roman"/>
          <w:i/>
          <w:color w:val="FF0000"/>
          <w:sz w:val="24"/>
        </w:rPr>
        <w:t>Microbiology Research Journal International</w:t>
      </w:r>
      <w:r w:rsidRPr="00282424">
        <w:rPr>
          <w:rFonts w:ascii="Times New Roman" w:eastAsia="Times New Roman" w:hAnsi="Times New Roman" w:cs="Times New Roman"/>
          <w:color w:val="FF0000"/>
          <w:sz w:val="24"/>
        </w:rPr>
        <w:t xml:space="preserve"> 31(9): 27-34.</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sz w:val="24"/>
        </w:rPr>
        <w:t>Ghali</w:t>
      </w:r>
      <w:proofErr w:type="spellEnd"/>
      <w:r w:rsidRPr="00282424">
        <w:rPr>
          <w:rFonts w:ascii="Times New Roman" w:eastAsia="Times New Roman" w:hAnsi="Times New Roman" w:cs="Times New Roman"/>
          <w:sz w:val="24"/>
        </w:rPr>
        <w:t xml:space="preserve">-Mohammed, I., Azeez, A.A., Akeem, A.O., </w:t>
      </w:r>
      <w:proofErr w:type="spellStart"/>
      <w:r w:rsidRPr="00282424">
        <w:rPr>
          <w:rFonts w:ascii="Times New Roman" w:eastAsia="Times New Roman" w:hAnsi="Times New Roman" w:cs="Times New Roman"/>
          <w:sz w:val="24"/>
        </w:rPr>
        <w:t>Adetona</w:t>
      </w:r>
      <w:proofErr w:type="spellEnd"/>
      <w:r w:rsidRPr="00282424">
        <w:rPr>
          <w:rFonts w:ascii="Times New Roman" w:eastAsia="Times New Roman" w:hAnsi="Times New Roman" w:cs="Times New Roman"/>
          <w:sz w:val="24"/>
        </w:rPr>
        <w:t xml:space="preserve">, M.A., Adeyemo, I.A., </w:t>
      </w:r>
      <w:proofErr w:type="spellStart"/>
      <w:r w:rsidRPr="00282424">
        <w:rPr>
          <w:rFonts w:ascii="Times New Roman" w:eastAsia="Times New Roman" w:hAnsi="Times New Roman" w:cs="Times New Roman"/>
          <w:sz w:val="24"/>
        </w:rPr>
        <w:t>Olaoye</w:t>
      </w:r>
      <w:proofErr w:type="spellEnd"/>
      <w:r w:rsidRPr="00282424">
        <w:rPr>
          <w:rFonts w:ascii="Times New Roman" w:eastAsia="Times New Roman" w:hAnsi="Times New Roman" w:cs="Times New Roman"/>
          <w:sz w:val="24"/>
        </w:rPr>
        <w:t xml:space="preserve">, O.C., Alhaji, N.B., &amp; </w:t>
      </w:r>
      <w:proofErr w:type="spellStart"/>
      <w:r w:rsidRPr="00282424">
        <w:rPr>
          <w:rFonts w:ascii="Times New Roman" w:eastAsia="Times New Roman" w:hAnsi="Times New Roman" w:cs="Times New Roman"/>
          <w:sz w:val="24"/>
        </w:rPr>
        <w:t>Odetokun</w:t>
      </w:r>
      <w:proofErr w:type="spellEnd"/>
      <w:r w:rsidRPr="00282424">
        <w:rPr>
          <w:rFonts w:ascii="Times New Roman" w:eastAsia="Times New Roman" w:hAnsi="Times New Roman" w:cs="Times New Roman"/>
          <w:sz w:val="24"/>
        </w:rPr>
        <w:t xml:space="preserve">, I.A. (2025). Assessment of microbial load of </w:t>
      </w:r>
      <w:r w:rsidRPr="00282424">
        <w:rPr>
          <w:rFonts w:ascii="Times New Roman" w:eastAsia="Times New Roman" w:hAnsi="Times New Roman" w:cs="Times New Roman"/>
          <w:sz w:val="24"/>
        </w:rPr>
        <w:lastRenderedPageBreak/>
        <w:t xml:space="preserve">Staphylococcus aureus in cattle milk processing facilities in Northern Oyo State. </w:t>
      </w:r>
      <w:r w:rsidRPr="00282424">
        <w:rPr>
          <w:rFonts w:ascii="Times New Roman" w:eastAsia="Times New Roman" w:hAnsi="Times New Roman" w:cs="Times New Roman"/>
          <w:i/>
          <w:sz w:val="24"/>
        </w:rPr>
        <w:t>FUDMA Journal of Sciences</w:t>
      </w:r>
      <w:r w:rsidRPr="00282424">
        <w:rPr>
          <w:rFonts w:ascii="Times New Roman" w:eastAsia="Times New Roman" w:hAnsi="Times New Roman" w:cs="Times New Roman"/>
          <w:sz w:val="24"/>
        </w:rPr>
        <w:t xml:space="preserve">, </w:t>
      </w:r>
      <w:r w:rsidRPr="00282424">
        <w:rPr>
          <w:rFonts w:ascii="Times New Roman" w:eastAsia="Times New Roman" w:hAnsi="Times New Roman" w:cs="Times New Roman"/>
          <w:color w:val="FF0000"/>
          <w:sz w:val="24"/>
        </w:rPr>
        <w:t>9(3), pp 309-315</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r w:rsidRPr="00282424">
        <w:rPr>
          <w:rFonts w:ascii="Times New Roman" w:eastAsia="Times New Roman" w:hAnsi="Times New Roman" w:cs="Times New Roman"/>
          <w:color w:val="FF0000"/>
          <w:sz w:val="24"/>
        </w:rPr>
        <w:t>Harrigan, W.F., and McCance, M.E. (1966</w:t>
      </w:r>
      <w:proofErr w:type="gramStart"/>
      <w:r w:rsidRPr="00282424">
        <w:rPr>
          <w:rFonts w:ascii="Times New Roman" w:eastAsia="Times New Roman" w:hAnsi="Times New Roman" w:cs="Times New Roman"/>
          <w:color w:val="FF0000"/>
          <w:sz w:val="24"/>
        </w:rPr>
        <w:t>).Laboratory</w:t>
      </w:r>
      <w:proofErr w:type="gramEnd"/>
      <w:r w:rsidRPr="00282424">
        <w:rPr>
          <w:rFonts w:ascii="Times New Roman" w:eastAsia="Times New Roman" w:hAnsi="Times New Roman" w:cs="Times New Roman"/>
          <w:color w:val="FF0000"/>
          <w:sz w:val="24"/>
        </w:rPr>
        <w:t xml:space="preserve"> Methods in Microbiology. London: Academic Press.</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r w:rsidRPr="00282424">
        <w:rPr>
          <w:rFonts w:ascii="Times New Roman" w:eastAsia="Times New Roman" w:hAnsi="Times New Roman" w:cs="Times New Roman"/>
          <w:color w:val="FF0000"/>
          <w:sz w:val="24"/>
        </w:rPr>
        <w:t xml:space="preserve">Mohammad, B.U, </w:t>
      </w:r>
      <w:proofErr w:type="spellStart"/>
      <w:r w:rsidRPr="00282424">
        <w:rPr>
          <w:rFonts w:ascii="Times New Roman" w:eastAsia="Times New Roman" w:hAnsi="Times New Roman" w:cs="Times New Roman"/>
          <w:color w:val="FF0000"/>
          <w:sz w:val="24"/>
        </w:rPr>
        <w:t>Sadi</w:t>
      </w:r>
      <w:proofErr w:type="spellEnd"/>
      <w:r w:rsidRPr="00282424">
        <w:rPr>
          <w:rFonts w:ascii="Times New Roman" w:eastAsia="Times New Roman" w:hAnsi="Times New Roman" w:cs="Times New Roman"/>
          <w:color w:val="FF0000"/>
          <w:sz w:val="24"/>
        </w:rPr>
        <w:t xml:space="preserve">, A.H and Abubakar A.A (2023). Comparative analysis of some essential element (magnesium, calcium and Zinc) in fresh camel, cow, sheep and goat milk. </w:t>
      </w:r>
      <w:proofErr w:type="spellStart"/>
      <w:r w:rsidRPr="00282424">
        <w:rPr>
          <w:rFonts w:ascii="Times New Roman" w:eastAsia="Times New Roman" w:hAnsi="Times New Roman" w:cs="Times New Roman"/>
          <w:i/>
          <w:color w:val="FF0000"/>
          <w:sz w:val="24"/>
        </w:rPr>
        <w:t>Bayero</w:t>
      </w:r>
      <w:proofErr w:type="spellEnd"/>
      <w:r w:rsidRPr="00282424">
        <w:rPr>
          <w:rFonts w:ascii="Times New Roman" w:eastAsia="Times New Roman" w:hAnsi="Times New Roman" w:cs="Times New Roman"/>
          <w:i/>
          <w:color w:val="FF0000"/>
          <w:sz w:val="24"/>
        </w:rPr>
        <w:t xml:space="preserve"> Journal of Pure and Applied Sciences, </w:t>
      </w:r>
      <w:r w:rsidRPr="00282424">
        <w:rPr>
          <w:rFonts w:ascii="Times New Roman" w:eastAsia="Times New Roman" w:hAnsi="Times New Roman" w:cs="Times New Roman"/>
          <w:color w:val="FF0000"/>
          <w:sz w:val="24"/>
        </w:rPr>
        <w:t>14(1): 386-389.</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sz w:val="24"/>
        </w:rPr>
      </w:pPr>
      <w:r w:rsidRPr="00282424">
        <w:rPr>
          <w:rFonts w:ascii="Times New Roman" w:eastAsia="Times New Roman" w:hAnsi="Times New Roman" w:cs="Times New Roman"/>
          <w:sz w:val="24"/>
        </w:rPr>
        <w:t xml:space="preserve">Mohammed, K., &amp; </w:t>
      </w:r>
      <w:proofErr w:type="spellStart"/>
      <w:r w:rsidRPr="00282424">
        <w:rPr>
          <w:rFonts w:ascii="Times New Roman" w:eastAsia="Times New Roman" w:hAnsi="Times New Roman" w:cs="Times New Roman"/>
          <w:sz w:val="24"/>
        </w:rPr>
        <w:t>Biyabra</w:t>
      </w:r>
      <w:proofErr w:type="spellEnd"/>
      <w:r w:rsidRPr="00282424">
        <w:rPr>
          <w:rFonts w:ascii="Times New Roman" w:eastAsia="Times New Roman" w:hAnsi="Times New Roman" w:cs="Times New Roman"/>
          <w:sz w:val="24"/>
        </w:rPr>
        <w:t>, M.I. (2024). Incidence of bacterial contaminants in fermented milk (</w:t>
      </w:r>
      <w:proofErr w:type="spellStart"/>
      <w:r w:rsidRPr="00282424">
        <w:rPr>
          <w:rFonts w:ascii="Times New Roman" w:eastAsia="Times New Roman" w:hAnsi="Times New Roman" w:cs="Times New Roman"/>
          <w:sz w:val="24"/>
        </w:rPr>
        <w:t>Nono</w:t>
      </w:r>
      <w:proofErr w:type="spellEnd"/>
      <w:r w:rsidRPr="00282424">
        <w:rPr>
          <w:rFonts w:ascii="Times New Roman" w:eastAsia="Times New Roman" w:hAnsi="Times New Roman" w:cs="Times New Roman"/>
          <w:sz w:val="24"/>
        </w:rPr>
        <w:t xml:space="preserve">/ </w:t>
      </w:r>
      <w:proofErr w:type="spellStart"/>
      <w:r w:rsidRPr="00282424">
        <w:rPr>
          <w:rFonts w:ascii="Times New Roman" w:eastAsia="Times New Roman" w:hAnsi="Times New Roman" w:cs="Times New Roman"/>
          <w:sz w:val="24"/>
        </w:rPr>
        <w:t>Kindirmo</w:t>
      </w:r>
      <w:proofErr w:type="spellEnd"/>
      <w:r w:rsidRPr="00282424">
        <w:rPr>
          <w:rFonts w:ascii="Times New Roman" w:eastAsia="Times New Roman" w:hAnsi="Times New Roman" w:cs="Times New Roman"/>
          <w:sz w:val="24"/>
        </w:rPr>
        <w:t xml:space="preserve">) old by Fulani omen to consumer in </w:t>
      </w:r>
      <w:proofErr w:type="spellStart"/>
      <w:r w:rsidRPr="00282424">
        <w:rPr>
          <w:rFonts w:ascii="Times New Roman" w:eastAsia="Times New Roman" w:hAnsi="Times New Roman" w:cs="Times New Roman"/>
          <w:sz w:val="24"/>
        </w:rPr>
        <w:t>Wukari</w:t>
      </w:r>
      <w:proofErr w:type="spellEnd"/>
      <w:r w:rsidRPr="00282424">
        <w:rPr>
          <w:rFonts w:ascii="Times New Roman" w:eastAsia="Times New Roman" w:hAnsi="Times New Roman" w:cs="Times New Roman"/>
          <w:sz w:val="24"/>
        </w:rPr>
        <w:t xml:space="preserve"> Metropolis, Taraba State, Nigeria. </w:t>
      </w:r>
      <w:r w:rsidRPr="00282424">
        <w:rPr>
          <w:rFonts w:ascii="Times New Roman" w:eastAsia="Times New Roman" w:hAnsi="Times New Roman" w:cs="Times New Roman"/>
          <w:i/>
          <w:sz w:val="24"/>
        </w:rPr>
        <w:t>Sahel Journal of Life Science</w:t>
      </w:r>
      <w:r w:rsidRPr="00282424">
        <w:rPr>
          <w:rFonts w:ascii="Times New Roman" w:eastAsia="Times New Roman" w:hAnsi="Times New Roman" w:cs="Times New Roman"/>
          <w:sz w:val="24"/>
        </w:rPr>
        <w:t xml:space="preserve">, </w:t>
      </w:r>
      <w:r w:rsidRPr="00282424">
        <w:rPr>
          <w:rFonts w:ascii="Times New Roman" w:eastAsia="Times New Roman" w:hAnsi="Times New Roman" w:cs="Times New Roman"/>
          <w:color w:val="FF0000"/>
          <w:sz w:val="24"/>
        </w:rPr>
        <w:t xml:space="preserve">FUDMA 2(1), </w:t>
      </w:r>
      <w:r w:rsidRPr="00282424">
        <w:rPr>
          <w:rFonts w:ascii="Times New Roman" w:eastAsia="Times New Roman" w:hAnsi="Times New Roman" w:cs="Times New Roman"/>
          <w:sz w:val="24"/>
        </w:rPr>
        <w:t>195–203</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sz w:val="24"/>
        </w:rPr>
      </w:pPr>
      <w:proofErr w:type="spellStart"/>
      <w:r w:rsidRPr="00282424">
        <w:rPr>
          <w:rFonts w:ascii="Times New Roman" w:eastAsia="Times New Roman" w:hAnsi="Times New Roman" w:cs="Times New Roman"/>
          <w:sz w:val="24"/>
        </w:rPr>
        <w:t>Ndudi</w:t>
      </w:r>
      <w:proofErr w:type="spellEnd"/>
      <w:r w:rsidRPr="00282424">
        <w:rPr>
          <w:rFonts w:ascii="Times New Roman" w:eastAsia="Times New Roman" w:hAnsi="Times New Roman" w:cs="Times New Roman"/>
          <w:sz w:val="24"/>
        </w:rPr>
        <w:t xml:space="preserve">, W., Edo, G.I., Samuel, P.O., </w:t>
      </w:r>
      <w:proofErr w:type="spellStart"/>
      <w:r w:rsidRPr="00282424">
        <w:rPr>
          <w:rFonts w:ascii="Times New Roman" w:eastAsia="Times New Roman" w:hAnsi="Times New Roman" w:cs="Times New Roman"/>
          <w:sz w:val="24"/>
        </w:rPr>
        <w:t>Jikah</w:t>
      </w:r>
      <w:proofErr w:type="spellEnd"/>
      <w:r w:rsidRPr="00282424">
        <w:rPr>
          <w:rFonts w:ascii="Times New Roman" w:eastAsia="Times New Roman" w:hAnsi="Times New Roman" w:cs="Times New Roman"/>
          <w:sz w:val="24"/>
        </w:rPr>
        <w:t xml:space="preserve">, A.N., </w:t>
      </w:r>
      <w:proofErr w:type="spellStart"/>
      <w:r w:rsidRPr="00282424">
        <w:rPr>
          <w:rFonts w:ascii="Times New Roman" w:eastAsia="Times New Roman" w:hAnsi="Times New Roman" w:cs="Times New Roman"/>
          <w:sz w:val="24"/>
        </w:rPr>
        <w:t>Opiti</w:t>
      </w:r>
      <w:proofErr w:type="spellEnd"/>
      <w:r w:rsidRPr="00282424">
        <w:rPr>
          <w:rFonts w:ascii="Times New Roman" w:eastAsia="Times New Roman" w:hAnsi="Times New Roman" w:cs="Times New Roman"/>
          <w:sz w:val="24"/>
        </w:rPr>
        <w:t xml:space="preserve">, R.A., </w:t>
      </w:r>
      <w:proofErr w:type="spellStart"/>
      <w:r w:rsidRPr="00282424">
        <w:rPr>
          <w:rFonts w:ascii="Times New Roman" w:eastAsia="Times New Roman" w:hAnsi="Times New Roman" w:cs="Times New Roman"/>
          <w:sz w:val="24"/>
        </w:rPr>
        <w:t>Ainyanbhor</w:t>
      </w:r>
      <w:proofErr w:type="spellEnd"/>
      <w:r w:rsidRPr="00282424">
        <w:rPr>
          <w:rFonts w:ascii="Times New Roman" w:eastAsia="Times New Roman" w:hAnsi="Times New Roman" w:cs="Times New Roman"/>
          <w:sz w:val="24"/>
        </w:rPr>
        <w:t xml:space="preserve">, I.E., </w:t>
      </w:r>
      <w:proofErr w:type="spellStart"/>
      <w:r w:rsidRPr="00282424">
        <w:rPr>
          <w:rFonts w:ascii="Times New Roman" w:eastAsia="Times New Roman" w:hAnsi="Times New Roman" w:cs="Times New Roman"/>
          <w:sz w:val="24"/>
        </w:rPr>
        <w:t>Essaghah</w:t>
      </w:r>
      <w:proofErr w:type="spellEnd"/>
      <w:r w:rsidRPr="00282424">
        <w:rPr>
          <w:rFonts w:ascii="Times New Roman" w:eastAsia="Times New Roman" w:hAnsi="Times New Roman" w:cs="Times New Roman"/>
          <w:sz w:val="24"/>
        </w:rPr>
        <w:t xml:space="preserve">, E.A.E., &amp; </w:t>
      </w:r>
      <w:proofErr w:type="spellStart"/>
      <w:r w:rsidRPr="00282424">
        <w:rPr>
          <w:rFonts w:ascii="Times New Roman" w:eastAsia="Times New Roman" w:hAnsi="Times New Roman" w:cs="Times New Roman"/>
          <w:sz w:val="24"/>
        </w:rPr>
        <w:t>Agbo</w:t>
      </w:r>
      <w:proofErr w:type="spellEnd"/>
      <w:r w:rsidRPr="00282424">
        <w:rPr>
          <w:rFonts w:ascii="Times New Roman" w:eastAsia="Times New Roman" w:hAnsi="Times New Roman" w:cs="Times New Roman"/>
          <w:sz w:val="24"/>
        </w:rPr>
        <w:t xml:space="preserve">, J.J. (2024). Traditional fermented foods of Nigeria: microbiological safety and health benefits. </w:t>
      </w:r>
      <w:r w:rsidRPr="00282424">
        <w:rPr>
          <w:rFonts w:ascii="Times New Roman" w:eastAsia="Times New Roman" w:hAnsi="Times New Roman" w:cs="Times New Roman"/>
          <w:i/>
          <w:sz w:val="24"/>
        </w:rPr>
        <w:t>Journal of Food Measurement and Characterization</w:t>
      </w:r>
      <w:r w:rsidRPr="00282424">
        <w:rPr>
          <w:rFonts w:ascii="Times New Roman" w:eastAsia="Times New Roman" w:hAnsi="Times New Roman" w:cs="Times New Roman"/>
          <w:sz w:val="24"/>
        </w:rPr>
        <w:t>, 18, 4246–4271.</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sz w:val="24"/>
        </w:rPr>
      </w:pPr>
      <w:proofErr w:type="spellStart"/>
      <w:r w:rsidRPr="00282424">
        <w:rPr>
          <w:rFonts w:ascii="Times New Roman" w:eastAsia="Times New Roman" w:hAnsi="Times New Roman" w:cs="Times New Roman"/>
          <w:sz w:val="24"/>
        </w:rPr>
        <w:t>Ntuli</w:t>
      </w:r>
      <w:proofErr w:type="spellEnd"/>
      <w:r w:rsidRPr="00282424">
        <w:rPr>
          <w:rFonts w:ascii="Times New Roman" w:eastAsia="Times New Roman" w:hAnsi="Times New Roman" w:cs="Times New Roman"/>
          <w:sz w:val="24"/>
        </w:rPr>
        <w:t xml:space="preserve">, V., Sibanda, T., </w:t>
      </w:r>
      <w:proofErr w:type="spellStart"/>
      <w:r w:rsidRPr="00282424">
        <w:rPr>
          <w:rFonts w:ascii="Times New Roman" w:eastAsia="Times New Roman" w:hAnsi="Times New Roman" w:cs="Times New Roman"/>
          <w:sz w:val="24"/>
        </w:rPr>
        <w:t>Elegbeleye</w:t>
      </w:r>
      <w:proofErr w:type="spellEnd"/>
      <w:r w:rsidRPr="00282424">
        <w:rPr>
          <w:rFonts w:ascii="Times New Roman" w:eastAsia="Times New Roman" w:hAnsi="Times New Roman" w:cs="Times New Roman"/>
          <w:sz w:val="24"/>
        </w:rPr>
        <w:t xml:space="preserve">, J.A., </w:t>
      </w:r>
      <w:proofErr w:type="spellStart"/>
      <w:r w:rsidRPr="00282424">
        <w:rPr>
          <w:rFonts w:ascii="Times New Roman" w:eastAsia="Times New Roman" w:hAnsi="Times New Roman" w:cs="Times New Roman"/>
          <w:sz w:val="24"/>
        </w:rPr>
        <w:t>Mugadza</w:t>
      </w:r>
      <w:proofErr w:type="spellEnd"/>
      <w:r w:rsidRPr="00282424">
        <w:rPr>
          <w:rFonts w:ascii="Times New Roman" w:eastAsia="Times New Roman" w:hAnsi="Times New Roman" w:cs="Times New Roman"/>
          <w:sz w:val="24"/>
        </w:rPr>
        <w:t xml:space="preserve">, D.T., </w:t>
      </w:r>
      <w:proofErr w:type="spellStart"/>
      <w:r w:rsidRPr="00282424">
        <w:rPr>
          <w:rFonts w:ascii="Times New Roman" w:eastAsia="Times New Roman" w:hAnsi="Times New Roman" w:cs="Times New Roman"/>
          <w:sz w:val="24"/>
        </w:rPr>
        <w:t>Seifu</w:t>
      </w:r>
      <w:proofErr w:type="spellEnd"/>
      <w:r w:rsidRPr="00282424">
        <w:rPr>
          <w:rFonts w:ascii="Times New Roman" w:eastAsia="Times New Roman" w:hAnsi="Times New Roman" w:cs="Times New Roman"/>
          <w:sz w:val="24"/>
        </w:rPr>
        <w:t xml:space="preserve">, E., Buys, E.M. (2024). Dairy </w:t>
      </w:r>
      <w:proofErr w:type="spellStart"/>
      <w:proofErr w:type="gramStart"/>
      <w:r w:rsidRPr="00282424">
        <w:rPr>
          <w:rFonts w:ascii="Times New Roman" w:eastAsia="Times New Roman" w:hAnsi="Times New Roman" w:cs="Times New Roman"/>
          <w:sz w:val="24"/>
        </w:rPr>
        <w:t>production</w:t>
      </w:r>
      <w:r w:rsidRPr="00282424">
        <w:rPr>
          <w:rFonts w:ascii="Times New Roman" w:eastAsia="Times New Roman" w:hAnsi="Times New Roman" w:cs="Times New Roman"/>
          <w:color w:val="FF0000"/>
          <w:sz w:val="24"/>
        </w:rPr>
        <w:t>:microbial</w:t>
      </w:r>
      <w:proofErr w:type="spellEnd"/>
      <w:proofErr w:type="gramEnd"/>
      <w:r w:rsidRPr="00282424">
        <w:rPr>
          <w:rFonts w:ascii="Times New Roman" w:eastAsia="Times New Roman" w:hAnsi="Times New Roman" w:cs="Times New Roman"/>
          <w:color w:val="FF0000"/>
          <w:sz w:val="24"/>
        </w:rPr>
        <w:t xml:space="preserve"> safety of raw milk and processed milk products.</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color w:val="FF0000"/>
          <w:sz w:val="24"/>
        </w:rPr>
        <w:t>Olaitan</w:t>
      </w:r>
      <w:proofErr w:type="spellEnd"/>
      <w:r w:rsidRPr="00282424">
        <w:rPr>
          <w:rFonts w:ascii="Times New Roman" w:eastAsia="Times New Roman" w:hAnsi="Times New Roman" w:cs="Times New Roman"/>
          <w:color w:val="FF0000"/>
          <w:sz w:val="24"/>
        </w:rPr>
        <w:t xml:space="preserve">, </w:t>
      </w:r>
      <w:proofErr w:type="spellStart"/>
      <w:r w:rsidRPr="00282424">
        <w:rPr>
          <w:rFonts w:ascii="Times New Roman" w:eastAsia="Times New Roman" w:hAnsi="Times New Roman" w:cs="Times New Roman"/>
          <w:color w:val="FF0000"/>
          <w:sz w:val="24"/>
        </w:rPr>
        <w:t>Morufa</w:t>
      </w:r>
      <w:proofErr w:type="spellEnd"/>
      <w:r w:rsidRPr="00282424">
        <w:rPr>
          <w:rFonts w:ascii="Times New Roman" w:eastAsia="Times New Roman" w:hAnsi="Times New Roman" w:cs="Times New Roman"/>
          <w:color w:val="FF0000"/>
          <w:sz w:val="24"/>
        </w:rPr>
        <w:t xml:space="preserve"> </w:t>
      </w:r>
      <w:proofErr w:type="spellStart"/>
      <w:r w:rsidRPr="00282424">
        <w:rPr>
          <w:rFonts w:ascii="Times New Roman" w:eastAsia="Times New Roman" w:hAnsi="Times New Roman" w:cs="Times New Roman"/>
          <w:color w:val="FF0000"/>
          <w:sz w:val="24"/>
        </w:rPr>
        <w:t>Oluwatoin</w:t>
      </w:r>
      <w:proofErr w:type="spellEnd"/>
      <w:r w:rsidRPr="00282424">
        <w:rPr>
          <w:rFonts w:ascii="Times New Roman" w:eastAsia="Times New Roman" w:hAnsi="Times New Roman" w:cs="Times New Roman"/>
          <w:color w:val="FF0000"/>
          <w:sz w:val="24"/>
        </w:rPr>
        <w:t xml:space="preserve"> &amp; Muhammad Bashir. (2018). Microbial quality evaluation of two pharmaceutical companies in Kano State, Nigeria. </w:t>
      </w:r>
      <w:r w:rsidRPr="00282424">
        <w:rPr>
          <w:rFonts w:ascii="Times New Roman" w:eastAsia="Times New Roman" w:hAnsi="Times New Roman" w:cs="Times New Roman"/>
          <w:i/>
          <w:color w:val="FF0000"/>
          <w:sz w:val="24"/>
        </w:rPr>
        <w:t xml:space="preserve">Journal of Pharmacy and Bioresources, </w:t>
      </w:r>
      <w:r w:rsidRPr="00282424">
        <w:rPr>
          <w:rFonts w:ascii="Times New Roman" w:eastAsia="Times New Roman" w:hAnsi="Times New Roman" w:cs="Times New Roman"/>
          <w:color w:val="FF0000"/>
          <w:sz w:val="24"/>
        </w:rPr>
        <w:t>15(1): 84-91.</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r w:rsidRPr="00282424">
        <w:rPr>
          <w:rFonts w:ascii="Times New Roman" w:eastAsia="Times New Roman" w:hAnsi="Times New Roman" w:cs="Times New Roman"/>
          <w:color w:val="FF0000"/>
          <w:sz w:val="24"/>
        </w:rPr>
        <w:t xml:space="preserve">Sarkar, S. (2015). Microbiological considerations: Pasteurized milk. </w:t>
      </w:r>
      <w:r w:rsidRPr="00282424">
        <w:rPr>
          <w:rFonts w:ascii="Times New Roman" w:eastAsia="Times New Roman" w:hAnsi="Times New Roman" w:cs="Times New Roman"/>
          <w:i/>
          <w:color w:val="FF0000"/>
          <w:sz w:val="24"/>
        </w:rPr>
        <w:t>International Journal of Dairy Science</w:t>
      </w:r>
      <w:r w:rsidRPr="00282424">
        <w:rPr>
          <w:rFonts w:ascii="Times New Roman" w:eastAsia="Times New Roman" w:hAnsi="Times New Roman" w:cs="Times New Roman"/>
          <w:color w:val="FF0000"/>
          <w:sz w:val="24"/>
        </w:rPr>
        <w:t>, 10, 206–218.</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color w:val="FF0000"/>
          <w:sz w:val="24"/>
        </w:rPr>
        <w:t>Stergiadis</w:t>
      </w:r>
      <w:proofErr w:type="spellEnd"/>
      <w:r w:rsidRPr="00282424">
        <w:rPr>
          <w:rFonts w:ascii="Times New Roman" w:eastAsia="Times New Roman" w:hAnsi="Times New Roman" w:cs="Times New Roman"/>
          <w:color w:val="FF0000"/>
          <w:sz w:val="24"/>
        </w:rPr>
        <w:t xml:space="preserve">, S., </w:t>
      </w:r>
      <w:proofErr w:type="spellStart"/>
      <w:r w:rsidRPr="00282424">
        <w:rPr>
          <w:rFonts w:ascii="Times New Roman" w:eastAsia="Times New Roman" w:hAnsi="Times New Roman" w:cs="Times New Roman"/>
          <w:color w:val="FF0000"/>
          <w:sz w:val="24"/>
        </w:rPr>
        <w:t>Norskov</w:t>
      </w:r>
      <w:proofErr w:type="spellEnd"/>
      <w:r w:rsidRPr="00282424">
        <w:rPr>
          <w:rFonts w:ascii="Times New Roman" w:eastAsia="Times New Roman" w:hAnsi="Times New Roman" w:cs="Times New Roman"/>
          <w:color w:val="FF0000"/>
          <w:sz w:val="24"/>
        </w:rPr>
        <w:t xml:space="preserve">, N.P., </w:t>
      </w:r>
      <w:proofErr w:type="spellStart"/>
      <w:r w:rsidRPr="00282424">
        <w:rPr>
          <w:rFonts w:ascii="Times New Roman" w:eastAsia="Times New Roman" w:hAnsi="Times New Roman" w:cs="Times New Roman"/>
          <w:color w:val="FF0000"/>
          <w:sz w:val="24"/>
        </w:rPr>
        <w:t>Purup</w:t>
      </w:r>
      <w:proofErr w:type="spellEnd"/>
      <w:r w:rsidRPr="00282424">
        <w:rPr>
          <w:rFonts w:ascii="Times New Roman" w:eastAsia="Times New Roman" w:hAnsi="Times New Roman" w:cs="Times New Roman"/>
          <w:color w:val="FF0000"/>
          <w:sz w:val="24"/>
        </w:rPr>
        <w:t xml:space="preserve">, S., Givens, I., &amp; Lee, M.R.F. (2019). Comparative nutrient profiling of retail goat and cow milk. </w:t>
      </w:r>
      <w:r w:rsidRPr="00282424">
        <w:rPr>
          <w:rFonts w:ascii="Times New Roman" w:eastAsia="Times New Roman" w:hAnsi="Times New Roman" w:cs="Times New Roman"/>
          <w:i/>
          <w:color w:val="FF0000"/>
          <w:sz w:val="24"/>
        </w:rPr>
        <w:t>Nutrient,</w:t>
      </w:r>
      <w:r w:rsidRPr="00282424">
        <w:rPr>
          <w:rFonts w:ascii="Times New Roman" w:eastAsia="Times New Roman" w:hAnsi="Times New Roman" w:cs="Times New Roman"/>
          <w:color w:val="FF0000"/>
          <w:sz w:val="24"/>
        </w:rPr>
        <w:t xml:space="preserve"> 11(10).</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r w:rsidRPr="00282424">
        <w:rPr>
          <w:rFonts w:ascii="Times New Roman" w:eastAsia="Times New Roman" w:hAnsi="Times New Roman" w:cs="Times New Roman"/>
          <w:color w:val="FF0000"/>
          <w:sz w:val="24"/>
        </w:rPr>
        <w:t xml:space="preserve">Velazquez-Ordonez, V., Valladares-Carranza, B., et al., (2019). Microbial Contamination in Milk Quality and Health Risk of the Consumers of Raw Milk and Dairy </w:t>
      </w:r>
      <w:proofErr w:type="spellStart"/>
      <w:r w:rsidRPr="00282424">
        <w:rPr>
          <w:rFonts w:ascii="Times New Roman" w:eastAsia="Times New Roman" w:hAnsi="Times New Roman" w:cs="Times New Roman"/>
          <w:color w:val="FF0000"/>
          <w:sz w:val="24"/>
        </w:rPr>
        <w:t>Products.Nutrition</w:t>
      </w:r>
      <w:proofErr w:type="spellEnd"/>
      <w:r w:rsidRPr="00282424">
        <w:rPr>
          <w:rFonts w:ascii="Times New Roman" w:eastAsia="Times New Roman" w:hAnsi="Times New Roman" w:cs="Times New Roman"/>
          <w:color w:val="FF0000"/>
          <w:sz w:val="24"/>
        </w:rPr>
        <w:t xml:space="preserve"> in Dairy Diseases-Our challenges Now and Forthcoming Time. Chapter 2, pp 1-24.</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proofErr w:type="spellStart"/>
      <w:r w:rsidRPr="00282424">
        <w:rPr>
          <w:rFonts w:ascii="Times New Roman" w:eastAsia="Times New Roman" w:hAnsi="Times New Roman" w:cs="Times New Roman"/>
          <w:color w:val="FF0000"/>
          <w:sz w:val="24"/>
        </w:rPr>
        <w:t>Woldemariam</w:t>
      </w:r>
      <w:proofErr w:type="spellEnd"/>
      <w:r w:rsidRPr="00282424">
        <w:rPr>
          <w:rFonts w:ascii="Times New Roman" w:eastAsia="Times New Roman" w:hAnsi="Times New Roman" w:cs="Times New Roman"/>
          <w:color w:val="FF0000"/>
          <w:sz w:val="24"/>
        </w:rPr>
        <w:t xml:space="preserve">, H.W &amp; </w:t>
      </w:r>
      <w:proofErr w:type="spellStart"/>
      <w:r w:rsidRPr="00282424">
        <w:rPr>
          <w:rFonts w:ascii="Times New Roman" w:eastAsia="Times New Roman" w:hAnsi="Times New Roman" w:cs="Times New Roman"/>
          <w:color w:val="FF0000"/>
          <w:sz w:val="24"/>
        </w:rPr>
        <w:t>Asres</w:t>
      </w:r>
      <w:proofErr w:type="spellEnd"/>
      <w:r w:rsidRPr="00282424">
        <w:rPr>
          <w:rFonts w:ascii="Times New Roman" w:eastAsia="Times New Roman" w:hAnsi="Times New Roman" w:cs="Times New Roman"/>
          <w:color w:val="FF0000"/>
          <w:sz w:val="24"/>
        </w:rPr>
        <w:t xml:space="preserve">, A.M. (2017). Microbial and Physicochemical qualities of pasteurized milk. </w:t>
      </w:r>
      <w:r w:rsidRPr="00282424">
        <w:rPr>
          <w:rFonts w:ascii="Times New Roman" w:eastAsia="Times New Roman" w:hAnsi="Times New Roman" w:cs="Times New Roman"/>
          <w:i/>
          <w:color w:val="FF0000"/>
          <w:sz w:val="24"/>
        </w:rPr>
        <w:t>Journal of Food Processing and Technology</w:t>
      </w:r>
      <w:r w:rsidRPr="00282424">
        <w:rPr>
          <w:rFonts w:ascii="Times New Roman" w:eastAsia="Times New Roman" w:hAnsi="Times New Roman" w:cs="Times New Roman"/>
          <w:color w:val="FF0000"/>
          <w:sz w:val="24"/>
        </w:rPr>
        <w:t>, 8, 1–5</w:t>
      </w:r>
    </w:p>
    <w:p w:rsidR="00950531" w:rsidRPr="00282424" w:rsidRDefault="008E3CEF" w:rsidP="00282424">
      <w:pPr>
        <w:pStyle w:val="ListParagraph"/>
        <w:numPr>
          <w:ilvl w:val="0"/>
          <w:numId w:val="1"/>
        </w:numPr>
        <w:spacing w:before="100" w:after="100" w:line="360" w:lineRule="auto"/>
        <w:jc w:val="both"/>
        <w:rPr>
          <w:rFonts w:ascii="Times New Roman" w:eastAsia="Times New Roman" w:hAnsi="Times New Roman" w:cs="Times New Roman"/>
          <w:color w:val="FF0000"/>
          <w:sz w:val="24"/>
        </w:rPr>
      </w:pPr>
      <w:r w:rsidRPr="00282424">
        <w:rPr>
          <w:rFonts w:ascii="Times New Roman" w:eastAsia="Times New Roman" w:hAnsi="Times New Roman" w:cs="Times New Roman"/>
          <w:color w:val="FF0000"/>
          <w:sz w:val="24"/>
        </w:rPr>
        <w:t xml:space="preserve">World Health Organization and Food and Agricultural </w:t>
      </w:r>
      <w:proofErr w:type="spellStart"/>
      <w:r w:rsidRPr="00282424">
        <w:rPr>
          <w:rFonts w:ascii="Times New Roman" w:eastAsia="Times New Roman" w:hAnsi="Times New Roman" w:cs="Times New Roman"/>
          <w:color w:val="FF0000"/>
          <w:sz w:val="24"/>
        </w:rPr>
        <w:t>Organisation</w:t>
      </w:r>
      <w:proofErr w:type="spellEnd"/>
      <w:r w:rsidRPr="00282424">
        <w:rPr>
          <w:rFonts w:ascii="Times New Roman" w:eastAsia="Times New Roman" w:hAnsi="Times New Roman" w:cs="Times New Roman"/>
          <w:color w:val="FF0000"/>
          <w:sz w:val="24"/>
        </w:rPr>
        <w:t xml:space="preserve"> of the United Nation (2023). </w:t>
      </w:r>
      <w:r w:rsidRPr="00282424">
        <w:rPr>
          <w:rFonts w:ascii="Times New Roman" w:eastAsia="Times New Roman" w:hAnsi="Times New Roman" w:cs="Times New Roman"/>
          <w:i/>
          <w:color w:val="FF0000"/>
          <w:sz w:val="24"/>
        </w:rPr>
        <w:t>Food safety is everyone’s business</w:t>
      </w:r>
      <w:r w:rsidRPr="00282424">
        <w:rPr>
          <w:rFonts w:ascii="Times New Roman" w:eastAsia="Times New Roman" w:hAnsi="Times New Roman" w:cs="Times New Roman"/>
          <w:color w:val="FF0000"/>
          <w:sz w:val="24"/>
        </w:rPr>
        <w:t xml:space="preserve"> in the primary production of milk. World Health </w:t>
      </w:r>
      <w:proofErr w:type="spellStart"/>
      <w:r w:rsidRPr="00282424">
        <w:rPr>
          <w:rFonts w:ascii="Times New Roman" w:eastAsia="Times New Roman" w:hAnsi="Times New Roman" w:cs="Times New Roman"/>
          <w:color w:val="FF0000"/>
          <w:sz w:val="24"/>
        </w:rPr>
        <w:t>Organisation</w:t>
      </w:r>
      <w:proofErr w:type="spellEnd"/>
      <w:r w:rsidRPr="00282424">
        <w:rPr>
          <w:rFonts w:ascii="Times New Roman" w:eastAsia="Times New Roman" w:hAnsi="Times New Roman" w:cs="Times New Roman"/>
          <w:color w:val="FF0000"/>
          <w:sz w:val="24"/>
        </w:rPr>
        <w:t xml:space="preserve"> Technical Report Series.</w:t>
      </w:r>
    </w:p>
    <w:p w:rsidR="00950531" w:rsidRDefault="00950531">
      <w:pPr>
        <w:spacing w:line="360" w:lineRule="auto"/>
        <w:jc w:val="both"/>
        <w:rPr>
          <w:rFonts w:ascii="Times New Roman" w:eastAsia="Times New Roman" w:hAnsi="Times New Roman" w:cs="Times New Roman"/>
          <w:sz w:val="24"/>
        </w:rPr>
      </w:pPr>
    </w:p>
    <w:p w:rsidR="00950531" w:rsidRDefault="00950531">
      <w:pPr>
        <w:spacing w:line="360" w:lineRule="auto"/>
        <w:jc w:val="both"/>
        <w:rPr>
          <w:rFonts w:ascii="Times New Roman" w:eastAsia="Times New Roman" w:hAnsi="Times New Roman" w:cs="Times New Roman"/>
          <w:sz w:val="24"/>
        </w:rPr>
      </w:pPr>
    </w:p>
    <w:sectPr w:rsidR="00950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34AE4"/>
    <w:multiLevelType w:val="hybridMultilevel"/>
    <w:tmpl w:val="C690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31"/>
    <w:rsid w:val="00282424"/>
    <w:rsid w:val="004E7680"/>
    <w:rsid w:val="00750AC4"/>
    <w:rsid w:val="008E3CEF"/>
    <w:rsid w:val="00950531"/>
    <w:rsid w:val="00CC045C"/>
    <w:rsid w:val="00D431B2"/>
    <w:rsid w:val="00F3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A457"/>
  <w15:docId w15:val="{F11517D9-AEE6-4A24-8B42-F7155045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7</cp:revision>
  <dcterms:created xsi:type="dcterms:W3CDTF">2026-01-05T10:13:00Z</dcterms:created>
  <dcterms:modified xsi:type="dcterms:W3CDTF">2026-01-06T09:28:00Z</dcterms:modified>
</cp:coreProperties>
</file>