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D9A09F" w14:textId="77777777" w:rsidR="002771BA" w:rsidRDefault="002771BA" w:rsidP="002771BA">
      <w:pPr>
        <w:spacing w:after="0" w:line="240" w:lineRule="auto"/>
        <w:ind w:right="0" w:firstLine="0"/>
        <w:jc w:val="center"/>
        <w:rPr>
          <w:rFonts w:eastAsia="Calibri"/>
          <w:b/>
          <w:color w:val="auto"/>
          <w:sz w:val="24"/>
          <w:szCs w:val="24"/>
          <w:lang w:val="en-US" w:eastAsia="en-US"/>
        </w:rPr>
      </w:pPr>
    </w:p>
    <w:p w14:paraId="7F5C640C" w14:textId="3099803E" w:rsidR="002771BA" w:rsidRPr="002771BA" w:rsidRDefault="002771BA" w:rsidP="002771BA">
      <w:pPr>
        <w:spacing w:after="0" w:line="240" w:lineRule="auto"/>
        <w:ind w:right="0" w:firstLine="0"/>
        <w:jc w:val="center"/>
        <w:rPr>
          <w:rFonts w:eastAsia="Calibri"/>
          <w:b/>
          <w:color w:val="auto"/>
          <w:sz w:val="24"/>
          <w:szCs w:val="24"/>
          <w:lang w:val="en-US" w:eastAsia="en-US"/>
        </w:rPr>
      </w:pPr>
      <w:r w:rsidRPr="002771BA">
        <w:rPr>
          <w:rFonts w:eastAsia="Calibri"/>
          <w:b/>
          <w:color w:val="auto"/>
          <w:sz w:val="24"/>
          <w:szCs w:val="24"/>
          <w:lang w:val="en-US" w:eastAsia="en-US"/>
        </w:rPr>
        <w:t>THE ROLE OF LOCAL ECOLOGICAL KNOWLEDGE IN CLIMATE CHANGE ADAPTATION AMONG SMALLHOLDER FARMERS IN MBERESHI VILLAGE OF MWANSABOMBWE DISTRICT: A CASE STUDY</w:t>
      </w:r>
    </w:p>
    <w:p w14:paraId="74D0C6FD" w14:textId="77777777" w:rsidR="00EA0BD7" w:rsidRDefault="00EA0BD7" w:rsidP="002771BA">
      <w:pPr>
        <w:spacing w:after="213" w:line="240" w:lineRule="auto"/>
        <w:ind w:right="7" w:hanging="10"/>
        <w:jc w:val="center"/>
        <w:rPr>
          <w:b/>
          <w:sz w:val="24"/>
          <w:szCs w:val="24"/>
        </w:rPr>
      </w:pPr>
    </w:p>
    <w:p w14:paraId="44951FCD" w14:textId="5CFD19B9" w:rsidR="00C70C1E" w:rsidRPr="003C2E77" w:rsidRDefault="00AF67C6" w:rsidP="002771BA">
      <w:pPr>
        <w:spacing w:after="213" w:line="240" w:lineRule="auto"/>
        <w:ind w:right="7" w:hanging="10"/>
        <w:jc w:val="center"/>
        <w:rPr>
          <w:sz w:val="24"/>
          <w:szCs w:val="24"/>
        </w:rPr>
      </w:pPr>
      <w:r w:rsidRPr="003C2E77">
        <w:rPr>
          <w:b/>
          <w:sz w:val="24"/>
          <w:szCs w:val="24"/>
        </w:rPr>
        <w:t xml:space="preserve">ABSTRACT </w:t>
      </w:r>
    </w:p>
    <w:p w14:paraId="27F1C6ED" w14:textId="115EC346" w:rsidR="00C70C1E" w:rsidRDefault="00AF67C6" w:rsidP="002771BA">
      <w:pPr>
        <w:spacing w:line="240" w:lineRule="auto"/>
        <w:ind w:left="-15" w:right="0" w:firstLine="582"/>
      </w:pPr>
      <w:r>
        <w:t xml:space="preserve">This study investigated the role of Local Ecological Knowledge (LEK) in climate change adaptation among smallholder farmers in Mbereshi village. The study examined </w:t>
      </w:r>
      <w:r w:rsidR="00E3166D">
        <w:t xml:space="preserve">smallholder </w:t>
      </w:r>
      <w:r>
        <w:t>farmers’ perception</w:t>
      </w:r>
      <w:r w:rsidR="00E3166D">
        <w:t>s</w:t>
      </w:r>
      <w:r>
        <w:t xml:space="preserve"> of climate change, their traditional knowledge and practices, and the </w:t>
      </w:r>
      <w:r w:rsidR="00E3166D">
        <w:t>effectiveness</w:t>
      </w:r>
      <w:r>
        <w:t xml:space="preserve"> of LEK in enhancing agricultural </w:t>
      </w:r>
      <w:r w:rsidR="00D90CD9">
        <w:t>productivity</w:t>
      </w:r>
      <w:r>
        <w:t xml:space="preserve"> and environmental sustainability. The study used a mixed-methods research design which combined both quantitative and qualitative techniques. The Statistical Package for the Social Sciences (SPSS) version 29.0 and Kobo Toolbox were used to examine quantitative datasets. Specifically, </w:t>
      </w:r>
      <w:r w:rsidR="00D90CD9">
        <w:t xml:space="preserve">a multiple regression analysis was used </w:t>
      </w:r>
      <w:r>
        <w:t xml:space="preserve">to determine the predictive influence of multiple independent variables on LEK and to </w:t>
      </w:r>
      <w:r w:rsidR="00940B6D">
        <w:t xml:space="preserve">better </w:t>
      </w:r>
      <w:r>
        <w:t>understand how farmers used this strategy</w:t>
      </w:r>
      <w:r w:rsidR="00D90CD9">
        <w:t>.</w:t>
      </w:r>
      <w:r>
        <w:t xml:space="preserve"> A Chi-square test was also performed to determine whether there was a statistically significant difference in farmers’ perception of climate change across all four main climate variables considered for the study. Qualitative datasets were analysed using a thematic approach. </w:t>
      </w:r>
      <w:r w:rsidR="00941242">
        <w:t xml:space="preserve">The results of the study show that </w:t>
      </w:r>
      <w:r w:rsidR="00941242" w:rsidRPr="00941242">
        <w:rPr>
          <w:color w:val="auto"/>
          <w:sz w:val="20"/>
          <w:szCs w:val="20"/>
          <w:lang w:val="en-US" w:eastAsia="en-US"/>
        </w:rPr>
        <w:t>age and farming experience were significant predictors of LEK use in the multiple regression model</w:t>
      </w:r>
      <w:r w:rsidR="00941242">
        <w:rPr>
          <w:color w:val="auto"/>
          <w:sz w:val="20"/>
          <w:szCs w:val="20"/>
          <w:lang w:val="en-US" w:eastAsia="en-US"/>
        </w:rPr>
        <w:t xml:space="preserve"> while </w:t>
      </w:r>
      <w:r w:rsidR="00941242" w:rsidRPr="00941242">
        <w:rPr>
          <w:color w:val="auto"/>
          <w:sz w:val="20"/>
          <w:szCs w:val="20"/>
          <w:lang w:val="en-US" w:eastAsia="en-US"/>
        </w:rPr>
        <w:t>farmers’ perceptions of changes in major climate variables were statistically significant based on the Chi-square test</w:t>
      </w:r>
      <w:r w:rsidR="00941242">
        <w:rPr>
          <w:color w:val="auto"/>
          <w:sz w:val="20"/>
          <w:szCs w:val="20"/>
          <w:lang w:val="en-US" w:eastAsia="en-US"/>
        </w:rPr>
        <w:t xml:space="preserve">. </w:t>
      </w:r>
      <w:r w:rsidR="00941242">
        <w:t>The study shows</w:t>
      </w:r>
      <w:r>
        <w:t xml:space="preserve"> that 91% of farmers were aware of changing climate trends, especially on the commencement and frequency of rainfall variations. </w:t>
      </w:r>
      <w:r w:rsidR="00941242">
        <w:t>In p</w:t>
      </w:r>
      <w:r>
        <w:t>articular</w:t>
      </w:r>
      <w:r w:rsidR="00941242">
        <w:t>,</w:t>
      </w:r>
      <w:r>
        <w:t xml:space="preserve"> 86% of farmers indicated using LEK to guide their adaptation, early cultivation, crop rotation, and seed selection, among others. </w:t>
      </w:r>
      <w:r w:rsidR="00D90CD9">
        <w:t xml:space="preserve">The </w:t>
      </w:r>
      <w:r w:rsidR="00941242">
        <w:t xml:space="preserve">results </w:t>
      </w:r>
      <w:r>
        <w:t xml:space="preserve">also indicate that farmers who implemented LEK observed an increase in yields. Farmers were also able to practice conservation tillage, organic fertilization, and agroforestry, indicating an implicit commitment to climate change mitigation and adaptation. The study </w:t>
      </w:r>
      <w:r w:rsidR="00D90CD9">
        <w:t xml:space="preserve">therefore </w:t>
      </w:r>
      <w:r>
        <w:t xml:space="preserve">concludes that LEK is a useful and culturally entrenched strategy for climate change adaptation and resilience. </w:t>
      </w:r>
      <w:r w:rsidR="00D90CD9">
        <w:t>The s</w:t>
      </w:r>
      <w:r>
        <w:t xml:space="preserve">tudy findings strongly support the incorporation of LEK into national climate change adaptation plans, and hence the study’s proposal for use of hybrid knowledge systems that blend indigenous wisdom with scientific innovation. </w:t>
      </w:r>
    </w:p>
    <w:p w14:paraId="01694892" w14:textId="05AC2E31" w:rsidR="00C70C1E" w:rsidRDefault="00AF67C6" w:rsidP="002771BA">
      <w:pPr>
        <w:spacing w:line="240" w:lineRule="auto"/>
        <w:ind w:left="-15" w:right="0" w:hanging="10"/>
      </w:pPr>
      <w:r>
        <w:rPr>
          <w:b/>
        </w:rPr>
        <w:t xml:space="preserve">Keywords: </w:t>
      </w:r>
      <w:r>
        <w:t>Local ecological knowledge, traditional knowledge, climate change adaptat</w:t>
      </w:r>
      <w:r w:rsidR="004240F7">
        <w:t>ion</w:t>
      </w:r>
      <w:r>
        <w:t xml:space="preserve">, agricultural productivity, </w:t>
      </w:r>
      <w:r w:rsidR="00BF1164">
        <w:t xml:space="preserve">and </w:t>
      </w:r>
      <w:r>
        <w:t>environmental sustainability</w:t>
      </w:r>
      <w:r w:rsidR="003C2E77">
        <w:t>.</w:t>
      </w:r>
      <w:r>
        <w:t xml:space="preserve"> </w:t>
      </w:r>
    </w:p>
    <w:p w14:paraId="3F11ADAE" w14:textId="77777777" w:rsidR="00CF4B72" w:rsidRDefault="00CF4B72" w:rsidP="001342F0">
      <w:pPr>
        <w:ind w:left="-15" w:right="0" w:hanging="10"/>
      </w:pPr>
    </w:p>
    <w:p w14:paraId="2440BF3C" w14:textId="2FF238D7" w:rsidR="00C70C1E" w:rsidRDefault="00AF67C6" w:rsidP="00150FB2">
      <w:pPr>
        <w:pStyle w:val="Heading1"/>
        <w:numPr>
          <w:ilvl w:val="0"/>
          <w:numId w:val="7"/>
        </w:numPr>
        <w:spacing w:after="1"/>
        <w:ind w:left="567" w:right="0" w:hanging="567"/>
      </w:pPr>
      <w:r>
        <w:rPr>
          <w:sz w:val="24"/>
        </w:rPr>
        <w:t xml:space="preserve">INTRODUCTION </w:t>
      </w:r>
    </w:p>
    <w:p w14:paraId="62F529A0" w14:textId="4B0A683A" w:rsidR="00C70C1E" w:rsidRDefault="00AF67C6" w:rsidP="00150FB2">
      <w:pPr>
        <w:pStyle w:val="Heading2"/>
        <w:numPr>
          <w:ilvl w:val="1"/>
          <w:numId w:val="7"/>
        </w:numPr>
        <w:tabs>
          <w:tab w:val="center" w:pos="1725"/>
        </w:tabs>
        <w:ind w:left="567" w:right="0" w:hanging="567"/>
      </w:pPr>
      <w:r>
        <w:t xml:space="preserve">Background to the study </w:t>
      </w:r>
    </w:p>
    <w:p w14:paraId="724ACE3E" w14:textId="5397BD68" w:rsidR="00C70C1E" w:rsidRDefault="00AF67C6" w:rsidP="00C77B98">
      <w:pPr>
        <w:ind w:left="-15" w:right="0" w:firstLine="582"/>
      </w:pPr>
      <w:r>
        <w:t>Smallholder farmers face significant risks from changing climatic conditions due to their dependence on natural resources, limited adaptive capacity, and vulnerability to extreme weather events (ADB et al. 2003). In spite of the continued changes in climatic conditions, farmers have continued with their cultivation and reliance on their traditional experiences to deal with climate variability and change. Through the use of LEK, which encompasses intimate knowledge of land and weather patterns (Hosen</w:t>
      </w:r>
      <w:r w:rsidR="00755AE0">
        <w:t xml:space="preserve"> &amp; Nakamura, </w:t>
      </w:r>
      <w:r>
        <w:t>2020), farmers have learnt how to cope with climate variability and change and how to respond to difficult periods (Pettengell, 2010). However, despite many studies focusing on climate change impacts and adaptation strategies in Zambia, there has been limited research on how smallholder farmers utilize LEK to combat the effects of climate change, as reported by</w:t>
      </w:r>
      <w:r w:rsidR="00755AE0">
        <w:t xml:space="preserve"> </w:t>
      </w:r>
      <w:r>
        <w:t>Hosen</w:t>
      </w:r>
      <w:r w:rsidR="00755AE0">
        <w:t xml:space="preserve"> &amp;</w:t>
      </w:r>
      <w:r w:rsidR="00755AE0" w:rsidRPr="00755AE0">
        <w:t xml:space="preserve"> </w:t>
      </w:r>
      <w:r w:rsidR="00755AE0">
        <w:t xml:space="preserve">Nakamura </w:t>
      </w:r>
      <w:r>
        <w:t xml:space="preserve">(2020). Additionally, many other studies have also confirmed that farmers have observed and noticed changes in their local environmental conditions such as changes in rainfall patterns and temperature fluctuations, which directly impact farmers’ agricultural productivity (Mashiza, 2019). This study therefore was an attempt to fill this gap by examining the role of LEK in adapting to effects of climate variability and change. </w:t>
      </w:r>
    </w:p>
    <w:p w14:paraId="3AD708AD" w14:textId="77777777" w:rsidR="00C70C1E" w:rsidRDefault="00AF67C6" w:rsidP="00C77B98">
      <w:pPr>
        <w:ind w:left="-15" w:right="0" w:firstLine="582"/>
      </w:pPr>
      <w:r>
        <w:t>Studies across Sub-Saharan Africa highlight the value of LEK in climate adaptation by examining how farmers in Zimbabwe, for example, use traditional weather forecasting to adjust planting schedules, thereby improving resilience to droughts (Mavhura et al. 2013). In the case of Malawi, LEK-based practices, like crop diversification, were reported to have enhanced food security under variable rainfall conditions (</w:t>
      </w:r>
      <w:proofErr w:type="spellStart"/>
      <w:r>
        <w:t>Nkomwa</w:t>
      </w:r>
      <w:proofErr w:type="spellEnd"/>
      <w:r>
        <w:t xml:space="preserve"> et al. 2014). Similarly, in Zambia, research indicates that smallholder farmers are acutely aware of climate change impacts, observing delayed onsets of rainfall, shorter growing seasons, and increased </w:t>
      </w:r>
      <w:r>
        <w:lastRenderedPageBreak/>
        <w:t xml:space="preserve">temperatures (Nyanga et al. 2011; Zulu et al. 2021). However, these studies often focused on broader regional or national contexts, leaving a gap in understanding how LEK is applied in specific locales like Mbereshi village, where unique ecological and cultural factors shape adaptation strategies. </w:t>
      </w:r>
    </w:p>
    <w:p w14:paraId="66749AE7" w14:textId="07640E69" w:rsidR="00C70C1E" w:rsidRDefault="00AF67C6" w:rsidP="00FC364B">
      <w:pPr>
        <w:ind w:left="-15" w:right="0" w:firstLine="582"/>
      </w:pPr>
      <w:r>
        <w:t>Climate change, characterized by rising temperatures, erratic rainfall, and increasing extreme weather events such as droughts and floods, poses significant challenges to global agricultural systems, particularly in Sub-Saharan Africa (IPCC, 202</w:t>
      </w:r>
      <w:r w:rsidR="00057E8A">
        <w:t>2</w:t>
      </w:r>
      <w:r>
        <w:t xml:space="preserve">). In Zambia, where agriculture supports over 70% of the population, these changes threaten food security and livelihoods, especially for smallholder farmers who are reliant on rain-fed systems (World Bank, 2021). In Mbereshi village, smallholder farmers face heightened vulnerability due to their dependence on natural resources, limited access to modern adaptive technologies, and their exposure to prolonged dry spells and unpredictable rainfall (Mwansabombwe </w:t>
      </w:r>
      <w:r w:rsidR="00200ADE">
        <w:t xml:space="preserve">Town Council, </w:t>
      </w:r>
      <w:r>
        <w:t xml:space="preserve">2024). These climatic shifts disrupt planting schedules, reduce crop yields, and exacerbate poverty, underscoring the need for effective adaptation strategies tailored to local contexts. </w:t>
      </w:r>
    </w:p>
    <w:p w14:paraId="226789C1" w14:textId="26EA45DE" w:rsidR="00C70C1E" w:rsidRDefault="00AF67C6" w:rsidP="00FC364B">
      <w:pPr>
        <w:spacing w:after="28"/>
        <w:ind w:left="-15" w:right="0" w:firstLine="582"/>
      </w:pPr>
      <w:r>
        <w:t>Smallholder farmers in Mbereshi village, like many villages in Sub-Saharan Africa, have historically relied on LEK to navigate environmental challenges. LEK encompasses community-bred practices and observations, such as the use of migratory bird patterns or plant blooming cycles to predict rainfall, selecting drought-tolerant crop varieties, and practicing intercropping to enhance soil fertility (Hosen</w:t>
      </w:r>
      <w:r w:rsidR="00FE6271">
        <w:t xml:space="preserve"> &amp; Nakamura</w:t>
      </w:r>
      <w:r>
        <w:t xml:space="preserve">, 2020). These practices, passed down through generations, enable farmers to adapt to climatic variability despite limited access to formal climate services, such as meteorological forecasts or irrigation systems. For instance, farmers in Mbereshi village observed natural indicators, like the flowering of specific trees, to determine optimal planting times, a practice that has sustained agricultural productivity in the face of shifting weather patterns (Mwansabombwe Integrated Development Plan, 2024). </w:t>
      </w:r>
    </w:p>
    <w:p w14:paraId="23FF0106" w14:textId="77777777" w:rsidR="00FC364B" w:rsidRDefault="00AF67C6" w:rsidP="00FC364B">
      <w:pPr>
        <w:ind w:left="-15" w:right="0" w:firstLine="582"/>
      </w:pPr>
      <w:r>
        <w:t>The reliance on LEK in Mbereshi village is particularly critical given the village’s socio-economic constraints. Most smallholder farmers operate on small plots of less than two hectares, lack access to credit, and face challenges in adopting modern technologies due to cost and availability (</w:t>
      </w:r>
      <w:r w:rsidR="006106EA">
        <w:t xml:space="preserve">Mwansabombwe Town council, </w:t>
      </w:r>
      <w:r>
        <w:t>202</w:t>
      </w:r>
      <w:r w:rsidR="006106EA">
        <w:t>4</w:t>
      </w:r>
      <w:r>
        <w:t>). Consequently, LEK serves as a primary tool for resilience, enabling farmers to mitigate risks through practices like conservation tillage and agroforestry, which also contribute to environmental sustainability by reducing soil erosion and enhancing carbon sequestration (Zulu et al., 2021). Despite its potential, the specific LEK practices employed in Mbereshi village, their effectiveness, and their integration into formal adaptation frameworks remain underexplored, limiting their recognition in policy and development initiatives.</w:t>
      </w:r>
    </w:p>
    <w:p w14:paraId="791C71EC" w14:textId="2BDDBEB7" w:rsidR="00C70C1E" w:rsidRDefault="00AF67C6" w:rsidP="00FC364B">
      <w:pPr>
        <w:ind w:left="-15" w:right="0" w:firstLine="582"/>
      </w:pPr>
      <w:r>
        <w:t>This study addresses th</w:t>
      </w:r>
      <w:r w:rsidR="007226D2">
        <w:t>e aforementioned</w:t>
      </w:r>
      <w:r>
        <w:t xml:space="preserve"> gap by investigating how smallholder farmers in Mbereshi village utilize LEK to adapt to climate change impacts, such as erratic rainfall and prolonged droughts. By documenting these practices and assessing their contribution to resilience and sustainability, the study aims to contribute to the growing body of literature on indigenous knowledge systems. Furthermore, it seeks to inform localized climate adaptation policies, offering insights that could enhance agricultural resilience in Mbereshi village and similar rural communities across Zambia and beyond. Understanding and promoting LEK can empower farmers, bridge traditional and scientific knowledge, and support sustainable development in the face of escalating climate challenges. </w:t>
      </w:r>
    </w:p>
    <w:p w14:paraId="534B6F82" w14:textId="77777777" w:rsidR="00C70C1E" w:rsidRDefault="00AF67C6" w:rsidP="001342F0">
      <w:pPr>
        <w:spacing w:after="15" w:line="259" w:lineRule="auto"/>
        <w:ind w:left="451" w:right="0" w:hanging="10"/>
        <w:jc w:val="left"/>
      </w:pPr>
      <w:r>
        <w:rPr>
          <w:b/>
        </w:rPr>
        <w:t xml:space="preserve"> </w:t>
      </w:r>
    </w:p>
    <w:p w14:paraId="1001A2F9" w14:textId="43681C23" w:rsidR="00C70C1E" w:rsidRDefault="00AF67C6" w:rsidP="00B20699">
      <w:pPr>
        <w:pStyle w:val="Heading2"/>
        <w:numPr>
          <w:ilvl w:val="1"/>
          <w:numId w:val="7"/>
        </w:numPr>
        <w:tabs>
          <w:tab w:val="center" w:pos="1429"/>
        </w:tabs>
        <w:ind w:left="567" w:right="0" w:hanging="567"/>
      </w:pPr>
      <w:r>
        <w:t xml:space="preserve">Rationale and aim  </w:t>
      </w:r>
    </w:p>
    <w:p w14:paraId="43323C81" w14:textId="48A3EEE1" w:rsidR="00395214" w:rsidRDefault="00AF67C6" w:rsidP="003C2E77">
      <w:pPr>
        <w:spacing w:after="275"/>
        <w:ind w:left="-15" w:right="0" w:firstLine="582"/>
      </w:pPr>
      <w:r>
        <w:t>This research paper was designed to investigate the role of LEK on climate change adaptation among smallholder farmers in Mbereshi village of Mwansabombwe district. The study addressed this issue by examining how smallholder farmers used LEK as a mitigation and adaptation strategy to respond to effects of climate variability and change. The paper was also aimed at examining how LEK strategies contributed to the overall improved agricultural productivity and environmental sustainability.</w:t>
      </w:r>
    </w:p>
    <w:p w14:paraId="0F30EEA9" w14:textId="72F7DDDA" w:rsidR="00C70C1E" w:rsidRDefault="00AF67C6" w:rsidP="00B20699">
      <w:pPr>
        <w:pStyle w:val="Heading1"/>
        <w:numPr>
          <w:ilvl w:val="0"/>
          <w:numId w:val="7"/>
        </w:numPr>
        <w:spacing w:after="234"/>
        <w:ind w:left="567" w:right="0" w:hanging="567"/>
        <w:rPr>
          <w:sz w:val="24"/>
        </w:rPr>
      </w:pPr>
      <w:r>
        <w:rPr>
          <w:sz w:val="24"/>
        </w:rPr>
        <w:t xml:space="preserve">MATERIALS AND METHODS </w:t>
      </w:r>
    </w:p>
    <w:p w14:paraId="5A763B0D" w14:textId="65712463" w:rsidR="00660644" w:rsidRDefault="00141630" w:rsidP="00660644">
      <w:pPr>
        <w:pStyle w:val="ListParagraph"/>
        <w:numPr>
          <w:ilvl w:val="1"/>
          <w:numId w:val="7"/>
        </w:numPr>
        <w:ind w:left="567" w:hanging="567"/>
        <w:rPr>
          <w:b/>
          <w:bCs/>
        </w:rPr>
      </w:pPr>
      <w:r>
        <w:rPr>
          <w:b/>
          <w:bCs/>
        </w:rPr>
        <w:t xml:space="preserve">Description </w:t>
      </w:r>
      <w:r w:rsidR="00395214">
        <w:rPr>
          <w:b/>
          <w:bCs/>
        </w:rPr>
        <w:t xml:space="preserve">of </w:t>
      </w:r>
      <w:r>
        <w:rPr>
          <w:b/>
          <w:bCs/>
        </w:rPr>
        <w:t xml:space="preserve">the </w:t>
      </w:r>
      <w:r w:rsidR="00660644" w:rsidRPr="00660644">
        <w:rPr>
          <w:b/>
          <w:bCs/>
        </w:rPr>
        <w:t>Study Area</w:t>
      </w:r>
    </w:p>
    <w:p w14:paraId="06997393" w14:textId="77777777" w:rsidR="00660644" w:rsidRDefault="00660644" w:rsidP="00660644">
      <w:pPr>
        <w:ind w:firstLine="0"/>
        <w:rPr>
          <w:b/>
          <w:bCs/>
        </w:rPr>
      </w:pPr>
    </w:p>
    <w:p w14:paraId="44CB5867" w14:textId="4ED53594" w:rsidR="00660644" w:rsidRPr="00660644" w:rsidRDefault="00660644" w:rsidP="00D01272">
      <w:pPr>
        <w:spacing w:line="276" w:lineRule="auto"/>
        <w:ind w:firstLine="567"/>
        <w:rPr>
          <w:lang w:val="en-US"/>
        </w:rPr>
      </w:pPr>
      <w:r w:rsidRPr="00660644">
        <w:rPr>
          <w:lang w:val="en-US"/>
        </w:rPr>
        <w:lastRenderedPageBreak/>
        <w:t xml:space="preserve">Mbereshi village </w:t>
      </w:r>
      <w:r w:rsidR="00210414">
        <w:rPr>
          <w:lang w:val="en-US"/>
        </w:rPr>
        <w:t xml:space="preserve">is </w:t>
      </w:r>
      <w:r w:rsidRPr="00660644">
        <w:rPr>
          <w:lang w:val="en-US"/>
        </w:rPr>
        <w:t>located in Mwansabombwe district of Luapula province</w:t>
      </w:r>
      <w:r w:rsidR="00210414">
        <w:rPr>
          <w:lang w:val="en-US"/>
        </w:rPr>
        <w:t xml:space="preserve"> in</w:t>
      </w:r>
      <w:r w:rsidRPr="00660644">
        <w:rPr>
          <w:lang w:val="en-US"/>
        </w:rPr>
        <w:t xml:space="preserve"> Zambia and the area is named after the Mbereshi River. The village is located in an African plate of the Orogenic Belt (Mindat.org, 2024). It lies on the main tarred valley running from Mansa </w:t>
      </w:r>
      <w:r w:rsidR="00210414">
        <w:rPr>
          <w:lang w:val="en-US"/>
        </w:rPr>
        <w:t xml:space="preserve">district </w:t>
      </w:r>
      <w:r w:rsidRPr="00660644">
        <w:rPr>
          <w:lang w:val="en-US"/>
        </w:rPr>
        <w:t xml:space="preserve">to Nchelenge </w:t>
      </w:r>
      <w:r w:rsidR="00210414">
        <w:rPr>
          <w:lang w:val="en-US"/>
        </w:rPr>
        <w:t xml:space="preserve">district </w:t>
      </w:r>
      <w:r w:rsidRPr="00660644">
        <w:rPr>
          <w:lang w:val="en-US"/>
        </w:rPr>
        <w:t xml:space="preserve">and is 10 km north-east of </w:t>
      </w:r>
      <w:r w:rsidR="00210414">
        <w:rPr>
          <w:lang w:val="en-US"/>
        </w:rPr>
        <w:t xml:space="preserve">Paramount Chief </w:t>
      </w:r>
      <w:r w:rsidRPr="00660644">
        <w:rPr>
          <w:lang w:val="en-US"/>
        </w:rPr>
        <w:t xml:space="preserve">Mwata Kazembe </w:t>
      </w:r>
      <w:r w:rsidR="00210414">
        <w:rPr>
          <w:lang w:val="en-US"/>
        </w:rPr>
        <w:t>of Luapu</w:t>
      </w:r>
      <w:r w:rsidR="00D01272">
        <w:rPr>
          <w:lang w:val="en-US"/>
        </w:rPr>
        <w:t xml:space="preserve">la province in Zambia </w:t>
      </w:r>
      <w:r w:rsidRPr="00660644">
        <w:rPr>
          <w:lang w:val="en-US"/>
        </w:rPr>
        <w:t>(M</w:t>
      </w:r>
      <w:r w:rsidR="00553B2B">
        <w:rPr>
          <w:lang w:val="en-US"/>
        </w:rPr>
        <w:t>wansabombwe Town Council, 2024</w:t>
      </w:r>
      <w:r w:rsidRPr="00660644">
        <w:rPr>
          <w:lang w:val="en-US"/>
        </w:rPr>
        <w:t>).</w:t>
      </w:r>
    </w:p>
    <w:p w14:paraId="054DAA3B" w14:textId="77777777" w:rsidR="00660644" w:rsidRDefault="00660644" w:rsidP="00FD410F">
      <w:pPr>
        <w:keepNext/>
        <w:spacing w:after="0"/>
        <w:ind w:firstLine="0"/>
        <w:jc w:val="center"/>
      </w:pPr>
      <w:r w:rsidRPr="00660644">
        <w:rPr>
          <w:b/>
          <w:bCs/>
          <w:noProof/>
        </w:rPr>
        <w:drawing>
          <wp:inline distT="0" distB="0" distL="0" distR="0" wp14:anchorId="74B07D2D" wp14:editId="31BF2D8C">
            <wp:extent cx="4371975" cy="3129647"/>
            <wp:effectExtent l="0" t="0" r="0" b="0"/>
            <wp:docPr id="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27559" cy="3169437"/>
                    </a:xfrm>
                    <a:prstGeom prst="rect">
                      <a:avLst/>
                    </a:prstGeom>
                    <a:noFill/>
                  </pic:spPr>
                </pic:pic>
              </a:graphicData>
            </a:graphic>
          </wp:inline>
        </w:drawing>
      </w:r>
    </w:p>
    <w:p w14:paraId="6506982F" w14:textId="4D08EF71" w:rsidR="00660644" w:rsidRDefault="00660644" w:rsidP="00395214">
      <w:pPr>
        <w:pStyle w:val="Caption"/>
        <w:ind w:left="1418" w:firstLine="0"/>
        <w:jc w:val="left"/>
        <w:rPr>
          <w:i w:val="0"/>
          <w:iCs w:val="0"/>
          <w:color w:val="auto"/>
          <w:sz w:val="22"/>
          <w:szCs w:val="22"/>
        </w:rPr>
      </w:pPr>
      <w:r w:rsidRPr="00660644">
        <w:rPr>
          <w:i w:val="0"/>
          <w:iCs w:val="0"/>
          <w:color w:val="auto"/>
          <w:sz w:val="22"/>
          <w:szCs w:val="22"/>
        </w:rPr>
        <w:t xml:space="preserve">Figure </w:t>
      </w:r>
      <w:r w:rsidRPr="00660644">
        <w:rPr>
          <w:i w:val="0"/>
          <w:iCs w:val="0"/>
          <w:color w:val="auto"/>
          <w:sz w:val="22"/>
          <w:szCs w:val="22"/>
        </w:rPr>
        <w:fldChar w:fldCharType="begin"/>
      </w:r>
      <w:r w:rsidRPr="00660644">
        <w:rPr>
          <w:i w:val="0"/>
          <w:iCs w:val="0"/>
          <w:color w:val="auto"/>
          <w:sz w:val="22"/>
          <w:szCs w:val="22"/>
        </w:rPr>
        <w:instrText xml:space="preserve"> SEQ Figure \* ARABIC </w:instrText>
      </w:r>
      <w:r w:rsidRPr="00660644">
        <w:rPr>
          <w:i w:val="0"/>
          <w:iCs w:val="0"/>
          <w:color w:val="auto"/>
          <w:sz w:val="22"/>
          <w:szCs w:val="22"/>
        </w:rPr>
        <w:fldChar w:fldCharType="separate"/>
      </w:r>
      <w:r w:rsidRPr="00660644">
        <w:rPr>
          <w:i w:val="0"/>
          <w:iCs w:val="0"/>
          <w:noProof/>
          <w:color w:val="auto"/>
          <w:sz w:val="22"/>
          <w:szCs w:val="22"/>
        </w:rPr>
        <w:t>1</w:t>
      </w:r>
      <w:r w:rsidRPr="00660644">
        <w:rPr>
          <w:i w:val="0"/>
          <w:iCs w:val="0"/>
          <w:color w:val="auto"/>
          <w:sz w:val="22"/>
          <w:szCs w:val="22"/>
        </w:rPr>
        <w:fldChar w:fldCharType="end"/>
      </w:r>
      <w:r>
        <w:rPr>
          <w:i w:val="0"/>
          <w:iCs w:val="0"/>
          <w:color w:val="auto"/>
          <w:sz w:val="22"/>
          <w:szCs w:val="22"/>
        </w:rPr>
        <w:t>:</w:t>
      </w:r>
      <w:r w:rsidRPr="00660644">
        <w:rPr>
          <w:i w:val="0"/>
          <w:iCs w:val="0"/>
          <w:color w:val="auto"/>
          <w:sz w:val="22"/>
          <w:szCs w:val="22"/>
        </w:rPr>
        <w:t xml:space="preserve"> Location </w:t>
      </w:r>
      <w:r w:rsidR="00210414">
        <w:rPr>
          <w:i w:val="0"/>
          <w:iCs w:val="0"/>
          <w:color w:val="auto"/>
          <w:sz w:val="22"/>
          <w:szCs w:val="22"/>
        </w:rPr>
        <w:t xml:space="preserve">Map </w:t>
      </w:r>
      <w:r w:rsidRPr="00660644">
        <w:rPr>
          <w:i w:val="0"/>
          <w:iCs w:val="0"/>
          <w:color w:val="auto"/>
          <w:sz w:val="22"/>
          <w:szCs w:val="22"/>
        </w:rPr>
        <w:t xml:space="preserve">of </w:t>
      </w:r>
      <w:r w:rsidR="00210414">
        <w:rPr>
          <w:i w:val="0"/>
          <w:iCs w:val="0"/>
          <w:color w:val="auto"/>
          <w:sz w:val="22"/>
          <w:szCs w:val="22"/>
        </w:rPr>
        <w:t xml:space="preserve">the </w:t>
      </w:r>
      <w:r w:rsidRPr="00660644">
        <w:rPr>
          <w:i w:val="0"/>
          <w:iCs w:val="0"/>
          <w:color w:val="auto"/>
          <w:sz w:val="22"/>
          <w:szCs w:val="22"/>
        </w:rPr>
        <w:t>Study Area</w:t>
      </w:r>
    </w:p>
    <w:p w14:paraId="642544B1" w14:textId="449D80F7" w:rsidR="00920EEF" w:rsidRPr="0047584D" w:rsidRDefault="00920EEF" w:rsidP="00A57F0F">
      <w:pPr>
        <w:spacing w:after="160" w:line="276" w:lineRule="auto"/>
        <w:ind w:right="0" w:firstLine="567"/>
        <w:rPr>
          <w:color w:val="auto"/>
          <w:sz w:val="24"/>
          <w:szCs w:val="24"/>
          <w:lang w:val="en-US" w:eastAsia="en-US"/>
        </w:rPr>
      </w:pPr>
      <w:r>
        <w:rPr>
          <w:color w:val="auto"/>
          <w:sz w:val="24"/>
          <w:szCs w:val="24"/>
          <w:lang w:val="en-US" w:eastAsia="en-US"/>
        </w:rPr>
        <w:t>T</w:t>
      </w:r>
      <w:r w:rsidRPr="00920EEF">
        <w:rPr>
          <w:color w:val="auto"/>
          <w:sz w:val="24"/>
          <w:szCs w:val="24"/>
          <w:lang w:val="en-US" w:eastAsia="en-US"/>
        </w:rPr>
        <w:t xml:space="preserve">he agriculture sector forms the major </w:t>
      </w:r>
      <w:r w:rsidR="00970269">
        <w:rPr>
          <w:color w:val="auto"/>
          <w:sz w:val="24"/>
          <w:szCs w:val="24"/>
          <w:lang w:val="en-US" w:eastAsia="en-US"/>
        </w:rPr>
        <w:t>socio</w:t>
      </w:r>
      <w:r w:rsidRPr="00920EEF">
        <w:rPr>
          <w:color w:val="auto"/>
          <w:sz w:val="24"/>
          <w:szCs w:val="24"/>
          <w:lang w:val="en-US" w:eastAsia="en-US"/>
        </w:rPr>
        <w:t>economic activity that drives people’s livelihoods in terms of food security, income and nutrition</w:t>
      </w:r>
      <w:r>
        <w:rPr>
          <w:color w:val="auto"/>
          <w:sz w:val="24"/>
          <w:szCs w:val="24"/>
          <w:lang w:val="en-US" w:eastAsia="en-US"/>
        </w:rPr>
        <w:t xml:space="preserve"> in Mbereshi village of Mwansabombwe district in Zambia</w:t>
      </w:r>
      <w:r w:rsidRPr="00920EEF">
        <w:rPr>
          <w:color w:val="auto"/>
          <w:sz w:val="24"/>
          <w:szCs w:val="24"/>
          <w:lang w:val="en-US" w:eastAsia="en-US"/>
        </w:rPr>
        <w:t xml:space="preserve">. </w:t>
      </w:r>
      <w:r>
        <w:rPr>
          <w:color w:val="auto"/>
          <w:sz w:val="24"/>
          <w:szCs w:val="24"/>
          <w:lang w:val="en-US" w:eastAsia="en-US"/>
        </w:rPr>
        <w:t>The area is p</w:t>
      </w:r>
      <w:r w:rsidRPr="00920EEF">
        <w:rPr>
          <w:color w:val="auto"/>
          <w:sz w:val="24"/>
          <w:szCs w:val="24"/>
          <w:lang w:val="en-US" w:eastAsia="en-US"/>
        </w:rPr>
        <w:t>redominantly</w:t>
      </w:r>
      <w:r>
        <w:rPr>
          <w:color w:val="auto"/>
          <w:sz w:val="24"/>
          <w:szCs w:val="24"/>
          <w:lang w:val="en-US" w:eastAsia="en-US"/>
        </w:rPr>
        <w:t xml:space="preserve"> a farming community with most or </w:t>
      </w:r>
      <w:r w:rsidRPr="00920EEF">
        <w:rPr>
          <w:color w:val="auto"/>
          <w:sz w:val="24"/>
          <w:szCs w:val="24"/>
          <w:lang w:val="en-US" w:eastAsia="en-US"/>
        </w:rPr>
        <w:t xml:space="preserve">all </w:t>
      </w:r>
      <w:r>
        <w:rPr>
          <w:color w:val="auto"/>
          <w:sz w:val="24"/>
          <w:szCs w:val="24"/>
          <w:lang w:val="en-US" w:eastAsia="en-US"/>
        </w:rPr>
        <w:t xml:space="preserve">of </w:t>
      </w:r>
      <w:r w:rsidRPr="00920EEF">
        <w:rPr>
          <w:color w:val="auto"/>
          <w:sz w:val="24"/>
          <w:szCs w:val="24"/>
          <w:lang w:val="en-US" w:eastAsia="en-US"/>
        </w:rPr>
        <w:t xml:space="preserve">the farmers in the district </w:t>
      </w:r>
      <w:r>
        <w:rPr>
          <w:color w:val="auto"/>
          <w:sz w:val="24"/>
          <w:szCs w:val="24"/>
          <w:lang w:val="en-US" w:eastAsia="en-US"/>
        </w:rPr>
        <w:t xml:space="preserve">being </w:t>
      </w:r>
      <w:r w:rsidRPr="00920EEF">
        <w:rPr>
          <w:color w:val="auto"/>
          <w:sz w:val="24"/>
          <w:szCs w:val="24"/>
          <w:lang w:val="en-US" w:eastAsia="en-US"/>
        </w:rPr>
        <w:t>small</w:t>
      </w:r>
      <w:r w:rsidR="00970269">
        <w:rPr>
          <w:color w:val="auto"/>
          <w:sz w:val="24"/>
          <w:szCs w:val="24"/>
          <w:lang w:val="en-US" w:eastAsia="en-US"/>
        </w:rPr>
        <w:t xml:space="preserve">holder </w:t>
      </w:r>
      <w:r w:rsidRPr="00920EEF">
        <w:rPr>
          <w:color w:val="auto"/>
          <w:sz w:val="24"/>
          <w:szCs w:val="24"/>
          <w:lang w:val="en-US" w:eastAsia="en-US"/>
        </w:rPr>
        <w:t xml:space="preserve">farmers </w:t>
      </w:r>
      <w:r>
        <w:rPr>
          <w:color w:val="auto"/>
          <w:sz w:val="24"/>
          <w:szCs w:val="24"/>
          <w:lang w:val="en-US" w:eastAsia="en-US"/>
        </w:rPr>
        <w:t xml:space="preserve">who </w:t>
      </w:r>
      <w:r w:rsidRPr="00920EEF">
        <w:rPr>
          <w:color w:val="auto"/>
          <w:sz w:val="24"/>
          <w:szCs w:val="24"/>
          <w:lang w:val="en-US" w:eastAsia="en-US"/>
        </w:rPr>
        <w:t xml:space="preserve">depend </w:t>
      </w:r>
      <w:r w:rsidR="00772582">
        <w:rPr>
          <w:color w:val="auto"/>
          <w:sz w:val="24"/>
          <w:szCs w:val="24"/>
          <w:lang w:val="en-US" w:eastAsia="en-US"/>
        </w:rPr>
        <w:t xml:space="preserve">heavily </w:t>
      </w:r>
      <w:r w:rsidRPr="00920EEF">
        <w:rPr>
          <w:color w:val="auto"/>
          <w:sz w:val="24"/>
          <w:szCs w:val="24"/>
          <w:lang w:val="en-US" w:eastAsia="en-US"/>
        </w:rPr>
        <w:t>on hand</w:t>
      </w:r>
      <w:r>
        <w:rPr>
          <w:color w:val="auto"/>
          <w:sz w:val="24"/>
          <w:szCs w:val="24"/>
          <w:lang w:val="en-US" w:eastAsia="en-US"/>
        </w:rPr>
        <w:t xml:space="preserve">-held </w:t>
      </w:r>
      <w:r w:rsidRPr="00920EEF">
        <w:rPr>
          <w:color w:val="auto"/>
          <w:sz w:val="24"/>
          <w:szCs w:val="24"/>
          <w:lang w:val="en-US" w:eastAsia="en-US"/>
        </w:rPr>
        <w:t>hoe</w:t>
      </w:r>
      <w:r>
        <w:rPr>
          <w:color w:val="auto"/>
          <w:sz w:val="24"/>
          <w:szCs w:val="24"/>
          <w:lang w:val="en-US" w:eastAsia="en-US"/>
        </w:rPr>
        <w:t>s</w:t>
      </w:r>
      <w:r w:rsidRPr="00920EEF">
        <w:rPr>
          <w:color w:val="auto"/>
          <w:sz w:val="24"/>
          <w:szCs w:val="24"/>
          <w:lang w:val="en-US" w:eastAsia="en-US"/>
        </w:rPr>
        <w:t xml:space="preserve"> for cultivation</w:t>
      </w:r>
      <w:r>
        <w:rPr>
          <w:color w:val="auto"/>
          <w:sz w:val="24"/>
          <w:szCs w:val="24"/>
          <w:lang w:val="en-US" w:eastAsia="en-US"/>
        </w:rPr>
        <w:t>. T</w:t>
      </w:r>
      <w:r w:rsidRPr="00920EEF">
        <w:rPr>
          <w:color w:val="auto"/>
          <w:sz w:val="24"/>
          <w:szCs w:val="24"/>
          <w:lang w:val="en-US" w:eastAsia="en-US"/>
        </w:rPr>
        <w:t xml:space="preserve">hus, socioeconomic </w:t>
      </w:r>
      <w:r>
        <w:rPr>
          <w:color w:val="auto"/>
          <w:sz w:val="24"/>
          <w:szCs w:val="24"/>
          <w:lang w:val="en-US" w:eastAsia="en-US"/>
        </w:rPr>
        <w:t xml:space="preserve">activities </w:t>
      </w:r>
      <w:r w:rsidRPr="00920EEF">
        <w:rPr>
          <w:color w:val="auto"/>
          <w:sz w:val="24"/>
          <w:szCs w:val="24"/>
          <w:lang w:val="en-US" w:eastAsia="en-US"/>
        </w:rPr>
        <w:t xml:space="preserve">of the area </w:t>
      </w:r>
      <w:r>
        <w:rPr>
          <w:color w:val="auto"/>
          <w:sz w:val="24"/>
          <w:szCs w:val="24"/>
          <w:lang w:val="en-US" w:eastAsia="en-US"/>
        </w:rPr>
        <w:t>are</w:t>
      </w:r>
      <w:r w:rsidRPr="00920EEF">
        <w:rPr>
          <w:color w:val="auto"/>
          <w:sz w:val="24"/>
          <w:szCs w:val="24"/>
          <w:lang w:val="en-US" w:eastAsia="en-US"/>
        </w:rPr>
        <w:t xml:space="preserve"> mostly driven by farming and fishing</w:t>
      </w:r>
      <w:r>
        <w:rPr>
          <w:color w:val="auto"/>
          <w:sz w:val="24"/>
          <w:szCs w:val="24"/>
          <w:lang w:val="en-US" w:eastAsia="en-US"/>
        </w:rPr>
        <w:t xml:space="preserve"> with </w:t>
      </w:r>
      <w:r w:rsidRPr="00920EEF">
        <w:rPr>
          <w:color w:val="auto"/>
          <w:sz w:val="24"/>
          <w:szCs w:val="24"/>
          <w:lang w:val="en-US" w:eastAsia="en-US"/>
        </w:rPr>
        <w:t>maize, sweet potatoes, cassava, beans, pumpkins, watermelons, and cucumbers</w:t>
      </w:r>
      <w:r>
        <w:rPr>
          <w:color w:val="auto"/>
          <w:sz w:val="24"/>
          <w:szCs w:val="24"/>
          <w:lang w:val="en-US" w:eastAsia="en-US"/>
        </w:rPr>
        <w:t xml:space="preserve"> being the crops cultivated</w:t>
      </w:r>
      <w:r w:rsidRPr="00920EEF">
        <w:rPr>
          <w:color w:val="auto"/>
          <w:sz w:val="24"/>
          <w:szCs w:val="24"/>
          <w:lang w:val="en-US" w:eastAsia="en-US"/>
        </w:rPr>
        <w:t>. Crop production relies heavily on rainfall</w:t>
      </w:r>
      <w:r w:rsidR="00970269">
        <w:rPr>
          <w:color w:val="auto"/>
          <w:sz w:val="24"/>
          <w:szCs w:val="24"/>
          <w:lang w:val="en-US" w:eastAsia="en-US"/>
        </w:rPr>
        <w:t xml:space="preserve"> with no </w:t>
      </w:r>
      <w:r w:rsidRPr="00920EEF">
        <w:rPr>
          <w:color w:val="auto"/>
          <w:sz w:val="24"/>
          <w:szCs w:val="24"/>
          <w:lang w:val="en-US" w:eastAsia="en-US"/>
        </w:rPr>
        <w:t xml:space="preserve">smallholder farmers engage in irrigation </w:t>
      </w:r>
      <w:r w:rsidR="00970269">
        <w:rPr>
          <w:color w:val="auto"/>
          <w:sz w:val="24"/>
          <w:szCs w:val="24"/>
          <w:lang w:val="en-US" w:eastAsia="en-US"/>
        </w:rPr>
        <w:t xml:space="preserve">farming </w:t>
      </w:r>
      <w:r w:rsidRPr="00920EEF">
        <w:rPr>
          <w:color w:val="auto"/>
          <w:sz w:val="24"/>
          <w:szCs w:val="24"/>
          <w:lang w:val="en-US" w:eastAsia="en-US"/>
        </w:rPr>
        <w:t>practices. The primary livestock raised in this area consists of goats, pigs, and poultry (Mwansabombwe</w:t>
      </w:r>
      <w:r w:rsidR="00970269">
        <w:rPr>
          <w:color w:val="auto"/>
          <w:sz w:val="24"/>
          <w:szCs w:val="24"/>
          <w:lang w:val="en-US" w:eastAsia="en-US"/>
        </w:rPr>
        <w:t xml:space="preserve"> Town Council</w:t>
      </w:r>
      <w:r w:rsidRPr="00920EEF">
        <w:rPr>
          <w:color w:val="auto"/>
          <w:sz w:val="24"/>
          <w:szCs w:val="24"/>
          <w:lang w:val="en-US" w:eastAsia="en-US"/>
        </w:rPr>
        <w:t>, 2024).</w:t>
      </w:r>
    </w:p>
    <w:p w14:paraId="76C962A4" w14:textId="3455094D" w:rsidR="00660644" w:rsidRPr="00660644" w:rsidRDefault="00660644" w:rsidP="00660644">
      <w:pPr>
        <w:pStyle w:val="ListParagraph"/>
        <w:numPr>
          <w:ilvl w:val="1"/>
          <w:numId w:val="7"/>
        </w:numPr>
        <w:ind w:left="567" w:hanging="567"/>
        <w:rPr>
          <w:b/>
          <w:bCs/>
        </w:rPr>
      </w:pPr>
      <w:r w:rsidRPr="00660644">
        <w:rPr>
          <w:b/>
          <w:bCs/>
        </w:rPr>
        <w:t>Research Design</w:t>
      </w:r>
    </w:p>
    <w:p w14:paraId="63407E24" w14:textId="35B277F7" w:rsidR="00C70C1E" w:rsidRDefault="00AF67C6" w:rsidP="00395214">
      <w:pPr>
        <w:spacing w:before="240" w:after="258"/>
        <w:ind w:left="-15" w:right="0" w:firstLine="582"/>
      </w:pPr>
      <w:r>
        <w:t>This study adopted a mixed methods research design, which combines both qualitative and quantitative approaches together. For qualitative approaches, the study used in-depth interviews and observations while for quantitative approaches, the study used questionnaires to collect data. The qualitative</w:t>
      </w:r>
      <w:r w:rsidR="000225DD">
        <w:t xml:space="preserve"> </w:t>
      </w:r>
      <w:r>
        <w:t xml:space="preserve">approach was used because it allowed the study to investigate its phenomena in their natural settings, meaning that the study findings were derived from real world settings. Thus, this study used both approaches because of their ability to provide a variety of perspectives from which a particular phenomenon can be studied and they both share a common commitment to understanding and improving the human condition, (Sale, Lohfeld and Brazil, 2002).   </w:t>
      </w:r>
    </w:p>
    <w:p w14:paraId="3C34267C" w14:textId="09689B32" w:rsidR="00C70C1E" w:rsidRDefault="00AF67C6" w:rsidP="00142290">
      <w:pPr>
        <w:pStyle w:val="Heading2"/>
        <w:numPr>
          <w:ilvl w:val="1"/>
          <w:numId w:val="7"/>
        </w:numPr>
        <w:tabs>
          <w:tab w:val="center" w:pos="1940"/>
        </w:tabs>
        <w:ind w:left="567" w:right="0" w:hanging="567"/>
      </w:pPr>
      <w:r>
        <w:t xml:space="preserve">Study population and sample </w:t>
      </w:r>
    </w:p>
    <w:p w14:paraId="37B5431B" w14:textId="77777777" w:rsidR="00C70C1E" w:rsidRDefault="00AF67C6" w:rsidP="00D965D9">
      <w:pPr>
        <w:spacing w:after="259"/>
        <w:ind w:left="-15" w:right="0" w:firstLine="582"/>
      </w:pPr>
      <w:r>
        <w:t xml:space="preserve">The target population for this study was all the smallholder farmers domiciled in Mbereshi village of Mwansabombwe district. The study defined the target population as rural producers, mainly in developing countries, who rely primarily on family </w:t>
      </w:r>
      <w:proofErr w:type="spellStart"/>
      <w:r>
        <w:t>labor</w:t>
      </w:r>
      <w:proofErr w:type="spellEnd"/>
      <w:r>
        <w:t xml:space="preserve"> for farming and for whom the farm serves as their main source </w:t>
      </w:r>
      <w:r>
        <w:lastRenderedPageBreak/>
        <w:t xml:space="preserve">of livelihood (Cornish, 1998). The total study sample size was 110 comprising smallholder farmers, community members, local leaders, agricultural extension officers, and individuals deeply involved in rural land management. </w:t>
      </w:r>
    </w:p>
    <w:p w14:paraId="3FDC3767" w14:textId="33732719" w:rsidR="00C70C1E" w:rsidRDefault="00AF67C6" w:rsidP="00142290">
      <w:pPr>
        <w:pStyle w:val="Heading2"/>
        <w:numPr>
          <w:ilvl w:val="1"/>
          <w:numId w:val="7"/>
        </w:numPr>
        <w:tabs>
          <w:tab w:val="center" w:pos="1542"/>
        </w:tabs>
        <w:ind w:left="567" w:right="0" w:hanging="567"/>
      </w:pPr>
      <w:r>
        <w:t xml:space="preserve">Sampling techniques </w:t>
      </w:r>
    </w:p>
    <w:p w14:paraId="7E464707" w14:textId="0181A364" w:rsidR="00C70C1E" w:rsidRDefault="00AF67C6" w:rsidP="00D965D9">
      <w:pPr>
        <w:spacing w:after="256"/>
        <w:ind w:left="-15" w:right="0" w:firstLine="582"/>
      </w:pPr>
      <w:r>
        <w:t>The study employed a combination of probability and non-probability sampling methods to obtain both representative and information rich data. Systematic random sampling was used to select household participants by choosing every third farmer according to the categorization denoted by the researchers. This strategy ensured inclusiveness and minimization of selection bias, especially for the quantitative part of the study. Purposive sampling, also referred to as judgmental or selective sampling (Palinkas et al., 2015), was employed to identify key informants for the qualitative part of the study. The non-probability method involved the deliberate selection of participants based on expert knowledge relevant to the research objectives. For this study, purposive sampling was particularly appropriate because it enabled the selection of individuals with in-depth experience and insights into traditional farming practices and community-based adaptation to climate variability and change. Th</w:t>
      </w:r>
      <w:r w:rsidR="007B619B">
        <w:t>is</w:t>
      </w:r>
      <w:r>
        <w:t xml:space="preserve"> included elderly farmers, local leaders, agricultural extension officers, and individuals who are deeply engaged in land management and possess first-hand knowledge of indigenous ecological strategies. Unlike random sampling which treated all individuals as having equal likelihood of selection, purposive sampling helped target those with direct relevance to the phenomenon under investigation (</w:t>
      </w:r>
      <w:proofErr w:type="spellStart"/>
      <w:r>
        <w:t>Etikan</w:t>
      </w:r>
      <w:proofErr w:type="spellEnd"/>
      <w:r>
        <w:t xml:space="preserve">, Musa, &amp; </w:t>
      </w:r>
      <w:proofErr w:type="spellStart"/>
      <w:r>
        <w:t>Alkassim</w:t>
      </w:r>
      <w:proofErr w:type="spellEnd"/>
      <w:r>
        <w:t xml:space="preserve">, 2016). This approach was essential for generating rich, context-specific data that has illuminated the nuanced role of LEK in climate change adaptation. The combination of these techniques, thus, ensured that the datasets collected were both statistically sound and qualitatively robust, thereby capturing a comprehensive picture of adaptation practices in Mbereshi village. </w:t>
      </w:r>
    </w:p>
    <w:p w14:paraId="691FC4DC" w14:textId="78DA048D" w:rsidR="00C70C1E" w:rsidRDefault="00AF67C6" w:rsidP="00ED1E87">
      <w:pPr>
        <w:pStyle w:val="Heading2"/>
        <w:numPr>
          <w:ilvl w:val="1"/>
          <w:numId w:val="7"/>
        </w:numPr>
        <w:tabs>
          <w:tab w:val="center" w:pos="2020"/>
        </w:tabs>
        <w:ind w:left="567" w:right="0" w:hanging="567"/>
      </w:pPr>
      <w:r>
        <w:t xml:space="preserve">Instruments for data collection </w:t>
      </w:r>
    </w:p>
    <w:p w14:paraId="67B92774" w14:textId="77777777" w:rsidR="00C95B59" w:rsidRDefault="00AF67C6" w:rsidP="00C95B59">
      <w:pPr>
        <w:ind w:left="-15" w:right="0" w:firstLine="582"/>
      </w:pPr>
      <w:r>
        <w:t xml:space="preserve">This study employed three key instruments for data collection namely; structured questionnaires, semi-structured interviews, and direct field observations. The mixed-methods approach was designed to provide both quantifiable data and rich contextual insights into how smallholder farmers in Mbereshi village utilized LEK in adapting to effects of climate variability and change. </w:t>
      </w:r>
      <w:r>
        <w:rPr>
          <w:b/>
          <w:i/>
        </w:rPr>
        <w:t>Structured questionnaires</w:t>
      </w:r>
      <w:r>
        <w:t xml:space="preserve"> were developed using Kobo Toolbox - a digital data collection platform suited for field-based research in low</w:t>
      </w:r>
      <w:r w:rsidR="006A78F6">
        <w:t xml:space="preserve"> </w:t>
      </w:r>
      <w:r>
        <w:t>resource settings (Harvard Humanitarian Initiative, 2022). This tool enabled efficient administration, real time monitoring, and secure storage of responses during the data collection process. The structured questionnaires, which were designed to generate both quantitative and qualitative data, were administered to a sample of 110 respondents, comprising smallholder farmers, community members, and local leaders actively engaged in agriculture within Mbereshi village. The instruments enabled the researchers to collect quantitative insights on farmers’ awareness and perceptions of climate change, their current adaptation strategies, and the extent to which LEK informed their farming decisions.</w:t>
      </w:r>
    </w:p>
    <w:p w14:paraId="2A485C10" w14:textId="77777777" w:rsidR="00C95B59" w:rsidRDefault="00AF67C6" w:rsidP="00C95B59">
      <w:pPr>
        <w:ind w:left="-15" w:right="0" w:firstLine="582"/>
      </w:pPr>
      <w:r>
        <w:t xml:space="preserve">Structured questionnaires also included open-ended questions that allowed respondents to share nuanced reflections, personal experiences, and specific examples of traditional practices. This blend of question types provided the study with both measurable trends and rich contextual narratives, making it possible to triangulate statistical patterns with lived realities. The questionnaires were divided into thematic sections covering demographic characteristics, farming history and observed climate changes, traditional adaptation techniques in applying LEK and the effectiveness of LEK in climate change adaptation. Questions were translated into Bemba to ensure clarity and cultural appropriateness. Before deployment, the tool was pilot-tested with 10 respondents of farmers to refine the clarity, flow, and language of the questions. Additionally, in order to have a fair distribution of household questionnaires, respondents were selected using a purposive sampling strategy, as the study specifically targeted individuals with direct experience in smallholder farming and traditional knowledge systems. This ensured that the data collected were relevant to the research objectives. By focusing on active practitioners of LEK, the study was able to gather reliable information on how farmers were adapting to climate variability and change. </w:t>
      </w:r>
    </w:p>
    <w:p w14:paraId="784BD268" w14:textId="77777777" w:rsidR="00C95B59" w:rsidRDefault="00AF67C6" w:rsidP="00C95B59">
      <w:pPr>
        <w:ind w:left="-15" w:right="0" w:firstLine="582"/>
      </w:pPr>
      <w:r>
        <w:rPr>
          <w:b/>
          <w:i/>
        </w:rPr>
        <w:lastRenderedPageBreak/>
        <w:t>Semi-structured interviews</w:t>
      </w:r>
      <w:r>
        <w:t xml:space="preserve"> were conducted with a total of six key informants, carefully selected for their knowledge, experience, and influence in the community. These included two agricultural extension officers, one senior agricultural officer (SAO), the Sub-Chief of Chilindi under the Mwata-Kazembe Chiefdom, and two other respected local leaders. Each informant was selected purposefully based on their engagement with smallholder farmers, their understanding of traditional practices, and their strategic role in agricultural knowledge dissemination within the community. The interview process followed a semi</w:t>
      </w:r>
      <w:r w:rsidR="00897BE3">
        <w:t>-</w:t>
      </w:r>
      <w:r>
        <w:t>structured format, which offered a balance between consistency across interviews and flexibility to explore context-specific insights.</w:t>
      </w:r>
    </w:p>
    <w:p w14:paraId="04C705C9" w14:textId="77777777" w:rsidR="00C95B59" w:rsidRDefault="00AF67C6" w:rsidP="00C95B59">
      <w:pPr>
        <w:ind w:left="-15" w:right="0" w:firstLine="582"/>
      </w:pPr>
      <w:r>
        <w:t>A printed interview guide was used, while interviews were documented through note-taking, audio recording, and reflective listening. This method enabled researchers to probe deeper into respondents’ unique experiences while clarifying ambiguous responses, and adapting the conversation to emerging themes (Kallio et al., 2016). Interview questions focused on the use of LEK in areas such as rainfall prediction, soil management, seed preservation and selection, and crop diversification. This method was particularly well suited for engaging informants with extensive practical and cultural knowledge that could not be captured through use of structured questionnaires alone. The semi-structured interviews enriched the dataset by providing in-depth qualitative perspectives on how LEK is preserved, transmitted, and adapted in response to changing climatic conditions.</w:t>
      </w:r>
    </w:p>
    <w:p w14:paraId="7F79B0D6" w14:textId="05AACEAA" w:rsidR="00C70C1E" w:rsidRDefault="00AF67C6" w:rsidP="00C95B59">
      <w:pPr>
        <w:ind w:left="-15" w:right="0" w:firstLine="582"/>
      </w:pPr>
      <w:r>
        <w:rPr>
          <w:b/>
          <w:i/>
        </w:rPr>
        <w:t>Direct field observations</w:t>
      </w:r>
      <w:r>
        <w:t xml:space="preserve"> were carried out concurrently with structured questionnaires and interview guides. During the time of data collection, which coincided with the harvesting season, the study systematically documented visible adaptation practices in the farmers’ fields. These included the types of crops grown, evidence of intercropping or crop rotation, soil and water conservation methods, and traditional granaries used for seed storage. An observation checklist guided this process, while photographs and brief field notes were used to capture key findings. Observations served to validate self-reported data and reveal adaptation </w:t>
      </w:r>
      <w:proofErr w:type="spellStart"/>
      <w:r>
        <w:t>behaviors</w:t>
      </w:r>
      <w:proofErr w:type="spellEnd"/>
      <w:r>
        <w:t xml:space="preserve"> that participants may not have verbalized. This was particularly important in a context where some practices were habitual and embedded in everyday routines, and therefore not always consciously acknowledged by respondents. </w:t>
      </w:r>
    </w:p>
    <w:p w14:paraId="7A820C0E" w14:textId="663EA9D7" w:rsidR="00C70C1E" w:rsidRDefault="00AF67C6" w:rsidP="00C95B59">
      <w:pPr>
        <w:pStyle w:val="Heading3"/>
        <w:numPr>
          <w:ilvl w:val="2"/>
          <w:numId w:val="7"/>
        </w:numPr>
        <w:spacing w:before="240"/>
        <w:ind w:left="567" w:right="0" w:hanging="567"/>
      </w:pPr>
      <w:r>
        <w:t xml:space="preserve">Validity of research instruments  </w:t>
      </w:r>
    </w:p>
    <w:p w14:paraId="560D54F0" w14:textId="4B4E4B1F" w:rsidR="00C70C1E" w:rsidRDefault="00AF67C6" w:rsidP="00754CAB">
      <w:pPr>
        <w:ind w:left="-15" w:right="0" w:firstLine="582"/>
      </w:pPr>
      <w:r>
        <w:t>Ensuring the validity of research instruments is critical in guaranteeing that the tools accurately measure what they are intended to assess (Creswell &amp; Creswell, 2018). In this study, particular attention was paid to establishing both content and face validity given the cultural and contextual specificity of LEK and its application in climate change adaptation. A pilot test was conducted with ten respondents</w:t>
      </w:r>
      <w:r w:rsidR="006F0385">
        <w:t xml:space="preserve"> </w:t>
      </w:r>
      <w:r w:rsidR="00A76A7D">
        <w:t>selected randomly</w:t>
      </w:r>
      <w:r>
        <w:t xml:space="preserve"> from each of the three </w:t>
      </w:r>
      <w:r w:rsidR="006F0385">
        <w:t xml:space="preserve">identified </w:t>
      </w:r>
      <w:r>
        <w:t xml:space="preserve">zones namely A, B, and C into which the village had been strategically divided by the researchers for convenience and systematic coverage. This pretesting process served to identify ambiguous terms, overly technical language, and potential discomfort in question framing. Adjustments were made to improve the cultural sensitivity, clarity, and sequencing of questions, particularly those involving traditional ecological indicators and sensitive livelihood topics. Constructing validity was further enhanced through a comparative approach during actual data collection where responses from questionnaires, interviews, and observations were cross-checked to evaluate internal consistency in themes such as traditional seed selection, weather prediction practices, and communal adaptation strategies. This triangulation method, recommended by Babbie (2021), helped the study in confirming the instruments which consistently captured the intended constructs without external distortion. </w:t>
      </w:r>
    </w:p>
    <w:p w14:paraId="5880545A" w14:textId="7FE36097" w:rsidR="00C70C1E" w:rsidRDefault="00AF67C6" w:rsidP="00ED1E87">
      <w:pPr>
        <w:pStyle w:val="Heading3"/>
        <w:numPr>
          <w:ilvl w:val="2"/>
          <w:numId w:val="7"/>
        </w:numPr>
        <w:spacing w:before="240"/>
        <w:ind w:left="567" w:right="0" w:hanging="567"/>
      </w:pPr>
      <w:r>
        <w:t xml:space="preserve">Reliability of research instruments  </w:t>
      </w:r>
    </w:p>
    <w:p w14:paraId="1E328AEA" w14:textId="49C240D8" w:rsidR="00C70C1E" w:rsidRDefault="00AF67C6" w:rsidP="00754CAB">
      <w:pPr>
        <w:spacing w:after="46"/>
        <w:ind w:left="-15" w:right="0" w:firstLine="582"/>
      </w:pPr>
      <w:r>
        <w:t>Reliability refers to the degree to which an instrument consistently produces stable and uniform results when applied under similar conditions (Saunders et al., 201</w:t>
      </w:r>
      <w:r w:rsidR="00932CE4">
        <w:t>6</w:t>
      </w:r>
      <w:r>
        <w:t>). In this study, particular emphasis was placed on ensuring that the research instruments yielded dependable and replicable data across diverse respondents within the study population. The internal reliability of the structured questionnaires was evaluated using the Cronbach’s Alpha Method, which is commonly applied to assess the internal consistency of multiple-item scales (Bryman, 2016). Using a sample of 10 pilot respondents from the three zones of</w:t>
      </w:r>
      <w:r w:rsidR="00B8005D">
        <w:t xml:space="preserve"> </w:t>
      </w:r>
      <w:r>
        <w:t xml:space="preserve">Mbereshi village and </w:t>
      </w:r>
      <w:r>
        <w:lastRenderedPageBreak/>
        <w:t xml:space="preserve">a broader dataset of 100 actual respondents, the computed Cronbach’s Alpha Coefficient was 0.81, which exceeded the conventional threshold of 0.70, indicating a high level of reliability (Taber, 2018). This result suggests that the questionnaire items were cohesively structured and measured the same underlying constructs particularly those related to LEK and adaptive </w:t>
      </w:r>
      <w:r w:rsidR="00A76A7D">
        <w:t>behavior</w:t>
      </w:r>
      <w:r>
        <w:t xml:space="preserve">. During </w:t>
      </w:r>
      <w:r w:rsidR="00A76A7D">
        <w:t xml:space="preserve">interviews and </w:t>
      </w:r>
      <w:r>
        <w:t xml:space="preserve">questionnaire administration, the interaction itself served as a dialogical space where information was clarified, and the broader significance of climate change adaptation was shared with respondents. </w:t>
      </w:r>
      <w:r w:rsidR="00A76A7D">
        <w:t>T</w:t>
      </w:r>
      <w:r>
        <w:t>his process fostered a mutual learning environment in which farmers were both informants and learners</w:t>
      </w:r>
      <w:r w:rsidR="00A76A7D">
        <w:t xml:space="preserve"> at the same time. The process</w:t>
      </w:r>
      <w:r>
        <w:t xml:space="preserve"> </w:t>
      </w:r>
      <w:r w:rsidR="00A76A7D">
        <w:t xml:space="preserve">also </w:t>
      </w:r>
      <w:r>
        <w:t xml:space="preserve">added a degree of transparency and sincerity to the responses, further supporting data credibility. </w:t>
      </w:r>
    </w:p>
    <w:p w14:paraId="1407F818" w14:textId="12E80FD9" w:rsidR="00C70C1E" w:rsidRDefault="00AF67C6" w:rsidP="00ED1E87">
      <w:pPr>
        <w:pStyle w:val="Heading2"/>
        <w:numPr>
          <w:ilvl w:val="1"/>
          <w:numId w:val="7"/>
        </w:numPr>
        <w:tabs>
          <w:tab w:val="center" w:pos="1804"/>
        </w:tabs>
        <w:spacing w:before="240" w:after="178"/>
        <w:ind w:left="567" w:right="0" w:hanging="567"/>
      </w:pPr>
      <w:r>
        <w:t xml:space="preserve">Methods of data collection  </w:t>
      </w:r>
    </w:p>
    <w:p w14:paraId="27425E08" w14:textId="09A9B4BA" w:rsidR="00754CAB" w:rsidRDefault="00754CAB" w:rsidP="00754CAB">
      <w:pPr>
        <w:ind w:left="-15" w:right="0" w:firstLine="582"/>
      </w:pPr>
      <w:r>
        <w:t>In order t</w:t>
      </w:r>
      <w:r w:rsidR="00AF67C6">
        <w:t xml:space="preserve">o gather relevant data, a mixed-methods approach was utilized, combining both quantitative and qualitative data collection techniques. Quantitative data collection involves obtaining numerical information that can be measured and statistically </w:t>
      </w:r>
      <w:r w:rsidR="0090291B">
        <w:t>analysed</w:t>
      </w:r>
      <w:r w:rsidR="00AF67C6">
        <w:t xml:space="preserve"> to identify patterns, relationships, and overall trends (Creswell, 2014). In this study, quantitative datasets were used to assess variables such as farmers' awareness of climate change, the use of LEK, the mitigation practices they employed, and the effectiveness of LEK in enhancing adaptive capacity and resilience. Conversely, qualitative data collection focused on gathering non-numerical, descriptive information that reflected participants’ experiences, perceptions, and social contexts (Merriam &amp; Tisdell, 2016). By employing structured questionnaires, semi-structured interviews, and observations, qualitative methods enabled the study to explore how LEK was used by smallholder farmers to adapt to effects of climate variability and change. The integration of both methods was crucial for this research, as LEK encompasses not only generational knowledge and culture but also measurable outcomes and the social and political dynamics that affect participation and decision-making. A mixed</w:t>
      </w:r>
      <w:r w:rsidR="0090291B">
        <w:t>-</w:t>
      </w:r>
      <w:r w:rsidR="00AF67C6">
        <w:t>methods approach provide</w:t>
      </w:r>
      <w:r w:rsidR="00A95BF6">
        <w:t>s</w:t>
      </w:r>
      <w:r w:rsidR="00AF67C6">
        <w:t xml:space="preserve"> a more comprehensive understanding by leveraging the strengths of both quantitative accuracy and qualitative insights (Shannon-Baker, 2016).</w:t>
      </w:r>
    </w:p>
    <w:p w14:paraId="6BA911A5" w14:textId="2D0DBE8B" w:rsidR="00C70C1E" w:rsidRDefault="00AF67C6" w:rsidP="00754CAB">
      <w:pPr>
        <w:ind w:left="-15" w:right="0" w:firstLine="582"/>
      </w:pPr>
      <w:r>
        <w:t xml:space="preserve">A pilot test involving 10 smallholder farmers across different village zones </w:t>
      </w:r>
      <w:r w:rsidR="00754CAB">
        <w:t xml:space="preserve">was used to </w:t>
      </w:r>
      <w:r>
        <w:t xml:space="preserve">help fine-tune the wording, flow, and cultural relevance of the questions. The study used purposive sampling to select 110 farmers for the household questionnaires. These individuals were specifically chosen because of their direct experience with farming and use of LEK, which was central to the study. This method ensured that the responses came from those most familiar with traditional farming practices and community-based adaptation strategies. The structured questionnaires were administered using Kobo Toolbox. Alongside this, six key informants were interviewed comprising agricultural extension officers, traditional leaders, and other knowledgeable individuals. Their insights helped enrich the understanding of how LEK was used in adapting to climate variability and change. The data collection process became not only a research activity but also an opportunity for dialogue and learning within the community.  </w:t>
      </w:r>
    </w:p>
    <w:p w14:paraId="5016E7D1" w14:textId="77777777" w:rsidR="00C70C1E" w:rsidRDefault="00AF67C6" w:rsidP="001342F0">
      <w:pPr>
        <w:spacing w:after="0" w:line="259" w:lineRule="auto"/>
        <w:ind w:left="566" w:right="0" w:hanging="10"/>
        <w:jc w:val="left"/>
      </w:pPr>
      <w:r>
        <w:t xml:space="preserve"> </w:t>
      </w:r>
    </w:p>
    <w:p w14:paraId="19C826F4" w14:textId="2F16B3F2" w:rsidR="00C70C1E" w:rsidRDefault="00AF67C6" w:rsidP="00ED1E87">
      <w:pPr>
        <w:pStyle w:val="Heading2"/>
        <w:numPr>
          <w:ilvl w:val="1"/>
          <w:numId w:val="7"/>
        </w:numPr>
        <w:tabs>
          <w:tab w:val="center" w:pos="1731"/>
        </w:tabs>
        <w:spacing w:after="176"/>
        <w:ind w:left="567" w:right="0" w:hanging="567"/>
      </w:pPr>
      <w:r>
        <w:t xml:space="preserve">Methods of data analysis  </w:t>
      </w:r>
    </w:p>
    <w:p w14:paraId="2E8B12F1" w14:textId="77777777" w:rsidR="00C70C1E" w:rsidRDefault="00AF67C6" w:rsidP="00F7202B">
      <w:pPr>
        <w:spacing w:before="240" w:after="258"/>
        <w:ind w:left="-15" w:right="0" w:firstLine="582"/>
      </w:pPr>
      <w:r>
        <w:t xml:space="preserve">Data analysis was guided by the mixed-methods research design, which integrated both quantitative and qualitative approaches to provide a comprehensive understanding of how smallholder farmers in Mbereshi village used LEK to adapt to effects of climate variability and change. The method enabled the researchers to capture measurable trends while at the same time uncovering deeper insights into the social and cultural dimensions of traditional adaptation practices. The systematic use of appropriate analytical techniques allowed the researchers to transform raw data into meaningful patterns and evidence-based conclusions that reflected the complex realities of rural adaptation strategies. </w:t>
      </w:r>
    </w:p>
    <w:p w14:paraId="28627926" w14:textId="5831539A" w:rsidR="00C70C1E" w:rsidRDefault="00AF67C6" w:rsidP="00ED1E87">
      <w:pPr>
        <w:pStyle w:val="Heading3"/>
        <w:numPr>
          <w:ilvl w:val="2"/>
          <w:numId w:val="7"/>
        </w:numPr>
        <w:ind w:left="567" w:right="0" w:hanging="567"/>
      </w:pPr>
      <w:r>
        <w:t xml:space="preserve">Qualitative data analysis </w:t>
      </w:r>
    </w:p>
    <w:p w14:paraId="64CE7939" w14:textId="74F928FB" w:rsidR="00C70C1E" w:rsidRDefault="00AF67C6" w:rsidP="00F7202B">
      <w:pPr>
        <w:ind w:left="-15" w:right="0" w:firstLine="582"/>
      </w:pPr>
      <w:r>
        <w:t xml:space="preserve">Qualitative datasets collected from semi-structured interviews and open-ended questionnaires were </w:t>
      </w:r>
      <w:r w:rsidR="00F7202B">
        <w:t>analysed</w:t>
      </w:r>
      <w:r>
        <w:t xml:space="preserve"> using thematic analysis. This method was selected for its capacity to organize and interpret complex narrative data in a flexible yet rigorous manner. The method was also particularly appropriate for </w:t>
      </w:r>
      <w:r>
        <w:lastRenderedPageBreak/>
        <w:t xml:space="preserve">this study as it allowed for the identification of recurring patterns, shared experiences, and context-specific themes related to LEK and climate change resilience. The analysis followed the six-phase framework developed by Braun and Clarke (2021). The researchers first familiarized themselves with the data through repeated reading of transcripts and detailed notes. This was followed by the generation of initial codes that captured key ideas, beliefs, and practices mentioned by participants. These codes were then examined for similarities and grouped into broader themes that reflected the lived experiences and perceptions of respondents. </w:t>
      </w:r>
    </w:p>
    <w:p w14:paraId="600D786A" w14:textId="129C4D9B" w:rsidR="00C70C1E" w:rsidRDefault="00AF67C6" w:rsidP="00F7202B">
      <w:pPr>
        <w:spacing w:after="253"/>
        <w:ind w:left="-15" w:right="0" w:firstLine="582"/>
      </w:pPr>
      <w:r>
        <w:t>Emerging themes from qualitative datasets included</w:t>
      </w:r>
      <w:r w:rsidR="008D6AF8">
        <w:t xml:space="preserve"> </w:t>
      </w:r>
      <w:r>
        <w:t xml:space="preserve">traditional methods of rainfall prediction, indigenous seed preservation, the role of elders in knowledge transmission, and the spiritual significance of farming rituals. These themes were further reviewed and refined to ensure internal coherence, then defined and clearly named in a way that reflected their relevance to the research objectives. This process allowed the study to move beyond surface-level description and explore the deeper meanings embedded in LEK systems. Thematic analysis thus enabled the researcher to highlight how LEK was shaped by culture, memory, and environmental interaction, as well as how it was continuously evolving in response to climate variability and change. As Caulfield (2023) emphasizes, thematic analysis is particularly effective for examining qualitative information from interviews and open-ended responses as it provides structure without compromising interpretive depth. The insights generated through this method were crucial in capturing the subjective and emotional dimensions of adaptation, which are often invisible in purely statistical studies. </w:t>
      </w:r>
    </w:p>
    <w:p w14:paraId="7FD16C3F" w14:textId="536B3BF4" w:rsidR="00C70C1E" w:rsidRDefault="00AF67C6" w:rsidP="00ED1E87">
      <w:pPr>
        <w:pStyle w:val="Heading3"/>
        <w:numPr>
          <w:ilvl w:val="2"/>
          <w:numId w:val="7"/>
        </w:numPr>
        <w:spacing w:after="173"/>
        <w:ind w:left="567" w:right="0" w:hanging="567"/>
      </w:pPr>
      <w:r>
        <w:t xml:space="preserve">Quantitative data analysis </w:t>
      </w:r>
    </w:p>
    <w:p w14:paraId="2032A2C0" w14:textId="411DE0F6" w:rsidR="00C70C1E" w:rsidRDefault="00AF67C6" w:rsidP="00F7202B">
      <w:pPr>
        <w:ind w:left="-15" w:right="0" w:firstLine="582"/>
      </w:pPr>
      <w:r>
        <w:t xml:space="preserve">Quantitative datasets derived from administered structured questionnaires were </w:t>
      </w:r>
      <w:r w:rsidR="0090291B">
        <w:t>analysed</w:t>
      </w:r>
      <w:r>
        <w:t xml:space="preserve"> using the Statistical Package for the Social Sciences (SPSS) Version 29.0 and the Kobo Toolbox. These sets of statistical tools enabled the researchers to manage, clean, and </w:t>
      </w:r>
      <w:r w:rsidR="0090291B">
        <w:t>analyse</w:t>
      </w:r>
      <w:r>
        <w:t xml:space="preserve"> the data with a high degree of precision and consistency. The analysis began with the use of descriptive statistics, which included frequencies, percentages, and means to summarize the socio-demographic characteristics of respondents and their reported use of LEK in agricultural practices. This initial stage of analysis provided a foundational understanding of the profile of smallholder farmers and their general responses to climate-related changes. Additionally, in order to understand the use of LEK by smallholder farmers, a Multiple Regression Analysis was used, in which gender, age of the farmer, educational level, farming experience, farm size, and years lived in the village were the dependent variables against the LEK of smallholder farmers. </w:t>
      </w:r>
    </w:p>
    <w:p w14:paraId="519A6EF3" w14:textId="77777777" w:rsidR="00C70C1E" w:rsidRDefault="00AF67C6" w:rsidP="00F7202B">
      <w:pPr>
        <w:ind w:left="-15" w:right="0" w:firstLine="582"/>
      </w:pPr>
      <w:r>
        <w:t xml:space="preserve">The regression model used was </w:t>
      </w:r>
      <w:proofErr w:type="spellStart"/>
      <w:r>
        <w:t>Y_i</w:t>
      </w:r>
      <w:proofErr w:type="spellEnd"/>
      <w:r>
        <w:t xml:space="preserve">=a+b_1 x_1+b_2 x_2+b_3 x_3+b_4 x_4+b_5 x_5+b_6 x_6+e where, </w:t>
      </w:r>
      <w:proofErr w:type="spellStart"/>
      <w:r>
        <w:t>Y_i</w:t>
      </w:r>
      <w:proofErr w:type="spellEnd"/>
      <w:r>
        <w:t xml:space="preserve"> is the farmer’s LEK; x_1 gender of the farmer; x_2 is the age; x_3 is the educational level; x_4 is the farming experience (in years); x_5 is the farm size; and x_6 is the years lived in the village. b_1, b_2, b_3, b_4, b_5, and b_6 are the regression coefficients of the corresponding independent variables, and “e” is the random error, which is normally and independently distributed with zero (0) mean and constant variance. This method was selected because of its capacity to determine the predictive influence of multiple independent variables on a dependent variable (utilization of LEK). By employing this analysis, the study was able to assess the contribution of selected demographic and farming-related characteristics to the use of LEK among smallholder farmers in Mbereshi village. </w:t>
      </w:r>
    </w:p>
    <w:p w14:paraId="2C9F39E5" w14:textId="45A7AADA" w:rsidR="00C70C1E" w:rsidRDefault="00AF67C6" w:rsidP="00F7202B">
      <w:pPr>
        <w:spacing w:after="253"/>
        <w:ind w:left="-15" w:right="0" w:firstLine="582"/>
      </w:pPr>
      <w:r>
        <w:t xml:space="preserve">The integration of SPSS and Kobo Toolbox in the analysis process enhanced the reliability and objectivity of the findings. These tools allowed for the detection of statistical trends and correlations that validated many of the observations made during qualitative data collection. For example, the regression analysis confirmed that older farmers were more likely to rely on traditional methods of weather forecasting, thereby supporting the qualitative theme of generational knowledge transmission. The use of statistical techniques provided an empirical foundation for the study’s conclusions and reduced the potential for researcher bias. </w:t>
      </w:r>
      <w:r w:rsidR="00AF2C04">
        <w:t>Study findings from q</w:t>
      </w:r>
      <w:r>
        <w:t xml:space="preserve">uantitative </w:t>
      </w:r>
      <w:r w:rsidR="00AF2C04">
        <w:t>datasets</w:t>
      </w:r>
      <w:r>
        <w:t xml:space="preserve"> were used in combination with</w:t>
      </w:r>
      <w:r w:rsidR="00AF2C04">
        <w:t xml:space="preserve"> findings from </w:t>
      </w:r>
      <w:r>
        <w:t xml:space="preserve">qualitative </w:t>
      </w:r>
      <w:r w:rsidR="00AF2C04">
        <w:t>dada</w:t>
      </w:r>
      <w:r>
        <w:t xml:space="preserve"> to develop a rich, triangulated understanding of adaptation practices. </w:t>
      </w:r>
    </w:p>
    <w:p w14:paraId="737CC2F5" w14:textId="045AB432" w:rsidR="00C70C1E" w:rsidRDefault="00AF67C6" w:rsidP="00ED1E87">
      <w:pPr>
        <w:pStyle w:val="Heading2"/>
        <w:numPr>
          <w:ilvl w:val="1"/>
          <w:numId w:val="7"/>
        </w:numPr>
        <w:tabs>
          <w:tab w:val="center" w:pos="1608"/>
        </w:tabs>
        <w:spacing w:after="179"/>
        <w:ind w:left="567" w:right="0" w:hanging="567"/>
      </w:pPr>
      <w:r>
        <w:lastRenderedPageBreak/>
        <w:t xml:space="preserve">Ethical considerations </w:t>
      </w:r>
    </w:p>
    <w:p w14:paraId="145016C2" w14:textId="5B8218CF" w:rsidR="00C70C1E" w:rsidRDefault="00AF67C6" w:rsidP="00F7202B">
      <w:pPr>
        <w:spacing w:after="277"/>
        <w:ind w:left="-15" w:right="0" w:firstLine="582"/>
      </w:pPr>
      <w:r>
        <w:t xml:space="preserve">This study was conducted with strict adherence to ethical standards to ensure the dignity, rights, and well-being of all participants were fully respected throughout the research process. Ethical principles such as informed consent, confidentiality, respect for privacy, and community-level approval guided every stage of data collection. Before collection of any data, all participants were clearly informed about the nature, purpose, and objectives of the study. A detailed explanation was provided covering what participation involved, the voluntary nature of their involvement, and their right to withdraw from the study at any time without consequence. All datasets collected were handled with strict confidentiality while personal identifiers were omitted from the datasets, and responses were coded to protect the identities of participants. In reporting, findings were presented in a way that ensured no individual could be linked to their specific responses, thus safeguarding participants’ privacy. The study was also sensitive to the cultural dynamics of Mbereshi village. Ethical clearance and approval for this research was obtained from the Department of Environment and Climate Sciences of Mukuba University while community-level approval was obtained from the Sub-Chief of Chilindi under Mwata-Kazembe Chiefdom and the Ward </w:t>
      </w:r>
      <w:r w:rsidR="008D6AF8">
        <w:t>Councillor</w:t>
      </w:r>
      <w:r>
        <w:t xml:space="preserve"> of Mbereshi village. This layered ethical clearance ensured that the study was both academically sound and culturally accepted within the local setting. </w:t>
      </w:r>
    </w:p>
    <w:p w14:paraId="5F85DDBA" w14:textId="4FA93CB8" w:rsidR="00C70C1E" w:rsidRDefault="00AF67C6" w:rsidP="00ED1E87">
      <w:pPr>
        <w:pStyle w:val="Heading1"/>
        <w:numPr>
          <w:ilvl w:val="0"/>
          <w:numId w:val="7"/>
        </w:numPr>
        <w:spacing w:after="0"/>
        <w:ind w:left="567" w:right="0" w:hanging="567"/>
      </w:pPr>
      <w:r>
        <w:rPr>
          <w:sz w:val="24"/>
        </w:rPr>
        <w:t xml:space="preserve">RESULTS </w:t>
      </w:r>
    </w:p>
    <w:p w14:paraId="2D980CD3" w14:textId="2C0C58E5" w:rsidR="00C70C1E" w:rsidRDefault="00AF67C6" w:rsidP="00ED1E87">
      <w:pPr>
        <w:pStyle w:val="Heading2"/>
        <w:numPr>
          <w:ilvl w:val="1"/>
          <w:numId w:val="7"/>
        </w:numPr>
        <w:spacing w:after="170"/>
        <w:ind w:left="567" w:right="0" w:hanging="567"/>
      </w:pPr>
      <w:r>
        <w:t xml:space="preserve">Overview of the results </w:t>
      </w:r>
    </w:p>
    <w:p w14:paraId="2F01DBD6" w14:textId="54EE503F" w:rsidR="00C70C1E" w:rsidRDefault="00AF67C6" w:rsidP="00815048">
      <w:pPr>
        <w:spacing w:after="169"/>
        <w:ind w:left="-15" w:right="0" w:firstLine="582"/>
        <w:sectPr w:rsidR="00C70C1E" w:rsidSect="008B092A">
          <w:headerReference w:type="even" r:id="rId9"/>
          <w:headerReference w:type="default" r:id="rId10"/>
          <w:footerReference w:type="even" r:id="rId11"/>
          <w:footerReference w:type="default" r:id="rId12"/>
          <w:headerReference w:type="first" r:id="rId13"/>
          <w:footerReference w:type="first" r:id="rId14"/>
          <w:pgSz w:w="11906" w:h="16838"/>
          <w:pgMar w:top="1154" w:right="1240" w:bottom="1285" w:left="1248" w:header="720" w:footer="721" w:gutter="0"/>
          <w:cols w:space="720"/>
          <w:docGrid w:linePitch="299"/>
        </w:sectPr>
      </w:pPr>
      <w:r>
        <w:t xml:space="preserve">In this section, the researchers offer results of the study on the role of LEK in climate change adaptation among smallholder farmers in Mbereshi village of Mwansabombwe district. The researchers first provide a brief overview of the demographic characteristics of respondents in terms of their gender, age and education level, which are important in determining which category of farmers were actively involved in farming. The researchers then move on to look at the most cultivated crops, which support the farmers’ livelihoods in Mbereshi village before presenting the section on climate change awareness and the use of LEK in relation to climate variability and change among smallholder farmers. The researchers wrap up the results section by looking at the effectiveness of LEK in building adaptive capacity and resilience among smallholder farmers in Mbereshi. </w:t>
      </w:r>
    </w:p>
    <w:p w14:paraId="755B75B5" w14:textId="517592E6" w:rsidR="00C70C1E" w:rsidRDefault="00AF67C6" w:rsidP="00ED1E87">
      <w:pPr>
        <w:pStyle w:val="Heading2"/>
        <w:numPr>
          <w:ilvl w:val="1"/>
          <w:numId w:val="7"/>
        </w:numPr>
        <w:tabs>
          <w:tab w:val="center" w:pos="837"/>
          <w:tab w:val="center" w:pos="2613"/>
        </w:tabs>
        <w:ind w:left="1276" w:right="0" w:hanging="567"/>
      </w:pPr>
      <w:r>
        <w:lastRenderedPageBreak/>
        <w:t xml:space="preserve">Demographic characteristics </w:t>
      </w:r>
    </w:p>
    <w:p w14:paraId="2EFD1D82" w14:textId="77777777" w:rsidR="00E27E1F" w:rsidRDefault="00AF67C6" w:rsidP="00F7202B">
      <w:pPr>
        <w:ind w:left="709" w:right="0" w:firstLine="567"/>
      </w:pPr>
      <w:r>
        <w:t>The demographic characteristics of respondents such as farmers’ gender, age, and education level are very important in determining which category of smallholder farmers were actively involved in agricultural</w:t>
      </w:r>
      <w:r w:rsidR="005D4C96">
        <w:t xml:space="preserve"> </w:t>
      </w:r>
      <w:r>
        <w:t xml:space="preserve">practices. Demographic characteristics are also necessary for measuring and </w:t>
      </w:r>
      <w:r w:rsidR="00940B6D">
        <w:t>analysing</w:t>
      </w:r>
      <w:r>
        <w:t xml:space="preserve"> the variations and complexities related to these factors, and their influence on health within and across different settings. </w:t>
      </w:r>
    </w:p>
    <w:p w14:paraId="78AD303A" w14:textId="4521711C" w:rsidR="00C70C1E" w:rsidRDefault="00AF67C6" w:rsidP="001342F0">
      <w:pPr>
        <w:ind w:left="709" w:right="0" w:hanging="10"/>
      </w:pPr>
      <w:r>
        <w:t xml:space="preserve"> </w:t>
      </w:r>
    </w:p>
    <w:tbl>
      <w:tblPr>
        <w:tblStyle w:val="TableGrid"/>
        <w:tblW w:w="6496" w:type="dxa"/>
        <w:jc w:val="center"/>
        <w:tblInd w:w="0" w:type="dxa"/>
        <w:tblCellMar>
          <w:top w:w="7" w:type="dxa"/>
          <w:left w:w="106" w:type="dxa"/>
          <w:right w:w="53" w:type="dxa"/>
        </w:tblCellMar>
        <w:tblLook w:val="04A0" w:firstRow="1" w:lastRow="0" w:firstColumn="1" w:lastColumn="0" w:noHBand="0" w:noVBand="1"/>
      </w:tblPr>
      <w:tblGrid>
        <w:gridCol w:w="731"/>
        <w:gridCol w:w="903"/>
        <w:gridCol w:w="1219"/>
        <w:gridCol w:w="936"/>
        <w:gridCol w:w="1290"/>
        <w:gridCol w:w="1417"/>
      </w:tblGrid>
      <w:tr w:rsidR="00C70C1E" w14:paraId="4C3FD357" w14:textId="77777777" w:rsidTr="002A7344">
        <w:trPr>
          <w:trHeight w:val="308"/>
          <w:jc w:val="center"/>
        </w:trPr>
        <w:tc>
          <w:tcPr>
            <w:tcW w:w="3789" w:type="dxa"/>
            <w:gridSpan w:val="4"/>
            <w:tcBorders>
              <w:top w:val="single" w:sz="4" w:space="0" w:color="000000"/>
              <w:left w:val="single" w:sz="4" w:space="0" w:color="000000"/>
              <w:bottom w:val="single" w:sz="4" w:space="0" w:color="000000"/>
              <w:right w:val="nil"/>
            </w:tcBorders>
          </w:tcPr>
          <w:p w14:paraId="27201E21" w14:textId="77777777" w:rsidR="00C70C1E" w:rsidRDefault="00AF67C6" w:rsidP="001342F0">
            <w:pPr>
              <w:spacing w:after="0" w:line="259" w:lineRule="auto"/>
              <w:ind w:left="2" w:right="0" w:hanging="10"/>
              <w:jc w:val="left"/>
            </w:pPr>
            <w:r>
              <w:rPr>
                <w:b/>
              </w:rPr>
              <w:t>Table 1</w:t>
            </w:r>
            <w:r>
              <w:t xml:space="preserve">: Gender of respondents </w:t>
            </w:r>
          </w:p>
        </w:tc>
        <w:tc>
          <w:tcPr>
            <w:tcW w:w="1290" w:type="dxa"/>
            <w:tcBorders>
              <w:top w:val="single" w:sz="4" w:space="0" w:color="000000"/>
              <w:left w:val="nil"/>
              <w:bottom w:val="single" w:sz="4" w:space="0" w:color="000000"/>
              <w:right w:val="nil"/>
            </w:tcBorders>
          </w:tcPr>
          <w:p w14:paraId="1630919C" w14:textId="77777777" w:rsidR="00C70C1E" w:rsidRDefault="00C70C1E" w:rsidP="001342F0">
            <w:pPr>
              <w:spacing w:after="160" w:line="259" w:lineRule="auto"/>
              <w:ind w:right="0" w:hanging="10"/>
              <w:jc w:val="left"/>
            </w:pPr>
          </w:p>
        </w:tc>
        <w:tc>
          <w:tcPr>
            <w:tcW w:w="1417" w:type="dxa"/>
            <w:tcBorders>
              <w:top w:val="single" w:sz="4" w:space="0" w:color="000000"/>
              <w:left w:val="nil"/>
              <w:bottom w:val="single" w:sz="4" w:space="0" w:color="000000"/>
              <w:right w:val="single" w:sz="4" w:space="0" w:color="000000"/>
            </w:tcBorders>
          </w:tcPr>
          <w:p w14:paraId="604EDB4C" w14:textId="77777777" w:rsidR="00C70C1E" w:rsidRDefault="00C70C1E" w:rsidP="001342F0">
            <w:pPr>
              <w:spacing w:after="160" w:line="259" w:lineRule="auto"/>
              <w:ind w:right="0" w:hanging="10"/>
              <w:jc w:val="left"/>
            </w:pPr>
          </w:p>
        </w:tc>
      </w:tr>
      <w:tr w:rsidR="00C70C1E" w14:paraId="0B5F7DD7" w14:textId="77777777" w:rsidTr="002A7344">
        <w:trPr>
          <w:trHeight w:val="414"/>
          <w:jc w:val="center"/>
        </w:trPr>
        <w:tc>
          <w:tcPr>
            <w:tcW w:w="1634" w:type="dxa"/>
            <w:gridSpan w:val="2"/>
            <w:tcBorders>
              <w:top w:val="single" w:sz="4" w:space="0" w:color="000000"/>
              <w:left w:val="single" w:sz="4" w:space="0" w:color="000000"/>
              <w:bottom w:val="single" w:sz="4" w:space="0" w:color="000000"/>
              <w:right w:val="single" w:sz="4" w:space="0" w:color="000000"/>
            </w:tcBorders>
            <w:vAlign w:val="center"/>
          </w:tcPr>
          <w:p w14:paraId="479B9D8D" w14:textId="77777777" w:rsidR="00C70C1E" w:rsidRDefault="00AF67C6" w:rsidP="001342F0">
            <w:pPr>
              <w:spacing w:after="0" w:line="259" w:lineRule="auto"/>
              <w:ind w:left="2" w:right="0" w:hanging="10"/>
              <w:jc w:val="center"/>
            </w:pPr>
            <w:r>
              <w:rPr>
                <w:b/>
              </w:rPr>
              <w:t xml:space="preserve"> </w:t>
            </w:r>
          </w:p>
        </w:tc>
        <w:tc>
          <w:tcPr>
            <w:tcW w:w="1219" w:type="dxa"/>
            <w:tcBorders>
              <w:top w:val="single" w:sz="4" w:space="0" w:color="000000"/>
              <w:left w:val="single" w:sz="4" w:space="0" w:color="000000"/>
              <w:bottom w:val="single" w:sz="4" w:space="0" w:color="000000"/>
              <w:right w:val="single" w:sz="4" w:space="0" w:color="000000"/>
            </w:tcBorders>
            <w:vAlign w:val="center"/>
          </w:tcPr>
          <w:p w14:paraId="37F8081C" w14:textId="77777777" w:rsidR="00C70C1E" w:rsidRDefault="00AF67C6" w:rsidP="001342F0">
            <w:pPr>
              <w:spacing w:after="0" w:line="259" w:lineRule="auto"/>
              <w:ind w:left="2" w:right="0" w:hanging="10"/>
              <w:jc w:val="left"/>
            </w:pPr>
            <w:r>
              <w:rPr>
                <w:b/>
              </w:rPr>
              <w:t xml:space="preserve">Frequency </w:t>
            </w:r>
          </w:p>
        </w:tc>
        <w:tc>
          <w:tcPr>
            <w:tcW w:w="936" w:type="dxa"/>
            <w:tcBorders>
              <w:top w:val="single" w:sz="4" w:space="0" w:color="000000"/>
              <w:left w:val="single" w:sz="4" w:space="0" w:color="000000"/>
              <w:bottom w:val="single" w:sz="4" w:space="0" w:color="000000"/>
              <w:right w:val="single" w:sz="4" w:space="0" w:color="000000"/>
            </w:tcBorders>
            <w:vAlign w:val="center"/>
          </w:tcPr>
          <w:p w14:paraId="415BE480" w14:textId="77777777" w:rsidR="00C70C1E" w:rsidRDefault="00AF67C6" w:rsidP="001342F0">
            <w:pPr>
              <w:spacing w:after="0" w:line="259" w:lineRule="auto"/>
              <w:ind w:right="0" w:hanging="10"/>
              <w:jc w:val="left"/>
            </w:pPr>
            <w:r>
              <w:rPr>
                <w:b/>
              </w:rPr>
              <w:t xml:space="preserve">Percent </w:t>
            </w:r>
          </w:p>
        </w:tc>
        <w:tc>
          <w:tcPr>
            <w:tcW w:w="1290" w:type="dxa"/>
            <w:tcBorders>
              <w:top w:val="single" w:sz="4" w:space="0" w:color="000000"/>
              <w:left w:val="single" w:sz="4" w:space="0" w:color="000000"/>
              <w:bottom w:val="single" w:sz="4" w:space="0" w:color="000000"/>
              <w:right w:val="single" w:sz="4" w:space="0" w:color="000000"/>
            </w:tcBorders>
            <w:vAlign w:val="center"/>
          </w:tcPr>
          <w:p w14:paraId="7D59E387" w14:textId="77777777" w:rsidR="00C70C1E" w:rsidRDefault="00AF67C6" w:rsidP="001342F0">
            <w:pPr>
              <w:spacing w:after="0" w:line="259" w:lineRule="auto"/>
              <w:ind w:left="2" w:right="0" w:hanging="10"/>
              <w:jc w:val="left"/>
            </w:pPr>
            <w:r>
              <w:rPr>
                <w:b/>
              </w:rPr>
              <w:t xml:space="preserve">Valid Percent </w:t>
            </w:r>
          </w:p>
        </w:tc>
        <w:tc>
          <w:tcPr>
            <w:tcW w:w="1417" w:type="dxa"/>
            <w:tcBorders>
              <w:top w:val="single" w:sz="4" w:space="0" w:color="000000"/>
              <w:left w:val="single" w:sz="4" w:space="0" w:color="000000"/>
              <w:bottom w:val="single" w:sz="4" w:space="0" w:color="000000"/>
              <w:right w:val="single" w:sz="4" w:space="0" w:color="000000"/>
            </w:tcBorders>
          </w:tcPr>
          <w:p w14:paraId="7C7ABADC" w14:textId="17940605" w:rsidR="00C70C1E" w:rsidRDefault="003E5E9A" w:rsidP="001342F0">
            <w:pPr>
              <w:spacing w:after="0" w:line="259" w:lineRule="auto"/>
              <w:ind w:right="0" w:hanging="10"/>
              <w:jc w:val="center"/>
            </w:pPr>
            <w:r w:rsidRPr="003E5E9A">
              <w:rPr>
                <w:b/>
              </w:rPr>
              <w:t>Cumulative Percent</w:t>
            </w:r>
            <w:r w:rsidR="00AF67C6" w:rsidRPr="003E5E9A">
              <w:rPr>
                <w:b/>
              </w:rPr>
              <w:t xml:space="preserve"> </w:t>
            </w:r>
          </w:p>
        </w:tc>
      </w:tr>
      <w:tr w:rsidR="00C70C1E" w14:paraId="59733AAA" w14:textId="77777777" w:rsidTr="002A7344">
        <w:trPr>
          <w:trHeight w:val="262"/>
          <w:jc w:val="center"/>
        </w:trPr>
        <w:tc>
          <w:tcPr>
            <w:tcW w:w="731" w:type="dxa"/>
            <w:vMerge w:val="restart"/>
            <w:tcBorders>
              <w:top w:val="single" w:sz="4" w:space="0" w:color="000000"/>
              <w:left w:val="single" w:sz="4" w:space="0" w:color="000000"/>
              <w:bottom w:val="single" w:sz="4" w:space="0" w:color="000000"/>
              <w:right w:val="single" w:sz="4" w:space="0" w:color="000000"/>
            </w:tcBorders>
            <w:vAlign w:val="center"/>
          </w:tcPr>
          <w:p w14:paraId="696B5494" w14:textId="77777777" w:rsidR="00C70C1E" w:rsidRDefault="00AF67C6" w:rsidP="001342F0">
            <w:pPr>
              <w:spacing w:after="0" w:line="259" w:lineRule="auto"/>
              <w:ind w:left="2" w:right="0" w:hanging="10"/>
              <w:jc w:val="left"/>
            </w:pPr>
            <w:r>
              <w:rPr>
                <w:b/>
              </w:rPr>
              <w:t xml:space="preserve">Valid </w:t>
            </w:r>
          </w:p>
        </w:tc>
        <w:tc>
          <w:tcPr>
            <w:tcW w:w="903" w:type="dxa"/>
            <w:tcBorders>
              <w:top w:val="single" w:sz="4" w:space="0" w:color="000000"/>
              <w:left w:val="single" w:sz="4" w:space="0" w:color="000000"/>
              <w:bottom w:val="single" w:sz="4" w:space="0" w:color="000000"/>
              <w:right w:val="single" w:sz="4" w:space="0" w:color="000000"/>
            </w:tcBorders>
          </w:tcPr>
          <w:p w14:paraId="5598A9CD" w14:textId="77777777" w:rsidR="00C70C1E" w:rsidRDefault="00AF67C6" w:rsidP="001342F0">
            <w:pPr>
              <w:spacing w:after="0" w:line="259" w:lineRule="auto"/>
              <w:ind w:left="2" w:right="0" w:hanging="10"/>
              <w:jc w:val="left"/>
            </w:pPr>
            <w:r>
              <w:rPr>
                <w:b/>
              </w:rPr>
              <w:t xml:space="preserve">Female </w:t>
            </w:r>
          </w:p>
        </w:tc>
        <w:tc>
          <w:tcPr>
            <w:tcW w:w="1219" w:type="dxa"/>
            <w:tcBorders>
              <w:top w:val="single" w:sz="4" w:space="0" w:color="000000"/>
              <w:left w:val="single" w:sz="4" w:space="0" w:color="000000"/>
              <w:bottom w:val="single" w:sz="4" w:space="0" w:color="000000"/>
              <w:right w:val="single" w:sz="4" w:space="0" w:color="000000"/>
            </w:tcBorders>
          </w:tcPr>
          <w:p w14:paraId="5CB6F6DC" w14:textId="77777777" w:rsidR="00C70C1E" w:rsidRDefault="00AF67C6" w:rsidP="001342F0">
            <w:pPr>
              <w:spacing w:after="0" w:line="259" w:lineRule="auto"/>
              <w:ind w:right="53" w:hanging="10"/>
              <w:jc w:val="center"/>
            </w:pPr>
            <w:r>
              <w:t xml:space="preserve">59 </w:t>
            </w:r>
          </w:p>
        </w:tc>
        <w:tc>
          <w:tcPr>
            <w:tcW w:w="936" w:type="dxa"/>
            <w:tcBorders>
              <w:top w:val="single" w:sz="4" w:space="0" w:color="000000"/>
              <w:left w:val="single" w:sz="4" w:space="0" w:color="000000"/>
              <w:bottom w:val="single" w:sz="4" w:space="0" w:color="000000"/>
              <w:right w:val="single" w:sz="4" w:space="0" w:color="000000"/>
            </w:tcBorders>
          </w:tcPr>
          <w:p w14:paraId="72294A82" w14:textId="77777777" w:rsidR="00C70C1E" w:rsidRDefault="00AF67C6" w:rsidP="001342F0">
            <w:pPr>
              <w:spacing w:after="0" w:line="259" w:lineRule="auto"/>
              <w:ind w:right="56" w:hanging="10"/>
              <w:jc w:val="center"/>
            </w:pPr>
            <w:r>
              <w:t xml:space="preserve">53.6 </w:t>
            </w:r>
          </w:p>
        </w:tc>
        <w:tc>
          <w:tcPr>
            <w:tcW w:w="1290" w:type="dxa"/>
            <w:tcBorders>
              <w:top w:val="single" w:sz="4" w:space="0" w:color="000000"/>
              <w:left w:val="single" w:sz="4" w:space="0" w:color="000000"/>
              <w:bottom w:val="single" w:sz="4" w:space="0" w:color="000000"/>
              <w:right w:val="single" w:sz="4" w:space="0" w:color="000000"/>
            </w:tcBorders>
          </w:tcPr>
          <w:p w14:paraId="351C4F58" w14:textId="77777777" w:rsidR="00C70C1E" w:rsidRDefault="00AF67C6" w:rsidP="001342F0">
            <w:pPr>
              <w:spacing w:after="0" w:line="259" w:lineRule="auto"/>
              <w:ind w:right="50" w:hanging="10"/>
              <w:jc w:val="center"/>
            </w:pPr>
            <w:r>
              <w:t xml:space="preserve">53.6 </w:t>
            </w:r>
          </w:p>
        </w:tc>
        <w:tc>
          <w:tcPr>
            <w:tcW w:w="1417" w:type="dxa"/>
            <w:tcBorders>
              <w:top w:val="single" w:sz="4" w:space="0" w:color="000000"/>
              <w:left w:val="single" w:sz="4" w:space="0" w:color="000000"/>
              <w:bottom w:val="single" w:sz="4" w:space="0" w:color="000000"/>
              <w:right w:val="single" w:sz="4" w:space="0" w:color="000000"/>
            </w:tcBorders>
          </w:tcPr>
          <w:p w14:paraId="1A1CAF06" w14:textId="77777777" w:rsidR="00C70C1E" w:rsidRDefault="00AF67C6" w:rsidP="001342F0">
            <w:pPr>
              <w:spacing w:after="0" w:line="259" w:lineRule="auto"/>
              <w:ind w:right="53" w:hanging="10"/>
              <w:jc w:val="center"/>
            </w:pPr>
            <w:r>
              <w:t xml:space="preserve">53.6 </w:t>
            </w:r>
          </w:p>
        </w:tc>
      </w:tr>
      <w:tr w:rsidR="00C70C1E" w14:paraId="4BA0DFAD" w14:textId="77777777" w:rsidTr="002A7344">
        <w:trPr>
          <w:trHeight w:val="264"/>
          <w:jc w:val="center"/>
        </w:trPr>
        <w:tc>
          <w:tcPr>
            <w:tcW w:w="0" w:type="auto"/>
            <w:vMerge/>
            <w:tcBorders>
              <w:top w:val="nil"/>
              <w:left w:val="single" w:sz="4" w:space="0" w:color="000000"/>
              <w:bottom w:val="nil"/>
              <w:right w:val="single" w:sz="4" w:space="0" w:color="000000"/>
            </w:tcBorders>
          </w:tcPr>
          <w:p w14:paraId="349E8285" w14:textId="77777777" w:rsidR="00C70C1E" w:rsidRDefault="00C70C1E" w:rsidP="001342F0">
            <w:pPr>
              <w:spacing w:after="160" w:line="259" w:lineRule="auto"/>
              <w:ind w:right="0" w:hanging="10"/>
              <w:jc w:val="left"/>
            </w:pPr>
          </w:p>
        </w:tc>
        <w:tc>
          <w:tcPr>
            <w:tcW w:w="903" w:type="dxa"/>
            <w:tcBorders>
              <w:top w:val="single" w:sz="4" w:space="0" w:color="000000"/>
              <w:left w:val="single" w:sz="4" w:space="0" w:color="000000"/>
              <w:bottom w:val="single" w:sz="4" w:space="0" w:color="000000"/>
              <w:right w:val="single" w:sz="4" w:space="0" w:color="000000"/>
            </w:tcBorders>
          </w:tcPr>
          <w:p w14:paraId="4001FE56" w14:textId="77777777" w:rsidR="00C70C1E" w:rsidRDefault="00AF67C6" w:rsidP="001342F0">
            <w:pPr>
              <w:spacing w:after="0" w:line="259" w:lineRule="auto"/>
              <w:ind w:left="106" w:right="0" w:hanging="10"/>
              <w:jc w:val="left"/>
            </w:pPr>
            <w:r>
              <w:rPr>
                <w:b/>
              </w:rPr>
              <w:t xml:space="preserve">Male </w:t>
            </w:r>
          </w:p>
        </w:tc>
        <w:tc>
          <w:tcPr>
            <w:tcW w:w="1219" w:type="dxa"/>
            <w:tcBorders>
              <w:top w:val="single" w:sz="4" w:space="0" w:color="000000"/>
              <w:left w:val="single" w:sz="4" w:space="0" w:color="000000"/>
              <w:bottom w:val="single" w:sz="4" w:space="0" w:color="000000"/>
              <w:right w:val="single" w:sz="4" w:space="0" w:color="000000"/>
            </w:tcBorders>
          </w:tcPr>
          <w:p w14:paraId="2786F0CD" w14:textId="77777777" w:rsidR="00C70C1E" w:rsidRDefault="00AF67C6" w:rsidP="001342F0">
            <w:pPr>
              <w:spacing w:after="0" w:line="259" w:lineRule="auto"/>
              <w:ind w:right="53" w:hanging="10"/>
              <w:jc w:val="center"/>
            </w:pPr>
            <w:r>
              <w:t xml:space="preserve">51 </w:t>
            </w:r>
          </w:p>
        </w:tc>
        <w:tc>
          <w:tcPr>
            <w:tcW w:w="936" w:type="dxa"/>
            <w:tcBorders>
              <w:top w:val="single" w:sz="4" w:space="0" w:color="000000"/>
              <w:left w:val="single" w:sz="4" w:space="0" w:color="000000"/>
              <w:bottom w:val="single" w:sz="4" w:space="0" w:color="000000"/>
              <w:right w:val="single" w:sz="4" w:space="0" w:color="000000"/>
            </w:tcBorders>
          </w:tcPr>
          <w:p w14:paraId="7ED0ADDA" w14:textId="77777777" w:rsidR="00C70C1E" w:rsidRDefault="00AF67C6" w:rsidP="001342F0">
            <w:pPr>
              <w:spacing w:after="0" w:line="259" w:lineRule="auto"/>
              <w:ind w:right="56" w:hanging="10"/>
              <w:jc w:val="center"/>
            </w:pPr>
            <w:r>
              <w:t xml:space="preserve">46.4 </w:t>
            </w:r>
          </w:p>
        </w:tc>
        <w:tc>
          <w:tcPr>
            <w:tcW w:w="1290" w:type="dxa"/>
            <w:tcBorders>
              <w:top w:val="single" w:sz="4" w:space="0" w:color="000000"/>
              <w:left w:val="single" w:sz="4" w:space="0" w:color="000000"/>
              <w:bottom w:val="single" w:sz="4" w:space="0" w:color="000000"/>
              <w:right w:val="single" w:sz="4" w:space="0" w:color="000000"/>
            </w:tcBorders>
          </w:tcPr>
          <w:p w14:paraId="26AA8C0B" w14:textId="77777777" w:rsidR="00C70C1E" w:rsidRDefault="00AF67C6" w:rsidP="001342F0">
            <w:pPr>
              <w:spacing w:after="0" w:line="259" w:lineRule="auto"/>
              <w:ind w:right="50" w:hanging="10"/>
              <w:jc w:val="center"/>
            </w:pPr>
            <w:r>
              <w:t xml:space="preserve">46.4 </w:t>
            </w:r>
          </w:p>
        </w:tc>
        <w:tc>
          <w:tcPr>
            <w:tcW w:w="1417" w:type="dxa"/>
            <w:tcBorders>
              <w:top w:val="single" w:sz="4" w:space="0" w:color="000000"/>
              <w:left w:val="single" w:sz="4" w:space="0" w:color="000000"/>
              <w:bottom w:val="single" w:sz="4" w:space="0" w:color="000000"/>
              <w:right w:val="single" w:sz="4" w:space="0" w:color="000000"/>
            </w:tcBorders>
          </w:tcPr>
          <w:p w14:paraId="77CB419B" w14:textId="77777777" w:rsidR="00C70C1E" w:rsidRDefault="00AF67C6" w:rsidP="001342F0">
            <w:pPr>
              <w:spacing w:after="0" w:line="259" w:lineRule="auto"/>
              <w:ind w:right="53" w:hanging="10"/>
              <w:jc w:val="center"/>
            </w:pPr>
            <w:r>
              <w:t xml:space="preserve">100.0 </w:t>
            </w:r>
          </w:p>
        </w:tc>
      </w:tr>
      <w:tr w:rsidR="00C70C1E" w14:paraId="70119781" w14:textId="77777777" w:rsidTr="002A7344">
        <w:trPr>
          <w:trHeight w:val="264"/>
          <w:jc w:val="center"/>
        </w:trPr>
        <w:tc>
          <w:tcPr>
            <w:tcW w:w="0" w:type="auto"/>
            <w:vMerge/>
            <w:tcBorders>
              <w:top w:val="nil"/>
              <w:left w:val="single" w:sz="4" w:space="0" w:color="000000"/>
              <w:bottom w:val="single" w:sz="4" w:space="0" w:color="000000"/>
              <w:right w:val="single" w:sz="4" w:space="0" w:color="000000"/>
            </w:tcBorders>
          </w:tcPr>
          <w:p w14:paraId="75B1E02A" w14:textId="77777777" w:rsidR="00C70C1E" w:rsidRDefault="00C70C1E" w:rsidP="001342F0">
            <w:pPr>
              <w:spacing w:after="160" w:line="259" w:lineRule="auto"/>
              <w:ind w:right="0" w:hanging="10"/>
              <w:jc w:val="left"/>
            </w:pPr>
          </w:p>
        </w:tc>
        <w:tc>
          <w:tcPr>
            <w:tcW w:w="903" w:type="dxa"/>
            <w:tcBorders>
              <w:top w:val="single" w:sz="4" w:space="0" w:color="000000"/>
              <w:left w:val="single" w:sz="4" w:space="0" w:color="000000"/>
              <w:bottom w:val="single" w:sz="4" w:space="0" w:color="000000"/>
              <w:right w:val="single" w:sz="4" w:space="0" w:color="000000"/>
            </w:tcBorders>
          </w:tcPr>
          <w:p w14:paraId="43F18FD0" w14:textId="77777777" w:rsidR="00C70C1E" w:rsidRDefault="00AF67C6" w:rsidP="001342F0">
            <w:pPr>
              <w:spacing w:after="0" w:line="259" w:lineRule="auto"/>
              <w:ind w:right="55" w:hanging="10"/>
              <w:jc w:val="center"/>
            </w:pPr>
            <w:r>
              <w:rPr>
                <w:b/>
              </w:rPr>
              <w:t xml:space="preserve">Total </w:t>
            </w:r>
          </w:p>
        </w:tc>
        <w:tc>
          <w:tcPr>
            <w:tcW w:w="1219" w:type="dxa"/>
            <w:tcBorders>
              <w:top w:val="single" w:sz="4" w:space="0" w:color="000000"/>
              <w:left w:val="single" w:sz="4" w:space="0" w:color="000000"/>
              <w:bottom w:val="single" w:sz="4" w:space="0" w:color="000000"/>
              <w:right w:val="single" w:sz="4" w:space="0" w:color="000000"/>
            </w:tcBorders>
          </w:tcPr>
          <w:p w14:paraId="2526EF69" w14:textId="77777777" w:rsidR="00C70C1E" w:rsidRDefault="00AF67C6" w:rsidP="001342F0">
            <w:pPr>
              <w:spacing w:after="0" w:line="259" w:lineRule="auto"/>
              <w:ind w:right="53" w:hanging="10"/>
              <w:jc w:val="center"/>
            </w:pPr>
            <w:r>
              <w:t xml:space="preserve">110 </w:t>
            </w:r>
          </w:p>
        </w:tc>
        <w:tc>
          <w:tcPr>
            <w:tcW w:w="936" w:type="dxa"/>
            <w:tcBorders>
              <w:top w:val="single" w:sz="4" w:space="0" w:color="000000"/>
              <w:left w:val="single" w:sz="4" w:space="0" w:color="000000"/>
              <w:bottom w:val="single" w:sz="4" w:space="0" w:color="000000"/>
              <w:right w:val="single" w:sz="4" w:space="0" w:color="000000"/>
            </w:tcBorders>
          </w:tcPr>
          <w:p w14:paraId="61BB689B" w14:textId="77777777" w:rsidR="00C70C1E" w:rsidRDefault="00AF67C6" w:rsidP="001342F0">
            <w:pPr>
              <w:spacing w:after="0" w:line="259" w:lineRule="auto"/>
              <w:ind w:right="56" w:hanging="10"/>
              <w:jc w:val="center"/>
            </w:pPr>
            <w:r>
              <w:t xml:space="preserve">100.0 </w:t>
            </w:r>
          </w:p>
        </w:tc>
        <w:tc>
          <w:tcPr>
            <w:tcW w:w="1290" w:type="dxa"/>
            <w:tcBorders>
              <w:top w:val="single" w:sz="4" w:space="0" w:color="000000"/>
              <w:left w:val="single" w:sz="4" w:space="0" w:color="000000"/>
              <w:bottom w:val="single" w:sz="4" w:space="0" w:color="000000"/>
              <w:right w:val="single" w:sz="4" w:space="0" w:color="000000"/>
            </w:tcBorders>
          </w:tcPr>
          <w:p w14:paraId="6DA8FDDD" w14:textId="77777777" w:rsidR="00C70C1E" w:rsidRDefault="00AF67C6" w:rsidP="001342F0">
            <w:pPr>
              <w:spacing w:after="0" w:line="259" w:lineRule="auto"/>
              <w:ind w:right="50" w:hanging="10"/>
              <w:jc w:val="center"/>
            </w:pPr>
            <w:r>
              <w:t xml:space="preserve">100.0 </w:t>
            </w:r>
          </w:p>
        </w:tc>
        <w:tc>
          <w:tcPr>
            <w:tcW w:w="1417" w:type="dxa"/>
            <w:tcBorders>
              <w:top w:val="single" w:sz="4" w:space="0" w:color="000000"/>
              <w:left w:val="single" w:sz="4" w:space="0" w:color="000000"/>
              <w:bottom w:val="single" w:sz="4" w:space="0" w:color="000000"/>
              <w:right w:val="single" w:sz="4" w:space="0" w:color="000000"/>
            </w:tcBorders>
          </w:tcPr>
          <w:p w14:paraId="071FF549" w14:textId="77777777" w:rsidR="00C70C1E" w:rsidRDefault="00AF67C6" w:rsidP="001342F0">
            <w:pPr>
              <w:spacing w:after="0" w:line="259" w:lineRule="auto"/>
              <w:ind w:right="1" w:hanging="10"/>
              <w:jc w:val="center"/>
            </w:pPr>
            <w:r>
              <w:t xml:space="preserve"> </w:t>
            </w:r>
          </w:p>
        </w:tc>
      </w:tr>
    </w:tbl>
    <w:p w14:paraId="6DEE3396" w14:textId="4F0C0DAA" w:rsidR="00C70C1E" w:rsidRDefault="00AF67C6" w:rsidP="00F7202B">
      <w:pPr>
        <w:spacing w:before="240" w:after="250"/>
        <w:ind w:left="709" w:right="0" w:firstLine="567"/>
      </w:pPr>
      <w:r>
        <w:t>The results of the study in</w:t>
      </w:r>
      <w:r w:rsidR="00E27E1F">
        <w:t xml:space="preserve"> </w:t>
      </w:r>
      <w:r>
        <w:t>Table 1 show that the gender of participants was nearly evenly split with 54% of the participants being female while 46 % being male.</w:t>
      </w:r>
      <w:r>
        <w:rPr>
          <w:b/>
        </w:rPr>
        <w:t xml:space="preserve"> </w:t>
      </w:r>
    </w:p>
    <w:p w14:paraId="049B6506" w14:textId="1CF15814" w:rsidR="001342F0" w:rsidRDefault="00ED1E87" w:rsidP="00ED1E87">
      <w:pPr>
        <w:tabs>
          <w:tab w:val="center" w:pos="4343"/>
        </w:tabs>
        <w:ind w:left="-15" w:right="0" w:firstLine="1149"/>
        <w:jc w:val="left"/>
      </w:pPr>
      <w:r>
        <w:rPr>
          <w:rFonts w:ascii="Calibri" w:eastAsia="Calibri" w:hAnsi="Calibri" w:cs="Calibri"/>
        </w:rPr>
        <w:t xml:space="preserve">                      </w:t>
      </w:r>
      <w:r w:rsidR="002A7344">
        <w:rPr>
          <w:rFonts w:ascii="Calibri" w:eastAsia="Calibri" w:hAnsi="Calibri" w:cs="Calibri"/>
        </w:rPr>
        <w:t xml:space="preserve"> </w:t>
      </w:r>
      <w:r w:rsidR="00AF67C6">
        <w:rPr>
          <w:b/>
        </w:rPr>
        <w:t>Table 2</w:t>
      </w:r>
      <w:r w:rsidR="00AF67C6">
        <w:t xml:space="preserve">: Frequency of household gender </w:t>
      </w:r>
    </w:p>
    <w:tbl>
      <w:tblPr>
        <w:tblStyle w:val="TableGrid0"/>
        <w:tblW w:w="2806" w:type="pct"/>
        <w:jc w:val="center"/>
        <w:tblLook w:val="04A0" w:firstRow="1" w:lastRow="0" w:firstColumn="1" w:lastColumn="0" w:noHBand="0" w:noVBand="1"/>
      </w:tblPr>
      <w:tblGrid>
        <w:gridCol w:w="1890"/>
        <w:gridCol w:w="1890"/>
        <w:gridCol w:w="1891"/>
      </w:tblGrid>
      <w:tr w:rsidR="00A72432" w14:paraId="671C0B6B" w14:textId="77777777" w:rsidTr="002A7344">
        <w:trPr>
          <w:jc w:val="center"/>
        </w:trPr>
        <w:tc>
          <w:tcPr>
            <w:tcW w:w="1666" w:type="pct"/>
            <w:vAlign w:val="center"/>
          </w:tcPr>
          <w:p w14:paraId="0F0E3F9F" w14:textId="1806FECC" w:rsidR="00A72432" w:rsidRPr="00A72432" w:rsidRDefault="00A72432" w:rsidP="00F00DFB">
            <w:pPr>
              <w:tabs>
                <w:tab w:val="center" w:pos="4343"/>
              </w:tabs>
              <w:spacing w:line="276" w:lineRule="auto"/>
              <w:ind w:right="0" w:firstLine="0"/>
              <w:jc w:val="center"/>
              <w:rPr>
                <w:b/>
                <w:bCs/>
              </w:rPr>
            </w:pPr>
            <w:r w:rsidRPr="00A72432">
              <w:rPr>
                <w:b/>
                <w:bCs/>
              </w:rPr>
              <w:t>Value</w:t>
            </w:r>
          </w:p>
        </w:tc>
        <w:tc>
          <w:tcPr>
            <w:tcW w:w="1666" w:type="pct"/>
            <w:vAlign w:val="center"/>
          </w:tcPr>
          <w:p w14:paraId="30AB64FE" w14:textId="048FFF7B" w:rsidR="00A72432" w:rsidRPr="00A72432" w:rsidRDefault="00A72432" w:rsidP="00F00DFB">
            <w:pPr>
              <w:tabs>
                <w:tab w:val="center" w:pos="4343"/>
              </w:tabs>
              <w:spacing w:line="276" w:lineRule="auto"/>
              <w:ind w:right="0" w:firstLine="0"/>
              <w:jc w:val="center"/>
              <w:rPr>
                <w:b/>
                <w:bCs/>
              </w:rPr>
            </w:pPr>
            <w:r w:rsidRPr="00A72432">
              <w:rPr>
                <w:b/>
                <w:bCs/>
              </w:rPr>
              <w:t>Frequency</w:t>
            </w:r>
          </w:p>
        </w:tc>
        <w:tc>
          <w:tcPr>
            <w:tcW w:w="1667" w:type="pct"/>
            <w:vAlign w:val="center"/>
          </w:tcPr>
          <w:p w14:paraId="3A4E40E3" w14:textId="69CEE9B8" w:rsidR="00A72432" w:rsidRPr="00A72432" w:rsidRDefault="00A72432" w:rsidP="00F00DFB">
            <w:pPr>
              <w:tabs>
                <w:tab w:val="center" w:pos="4343"/>
              </w:tabs>
              <w:spacing w:line="276" w:lineRule="auto"/>
              <w:ind w:right="0" w:firstLine="0"/>
              <w:jc w:val="center"/>
              <w:rPr>
                <w:b/>
                <w:bCs/>
              </w:rPr>
            </w:pPr>
            <w:r w:rsidRPr="00A72432">
              <w:rPr>
                <w:b/>
                <w:bCs/>
              </w:rPr>
              <w:t>Percentage</w:t>
            </w:r>
          </w:p>
        </w:tc>
      </w:tr>
      <w:tr w:rsidR="00A72432" w14:paraId="58E66D64" w14:textId="77777777" w:rsidTr="002A7344">
        <w:trPr>
          <w:jc w:val="center"/>
        </w:trPr>
        <w:tc>
          <w:tcPr>
            <w:tcW w:w="1666" w:type="pct"/>
            <w:vAlign w:val="center"/>
          </w:tcPr>
          <w:p w14:paraId="39EF0899" w14:textId="6E4563EC" w:rsidR="00A72432" w:rsidRDefault="00A72432" w:rsidP="00F00DFB">
            <w:pPr>
              <w:tabs>
                <w:tab w:val="center" w:pos="4343"/>
              </w:tabs>
              <w:spacing w:line="276" w:lineRule="auto"/>
              <w:ind w:right="0" w:firstLine="0"/>
              <w:jc w:val="center"/>
            </w:pPr>
            <w:r>
              <w:t>Male</w:t>
            </w:r>
          </w:p>
        </w:tc>
        <w:tc>
          <w:tcPr>
            <w:tcW w:w="1666" w:type="pct"/>
            <w:vAlign w:val="center"/>
          </w:tcPr>
          <w:p w14:paraId="2229B1AC" w14:textId="7376659B" w:rsidR="00A72432" w:rsidRDefault="00A72432" w:rsidP="00F00DFB">
            <w:pPr>
              <w:tabs>
                <w:tab w:val="center" w:pos="4343"/>
              </w:tabs>
              <w:spacing w:line="276" w:lineRule="auto"/>
              <w:ind w:right="0" w:firstLine="0"/>
              <w:jc w:val="center"/>
            </w:pPr>
            <w:r>
              <w:t>97</w:t>
            </w:r>
          </w:p>
        </w:tc>
        <w:tc>
          <w:tcPr>
            <w:tcW w:w="1667" w:type="pct"/>
            <w:vAlign w:val="center"/>
          </w:tcPr>
          <w:p w14:paraId="3491D007" w14:textId="07C0C587" w:rsidR="00A72432" w:rsidRDefault="00A72432" w:rsidP="00F00DFB">
            <w:pPr>
              <w:tabs>
                <w:tab w:val="center" w:pos="4343"/>
              </w:tabs>
              <w:spacing w:line="276" w:lineRule="auto"/>
              <w:ind w:right="0" w:firstLine="0"/>
              <w:jc w:val="center"/>
            </w:pPr>
            <w:r>
              <w:t>88.18</w:t>
            </w:r>
          </w:p>
        </w:tc>
      </w:tr>
      <w:tr w:rsidR="00A72432" w14:paraId="7FF76E6C" w14:textId="77777777" w:rsidTr="002A7344">
        <w:trPr>
          <w:jc w:val="center"/>
        </w:trPr>
        <w:tc>
          <w:tcPr>
            <w:tcW w:w="1666" w:type="pct"/>
            <w:vAlign w:val="center"/>
          </w:tcPr>
          <w:p w14:paraId="1AFF6ECC" w14:textId="77173A2F" w:rsidR="00A72432" w:rsidRDefault="00A72432" w:rsidP="00F00DFB">
            <w:pPr>
              <w:tabs>
                <w:tab w:val="center" w:pos="4343"/>
              </w:tabs>
              <w:spacing w:line="276" w:lineRule="auto"/>
              <w:ind w:right="0" w:firstLine="0"/>
              <w:jc w:val="center"/>
            </w:pPr>
            <w:r>
              <w:t>Female</w:t>
            </w:r>
          </w:p>
        </w:tc>
        <w:tc>
          <w:tcPr>
            <w:tcW w:w="1666" w:type="pct"/>
            <w:vAlign w:val="center"/>
          </w:tcPr>
          <w:p w14:paraId="544A36F0" w14:textId="442F498B" w:rsidR="00A72432" w:rsidRDefault="00A72432" w:rsidP="00F00DFB">
            <w:pPr>
              <w:tabs>
                <w:tab w:val="center" w:pos="4343"/>
              </w:tabs>
              <w:spacing w:line="276" w:lineRule="auto"/>
              <w:ind w:right="0" w:firstLine="0"/>
              <w:jc w:val="center"/>
            </w:pPr>
            <w:r>
              <w:t>13</w:t>
            </w:r>
          </w:p>
        </w:tc>
        <w:tc>
          <w:tcPr>
            <w:tcW w:w="1667" w:type="pct"/>
            <w:vAlign w:val="center"/>
          </w:tcPr>
          <w:p w14:paraId="3E2A832F" w14:textId="211D9BC6" w:rsidR="00A72432" w:rsidRDefault="00A72432" w:rsidP="00F00DFB">
            <w:pPr>
              <w:tabs>
                <w:tab w:val="center" w:pos="4343"/>
              </w:tabs>
              <w:spacing w:line="276" w:lineRule="auto"/>
              <w:ind w:right="0" w:firstLine="0"/>
              <w:jc w:val="center"/>
            </w:pPr>
            <w:r>
              <w:t>11.82</w:t>
            </w:r>
          </w:p>
        </w:tc>
      </w:tr>
    </w:tbl>
    <w:p w14:paraId="0426F85F" w14:textId="4B2AC542" w:rsidR="00C70C1E" w:rsidRDefault="002A7344" w:rsidP="002A7344">
      <w:pPr>
        <w:spacing w:before="240" w:after="0"/>
        <w:ind w:right="0" w:firstLine="0"/>
        <w:jc w:val="left"/>
      </w:pPr>
      <w:r>
        <w:rPr>
          <w:b/>
        </w:rPr>
        <w:t xml:space="preserve">                                         </w:t>
      </w:r>
      <w:r w:rsidR="00AF67C6">
        <w:rPr>
          <w:b/>
        </w:rPr>
        <w:t>Table 3:</w:t>
      </w:r>
      <w:r w:rsidR="00AF67C6">
        <w:t xml:space="preserve"> Mean age of respondents </w:t>
      </w:r>
    </w:p>
    <w:tbl>
      <w:tblPr>
        <w:tblStyle w:val="TableGrid0"/>
        <w:tblW w:w="0" w:type="auto"/>
        <w:jc w:val="center"/>
        <w:tblLook w:val="04A0" w:firstRow="1" w:lastRow="0" w:firstColumn="1" w:lastColumn="0" w:noHBand="0" w:noVBand="1"/>
      </w:tblPr>
      <w:tblGrid>
        <w:gridCol w:w="1277"/>
        <w:gridCol w:w="1277"/>
        <w:gridCol w:w="1278"/>
        <w:gridCol w:w="1843"/>
      </w:tblGrid>
      <w:tr w:rsidR="00F00DFB" w14:paraId="67E9CFD7" w14:textId="77777777" w:rsidTr="002A7344">
        <w:trPr>
          <w:trHeight w:val="427"/>
          <w:jc w:val="center"/>
        </w:trPr>
        <w:tc>
          <w:tcPr>
            <w:tcW w:w="1277" w:type="dxa"/>
            <w:vAlign w:val="center"/>
          </w:tcPr>
          <w:p w14:paraId="1AF57145" w14:textId="51051467" w:rsidR="00F00DFB" w:rsidRPr="00F00DFB" w:rsidRDefault="00F00DFB" w:rsidP="00F00DFB">
            <w:pPr>
              <w:spacing w:after="0" w:line="276" w:lineRule="auto"/>
              <w:ind w:right="0" w:firstLine="0"/>
              <w:jc w:val="center"/>
              <w:rPr>
                <w:b/>
                <w:bCs/>
              </w:rPr>
            </w:pPr>
            <w:r w:rsidRPr="00F00DFB">
              <w:rPr>
                <w:b/>
                <w:bCs/>
              </w:rPr>
              <w:t>Mean</w:t>
            </w:r>
          </w:p>
        </w:tc>
        <w:tc>
          <w:tcPr>
            <w:tcW w:w="1277" w:type="dxa"/>
            <w:vAlign w:val="center"/>
          </w:tcPr>
          <w:p w14:paraId="550725C7" w14:textId="74F3FE92" w:rsidR="00F00DFB" w:rsidRPr="00F00DFB" w:rsidRDefault="00F00DFB" w:rsidP="00F00DFB">
            <w:pPr>
              <w:spacing w:after="0" w:line="276" w:lineRule="auto"/>
              <w:ind w:right="0" w:firstLine="0"/>
              <w:jc w:val="center"/>
              <w:rPr>
                <w:b/>
                <w:bCs/>
              </w:rPr>
            </w:pPr>
            <w:r w:rsidRPr="00F00DFB">
              <w:rPr>
                <w:b/>
                <w:bCs/>
              </w:rPr>
              <w:t>Median</w:t>
            </w:r>
          </w:p>
        </w:tc>
        <w:tc>
          <w:tcPr>
            <w:tcW w:w="1278" w:type="dxa"/>
            <w:vAlign w:val="center"/>
          </w:tcPr>
          <w:p w14:paraId="0E412899" w14:textId="3D6225D5" w:rsidR="00F00DFB" w:rsidRPr="00F00DFB" w:rsidRDefault="00F00DFB" w:rsidP="00F00DFB">
            <w:pPr>
              <w:spacing w:after="0" w:line="276" w:lineRule="auto"/>
              <w:ind w:right="0" w:firstLine="0"/>
              <w:jc w:val="center"/>
              <w:rPr>
                <w:b/>
                <w:bCs/>
              </w:rPr>
            </w:pPr>
            <w:r w:rsidRPr="00F00DFB">
              <w:rPr>
                <w:b/>
                <w:bCs/>
              </w:rPr>
              <w:t>Mode</w:t>
            </w:r>
          </w:p>
        </w:tc>
        <w:tc>
          <w:tcPr>
            <w:tcW w:w="1843" w:type="dxa"/>
            <w:vAlign w:val="center"/>
          </w:tcPr>
          <w:p w14:paraId="74BF3F3C" w14:textId="7515AA71" w:rsidR="00F00DFB" w:rsidRPr="00F00DFB" w:rsidRDefault="00F00DFB" w:rsidP="00F00DFB">
            <w:pPr>
              <w:spacing w:after="0" w:line="276" w:lineRule="auto"/>
              <w:ind w:right="0" w:firstLine="0"/>
              <w:jc w:val="center"/>
              <w:rPr>
                <w:b/>
                <w:bCs/>
              </w:rPr>
            </w:pPr>
            <w:r w:rsidRPr="00F00DFB">
              <w:rPr>
                <w:b/>
                <w:bCs/>
                <w:sz w:val="18"/>
                <w:szCs w:val="18"/>
              </w:rPr>
              <w:t>Standard Deviation</w:t>
            </w:r>
          </w:p>
        </w:tc>
      </w:tr>
      <w:tr w:rsidR="00F00DFB" w14:paraId="09E5172C" w14:textId="77777777" w:rsidTr="002A7344">
        <w:trPr>
          <w:trHeight w:val="399"/>
          <w:jc w:val="center"/>
        </w:trPr>
        <w:tc>
          <w:tcPr>
            <w:tcW w:w="1277" w:type="dxa"/>
            <w:vAlign w:val="center"/>
          </w:tcPr>
          <w:p w14:paraId="0FD74C71" w14:textId="06E2D5B4" w:rsidR="00F00DFB" w:rsidRDefault="00F00DFB" w:rsidP="00F00DFB">
            <w:pPr>
              <w:spacing w:after="0" w:line="276" w:lineRule="auto"/>
              <w:ind w:right="0" w:firstLine="0"/>
              <w:jc w:val="center"/>
            </w:pPr>
            <w:r>
              <w:t>50.59</w:t>
            </w:r>
          </w:p>
        </w:tc>
        <w:tc>
          <w:tcPr>
            <w:tcW w:w="1277" w:type="dxa"/>
            <w:vAlign w:val="center"/>
          </w:tcPr>
          <w:p w14:paraId="519C3CA7" w14:textId="0DCA101A" w:rsidR="00F00DFB" w:rsidRDefault="00F00DFB" w:rsidP="00F00DFB">
            <w:pPr>
              <w:spacing w:after="0" w:line="276" w:lineRule="auto"/>
              <w:ind w:right="0" w:firstLine="0"/>
              <w:jc w:val="center"/>
            </w:pPr>
            <w:r>
              <w:t>54.00</w:t>
            </w:r>
          </w:p>
        </w:tc>
        <w:tc>
          <w:tcPr>
            <w:tcW w:w="1278" w:type="dxa"/>
            <w:vAlign w:val="center"/>
          </w:tcPr>
          <w:p w14:paraId="71CFB5F2" w14:textId="1AA748AD" w:rsidR="00F00DFB" w:rsidRDefault="00F00DFB" w:rsidP="00F00DFB">
            <w:pPr>
              <w:spacing w:after="0" w:line="276" w:lineRule="auto"/>
              <w:ind w:right="0" w:firstLine="0"/>
              <w:jc w:val="center"/>
            </w:pPr>
            <w:r>
              <w:t>45.00</w:t>
            </w:r>
          </w:p>
        </w:tc>
        <w:tc>
          <w:tcPr>
            <w:tcW w:w="1843" w:type="dxa"/>
            <w:vAlign w:val="center"/>
          </w:tcPr>
          <w:p w14:paraId="4883F89A" w14:textId="08F7D2C5" w:rsidR="00F00DFB" w:rsidRDefault="00F00DFB" w:rsidP="00F00DFB">
            <w:pPr>
              <w:spacing w:after="0" w:line="276" w:lineRule="auto"/>
              <w:ind w:right="0" w:firstLine="0"/>
              <w:jc w:val="center"/>
            </w:pPr>
            <w:r>
              <w:t>12.23</w:t>
            </w:r>
          </w:p>
        </w:tc>
      </w:tr>
    </w:tbl>
    <w:p w14:paraId="00C4E201" w14:textId="0C0016A0" w:rsidR="00C70C1E" w:rsidRDefault="00C70C1E" w:rsidP="00027766">
      <w:pPr>
        <w:spacing w:line="259" w:lineRule="auto"/>
        <w:ind w:right="0" w:firstLine="0"/>
        <w:jc w:val="left"/>
        <w:sectPr w:rsidR="00C70C1E" w:rsidSect="008B092A">
          <w:headerReference w:type="even" r:id="rId15"/>
          <w:headerReference w:type="default" r:id="rId16"/>
          <w:footerReference w:type="even" r:id="rId17"/>
          <w:footerReference w:type="default" r:id="rId18"/>
          <w:headerReference w:type="first" r:id="rId19"/>
          <w:footerReference w:type="first" r:id="rId20"/>
          <w:pgSz w:w="11906" w:h="16838"/>
          <w:pgMar w:top="1440" w:right="1241" w:bottom="1440" w:left="550" w:header="720" w:footer="721" w:gutter="0"/>
          <w:cols w:space="720"/>
          <w:docGrid w:linePitch="299"/>
        </w:sectPr>
      </w:pPr>
    </w:p>
    <w:p w14:paraId="1C1EEAB3" w14:textId="6E8006A8" w:rsidR="00C70C1E" w:rsidRDefault="00027766" w:rsidP="00F7202B">
      <w:pPr>
        <w:ind w:left="-15" w:right="0" w:firstLine="582"/>
      </w:pPr>
      <w:r>
        <w:lastRenderedPageBreak/>
        <w:t>However, d</w:t>
      </w:r>
      <w:r w:rsidR="00AF67C6">
        <w:t xml:space="preserve">espite </w:t>
      </w:r>
      <w:r w:rsidR="00153E93">
        <w:t>the gender distribution in Table 1 showing a slightly higher percentage of female participation in the study</w:t>
      </w:r>
      <w:r w:rsidR="00AF67C6">
        <w:t xml:space="preserve">, the </w:t>
      </w:r>
      <w:r w:rsidR="00153E93">
        <w:t xml:space="preserve">same </w:t>
      </w:r>
      <w:r w:rsidR="00AF67C6">
        <w:t xml:space="preserve">study </w:t>
      </w:r>
      <w:r w:rsidR="00153E93">
        <w:t>indicates, in Table 2,</w:t>
      </w:r>
      <w:r w:rsidR="00AF67C6">
        <w:t xml:space="preserve"> that the main dominants in terms of household heads were males standing at 88.2% while females stood at 11.8%.  The study </w:t>
      </w:r>
      <w:r w:rsidR="00EE2A5B">
        <w:t>also show</w:t>
      </w:r>
      <w:r w:rsidR="00153E93">
        <w:t>s</w:t>
      </w:r>
      <w:r w:rsidR="00EE2A5B">
        <w:t xml:space="preserve">, </w:t>
      </w:r>
      <w:r w:rsidR="00AF67C6">
        <w:t>in Table 3</w:t>
      </w:r>
      <w:r w:rsidR="00EE2A5B">
        <w:t>,</w:t>
      </w:r>
      <w:r w:rsidR="00AF67C6">
        <w:t xml:space="preserve"> that the mean age of household heads stood at 50.6 years. </w:t>
      </w:r>
    </w:p>
    <w:p w14:paraId="423366DC" w14:textId="77777777" w:rsidR="0090291B" w:rsidRDefault="0090291B" w:rsidP="001342F0">
      <w:pPr>
        <w:ind w:left="-15" w:right="0" w:hanging="10"/>
      </w:pPr>
    </w:p>
    <w:tbl>
      <w:tblPr>
        <w:tblStyle w:val="TableGrid"/>
        <w:tblW w:w="4001" w:type="dxa"/>
        <w:jc w:val="center"/>
        <w:tblInd w:w="0" w:type="dxa"/>
        <w:tblCellMar>
          <w:top w:w="7" w:type="dxa"/>
          <w:left w:w="168" w:type="dxa"/>
          <w:right w:w="115" w:type="dxa"/>
        </w:tblCellMar>
        <w:tblLook w:val="04A0" w:firstRow="1" w:lastRow="0" w:firstColumn="1" w:lastColumn="0" w:noHBand="0" w:noVBand="1"/>
      </w:tblPr>
      <w:tblGrid>
        <w:gridCol w:w="941"/>
        <w:gridCol w:w="1181"/>
        <w:gridCol w:w="1879"/>
      </w:tblGrid>
      <w:tr w:rsidR="00C70C1E" w14:paraId="57025086" w14:textId="77777777" w:rsidTr="002A7344">
        <w:trPr>
          <w:trHeight w:val="427"/>
          <w:jc w:val="center"/>
        </w:trPr>
        <w:tc>
          <w:tcPr>
            <w:tcW w:w="4001" w:type="dxa"/>
            <w:gridSpan w:val="3"/>
            <w:tcBorders>
              <w:top w:val="single" w:sz="4" w:space="0" w:color="000000"/>
              <w:left w:val="single" w:sz="4" w:space="0" w:color="000000"/>
              <w:bottom w:val="single" w:sz="4" w:space="0" w:color="000000"/>
              <w:right w:val="single" w:sz="4" w:space="0" w:color="000000"/>
            </w:tcBorders>
          </w:tcPr>
          <w:p w14:paraId="691EA08E" w14:textId="77777777" w:rsidR="00C70C1E" w:rsidRDefault="00AF67C6" w:rsidP="001342F0">
            <w:pPr>
              <w:spacing w:after="0" w:line="259" w:lineRule="auto"/>
              <w:ind w:right="0" w:hanging="10"/>
              <w:jc w:val="left"/>
            </w:pPr>
            <w:r>
              <w:rPr>
                <w:b/>
              </w:rPr>
              <w:t xml:space="preserve">Table 4: </w:t>
            </w:r>
            <w:r>
              <w:t>Years of experience in farming</w:t>
            </w:r>
            <w:r>
              <w:rPr>
                <w:b/>
              </w:rPr>
              <w:t xml:space="preserve"> </w:t>
            </w:r>
          </w:p>
        </w:tc>
      </w:tr>
      <w:tr w:rsidR="00C70C1E" w14:paraId="26DE40A4" w14:textId="77777777" w:rsidTr="002A7344">
        <w:trPr>
          <w:trHeight w:val="348"/>
          <w:jc w:val="center"/>
        </w:trPr>
        <w:tc>
          <w:tcPr>
            <w:tcW w:w="941" w:type="dxa"/>
            <w:vMerge w:val="restart"/>
            <w:tcBorders>
              <w:top w:val="single" w:sz="4" w:space="0" w:color="000000"/>
              <w:left w:val="single" w:sz="4" w:space="0" w:color="000000"/>
              <w:bottom w:val="single" w:sz="4" w:space="0" w:color="000000"/>
              <w:right w:val="single" w:sz="4" w:space="0" w:color="000000"/>
            </w:tcBorders>
            <w:vAlign w:val="center"/>
          </w:tcPr>
          <w:p w14:paraId="0ED7FA40" w14:textId="77777777" w:rsidR="00C70C1E" w:rsidRDefault="00AF67C6" w:rsidP="001342F0">
            <w:pPr>
              <w:spacing w:after="0" w:line="259" w:lineRule="auto"/>
              <w:ind w:right="0" w:hanging="10"/>
              <w:jc w:val="left"/>
            </w:pPr>
            <w:r>
              <w:rPr>
                <w:b/>
              </w:rPr>
              <w:t xml:space="preserve">Valid </w:t>
            </w:r>
          </w:p>
        </w:tc>
        <w:tc>
          <w:tcPr>
            <w:tcW w:w="1181" w:type="dxa"/>
            <w:tcBorders>
              <w:top w:val="single" w:sz="4" w:space="0" w:color="000000"/>
              <w:left w:val="single" w:sz="4" w:space="0" w:color="000000"/>
              <w:bottom w:val="single" w:sz="4" w:space="0" w:color="000000"/>
              <w:right w:val="single" w:sz="4" w:space="0" w:color="000000"/>
            </w:tcBorders>
          </w:tcPr>
          <w:p w14:paraId="0EA82D5D" w14:textId="77777777" w:rsidR="00C70C1E" w:rsidRDefault="00AF67C6" w:rsidP="001342F0">
            <w:pPr>
              <w:spacing w:after="0" w:line="259" w:lineRule="auto"/>
              <w:ind w:right="0" w:hanging="10"/>
              <w:jc w:val="left"/>
            </w:pPr>
            <w:r>
              <w:rPr>
                <w:b/>
              </w:rPr>
              <w:t xml:space="preserve">N </w:t>
            </w:r>
          </w:p>
        </w:tc>
        <w:tc>
          <w:tcPr>
            <w:tcW w:w="1880" w:type="dxa"/>
            <w:tcBorders>
              <w:top w:val="single" w:sz="4" w:space="0" w:color="000000"/>
              <w:left w:val="single" w:sz="4" w:space="0" w:color="000000"/>
              <w:bottom w:val="single" w:sz="4" w:space="0" w:color="000000"/>
              <w:right w:val="single" w:sz="4" w:space="0" w:color="000000"/>
            </w:tcBorders>
          </w:tcPr>
          <w:p w14:paraId="64E10088" w14:textId="77777777" w:rsidR="00C70C1E" w:rsidRDefault="00AF67C6" w:rsidP="001342F0">
            <w:pPr>
              <w:spacing w:after="0" w:line="259" w:lineRule="auto"/>
              <w:ind w:right="55" w:hanging="10"/>
              <w:jc w:val="center"/>
            </w:pPr>
            <w:r>
              <w:t xml:space="preserve">110 </w:t>
            </w:r>
          </w:p>
        </w:tc>
      </w:tr>
      <w:tr w:rsidR="00C70C1E" w14:paraId="123598B4" w14:textId="77777777" w:rsidTr="002A7344">
        <w:trPr>
          <w:trHeight w:val="300"/>
          <w:jc w:val="center"/>
        </w:trPr>
        <w:tc>
          <w:tcPr>
            <w:tcW w:w="0" w:type="auto"/>
            <w:vMerge/>
            <w:tcBorders>
              <w:top w:val="nil"/>
              <w:left w:val="single" w:sz="4" w:space="0" w:color="000000"/>
              <w:bottom w:val="single" w:sz="4" w:space="0" w:color="000000"/>
              <w:right w:val="single" w:sz="4" w:space="0" w:color="000000"/>
            </w:tcBorders>
          </w:tcPr>
          <w:p w14:paraId="3762A83F" w14:textId="77777777" w:rsidR="00C70C1E" w:rsidRDefault="00C70C1E" w:rsidP="001342F0">
            <w:pPr>
              <w:spacing w:after="160" w:line="259" w:lineRule="auto"/>
              <w:ind w:right="0" w:hanging="10"/>
              <w:jc w:val="left"/>
            </w:pPr>
          </w:p>
        </w:tc>
        <w:tc>
          <w:tcPr>
            <w:tcW w:w="1181" w:type="dxa"/>
            <w:tcBorders>
              <w:top w:val="single" w:sz="4" w:space="0" w:color="000000"/>
              <w:left w:val="single" w:sz="4" w:space="0" w:color="000000"/>
              <w:bottom w:val="single" w:sz="4" w:space="0" w:color="000000"/>
              <w:right w:val="single" w:sz="4" w:space="0" w:color="000000"/>
            </w:tcBorders>
          </w:tcPr>
          <w:p w14:paraId="5EDD5C77" w14:textId="77777777" w:rsidR="00C70C1E" w:rsidRDefault="00AF67C6" w:rsidP="001342F0">
            <w:pPr>
              <w:spacing w:after="0" w:line="259" w:lineRule="auto"/>
              <w:ind w:right="0" w:hanging="10"/>
              <w:jc w:val="left"/>
            </w:pPr>
            <w:r>
              <w:rPr>
                <w:b/>
              </w:rPr>
              <w:t xml:space="preserve">Missing </w:t>
            </w:r>
          </w:p>
        </w:tc>
        <w:tc>
          <w:tcPr>
            <w:tcW w:w="1880" w:type="dxa"/>
            <w:tcBorders>
              <w:top w:val="single" w:sz="4" w:space="0" w:color="000000"/>
              <w:left w:val="single" w:sz="4" w:space="0" w:color="000000"/>
              <w:bottom w:val="single" w:sz="4" w:space="0" w:color="000000"/>
              <w:right w:val="single" w:sz="4" w:space="0" w:color="000000"/>
            </w:tcBorders>
          </w:tcPr>
          <w:p w14:paraId="6D312A6D" w14:textId="77777777" w:rsidR="00C70C1E" w:rsidRDefault="00AF67C6" w:rsidP="001342F0">
            <w:pPr>
              <w:spacing w:after="0" w:line="259" w:lineRule="auto"/>
              <w:ind w:right="55" w:hanging="10"/>
              <w:jc w:val="center"/>
            </w:pPr>
            <w:r>
              <w:t xml:space="preserve">0 </w:t>
            </w:r>
          </w:p>
        </w:tc>
      </w:tr>
      <w:tr w:rsidR="00C70C1E" w14:paraId="5FA286ED" w14:textId="77777777" w:rsidTr="002A7344">
        <w:trPr>
          <w:trHeight w:val="348"/>
          <w:jc w:val="center"/>
        </w:trPr>
        <w:tc>
          <w:tcPr>
            <w:tcW w:w="2122" w:type="dxa"/>
            <w:gridSpan w:val="2"/>
            <w:tcBorders>
              <w:top w:val="single" w:sz="4" w:space="0" w:color="000000"/>
              <w:left w:val="single" w:sz="4" w:space="0" w:color="000000"/>
              <w:bottom w:val="single" w:sz="4" w:space="0" w:color="000000"/>
              <w:right w:val="single" w:sz="4" w:space="0" w:color="000000"/>
            </w:tcBorders>
          </w:tcPr>
          <w:p w14:paraId="2D2FE3AB" w14:textId="77777777" w:rsidR="00C70C1E" w:rsidRDefault="00AF67C6" w:rsidP="001342F0">
            <w:pPr>
              <w:spacing w:after="0" w:line="259" w:lineRule="auto"/>
              <w:ind w:right="0" w:hanging="10"/>
              <w:jc w:val="left"/>
            </w:pPr>
            <w:r>
              <w:rPr>
                <w:b/>
              </w:rPr>
              <w:t xml:space="preserve">Mean </w:t>
            </w:r>
          </w:p>
        </w:tc>
        <w:tc>
          <w:tcPr>
            <w:tcW w:w="1880" w:type="dxa"/>
            <w:tcBorders>
              <w:top w:val="single" w:sz="4" w:space="0" w:color="000000"/>
              <w:left w:val="single" w:sz="4" w:space="0" w:color="000000"/>
              <w:bottom w:val="single" w:sz="4" w:space="0" w:color="000000"/>
              <w:right w:val="single" w:sz="4" w:space="0" w:color="000000"/>
            </w:tcBorders>
          </w:tcPr>
          <w:p w14:paraId="213DEC64" w14:textId="77777777" w:rsidR="00C70C1E" w:rsidRDefault="00AF67C6" w:rsidP="001342F0">
            <w:pPr>
              <w:spacing w:after="0" w:line="259" w:lineRule="auto"/>
              <w:ind w:right="52" w:hanging="10"/>
              <w:jc w:val="center"/>
            </w:pPr>
            <w:r>
              <w:t xml:space="preserve">23.86 </w:t>
            </w:r>
          </w:p>
        </w:tc>
      </w:tr>
      <w:tr w:rsidR="00C70C1E" w14:paraId="4545B01A" w14:textId="77777777" w:rsidTr="002A7344">
        <w:trPr>
          <w:trHeight w:val="348"/>
          <w:jc w:val="center"/>
        </w:trPr>
        <w:tc>
          <w:tcPr>
            <w:tcW w:w="2122" w:type="dxa"/>
            <w:gridSpan w:val="2"/>
            <w:tcBorders>
              <w:top w:val="single" w:sz="4" w:space="0" w:color="000000"/>
              <w:left w:val="single" w:sz="4" w:space="0" w:color="000000"/>
              <w:bottom w:val="single" w:sz="4" w:space="0" w:color="000000"/>
              <w:right w:val="single" w:sz="4" w:space="0" w:color="000000"/>
            </w:tcBorders>
          </w:tcPr>
          <w:p w14:paraId="791F20B0" w14:textId="77777777" w:rsidR="00C70C1E" w:rsidRDefault="00AF67C6" w:rsidP="001342F0">
            <w:pPr>
              <w:spacing w:after="0" w:line="259" w:lineRule="auto"/>
              <w:ind w:right="0" w:hanging="10"/>
              <w:jc w:val="left"/>
            </w:pPr>
            <w:r>
              <w:rPr>
                <w:b/>
              </w:rPr>
              <w:t xml:space="preserve">Median </w:t>
            </w:r>
          </w:p>
        </w:tc>
        <w:tc>
          <w:tcPr>
            <w:tcW w:w="1880" w:type="dxa"/>
            <w:tcBorders>
              <w:top w:val="single" w:sz="4" w:space="0" w:color="000000"/>
              <w:left w:val="single" w:sz="4" w:space="0" w:color="000000"/>
              <w:bottom w:val="single" w:sz="4" w:space="0" w:color="000000"/>
              <w:right w:val="single" w:sz="4" w:space="0" w:color="000000"/>
            </w:tcBorders>
          </w:tcPr>
          <w:p w14:paraId="3A360409" w14:textId="77777777" w:rsidR="00C70C1E" w:rsidRDefault="00AF67C6" w:rsidP="001342F0">
            <w:pPr>
              <w:spacing w:after="0" w:line="259" w:lineRule="auto"/>
              <w:ind w:right="52" w:hanging="10"/>
              <w:jc w:val="center"/>
            </w:pPr>
            <w:r>
              <w:t xml:space="preserve">23.00 </w:t>
            </w:r>
          </w:p>
        </w:tc>
      </w:tr>
      <w:tr w:rsidR="00C70C1E" w14:paraId="32F0F77B" w14:textId="77777777" w:rsidTr="002A7344">
        <w:trPr>
          <w:trHeight w:val="350"/>
          <w:jc w:val="center"/>
        </w:trPr>
        <w:tc>
          <w:tcPr>
            <w:tcW w:w="2122" w:type="dxa"/>
            <w:gridSpan w:val="2"/>
            <w:tcBorders>
              <w:top w:val="single" w:sz="4" w:space="0" w:color="000000"/>
              <w:left w:val="single" w:sz="4" w:space="0" w:color="000000"/>
              <w:bottom w:val="single" w:sz="4" w:space="0" w:color="000000"/>
              <w:right w:val="single" w:sz="4" w:space="0" w:color="000000"/>
            </w:tcBorders>
          </w:tcPr>
          <w:p w14:paraId="1D819F54" w14:textId="77777777" w:rsidR="00C70C1E" w:rsidRDefault="00AF67C6" w:rsidP="001342F0">
            <w:pPr>
              <w:spacing w:after="0" w:line="259" w:lineRule="auto"/>
              <w:ind w:right="0" w:hanging="10"/>
              <w:jc w:val="left"/>
            </w:pPr>
            <w:r>
              <w:rPr>
                <w:b/>
              </w:rPr>
              <w:t xml:space="preserve">Mode </w:t>
            </w:r>
          </w:p>
        </w:tc>
        <w:tc>
          <w:tcPr>
            <w:tcW w:w="1880" w:type="dxa"/>
            <w:tcBorders>
              <w:top w:val="single" w:sz="4" w:space="0" w:color="000000"/>
              <w:left w:val="single" w:sz="4" w:space="0" w:color="000000"/>
              <w:bottom w:val="single" w:sz="4" w:space="0" w:color="000000"/>
              <w:right w:val="single" w:sz="4" w:space="0" w:color="000000"/>
            </w:tcBorders>
          </w:tcPr>
          <w:p w14:paraId="10CA10BE" w14:textId="77777777" w:rsidR="00C70C1E" w:rsidRDefault="00AF67C6" w:rsidP="001342F0">
            <w:pPr>
              <w:spacing w:after="0" w:line="259" w:lineRule="auto"/>
              <w:ind w:right="55" w:hanging="10"/>
              <w:jc w:val="center"/>
            </w:pPr>
            <w:r>
              <w:t xml:space="preserve">15 </w:t>
            </w:r>
          </w:p>
        </w:tc>
      </w:tr>
    </w:tbl>
    <w:p w14:paraId="2ACA6AE2" w14:textId="327324BD" w:rsidR="00705705" w:rsidRDefault="00AF67C6" w:rsidP="00514030">
      <w:pPr>
        <w:spacing w:before="240" w:after="0"/>
        <w:ind w:left="-15" w:right="0" w:firstLine="582"/>
      </w:pPr>
      <w:r>
        <w:t xml:space="preserve">Furthermore, the results of the study in Table 4 reveal that the mean number of years that farmers spent in farming was found to be about 24 years, indicating that the farming population had a significant life experience and long-standing interaction with ecological and climatic variability and changes. </w:t>
      </w:r>
    </w:p>
    <w:p w14:paraId="4D3CFF44" w14:textId="77777777" w:rsidR="00705705" w:rsidRDefault="00705705" w:rsidP="00815048">
      <w:pPr>
        <w:ind w:right="0" w:firstLine="0"/>
      </w:pPr>
    </w:p>
    <w:tbl>
      <w:tblPr>
        <w:tblStyle w:val="TableGrid"/>
        <w:tblW w:w="8356" w:type="dxa"/>
        <w:jc w:val="center"/>
        <w:tblInd w:w="0" w:type="dxa"/>
        <w:tblCellMar>
          <w:top w:w="7" w:type="dxa"/>
          <w:left w:w="108" w:type="dxa"/>
          <w:right w:w="110" w:type="dxa"/>
        </w:tblCellMar>
        <w:tblLook w:val="04A0" w:firstRow="1" w:lastRow="0" w:firstColumn="1" w:lastColumn="0" w:noHBand="0" w:noVBand="1"/>
      </w:tblPr>
      <w:tblGrid>
        <w:gridCol w:w="829"/>
        <w:gridCol w:w="1326"/>
        <w:gridCol w:w="1337"/>
        <w:gridCol w:w="1052"/>
        <w:gridCol w:w="1603"/>
        <w:gridCol w:w="2209"/>
      </w:tblGrid>
      <w:tr w:rsidR="00C70C1E" w14:paraId="34D56C79" w14:textId="77777777" w:rsidTr="002A7344">
        <w:trPr>
          <w:trHeight w:val="232"/>
          <w:jc w:val="center"/>
        </w:trPr>
        <w:tc>
          <w:tcPr>
            <w:tcW w:w="3493" w:type="dxa"/>
            <w:gridSpan w:val="3"/>
            <w:tcBorders>
              <w:top w:val="single" w:sz="4" w:space="0" w:color="000000"/>
              <w:left w:val="single" w:sz="4" w:space="0" w:color="000000"/>
              <w:bottom w:val="single" w:sz="4" w:space="0" w:color="000000"/>
              <w:right w:val="nil"/>
            </w:tcBorders>
          </w:tcPr>
          <w:p w14:paraId="4091957A" w14:textId="77777777" w:rsidR="00C70C1E" w:rsidRDefault="00AF67C6" w:rsidP="001342F0">
            <w:pPr>
              <w:spacing w:after="0" w:line="259" w:lineRule="auto"/>
              <w:ind w:right="0" w:hanging="10"/>
              <w:jc w:val="left"/>
            </w:pPr>
            <w:r>
              <w:rPr>
                <w:b/>
              </w:rPr>
              <w:t xml:space="preserve">Table 5: </w:t>
            </w:r>
            <w:r>
              <w:t>Education level of farmers</w:t>
            </w:r>
            <w:r>
              <w:rPr>
                <w:b/>
              </w:rPr>
              <w:t xml:space="preserve"> </w:t>
            </w:r>
          </w:p>
        </w:tc>
        <w:tc>
          <w:tcPr>
            <w:tcW w:w="1052" w:type="dxa"/>
            <w:tcBorders>
              <w:top w:val="single" w:sz="4" w:space="0" w:color="000000"/>
              <w:left w:val="nil"/>
              <w:bottom w:val="single" w:sz="4" w:space="0" w:color="000000"/>
              <w:right w:val="nil"/>
            </w:tcBorders>
          </w:tcPr>
          <w:p w14:paraId="2C2034C6" w14:textId="77777777" w:rsidR="00C70C1E" w:rsidRDefault="00C70C1E" w:rsidP="001342F0">
            <w:pPr>
              <w:spacing w:after="160" w:line="259" w:lineRule="auto"/>
              <w:ind w:right="0" w:hanging="10"/>
              <w:jc w:val="left"/>
            </w:pPr>
          </w:p>
        </w:tc>
        <w:tc>
          <w:tcPr>
            <w:tcW w:w="1603" w:type="dxa"/>
            <w:tcBorders>
              <w:top w:val="single" w:sz="4" w:space="0" w:color="000000"/>
              <w:left w:val="nil"/>
              <w:bottom w:val="single" w:sz="4" w:space="0" w:color="000000"/>
              <w:right w:val="nil"/>
            </w:tcBorders>
            <w:vAlign w:val="bottom"/>
          </w:tcPr>
          <w:p w14:paraId="6A956665" w14:textId="77777777" w:rsidR="00C70C1E" w:rsidRDefault="00C70C1E" w:rsidP="001342F0">
            <w:pPr>
              <w:spacing w:after="160" w:line="259" w:lineRule="auto"/>
              <w:ind w:right="0" w:hanging="10"/>
              <w:jc w:val="left"/>
            </w:pPr>
          </w:p>
        </w:tc>
        <w:tc>
          <w:tcPr>
            <w:tcW w:w="2209" w:type="dxa"/>
            <w:tcBorders>
              <w:top w:val="single" w:sz="4" w:space="0" w:color="000000"/>
              <w:left w:val="nil"/>
              <w:bottom w:val="single" w:sz="4" w:space="0" w:color="000000"/>
              <w:right w:val="single" w:sz="4" w:space="0" w:color="000000"/>
            </w:tcBorders>
          </w:tcPr>
          <w:p w14:paraId="00862210" w14:textId="77777777" w:rsidR="00C70C1E" w:rsidRDefault="00C70C1E" w:rsidP="001342F0">
            <w:pPr>
              <w:spacing w:after="160" w:line="259" w:lineRule="auto"/>
              <w:ind w:right="0" w:hanging="10"/>
              <w:jc w:val="left"/>
            </w:pPr>
          </w:p>
        </w:tc>
      </w:tr>
      <w:tr w:rsidR="00C70C1E" w14:paraId="1A8067A9" w14:textId="77777777" w:rsidTr="002A7344">
        <w:trPr>
          <w:trHeight w:val="352"/>
          <w:jc w:val="center"/>
        </w:trPr>
        <w:tc>
          <w:tcPr>
            <w:tcW w:w="2156" w:type="dxa"/>
            <w:gridSpan w:val="2"/>
            <w:tcBorders>
              <w:top w:val="single" w:sz="4" w:space="0" w:color="000000"/>
              <w:left w:val="single" w:sz="4" w:space="0" w:color="000000"/>
              <w:bottom w:val="single" w:sz="4" w:space="0" w:color="000000"/>
              <w:right w:val="single" w:sz="4" w:space="0" w:color="000000"/>
            </w:tcBorders>
            <w:vAlign w:val="center"/>
          </w:tcPr>
          <w:p w14:paraId="7AAF1B52" w14:textId="77777777" w:rsidR="00C70C1E" w:rsidRDefault="00AF67C6" w:rsidP="001342F0">
            <w:pPr>
              <w:spacing w:after="0" w:line="259" w:lineRule="auto"/>
              <w:ind w:left="60" w:right="0" w:hanging="10"/>
              <w:jc w:val="left"/>
            </w:pPr>
            <w:r>
              <w:t xml:space="preserve"> </w:t>
            </w:r>
          </w:p>
        </w:tc>
        <w:tc>
          <w:tcPr>
            <w:tcW w:w="1337" w:type="dxa"/>
            <w:tcBorders>
              <w:top w:val="single" w:sz="4" w:space="0" w:color="000000"/>
              <w:left w:val="single" w:sz="4" w:space="0" w:color="000000"/>
              <w:bottom w:val="single" w:sz="4" w:space="0" w:color="000000"/>
              <w:right w:val="single" w:sz="4" w:space="0" w:color="000000"/>
            </w:tcBorders>
            <w:vAlign w:val="center"/>
          </w:tcPr>
          <w:p w14:paraId="2AB81B6E" w14:textId="77777777" w:rsidR="00C70C1E" w:rsidRDefault="00AF67C6" w:rsidP="001342F0">
            <w:pPr>
              <w:spacing w:after="0" w:line="259" w:lineRule="auto"/>
              <w:ind w:left="62" w:right="0" w:hanging="10"/>
              <w:jc w:val="left"/>
            </w:pPr>
            <w:r>
              <w:rPr>
                <w:b/>
              </w:rPr>
              <w:t xml:space="preserve">Frequency </w:t>
            </w:r>
          </w:p>
        </w:tc>
        <w:tc>
          <w:tcPr>
            <w:tcW w:w="1052" w:type="dxa"/>
            <w:tcBorders>
              <w:top w:val="single" w:sz="4" w:space="0" w:color="000000"/>
              <w:left w:val="single" w:sz="4" w:space="0" w:color="000000"/>
              <w:bottom w:val="single" w:sz="4" w:space="0" w:color="000000"/>
              <w:right w:val="single" w:sz="4" w:space="0" w:color="000000"/>
            </w:tcBorders>
            <w:vAlign w:val="center"/>
          </w:tcPr>
          <w:p w14:paraId="740105C7" w14:textId="77777777" w:rsidR="00C70C1E" w:rsidRDefault="00AF67C6" w:rsidP="001342F0">
            <w:pPr>
              <w:spacing w:after="0" w:line="259" w:lineRule="auto"/>
              <w:ind w:left="60" w:right="0" w:hanging="10"/>
              <w:jc w:val="left"/>
            </w:pPr>
            <w:r>
              <w:rPr>
                <w:b/>
              </w:rPr>
              <w:t xml:space="preserve">Percent </w:t>
            </w:r>
          </w:p>
        </w:tc>
        <w:tc>
          <w:tcPr>
            <w:tcW w:w="1603" w:type="dxa"/>
            <w:tcBorders>
              <w:top w:val="single" w:sz="4" w:space="0" w:color="000000"/>
              <w:left w:val="single" w:sz="4" w:space="0" w:color="000000"/>
              <w:bottom w:val="single" w:sz="4" w:space="0" w:color="000000"/>
              <w:right w:val="single" w:sz="4" w:space="0" w:color="000000"/>
            </w:tcBorders>
            <w:vAlign w:val="center"/>
          </w:tcPr>
          <w:p w14:paraId="664793AF" w14:textId="77777777" w:rsidR="00C70C1E" w:rsidRDefault="00AF67C6" w:rsidP="001342F0">
            <w:pPr>
              <w:spacing w:after="0" w:line="259" w:lineRule="auto"/>
              <w:ind w:left="62" w:right="0" w:hanging="10"/>
              <w:jc w:val="left"/>
            </w:pPr>
            <w:r>
              <w:rPr>
                <w:b/>
              </w:rPr>
              <w:t xml:space="preserve">Valid Percent </w:t>
            </w:r>
          </w:p>
        </w:tc>
        <w:tc>
          <w:tcPr>
            <w:tcW w:w="2209" w:type="dxa"/>
            <w:tcBorders>
              <w:top w:val="single" w:sz="4" w:space="0" w:color="000000"/>
              <w:left w:val="single" w:sz="4" w:space="0" w:color="000000"/>
              <w:bottom w:val="single" w:sz="4" w:space="0" w:color="000000"/>
              <w:right w:val="single" w:sz="4" w:space="0" w:color="000000"/>
            </w:tcBorders>
            <w:vAlign w:val="center"/>
          </w:tcPr>
          <w:p w14:paraId="62F98C18" w14:textId="77777777" w:rsidR="00C70C1E" w:rsidRDefault="00AF67C6" w:rsidP="001342F0">
            <w:pPr>
              <w:spacing w:after="0" w:line="259" w:lineRule="auto"/>
              <w:ind w:left="60" w:right="0" w:hanging="10"/>
              <w:jc w:val="left"/>
            </w:pPr>
            <w:r>
              <w:rPr>
                <w:b/>
              </w:rPr>
              <w:t xml:space="preserve">Cumulative Percent </w:t>
            </w:r>
          </w:p>
        </w:tc>
      </w:tr>
      <w:tr w:rsidR="00C70C1E" w14:paraId="06B80961" w14:textId="77777777" w:rsidTr="002A7344">
        <w:trPr>
          <w:trHeight w:val="264"/>
          <w:jc w:val="center"/>
        </w:trPr>
        <w:tc>
          <w:tcPr>
            <w:tcW w:w="830" w:type="dxa"/>
            <w:vMerge w:val="restart"/>
            <w:tcBorders>
              <w:top w:val="single" w:sz="4" w:space="0" w:color="000000"/>
              <w:left w:val="single" w:sz="4" w:space="0" w:color="000000"/>
              <w:bottom w:val="single" w:sz="4" w:space="0" w:color="000000"/>
              <w:right w:val="single" w:sz="4" w:space="0" w:color="000000"/>
            </w:tcBorders>
            <w:vAlign w:val="center"/>
          </w:tcPr>
          <w:p w14:paraId="4B158A4C" w14:textId="77777777" w:rsidR="00C70C1E" w:rsidRDefault="00AF67C6" w:rsidP="001342F0">
            <w:pPr>
              <w:spacing w:after="0" w:line="259" w:lineRule="auto"/>
              <w:ind w:left="60" w:right="0" w:hanging="10"/>
              <w:jc w:val="left"/>
            </w:pPr>
            <w:r>
              <w:rPr>
                <w:b/>
              </w:rPr>
              <w:t xml:space="preserve">Valid </w:t>
            </w:r>
          </w:p>
        </w:tc>
        <w:tc>
          <w:tcPr>
            <w:tcW w:w="1325" w:type="dxa"/>
            <w:tcBorders>
              <w:top w:val="single" w:sz="4" w:space="0" w:color="000000"/>
              <w:left w:val="single" w:sz="4" w:space="0" w:color="000000"/>
              <w:bottom w:val="single" w:sz="4" w:space="0" w:color="000000"/>
              <w:right w:val="single" w:sz="4" w:space="0" w:color="000000"/>
            </w:tcBorders>
          </w:tcPr>
          <w:p w14:paraId="14675F87" w14:textId="77777777" w:rsidR="00C70C1E" w:rsidRDefault="00AF67C6" w:rsidP="001342F0">
            <w:pPr>
              <w:spacing w:after="0" w:line="259" w:lineRule="auto"/>
              <w:ind w:left="60" w:right="0" w:hanging="10"/>
              <w:jc w:val="left"/>
            </w:pPr>
            <w:r>
              <w:rPr>
                <w:b/>
              </w:rPr>
              <w:t xml:space="preserve">Primary </w:t>
            </w:r>
          </w:p>
        </w:tc>
        <w:tc>
          <w:tcPr>
            <w:tcW w:w="1337" w:type="dxa"/>
            <w:tcBorders>
              <w:top w:val="single" w:sz="4" w:space="0" w:color="000000"/>
              <w:left w:val="single" w:sz="4" w:space="0" w:color="000000"/>
              <w:bottom w:val="single" w:sz="4" w:space="0" w:color="000000"/>
              <w:right w:val="single" w:sz="4" w:space="0" w:color="000000"/>
            </w:tcBorders>
          </w:tcPr>
          <w:p w14:paraId="5CC87052" w14:textId="77777777" w:rsidR="00C70C1E" w:rsidRDefault="00AF67C6" w:rsidP="001342F0">
            <w:pPr>
              <w:spacing w:after="0" w:line="259" w:lineRule="auto"/>
              <w:ind w:left="5" w:right="0" w:hanging="10"/>
              <w:jc w:val="center"/>
            </w:pPr>
            <w:r>
              <w:t xml:space="preserve">46 </w:t>
            </w:r>
          </w:p>
        </w:tc>
        <w:tc>
          <w:tcPr>
            <w:tcW w:w="1052" w:type="dxa"/>
            <w:tcBorders>
              <w:top w:val="single" w:sz="4" w:space="0" w:color="000000"/>
              <w:left w:val="single" w:sz="4" w:space="0" w:color="000000"/>
              <w:bottom w:val="single" w:sz="4" w:space="0" w:color="000000"/>
              <w:right w:val="single" w:sz="4" w:space="0" w:color="000000"/>
            </w:tcBorders>
          </w:tcPr>
          <w:p w14:paraId="1089CF10" w14:textId="77777777" w:rsidR="00C70C1E" w:rsidRDefault="00AF67C6" w:rsidP="001342F0">
            <w:pPr>
              <w:spacing w:after="0" w:line="259" w:lineRule="auto"/>
              <w:ind w:left="4" w:right="0" w:hanging="10"/>
              <w:jc w:val="center"/>
            </w:pPr>
            <w:r>
              <w:t xml:space="preserve">41.8 </w:t>
            </w:r>
          </w:p>
        </w:tc>
        <w:tc>
          <w:tcPr>
            <w:tcW w:w="1603" w:type="dxa"/>
            <w:tcBorders>
              <w:top w:val="single" w:sz="4" w:space="0" w:color="000000"/>
              <w:left w:val="single" w:sz="4" w:space="0" w:color="000000"/>
              <w:bottom w:val="single" w:sz="4" w:space="0" w:color="000000"/>
              <w:right w:val="single" w:sz="4" w:space="0" w:color="000000"/>
            </w:tcBorders>
          </w:tcPr>
          <w:p w14:paraId="11D9410D" w14:textId="77777777" w:rsidR="00C70C1E" w:rsidRDefault="00AF67C6" w:rsidP="001342F0">
            <w:pPr>
              <w:spacing w:after="0" w:line="259" w:lineRule="auto"/>
              <w:ind w:left="5" w:right="0" w:hanging="10"/>
              <w:jc w:val="center"/>
            </w:pPr>
            <w:r>
              <w:t xml:space="preserve">41.8 </w:t>
            </w:r>
          </w:p>
        </w:tc>
        <w:tc>
          <w:tcPr>
            <w:tcW w:w="2209" w:type="dxa"/>
            <w:tcBorders>
              <w:top w:val="single" w:sz="4" w:space="0" w:color="000000"/>
              <w:left w:val="single" w:sz="4" w:space="0" w:color="000000"/>
              <w:bottom w:val="single" w:sz="4" w:space="0" w:color="000000"/>
              <w:right w:val="single" w:sz="4" w:space="0" w:color="000000"/>
            </w:tcBorders>
          </w:tcPr>
          <w:p w14:paraId="56A157F4" w14:textId="77777777" w:rsidR="00C70C1E" w:rsidRDefault="00AF67C6" w:rsidP="001342F0">
            <w:pPr>
              <w:spacing w:after="0" w:line="259" w:lineRule="auto"/>
              <w:ind w:left="5" w:right="0" w:hanging="10"/>
              <w:jc w:val="center"/>
            </w:pPr>
            <w:r>
              <w:t xml:space="preserve">41.8 </w:t>
            </w:r>
          </w:p>
        </w:tc>
      </w:tr>
      <w:tr w:rsidR="00C70C1E" w14:paraId="606E753D" w14:textId="77777777" w:rsidTr="002A7344">
        <w:trPr>
          <w:trHeight w:val="262"/>
          <w:jc w:val="center"/>
        </w:trPr>
        <w:tc>
          <w:tcPr>
            <w:tcW w:w="0" w:type="auto"/>
            <w:vMerge/>
            <w:tcBorders>
              <w:top w:val="nil"/>
              <w:left w:val="single" w:sz="4" w:space="0" w:color="000000"/>
              <w:bottom w:val="nil"/>
              <w:right w:val="single" w:sz="4" w:space="0" w:color="000000"/>
            </w:tcBorders>
          </w:tcPr>
          <w:p w14:paraId="5D4C8AA1" w14:textId="77777777" w:rsidR="00C70C1E" w:rsidRDefault="00C70C1E" w:rsidP="001342F0">
            <w:pPr>
              <w:spacing w:after="160" w:line="259" w:lineRule="auto"/>
              <w:ind w:right="0" w:hanging="10"/>
              <w:jc w:val="left"/>
            </w:pPr>
          </w:p>
        </w:tc>
        <w:tc>
          <w:tcPr>
            <w:tcW w:w="1325" w:type="dxa"/>
            <w:tcBorders>
              <w:top w:val="single" w:sz="4" w:space="0" w:color="000000"/>
              <w:left w:val="single" w:sz="4" w:space="0" w:color="000000"/>
              <w:bottom w:val="single" w:sz="4" w:space="0" w:color="000000"/>
              <w:right w:val="single" w:sz="4" w:space="0" w:color="000000"/>
            </w:tcBorders>
          </w:tcPr>
          <w:p w14:paraId="5C6F2BC3" w14:textId="77777777" w:rsidR="00C70C1E" w:rsidRDefault="00AF67C6" w:rsidP="001342F0">
            <w:pPr>
              <w:spacing w:after="0" w:line="259" w:lineRule="auto"/>
              <w:ind w:left="60" w:right="0" w:hanging="10"/>
              <w:jc w:val="left"/>
            </w:pPr>
            <w:r>
              <w:rPr>
                <w:b/>
              </w:rPr>
              <w:t xml:space="preserve">Secondary </w:t>
            </w:r>
          </w:p>
        </w:tc>
        <w:tc>
          <w:tcPr>
            <w:tcW w:w="1337" w:type="dxa"/>
            <w:tcBorders>
              <w:top w:val="single" w:sz="4" w:space="0" w:color="000000"/>
              <w:left w:val="single" w:sz="4" w:space="0" w:color="000000"/>
              <w:bottom w:val="single" w:sz="4" w:space="0" w:color="000000"/>
              <w:right w:val="single" w:sz="4" w:space="0" w:color="000000"/>
            </w:tcBorders>
          </w:tcPr>
          <w:p w14:paraId="2FEEB98C" w14:textId="77777777" w:rsidR="00C70C1E" w:rsidRDefault="00AF67C6" w:rsidP="001342F0">
            <w:pPr>
              <w:spacing w:after="0" w:line="259" w:lineRule="auto"/>
              <w:ind w:left="5" w:right="0" w:hanging="10"/>
              <w:jc w:val="center"/>
            </w:pPr>
            <w:r>
              <w:t xml:space="preserve">58 </w:t>
            </w:r>
          </w:p>
        </w:tc>
        <w:tc>
          <w:tcPr>
            <w:tcW w:w="1052" w:type="dxa"/>
            <w:tcBorders>
              <w:top w:val="single" w:sz="4" w:space="0" w:color="000000"/>
              <w:left w:val="single" w:sz="4" w:space="0" w:color="000000"/>
              <w:bottom w:val="single" w:sz="4" w:space="0" w:color="000000"/>
              <w:right w:val="single" w:sz="4" w:space="0" w:color="000000"/>
            </w:tcBorders>
          </w:tcPr>
          <w:p w14:paraId="7451044D" w14:textId="77777777" w:rsidR="00C70C1E" w:rsidRDefault="00AF67C6" w:rsidP="001342F0">
            <w:pPr>
              <w:spacing w:after="0" w:line="259" w:lineRule="auto"/>
              <w:ind w:left="4" w:right="0" w:hanging="10"/>
              <w:jc w:val="center"/>
            </w:pPr>
            <w:r>
              <w:t xml:space="preserve">52.7 </w:t>
            </w:r>
          </w:p>
        </w:tc>
        <w:tc>
          <w:tcPr>
            <w:tcW w:w="1603" w:type="dxa"/>
            <w:tcBorders>
              <w:top w:val="single" w:sz="4" w:space="0" w:color="000000"/>
              <w:left w:val="single" w:sz="4" w:space="0" w:color="000000"/>
              <w:bottom w:val="single" w:sz="4" w:space="0" w:color="000000"/>
              <w:right w:val="single" w:sz="4" w:space="0" w:color="000000"/>
            </w:tcBorders>
          </w:tcPr>
          <w:p w14:paraId="631EF302" w14:textId="77777777" w:rsidR="00C70C1E" w:rsidRDefault="00AF67C6" w:rsidP="001342F0">
            <w:pPr>
              <w:spacing w:after="0" w:line="259" w:lineRule="auto"/>
              <w:ind w:left="5" w:right="0" w:hanging="10"/>
              <w:jc w:val="center"/>
            </w:pPr>
            <w:r>
              <w:t xml:space="preserve">52.7 </w:t>
            </w:r>
          </w:p>
        </w:tc>
        <w:tc>
          <w:tcPr>
            <w:tcW w:w="2209" w:type="dxa"/>
            <w:tcBorders>
              <w:top w:val="single" w:sz="4" w:space="0" w:color="000000"/>
              <w:left w:val="single" w:sz="4" w:space="0" w:color="000000"/>
              <w:bottom w:val="single" w:sz="4" w:space="0" w:color="000000"/>
              <w:right w:val="single" w:sz="4" w:space="0" w:color="000000"/>
            </w:tcBorders>
          </w:tcPr>
          <w:p w14:paraId="355D8971" w14:textId="77777777" w:rsidR="00C70C1E" w:rsidRDefault="00AF67C6" w:rsidP="001342F0">
            <w:pPr>
              <w:spacing w:after="0" w:line="259" w:lineRule="auto"/>
              <w:ind w:left="5" w:right="0" w:hanging="10"/>
              <w:jc w:val="center"/>
            </w:pPr>
            <w:r>
              <w:t xml:space="preserve">94.5 </w:t>
            </w:r>
          </w:p>
        </w:tc>
      </w:tr>
      <w:tr w:rsidR="00C70C1E" w14:paraId="3C32C531" w14:textId="77777777" w:rsidTr="002A7344">
        <w:trPr>
          <w:trHeight w:val="265"/>
          <w:jc w:val="center"/>
        </w:trPr>
        <w:tc>
          <w:tcPr>
            <w:tcW w:w="0" w:type="auto"/>
            <w:vMerge/>
            <w:tcBorders>
              <w:top w:val="nil"/>
              <w:left w:val="single" w:sz="4" w:space="0" w:color="000000"/>
              <w:bottom w:val="nil"/>
              <w:right w:val="single" w:sz="4" w:space="0" w:color="000000"/>
            </w:tcBorders>
            <w:vAlign w:val="center"/>
          </w:tcPr>
          <w:p w14:paraId="0894800D" w14:textId="77777777" w:rsidR="00C70C1E" w:rsidRDefault="00C70C1E" w:rsidP="001342F0">
            <w:pPr>
              <w:spacing w:after="160" w:line="259" w:lineRule="auto"/>
              <w:ind w:right="0" w:hanging="10"/>
              <w:jc w:val="left"/>
            </w:pPr>
          </w:p>
        </w:tc>
        <w:tc>
          <w:tcPr>
            <w:tcW w:w="1325" w:type="dxa"/>
            <w:tcBorders>
              <w:top w:val="single" w:sz="4" w:space="0" w:color="000000"/>
              <w:left w:val="single" w:sz="4" w:space="0" w:color="000000"/>
              <w:bottom w:val="single" w:sz="4" w:space="0" w:color="000000"/>
              <w:right w:val="single" w:sz="4" w:space="0" w:color="000000"/>
            </w:tcBorders>
          </w:tcPr>
          <w:p w14:paraId="440132DD" w14:textId="77777777" w:rsidR="00C70C1E" w:rsidRDefault="00AF67C6" w:rsidP="001342F0">
            <w:pPr>
              <w:spacing w:after="0" w:line="259" w:lineRule="auto"/>
              <w:ind w:left="60" w:right="0" w:hanging="10"/>
              <w:jc w:val="left"/>
            </w:pPr>
            <w:r>
              <w:rPr>
                <w:b/>
              </w:rPr>
              <w:t xml:space="preserve">Tertiary </w:t>
            </w:r>
          </w:p>
        </w:tc>
        <w:tc>
          <w:tcPr>
            <w:tcW w:w="1337" w:type="dxa"/>
            <w:tcBorders>
              <w:top w:val="single" w:sz="4" w:space="0" w:color="000000"/>
              <w:left w:val="single" w:sz="4" w:space="0" w:color="000000"/>
              <w:bottom w:val="single" w:sz="4" w:space="0" w:color="000000"/>
              <w:right w:val="single" w:sz="4" w:space="0" w:color="000000"/>
            </w:tcBorders>
          </w:tcPr>
          <w:p w14:paraId="7D090E57" w14:textId="77777777" w:rsidR="00C70C1E" w:rsidRDefault="00AF67C6" w:rsidP="001342F0">
            <w:pPr>
              <w:spacing w:after="0" w:line="259" w:lineRule="auto"/>
              <w:ind w:left="5" w:right="0" w:hanging="10"/>
              <w:jc w:val="center"/>
            </w:pPr>
            <w:r>
              <w:t xml:space="preserve">6 </w:t>
            </w:r>
          </w:p>
        </w:tc>
        <w:tc>
          <w:tcPr>
            <w:tcW w:w="1052" w:type="dxa"/>
            <w:tcBorders>
              <w:top w:val="single" w:sz="4" w:space="0" w:color="000000"/>
              <w:left w:val="single" w:sz="4" w:space="0" w:color="000000"/>
              <w:bottom w:val="single" w:sz="4" w:space="0" w:color="000000"/>
              <w:right w:val="single" w:sz="4" w:space="0" w:color="000000"/>
            </w:tcBorders>
          </w:tcPr>
          <w:p w14:paraId="5F781970" w14:textId="77777777" w:rsidR="00C70C1E" w:rsidRDefault="00AF67C6" w:rsidP="001342F0">
            <w:pPr>
              <w:spacing w:after="0" w:line="259" w:lineRule="auto"/>
              <w:ind w:left="4" w:right="0" w:hanging="10"/>
              <w:jc w:val="center"/>
            </w:pPr>
            <w:r>
              <w:t xml:space="preserve">5.5 </w:t>
            </w:r>
          </w:p>
        </w:tc>
        <w:tc>
          <w:tcPr>
            <w:tcW w:w="1603" w:type="dxa"/>
            <w:tcBorders>
              <w:top w:val="single" w:sz="4" w:space="0" w:color="000000"/>
              <w:left w:val="single" w:sz="4" w:space="0" w:color="000000"/>
              <w:bottom w:val="single" w:sz="4" w:space="0" w:color="000000"/>
              <w:right w:val="single" w:sz="4" w:space="0" w:color="000000"/>
            </w:tcBorders>
          </w:tcPr>
          <w:p w14:paraId="1D74C504" w14:textId="77777777" w:rsidR="00C70C1E" w:rsidRDefault="00AF67C6" w:rsidP="001342F0">
            <w:pPr>
              <w:spacing w:after="0" w:line="259" w:lineRule="auto"/>
              <w:ind w:left="5" w:right="0" w:hanging="10"/>
              <w:jc w:val="center"/>
            </w:pPr>
            <w:r>
              <w:t xml:space="preserve">5.5 </w:t>
            </w:r>
          </w:p>
        </w:tc>
        <w:tc>
          <w:tcPr>
            <w:tcW w:w="2209" w:type="dxa"/>
            <w:tcBorders>
              <w:top w:val="single" w:sz="4" w:space="0" w:color="000000"/>
              <w:left w:val="single" w:sz="4" w:space="0" w:color="000000"/>
              <w:bottom w:val="single" w:sz="4" w:space="0" w:color="000000"/>
              <w:right w:val="single" w:sz="4" w:space="0" w:color="000000"/>
            </w:tcBorders>
          </w:tcPr>
          <w:p w14:paraId="23B6F070" w14:textId="77777777" w:rsidR="00C70C1E" w:rsidRDefault="00AF67C6" w:rsidP="001342F0">
            <w:pPr>
              <w:spacing w:after="0" w:line="259" w:lineRule="auto"/>
              <w:ind w:left="5" w:right="0" w:hanging="10"/>
              <w:jc w:val="center"/>
            </w:pPr>
            <w:r>
              <w:t xml:space="preserve">100.0 </w:t>
            </w:r>
          </w:p>
        </w:tc>
      </w:tr>
      <w:tr w:rsidR="00C70C1E" w14:paraId="1F310D92" w14:textId="77777777" w:rsidTr="002A7344">
        <w:trPr>
          <w:trHeight w:val="262"/>
          <w:jc w:val="center"/>
        </w:trPr>
        <w:tc>
          <w:tcPr>
            <w:tcW w:w="0" w:type="auto"/>
            <w:vMerge/>
            <w:tcBorders>
              <w:top w:val="nil"/>
              <w:left w:val="single" w:sz="4" w:space="0" w:color="000000"/>
              <w:bottom w:val="single" w:sz="4" w:space="0" w:color="000000"/>
              <w:right w:val="single" w:sz="4" w:space="0" w:color="000000"/>
            </w:tcBorders>
          </w:tcPr>
          <w:p w14:paraId="02C3ADBD" w14:textId="77777777" w:rsidR="00C70C1E" w:rsidRDefault="00C70C1E" w:rsidP="001342F0">
            <w:pPr>
              <w:spacing w:after="160" w:line="259" w:lineRule="auto"/>
              <w:ind w:right="0" w:hanging="10"/>
              <w:jc w:val="left"/>
            </w:pPr>
          </w:p>
        </w:tc>
        <w:tc>
          <w:tcPr>
            <w:tcW w:w="1325" w:type="dxa"/>
            <w:tcBorders>
              <w:top w:val="single" w:sz="4" w:space="0" w:color="000000"/>
              <w:left w:val="single" w:sz="4" w:space="0" w:color="000000"/>
              <w:bottom w:val="single" w:sz="4" w:space="0" w:color="000000"/>
              <w:right w:val="single" w:sz="4" w:space="0" w:color="000000"/>
            </w:tcBorders>
          </w:tcPr>
          <w:p w14:paraId="27ECE355" w14:textId="77777777" w:rsidR="00C70C1E" w:rsidRDefault="00AF67C6" w:rsidP="001342F0">
            <w:pPr>
              <w:spacing w:after="0" w:line="259" w:lineRule="auto"/>
              <w:ind w:left="60" w:right="0" w:hanging="10"/>
              <w:jc w:val="left"/>
            </w:pPr>
            <w:r>
              <w:rPr>
                <w:b/>
              </w:rPr>
              <w:t xml:space="preserve">Total </w:t>
            </w:r>
          </w:p>
        </w:tc>
        <w:tc>
          <w:tcPr>
            <w:tcW w:w="1337" w:type="dxa"/>
            <w:tcBorders>
              <w:top w:val="single" w:sz="4" w:space="0" w:color="000000"/>
              <w:left w:val="single" w:sz="4" w:space="0" w:color="000000"/>
              <w:bottom w:val="single" w:sz="4" w:space="0" w:color="000000"/>
              <w:right w:val="single" w:sz="4" w:space="0" w:color="000000"/>
            </w:tcBorders>
          </w:tcPr>
          <w:p w14:paraId="45DA0C26" w14:textId="77777777" w:rsidR="00C70C1E" w:rsidRDefault="00AF67C6" w:rsidP="001342F0">
            <w:pPr>
              <w:spacing w:after="0" w:line="259" w:lineRule="auto"/>
              <w:ind w:left="7" w:right="0" w:hanging="10"/>
              <w:jc w:val="center"/>
            </w:pPr>
            <w:r>
              <w:t xml:space="preserve">110 </w:t>
            </w:r>
          </w:p>
        </w:tc>
        <w:tc>
          <w:tcPr>
            <w:tcW w:w="1052" w:type="dxa"/>
            <w:tcBorders>
              <w:top w:val="single" w:sz="4" w:space="0" w:color="000000"/>
              <w:left w:val="single" w:sz="4" w:space="0" w:color="000000"/>
              <w:bottom w:val="single" w:sz="4" w:space="0" w:color="000000"/>
              <w:right w:val="single" w:sz="4" w:space="0" w:color="000000"/>
            </w:tcBorders>
          </w:tcPr>
          <w:p w14:paraId="5910D73C" w14:textId="77777777" w:rsidR="00C70C1E" w:rsidRDefault="00AF67C6" w:rsidP="001342F0">
            <w:pPr>
              <w:spacing w:after="0" w:line="259" w:lineRule="auto"/>
              <w:ind w:left="4" w:right="0" w:hanging="10"/>
              <w:jc w:val="center"/>
            </w:pPr>
            <w:r>
              <w:t xml:space="preserve">100.0 </w:t>
            </w:r>
          </w:p>
        </w:tc>
        <w:tc>
          <w:tcPr>
            <w:tcW w:w="1603" w:type="dxa"/>
            <w:tcBorders>
              <w:top w:val="single" w:sz="4" w:space="0" w:color="000000"/>
              <w:left w:val="single" w:sz="4" w:space="0" w:color="000000"/>
              <w:bottom w:val="single" w:sz="4" w:space="0" w:color="000000"/>
              <w:right w:val="single" w:sz="4" w:space="0" w:color="000000"/>
            </w:tcBorders>
          </w:tcPr>
          <w:p w14:paraId="761DF2EF" w14:textId="77777777" w:rsidR="00C70C1E" w:rsidRDefault="00AF67C6" w:rsidP="001342F0">
            <w:pPr>
              <w:spacing w:after="0" w:line="259" w:lineRule="auto"/>
              <w:ind w:left="5" w:right="0" w:hanging="10"/>
              <w:jc w:val="center"/>
            </w:pPr>
            <w:r>
              <w:t xml:space="preserve">100.0 </w:t>
            </w:r>
          </w:p>
        </w:tc>
        <w:tc>
          <w:tcPr>
            <w:tcW w:w="2209" w:type="dxa"/>
            <w:tcBorders>
              <w:top w:val="single" w:sz="4" w:space="0" w:color="000000"/>
              <w:left w:val="single" w:sz="4" w:space="0" w:color="000000"/>
              <w:bottom w:val="single" w:sz="4" w:space="0" w:color="000000"/>
              <w:right w:val="single" w:sz="4" w:space="0" w:color="000000"/>
            </w:tcBorders>
          </w:tcPr>
          <w:p w14:paraId="75FDA85E" w14:textId="77777777" w:rsidR="00C70C1E" w:rsidRDefault="00AF67C6" w:rsidP="001342F0">
            <w:pPr>
              <w:spacing w:after="0" w:line="259" w:lineRule="auto"/>
              <w:ind w:left="58" w:right="0" w:hanging="10"/>
              <w:jc w:val="center"/>
            </w:pPr>
            <w:r>
              <w:t xml:space="preserve"> </w:t>
            </w:r>
          </w:p>
        </w:tc>
      </w:tr>
    </w:tbl>
    <w:p w14:paraId="37E25169" w14:textId="3DD62745" w:rsidR="00C70C1E" w:rsidRDefault="00AF67C6" w:rsidP="00F7202B">
      <w:pPr>
        <w:spacing w:before="240" w:after="287"/>
        <w:ind w:left="-15" w:right="0" w:firstLine="582"/>
      </w:pPr>
      <w:r>
        <w:t>The educational level attained by respondents was also investigated and the results of the study in</w:t>
      </w:r>
      <w:r w:rsidR="00514030">
        <w:t xml:space="preserve"> </w:t>
      </w:r>
      <w:r>
        <w:t xml:space="preserve">Table 5 show that the majority of respondents who attained secondary education stood at 52.7% while 41.8% of them had only attained primary education. The rest of the respondents (about 5.5%) had reached tertiary level of education.  </w:t>
      </w:r>
    </w:p>
    <w:p w14:paraId="005A0BE7" w14:textId="35AF9E23" w:rsidR="00C70C1E" w:rsidRDefault="00AF67C6" w:rsidP="00804027">
      <w:pPr>
        <w:pStyle w:val="Heading3"/>
        <w:numPr>
          <w:ilvl w:val="1"/>
          <w:numId w:val="7"/>
        </w:numPr>
        <w:tabs>
          <w:tab w:val="center" w:pos="2107"/>
        </w:tabs>
        <w:ind w:left="567" w:right="0" w:hanging="567"/>
      </w:pPr>
      <w:r>
        <w:t xml:space="preserve">Smallholder farmers’ livelihoods </w:t>
      </w:r>
    </w:p>
    <w:p w14:paraId="19875FD5" w14:textId="4CD88D27" w:rsidR="00C70C1E" w:rsidRDefault="00AF67C6" w:rsidP="00F7202B">
      <w:pPr>
        <w:spacing w:after="0"/>
        <w:ind w:left="-15" w:right="0" w:firstLine="582"/>
        <w:rPr>
          <w:b/>
        </w:rPr>
      </w:pPr>
      <w:r>
        <w:t>In order to understand LEK in terms of livelihoods, the study examined the famers’ livelihoods as illustrated in Table 6.</w:t>
      </w:r>
      <w:r>
        <w:rPr>
          <w:b/>
        </w:rPr>
        <w:t xml:space="preserve"> </w:t>
      </w:r>
    </w:p>
    <w:p w14:paraId="4F60C133" w14:textId="77777777" w:rsidR="00705705" w:rsidRDefault="00705705" w:rsidP="00E96EB7">
      <w:pPr>
        <w:ind w:right="0" w:firstLine="0"/>
      </w:pPr>
    </w:p>
    <w:tbl>
      <w:tblPr>
        <w:tblStyle w:val="TableGrid"/>
        <w:tblW w:w="8518" w:type="dxa"/>
        <w:jc w:val="center"/>
        <w:tblInd w:w="0" w:type="dxa"/>
        <w:tblCellMar>
          <w:top w:w="7" w:type="dxa"/>
          <w:left w:w="108" w:type="dxa"/>
        </w:tblCellMar>
        <w:tblLook w:val="04A0" w:firstRow="1" w:lastRow="0" w:firstColumn="1" w:lastColumn="0" w:noHBand="0" w:noVBand="1"/>
      </w:tblPr>
      <w:tblGrid>
        <w:gridCol w:w="850"/>
        <w:gridCol w:w="1134"/>
        <w:gridCol w:w="1418"/>
        <w:gridCol w:w="1307"/>
        <w:gridCol w:w="1528"/>
        <w:gridCol w:w="2281"/>
      </w:tblGrid>
      <w:tr w:rsidR="00C70C1E" w14:paraId="39833A35" w14:textId="77777777" w:rsidTr="002A7344">
        <w:trPr>
          <w:trHeight w:val="439"/>
          <w:jc w:val="center"/>
        </w:trPr>
        <w:tc>
          <w:tcPr>
            <w:tcW w:w="3402" w:type="dxa"/>
            <w:gridSpan w:val="3"/>
            <w:tcBorders>
              <w:top w:val="single" w:sz="4" w:space="0" w:color="000000"/>
              <w:left w:val="single" w:sz="4" w:space="0" w:color="000000"/>
              <w:bottom w:val="single" w:sz="4" w:space="0" w:color="000000"/>
              <w:right w:val="nil"/>
            </w:tcBorders>
            <w:vAlign w:val="center"/>
          </w:tcPr>
          <w:p w14:paraId="356F6E90" w14:textId="77777777" w:rsidR="00C70C1E" w:rsidRDefault="00AF67C6" w:rsidP="001342F0">
            <w:pPr>
              <w:spacing w:after="0" w:line="259" w:lineRule="auto"/>
              <w:ind w:right="0" w:hanging="10"/>
              <w:jc w:val="left"/>
            </w:pPr>
            <w:r>
              <w:rPr>
                <w:b/>
              </w:rPr>
              <w:t xml:space="preserve">Table 6: </w:t>
            </w:r>
            <w:r>
              <w:t>Primary sources of income</w:t>
            </w:r>
            <w:r>
              <w:rPr>
                <w:b/>
              </w:rPr>
              <w:t xml:space="preserve"> </w:t>
            </w:r>
          </w:p>
        </w:tc>
        <w:tc>
          <w:tcPr>
            <w:tcW w:w="1307" w:type="dxa"/>
            <w:tcBorders>
              <w:top w:val="single" w:sz="4" w:space="0" w:color="000000"/>
              <w:left w:val="nil"/>
              <w:bottom w:val="single" w:sz="4" w:space="0" w:color="000000"/>
              <w:right w:val="nil"/>
            </w:tcBorders>
          </w:tcPr>
          <w:p w14:paraId="0EF16AC0" w14:textId="77777777" w:rsidR="00C70C1E" w:rsidRDefault="00C70C1E" w:rsidP="001342F0">
            <w:pPr>
              <w:spacing w:after="160" w:line="259" w:lineRule="auto"/>
              <w:ind w:right="0" w:hanging="10"/>
              <w:jc w:val="left"/>
            </w:pPr>
          </w:p>
        </w:tc>
        <w:tc>
          <w:tcPr>
            <w:tcW w:w="1528" w:type="dxa"/>
            <w:tcBorders>
              <w:top w:val="single" w:sz="4" w:space="0" w:color="000000"/>
              <w:left w:val="nil"/>
              <w:bottom w:val="single" w:sz="4" w:space="0" w:color="000000"/>
              <w:right w:val="nil"/>
            </w:tcBorders>
          </w:tcPr>
          <w:p w14:paraId="5E98F275" w14:textId="77777777" w:rsidR="00C70C1E" w:rsidRDefault="00C70C1E" w:rsidP="001342F0">
            <w:pPr>
              <w:spacing w:after="160" w:line="259" w:lineRule="auto"/>
              <w:ind w:right="0" w:hanging="10"/>
              <w:jc w:val="left"/>
            </w:pPr>
          </w:p>
        </w:tc>
        <w:tc>
          <w:tcPr>
            <w:tcW w:w="2281" w:type="dxa"/>
            <w:tcBorders>
              <w:top w:val="single" w:sz="4" w:space="0" w:color="000000"/>
              <w:left w:val="nil"/>
              <w:bottom w:val="single" w:sz="4" w:space="0" w:color="000000"/>
              <w:right w:val="single" w:sz="4" w:space="0" w:color="000000"/>
            </w:tcBorders>
          </w:tcPr>
          <w:p w14:paraId="2C9A60E0" w14:textId="77777777" w:rsidR="00C70C1E" w:rsidRDefault="00C70C1E" w:rsidP="001342F0">
            <w:pPr>
              <w:spacing w:after="160" w:line="259" w:lineRule="auto"/>
              <w:ind w:right="0" w:hanging="10"/>
              <w:jc w:val="left"/>
            </w:pPr>
          </w:p>
        </w:tc>
      </w:tr>
      <w:tr w:rsidR="00C70C1E" w14:paraId="41874DF6" w14:textId="77777777" w:rsidTr="002A7344">
        <w:trPr>
          <w:trHeight w:val="438"/>
          <w:jc w:val="center"/>
        </w:trPr>
        <w:tc>
          <w:tcPr>
            <w:tcW w:w="1984" w:type="dxa"/>
            <w:gridSpan w:val="2"/>
            <w:tcBorders>
              <w:top w:val="single" w:sz="4" w:space="0" w:color="000000"/>
              <w:left w:val="single" w:sz="4" w:space="0" w:color="000000"/>
              <w:bottom w:val="single" w:sz="4" w:space="0" w:color="000000"/>
              <w:right w:val="single" w:sz="4" w:space="0" w:color="000000"/>
            </w:tcBorders>
            <w:vAlign w:val="center"/>
          </w:tcPr>
          <w:p w14:paraId="7A5CCC02" w14:textId="77777777" w:rsidR="00C70C1E" w:rsidRDefault="00AF67C6" w:rsidP="001342F0">
            <w:pPr>
              <w:spacing w:after="0" w:line="259" w:lineRule="auto"/>
              <w:ind w:left="60" w:right="0" w:hanging="10"/>
              <w:jc w:val="left"/>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50B50E0" w14:textId="77777777" w:rsidR="00C70C1E" w:rsidRDefault="00AF67C6" w:rsidP="001342F0">
            <w:pPr>
              <w:spacing w:after="0" w:line="259" w:lineRule="auto"/>
              <w:ind w:left="60" w:right="0" w:hanging="10"/>
              <w:jc w:val="left"/>
            </w:pPr>
            <w:r>
              <w:rPr>
                <w:b/>
              </w:rPr>
              <w:t xml:space="preserve">Frequency </w:t>
            </w:r>
          </w:p>
        </w:tc>
        <w:tc>
          <w:tcPr>
            <w:tcW w:w="1307" w:type="dxa"/>
            <w:tcBorders>
              <w:top w:val="single" w:sz="4" w:space="0" w:color="000000"/>
              <w:left w:val="single" w:sz="4" w:space="0" w:color="000000"/>
              <w:bottom w:val="single" w:sz="4" w:space="0" w:color="000000"/>
              <w:right w:val="single" w:sz="4" w:space="0" w:color="000000"/>
            </w:tcBorders>
            <w:vAlign w:val="center"/>
          </w:tcPr>
          <w:p w14:paraId="2E2A8DCC" w14:textId="77777777" w:rsidR="00C70C1E" w:rsidRDefault="00AF67C6" w:rsidP="001342F0">
            <w:pPr>
              <w:spacing w:after="0" w:line="259" w:lineRule="auto"/>
              <w:ind w:left="60" w:right="0" w:hanging="10"/>
              <w:jc w:val="left"/>
            </w:pPr>
            <w:r>
              <w:rPr>
                <w:b/>
              </w:rPr>
              <w:t xml:space="preserve">Percent </w:t>
            </w:r>
          </w:p>
        </w:tc>
        <w:tc>
          <w:tcPr>
            <w:tcW w:w="1528" w:type="dxa"/>
            <w:tcBorders>
              <w:top w:val="single" w:sz="4" w:space="0" w:color="000000"/>
              <w:left w:val="single" w:sz="4" w:space="0" w:color="000000"/>
              <w:bottom w:val="single" w:sz="4" w:space="0" w:color="000000"/>
              <w:right w:val="single" w:sz="4" w:space="0" w:color="000000"/>
            </w:tcBorders>
            <w:vAlign w:val="center"/>
          </w:tcPr>
          <w:p w14:paraId="318E9E95" w14:textId="77777777" w:rsidR="00C70C1E" w:rsidRDefault="00AF67C6" w:rsidP="001342F0">
            <w:pPr>
              <w:spacing w:after="0" w:line="259" w:lineRule="auto"/>
              <w:ind w:right="107" w:hanging="10"/>
              <w:jc w:val="center"/>
            </w:pPr>
            <w:r>
              <w:rPr>
                <w:b/>
              </w:rPr>
              <w:t xml:space="preserve">Valid Percent </w:t>
            </w:r>
          </w:p>
        </w:tc>
        <w:tc>
          <w:tcPr>
            <w:tcW w:w="2281" w:type="dxa"/>
            <w:tcBorders>
              <w:top w:val="single" w:sz="4" w:space="0" w:color="000000"/>
              <w:left w:val="single" w:sz="4" w:space="0" w:color="000000"/>
              <w:bottom w:val="single" w:sz="4" w:space="0" w:color="000000"/>
              <w:right w:val="single" w:sz="4" w:space="0" w:color="000000"/>
            </w:tcBorders>
            <w:vAlign w:val="center"/>
          </w:tcPr>
          <w:p w14:paraId="47667AF1" w14:textId="77777777" w:rsidR="00C70C1E" w:rsidRDefault="00AF67C6" w:rsidP="001342F0">
            <w:pPr>
              <w:spacing w:after="0" w:line="259" w:lineRule="auto"/>
              <w:ind w:right="12" w:hanging="10"/>
              <w:jc w:val="center"/>
            </w:pPr>
            <w:r>
              <w:rPr>
                <w:b/>
              </w:rPr>
              <w:t xml:space="preserve">Cumulative Percent </w:t>
            </w:r>
          </w:p>
        </w:tc>
      </w:tr>
      <w:tr w:rsidR="00C70C1E" w14:paraId="1FACF1A9" w14:textId="77777777" w:rsidTr="002A7344">
        <w:trPr>
          <w:trHeight w:val="343"/>
          <w:jc w:val="center"/>
        </w:trPr>
        <w:tc>
          <w:tcPr>
            <w:tcW w:w="850" w:type="dxa"/>
            <w:vMerge w:val="restart"/>
            <w:tcBorders>
              <w:top w:val="single" w:sz="4" w:space="0" w:color="000000"/>
              <w:left w:val="single" w:sz="4" w:space="0" w:color="000000"/>
              <w:bottom w:val="single" w:sz="4" w:space="0" w:color="000000"/>
              <w:right w:val="single" w:sz="4" w:space="0" w:color="000000"/>
            </w:tcBorders>
            <w:vAlign w:val="center"/>
          </w:tcPr>
          <w:p w14:paraId="7EC6AB1C" w14:textId="77777777" w:rsidR="00C70C1E" w:rsidRDefault="00AF67C6" w:rsidP="001342F0">
            <w:pPr>
              <w:spacing w:after="0" w:line="259" w:lineRule="auto"/>
              <w:ind w:left="60" w:right="0" w:hanging="10"/>
              <w:jc w:val="left"/>
            </w:pPr>
            <w:r>
              <w:rPr>
                <w:b/>
              </w:rPr>
              <w:t>Valid</w:t>
            </w:r>
            <w:r>
              <w:t xml:space="preserve"> </w:t>
            </w:r>
          </w:p>
        </w:tc>
        <w:tc>
          <w:tcPr>
            <w:tcW w:w="1134" w:type="dxa"/>
            <w:tcBorders>
              <w:top w:val="single" w:sz="4" w:space="0" w:color="000000"/>
              <w:left w:val="single" w:sz="4" w:space="0" w:color="000000"/>
              <w:bottom w:val="single" w:sz="4" w:space="0" w:color="000000"/>
              <w:right w:val="single" w:sz="4" w:space="0" w:color="000000"/>
            </w:tcBorders>
          </w:tcPr>
          <w:p w14:paraId="269F3BB9" w14:textId="77777777" w:rsidR="00C70C1E" w:rsidRDefault="00AF67C6" w:rsidP="001342F0">
            <w:pPr>
              <w:spacing w:after="0" w:line="259" w:lineRule="auto"/>
              <w:ind w:left="60" w:right="0" w:hanging="10"/>
              <w:jc w:val="left"/>
            </w:pPr>
            <w:r>
              <w:rPr>
                <w:b/>
              </w:rPr>
              <w:t xml:space="preserve">Farming </w:t>
            </w:r>
          </w:p>
        </w:tc>
        <w:tc>
          <w:tcPr>
            <w:tcW w:w="1418" w:type="dxa"/>
            <w:tcBorders>
              <w:top w:val="single" w:sz="4" w:space="0" w:color="000000"/>
              <w:left w:val="single" w:sz="4" w:space="0" w:color="000000"/>
              <w:bottom w:val="single" w:sz="4" w:space="0" w:color="000000"/>
              <w:right w:val="single" w:sz="4" w:space="0" w:color="000000"/>
            </w:tcBorders>
          </w:tcPr>
          <w:p w14:paraId="45C2E712" w14:textId="77777777" w:rsidR="00C70C1E" w:rsidRDefault="00AF67C6" w:rsidP="001342F0">
            <w:pPr>
              <w:spacing w:after="0" w:line="259" w:lineRule="auto"/>
              <w:ind w:right="108" w:hanging="10"/>
              <w:jc w:val="center"/>
            </w:pPr>
            <w:r>
              <w:t xml:space="preserve">104 </w:t>
            </w:r>
          </w:p>
        </w:tc>
        <w:tc>
          <w:tcPr>
            <w:tcW w:w="1307" w:type="dxa"/>
            <w:tcBorders>
              <w:top w:val="single" w:sz="4" w:space="0" w:color="000000"/>
              <w:left w:val="single" w:sz="4" w:space="0" w:color="000000"/>
              <w:bottom w:val="single" w:sz="4" w:space="0" w:color="000000"/>
              <w:right w:val="single" w:sz="4" w:space="0" w:color="000000"/>
            </w:tcBorders>
          </w:tcPr>
          <w:p w14:paraId="61278696" w14:textId="77777777" w:rsidR="00C70C1E" w:rsidRDefault="00AF67C6" w:rsidP="001342F0">
            <w:pPr>
              <w:spacing w:after="0" w:line="259" w:lineRule="auto"/>
              <w:ind w:right="108" w:hanging="10"/>
              <w:jc w:val="center"/>
            </w:pPr>
            <w:r>
              <w:t xml:space="preserve">94.5 </w:t>
            </w:r>
          </w:p>
        </w:tc>
        <w:tc>
          <w:tcPr>
            <w:tcW w:w="1528" w:type="dxa"/>
            <w:tcBorders>
              <w:top w:val="single" w:sz="4" w:space="0" w:color="000000"/>
              <w:left w:val="single" w:sz="4" w:space="0" w:color="000000"/>
              <w:bottom w:val="single" w:sz="4" w:space="0" w:color="000000"/>
              <w:right w:val="single" w:sz="4" w:space="0" w:color="000000"/>
            </w:tcBorders>
          </w:tcPr>
          <w:p w14:paraId="44631BA8" w14:textId="77777777" w:rsidR="00C70C1E" w:rsidRDefault="00AF67C6" w:rsidP="001342F0">
            <w:pPr>
              <w:spacing w:after="0" w:line="259" w:lineRule="auto"/>
              <w:ind w:right="108" w:hanging="10"/>
              <w:jc w:val="center"/>
            </w:pPr>
            <w:r>
              <w:t xml:space="preserve">94.5 </w:t>
            </w:r>
          </w:p>
        </w:tc>
        <w:tc>
          <w:tcPr>
            <w:tcW w:w="2281" w:type="dxa"/>
            <w:tcBorders>
              <w:top w:val="single" w:sz="4" w:space="0" w:color="000000"/>
              <w:left w:val="single" w:sz="4" w:space="0" w:color="000000"/>
              <w:bottom w:val="single" w:sz="4" w:space="0" w:color="000000"/>
              <w:right w:val="single" w:sz="4" w:space="0" w:color="000000"/>
            </w:tcBorders>
            <w:vAlign w:val="center"/>
          </w:tcPr>
          <w:p w14:paraId="2928DCD7" w14:textId="77777777" w:rsidR="00C70C1E" w:rsidRDefault="00AF67C6" w:rsidP="001342F0">
            <w:pPr>
              <w:spacing w:after="0" w:line="259" w:lineRule="auto"/>
              <w:ind w:right="105" w:hanging="10"/>
              <w:jc w:val="center"/>
            </w:pPr>
            <w:r>
              <w:t xml:space="preserve">94.5 </w:t>
            </w:r>
          </w:p>
        </w:tc>
      </w:tr>
      <w:tr w:rsidR="00C70C1E" w14:paraId="7A73E8DD" w14:textId="77777777" w:rsidTr="002A7344">
        <w:trPr>
          <w:trHeight w:val="302"/>
          <w:jc w:val="center"/>
        </w:trPr>
        <w:tc>
          <w:tcPr>
            <w:tcW w:w="850" w:type="dxa"/>
            <w:vMerge/>
            <w:tcBorders>
              <w:top w:val="nil"/>
              <w:left w:val="single" w:sz="4" w:space="0" w:color="000000"/>
              <w:bottom w:val="nil"/>
              <w:right w:val="single" w:sz="4" w:space="0" w:color="000000"/>
            </w:tcBorders>
          </w:tcPr>
          <w:p w14:paraId="48BF93CC" w14:textId="77777777" w:rsidR="00C70C1E" w:rsidRDefault="00C70C1E" w:rsidP="001342F0">
            <w:pPr>
              <w:spacing w:after="160" w:line="259" w:lineRule="auto"/>
              <w:ind w:right="0" w:hanging="10"/>
              <w:jc w:val="left"/>
            </w:pPr>
          </w:p>
        </w:tc>
        <w:tc>
          <w:tcPr>
            <w:tcW w:w="1134" w:type="dxa"/>
            <w:tcBorders>
              <w:top w:val="single" w:sz="4" w:space="0" w:color="000000"/>
              <w:left w:val="single" w:sz="4" w:space="0" w:color="000000"/>
              <w:bottom w:val="single" w:sz="4" w:space="0" w:color="000000"/>
              <w:right w:val="single" w:sz="4" w:space="0" w:color="000000"/>
            </w:tcBorders>
          </w:tcPr>
          <w:p w14:paraId="7895C3CF" w14:textId="77777777" w:rsidR="00C70C1E" w:rsidRDefault="00AF67C6" w:rsidP="001342F0">
            <w:pPr>
              <w:spacing w:after="0" w:line="259" w:lineRule="auto"/>
              <w:ind w:left="60" w:right="0" w:hanging="10"/>
              <w:jc w:val="left"/>
            </w:pPr>
            <w:r>
              <w:rPr>
                <w:b/>
              </w:rPr>
              <w:t xml:space="preserve">Other </w:t>
            </w:r>
          </w:p>
        </w:tc>
        <w:tc>
          <w:tcPr>
            <w:tcW w:w="1418" w:type="dxa"/>
            <w:tcBorders>
              <w:top w:val="single" w:sz="4" w:space="0" w:color="000000"/>
              <w:left w:val="single" w:sz="4" w:space="0" w:color="000000"/>
              <w:bottom w:val="single" w:sz="4" w:space="0" w:color="000000"/>
              <w:right w:val="single" w:sz="4" w:space="0" w:color="000000"/>
            </w:tcBorders>
          </w:tcPr>
          <w:p w14:paraId="2485E013" w14:textId="77777777" w:rsidR="00C70C1E" w:rsidRDefault="00AF67C6" w:rsidP="001342F0">
            <w:pPr>
              <w:spacing w:after="0" w:line="259" w:lineRule="auto"/>
              <w:ind w:right="108" w:hanging="10"/>
              <w:jc w:val="center"/>
            </w:pPr>
            <w:r>
              <w:t xml:space="preserve">6 </w:t>
            </w:r>
          </w:p>
        </w:tc>
        <w:tc>
          <w:tcPr>
            <w:tcW w:w="1307" w:type="dxa"/>
            <w:tcBorders>
              <w:top w:val="single" w:sz="4" w:space="0" w:color="000000"/>
              <w:left w:val="single" w:sz="4" w:space="0" w:color="000000"/>
              <w:bottom w:val="single" w:sz="4" w:space="0" w:color="000000"/>
              <w:right w:val="single" w:sz="4" w:space="0" w:color="000000"/>
            </w:tcBorders>
          </w:tcPr>
          <w:p w14:paraId="3EF206C1" w14:textId="77777777" w:rsidR="00C70C1E" w:rsidRDefault="00AF67C6" w:rsidP="001342F0">
            <w:pPr>
              <w:spacing w:after="0" w:line="259" w:lineRule="auto"/>
              <w:ind w:right="108" w:hanging="10"/>
              <w:jc w:val="center"/>
            </w:pPr>
            <w:r>
              <w:t xml:space="preserve">5.5 </w:t>
            </w:r>
          </w:p>
        </w:tc>
        <w:tc>
          <w:tcPr>
            <w:tcW w:w="1528" w:type="dxa"/>
            <w:tcBorders>
              <w:top w:val="single" w:sz="4" w:space="0" w:color="000000"/>
              <w:left w:val="single" w:sz="4" w:space="0" w:color="000000"/>
              <w:bottom w:val="single" w:sz="4" w:space="0" w:color="000000"/>
              <w:right w:val="single" w:sz="4" w:space="0" w:color="000000"/>
            </w:tcBorders>
          </w:tcPr>
          <w:p w14:paraId="65F9E963" w14:textId="77777777" w:rsidR="00C70C1E" w:rsidRDefault="00AF67C6" w:rsidP="001342F0">
            <w:pPr>
              <w:spacing w:after="0" w:line="259" w:lineRule="auto"/>
              <w:ind w:right="108" w:hanging="10"/>
              <w:jc w:val="center"/>
            </w:pPr>
            <w:r>
              <w:t xml:space="preserve">5.5 </w:t>
            </w:r>
          </w:p>
        </w:tc>
        <w:tc>
          <w:tcPr>
            <w:tcW w:w="2281" w:type="dxa"/>
            <w:tcBorders>
              <w:top w:val="single" w:sz="4" w:space="0" w:color="000000"/>
              <w:left w:val="single" w:sz="4" w:space="0" w:color="000000"/>
              <w:bottom w:val="single" w:sz="4" w:space="0" w:color="000000"/>
              <w:right w:val="single" w:sz="4" w:space="0" w:color="000000"/>
            </w:tcBorders>
            <w:vAlign w:val="center"/>
          </w:tcPr>
          <w:p w14:paraId="3F7B5B8C" w14:textId="77777777" w:rsidR="00C70C1E" w:rsidRDefault="00AF67C6" w:rsidP="001342F0">
            <w:pPr>
              <w:spacing w:after="0" w:line="259" w:lineRule="auto"/>
              <w:ind w:right="105" w:hanging="10"/>
              <w:jc w:val="center"/>
            </w:pPr>
            <w:r>
              <w:t xml:space="preserve">100.0 </w:t>
            </w:r>
          </w:p>
        </w:tc>
      </w:tr>
      <w:tr w:rsidR="00C70C1E" w14:paraId="30D5F6B1" w14:textId="77777777" w:rsidTr="002A7344">
        <w:trPr>
          <w:trHeight w:val="300"/>
          <w:jc w:val="center"/>
        </w:trPr>
        <w:tc>
          <w:tcPr>
            <w:tcW w:w="850" w:type="dxa"/>
            <w:vMerge/>
            <w:tcBorders>
              <w:top w:val="nil"/>
              <w:left w:val="single" w:sz="4" w:space="0" w:color="000000"/>
              <w:bottom w:val="single" w:sz="4" w:space="0" w:color="000000"/>
              <w:right w:val="single" w:sz="4" w:space="0" w:color="000000"/>
            </w:tcBorders>
          </w:tcPr>
          <w:p w14:paraId="4BB972C6" w14:textId="77777777" w:rsidR="00C70C1E" w:rsidRDefault="00C70C1E" w:rsidP="001342F0">
            <w:pPr>
              <w:spacing w:after="160" w:line="259" w:lineRule="auto"/>
              <w:ind w:right="0" w:hanging="10"/>
              <w:jc w:val="left"/>
            </w:pPr>
          </w:p>
        </w:tc>
        <w:tc>
          <w:tcPr>
            <w:tcW w:w="1134" w:type="dxa"/>
            <w:tcBorders>
              <w:top w:val="single" w:sz="4" w:space="0" w:color="000000"/>
              <w:left w:val="single" w:sz="4" w:space="0" w:color="000000"/>
              <w:bottom w:val="single" w:sz="4" w:space="0" w:color="000000"/>
              <w:right w:val="single" w:sz="4" w:space="0" w:color="000000"/>
            </w:tcBorders>
          </w:tcPr>
          <w:p w14:paraId="247505F3" w14:textId="77777777" w:rsidR="00C70C1E" w:rsidRDefault="00AF67C6" w:rsidP="001342F0">
            <w:pPr>
              <w:spacing w:after="0" w:line="259" w:lineRule="auto"/>
              <w:ind w:left="60" w:right="0" w:hanging="10"/>
              <w:jc w:val="left"/>
            </w:pPr>
            <w:r>
              <w:rPr>
                <w:b/>
              </w:rPr>
              <w:t xml:space="preserve">Total </w:t>
            </w:r>
          </w:p>
        </w:tc>
        <w:tc>
          <w:tcPr>
            <w:tcW w:w="1418" w:type="dxa"/>
            <w:tcBorders>
              <w:top w:val="single" w:sz="4" w:space="0" w:color="000000"/>
              <w:left w:val="single" w:sz="4" w:space="0" w:color="000000"/>
              <w:bottom w:val="single" w:sz="4" w:space="0" w:color="000000"/>
              <w:right w:val="single" w:sz="4" w:space="0" w:color="000000"/>
            </w:tcBorders>
          </w:tcPr>
          <w:p w14:paraId="387203F5" w14:textId="77777777" w:rsidR="00C70C1E" w:rsidRDefault="00AF67C6" w:rsidP="001342F0">
            <w:pPr>
              <w:spacing w:after="0" w:line="259" w:lineRule="auto"/>
              <w:ind w:right="106" w:hanging="10"/>
              <w:jc w:val="center"/>
            </w:pPr>
            <w:r>
              <w:t xml:space="preserve">110 </w:t>
            </w:r>
          </w:p>
        </w:tc>
        <w:tc>
          <w:tcPr>
            <w:tcW w:w="1307" w:type="dxa"/>
            <w:tcBorders>
              <w:top w:val="single" w:sz="4" w:space="0" w:color="000000"/>
              <w:left w:val="single" w:sz="4" w:space="0" w:color="000000"/>
              <w:bottom w:val="single" w:sz="4" w:space="0" w:color="000000"/>
              <w:right w:val="single" w:sz="4" w:space="0" w:color="000000"/>
            </w:tcBorders>
          </w:tcPr>
          <w:p w14:paraId="090EAF31" w14:textId="77777777" w:rsidR="00C70C1E" w:rsidRDefault="00AF67C6" w:rsidP="001342F0">
            <w:pPr>
              <w:spacing w:after="0" w:line="259" w:lineRule="auto"/>
              <w:ind w:right="108" w:hanging="10"/>
              <w:jc w:val="center"/>
            </w:pPr>
            <w:r>
              <w:t xml:space="preserve">100.0 </w:t>
            </w:r>
          </w:p>
        </w:tc>
        <w:tc>
          <w:tcPr>
            <w:tcW w:w="1528" w:type="dxa"/>
            <w:tcBorders>
              <w:top w:val="single" w:sz="4" w:space="0" w:color="000000"/>
              <w:left w:val="single" w:sz="4" w:space="0" w:color="000000"/>
              <w:bottom w:val="single" w:sz="4" w:space="0" w:color="000000"/>
              <w:right w:val="single" w:sz="4" w:space="0" w:color="000000"/>
            </w:tcBorders>
          </w:tcPr>
          <w:p w14:paraId="13638E78" w14:textId="77777777" w:rsidR="00C70C1E" w:rsidRDefault="00AF67C6" w:rsidP="001342F0">
            <w:pPr>
              <w:spacing w:after="0" w:line="259" w:lineRule="auto"/>
              <w:ind w:right="108" w:hanging="10"/>
              <w:jc w:val="center"/>
            </w:pPr>
            <w:r>
              <w:t xml:space="preserve">100.0 </w:t>
            </w:r>
          </w:p>
        </w:tc>
        <w:tc>
          <w:tcPr>
            <w:tcW w:w="2281" w:type="dxa"/>
            <w:tcBorders>
              <w:top w:val="single" w:sz="4" w:space="0" w:color="000000"/>
              <w:left w:val="single" w:sz="4" w:space="0" w:color="000000"/>
              <w:bottom w:val="single" w:sz="4" w:space="0" w:color="000000"/>
              <w:right w:val="single" w:sz="4" w:space="0" w:color="000000"/>
            </w:tcBorders>
            <w:vAlign w:val="center"/>
          </w:tcPr>
          <w:p w14:paraId="6D5D56C0" w14:textId="77777777" w:rsidR="00C70C1E" w:rsidRDefault="00AF67C6" w:rsidP="001342F0">
            <w:pPr>
              <w:spacing w:after="0" w:line="259" w:lineRule="auto"/>
              <w:ind w:right="52" w:hanging="10"/>
              <w:jc w:val="center"/>
            </w:pPr>
            <w:r>
              <w:t xml:space="preserve"> </w:t>
            </w:r>
          </w:p>
        </w:tc>
      </w:tr>
    </w:tbl>
    <w:p w14:paraId="0CFDB0F3" w14:textId="35A49BB6" w:rsidR="00705705" w:rsidRDefault="00AF67C6" w:rsidP="00F7202B">
      <w:pPr>
        <w:spacing w:before="240"/>
        <w:ind w:left="-15" w:right="0" w:firstLine="582"/>
      </w:pPr>
      <w:r>
        <w:t xml:space="preserve">The results of the study in Table 6 show that 94.5% of the respondents’ income came from farming while only 5.5% of respondents reported depending on others as a source of income. This indicates that the livelihoods of smallholder farmers in Mbereshi village were entirely dependent on farming. </w:t>
      </w:r>
    </w:p>
    <w:p w14:paraId="0A37FEA4" w14:textId="77777777" w:rsidR="00705705" w:rsidRDefault="00705705" w:rsidP="001342F0">
      <w:pPr>
        <w:spacing w:after="0"/>
        <w:ind w:left="-15" w:right="0" w:hanging="10"/>
      </w:pPr>
    </w:p>
    <w:p w14:paraId="272B548C" w14:textId="74EDB532" w:rsidR="00C70C1E" w:rsidRDefault="004C512A" w:rsidP="002A7344">
      <w:pPr>
        <w:spacing w:after="0" w:line="259" w:lineRule="auto"/>
        <w:ind w:left="902" w:right="0" w:hanging="10"/>
        <w:jc w:val="center"/>
      </w:pPr>
      <w:r>
        <w:rPr>
          <w:noProof/>
        </w:rPr>
        <w:lastRenderedPageBreak/>
        <w:drawing>
          <wp:inline distT="0" distB="0" distL="0" distR="0" wp14:anchorId="5E4D2956" wp14:editId="7D88DE85">
            <wp:extent cx="3956957" cy="2013857"/>
            <wp:effectExtent l="0" t="0" r="5715" b="5715"/>
            <wp:docPr id="1804659721" name="Chart 1">
              <a:extLst xmlns:a="http://schemas.openxmlformats.org/drawingml/2006/main">
                <a:ext uri="{FF2B5EF4-FFF2-40B4-BE49-F238E27FC236}">
                  <a16:creationId xmlns:a16="http://schemas.microsoft.com/office/drawing/2014/main" id="{D52E70AF-CE7C-02B6-7D7C-4F2C9F2D53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4574F42" w14:textId="6A3FF0CE" w:rsidR="00C70C1E" w:rsidRDefault="00F604BE" w:rsidP="001342F0">
      <w:pPr>
        <w:spacing w:after="173"/>
        <w:ind w:left="852" w:right="0" w:hanging="10"/>
      </w:pPr>
      <w:r>
        <w:t xml:space="preserve"> </w:t>
      </w:r>
      <w:r w:rsidR="002A7344">
        <w:t xml:space="preserve">                </w:t>
      </w:r>
      <w:r w:rsidR="00A91EB8">
        <w:t xml:space="preserve">    </w:t>
      </w:r>
      <w:r w:rsidR="00AF67C6">
        <w:t xml:space="preserve">Figure </w:t>
      </w:r>
      <w:r w:rsidR="00051DA8">
        <w:t>2</w:t>
      </w:r>
      <w:r w:rsidR="00AF67C6">
        <w:t xml:space="preserve">: </w:t>
      </w:r>
      <w:r w:rsidR="00040687">
        <w:t xml:space="preserve">Most </w:t>
      </w:r>
      <w:r w:rsidR="00AF67C6">
        <w:t xml:space="preserve">cultivated </w:t>
      </w:r>
      <w:r w:rsidR="00040687">
        <w:t>crops</w:t>
      </w:r>
      <w:r w:rsidR="00AF67C6">
        <w:t xml:space="preserve"> </w:t>
      </w:r>
    </w:p>
    <w:p w14:paraId="64886CFE" w14:textId="2221F7DA" w:rsidR="00C70C1E" w:rsidRDefault="00AF67C6" w:rsidP="00F7202B">
      <w:pPr>
        <w:spacing w:after="265"/>
        <w:ind w:left="-15" w:right="0" w:firstLine="582"/>
      </w:pPr>
      <w:r>
        <w:t xml:space="preserve">The study also examined the most cultivated crops in the study area which entirely supported the smallholder farmers’ livelihoods. The results of the study in Figure </w:t>
      </w:r>
      <w:r w:rsidR="00051DA8">
        <w:t>2</w:t>
      </w:r>
      <w:r>
        <w:t xml:space="preserve"> show that maize, leguminous crops (groundnuts and beans), and cassava were the most cultivated crops. </w:t>
      </w:r>
    </w:p>
    <w:p w14:paraId="60CA3A31" w14:textId="781FA003" w:rsidR="00C70C1E" w:rsidRDefault="00AF67C6" w:rsidP="00804027">
      <w:pPr>
        <w:pStyle w:val="Heading3"/>
        <w:numPr>
          <w:ilvl w:val="1"/>
          <w:numId w:val="7"/>
        </w:numPr>
        <w:tabs>
          <w:tab w:val="center" w:pos="3549"/>
        </w:tabs>
        <w:spacing w:after="178"/>
        <w:ind w:left="567" w:right="0" w:hanging="567"/>
      </w:pPr>
      <w:r>
        <w:t xml:space="preserve">Smallholder farmers’ climate change awareness and perception </w:t>
      </w:r>
    </w:p>
    <w:p w14:paraId="4927558C" w14:textId="77777777" w:rsidR="00C70C1E" w:rsidRDefault="00AF67C6" w:rsidP="00F7202B">
      <w:pPr>
        <w:ind w:left="-15" w:right="0" w:firstLine="582"/>
      </w:pPr>
      <w:r>
        <w:t xml:space="preserve">The smallholder farmers’ awareness and perception of climate change was examined by the study through investigating the main climate variables such as rainfall, drought, floods, and temperature that the farmers noticed or observed.  </w:t>
      </w:r>
    </w:p>
    <w:p w14:paraId="226C7EF9" w14:textId="77777777" w:rsidR="00705705" w:rsidRDefault="00705705" w:rsidP="001342F0">
      <w:pPr>
        <w:ind w:left="-15" w:right="0" w:hanging="10"/>
      </w:pPr>
    </w:p>
    <w:tbl>
      <w:tblPr>
        <w:tblStyle w:val="TableGrid"/>
        <w:tblW w:w="8363" w:type="dxa"/>
        <w:tblInd w:w="421" w:type="dxa"/>
        <w:tblCellMar>
          <w:top w:w="61" w:type="dxa"/>
          <w:left w:w="108" w:type="dxa"/>
          <w:right w:w="86" w:type="dxa"/>
        </w:tblCellMar>
        <w:tblLook w:val="04A0" w:firstRow="1" w:lastRow="0" w:firstColumn="1" w:lastColumn="0" w:noHBand="0" w:noVBand="1"/>
      </w:tblPr>
      <w:tblGrid>
        <w:gridCol w:w="758"/>
        <w:gridCol w:w="801"/>
        <w:gridCol w:w="1559"/>
        <w:gridCol w:w="1559"/>
        <w:gridCol w:w="1565"/>
        <w:gridCol w:w="2121"/>
      </w:tblGrid>
      <w:tr w:rsidR="00C70C1E" w14:paraId="7C4294C6" w14:textId="77777777" w:rsidTr="000A2801">
        <w:trPr>
          <w:trHeight w:val="207"/>
        </w:trPr>
        <w:tc>
          <w:tcPr>
            <w:tcW w:w="4677" w:type="dxa"/>
            <w:gridSpan w:val="4"/>
            <w:tcBorders>
              <w:top w:val="single" w:sz="4" w:space="0" w:color="000000"/>
              <w:left w:val="single" w:sz="4" w:space="0" w:color="000000"/>
              <w:bottom w:val="single" w:sz="4" w:space="0" w:color="000000"/>
              <w:right w:val="nil"/>
            </w:tcBorders>
            <w:vAlign w:val="center"/>
          </w:tcPr>
          <w:p w14:paraId="0509BD58" w14:textId="77777777" w:rsidR="00C70C1E" w:rsidRDefault="00AF67C6" w:rsidP="001342F0">
            <w:pPr>
              <w:spacing w:after="0" w:line="259" w:lineRule="auto"/>
              <w:ind w:right="0" w:hanging="10"/>
              <w:jc w:val="left"/>
            </w:pPr>
            <w:r>
              <w:rPr>
                <w:b/>
              </w:rPr>
              <w:t xml:space="preserve">Table 7: </w:t>
            </w:r>
            <w:r>
              <w:t>Changes in the weather patterns</w:t>
            </w:r>
            <w:r>
              <w:rPr>
                <w:b/>
              </w:rPr>
              <w:t xml:space="preserve"> </w:t>
            </w:r>
          </w:p>
        </w:tc>
        <w:tc>
          <w:tcPr>
            <w:tcW w:w="1565" w:type="dxa"/>
            <w:tcBorders>
              <w:top w:val="single" w:sz="4" w:space="0" w:color="000000"/>
              <w:left w:val="nil"/>
              <w:bottom w:val="single" w:sz="4" w:space="0" w:color="000000"/>
              <w:right w:val="nil"/>
            </w:tcBorders>
          </w:tcPr>
          <w:p w14:paraId="61B19882" w14:textId="77777777" w:rsidR="00C70C1E" w:rsidRDefault="00C70C1E" w:rsidP="001342F0">
            <w:pPr>
              <w:spacing w:after="160" w:line="259" w:lineRule="auto"/>
              <w:ind w:right="0" w:hanging="10"/>
              <w:jc w:val="left"/>
            </w:pPr>
          </w:p>
        </w:tc>
        <w:tc>
          <w:tcPr>
            <w:tcW w:w="2121" w:type="dxa"/>
            <w:tcBorders>
              <w:top w:val="single" w:sz="4" w:space="0" w:color="000000"/>
              <w:left w:val="nil"/>
              <w:bottom w:val="single" w:sz="4" w:space="0" w:color="000000"/>
              <w:right w:val="single" w:sz="4" w:space="0" w:color="000000"/>
            </w:tcBorders>
          </w:tcPr>
          <w:p w14:paraId="75348E43" w14:textId="77777777" w:rsidR="00C70C1E" w:rsidRDefault="00C70C1E" w:rsidP="001342F0">
            <w:pPr>
              <w:spacing w:after="160" w:line="259" w:lineRule="auto"/>
              <w:ind w:right="0" w:hanging="10"/>
              <w:jc w:val="left"/>
            </w:pPr>
          </w:p>
        </w:tc>
      </w:tr>
      <w:tr w:rsidR="00C70C1E" w14:paraId="153FDE68" w14:textId="77777777" w:rsidTr="000A2801">
        <w:trPr>
          <w:trHeight w:val="413"/>
        </w:trPr>
        <w:tc>
          <w:tcPr>
            <w:tcW w:w="1559" w:type="dxa"/>
            <w:gridSpan w:val="2"/>
            <w:tcBorders>
              <w:top w:val="single" w:sz="4" w:space="0" w:color="000000"/>
              <w:left w:val="single" w:sz="4" w:space="0" w:color="000000"/>
              <w:bottom w:val="single" w:sz="4" w:space="0" w:color="000000"/>
              <w:right w:val="single" w:sz="4" w:space="0" w:color="000000"/>
            </w:tcBorders>
            <w:vAlign w:val="center"/>
          </w:tcPr>
          <w:p w14:paraId="21527AA0" w14:textId="77777777" w:rsidR="00C70C1E" w:rsidRDefault="00AF67C6" w:rsidP="001342F0">
            <w:pPr>
              <w:spacing w:after="0" w:line="259" w:lineRule="auto"/>
              <w:ind w:left="60" w:right="0" w:hanging="10"/>
              <w:jc w:val="left"/>
            </w:pPr>
            <w: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14:paraId="743707FD" w14:textId="77777777" w:rsidR="00C70C1E" w:rsidRDefault="00AF67C6" w:rsidP="001342F0">
            <w:pPr>
              <w:spacing w:after="0" w:line="259" w:lineRule="auto"/>
              <w:ind w:left="63" w:right="0" w:hanging="10"/>
              <w:jc w:val="left"/>
            </w:pPr>
            <w:r>
              <w:rPr>
                <w:b/>
              </w:rPr>
              <w:t xml:space="preserve">Frequency </w:t>
            </w:r>
          </w:p>
        </w:tc>
        <w:tc>
          <w:tcPr>
            <w:tcW w:w="1559" w:type="dxa"/>
            <w:tcBorders>
              <w:top w:val="single" w:sz="4" w:space="0" w:color="000000"/>
              <w:left w:val="single" w:sz="4" w:space="0" w:color="000000"/>
              <w:bottom w:val="single" w:sz="4" w:space="0" w:color="000000"/>
              <w:right w:val="single" w:sz="4" w:space="0" w:color="000000"/>
            </w:tcBorders>
            <w:vAlign w:val="center"/>
          </w:tcPr>
          <w:p w14:paraId="7E3A7A21" w14:textId="77777777" w:rsidR="00C70C1E" w:rsidRDefault="00AF67C6" w:rsidP="001342F0">
            <w:pPr>
              <w:spacing w:after="0" w:line="259" w:lineRule="auto"/>
              <w:ind w:left="60" w:right="0" w:hanging="10"/>
              <w:jc w:val="left"/>
            </w:pPr>
            <w:r>
              <w:rPr>
                <w:b/>
              </w:rPr>
              <w:t xml:space="preserve">Percent </w:t>
            </w:r>
          </w:p>
        </w:tc>
        <w:tc>
          <w:tcPr>
            <w:tcW w:w="1565" w:type="dxa"/>
            <w:tcBorders>
              <w:top w:val="single" w:sz="4" w:space="0" w:color="000000"/>
              <w:left w:val="single" w:sz="4" w:space="0" w:color="000000"/>
              <w:bottom w:val="single" w:sz="4" w:space="0" w:color="000000"/>
              <w:right w:val="single" w:sz="4" w:space="0" w:color="000000"/>
            </w:tcBorders>
            <w:vAlign w:val="center"/>
          </w:tcPr>
          <w:p w14:paraId="246C42B2" w14:textId="77777777" w:rsidR="00C70C1E" w:rsidRDefault="00AF67C6" w:rsidP="001342F0">
            <w:pPr>
              <w:spacing w:after="0" w:line="259" w:lineRule="auto"/>
              <w:ind w:left="62" w:right="0" w:hanging="10"/>
              <w:jc w:val="left"/>
            </w:pPr>
            <w:r>
              <w:rPr>
                <w:b/>
              </w:rPr>
              <w:t xml:space="preserve">Valid Percent </w:t>
            </w:r>
          </w:p>
        </w:tc>
        <w:tc>
          <w:tcPr>
            <w:tcW w:w="2121" w:type="dxa"/>
            <w:tcBorders>
              <w:top w:val="single" w:sz="4" w:space="0" w:color="000000"/>
              <w:left w:val="single" w:sz="4" w:space="0" w:color="000000"/>
              <w:bottom w:val="single" w:sz="4" w:space="0" w:color="000000"/>
              <w:right w:val="single" w:sz="4" w:space="0" w:color="000000"/>
            </w:tcBorders>
            <w:vAlign w:val="center"/>
          </w:tcPr>
          <w:p w14:paraId="68476022" w14:textId="77777777" w:rsidR="00C70C1E" w:rsidRDefault="00AF67C6" w:rsidP="001342F0">
            <w:pPr>
              <w:spacing w:after="0" w:line="259" w:lineRule="auto"/>
              <w:ind w:left="60" w:right="0" w:hanging="10"/>
              <w:jc w:val="left"/>
            </w:pPr>
            <w:r>
              <w:rPr>
                <w:b/>
              </w:rPr>
              <w:t xml:space="preserve">Cumulative Percent </w:t>
            </w:r>
          </w:p>
        </w:tc>
      </w:tr>
      <w:tr w:rsidR="00C70C1E" w14:paraId="0684A4E5" w14:textId="77777777" w:rsidTr="000A2801">
        <w:trPr>
          <w:trHeight w:val="331"/>
        </w:trPr>
        <w:tc>
          <w:tcPr>
            <w:tcW w:w="758" w:type="dxa"/>
            <w:tcBorders>
              <w:top w:val="single" w:sz="4" w:space="0" w:color="000000"/>
              <w:left w:val="single" w:sz="4" w:space="0" w:color="000000"/>
              <w:bottom w:val="single" w:sz="4" w:space="0" w:color="000000"/>
              <w:right w:val="single" w:sz="4" w:space="0" w:color="000000"/>
            </w:tcBorders>
          </w:tcPr>
          <w:p w14:paraId="4E43FE64" w14:textId="77777777" w:rsidR="00C70C1E" w:rsidRDefault="00AF67C6" w:rsidP="001342F0">
            <w:pPr>
              <w:spacing w:after="0" w:line="259" w:lineRule="auto"/>
              <w:ind w:left="60" w:right="0" w:hanging="10"/>
              <w:jc w:val="left"/>
            </w:pPr>
            <w:r>
              <w:rPr>
                <w:b/>
              </w:rPr>
              <w:t xml:space="preserve">Valid </w:t>
            </w:r>
          </w:p>
        </w:tc>
        <w:tc>
          <w:tcPr>
            <w:tcW w:w="801" w:type="dxa"/>
            <w:tcBorders>
              <w:top w:val="single" w:sz="4" w:space="0" w:color="000000"/>
              <w:left w:val="single" w:sz="4" w:space="0" w:color="000000"/>
              <w:bottom w:val="single" w:sz="4" w:space="0" w:color="000000"/>
              <w:right w:val="single" w:sz="4" w:space="0" w:color="000000"/>
            </w:tcBorders>
          </w:tcPr>
          <w:p w14:paraId="21832E87" w14:textId="77777777" w:rsidR="00C70C1E" w:rsidRDefault="00AF67C6" w:rsidP="001342F0">
            <w:pPr>
              <w:spacing w:after="0" w:line="259" w:lineRule="auto"/>
              <w:ind w:left="60" w:right="0" w:hanging="10"/>
              <w:jc w:val="left"/>
            </w:pPr>
            <w:r>
              <w:rPr>
                <w:b/>
              </w:rPr>
              <w:t xml:space="preserve">Yes </w:t>
            </w:r>
          </w:p>
        </w:tc>
        <w:tc>
          <w:tcPr>
            <w:tcW w:w="1559" w:type="dxa"/>
            <w:tcBorders>
              <w:top w:val="single" w:sz="4" w:space="0" w:color="000000"/>
              <w:left w:val="single" w:sz="4" w:space="0" w:color="000000"/>
              <w:bottom w:val="single" w:sz="4" w:space="0" w:color="000000"/>
              <w:right w:val="single" w:sz="4" w:space="0" w:color="000000"/>
            </w:tcBorders>
          </w:tcPr>
          <w:p w14:paraId="409CAF9C" w14:textId="77777777" w:rsidR="00C70C1E" w:rsidRDefault="00AF67C6" w:rsidP="001342F0">
            <w:pPr>
              <w:spacing w:after="0" w:line="259" w:lineRule="auto"/>
              <w:ind w:right="16" w:hanging="10"/>
              <w:jc w:val="center"/>
            </w:pPr>
            <w:r>
              <w:t xml:space="preserve">110 </w:t>
            </w:r>
          </w:p>
        </w:tc>
        <w:tc>
          <w:tcPr>
            <w:tcW w:w="1559" w:type="dxa"/>
            <w:tcBorders>
              <w:top w:val="single" w:sz="4" w:space="0" w:color="000000"/>
              <w:left w:val="single" w:sz="4" w:space="0" w:color="000000"/>
              <w:bottom w:val="single" w:sz="4" w:space="0" w:color="000000"/>
              <w:right w:val="single" w:sz="4" w:space="0" w:color="000000"/>
            </w:tcBorders>
          </w:tcPr>
          <w:p w14:paraId="5609C0D9" w14:textId="77777777" w:rsidR="00C70C1E" w:rsidRDefault="00AF67C6" w:rsidP="001342F0">
            <w:pPr>
              <w:spacing w:after="0" w:line="259" w:lineRule="auto"/>
              <w:ind w:right="19" w:hanging="10"/>
              <w:jc w:val="center"/>
            </w:pPr>
            <w:r>
              <w:t xml:space="preserve">100.0 </w:t>
            </w:r>
          </w:p>
        </w:tc>
        <w:tc>
          <w:tcPr>
            <w:tcW w:w="1565" w:type="dxa"/>
            <w:tcBorders>
              <w:top w:val="single" w:sz="4" w:space="0" w:color="000000"/>
              <w:left w:val="single" w:sz="4" w:space="0" w:color="000000"/>
              <w:bottom w:val="single" w:sz="4" w:space="0" w:color="000000"/>
              <w:right w:val="single" w:sz="4" w:space="0" w:color="000000"/>
            </w:tcBorders>
          </w:tcPr>
          <w:p w14:paraId="4F38221E" w14:textId="77777777" w:rsidR="00C70C1E" w:rsidRDefault="00AF67C6" w:rsidP="001342F0">
            <w:pPr>
              <w:spacing w:after="0" w:line="259" w:lineRule="auto"/>
              <w:ind w:right="19" w:hanging="10"/>
              <w:jc w:val="center"/>
            </w:pPr>
            <w:r>
              <w:t xml:space="preserve">100.0 </w:t>
            </w:r>
          </w:p>
        </w:tc>
        <w:tc>
          <w:tcPr>
            <w:tcW w:w="2121" w:type="dxa"/>
            <w:tcBorders>
              <w:top w:val="single" w:sz="4" w:space="0" w:color="000000"/>
              <w:left w:val="single" w:sz="4" w:space="0" w:color="000000"/>
              <w:bottom w:val="single" w:sz="4" w:space="0" w:color="000000"/>
              <w:right w:val="single" w:sz="4" w:space="0" w:color="000000"/>
            </w:tcBorders>
          </w:tcPr>
          <w:p w14:paraId="3781B835" w14:textId="77777777" w:rsidR="00C70C1E" w:rsidRDefault="00AF67C6" w:rsidP="001342F0">
            <w:pPr>
              <w:spacing w:after="0" w:line="259" w:lineRule="auto"/>
              <w:ind w:right="20" w:hanging="10"/>
              <w:jc w:val="center"/>
            </w:pPr>
            <w:r>
              <w:t xml:space="preserve">100.0 </w:t>
            </w:r>
          </w:p>
        </w:tc>
      </w:tr>
    </w:tbl>
    <w:p w14:paraId="49649719" w14:textId="77777777" w:rsidR="00705705" w:rsidRDefault="00AF67C6" w:rsidP="00F7202B">
      <w:pPr>
        <w:spacing w:before="240"/>
        <w:ind w:left="-15" w:right="0" w:firstLine="582"/>
      </w:pPr>
      <w:r>
        <w:t xml:space="preserve">The results of the study in Table 7 show that 100 respondents (90.9%) reported significant changes in the identified climate variables.  </w:t>
      </w:r>
    </w:p>
    <w:p w14:paraId="29B69E4A" w14:textId="5248AEBE" w:rsidR="00C70C1E" w:rsidRDefault="00AF67C6" w:rsidP="001342F0">
      <w:pPr>
        <w:spacing w:after="0"/>
        <w:ind w:left="-15" w:right="0" w:hanging="10"/>
      </w:pPr>
      <w:r>
        <w:t xml:space="preserve"> </w:t>
      </w:r>
    </w:p>
    <w:p w14:paraId="5DE34018" w14:textId="03E5F82C" w:rsidR="00C70C1E" w:rsidRDefault="00E305C6" w:rsidP="000A2801">
      <w:pPr>
        <w:spacing w:after="0" w:line="259" w:lineRule="auto"/>
        <w:ind w:left="856" w:right="0" w:hanging="10"/>
        <w:jc w:val="center"/>
      </w:pPr>
      <w:r>
        <w:rPr>
          <w:noProof/>
        </w:rPr>
        <w:drawing>
          <wp:inline distT="0" distB="0" distL="0" distR="0" wp14:anchorId="286E61D0" wp14:editId="1EC45CAD">
            <wp:extent cx="4065814" cy="2405743"/>
            <wp:effectExtent l="0" t="0" r="11430" b="13970"/>
            <wp:docPr id="1079768775" name="Chart 1">
              <a:extLst xmlns:a="http://schemas.openxmlformats.org/drawingml/2006/main">
                <a:ext uri="{FF2B5EF4-FFF2-40B4-BE49-F238E27FC236}">
                  <a16:creationId xmlns:a16="http://schemas.microsoft.com/office/drawing/2014/main" id="{B608C640-DE21-7285-186A-1A6351833B9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721EAFEF" w14:textId="4069388F" w:rsidR="00C70C1E" w:rsidRDefault="00AF67C6" w:rsidP="001342F0">
      <w:pPr>
        <w:spacing w:after="173"/>
        <w:ind w:left="708" w:right="0" w:hanging="10"/>
      </w:pPr>
      <w:r>
        <w:t xml:space="preserve">  </w:t>
      </w:r>
      <w:r w:rsidR="000D78E2">
        <w:t xml:space="preserve">            </w:t>
      </w:r>
      <w:r w:rsidR="00E305C6">
        <w:t xml:space="preserve">  </w:t>
      </w:r>
      <w:r w:rsidR="00A91EB8">
        <w:t xml:space="preserve"> </w:t>
      </w:r>
      <w:r w:rsidR="000D78E2">
        <w:t xml:space="preserve"> </w:t>
      </w:r>
      <w:r w:rsidR="00A91EB8">
        <w:t xml:space="preserve">    </w:t>
      </w:r>
      <w:r>
        <w:t xml:space="preserve">Figure </w:t>
      </w:r>
      <w:r w:rsidR="000F1C2F">
        <w:t>3</w:t>
      </w:r>
      <w:r>
        <w:t xml:space="preserve">: </w:t>
      </w:r>
      <w:r w:rsidR="00026851">
        <w:t>C</w:t>
      </w:r>
      <w:r>
        <w:t xml:space="preserve">limate variables </w:t>
      </w:r>
      <w:r w:rsidR="00934FDD">
        <w:t>perceived to have changed</w:t>
      </w:r>
    </w:p>
    <w:p w14:paraId="1E504E26" w14:textId="48F01EE4" w:rsidR="00C70C1E" w:rsidRDefault="00AF67C6" w:rsidP="00F7202B">
      <w:pPr>
        <w:spacing w:after="248"/>
        <w:ind w:right="140" w:firstLine="567"/>
      </w:pPr>
      <w:r>
        <w:t xml:space="preserve">The study also asked farmers to indicate the specific climate variables that they noticed had changed, and the results of the study in Figure </w:t>
      </w:r>
      <w:r w:rsidR="000F1C2F">
        <w:t>3</w:t>
      </w:r>
      <w:r>
        <w:t xml:space="preserve"> show that all the 110 respondents (100%) reported significant shifts in rainfall and drought patterns while 109 respondents (99.09%) reported shifts in flood patterns. This </w:t>
      </w:r>
      <w:r>
        <w:lastRenderedPageBreak/>
        <w:t xml:space="preserve">shows that there had been an increase in the frequency and severity of floods over the years. Only one respondent (0.91%) had noted changes in temperature pattern.  </w:t>
      </w:r>
    </w:p>
    <w:p w14:paraId="09D2D80E" w14:textId="77777777" w:rsidR="00C70C1E" w:rsidRDefault="00AF67C6" w:rsidP="001342F0">
      <w:pPr>
        <w:ind w:left="139" w:right="0" w:hanging="10"/>
      </w:pPr>
      <w:r>
        <w:t xml:space="preserve">Table 8:  Perceptions of smallholder farmers on climate variables </w:t>
      </w:r>
    </w:p>
    <w:tbl>
      <w:tblPr>
        <w:tblStyle w:val="TableGrid"/>
        <w:tblW w:w="9352" w:type="dxa"/>
        <w:tblInd w:w="31" w:type="dxa"/>
        <w:tblCellMar>
          <w:top w:w="7" w:type="dxa"/>
          <w:right w:w="115" w:type="dxa"/>
        </w:tblCellMar>
        <w:tblLook w:val="04A0" w:firstRow="1" w:lastRow="0" w:firstColumn="1" w:lastColumn="0" w:noHBand="0" w:noVBand="1"/>
      </w:tblPr>
      <w:tblGrid>
        <w:gridCol w:w="2639"/>
        <w:gridCol w:w="2270"/>
        <w:gridCol w:w="2273"/>
        <w:gridCol w:w="2170"/>
      </w:tblGrid>
      <w:tr w:rsidR="00C70C1E" w14:paraId="5196FCA0" w14:textId="77777777">
        <w:trPr>
          <w:trHeight w:val="302"/>
        </w:trPr>
        <w:tc>
          <w:tcPr>
            <w:tcW w:w="2638" w:type="dxa"/>
            <w:tcBorders>
              <w:top w:val="single" w:sz="4" w:space="0" w:color="000000"/>
              <w:left w:val="nil"/>
              <w:bottom w:val="single" w:sz="4" w:space="0" w:color="000000"/>
              <w:right w:val="nil"/>
            </w:tcBorders>
          </w:tcPr>
          <w:p w14:paraId="78B7592A" w14:textId="77777777" w:rsidR="00C70C1E" w:rsidRDefault="00AF67C6" w:rsidP="001342F0">
            <w:pPr>
              <w:spacing w:after="0" w:line="259" w:lineRule="auto"/>
              <w:ind w:left="108" w:right="0" w:hanging="10"/>
              <w:jc w:val="left"/>
            </w:pPr>
            <w:r>
              <w:rPr>
                <w:b/>
              </w:rPr>
              <w:t>Climate Variable</w:t>
            </w:r>
            <w:r>
              <w:t xml:space="preserve"> </w:t>
            </w:r>
          </w:p>
        </w:tc>
        <w:tc>
          <w:tcPr>
            <w:tcW w:w="2270" w:type="dxa"/>
            <w:tcBorders>
              <w:top w:val="single" w:sz="4" w:space="0" w:color="000000"/>
              <w:left w:val="nil"/>
              <w:bottom w:val="single" w:sz="4" w:space="0" w:color="000000"/>
              <w:right w:val="nil"/>
            </w:tcBorders>
          </w:tcPr>
          <w:p w14:paraId="2CE4966C" w14:textId="77777777" w:rsidR="00C70C1E" w:rsidRDefault="00AF67C6" w:rsidP="001342F0">
            <w:pPr>
              <w:spacing w:after="0" w:line="259" w:lineRule="auto"/>
              <w:ind w:right="0" w:hanging="10"/>
              <w:jc w:val="left"/>
            </w:pPr>
            <w:r>
              <w:rPr>
                <w:b/>
              </w:rPr>
              <w:t>Observed Change</w:t>
            </w:r>
            <w:r>
              <w:t xml:space="preserve"> </w:t>
            </w:r>
          </w:p>
        </w:tc>
        <w:tc>
          <w:tcPr>
            <w:tcW w:w="2273" w:type="dxa"/>
            <w:tcBorders>
              <w:top w:val="single" w:sz="4" w:space="0" w:color="000000"/>
              <w:left w:val="nil"/>
              <w:bottom w:val="single" w:sz="4" w:space="0" w:color="000000"/>
              <w:right w:val="nil"/>
            </w:tcBorders>
          </w:tcPr>
          <w:p w14:paraId="586B71F1" w14:textId="77777777" w:rsidR="00C70C1E" w:rsidRDefault="00AF67C6" w:rsidP="001342F0">
            <w:pPr>
              <w:spacing w:after="0" w:line="259" w:lineRule="auto"/>
              <w:ind w:right="0" w:hanging="10"/>
              <w:jc w:val="left"/>
            </w:pPr>
            <w:r>
              <w:rPr>
                <w:b/>
              </w:rPr>
              <w:t>Frequency</w:t>
            </w:r>
            <w:r>
              <w:t xml:space="preserve"> </w:t>
            </w:r>
          </w:p>
        </w:tc>
        <w:tc>
          <w:tcPr>
            <w:tcW w:w="2170" w:type="dxa"/>
            <w:tcBorders>
              <w:top w:val="single" w:sz="4" w:space="0" w:color="000000"/>
              <w:left w:val="nil"/>
              <w:bottom w:val="single" w:sz="4" w:space="0" w:color="000000"/>
              <w:right w:val="nil"/>
            </w:tcBorders>
          </w:tcPr>
          <w:p w14:paraId="2CFF1A0C" w14:textId="77777777" w:rsidR="00C70C1E" w:rsidRDefault="00AF67C6" w:rsidP="001342F0">
            <w:pPr>
              <w:spacing w:after="0" w:line="259" w:lineRule="auto"/>
              <w:ind w:right="0" w:hanging="10"/>
              <w:jc w:val="left"/>
            </w:pPr>
            <w:r>
              <w:rPr>
                <w:b/>
              </w:rPr>
              <w:t>Percentage (%)</w:t>
            </w:r>
            <w:r>
              <w:t xml:space="preserve"> </w:t>
            </w:r>
          </w:p>
        </w:tc>
      </w:tr>
      <w:tr w:rsidR="00C70C1E" w14:paraId="2EACA2A7" w14:textId="77777777">
        <w:trPr>
          <w:trHeight w:val="277"/>
        </w:trPr>
        <w:tc>
          <w:tcPr>
            <w:tcW w:w="2638" w:type="dxa"/>
            <w:tcBorders>
              <w:top w:val="single" w:sz="4" w:space="0" w:color="000000"/>
              <w:left w:val="nil"/>
              <w:bottom w:val="nil"/>
              <w:right w:val="nil"/>
            </w:tcBorders>
          </w:tcPr>
          <w:p w14:paraId="28665DCB" w14:textId="77777777" w:rsidR="00C70C1E" w:rsidRDefault="00AF67C6" w:rsidP="001342F0">
            <w:pPr>
              <w:spacing w:after="0" w:line="259" w:lineRule="auto"/>
              <w:ind w:left="108" w:right="0" w:hanging="10"/>
              <w:jc w:val="left"/>
            </w:pPr>
            <w:r>
              <w:rPr>
                <w:b/>
              </w:rPr>
              <w:t>Rainfall</w:t>
            </w:r>
            <w:r>
              <w:t xml:space="preserve"> </w:t>
            </w:r>
          </w:p>
        </w:tc>
        <w:tc>
          <w:tcPr>
            <w:tcW w:w="2270" w:type="dxa"/>
            <w:tcBorders>
              <w:top w:val="single" w:sz="4" w:space="0" w:color="000000"/>
              <w:left w:val="nil"/>
              <w:bottom w:val="nil"/>
              <w:right w:val="nil"/>
            </w:tcBorders>
          </w:tcPr>
          <w:p w14:paraId="7A28FC26" w14:textId="77777777" w:rsidR="00C70C1E" w:rsidRDefault="00AF67C6" w:rsidP="001342F0">
            <w:pPr>
              <w:spacing w:after="0" w:line="259" w:lineRule="auto"/>
              <w:ind w:right="0" w:hanging="10"/>
              <w:jc w:val="left"/>
            </w:pPr>
            <w:r>
              <w:t xml:space="preserve">Offset ending late </w:t>
            </w:r>
          </w:p>
        </w:tc>
        <w:tc>
          <w:tcPr>
            <w:tcW w:w="2273" w:type="dxa"/>
            <w:tcBorders>
              <w:top w:val="single" w:sz="4" w:space="0" w:color="000000"/>
              <w:left w:val="nil"/>
              <w:bottom w:val="nil"/>
              <w:right w:val="nil"/>
            </w:tcBorders>
          </w:tcPr>
          <w:p w14:paraId="115E41FB" w14:textId="77777777" w:rsidR="00C70C1E" w:rsidRDefault="00AF67C6" w:rsidP="001342F0">
            <w:pPr>
              <w:spacing w:after="0" w:line="259" w:lineRule="auto"/>
              <w:ind w:right="0" w:hanging="10"/>
              <w:jc w:val="left"/>
            </w:pPr>
            <w:r>
              <w:t xml:space="preserve">109 </w:t>
            </w:r>
          </w:p>
        </w:tc>
        <w:tc>
          <w:tcPr>
            <w:tcW w:w="2170" w:type="dxa"/>
            <w:tcBorders>
              <w:top w:val="single" w:sz="4" w:space="0" w:color="000000"/>
              <w:left w:val="nil"/>
              <w:bottom w:val="nil"/>
              <w:right w:val="nil"/>
            </w:tcBorders>
          </w:tcPr>
          <w:p w14:paraId="6815FD8B" w14:textId="77777777" w:rsidR="00C70C1E" w:rsidRDefault="00AF67C6" w:rsidP="001342F0">
            <w:pPr>
              <w:spacing w:after="0" w:line="259" w:lineRule="auto"/>
              <w:ind w:right="0" w:hanging="10"/>
              <w:jc w:val="left"/>
            </w:pPr>
            <w:r>
              <w:t xml:space="preserve">99.09 </w:t>
            </w:r>
          </w:p>
        </w:tc>
      </w:tr>
      <w:tr w:rsidR="00C70C1E" w14:paraId="390CAE7F" w14:textId="77777777">
        <w:trPr>
          <w:trHeight w:val="288"/>
        </w:trPr>
        <w:tc>
          <w:tcPr>
            <w:tcW w:w="2638" w:type="dxa"/>
            <w:tcBorders>
              <w:top w:val="nil"/>
              <w:left w:val="nil"/>
              <w:bottom w:val="nil"/>
              <w:right w:val="nil"/>
            </w:tcBorders>
          </w:tcPr>
          <w:p w14:paraId="2FE89C63" w14:textId="77777777" w:rsidR="00C70C1E" w:rsidRDefault="00AF67C6" w:rsidP="001342F0">
            <w:pPr>
              <w:spacing w:after="0" w:line="259" w:lineRule="auto"/>
              <w:ind w:left="108" w:right="0" w:hanging="10"/>
              <w:jc w:val="left"/>
            </w:pPr>
            <w:r>
              <w:t xml:space="preserve"> </w:t>
            </w:r>
          </w:p>
        </w:tc>
        <w:tc>
          <w:tcPr>
            <w:tcW w:w="2270" w:type="dxa"/>
            <w:tcBorders>
              <w:top w:val="nil"/>
              <w:left w:val="nil"/>
              <w:bottom w:val="nil"/>
              <w:right w:val="nil"/>
            </w:tcBorders>
          </w:tcPr>
          <w:p w14:paraId="09C452E4" w14:textId="77777777" w:rsidR="00C70C1E" w:rsidRDefault="00AF67C6" w:rsidP="001342F0">
            <w:pPr>
              <w:spacing w:after="0" w:line="259" w:lineRule="auto"/>
              <w:ind w:right="0" w:hanging="10"/>
              <w:jc w:val="left"/>
            </w:pPr>
            <w:r>
              <w:t xml:space="preserve">Onset starting early </w:t>
            </w:r>
          </w:p>
        </w:tc>
        <w:tc>
          <w:tcPr>
            <w:tcW w:w="2273" w:type="dxa"/>
            <w:tcBorders>
              <w:top w:val="nil"/>
              <w:left w:val="nil"/>
              <w:bottom w:val="nil"/>
              <w:right w:val="nil"/>
            </w:tcBorders>
          </w:tcPr>
          <w:p w14:paraId="4BACAEE6" w14:textId="77777777" w:rsidR="00C70C1E" w:rsidRDefault="00AF67C6" w:rsidP="001342F0">
            <w:pPr>
              <w:spacing w:after="0" w:line="259" w:lineRule="auto"/>
              <w:ind w:right="0" w:hanging="10"/>
              <w:jc w:val="left"/>
            </w:pPr>
            <w:r>
              <w:t xml:space="preserve">107 </w:t>
            </w:r>
          </w:p>
        </w:tc>
        <w:tc>
          <w:tcPr>
            <w:tcW w:w="2170" w:type="dxa"/>
            <w:tcBorders>
              <w:top w:val="nil"/>
              <w:left w:val="nil"/>
              <w:bottom w:val="nil"/>
              <w:right w:val="nil"/>
            </w:tcBorders>
          </w:tcPr>
          <w:p w14:paraId="3ABE7EA1" w14:textId="77777777" w:rsidR="00C70C1E" w:rsidRDefault="00AF67C6" w:rsidP="001342F0">
            <w:pPr>
              <w:spacing w:after="0" w:line="259" w:lineRule="auto"/>
              <w:ind w:right="0" w:hanging="10"/>
              <w:jc w:val="left"/>
            </w:pPr>
            <w:r>
              <w:t xml:space="preserve">97.27 </w:t>
            </w:r>
          </w:p>
        </w:tc>
      </w:tr>
      <w:tr w:rsidR="00C70C1E" w14:paraId="496D7F0A" w14:textId="77777777">
        <w:trPr>
          <w:trHeight w:val="292"/>
        </w:trPr>
        <w:tc>
          <w:tcPr>
            <w:tcW w:w="2638" w:type="dxa"/>
            <w:tcBorders>
              <w:top w:val="nil"/>
              <w:left w:val="nil"/>
              <w:bottom w:val="nil"/>
              <w:right w:val="nil"/>
            </w:tcBorders>
          </w:tcPr>
          <w:p w14:paraId="368F06F8" w14:textId="77777777" w:rsidR="00C70C1E" w:rsidRDefault="00AF67C6" w:rsidP="001342F0">
            <w:pPr>
              <w:spacing w:after="0" w:line="259" w:lineRule="auto"/>
              <w:ind w:left="108" w:right="0" w:hanging="10"/>
              <w:jc w:val="left"/>
            </w:pPr>
            <w:r>
              <w:t xml:space="preserve"> </w:t>
            </w:r>
          </w:p>
        </w:tc>
        <w:tc>
          <w:tcPr>
            <w:tcW w:w="2270" w:type="dxa"/>
            <w:tcBorders>
              <w:top w:val="nil"/>
              <w:left w:val="nil"/>
              <w:bottom w:val="nil"/>
              <w:right w:val="nil"/>
            </w:tcBorders>
          </w:tcPr>
          <w:p w14:paraId="280B20DA" w14:textId="77777777" w:rsidR="00C70C1E" w:rsidRDefault="00AF67C6" w:rsidP="001342F0">
            <w:pPr>
              <w:spacing w:after="0" w:line="259" w:lineRule="auto"/>
              <w:ind w:right="0" w:hanging="10"/>
              <w:jc w:val="left"/>
            </w:pPr>
            <w:r>
              <w:t xml:space="preserve">Decreased </w:t>
            </w:r>
          </w:p>
        </w:tc>
        <w:tc>
          <w:tcPr>
            <w:tcW w:w="2273" w:type="dxa"/>
            <w:tcBorders>
              <w:top w:val="nil"/>
              <w:left w:val="nil"/>
              <w:bottom w:val="nil"/>
              <w:right w:val="nil"/>
            </w:tcBorders>
          </w:tcPr>
          <w:p w14:paraId="4DF80CFB" w14:textId="77777777" w:rsidR="00C70C1E" w:rsidRDefault="00AF67C6" w:rsidP="001342F0">
            <w:pPr>
              <w:spacing w:after="0" w:line="259" w:lineRule="auto"/>
              <w:ind w:right="0" w:hanging="10"/>
              <w:jc w:val="left"/>
            </w:pPr>
            <w:r>
              <w:t xml:space="preserve">82 </w:t>
            </w:r>
          </w:p>
        </w:tc>
        <w:tc>
          <w:tcPr>
            <w:tcW w:w="2170" w:type="dxa"/>
            <w:tcBorders>
              <w:top w:val="nil"/>
              <w:left w:val="nil"/>
              <w:bottom w:val="nil"/>
              <w:right w:val="nil"/>
            </w:tcBorders>
          </w:tcPr>
          <w:p w14:paraId="4016E575" w14:textId="77777777" w:rsidR="00C70C1E" w:rsidRDefault="00AF67C6" w:rsidP="001342F0">
            <w:pPr>
              <w:spacing w:after="0" w:line="259" w:lineRule="auto"/>
              <w:ind w:right="0" w:hanging="10"/>
              <w:jc w:val="left"/>
            </w:pPr>
            <w:r>
              <w:t xml:space="preserve">74.55 </w:t>
            </w:r>
          </w:p>
        </w:tc>
      </w:tr>
      <w:tr w:rsidR="00C70C1E" w14:paraId="299129D4" w14:textId="77777777">
        <w:trPr>
          <w:trHeight w:val="292"/>
        </w:trPr>
        <w:tc>
          <w:tcPr>
            <w:tcW w:w="2638" w:type="dxa"/>
            <w:tcBorders>
              <w:top w:val="nil"/>
              <w:left w:val="nil"/>
              <w:bottom w:val="nil"/>
              <w:right w:val="nil"/>
            </w:tcBorders>
          </w:tcPr>
          <w:p w14:paraId="08AF6BB1" w14:textId="77777777" w:rsidR="00C70C1E" w:rsidRDefault="00AF67C6" w:rsidP="001342F0">
            <w:pPr>
              <w:spacing w:after="0" w:line="259" w:lineRule="auto"/>
              <w:ind w:left="108" w:right="0" w:hanging="10"/>
              <w:jc w:val="left"/>
            </w:pPr>
            <w:r>
              <w:t xml:space="preserve"> </w:t>
            </w:r>
          </w:p>
        </w:tc>
        <w:tc>
          <w:tcPr>
            <w:tcW w:w="2270" w:type="dxa"/>
            <w:tcBorders>
              <w:top w:val="nil"/>
              <w:left w:val="nil"/>
              <w:bottom w:val="nil"/>
              <w:right w:val="nil"/>
            </w:tcBorders>
          </w:tcPr>
          <w:p w14:paraId="4CC31C99" w14:textId="77777777" w:rsidR="00C70C1E" w:rsidRDefault="00AF67C6" w:rsidP="001342F0">
            <w:pPr>
              <w:spacing w:after="0" w:line="259" w:lineRule="auto"/>
              <w:ind w:right="0" w:hanging="10"/>
              <w:jc w:val="left"/>
            </w:pPr>
            <w:r>
              <w:t xml:space="preserve">Onset starting late </w:t>
            </w:r>
          </w:p>
        </w:tc>
        <w:tc>
          <w:tcPr>
            <w:tcW w:w="2273" w:type="dxa"/>
            <w:tcBorders>
              <w:top w:val="nil"/>
              <w:left w:val="nil"/>
              <w:bottom w:val="nil"/>
              <w:right w:val="nil"/>
            </w:tcBorders>
          </w:tcPr>
          <w:p w14:paraId="742CF55E" w14:textId="77777777" w:rsidR="00C70C1E" w:rsidRDefault="00AF67C6" w:rsidP="001342F0">
            <w:pPr>
              <w:spacing w:after="0" w:line="259" w:lineRule="auto"/>
              <w:ind w:right="0" w:hanging="10"/>
              <w:jc w:val="left"/>
            </w:pPr>
            <w:r>
              <w:t xml:space="preserve">4 </w:t>
            </w:r>
          </w:p>
        </w:tc>
        <w:tc>
          <w:tcPr>
            <w:tcW w:w="2170" w:type="dxa"/>
            <w:tcBorders>
              <w:top w:val="nil"/>
              <w:left w:val="nil"/>
              <w:bottom w:val="nil"/>
              <w:right w:val="nil"/>
            </w:tcBorders>
          </w:tcPr>
          <w:p w14:paraId="7BCE048A" w14:textId="77777777" w:rsidR="00C70C1E" w:rsidRDefault="00AF67C6" w:rsidP="001342F0">
            <w:pPr>
              <w:spacing w:after="0" w:line="259" w:lineRule="auto"/>
              <w:ind w:right="0" w:hanging="10"/>
              <w:jc w:val="left"/>
            </w:pPr>
            <w:r>
              <w:t xml:space="preserve">3.64 </w:t>
            </w:r>
          </w:p>
        </w:tc>
      </w:tr>
      <w:tr w:rsidR="00C70C1E" w14:paraId="68F9C081" w14:textId="77777777">
        <w:trPr>
          <w:trHeight w:val="290"/>
        </w:trPr>
        <w:tc>
          <w:tcPr>
            <w:tcW w:w="2638" w:type="dxa"/>
            <w:tcBorders>
              <w:top w:val="nil"/>
              <w:left w:val="nil"/>
              <w:bottom w:val="nil"/>
              <w:right w:val="nil"/>
            </w:tcBorders>
          </w:tcPr>
          <w:p w14:paraId="40FE820E" w14:textId="77777777" w:rsidR="00C70C1E" w:rsidRDefault="00AF67C6" w:rsidP="001342F0">
            <w:pPr>
              <w:spacing w:after="0" w:line="259" w:lineRule="auto"/>
              <w:ind w:left="108" w:right="0" w:hanging="10"/>
              <w:jc w:val="left"/>
            </w:pPr>
            <w:r>
              <w:t xml:space="preserve"> </w:t>
            </w:r>
          </w:p>
        </w:tc>
        <w:tc>
          <w:tcPr>
            <w:tcW w:w="2270" w:type="dxa"/>
            <w:tcBorders>
              <w:top w:val="nil"/>
              <w:left w:val="nil"/>
              <w:bottom w:val="nil"/>
              <w:right w:val="nil"/>
            </w:tcBorders>
          </w:tcPr>
          <w:p w14:paraId="7ED03D55" w14:textId="77777777" w:rsidR="00C70C1E" w:rsidRDefault="00AF67C6" w:rsidP="001342F0">
            <w:pPr>
              <w:spacing w:after="0" w:line="259" w:lineRule="auto"/>
              <w:ind w:right="0" w:hanging="10"/>
              <w:jc w:val="left"/>
            </w:pPr>
            <w:r>
              <w:t xml:space="preserve">Offset ending early </w:t>
            </w:r>
          </w:p>
        </w:tc>
        <w:tc>
          <w:tcPr>
            <w:tcW w:w="2273" w:type="dxa"/>
            <w:tcBorders>
              <w:top w:val="nil"/>
              <w:left w:val="nil"/>
              <w:bottom w:val="nil"/>
              <w:right w:val="nil"/>
            </w:tcBorders>
          </w:tcPr>
          <w:p w14:paraId="15CDD573" w14:textId="77777777" w:rsidR="00C70C1E" w:rsidRDefault="00AF67C6" w:rsidP="001342F0">
            <w:pPr>
              <w:spacing w:after="0" w:line="259" w:lineRule="auto"/>
              <w:ind w:right="0" w:hanging="10"/>
              <w:jc w:val="left"/>
            </w:pPr>
            <w:r>
              <w:t xml:space="preserve">1 </w:t>
            </w:r>
          </w:p>
        </w:tc>
        <w:tc>
          <w:tcPr>
            <w:tcW w:w="2170" w:type="dxa"/>
            <w:tcBorders>
              <w:top w:val="nil"/>
              <w:left w:val="nil"/>
              <w:bottom w:val="nil"/>
              <w:right w:val="nil"/>
            </w:tcBorders>
          </w:tcPr>
          <w:p w14:paraId="14826217" w14:textId="77777777" w:rsidR="00C70C1E" w:rsidRDefault="00AF67C6" w:rsidP="001342F0">
            <w:pPr>
              <w:spacing w:after="0" w:line="259" w:lineRule="auto"/>
              <w:ind w:right="0" w:hanging="10"/>
              <w:jc w:val="left"/>
            </w:pPr>
            <w:r>
              <w:t xml:space="preserve">0.91 </w:t>
            </w:r>
          </w:p>
        </w:tc>
      </w:tr>
      <w:tr w:rsidR="00C70C1E" w14:paraId="78D1535A" w14:textId="77777777">
        <w:trPr>
          <w:trHeight w:val="316"/>
        </w:trPr>
        <w:tc>
          <w:tcPr>
            <w:tcW w:w="2638" w:type="dxa"/>
            <w:tcBorders>
              <w:top w:val="nil"/>
              <w:left w:val="nil"/>
              <w:bottom w:val="single" w:sz="4" w:space="0" w:color="000000"/>
              <w:right w:val="nil"/>
            </w:tcBorders>
          </w:tcPr>
          <w:p w14:paraId="505AFEE3" w14:textId="77777777" w:rsidR="00C70C1E" w:rsidRDefault="00AF67C6" w:rsidP="001342F0">
            <w:pPr>
              <w:spacing w:after="0" w:line="259" w:lineRule="auto"/>
              <w:ind w:left="108" w:right="0" w:hanging="10"/>
              <w:jc w:val="left"/>
            </w:pPr>
            <w:r>
              <w:t xml:space="preserve"> </w:t>
            </w:r>
          </w:p>
        </w:tc>
        <w:tc>
          <w:tcPr>
            <w:tcW w:w="2270" w:type="dxa"/>
            <w:tcBorders>
              <w:top w:val="nil"/>
              <w:left w:val="nil"/>
              <w:bottom w:val="single" w:sz="4" w:space="0" w:color="000000"/>
              <w:right w:val="nil"/>
            </w:tcBorders>
          </w:tcPr>
          <w:p w14:paraId="4DF12521" w14:textId="77777777" w:rsidR="00C70C1E" w:rsidRDefault="00AF67C6" w:rsidP="001342F0">
            <w:pPr>
              <w:spacing w:after="0" w:line="259" w:lineRule="auto"/>
              <w:ind w:right="0" w:hanging="10"/>
              <w:jc w:val="left"/>
            </w:pPr>
            <w:r>
              <w:t xml:space="preserve">Increased </w:t>
            </w:r>
          </w:p>
        </w:tc>
        <w:tc>
          <w:tcPr>
            <w:tcW w:w="2273" w:type="dxa"/>
            <w:tcBorders>
              <w:top w:val="nil"/>
              <w:left w:val="nil"/>
              <w:bottom w:val="single" w:sz="4" w:space="0" w:color="000000"/>
              <w:right w:val="nil"/>
            </w:tcBorders>
          </w:tcPr>
          <w:p w14:paraId="372A3496" w14:textId="77777777" w:rsidR="00C70C1E" w:rsidRDefault="00AF67C6" w:rsidP="001342F0">
            <w:pPr>
              <w:spacing w:after="0" w:line="259" w:lineRule="auto"/>
              <w:ind w:right="0" w:hanging="10"/>
              <w:jc w:val="left"/>
            </w:pPr>
            <w:r>
              <w:t xml:space="preserve">1 </w:t>
            </w:r>
          </w:p>
        </w:tc>
        <w:tc>
          <w:tcPr>
            <w:tcW w:w="2170" w:type="dxa"/>
            <w:tcBorders>
              <w:top w:val="nil"/>
              <w:left w:val="nil"/>
              <w:bottom w:val="single" w:sz="4" w:space="0" w:color="000000"/>
              <w:right w:val="nil"/>
            </w:tcBorders>
          </w:tcPr>
          <w:p w14:paraId="693030E9" w14:textId="77777777" w:rsidR="00C70C1E" w:rsidRDefault="00AF67C6" w:rsidP="001342F0">
            <w:pPr>
              <w:spacing w:after="0" w:line="259" w:lineRule="auto"/>
              <w:ind w:right="0" w:hanging="10"/>
              <w:jc w:val="left"/>
            </w:pPr>
            <w:r>
              <w:t xml:space="preserve">0.91 </w:t>
            </w:r>
          </w:p>
        </w:tc>
      </w:tr>
      <w:tr w:rsidR="00C70C1E" w14:paraId="0D08E9AA" w14:textId="77777777">
        <w:trPr>
          <w:trHeight w:val="278"/>
        </w:trPr>
        <w:tc>
          <w:tcPr>
            <w:tcW w:w="2638" w:type="dxa"/>
            <w:tcBorders>
              <w:top w:val="single" w:sz="4" w:space="0" w:color="000000"/>
              <w:left w:val="nil"/>
              <w:bottom w:val="nil"/>
              <w:right w:val="nil"/>
            </w:tcBorders>
          </w:tcPr>
          <w:p w14:paraId="11779571" w14:textId="77777777" w:rsidR="00C70C1E" w:rsidRDefault="00AF67C6" w:rsidP="001342F0">
            <w:pPr>
              <w:spacing w:after="0" w:line="259" w:lineRule="auto"/>
              <w:ind w:left="108" w:right="0" w:hanging="10"/>
              <w:jc w:val="left"/>
            </w:pPr>
            <w:r>
              <w:rPr>
                <w:b/>
              </w:rPr>
              <w:t>Drought</w:t>
            </w:r>
            <w:r>
              <w:t xml:space="preserve"> </w:t>
            </w:r>
          </w:p>
        </w:tc>
        <w:tc>
          <w:tcPr>
            <w:tcW w:w="2270" w:type="dxa"/>
            <w:tcBorders>
              <w:top w:val="single" w:sz="4" w:space="0" w:color="000000"/>
              <w:left w:val="nil"/>
              <w:bottom w:val="nil"/>
              <w:right w:val="nil"/>
            </w:tcBorders>
          </w:tcPr>
          <w:p w14:paraId="33ACB956" w14:textId="77777777" w:rsidR="00C70C1E" w:rsidRDefault="00AF67C6" w:rsidP="001342F0">
            <w:pPr>
              <w:spacing w:after="0" w:line="259" w:lineRule="auto"/>
              <w:ind w:right="0" w:hanging="10"/>
              <w:jc w:val="left"/>
            </w:pPr>
            <w:r>
              <w:t xml:space="preserve">Increased </w:t>
            </w:r>
          </w:p>
        </w:tc>
        <w:tc>
          <w:tcPr>
            <w:tcW w:w="2273" w:type="dxa"/>
            <w:tcBorders>
              <w:top w:val="single" w:sz="4" w:space="0" w:color="000000"/>
              <w:left w:val="nil"/>
              <w:bottom w:val="nil"/>
              <w:right w:val="nil"/>
            </w:tcBorders>
          </w:tcPr>
          <w:p w14:paraId="044EF54F" w14:textId="77777777" w:rsidR="00C70C1E" w:rsidRDefault="00AF67C6" w:rsidP="001342F0">
            <w:pPr>
              <w:spacing w:after="0" w:line="259" w:lineRule="auto"/>
              <w:ind w:right="0" w:hanging="10"/>
              <w:jc w:val="left"/>
            </w:pPr>
            <w:r>
              <w:t xml:space="preserve">110 </w:t>
            </w:r>
          </w:p>
        </w:tc>
        <w:tc>
          <w:tcPr>
            <w:tcW w:w="2170" w:type="dxa"/>
            <w:tcBorders>
              <w:top w:val="single" w:sz="4" w:space="0" w:color="000000"/>
              <w:left w:val="nil"/>
              <w:bottom w:val="nil"/>
              <w:right w:val="nil"/>
            </w:tcBorders>
          </w:tcPr>
          <w:p w14:paraId="64257BBD" w14:textId="77777777" w:rsidR="00C70C1E" w:rsidRDefault="00AF67C6" w:rsidP="001342F0">
            <w:pPr>
              <w:spacing w:after="0" w:line="259" w:lineRule="auto"/>
              <w:ind w:right="0" w:hanging="10"/>
              <w:jc w:val="left"/>
            </w:pPr>
            <w:r>
              <w:t xml:space="preserve">100.00 </w:t>
            </w:r>
          </w:p>
        </w:tc>
      </w:tr>
      <w:tr w:rsidR="00C70C1E" w14:paraId="14408FD3" w14:textId="77777777">
        <w:trPr>
          <w:trHeight w:val="315"/>
        </w:trPr>
        <w:tc>
          <w:tcPr>
            <w:tcW w:w="2638" w:type="dxa"/>
            <w:tcBorders>
              <w:top w:val="nil"/>
              <w:left w:val="nil"/>
              <w:bottom w:val="single" w:sz="4" w:space="0" w:color="000000"/>
              <w:right w:val="nil"/>
            </w:tcBorders>
          </w:tcPr>
          <w:p w14:paraId="29F8D6BB" w14:textId="77777777" w:rsidR="00C70C1E" w:rsidRDefault="00AF67C6" w:rsidP="001342F0">
            <w:pPr>
              <w:spacing w:after="0" w:line="259" w:lineRule="auto"/>
              <w:ind w:left="108" w:right="0" w:hanging="10"/>
              <w:jc w:val="left"/>
            </w:pPr>
            <w:r>
              <w:rPr>
                <w:b/>
              </w:rPr>
              <w:t xml:space="preserve"> </w:t>
            </w:r>
          </w:p>
        </w:tc>
        <w:tc>
          <w:tcPr>
            <w:tcW w:w="2270" w:type="dxa"/>
            <w:tcBorders>
              <w:top w:val="nil"/>
              <w:left w:val="nil"/>
              <w:bottom w:val="single" w:sz="4" w:space="0" w:color="000000"/>
              <w:right w:val="nil"/>
            </w:tcBorders>
          </w:tcPr>
          <w:p w14:paraId="4A5291B5" w14:textId="77777777" w:rsidR="00C70C1E" w:rsidRDefault="00AF67C6" w:rsidP="001342F0">
            <w:pPr>
              <w:spacing w:after="0" w:line="259" w:lineRule="auto"/>
              <w:ind w:right="0" w:hanging="10"/>
              <w:jc w:val="left"/>
            </w:pPr>
            <w:r>
              <w:t xml:space="preserve">Decreased  </w:t>
            </w:r>
          </w:p>
        </w:tc>
        <w:tc>
          <w:tcPr>
            <w:tcW w:w="2273" w:type="dxa"/>
            <w:tcBorders>
              <w:top w:val="nil"/>
              <w:left w:val="nil"/>
              <w:bottom w:val="single" w:sz="4" w:space="0" w:color="000000"/>
              <w:right w:val="nil"/>
            </w:tcBorders>
          </w:tcPr>
          <w:p w14:paraId="5CACBB6C" w14:textId="77777777" w:rsidR="00C70C1E" w:rsidRDefault="00AF67C6" w:rsidP="001342F0">
            <w:pPr>
              <w:spacing w:after="0" w:line="259" w:lineRule="auto"/>
              <w:ind w:right="0" w:hanging="10"/>
              <w:jc w:val="left"/>
            </w:pPr>
            <w:r>
              <w:t xml:space="preserve">0 </w:t>
            </w:r>
          </w:p>
        </w:tc>
        <w:tc>
          <w:tcPr>
            <w:tcW w:w="2170" w:type="dxa"/>
            <w:tcBorders>
              <w:top w:val="nil"/>
              <w:left w:val="nil"/>
              <w:bottom w:val="single" w:sz="4" w:space="0" w:color="000000"/>
              <w:right w:val="nil"/>
            </w:tcBorders>
          </w:tcPr>
          <w:p w14:paraId="699F02F0" w14:textId="77777777" w:rsidR="00C70C1E" w:rsidRDefault="00AF67C6" w:rsidP="001342F0">
            <w:pPr>
              <w:spacing w:after="0" w:line="259" w:lineRule="auto"/>
              <w:ind w:right="0" w:hanging="10"/>
              <w:jc w:val="left"/>
            </w:pPr>
            <w:r>
              <w:t xml:space="preserve">0 </w:t>
            </w:r>
          </w:p>
        </w:tc>
      </w:tr>
      <w:tr w:rsidR="00C70C1E" w14:paraId="6288887F" w14:textId="77777777">
        <w:trPr>
          <w:trHeight w:val="277"/>
        </w:trPr>
        <w:tc>
          <w:tcPr>
            <w:tcW w:w="2638" w:type="dxa"/>
            <w:tcBorders>
              <w:top w:val="single" w:sz="4" w:space="0" w:color="000000"/>
              <w:left w:val="nil"/>
              <w:bottom w:val="nil"/>
              <w:right w:val="nil"/>
            </w:tcBorders>
          </w:tcPr>
          <w:p w14:paraId="0BDA54F1" w14:textId="77777777" w:rsidR="00C70C1E" w:rsidRDefault="00AF67C6" w:rsidP="001342F0">
            <w:pPr>
              <w:spacing w:after="0" w:line="259" w:lineRule="auto"/>
              <w:ind w:left="108" w:right="0" w:hanging="10"/>
              <w:jc w:val="left"/>
            </w:pPr>
            <w:r>
              <w:rPr>
                <w:b/>
              </w:rPr>
              <w:t>Floods</w:t>
            </w:r>
            <w:r>
              <w:t xml:space="preserve"> </w:t>
            </w:r>
          </w:p>
        </w:tc>
        <w:tc>
          <w:tcPr>
            <w:tcW w:w="2270" w:type="dxa"/>
            <w:tcBorders>
              <w:top w:val="single" w:sz="4" w:space="0" w:color="000000"/>
              <w:left w:val="nil"/>
              <w:bottom w:val="nil"/>
              <w:right w:val="nil"/>
            </w:tcBorders>
          </w:tcPr>
          <w:p w14:paraId="51F9595F" w14:textId="77777777" w:rsidR="00C70C1E" w:rsidRDefault="00AF67C6" w:rsidP="001342F0">
            <w:pPr>
              <w:spacing w:after="0" w:line="259" w:lineRule="auto"/>
              <w:ind w:right="0" w:hanging="10"/>
              <w:jc w:val="left"/>
            </w:pPr>
            <w:r>
              <w:t xml:space="preserve">Increased </w:t>
            </w:r>
          </w:p>
        </w:tc>
        <w:tc>
          <w:tcPr>
            <w:tcW w:w="2273" w:type="dxa"/>
            <w:tcBorders>
              <w:top w:val="single" w:sz="4" w:space="0" w:color="000000"/>
              <w:left w:val="nil"/>
              <w:bottom w:val="nil"/>
              <w:right w:val="nil"/>
            </w:tcBorders>
          </w:tcPr>
          <w:p w14:paraId="65E677B6" w14:textId="77777777" w:rsidR="00C70C1E" w:rsidRDefault="00AF67C6" w:rsidP="001342F0">
            <w:pPr>
              <w:spacing w:after="0" w:line="259" w:lineRule="auto"/>
              <w:ind w:right="0" w:hanging="10"/>
              <w:jc w:val="left"/>
            </w:pPr>
            <w:r>
              <w:t xml:space="preserve">109 </w:t>
            </w:r>
          </w:p>
        </w:tc>
        <w:tc>
          <w:tcPr>
            <w:tcW w:w="2170" w:type="dxa"/>
            <w:tcBorders>
              <w:top w:val="single" w:sz="4" w:space="0" w:color="000000"/>
              <w:left w:val="nil"/>
              <w:bottom w:val="nil"/>
              <w:right w:val="nil"/>
            </w:tcBorders>
          </w:tcPr>
          <w:p w14:paraId="558B7807" w14:textId="77777777" w:rsidR="00C70C1E" w:rsidRDefault="00AF67C6" w:rsidP="001342F0">
            <w:pPr>
              <w:spacing w:after="0" w:line="259" w:lineRule="auto"/>
              <w:ind w:right="0" w:hanging="10"/>
              <w:jc w:val="left"/>
            </w:pPr>
            <w:r>
              <w:t xml:space="preserve">99.09 </w:t>
            </w:r>
          </w:p>
        </w:tc>
      </w:tr>
      <w:tr w:rsidR="00C70C1E" w14:paraId="4912361A" w14:textId="77777777">
        <w:trPr>
          <w:trHeight w:val="313"/>
        </w:trPr>
        <w:tc>
          <w:tcPr>
            <w:tcW w:w="2638" w:type="dxa"/>
            <w:tcBorders>
              <w:top w:val="nil"/>
              <w:left w:val="nil"/>
              <w:bottom w:val="single" w:sz="4" w:space="0" w:color="000000"/>
              <w:right w:val="nil"/>
            </w:tcBorders>
          </w:tcPr>
          <w:p w14:paraId="2AE955D1" w14:textId="77777777" w:rsidR="00C70C1E" w:rsidRDefault="00AF67C6" w:rsidP="001342F0">
            <w:pPr>
              <w:spacing w:after="0" w:line="259" w:lineRule="auto"/>
              <w:ind w:left="108" w:right="0" w:hanging="10"/>
              <w:jc w:val="left"/>
            </w:pPr>
            <w:r>
              <w:rPr>
                <w:b/>
              </w:rPr>
              <w:t xml:space="preserve"> </w:t>
            </w:r>
          </w:p>
        </w:tc>
        <w:tc>
          <w:tcPr>
            <w:tcW w:w="2270" w:type="dxa"/>
            <w:tcBorders>
              <w:top w:val="nil"/>
              <w:left w:val="nil"/>
              <w:bottom w:val="single" w:sz="4" w:space="0" w:color="000000"/>
              <w:right w:val="nil"/>
            </w:tcBorders>
          </w:tcPr>
          <w:p w14:paraId="548DF90F" w14:textId="77777777" w:rsidR="00C70C1E" w:rsidRDefault="00AF67C6" w:rsidP="001342F0">
            <w:pPr>
              <w:spacing w:after="0" w:line="259" w:lineRule="auto"/>
              <w:ind w:right="0" w:hanging="10"/>
              <w:jc w:val="left"/>
            </w:pPr>
            <w:r>
              <w:t xml:space="preserve">Decreased  </w:t>
            </w:r>
          </w:p>
        </w:tc>
        <w:tc>
          <w:tcPr>
            <w:tcW w:w="2273" w:type="dxa"/>
            <w:tcBorders>
              <w:top w:val="nil"/>
              <w:left w:val="nil"/>
              <w:bottom w:val="single" w:sz="4" w:space="0" w:color="000000"/>
              <w:right w:val="nil"/>
            </w:tcBorders>
          </w:tcPr>
          <w:p w14:paraId="65988EE3" w14:textId="77777777" w:rsidR="00C70C1E" w:rsidRDefault="00AF67C6" w:rsidP="001342F0">
            <w:pPr>
              <w:spacing w:after="0" w:line="259" w:lineRule="auto"/>
              <w:ind w:right="0" w:hanging="10"/>
              <w:jc w:val="left"/>
            </w:pPr>
            <w:r>
              <w:t xml:space="preserve">1 </w:t>
            </w:r>
          </w:p>
        </w:tc>
        <w:tc>
          <w:tcPr>
            <w:tcW w:w="2170" w:type="dxa"/>
            <w:tcBorders>
              <w:top w:val="nil"/>
              <w:left w:val="nil"/>
              <w:bottom w:val="single" w:sz="4" w:space="0" w:color="000000"/>
              <w:right w:val="nil"/>
            </w:tcBorders>
          </w:tcPr>
          <w:p w14:paraId="28AE7D86" w14:textId="77777777" w:rsidR="00C70C1E" w:rsidRDefault="00AF67C6" w:rsidP="001342F0">
            <w:pPr>
              <w:spacing w:after="0" w:line="259" w:lineRule="auto"/>
              <w:ind w:right="0" w:hanging="10"/>
              <w:jc w:val="left"/>
            </w:pPr>
            <w:r>
              <w:t xml:space="preserve">0.91 </w:t>
            </w:r>
          </w:p>
        </w:tc>
      </w:tr>
      <w:tr w:rsidR="00C70C1E" w14:paraId="1ADA16DD" w14:textId="77777777">
        <w:trPr>
          <w:trHeight w:val="280"/>
        </w:trPr>
        <w:tc>
          <w:tcPr>
            <w:tcW w:w="2638" w:type="dxa"/>
            <w:tcBorders>
              <w:top w:val="single" w:sz="4" w:space="0" w:color="000000"/>
              <w:left w:val="nil"/>
              <w:bottom w:val="nil"/>
              <w:right w:val="nil"/>
            </w:tcBorders>
          </w:tcPr>
          <w:p w14:paraId="5AB254AB" w14:textId="77777777" w:rsidR="00C70C1E" w:rsidRDefault="00AF67C6" w:rsidP="001342F0">
            <w:pPr>
              <w:spacing w:after="0" w:line="259" w:lineRule="auto"/>
              <w:ind w:left="108" w:right="0" w:hanging="10"/>
              <w:jc w:val="left"/>
            </w:pPr>
            <w:r>
              <w:rPr>
                <w:b/>
              </w:rPr>
              <w:t>Temperature</w:t>
            </w:r>
            <w:r>
              <w:t xml:space="preserve"> </w:t>
            </w:r>
          </w:p>
        </w:tc>
        <w:tc>
          <w:tcPr>
            <w:tcW w:w="2270" w:type="dxa"/>
            <w:tcBorders>
              <w:top w:val="single" w:sz="4" w:space="0" w:color="000000"/>
              <w:left w:val="nil"/>
              <w:bottom w:val="nil"/>
              <w:right w:val="nil"/>
            </w:tcBorders>
          </w:tcPr>
          <w:p w14:paraId="0666FA11" w14:textId="77777777" w:rsidR="00C70C1E" w:rsidRDefault="00AF67C6" w:rsidP="001342F0">
            <w:pPr>
              <w:spacing w:after="0" w:line="259" w:lineRule="auto"/>
              <w:ind w:right="0" w:hanging="10"/>
              <w:jc w:val="left"/>
            </w:pPr>
            <w:r>
              <w:t xml:space="preserve">Increased (Hotness) </w:t>
            </w:r>
          </w:p>
        </w:tc>
        <w:tc>
          <w:tcPr>
            <w:tcW w:w="2273" w:type="dxa"/>
            <w:tcBorders>
              <w:top w:val="single" w:sz="4" w:space="0" w:color="000000"/>
              <w:left w:val="nil"/>
              <w:bottom w:val="nil"/>
              <w:right w:val="nil"/>
            </w:tcBorders>
          </w:tcPr>
          <w:p w14:paraId="37941EC4" w14:textId="77777777" w:rsidR="00C70C1E" w:rsidRDefault="00AF67C6" w:rsidP="001342F0">
            <w:pPr>
              <w:spacing w:after="0" w:line="259" w:lineRule="auto"/>
              <w:ind w:right="0" w:hanging="10"/>
              <w:jc w:val="left"/>
            </w:pPr>
            <w:r>
              <w:t xml:space="preserve">1 </w:t>
            </w:r>
          </w:p>
        </w:tc>
        <w:tc>
          <w:tcPr>
            <w:tcW w:w="2170" w:type="dxa"/>
            <w:tcBorders>
              <w:top w:val="single" w:sz="4" w:space="0" w:color="000000"/>
              <w:left w:val="nil"/>
              <w:bottom w:val="nil"/>
              <w:right w:val="nil"/>
            </w:tcBorders>
          </w:tcPr>
          <w:p w14:paraId="486D0EB5" w14:textId="77777777" w:rsidR="00C70C1E" w:rsidRDefault="00AF67C6" w:rsidP="001342F0">
            <w:pPr>
              <w:spacing w:after="0" w:line="259" w:lineRule="auto"/>
              <w:ind w:right="0" w:hanging="10"/>
              <w:jc w:val="left"/>
            </w:pPr>
            <w:r>
              <w:t xml:space="preserve">0.91 </w:t>
            </w:r>
          </w:p>
        </w:tc>
      </w:tr>
      <w:tr w:rsidR="00C70C1E" w14:paraId="7CBF5EA5" w14:textId="77777777">
        <w:trPr>
          <w:trHeight w:val="314"/>
        </w:trPr>
        <w:tc>
          <w:tcPr>
            <w:tcW w:w="2638" w:type="dxa"/>
            <w:tcBorders>
              <w:top w:val="nil"/>
              <w:left w:val="nil"/>
              <w:bottom w:val="single" w:sz="4" w:space="0" w:color="000000"/>
              <w:right w:val="nil"/>
            </w:tcBorders>
          </w:tcPr>
          <w:p w14:paraId="3BABDF59" w14:textId="77777777" w:rsidR="00C70C1E" w:rsidRDefault="00AF67C6" w:rsidP="001342F0">
            <w:pPr>
              <w:spacing w:after="0" w:line="259" w:lineRule="auto"/>
              <w:ind w:left="108" w:right="0" w:hanging="10"/>
              <w:jc w:val="left"/>
            </w:pPr>
            <w:r>
              <w:t xml:space="preserve"> </w:t>
            </w:r>
          </w:p>
        </w:tc>
        <w:tc>
          <w:tcPr>
            <w:tcW w:w="2270" w:type="dxa"/>
            <w:tcBorders>
              <w:top w:val="nil"/>
              <w:left w:val="nil"/>
              <w:bottom w:val="single" w:sz="4" w:space="0" w:color="000000"/>
              <w:right w:val="nil"/>
            </w:tcBorders>
          </w:tcPr>
          <w:p w14:paraId="4BA4229D" w14:textId="77777777" w:rsidR="00C70C1E" w:rsidRDefault="00AF67C6" w:rsidP="001342F0">
            <w:pPr>
              <w:spacing w:after="0" w:line="259" w:lineRule="auto"/>
              <w:ind w:right="0" w:hanging="10"/>
              <w:jc w:val="left"/>
            </w:pPr>
            <w:r>
              <w:t xml:space="preserve">Increased (Coldness) </w:t>
            </w:r>
          </w:p>
        </w:tc>
        <w:tc>
          <w:tcPr>
            <w:tcW w:w="2273" w:type="dxa"/>
            <w:tcBorders>
              <w:top w:val="nil"/>
              <w:left w:val="nil"/>
              <w:bottom w:val="single" w:sz="4" w:space="0" w:color="000000"/>
              <w:right w:val="nil"/>
            </w:tcBorders>
          </w:tcPr>
          <w:p w14:paraId="72D0AD3C" w14:textId="77777777" w:rsidR="00C70C1E" w:rsidRDefault="00AF67C6" w:rsidP="001342F0">
            <w:pPr>
              <w:spacing w:after="0" w:line="259" w:lineRule="auto"/>
              <w:ind w:right="0" w:hanging="10"/>
              <w:jc w:val="left"/>
            </w:pPr>
            <w:r>
              <w:t xml:space="preserve">1 </w:t>
            </w:r>
          </w:p>
        </w:tc>
        <w:tc>
          <w:tcPr>
            <w:tcW w:w="2170" w:type="dxa"/>
            <w:tcBorders>
              <w:top w:val="nil"/>
              <w:left w:val="nil"/>
              <w:bottom w:val="single" w:sz="4" w:space="0" w:color="000000"/>
              <w:right w:val="nil"/>
            </w:tcBorders>
          </w:tcPr>
          <w:p w14:paraId="4A92CC95" w14:textId="77777777" w:rsidR="00C70C1E" w:rsidRDefault="00AF67C6" w:rsidP="001342F0">
            <w:pPr>
              <w:spacing w:after="0" w:line="259" w:lineRule="auto"/>
              <w:ind w:right="0" w:hanging="10"/>
              <w:jc w:val="left"/>
            </w:pPr>
            <w:r>
              <w:t xml:space="preserve">0.91 </w:t>
            </w:r>
          </w:p>
        </w:tc>
      </w:tr>
    </w:tbl>
    <w:p w14:paraId="549EDD12" w14:textId="77777777" w:rsidR="00C70C1E" w:rsidRDefault="00AF67C6" w:rsidP="005B6B36">
      <w:pPr>
        <w:spacing w:before="240"/>
        <w:ind w:right="141" w:firstLine="567"/>
      </w:pPr>
      <w:r>
        <w:t>Table 8 shows the participants’ responses towards the changes in the observed climate variables (rainfall, drought, floods, and temperature), in terms of the frequencies, and percentages.</w:t>
      </w:r>
      <w:r>
        <w:rPr>
          <w:b/>
        </w:rPr>
        <w:t xml:space="preserve"> </w:t>
      </w:r>
      <w:r>
        <w:t xml:space="preserve">The results of the study show that smallholder farmers in Mbereshi village overwhelmingly perceived significant changes in rainfall, drought, and flood patterns. </w:t>
      </w:r>
    </w:p>
    <w:p w14:paraId="6D93E290" w14:textId="77777777" w:rsidR="00C70C1E" w:rsidRDefault="00AF67C6" w:rsidP="005B6B36">
      <w:pPr>
        <w:ind w:left="-15" w:right="0" w:firstLine="582"/>
      </w:pPr>
      <w:r>
        <w:t xml:space="preserve">The study also performed a Chi-square test to determine whether there was a statistically significant difference in farmers’ perceptions of climate variability and change across the four main climate variables. The results of the study show that the climate variables’ yielded </w:t>
      </w:r>
      <w:r>
        <w:rPr>
          <w:i/>
        </w:rPr>
        <w:t>p-</w:t>
      </w:r>
      <w:r>
        <w:t xml:space="preserve">Value was below 0.05, indicating that the observed changes were not by chance as the overall p-Value on the variables was &lt; 0.001 (9.33 × 10⁻⁹³) as displayed in Table 9. </w:t>
      </w:r>
    </w:p>
    <w:p w14:paraId="5D67A526" w14:textId="77777777" w:rsidR="00C70C1E" w:rsidRDefault="00AF67C6" w:rsidP="001342F0">
      <w:pPr>
        <w:spacing w:after="0" w:line="259" w:lineRule="auto"/>
        <w:ind w:left="139" w:right="0" w:hanging="10"/>
        <w:jc w:val="left"/>
      </w:pPr>
      <w:r>
        <w:t xml:space="preserve"> </w:t>
      </w:r>
    </w:p>
    <w:p w14:paraId="6C377FF0" w14:textId="77777777" w:rsidR="00C70C1E" w:rsidRDefault="00AF67C6" w:rsidP="001342F0">
      <w:pPr>
        <w:ind w:left="139" w:right="0" w:hanging="10"/>
      </w:pPr>
      <w:r>
        <w:t xml:space="preserve">Table 9: Chi-square test results for perceived changes in climate variables </w:t>
      </w:r>
    </w:p>
    <w:tbl>
      <w:tblPr>
        <w:tblStyle w:val="TableGrid"/>
        <w:tblW w:w="9352" w:type="dxa"/>
        <w:tblInd w:w="31" w:type="dxa"/>
        <w:tblLook w:val="04A0" w:firstRow="1" w:lastRow="0" w:firstColumn="1" w:lastColumn="0" w:noHBand="0" w:noVBand="1"/>
      </w:tblPr>
      <w:tblGrid>
        <w:gridCol w:w="2443"/>
        <w:gridCol w:w="2338"/>
        <w:gridCol w:w="1827"/>
        <w:gridCol w:w="2744"/>
      </w:tblGrid>
      <w:tr w:rsidR="00C70C1E" w14:paraId="51DB0E58" w14:textId="77777777">
        <w:trPr>
          <w:trHeight w:val="591"/>
        </w:trPr>
        <w:tc>
          <w:tcPr>
            <w:tcW w:w="2444" w:type="dxa"/>
            <w:tcBorders>
              <w:top w:val="nil"/>
              <w:left w:val="nil"/>
              <w:bottom w:val="nil"/>
              <w:right w:val="nil"/>
            </w:tcBorders>
          </w:tcPr>
          <w:p w14:paraId="283411ED" w14:textId="77777777" w:rsidR="00C70C1E" w:rsidRDefault="00AF67C6" w:rsidP="001342F0">
            <w:pPr>
              <w:spacing w:after="31" w:line="259" w:lineRule="auto"/>
              <w:ind w:left="108" w:right="0" w:hanging="10"/>
              <w:jc w:val="left"/>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7E06391C" wp14:editId="4FC9DFF5">
                      <wp:simplePos x="0" y="0"/>
                      <wp:positionH relativeFrom="column">
                        <wp:posOffset>0</wp:posOffset>
                      </wp:positionH>
                      <wp:positionV relativeFrom="paragraph">
                        <wp:posOffset>-10710</wp:posOffset>
                      </wp:positionV>
                      <wp:extent cx="1490421" cy="204216"/>
                      <wp:effectExtent l="0" t="0" r="0" b="0"/>
                      <wp:wrapNone/>
                      <wp:docPr id="65963" name="Group 65963"/>
                      <wp:cNvGraphicFramePr/>
                      <a:graphic xmlns:a="http://schemas.openxmlformats.org/drawingml/2006/main">
                        <a:graphicData uri="http://schemas.microsoft.com/office/word/2010/wordprocessingGroup">
                          <wpg:wgp>
                            <wpg:cNvGrpSpPr/>
                            <wpg:grpSpPr>
                              <a:xfrm>
                                <a:off x="0" y="0"/>
                                <a:ext cx="1490421" cy="204216"/>
                                <a:chOff x="0" y="0"/>
                                <a:chExt cx="1490421" cy="204216"/>
                              </a:xfrm>
                            </wpg:grpSpPr>
                            <wps:wsp>
                              <wps:cNvPr id="72303" name="Shape 72303"/>
                              <wps:cNvSpPr/>
                              <wps:spPr>
                                <a:xfrm>
                                  <a:off x="0" y="0"/>
                                  <a:ext cx="1484376" cy="9144"/>
                                </a:xfrm>
                                <a:custGeom>
                                  <a:avLst/>
                                  <a:gdLst/>
                                  <a:ahLst/>
                                  <a:cxnLst/>
                                  <a:rect l="0" t="0" r="0" b="0"/>
                                  <a:pathLst>
                                    <a:path w="1484376" h="9144">
                                      <a:moveTo>
                                        <a:pt x="0" y="0"/>
                                      </a:moveTo>
                                      <a:lnTo>
                                        <a:pt x="1484376" y="0"/>
                                      </a:lnTo>
                                      <a:lnTo>
                                        <a:pt x="1484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04" name="Shape 72304"/>
                              <wps:cNvSpPr/>
                              <wps:spPr>
                                <a:xfrm>
                                  <a:off x="14843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05" name="Shape 72305"/>
                              <wps:cNvSpPr/>
                              <wps:spPr>
                                <a:xfrm>
                                  <a:off x="0" y="198120"/>
                                  <a:ext cx="1484376" cy="9144"/>
                                </a:xfrm>
                                <a:custGeom>
                                  <a:avLst/>
                                  <a:gdLst/>
                                  <a:ahLst/>
                                  <a:cxnLst/>
                                  <a:rect l="0" t="0" r="0" b="0"/>
                                  <a:pathLst>
                                    <a:path w="1484376" h="9144">
                                      <a:moveTo>
                                        <a:pt x="0" y="0"/>
                                      </a:moveTo>
                                      <a:lnTo>
                                        <a:pt x="1484376" y="0"/>
                                      </a:lnTo>
                                      <a:lnTo>
                                        <a:pt x="1484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06" name="Shape 72306"/>
                              <wps:cNvSpPr/>
                              <wps:spPr>
                                <a:xfrm>
                                  <a:off x="1484325" y="1981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65963" style="width:117.356pt;height:16.08pt;position:absolute;z-index:-2147483609;mso-position-horizontal-relative:text;mso-position-horizontal:absolute;margin-left:0pt;mso-position-vertical-relative:text;margin-top:-0.843384pt;" coordsize="14904,2042">
                      <v:shape id="Shape 72307" style="position:absolute;width:14843;height:91;left:0;top:0;" coordsize="1484376,9144" path="m0,0l1484376,0l1484376,9144l0,9144l0,0">
                        <v:stroke weight="0pt" endcap="flat" joinstyle="miter" miterlimit="10" on="false" color="#000000" opacity="0"/>
                        <v:fill on="true" color="#000000"/>
                      </v:shape>
                      <v:shape id="Shape 72308" style="position:absolute;width:91;height:91;left:14843;top:0;" coordsize="9144,9144" path="m0,0l9144,0l9144,9144l0,9144l0,0">
                        <v:stroke weight="0pt" endcap="flat" joinstyle="miter" miterlimit="10" on="false" color="#000000" opacity="0"/>
                        <v:fill on="true" color="#000000"/>
                      </v:shape>
                      <v:shape id="Shape 72309" style="position:absolute;width:14843;height:91;left:0;top:1981;" coordsize="1484376,9144" path="m0,0l1484376,0l1484376,9144l0,9144l0,0">
                        <v:stroke weight="0pt" endcap="flat" joinstyle="miter" miterlimit="10" on="false" color="#000000" opacity="0"/>
                        <v:fill on="true" color="#000000"/>
                      </v:shape>
                      <v:shape id="Shape 72310" style="position:absolute;width:91;height:91;left:14843;top:1981;" coordsize="9144,9144" path="m0,0l9144,0l9144,9144l0,9144l0,0">
                        <v:stroke weight="0pt" endcap="flat" joinstyle="miter" miterlimit="10" on="false" color="#000000" opacity="0"/>
                        <v:fill on="true" color="#000000"/>
                      </v:shape>
                    </v:group>
                  </w:pict>
                </mc:Fallback>
              </mc:AlternateContent>
            </w:r>
            <w:r>
              <w:rPr>
                <w:b/>
              </w:rPr>
              <w:t xml:space="preserve">Climate Variable </w:t>
            </w:r>
          </w:p>
          <w:p w14:paraId="70A06EC3" w14:textId="77777777" w:rsidR="00C70C1E" w:rsidRDefault="00AF67C6" w:rsidP="001342F0">
            <w:pPr>
              <w:spacing w:after="0" w:line="259" w:lineRule="auto"/>
              <w:ind w:left="108" w:right="0" w:hanging="10"/>
              <w:jc w:val="left"/>
            </w:pPr>
            <w:r>
              <w:t xml:space="preserve">Rainfall  </w:t>
            </w:r>
          </w:p>
        </w:tc>
        <w:tc>
          <w:tcPr>
            <w:tcW w:w="2338" w:type="dxa"/>
            <w:tcBorders>
              <w:top w:val="nil"/>
              <w:left w:val="nil"/>
              <w:bottom w:val="nil"/>
              <w:right w:val="nil"/>
            </w:tcBorders>
          </w:tcPr>
          <w:p w14:paraId="55C61B7C" w14:textId="77777777" w:rsidR="00C70C1E" w:rsidRDefault="00AF67C6" w:rsidP="001342F0">
            <w:pPr>
              <w:spacing w:after="0" w:line="259" w:lineRule="auto"/>
              <w:ind w:right="192" w:hanging="10"/>
              <w:jc w:val="left"/>
            </w:pPr>
            <w:r>
              <w:rPr>
                <w:rFonts w:ascii="Calibri" w:eastAsia="Calibri" w:hAnsi="Calibri" w:cs="Calibri"/>
                <w:noProof/>
              </w:rPr>
              <mc:AlternateContent>
                <mc:Choice Requires="wpg">
                  <w:drawing>
                    <wp:anchor distT="0" distB="0" distL="114300" distR="114300" simplePos="0" relativeHeight="251659264" behindDoc="1" locked="0" layoutInCell="1" allowOverlap="1" wp14:anchorId="0EA18C5A" wp14:editId="66922412">
                      <wp:simplePos x="0" y="0"/>
                      <wp:positionH relativeFrom="column">
                        <wp:posOffset>-61340</wp:posOffset>
                      </wp:positionH>
                      <wp:positionV relativeFrom="paragraph">
                        <wp:posOffset>-14599</wp:posOffset>
                      </wp:positionV>
                      <wp:extent cx="1484757" cy="204216"/>
                      <wp:effectExtent l="0" t="0" r="0" b="0"/>
                      <wp:wrapNone/>
                      <wp:docPr id="66021" name="Group 66021"/>
                      <wp:cNvGraphicFramePr/>
                      <a:graphic xmlns:a="http://schemas.openxmlformats.org/drawingml/2006/main">
                        <a:graphicData uri="http://schemas.microsoft.com/office/word/2010/wordprocessingGroup">
                          <wpg:wgp>
                            <wpg:cNvGrpSpPr/>
                            <wpg:grpSpPr>
                              <a:xfrm>
                                <a:off x="0" y="0"/>
                                <a:ext cx="1484757" cy="204216"/>
                                <a:chOff x="0" y="0"/>
                                <a:chExt cx="1484757" cy="204216"/>
                              </a:xfrm>
                            </wpg:grpSpPr>
                            <wps:wsp>
                              <wps:cNvPr id="72311" name="Shape 72311"/>
                              <wps:cNvSpPr/>
                              <wps:spPr>
                                <a:xfrm>
                                  <a:off x="0" y="0"/>
                                  <a:ext cx="1478534" cy="9144"/>
                                </a:xfrm>
                                <a:custGeom>
                                  <a:avLst/>
                                  <a:gdLst/>
                                  <a:ahLst/>
                                  <a:cxnLst/>
                                  <a:rect l="0" t="0" r="0" b="0"/>
                                  <a:pathLst>
                                    <a:path w="1478534" h="9144">
                                      <a:moveTo>
                                        <a:pt x="0" y="0"/>
                                      </a:moveTo>
                                      <a:lnTo>
                                        <a:pt x="1478534" y="0"/>
                                      </a:lnTo>
                                      <a:lnTo>
                                        <a:pt x="1478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12" name="Shape 72312"/>
                              <wps:cNvSpPr/>
                              <wps:spPr>
                                <a:xfrm>
                                  <a:off x="147866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13" name="Shape 72313"/>
                              <wps:cNvSpPr/>
                              <wps:spPr>
                                <a:xfrm>
                                  <a:off x="0" y="198120"/>
                                  <a:ext cx="1478534" cy="9144"/>
                                </a:xfrm>
                                <a:custGeom>
                                  <a:avLst/>
                                  <a:gdLst/>
                                  <a:ahLst/>
                                  <a:cxnLst/>
                                  <a:rect l="0" t="0" r="0" b="0"/>
                                  <a:pathLst>
                                    <a:path w="1478534" h="9144">
                                      <a:moveTo>
                                        <a:pt x="0" y="0"/>
                                      </a:moveTo>
                                      <a:lnTo>
                                        <a:pt x="1478534" y="0"/>
                                      </a:lnTo>
                                      <a:lnTo>
                                        <a:pt x="1478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14" name="Shape 72314"/>
                              <wps:cNvSpPr/>
                              <wps:spPr>
                                <a:xfrm>
                                  <a:off x="1478661" y="1981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66021" style="width:116.91pt;height:16.08pt;position:absolute;z-index:-2147483607;mso-position-horizontal-relative:text;mso-position-horizontal:absolute;margin-left:-4.83pt;mso-position-vertical-relative:text;margin-top:-1.1496pt;" coordsize="14847,2042">
                      <v:shape id="Shape 72315" style="position:absolute;width:14785;height:91;left:0;top:0;" coordsize="1478534,9144" path="m0,0l1478534,0l1478534,9144l0,9144l0,0">
                        <v:stroke weight="0pt" endcap="flat" joinstyle="miter" miterlimit="10" on="false" color="#000000" opacity="0"/>
                        <v:fill on="true" color="#000000"/>
                      </v:shape>
                      <v:shape id="Shape 72316" style="position:absolute;width:91;height:91;left:14786;top:0;" coordsize="9144,9144" path="m0,0l9144,0l9144,9144l0,9144l0,0">
                        <v:stroke weight="0pt" endcap="flat" joinstyle="miter" miterlimit="10" on="false" color="#000000" opacity="0"/>
                        <v:fill on="true" color="#000000"/>
                      </v:shape>
                      <v:shape id="Shape 72317" style="position:absolute;width:14785;height:91;left:0;top:1981;" coordsize="1478534,9144" path="m0,0l1478534,0l1478534,9144l0,9144l0,0">
                        <v:stroke weight="0pt" endcap="flat" joinstyle="miter" miterlimit="10" on="false" color="#000000" opacity="0"/>
                        <v:fill on="true" color="#000000"/>
                      </v:shape>
                      <v:shape id="Shape 72318" style="position:absolute;width:91;height:91;left:14786;top:1981;" coordsize="9144,9144" path="m0,0l9144,0l9144,9144l0,9144l0,0">
                        <v:stroke weight="0pt" endcap="flat" joinstyle="miter" miterlimit="10" on="false" color="#000000" opacity="0"/>
                        <v:fill on="true" color="#000000"/>
                      </v:shape>
                    </v:group>
                  </w:pict>
                </mc:Fallback>
              </mc:AlternateContent>
            </w:r>
            <w:r>
              <w:rPr>
                <w:b/>
              </w:rPr>
              <w:t>Chi-square (</w:t>
            </w:r>
            <w:r>
              <w:rPr>
                <w:rFonts w:ascii="Cambria Math" w:eastAsia="Cambria Math" w:hAnsi="Cambria Math" w:cs="Cambria Math"/>
              </w:rPr>
              <w:t>𝑥</w:t>
            </w:r>
            <w:r>
              <w:rPr>
                <w:rFonts w:ascii="Cambria Math" w:eastAsia="Cambria Math" w:hAnsi="Cambria Math" w:cs="Cambria Math"/>
                <w:vertAlign w:val="superscript"/>
              </w:rPr>
              <w:t>2</w:t>
            </w:r>
            <w:r>
              <w:t>)</w:t>
            </w:r>
            <w:r>
              <w:rPr>
                <w:b/>
              </w:rPr>
              <w:t xml:space="preserve"> </w:t>
            </w:r>
            <w:r>
              <w:t xml:space="preserve">216.02 </w:t>
            </w:r>
          </w:p>
        </w:tc>
        <w:tc>
          <w:tcPr>
            <w:tcW w:w="1827" w:type="dxa"/>
            <w:tcBorders>
              <w:top w:val="nil"/>
              <w:left w:val="nil"/>
              <w:bottom w:val="nil"/>
              <w:right w:val="nil"/>
            </w:tcBorders>
          </w:tcPr>
          <w:p w14:paraId="2C194C93" w14:textId="77777777" w:rsidR="00C70C1E" w:rsidRDefault="00AF67C6" w:rsidP="001342F0">
            <w:pPr>
              <w:spacing w:after="36" w:line="259" w:lineRule="auto"/>
              <w:ind w:right="0" w:hanging="10"/>
              <w:jc w:val="left"/>
            </w:pPr>
            <w:r>
              <w:rPr>
                <w:rFonts w:ascii="Calibri" w:eastAsia="Calibri" w:hAnsi="Calibri" w:cs="Calibri"/>
                <w:noProof/>
              </w:rPr>
              <mc:AlternateContent>
                <mc:Choice Requires="wpg">
                  <w:drawing>
                    <wp:anchor distT="0" distB="0" distL="114300" distR="114300" simplePos="0" relativeHeight="251660288" behindDoc="1" locked="0" layoutInCell="1" allowOverlap="1" wp14:anchorId="0F7EBC68" wp14:editId="0C0E8A8C">
                      <wp:simplePos x="0" y="0"/>
                      <wp:positionH relativeFrom="column">
                        <wp:posOffset>-60959</wp:posOffset>
                      </wp:positionH>
                      <wp:positionV relativeFrom="paragraph">
                        <wp:posOffset>-7662</wp:posOffset>
                      </wp:positionV>
                      <wp:extent cx="1199642" cy="204216"/>
                      <wp:effectExtent l="0" t="0" r="0" b="0"/>
                      <wp:wrapNone/>
                      <wp:docPr id="66072" name="Group 66072"/>
                      <wp:cNvGraphicFramePr/>
                      <a:graphic xmlns:a="http://schemas.openxmlformats.org/drawingml/2006/main">
                        <a:graphicData uri="http://schemas.microsoft.com/office/word/2010/wordprocessingGroup">
                          <wpg:wgp>
                            <wpg:cNvGrpSpPr/>
                            <wpg:grpSpPr>
                              <a:xfrm>
                                <a:off x="0" y="0"/>
                                <a:ext cx="1199642" cy="204216"/>
                                <a:chOff x="0" y="0"/>
                                <a:chExt cx="1199642" cy="204216"/>
                              </a:xfrm>
                            </wpg:grpSpPr>
                            <wps:wsp>
                              <wps:cNvPr id="72319" name="Shape 72319"/>
                              <wps:cNvSpPr/>
                              <wps:spPr>
                                <a:xfrm>
                                  <a:off x="0" y="0"/>
                                  <a:ext cx="1193597" cy="9144"/>
                                </a:xfrm>
                                <a:custGeom>
                                  <a:avLst/>
                                  <a:gdLst/>
                                  <a:ahLst/>
                                  <a:cxnLst/>
                                  <a:rect l="0" t="0" r="0" b="0"/>
                                  <a:pathLst>
                                    <a:path w="1193597" h="9144">
                                      <a:moveTo>
                                        <a:pt x="0" y="0"/>
                                      </a:moveTo>
                                      <a:lnTo>
                                        <a:pt x="1193597" y="0"/>
                                      </a:lnTo>
                                      <a:lnTo>
                                        <a:pt x="1193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20" name="Shape 72320"/>
                              <wps:cNvSpPr/>
                              <wps:spPr>
                                <a:xfrm>
                                  <a:off x="119354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21" name="Shape 72321"/>
                              <wps:cNvSpPr/>
                              <wps:spPr>
                                <a:xfrm>
                                  <a:off x="0" y="198120"/>
                                  <a:ext cx="1193597" cy="9144"/>
                                </a:xfrm>
                                <a:custGeom>
                                  <a:avLst/>
                                  <a:gdLst/>
                                  <a:ahLst/>
                                  <a:cxnLst/>
                                  <a:rect l="0" t="0" r="0" b="0"/>
                                  <a:pathLst>
                                    <a:path w="1193597" h="9144">
                                      <a:moveTo>
                                        <a:pt x="0" y="0"/>
                                      </a:moveTo>
                                      <a:lnTo>
                                        <a:pt x="1193597" y="0"/>
                                      </a:lnTo>
                                      <a:lnTo>
                                        <a:pt x="1193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22" name="Shape 72322"/>
                              <wps:cNvSpPr/>
                              <wps:spPr>
                                <a:xfrm>
                                  <a:off x="1193546" y="19812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66072" style="width:94.46pt;height:16.08pt;position:absolute;z-index:-2147483605;mso-position-horizontal-relative:text;mso-position-horizontal:absolute;margin-left:-4.79999pt;mso-position-vertical-relative:text;margin-top:-0.603386pt;" coordsize="11996,2042">
                      <v:shape id="Shape 72323" style="position:absolute;width:11935;height:91;left:0;top:0;" coordsize="1193597,9144" path="m0,0l1193597,0l1193597,9144l0,9144l0,0">
                        <v:stroke weight="0pt" endcap="flat" joinstyle="miter" miterlimit="10" on="false" color="#000000" opacity="0"/>
                        <v:fill on="true" color="#000000"/>
                      </v:shape>
                      <v:shape id="Shape 72324" style="position:absolute;width:91;height:91;left:11935;top:0;" coordsize="9144,9144" path="m0,0l9144,0l9144,9144l0,9144l0,0">
                        <v:stroke weight="0pt" endcap="flat" joinstyle="miter" miterlimit="10" on="false" color="#000000" opacity="0"/>
                        <v:fill on="true" color="#000000"/>
                      </v:shape>
                      <v:shape id="Shape 72325" style="position:absolute;width:11935;height:91;left:0;top:1981;" coordsize="1193597,9144" path="m0,0l1193597,0l1193597,9144l0,9144l0,0">
                        <v:stroke weight="0pt" endcap="flat" joinstyle="miter" miterlimit="10" on="false" color="#000000" opacity="0"/>
                        <v:fill on="true" color="#000000"/>
                      </v:shape>
                      <v:shape id="Shape 72326" style="position:absolute;width:91;height:91;left:11935;top:1981;" coordsize="9144,9144" path="m0,0l9144,0l9144,9144l0,9144l0,0">
                        <v:stroke weight="0pt" endcap="flat" joinstyle="miter" miterlimit="10" on="false" color="#000000" opacity="0"/>
                        <v:fill on="true" color="#000000"/>
                      </v:shape>
                    </v:group>
                  </w:pict>
                </mc:Fallback>
              </mc:AlternateContent>
            </w:r>
            <w:r>
              <w:rPr>
                <w:b/>
              </w:rPr>
              <w:t>p-Value (</w:t>
            </w:r>
            <w:r>
              <w:rPr>
                <w:i/>
              </w:rPr>
              <w:t>p</w:t>
            </w:r>
            <w:r>
              <w:rPr>
                <w:b/>
                <w:i/>
              </w:rPr>
              <w:t>)</w:t>
            </w:r>
            <w:r>
              <w:rPr>
                <w:b/>
              </w:rPr>
              <w:t xml:space="preserve"> </w:t>
            </w:r>
          </w:p>
          <w:p w14:paraId="619B65C9" w14:textId="77777777" w:rsidR="00C70C1E" w:rsidRDefault="00AF67C6" w:rsidP="001342F0">
            <w:pPr>
              <w:spacing w:after="0" w:line="259" w:lineRule="auto"/>
              <w:ind w:right="0" w:hanging="10"/>
              <w:jc w:val="left"/>
            </w:pPr>
            <w:r>
              <w:t xml:space="preserve">0.0000 </w:t>
            </w:r>
          </w:p>
        </w:tc>
        <w:tc>
          <w:tcPr>
            <w:tcW w:w="2744" w:type="dxa"/>
            <w:tcBorders>
              <w:top w:val="nil"/>
              <w:left w:val="nil"/>
              <w:bottom w:val="nil"/>
              <w:right w:val="nil"/>
            </w:tcBorders>
          </w:tcPr>
          <w:p w14:paraId="219CCDAD" w14:textId="77777777" w:rsidR="00C70C1E" w:rsidRDefault="00AF67C6" w:rsidP="001342F0">
            <w:pPr>
              <w:spacing w:after="36" w:line="259" w:lineRule="auto"/>
              <w:ind w:left="65" w:right="0" w:hanging="10"/>
              <w:jc w:val="left"/>
            </w:pPr>
            <w:r>
              <w:rPr>
                <w:rFonts w:ascii="Calibri" w:eastAsia="Calibri" w:hAnsi="Calibri" w:cs="Calibri"/>
                <w:noProof/>
              </w:rPr>
              <mc:AlternateContent>
                <mc:Choice Requires="wpg">
                  <w:drawing>
                    <wp:anchor distT="0" distB="0" distL="114300" distR="114300" simplePos="0" relativeHeight="251661312" behindDoc="1" locked="0" layoutInCell="1" allowOverlap="1" wp14:anchorId="24E5C925" wp14:editId="1E625155">
                      <wp:simplePos x="0" y="0"/>
                      <wp:positionH relativeFrom="column">
                        <wp:posOffset>-21335</wp:posOffset>
                      </wp:positionH>
                      <wp:positionV relativeFrom="paragraph">
                        <wp:posOffset>-7662</wp:posOffset>
                      </wp:positionV>
                      <wp:extent cx="1763522" cy="204216"/>
                      <wp:effectExtent l="0" t="0" r="0" b="0"/>
                      <wp:wrapNone/>
                      <wp:docPr id="66102" name="Group 66102"/>
                      <wp:cNvGraphicFramePr/>
                      <a:graphic xmlns:a="http://schemas.openxmlformats.org/drawingml/2006/main">
                        <a:graphicData uri="http://schemas.microsoft.com/office/word/2010/wordprocessingGroup">
                          <wpg:wgp>
                            <wpg:cNvGrpSpPr/>
                            <wpg:grpSpPr>
                              <a:xfrm>
                                <a:off x="0" y="0"/>
                                <a:ext cx="1763522" cy="204216"/>
                                <a:chOff x="0" y="0"/>
                                <a:chExt cx="1763522" cy="204216"/>
                              </a:xfrm>
                            </wpg:grpSpPr>
                            <wps:wsp>
                              <wps:cNvPr id="72327" name="Shape 72327"/>
                              <wps:cNvSpPr/>
                              <wps:spPr>
                                <a:xfrm>
                                  <a:off x="0" y="0"/>
                                  <a:ext cx="1763522" cy="9144"/>
                                </a:xfrm>
                                <a:custGeom>
                                  <a:avLst/>
                                  <a:gdLst/>
                                  <a:ahLst/>
                                  <a:cxnLst/>
                                  <a:rect l="0" t="0" r="0" b="0"/>
                                  <a:pathLst>
                                    <a:path w="1763522" h="9144">
                                      <a:moveTo>
                                        <a:pt x="0" y="0"/>
                                      </a:moveTo>
                                      <a:lnTo>
                                        <a:pt x="1763522" y="0"/>
                                      </a:lnTo>
                                      <a:lnTo>
                                        <a:pt x="17635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28" name="Shape 72328"/>
                              <wps:cNvSpPr/>
                              <wps:spPr>
                                <a:xfrm>
                                  <a:off x="0" y="198120"/>
                                  <a:ext cx="1763522" cy="9144"/>
                                </a:xfrm>
                                <a:custGeom>
                                  <a:avLst/>
                                  <a:gdLst/>
                                  <a:ahLst/>
                                  <a:cxnLst/>
                                  <a:rect l="0" t="0" r="0" b="0"/>
                                  <a:pathLst>
                                    <a:path w="1763522" h="9144">
                                      <a:moveTo>
                                        <a:pt x="0" y="0"/>
                                      </a:moveTo>
                                      <a:lnTo>
                                        <a:pt x="1763522" y="0"/>
                                      </a:lnTo>
                                      <a:lnTo>
                                        <a:pt x="17635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66102" style="width:138.86pt;height:16.08pt;position:absolute;z-index:-2147483604;mso-position-horizontal-relative:text;mso-position-horizontal:absolute;margin-left:-1.68002pt;mso-position-vertical-relative:text;margin-top:-0.603401pt;" coordsize="17635,2042">
                      <v:shape id="Shape 72329" style="position:absolute;width:17635;height:91;left:0;top:0;" coordsize="1763522,9144" path="m0,0l1763522,0l1763522,9144l0,9144l0,0">
                        <v:stroke weight="0pt" endcap="flat" joinstyle="miter" miterlimit="10" on="false" color="#000000" opacity="0"/>
                        <v:fill on="true" color="#000000"/>
                      </v:shape>
                      <v:shape id="Shape 72330" style="position:absolute;width:17635;height:91;left:0;top:1981;" coordsize="1763522,9144" path="m0,0l1763522,0l1763522,9144l0,9144l0,0">
                        <v:stroke weight="0pt" endcap="flat" joinstyle="miter" miterlimit="10" on="false" color="#000000" opacity="0"/>
                        <v:fill on="true" color="#000000"/>
                      </v:shape>
                    </v:group>
                  </w:pict>
                </mc:Fallback>
              </mc:AlternateContent>
            </w:r>
            <w:r>
              <w:rPr>
                <w:b/>
              </w:rPr>
              <w:t>Degree of Freedom (</w:t>
            </w:r>
            <w:r>
              <w:t>df</w:t>
            </w:r>
            <w:r>
              <w:rPr>
                <w:b/>
              </w:rPr>
              <w:t xml:space="preserve">) </w:t>
            </w:r>
          </w:p>
          <w:p w14:paraId="178B30C7" w14:textId="77777777" w:rsidR="00C70C1E" w:rsidRDefault="00AF67C6" w:rsidP="001342F0">
            <w:pPr>
              <w:spacing w:after="0" w:line="259" w:lineRule="auto"/>
              <w:ind w:left="65" w:right="0" w:hanging="10"/>
              <w:jc w:val="left"/>
            </w:pPr>
            <w:r>
              <w:t xml:space="preserve">1 </w:t>
            </w:r>
          </w:p>
        </w:tc>
      </w:tr>
      <w:tr w:rsidR="00C70C1E" w14:paraId="4579E1B2" w14:textId="77777777">
        <w:trPr>
          <w:trHeight w:val="292"/>
        </w:trPr>
        <w:tc>
          <w:tcPr>
            <w:tcW w:w="2444" w:type="dxa"/>
            <w:tcBorders>
              <w:top w:val="nil"/>
              <w:left w:val="nil"/>
              <w:bottom w:val="nil"/>
              <w:right w:val="nil"/>
            </w:tcBorders>
          </w:tcPr>
          <w:p w14:paraId="5BC22DD1" w14:textId="77777777" w:rsidR="00C70C1E" w:rsidRDefault="00AF67C6" w:rsidP="001342F0">
            <w:pPr>
              <w:spacing w:after="0" w:line="259" w:lineRule="auto"/>
              <w:ind w:left="108" w:right="0" w:hanging="10"/>
              <w:jc w:val="left"/>
            </w:pPr>
            <w:r>
              <w:t xml:space="preserve">Drought  </w:t>
            </w:r>
          </w:p>
        </w:tc>
        <w:tc>
          <w:tcPr>
            <w:tcW w:w="2338" w:type="dxa"/>
            <w:tcBorders>
              <w:top w:val="nil"/>
              <w:left w:val="nil"/>
              <w:bottom w:val="nil"/>
              <w:right w:val="nil"/>
            </w:tcBorders>
          </w:tcPr>
          <w:p w14:paraId="4364A1B0" w14:textId="77777777" w:rsidR="00C70C1E" w:rsidRDefault="00AF67C6" w:rsidP="001342F0">
            <w:pPr>
              <w:spacing w:after="0" w:line="259" w:lineRule="auto"/>
              <w:ind w:right="0" w:hanging="10"/>
              <w:jc w:val="left"/>
            </w:pPr>
            <w:r>
              <w:t xml:space="preserve">216.02 </w:t>
            </w:r>
          </w:p>
        </w:tc>
        <w:tc>
          <w:tcPr>
            <w:tcW w:w="1827" w:type="dxa"/>
            <w:tcBorders>
              <w:top w:val="nil"/>
              <w:left w:val="nil"/>
              <w:bottom w:val="nil"/>
              <w:right w:val="nil"/>
            </w:tcBorders>
          </w:tcPr>
          <w:p w14:paraId="069BB2F6" w14:textId="77777777" w:rsidR="00C70C1E" w:rsidRDefault="00AF67C6" w:rsidP="001342F0">
            <w:pPr>
              <w:spacing w:after="0" w:line="259" w:lineRule="auto"/>
              <w:ind w:right="0" w:hanging="10"/>
              <w:jc w:val="left"/>
            </w:pPr>
            <w:r>
              <w:t xml:space="preserve">0.0000 </w:t>
            </w:r>
          </w:p>
        </w:tc>
        <w:tc>
          <w:tcPr>
            <w:tcW w:w="2744" w:type="dxa"/>
            <w:tcBorders>
              <w:top w:val="nil"/>
              <w:left w:val="nil"/>
              <w:bottom w:val="nil"/>
              <w:right w:val="nil"/>
            </w:tcBorders>
          </w:tcPr>
          <w:p w14:paraId="1E2D2890" w14:textId="77777777" w:rsidR="00C70C1E" w:rsidRDefault="00AF67C6" w:rsidP="001342F0">
            <w:pPr>
              <w:spacing w:after="0" w:line="259" w:lineRule="auto"/>
              <w:ind w:left="65" w:right="0" w:hanging="10"/>
              <w:jc w:val="left"/>
            </w:pPr>
            <w:r>
              <w:t xml:space="preserve">1 </w:t>
            </w:r>
          </w:p>
        </w:tc>
      </w:tr>
      <w:tr w:rsidR="00C70C1E" w14:paraId="407E21A7" w14:textId="77777777">
        <w:trPr>
          <w:trHeight w:val="292"/>
        </w:trPr>
        <w:tc>
          <w:tcPr>
            <w:tcW w:w="2444" w:type="dxa"/>
            <w:tcBorders>
              <w:top w:val="nil"/>
              <w:left w:val="nil"/>
              <w:bottom w:val="nil"/>
              <w:right w:val="nil"/>
            </w:tcBorders>
          </w:tcPr>
          <w:p w14:paraId="6FD44B25" w14:textId="77777777" w:rsidR="00C70C1E" w:rsidRDefault="00AF67C6" w:rsidP="001342F0">
            <w:pPr>
              <w:spacing w:after="0" w:line="259" w:lineRule="auto"/>
              <w:ind w:left="108" w:right="0" w:hanging="10"/>
              <w:jc w:val="left"/>
            </w:pPr>
            <w:r>
              <w:t xml:space="preserve">Floods  </w:t>
            </w:r>
          </w:p>
        </w:tc>
        <w:tc>
          <w:tcPr>
            <w:tcW w:w="2338" w:type="dxa"/>
            <w:tcBorders>
              <w:top w:val="nil"/>
              <w:left w:val="nil"/>
              <w:bottom w:val="nil"/>
              <w:right w:val="nil"/>
            </w:tcBorders>
          </w:tcPr>
          <w:p w14:paraId="3E53B058" w14:textId="77777777" w:rsidR="00C70C1E" w:rsidRDefault="00AF67C6" w:rsidP="001342F0">
            <w:pPr>
              <w:spacing w:after="0" w:line="259" w:lineRule="auto"/>
              <w:ind w:right="0" w:hanging="10"/>
              <w:jc w:val="left"/>
            </w:pPr>
            <w:r>
              <w:t xml:space="preserve">208.16 </w:t>
            </w:r>
          </w:p>
        </w:tc>
        <w:tc>
          <w:tcPr>
            <w:tcW w:w="1827" w:type="dxa"/>
            <w:tcBorders>
              <w:top w:val="nil"/>
              <w:left w:val="nil"/>
              <w:bottom w:val="nil"/>
              <w:right w:val="nil"/>
            </w:tcBorders>
          </w:tcPr>
          <w:p w14:paraId="2BA0FB02" w14:textId="77777777" w:rsidR="00C70C1E" w:rsidRDefault="00AF67C6" w:rsidP="001342F0">
            <w:pPr>
              <w:spacing w:after="0" w:line="259" w:lineRule="auto"/>
              <w:ind w:right="0" w:hanging="10"/>
              <w:jc w:val="left"/>
            </w:pPr>
            <w:r>
              <w:t xml:space="preserve">0.0000 </w:t>
            </w:r>
          </w:p>
        </w:tc>
        <w:tc>
          <w:tcPr>
            <w:tcW w:w="2744" w:type="dxa"/>
            <w:tcBorders>
              <w:top w:val="nil"/>
              <w:left w:val="nil"/>
              <w:bottom w:val="nil"/>
              <w:right w:val="nil"/>
            </w:tcBorders>
          </w:tcPr>
          <w:p w14:paraId="59CA49CD" w14:textId="77777777" w:rsidR="00C70C1E" w:rsidRDefault="00AF67C6" w:rsidP="001342F0">
            <w:pPr>
              <w:spacing w:after="0" w:line="259" w:lineRule="auto"/>
              <w:ind w:left="65" w:right="0" w:hanging="10"/>
              <w:jc w:val="left"/>
            </w:pPr>
            <w:r>
              <w:t xml:space="preserve">1 </w:t>
            </w:r>
          </w:p>
        </w:tc>
      </w:tr>
      <w:tr w:rsidR="00C70C1E" w14:paraId="5ABC1AE5" w14:textId="77777777">
        <w:trPr>
          <w:trHeight w:val="267"/>
        </w:trPr>
        <w:tc>
          <w:tcPr>
            <w:tcW w:w="2444" w:type="dxa"/>
            <w:tcBorders>
              <w:top w:val="nil"/>
              <w:left w:val="nil"/>
              <w:bottom w:val="nil"/>
              <w:right w:val="nil"/>
            </w:tcBorders>
          </w:tcPr>
          <w:p w14:paraId="41DDD7E3" w14:textId="77777777" w:rsidR="00C70C1E" w:rsidRDefault="00AF67C6" w:rsidP="001342F0">
            <w:pPr>
              <w:spacing w:after="0" w:line="259" w:lineRule="auto"/>
              <w:ind w:left="108" w:right="0" w:hanging="10"/>
              <w:jc w:val="left"/>
            </w:pPr>
            <w:r>
              <w:t xml:space="preserve">Temperature </w:t>
            </w:r>
          </w:p>
        </w:tc>
        <w:tc>
          <w:tcPr>
            <w:tcW w:w="2338" w:type="dxa"/>
            <w:tcBorders>
              <w:top w:val="nil"/>
              <w:left w:val="nil"/>
              <w:bottom w:val="nil"/>
              <w:right w:val="nil"/>
            </w:tcBorders>
          </w:tcPr>
          <w:p w14:paraId="76AFFF98" w14:textId="77777777" w:rsidR="00C70C1E" w:rsidRDefault="00AF67C6" w:rsidP="001342F0">
            <w:pPr>
              <w:spacing w:after="0" w:line="259" w:lineRule="auto"/>
              <w:ind w:right="0" w:hanging="10"/>
              <w:jc w:val="left"/>
            </w:pPr>
            <w:r>
              <w:t xml:space="preserve">208.16 </w:t>
            </w:r>
          </w:p>
        </w:tc>
        <w:tc>
          <w:tcPr>
            <w:tcW w:w="1827" w:type="dxa"/>
            <w:tcBorders>
              <w:top w:val="nil"/>
              <w:left w:val="nil"/>
              <w:bottom w:val="nil"/>
              <w:right w:val="nil"/>
            </w:tcBorders>
          </w:tcPr>
          <w:p w14:paraId="58ED6C25" w14:textId="77777777" w:rsidR="00C70C1E" w:rsidRDefault="00AF67C6" w:rsidP="001342F0">
            <w:pPr>
              <w:spacing w:after="0" w:line="259" w:lineRule="auto"/>
              <w:ind w:right="0" w:hanging="10"/>
              <w:jc w:val="left"/>
            </w:pPr>
            <w:r>
              <w:t xml:space="preserve">0.0000 </w:t>
            </w:r>
          </w:p>
        </w:tc>
        <w:tc>
          <w:tcPr>
            <w:tcW w:w="2744" w:type="dxa"/>
            <w:tcBorders>
              <w:top w:val="nil"/>
              <w:left w:val="nil"/>
              <w:bottom w:val="nil"/>
              <w:right w:val="nil"/>
            </w:tcBorders>
          </w:tcPr>
          <w:p w14:paraId="275AA015" w14:textId="77777777" w:rsidR="00C70C1E" w:rsidRDefault="00AF67C6" w:rsidP="001342F0">
            <w:pPr>
              <w:spacing w:after="0" w:line="259" w:lineRule="auto"/>
              <w:ind w:left="65" w:right="0" w:hanging="10"/>
              <w:jc w:val="left"/>
            </w:pPr>
            <w:r>
              <w:t xml:space="preserve">1 </w:t>
            </w:r>
          </w:p>
        </w:tc>
      </w:tr>
    </w:tbl>
    <w:p w14:paraId="7D60B827" w14:textId="77777777" w:rsidR="00C70C1E" w:rsidRDefault="00AF67C6" w:rsidP="001342F0">
      <w:pPr>
        <w:spacing w:after="2" w:line="259" w:lineRule="auto"/>
        <w:ind w:left="31" w:right="0" w:hanging="10"/>
        <w:jc w:val="left"/>
      </w:pPr>
      <w:r>
        <w:rPr>
          <w:rFonts w:ascii="Calibri" w:eastAsia="Calibri" w:hAnsi="Calibri" w:cs="Calibri"/>
          <w:noProof/>
        </w:rPr>
        <mc:AlternateContent>
          <mc:Choice Requires="wpg">
            <w:drawing>
              <wp:inline distT="0" distB="0" distL="0" distR="0" wp14:anchorId="3CD6E8E5" wp14:editId="1BB169D1">
                <wp:extent cx="5938342" cy="6096"/>
                <wp:effectExtent l="0" t="0" r="0" b="0"/>
                <wp:docPr id="65036" name="Group 65036"/>
                <wp:cNvGraphicFramePr/>
                <a:graphic xmlns:a="http://schemas.openxmlformats.org/drawingml/2006/main">
                  <a:graphicData uri="http://schemas.microsoft.com/office/word/2010/wordprocessingGroup">
                    <wpg:wgp>
                      <wpg:cNvGrpSpPr/>
                      <wpg:grpSpPr>
                        <a:xfrm>
                          <a:off x="0" y="0"/>
                          <a:ext cx="5938342" cy="6096"/>
                          <a:chOff x="0" y="0"/>
                          <a:chExt cx="5938342" cy="6096"/>
                        </a:xfrm>
                      </wpg:grpSpPr>
                      <wps:wsp>
                        <wps:cNvPr id="72331" name="Shape 72331"/>
                        <wps:cNvSpPr/>
                        <wps:spPr>
                          <a:xfrm>
                            <a:off x="0" y="0"/>
                            <a:ext cx="1484376" cy="9144"/>
                          </a:xfrm>
                          <a:custGeom>
                            <a:avLst/>
                            <a:gdLst/>
                            <a:ahLst/>
                            <a:cxnLst/>
                            <a:rect l="0" t="0" r="0" b="0"/>
                            <a:pathLst>
                              <a:path w="1484376" h="9144">
                                <a:moveTo>
                                  <a:pt x="0" y="0"/>
                                </a:moveTo>
                                <a:lnTo>
                                  <a:pt x="1484376" y="0"/>
                                </a:lnTo>
                                <a:lnTo>
                                  <a:pt x="14843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32" name="Shape 72332"/>
                        <wps:cNvSpPr/>
                        <wps:spPr>
                          <a:xfrm>
                            <a:off x="148432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33" name="Shape 72333"/>
                        <wps:cNvSpPr/>
                        <wps:spPr>
                          <a:xfrm>
                            <a:off x="1490421" y="0"/>
                            <a:ext cx="1478534" cy="9144"/>
                          </a:xfrm>
                          <a:custGeom>
                            <a:avLst/>
                            <a:gdLst/>
                            <a:ahLst/>
                            <a:cxnLst/>
                            <a:rect l="0" t="0" r="0" b="0"/>
                            <a:pathLst>
                              <a:path w="1478534" h="9144">
                                <a:moveTo>
                                  <a:pt x="0" y="0"/>
                                </a:moveTo>
                                <a:lnTo>
                                  <a:pt x="1478534" y="0"/>
                                </a:lnTo>
                                <a:lnTo>
                                  <a:pt x="1478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34" name="Shape 72334"/>
                        <wps:cNvSpPr/>
                        <wps:spPr>
                          <a:xfrm>
                            <a:off x="296908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35" name="Shape 72335"/>
                        <wps:cNvSpPr/>
                        <wps:spPr>
                          <a:xfrm>
                            <a:off x="2975178" y="0"/>
                            <a:ext cx="1193597" cy="9144"/>
                          </a:xfrm>
                          <a:custGeom>
                            <a:avLst/>
                            <a:gdLst/>
                            <a:ahLst/>
                            <a:cxnLst/>
                            <a:rect l="0" t="0" r="0" b="0"/>
                            <a:pathLst>
                              <a:path w="1193597" h="9144">
                                <a:moveTo>
                                  <a:pt x="0" y="0"/>
                                </a:moveTo>
                                <a:lnTo>
                                  <a:pt x="1193597" y="0"/>
                                </a:lnTo>
                                <a:lnTo>
                                  <a:pt x="119359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36" name="Shape 72336"/>
                        <wps:cNvSpPr/>
                        <wps:spPr>
                          <a:xfrm>
                            <a:off x="416872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2337" name="Shape 72337"/>
                        <wps:cNvSpPr/>
                        <wps:spPr>
                          <a:xfrm>
                            <a:off x="4174820" y="0"/>
                            <a:ext cx="1763522" cy="9144"/>
                          </a:xfrm>
                          <a:custGeom>
                            <a:avLst/>
                            <a:gdLst/>
                            <a:ahLst/>
                            <a:cxnLst/>
                            <a:rect l="0" t="0" r="0" b="0"/>
                            <a:pathLst>
                              <a:path w="1763522" h="9144">
                                <a:moveTo>
                                  <a:pt x="0" y="0"/>
                                </a:moveTo>
                                <a:lnTo>
                                  <a:pt x="1763522" y="0"/>
                                </a:lnTo>
                                <a:lnTo>
                                  <a:pt x="176352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65036" style="width:467.586pt;height:0.47998pt;mso-position-horizontal-relative:char;mso-position-vertical-relative:line" coordsize="59383,60">
                <v:shape id="Shape 72338" style="position:absolute;width:14843;height:91;left:0;top:0;" coordsize="1484376,9144" path="m0,0l1484376,0l1484376,9144l0,9144l0,0">
                  <v:stroke weight="0pt" endcap="flat" joinstyle="miter" miterlimit="10" on="false" color="#000000" opacity="0"/>
                  <v:fill on="true" color="#000000"/>
                </v:shape>
                <v:shape id="Shape 72339" style="position:absolute;width:91;height:91;left:14843;top:0;" coordsize="9144,9144" path="m0,0l9144,0l9144,9144l0,9144l0,0">
                  <v:stroke weight="0pt" endcap="flat" joinstyle="miter" miterlimit="10" on="false" color="#000000" opacity="0"/>
                  <v:fill on="true" color="#000000"/>
                </v:shape>
                <v:shape id="Shape 72340" style="position:absolute;width:14785;height:91;left:14904;top:0;" coordsize="1478534,9144" path="m0,0l1478534,0l1478534,9144l0,9144l0,0">
                  <v:stroke weight="0pt" endcap="flat" joinstyle="miter" miterlimit="10" on="false" color="#000000" opacity="0"/>
                  <v:fill on="true" color="#000000"/>
                </v:shape>
                <v:shape id="Shape 72341" style="position:absolute;width:91;height:91;left:29690;top:0;" coordsize="9144,9144" path="m0,0l9144,0l9144,9144l0,9144l0,0">
                  <v:stroke weight="0pt" endcap="flat" joinstyle="miter" miterlimit="10" on="false" color="#000000" opacity="0"/>
                  <v:fill on="true" color="#000000"/>
                </v:shape>
                <v:shape id="Shape 72342" style="position:absolute;width:11935;height:91;left:29751;top:0;" coordsize="1193597,9144" path="m0,0l1193597,0l1193597,9144l0,9144l0,0">
                  <v:stroke weight="0pt" endcap="flat" joinstyle="miter" miterlimit="10" on="false" color="#000000" opacity="0"/>
                  <v:fill on="true" color="#000000"/>
                </v:shape>
                <v:shape id="Shape 72343" style="position:absolute;width:91;height:91;left:41687;top:0;" coordsize="9144,9144" path="m0,0l9144,0l9144,9144l0,9144l0,0">
                  <v:stroke weight="0pt" endcap="flat" joinstyle="miter" miterlimit="10" on="false" color="#000000" opacity="0"/>
                  <v:fill on="true" color="#000000"/>
                </v:shape>
                <v:shape id="Shape 72344" style="position:absolute;width:17635;height:91;left:41748;top:0;" coordsize="1763522,9144" path="m0,0l1763522,0l1763522,9144l0,9144l0,0">
                  <v:stroke weight="0pt" endcap="flat" joinstyle="miter" miterlimit="10" on="false" color="#000000" opacity="0"/>
                  <v:fill on="true" color="#000000"/>
                </v:shape>
              </v:group>
            </w:pict>
          </mc:Fallback>
        </mc:AlternateContent>
      </w:r>
    </w:p>
    <w:p w14:paraId="02859EC4" w14:textId="77777777" w:rsidR="00C70C1E" w:rsidRDefault="00AF67C6" w:rsidP="001342F0">
      <w:pPr>
        <w:spacing w:after="4" w:line="285" w:lineRule="auto"/>
        <w:ind w:left="139" w:right="140" w:hanging="10"/>
      </w:pPr>
      <w:r>
        <w:rPr>
          <w:b/>
          <w:i/>
        </w:rPr>
        <w:t>Interpretation Note</w:t>
      </w:r>
      <w:r>
        <w:rPr>
          <w:i/>
        </w:rPr>
        <w:t>: All variables yielded statistically significant results (p&lt;0.05), indicating that the observed patterns in farmers’ responses were not due to chance. Rainfall and drought were uniformly high while temperature was barely perceived as having changed. This shows that farmers were acutely responsive to rainfall-related variability but less observant of temperature shifts.</w:t>
      </w:r>
      <w:r>
        <w:t xml:space="preserve"> </w:t>
      </w:r>
    </w:p>
    <w:p w14:paraId="5B287C93" w14:textId="77777777" w:rsidR="00C70C1E" w:rsidRDefault="00AF67C6" w:rsidP="001342F0">
      <w:pPr>
        <w:spacing w:after="7" w:line="259" w:lineRule="auto"/>
        <w:ind w:left="31" w:right="0" w:hanging="10"/>
        <w:jc w:val="left"/>
      </w:pPr>
      <w:r>
        <w:rPr>
          <w:rFonts w:ascii="Calibri" w:eastAsia="Calibri" w:hAnsi="Calibri" w:cs="Calibri"/>
          <w:noProof/>
        </w:rPr>
        <mc:AlternateContent>
          <mc:Choice Requires="wpg">
            <w:drawing>
              <wp:inline distT="0" distB="0" distL="0" distR="0" wp14:anchorId="00353B7D" wp14:editId="1537E59B">
                <wp:extent cx="5938393" cy="6096"/>
                <wp:effectExtent l="0" t="0" r="0" b="0"/>
                <wp:docPr id="65037" name="Group 65037"/>
                <wp:cNvGraphicFramePr/>
                <a:graphic xmlns:a="http://schemas.openxmlformats.org/drawingml/2006/main">
                  <a:graphicData uri="http://schemas.microsoft.com/office/word/2010/wordprocessingGroup">
                    <wpg:wgp>
                      <wpg:cNvGrpSpPr/>
                      <wpg:grpSpPr>
                        <a:xfrm>
                          <a:off x="0" y="0"/>
                          <a:ext cx="5938393" cy="6096"/>
                          <a:chOff x="0" y="0"/>
                          <a:chExt cx="5938393" cy="6096"/>
                        </a:xfrm>
                      </wpg:grpSpPr>
                      <wps:wsp>
                        <wps:cNvPr id="72345" name="Shape 72345"/>
                        <wps:cNvSpPr/>
                        <wps:spPr>
                          <a:xfrm>
                            <a:off x="0" y="0"/>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65037" style="width:467.59pt;height:0.47998pt;mso-position-horizontal-relative:char;mso-position-vertical-relative:line" coordsize="59383,60">
                <v:shape id="Shape 72346" style="position:absolute;width:59383;height:91;left:0;top:0;" coordsize="5938393,9144" path="m0,0l5938393,0l5938393,9144l0,9144l0,0">
                  <v:stroke weight="0pt" endcap="flat" joinstyle="miter" miterlimit="10" on="false" color="#000000" opacity="0"/>
                  <v:fill on="true" color="#000000"/>
                </v:shape>
              </v:group>
            </w:pict>
          </mc:Fallback>
        </mc:AlternateContent>
      </w:r>
    </w:p>
    <w:p w14:paraId="3B3FF629" w14:textId="77777777" w:rsidR="00C70C1E" w:rsidRDefault="00AF67C6" w:rsidP="001342F0">
      <w:pPr>
        <w:spacing w:after="14" w:line="259" w:lineRule="auto"/>
        <w:ind w:left="139" w:right="0" w:hanging="10"/>
        <w:jc w:val="left"/>
      </w:pPr>
      <w:r>
        <w:rPr>
          <w:b/>
        </w:rPr>
        <w:t xml:space="preserve"> </w:t>
      </w:r>
    </w:p>
    <w:p w14:paraId="1FD35CD0" w14:textId="77777777" w:rsidR="00C70C1E" w:rsidRDefault="00AF67C6" w:rsidP="001342F0">
      <w:pPr>
        <w:pStyle w:val="Heading2"/>
        <w:spacing w:after="0"/>
        <w:ind w:left="149" w:right="0"/>
      </w:pPr>
      <w:r>
        <w:t xml:space="preserve">Chi-square test output for all climate variables </w:t>
      </w:r>
    </w:p>
    <w:p w14:paraId="0A9C49D8" w14:textId="77777777" w:rsidR="00C70C1E" w:rsidRDefault="00AF67C6" w:rsidP="001342F0">
      <w:pPr>
        <w:spacing w:line="259" w:lineRule="auto"/>
        <w:ind w:left="31" w:right="0" w:hanging="10"/>
        <w:jc w:val="left"/>
      </w:pPr>
      <w:r>
        <w:rPr>
          <w:rFonts w:ascii="Calibri" w:eastAsia="Calibri" w:hAnsi="Calibri" w:cs="Calibri"/>
          <w:noProof/>
        </w:rPr>
        <mc:AlternateContent>
          <mc:Choice Requires="wpg">
            <w:drawing>
              <wp:inline distT="0" distB="0" distL="0" distR="0" wp14:anchorId="1C7031D2" wp14:editId="17340437">
                <wp:extent cx="5938393" cy="6096"/>
                <wp:effectExtent l="0" t="0" r="0" b="0"/>
                <wp:docPr id="65038" name="Group 65038"/>
                <wp:cNvGraphicFramePr/>
                <a:graphic xmlns:a="http://schemas.openxmlformats.org/drawingml/2006/main">
                  <a:graphicData uri="http://schemas.microsoft.com/office/word/2010/wordprocessingGroup">
                    <wpg:wgp>
                      <wpg:cNvGrpSpPr/>
                      <wpg:grpSpPr>
                        <a:xfrm>
                          <a:off x="0" y="0"/>
                          <a:ext cx="5938393" cy="6096"/>
                          <a:chOff x="0" y="0"/>
                          <a:chExt cx="5938393" cy="6096"/>
                        </a:xfrm>
                      </wpg:grpSpPr>
                      <wps:wsp>
                        <wps:cNvPr id="72347" name="Shape 72347"/>
                        <wps:cNvSpPr/>
                        <wps:spPr>
                          <a:xfrm>
                            <a:off x="0" y="0"/>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65038" style="width:467.59pt;height:0.47998pt;mso-position-horizontal-relative:char;mso-position-vertical-relative:line" coordsize="59383,60">
                <v:shape id="Shape 72348" style="position:absolute;width:59383;height:91;left:0;top:0;" coordsize="5938393,9144" path="m0,0l5938393,0l5938393,9144l0,9144l0,0">
                  <v:stroke weight="0pt" endcap="flat" joinstyle="miter" miterlimit="10" on="false" color="#000000" opacity="0"/>
                  <v:fill on="true" color="#000000"/>
                </v:shape>
              </v:group>
            </w:pict>
          </mc:Fallback>
        </mc:AlternateContent>
      </w:r>
    </w:p>
    <w:p w14:paraId="28C99260" w14:textId="77777777" w:rsidR="00C70C1E" w:rsidRDefault="00AF67C6" w:rsidP="001342F0">
      <w:pPr>
        <w:ind w:left="139" w:right="0" w:hanging="10"/>
      </w:pPr>
      <w:r>
        <w:t>Chi-Square (</w:t>
      </w:r>
      <w:r>
        <w:rPr>
          <w:i/>
        </w:rPr>
        <w:t>χ²).</w:t>
      </w:r>
      <w:r>
        <w:t xml:space="preserve">    Degrees of Freedom (</w:t>
      </w:r>
      <w:r>
        <w:rPr>
          <w:i/>
        </w:rPr>
        <w:t>df</w:t>
      </w:r>
      <w:r>
        <w:t xml:space="preserve">).        p-value                         Significance Level  </w:t>
      </w:r>
    </w:p>
    <w:p w14:paraId="58013B79" w14:textId="77777777" w:rsidR="00C70C1E" w:rsidRDefault="00AF67C6" w:rsidP="001342F0">
      <w:pPr>
        <w:spacing w:after="46" w:line="259" w:lineRule="auto"/>
        <w:ind w:left="31" w:right="0" w:hanging="10"/>
        <w:jc w:val="left"/>
      </w:pPr>
      <w:r>
        <w:rPr>
          <w:rFonts w:ascii="Calibri" w:eastAsia="Calibri" w:hAnsi="Calibri" w:cs="Calibri"/>
          <w:noProof/>
        </w:rPr>
        <mc:AlternateContent>
          <mc:Choice Requires="wpg">
            <w:drawing>
              <wp:inline distT="0" distB="0" distL="0" distR="0" wp14:anchorId="41925D24" wp14:editId="270BF988">
                <wp:extent cx="5938393" cy="6096"/>
                <wp:effectExtent l="0" t="0" r="0" b="0"/>
                <wp:docPr id="65039" name="Group 65039"/>
                <wp:cNvGraphicFramePr/>
                <a:graphic xmlns:a="http://schemas.openxmlformats.org/drawingml/2006/main">
                  <a:graphicData uri="http://schemas.microsoft.com/office/word/2010/wordprocessingGroup">
                    <wpg:wgp>
                      <wpg:cNvGrpSpPr/>
                      <wpg:grpSpPr>
                        <a:xfrm>
                          <a:off x="0" y="0"/>
                          <a:ext cx="5938393" cy="6096"/>
                          <a:chOff x="0" y="0"/>
                          <a:chExt cx="5938393" cy="6096"/>
                        </a:xfrm>
                      </wpg:grpSpPr>
                      <wps:wsp>
                        <wps:cNvPr id="72349" name="Shape 72349"/>
                        <wps:cNvSpPr/>
                        <wps:spPr>
                          <a:xfrm>
                            <a:off x="0" y="0"/>
                            <a:ext cx="5938393" cy="9144"/>
                          </a:xfrm>
                          <a:custGeom>
                            <a:avLst/>
                            <a:gdLst/>
                            <a:ahLst/>
                            <a:cxnLst/>
                            <a:rect l="0" t="0" r="0" b="0"/>
                            <a:pathLst>
                              <a:path w="5938393" h="9144">
                                <a:moveTo>
                                  <a:pt x="0" y="0"/>
                                </a:moveTo>
                                <a:lnTo>
                                  <a:pt x="5938393" y="0"/>
                                </a:lnTo>
                                <a:lnTo>
                                  <a:pt x="593839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id="Group 65039" style="width:467.59pt;height:0.47998pt;mso-position-horizontal-relative:char;mso-position-vertical-relative:line" coordsize="59383,60">
                <v:shape id="Shape 72350" style="position:absolute;width:59383;height:91;left:0;top:0;" coordsize="5938393,9144" path="m0,0l5938393,0l5938393,9144l0,9144l0,0">
                  <v:stroke weight="0pt" endcap="flat" joinstyle="miter" miterlimit="10" on="false" color="#000000" opacity="0"/>
                  <v:fill on="true" color="#000000"/>
                </v:shape>
              </v:group>
            </w:pict>
          </mc:Fallback>
        </mc:AlternateContent>
      </w:r>
    </w:p>
    <w:p w14:paraId="74F479BF" w14:textId="28D6E66F" w:rsidR="00C70C1E" w:rsidRDefault="00AF67C6" w:rsidP="00297ECE">
      <w:pPr>
        <w:ind w:left="139" w:right="0" w:hanging="10"/>
      </w:pPr>
      <w:r>
        <w:t xml:space="preserve">429.43                                            3                &lt; 0.001 (9.33 × 10⁻⁹³).                α = 0.05 </w:t>
      </w:r>
    </w:p>
    <w:p w14:paraId="16EFB09E" w14:textId="77777777" w:rsidR="00A91EB8" w:rsidRDefault="00A91EB8" w:rsidP="00297ECE">
      <w:pPr>
        <w:ind w:left="139" w:right="0" w:hanging="10"/>
      </w:pPr>
    </w:p>
    <w:p w14:paraId="259E0959" w14:textId="77777777" w:rsidR="00A91EB8" w:rsidRDefault="00A91EB8" w:rsidP="00297ECE">
      <w:pPr>
        <w:ind w:left="139" w:right="0" w:hanging="10"/>
      </w:pPr>
    </w:p>
    <w:tbl>
      <w:tblPr>
        <w:tblStyle w:val="TableGrid"/>
        <w:tblW w:w="8298" w:type="dxa"/>
        <w:jc w:val="center"/>
        <w:tblInd w:w="0" w:type="dxa"/>
        <w:tblCellMar>
          <w:top w:w="7" w:type="dxa"/>
          <w:left w:w="168" w:type="dxa"/>
          <w:right w:w="113" w:type="dxa"/>
        </w:tblCellMar>
        <w:tblLook w:val="04A0" w:firstRow="1" w:lastRow="0" w:firstColumn="1" w:lastColumn="0" w:noHBand="0" w:noVBand="1"/>
      </w:tblPr>
      <w:tblGrid>
        <w:gridCol w:w="802"/>
        <w:gridCol w:w="1299"/>
        <w:gridCol w:w="1334"/>
        <w:gridCol w:w="1054"/>
        <w:gridCol w:w="1601"/>
        <w:gridCol w:w="2208"/>
      </w:tblGrid>
      <w:tr w:rsidR="00C70C1E" w14:paraId="14776AB7" w14:textId="77777777" w:rsidTr="000D78E2">
        <w:trPr>
          <w:trHeight w:val="261"/>
          <w:jc w:val="center"/>
        </w:trPr>
        <w:tc>
          <w:tcPr>
            <w:tcW w:w="6090" w:type="dxa"/>
            <w:gridSpan w:val="5"/>
            <w:tcBorders>
              <w:top w:val="single" w:sz="4" w:space="0" w:color="000000"/>
              <w:left w:val="single" w:sz="4" w:space="0" w:color="000000"/>
              <w:bottom w:val="single" w:sz="4" w:space="0" w:color="000000"/>
              <w:right w:val="nil"/>
            </w:tcBorders>
            <w:vAlign w:val="center"/>
          </w:tcPr>
          <w:p w14:paraId="61EF9C88" w14:textId="2A47638E" w:rsidR="00C70C1E" w:rsidRDefault="00AF67C6" w:rsidP="001342F0">
            <w:pPr>
              <w:spacing w:after="0" w:line="259" w:lineRule="auto"/>
              <w:ind w:right="0" w:hanging="10"/>
              <w:jc w:val="left"/>
            </w:pPr>
            <w:r>
              <w:rPr>
                <w:b/>
              </w:rPr>
              <w:lastRenderedPageBreak/>
              <w:t xml:space="preserve">Table 10: </w:t>
            </w:r>
            <w:r w:rsidR="000F1C2F" w:rsidRPr="000F1C2F">
              <w:t>Effects of changes in climate variables on crop yield</w:t>
            </w:r>
          </w:p>
        </w:tc>
        <w:tc>
          <w:tcPr>
            <w:tcW w:w="2209" w:type="dxa"/>
            <w:tcBorders>
              <w:top w:val="single" w:sz="4" w:space="0" w:color="000000"/>
              <w:left w:val="nil"/>
              <w:bottom w:val="single" w:sz="4" w:space="0" w:color="000000"/>
              <w:right w:val="single" w:sz="4" w:space="0" w:color="000000"/>
            </w:tcBorders>
          </w:tcPr>
          <w:p w14:paraId="4054E8E5" w14:textId="77777777" w:rsidR="00C70C1E" w:rsidRDefault="00C70C1E" w:rsidP="001342F0">
            <w:pPr>
              <w:spacing w:after="160" w:line="259" w:lineRule="auto"/>
              <w:ind w:right="0" w:hanging="10"/>
              <w:jc w:val="left"/>
            </w:pPr>
          </w:p>
        </w:tc>
      </w:tr>
      <w:tr w:rsidR="00C70C1E" w14:paraId="7E1C72E1" w14:textId="77777777" w:rsidTr="000D78E2">
        <w:trPr>
          <w:trHeight w:val="239"/>
          <w:jc w:val="center"/>
        </w:trPr>
        <w:tc>
          <w:tcPr>
            <w:tcW w:w="2101" w:type="dxa"/>
            <w:gridSpan w:val="2"/>
            <w:tcBorders>
              <w:top w:val="single" w:sz="4" w:space="0" w:color="000000"/>
              <w:left w:val="single" w:sz="4" w:space="0" w:color="000000"/>
              <w:bottom w:val="single" w:sz="4" w:space="0" w:color="000000"/>
              <w:right w:val="single" w:sz="4" w:space="0" w:color="000000"/>
            </w:tcBorders>
            <w:vAlign w:val="center"/>
          </w:tcPr>
          <w:p w14:paraId="4445B9EF" w14:textId="77777777" w:rsidR="00C70C1E" w:rsidRDefault="00AF67C6" w:rsidP="001342F0">
            <w:pPr>
              <w:spacing w:after="0" w:line="240" w:lineRule="auto"/>
              <w:ind w:right="0" w:hanging="10"/>
              <w:jc w:val="left"/>
            </w:pPr>
            <w:r>
              <w:t xml:space="preserve"> </w:t>
            </w:r>
          </w:p>
        </w:tc>
        <w:tc>
          <w:tcPr>
            <w:tcW w:w="1334" w:type="dxa"/>
            <w:tcBorders>
              <w:top w:val="single" w:sz="4" w:space="0" w:color="000000"/>
              <w:left w:val="single" w:sz="4" w:space="0" w:color="000000"/>
              <w:bottom w:val="single" w:sz="4" w:space="0" w:color="000000"/>
              <w:right w:val="single" w:sz="4" w:space="0" w:color="000000"/>
            </w:tcBorders>
            <w:vAlign w:val="center"/>
          </w:tcPr>
          <w:p w14:paraId="41FADC4B" w14:textId="77777777" w:rsidR="00C70C1E" w:rsidRDefault="00AF67C6" w:rsidP="001342F0">
            <w:pPr>
              <w:spacing w:after="0" w:line="240" w:lineRule="auto"/>
              <w:ind w:right="0" w:hanging="10"/>
              <w:jc w:val="left"/>
            </w:pPr>
            <w:r>
              <w:rPr>
                <w:b/>
              </w:rPr>
              <w:t xml:space="preserve">Frequency </w:t>
            </w:r>
          </w:p>
        </w:tc>
        <w:tc>
          <w:tcPr>
            <w:tcW w:w="1054" w:type="dxa"/>
            <w:tcBorders>
              <w:top w:val="single" w:sz="4" w:space="0" w:color="000000"/>
              <w:left w:val="single" w:sz="4" w:space="0" w:color="000000"/>
              <w:bottom w:val="single" w:sz="4" w:space="0" w:color="000000"/>
              <w:right w:val="single" w:sz="4" w:space="0" w:color="000000"/>
            </w:tcBorders>
            <w:vAlign w:val="center"/>
          </w:tcPr>
          <w:p w14:paraId="4FE1F440" w14:textId="77777777" w:rsidR="00C70C1E" w:rsidRDefault="00AF67C6" w:rsidP="001342F0">
            <w:pPr>
              <w:spacing w:after="0" w:line="240" w:lineRule="auto"/>
              <w:ind w:right="0" w:hanging="10"/>
              <w:jc w:val="left"/>
            </w:pPr>
            <w:r>
              <w:rPr>
                <w:b/>
              </w:rPr>
              <w:t xml:space="preserve">Percent </w:t>
            </w:r>
          </w:p>
        </w:tc>
        <w:tc>
          <w:tcPr>
            <w:tcW w:w="1601" w:type="dxa"/>
            <w:tcBorders>
              <w:top w:val="single" w:sz="4" w:space="0" w:color="000000"/>
              <w:left w:val="single" w:sz="4" w:space="0" w:color="000000"/>
              <w:bottom w:val="single" w:sz="4" w:space="0" w:color="000000"/>
              <w:right w:val="single" w:sz="4" w:space="0" w:color="000000"/>
            </w:tcBorders>
            <w:vAlign w:val="center"/>
          </w:tcPr>
          <w:p w14:paraId="2A640E46" w14:textId="77777777" w:rsidR="00C70C1E" w:rsidRDefault="00AF67C6" w:rsidP="001342F0">
            <w:pPr>
              <w:spacing w:after="0" w:line="240" w:lineRule="auto"/>
              <w:ind w:right="0" w:hanging="10"/>
              <w:jc w:val="left"/>
            </w:pPr>
            <w:r>
              <w:rPr>
                <w:b/>
              </w:rPr>
              <w:t xml:space="preserve">Valid Percent </w:t>
            </w:r>
          </w:p>
        </w:tc>
        <w:tc>
          <w:tcPr>
            <w:tcW w:w="2209" w:type="dxa"/>
            <w:tcBorders>
              <w:top w:val="single" w:sz="4" w:space="0" w:color="000000"/>
              <w:left w:val="single" w:sz="4" w:space="0" w:color="000000"/>
              <w:bottom w:val="single" w:sz="4" w:space="0" w:color="000000"/>
              <w:right w:val="single" w:sz="4" w:space="0" w:color="000000"/>
            </w:tcBorders>
            <w:vAlign w:val="center"/>
          </w:tcPr>
          <w:p w14:paraId="5B8450CB" w14:textId="77777777" w:rsidR="00C70C1E" w:rsidRDefault="00AF67C6" w:rsidP="001342F0">
            <w:pPr>
              <w:spacing w:after="0" w:line="240" w:lineRule="auto"/>
              <w:ind w:right="0" w:hanging="10"/>
              <w:jc w:val="left"/>
            </w:pPr>
            <w:r>
              <w:rPr>
                <w:b/>
              </w:rPr>
              <w:t xml:space="preserve">Cumulative Percent </w:t>
            </w:r>
          </w:p>
        </w:tc>
      </w:tr>
      <w:tr w:rsidR="00C70C1E" w14:paraId="2F03DC8D" w14:textId="77777777" w:rsidTr="000D78E2">
        <w:trPr>
          <w:trHeight w:val="258"/>
          <w:jc w:val="center"/>
        </w:trPr>
        <w:tc>
          <w:tcPr>
            <w:tcW w:w="802" w:type="dxa"/>
            <w:vMerge w:val="restart"/>
            <w:tcBorders>
              <w:top w:val="single" w:sz="4" w:space="0" w:color="000000"/>
              <w:left w:val="single" w:sz="4" w:space="0" w:color="000000"/>
              <w:bottom w:val="single" w:sz="4" w:space="0" w:color="000000"/>
              <w:right w:val="single" w:sz="4" w:space="0" w:color="000000"/>
            </w:tcBorders>
            <w:vAlign w:val="center"/>
          </w:tcPr>
          <w:p w14:paraId="24701A9A" w14:textId="77777777" w:rsidR="00C70C1E" w:rsidRDefault="00AF67C6" w:rsidP="001342F0">
            <w:pPr>
              <w:spacing w:after="0" w:line="259" w:lineRule="auto"/>
              <w:ind w:right="0" w:hanging="10"/>
              <w:jc w:val="left"/>
            </w:pPr>
            <w:r>
              <w:t xml:space="preserve">Valid </w:t>
            </w:r>
          </w:p>
        </w:tc>
        <w:tc>
          <w:tcPr>
            <w:tcW w:w="1299" w:type="dxa"/>
            <w:tcBorders>
              <w:top w:val="single" w:sz="4" w:space="0" w:color="000000"/>
              <w:left w:val="single" w:sz="4" w:space="0" w:color="000000"/>
              <w:bottom w:val="single" w:sz="4" w:space="0" w:color="000000"/>
              <w:right w:val="single" w:sz="4" w:space="0" w:color="000000"/>
            </w:tcBorders>
            <w:vAlign w:val="center"/>
          </w:tcPr>
          <w:p w14:paraId="7BB938F8" w14:textId="77777777" w:rsidR="00C70C1E" w:rsidRDefault="00AF67C6" w:rsidP="001342F0">
            <w:pPr>
              <w:spacing w:after="0" w:line="259" w:lineRule="auto"/>
              <w:ind w:right="0" w:hanging="10"/>
              <w:jc w:val="left"/>
            </w:pPr>
            <w:r>
              <w:rPr>
                <w:b/>
              </w:rPr>
              <w:t xml:space="preserve">Decreased </w:t>
            </w:r>
          </w:p>
        </w:tc>
        <w:tc>
          <w:tcPr>
            <w:tcW w:w="1334" w:type="dxa"/>
            <w:tcBorders>
              <w:top w:val="single" w:sz="4" w:space="0" w:color="000000"/>
              <w:left w:val="single" w:sz="4" w:space="0" w:color="000000"/>
              <w:bottom w:val="single" w:sz="4" w:space="0" w:color="000000"/>
              <w:right w:val="single" w:sz="4" w:space="0" w:color="000000"/>
            </w:tcBorders>
            <w:vAlign w:val="center"/>
          </w:tcPr>
          <w:p w14:paraId="0BCB76B0" w14:textId="77777777" w:rsidR="00C70C1E" w:rsidRDefault="00AF67C6" w:rsidP="001342F0">
            <w:pPr>
              <w:spacing w:after="0" w:line="259" w:lineRule="auto"/>
              <w:ind w:right="55" w:hanging="10"/>
              <w:jc w:val="center"/>
            </w:pPr>
            <w:r>
              <w:t xml:space="preserve">106 </w:t>
            </w:r>
          </w:p>
        </w:tc>
        <w:tc>
          <w:tcPr>
            <w:tcW w:w="1054" w:type="dxa"/>
            <w:tcBorders>
              <w:top w:val="single" w:sz="4" w:space="0" w:color="000000"/>
              <w:left w:val="single" w:sz="4" w:space="0" w:color="000000"/>
              <w:bottom w:val="single" w:sz="4" w:space="0" w:color="000000"/>
              <w:right w:val="single" w:sz="4" w:space="0" w:color="000000"/>
            </w:tcBorders>
            <w:vAlign w:val="center"/>
          </w:tcPr>
          <w:p w14:paraId="1794E354" w14:textId="77777777" w:rsidR="00C70C1E" w:rsidRDefault="00AF67C6" w:rsidP="001342F0">
            <w:pPr>
              <w:spacing w:after="0" w:line="259" w:lineRule="auto"/>
              <w:ind w:right="56" w:hanging="10"/>
              <w:jc w:val="center"/>
            </w:pPr>
            <w:r>
              <w:t xml:space="preserve">96.4 </w:t>
            </w:r>
          </w:p>
        </w:tc>
        <w:tc>
          <w:tcPr>
            <w:tcW w:w="1601" w:type="dxa"/>
            <w:tcBorders>
              <w:top w:val="single" w:sz="4" w:space="0" w:color="000000"/>
              <w:left w:val="single" w:sz="4" w:space="0" w:color="000000"/>
              <w:bottom w:val="single" w:sz="4" w:space="0" w:color="000000"/>
              <w:right w:val="single" w:sz="4" w:space="0" w:color="000000"/>
            </w:tcBorders>
            <w:vAlign w:val="center"/>
          </w:tcPr>
          <w:p w14:paraId="45E1D97E" w14:textId="77777777" w:rsidR="00C70C1E" w:rsidRDefault="00AF67C6" w:rsidP="001342F0">
            <w:pPr>
              <w:spacing w:after="0" w:line="259" w:lineRule="auto"/>
              <w:ind w:right="55" w:hanging="10"/>
              <w:jc w:val="center"/>
            </w:pPr>
            <w:r>
              <w:t xml:space="preserve">96.4 </w:t>
            </w:r>
          </w:p>
        </w:tc>
        <w:tc>
          <w:tcPr>
            <w:tcW w:w="2209" w:type="dxa"/>
            <w:tcBorders>
              <w:top w:val="single" w:sz="4" w:space="0" w:color="000000"/>
              <w:left w:val="single" w:sz="4" w:space="0" w:color="000000"/>
              <w:bottom w:val="single" w:sz="4" w:space="0" w:color="000000"/>
              <w:right w:val="single" w:sz="4" w:space="0" w:color="000000"/>
            </w:tcBorders>
            <w:vAlign w:val="center"/>
          </w:tcPr>
          <w:p w14:paraId="046197A9" w14:textId="77777777" w:rsidR="00C70C1E" w:rsidRDefault="00AF67C6" w:rsidP="001342F0">
            <w:pPr>
              <w:spacing w:after="0" w:line="259" w:lineRule="auto"/>
              <w:ind w:right="52" w:hanging="10"/>
              <w:jc w:val="center"/>
            </w:pPr>
            <w:r>
              <w:t xml:space="preserve">96.4 </w:t>
            </w:r>
          </w:p>
        </w:tc>
      </w:tr>
      <w:tr w:rsidR="00C70C1E" w14:paraId="3D1C9029" w14:textId="77777777" w:rsidTr="000D78E2">
        <w:trPr>
          <w:trHeight w:val="302"/>
          <w:jc w:val="center"/>
        </w:trPr>
        <w:tc>
          <w:tcPr>
            <w:tcW w:w="0" w:type="auto"/>
            <w:vMerge/>
            <w:tcBorders>
              <w:top w:val="nil"/>
              <w:left w:val="single" w:sz="4" w:space="0" w:color="000000"/>
              <w:bottom w:val="nil"/>
              <w:right w:val="single" w:sz="4" w:space="0" w:color="000000"/>
            </w:tcBorders>
          </w:tcPr>
          <w:p w14:paraId="4230E2DE" w14:textId="77777777" w:rsidR="00C70C1E" w:rsidRDefault="00C70C1E" w:rsidP="001342F0">
            <w:pPr>
              <w:spacing w:after="160" w:line="259" w:lineRule="auto"/>
              <w:ind w:right="0" w:hanging="10"/>
              <w:jc w:val="left"/>
            </w:pPr>
          </w:p>
        </w:tc>
        <w:tc>
          <w:tcPr>
            <w:tcW w:w="1299" w:type="dxa"/>
            <w:tcBorders>
              <w:top w:val="single" w:sz="4" w:space="0" w:color="000000"/>
              <w:left w:val="single" w:sz="4" w:space="0" w:color="000000"/>
              <w:bottom w:val="single" w:sz="4" w:space="0" w:color="000000"/>
              <w:right w:val="single" w:sz="4" w:space="0" w:color="000000"/>
            </w:tcBorders>
          </w:tcPr>
          <w:p w14:paraId="687C29B9" w14:textId="77777777" w:rsidR="00C70C1E" w:rsidRDefault="00AF67C6" w:rsidP="001342F0">
            <w:pPr>
              <w:spacing w:after="0" w:line="259" w:lineRule="auto"/>
              <w:ind w:right="0" w:hanging="10"/>
              <w:jc w:val="left"/>
            </w:pPr>
            <w:r>
              <w:rPr>
                <w:b/>
              </w:rPr>
              <w:t xml:space="preserve">Increased </w:t>
            </w:r>
          </w:p>
        </w:tc>
        <w:tc>
          <w:tcPr>
            <w:tcW w:w="1334" w:type="dxa"/>
            <w:tcBorders>
              <w:top w:val="single" w:sz="4" w:space="0" w:color="000000"/>
              <w:left w:val="single" w:sz="4" w:space="0" w:color="000000"/>
              <w:bottom w:val="single" w:sz="4" w:space="0" w:color="000000"/>
              <w:right w:val="single" w:sz="4" w:space="0" w:color="000000"/>
            </w:tcBorders>
          </w:tcPr>
          <w:p w14:paraId="7E599E8E" w14:textId="77777777" w:rsidR="00C70C1E" w:rsidRDefault="00AF67C6" w:rsidP="001342F0">
            <w:pPr>
              <w:spacing w:after="0" w:line="259" w:lineRule="auto"/>
              <w:ind w:right="55" w:hanging="10"/>
              <w:jc w:val="center"/>
            </w:pPr>
            <w:r>
              <w:t xml:space="preserve">4 </w:t>
            </w:r>
          </w:p>
        </w:tc>
        <w:tc>
          <w:tcPr>
            <w:tcW w:w="1054" w:type="dxa"/>
            <w:tcBorders>
              <w:top w:val="single" w:sz="4" w:space="0" w:color="000000"/>
              <w:left w:val="single" w:sz="4" w:space="0" w:color="000000"/>
              <w:bottom w:val="single" w:sz="4" w:space="0" w:color="000000"/>
              <w:right w:val="single" w:sz="4" w:space="0" w:color="000000"/>
            </w:tcBorders>
          </w:tcPr>
          <w:p w14:paraId="4F24B38F" w14:textId="77777777" w:rsidR="00C70C1E" w:rsidRDefault="00AF67C6" w:rsidP="001342F0">
            <w:pPr>
              <w:spacing w:after="0" w:line="259" w:lineRule="auto"/>
              <w:ind w:right="56" w:hanging="10"/>
              <w:jc w:val="center"/>
            </w:pPr>
            <w:r>
              <w:t xml:space="preserve">3.6 </w:t>
            </w:r>
          </w:p>
        </w:tc>
        <w:tc>
          <w:tcPr>
            <w:tcW w:w="1601" w:type="dxa"/>
            <w:tcBorders>
              <w:top w:val="single" w:sz="4" w:space="0" w:color="000000"/>
              <w:left w:val="single" w:sz="4" w:space="0" w:color="000000"/>
              <w:bottom w:val="single" w:sz="4" w:space="0" w:color="000000"/>
              <w:right w:val="single" w:sz="4" w:space="0" w:color="000000"/>
            </w:tcBorders>
          </w:tcPr>
          <w:p w14:paraId="4E094619" w14:textId="77777777" w:rsidR="00C70C1E" w:rsidRDefault="00AF67C6" w:rsidP="001342F0">
            <w:pPr>
              <w:spacing w:after="0" w:line="259" w:lineRule="auto"/>
              <w:ind w:right="55" w:hanging="10"/>
              <w:jc w:val="center"/>
            </w:pPr>
            <w:r>
              <w:t xml:space="preserve">3.6 </w:t>
            </w:r>
          </w:p>
        </w:tc>
        <w:tc>
          <w:tcPr>
            <w:tcW w:w="2209" w:type="dxa"/>
            <w:tcBorders>
              <w:top w:val="single" w:sz="4" w:space="0" w:color="000000"/>
              <w:left w:val="single" w:sz="4" w:space="0" w:color="000000"/>
              <w:bottom w:val="single" w:sz="4" w:space="0" w:color="000000"/>
              <w:right w:val="single" w:sz="4" w:space="0" w:color="000000"/>
            </w:tcBorders>
          </w:tcPr>
          <w:p w14:paraId="54D2FC0E" w14:textId="77777777" w:rsidR="00C70C1E" w:rsidRDefault="00AF67C6" w:rsidP="001342F0">
            <w:pPr>
              <w:spacing w:after="0" w:line="259" w:lineRule="auto"/>
              <w:ind w:right="52" w:hanging="10"/>
              <w:jc w:val="center"/>
            </w:pPr>
            <w:r>
              <w:t xml:space="preserve">100.0 </w:t>
            </w:r>
          </w:p>
        </w:tc>
      </w:tr>
      <w:tr w:rsidR="00C70C1E" w14:paraId="72505FEB" w14:textId="77777777" w:rsidTr="000D78E2">
        <w:trPr>
          <w:trHeight w:val="300"/>
          <w:jc w:val="center"/>
        </w:trPr>
        <w:tc>
          <w:tcPr>
            <w:tcW w:w="0" w:type="auto"/>
            <w:vMerge/>
            <w:tcBorders>
              <w:top w:val="nil"/>
              <w:left w:val="single" w:sz="4" w:space="0" w:color="000000"/>
              <w:bottom w:val="single" w:sz="4" w:space="0" w:color="000000"/>
              <w:right w:val="single" w:sz="4" w:space="0" w:color="000000"/>
            </w:tcBorders>
          </w:tcPr>
          <w:p w14:paraId="0BD33E07" w14:textId="77777777" w:rsidR="00C70C1E" w:rsidRDefault="00C70C1E" w:rsidP="001342F0">
            <w:pPr>
              <w:spacing w:after="160" w:line="259" w:lineRule="auto"/>
              <w:ind w:right="0" w:hanging="10"/>
              <w:jc w:val="left"/>
            </w:pPr>
          </w:p>
        </w:tc>
        <w:tc>
          <w:tcPr>
            <w:tcW w:w="1299" w:type="dxa"/>
            <w:tcBorders>
              <w:top w:val="single" w:sz="4" w:space="0" w:color="000000"/>
              <w:left w:val="single" w:sz="4" w:space="0" w:color="000000"/>
              <w:bottom w:val="single" w:sz="4" w:space="0" w:color="000000"/>
              <w:right w:val="single" w:sz="4" w:space="0" w:color="000000"/>
            </w:tcBorders>
          </w:tcPr>
          <w:p w14:paraId="41FF50CF" w14:textId="77777777" w:rsidR="00C70C1E" w:rsidRDefault="00AF67C6" w:rsidP="001342F0">
            <w:pPr>
              <w:spacing w:after="0" w:line="259" w:lineRule="auto"/>
              <w:ind w:right="0" w:hanging="10"/>
              <w:jc w:val="left"/>
            </w:pPr>
            <w:r>
              <w:rPr>
                <w:b/>
              </w:rPr>
              <w:t xml:space="preserve">Total </w:t>
            </w:r>
          </w:p>
        </w:tc>
        <w:tc>
          <w:tcPr>
            <w:tcW w:w="1334" w:type="dxa"/>
            <w:tcBorders>
              <w:top w:val="single" w:sz="4" w:space="0" w:color="000000"/>
              <w:left w:val="single" w:sz="4" w:space="0" w:color="000000"/>
              <w:bottom w:val="single" w:sz="4" w:space="0" w:color="000000"/>
              <w:right w:val="single" w:sz="4" w:space="0" w:color="000000"/>
            </w:tcBorders>
          </w:tcPr>
          <w:p w14:paraId="7ACBECDD" w14:textId="77777777" w:rsidR="00C70C1E" w:rsidRDefault="00AF67C6" w:rsidP="001342F0">
            <w:pPr>
              <w:spacing w:after="0" w:line="259" w:lineRule="auto"/>
              <w:ind w:right="53" w:hanging="10"/>
              <w:jc w:val="center"/>
            </w:pPr>
            <w:r>
              <w:t xml:space="preserve">110 </w:t>
            </w:r>
          </w:p>
        </w:tc>
        <w:tc>
          <w:tcPr>
            <w:tcW w:w="1054" w:type="dxa"/>
            <w:tcBorders>
              <w:top w:val="single" w:sz="4" w:space="0" w:color="000000"/>
              <w:left w:val="single" w:sz="4" w:space="0" w:color="000000"/>
              <w:bottom w:val="single" w:sz="4" w:space="0" w:color="000000"/>
              <w:right w:val="single" w:sz="4" w:space="0" w:color="000000"/>
            </w:tcBorders>
          </w:tcPr>
          <w:p w14:paraId="7C4AC80D" w14:textId="77777777" w:rsidR="00C70C1E" w:rsidRDefault="00AF67C6" w:rsidP="001342F0">
            <w:pPr>
              <w:spacing w:after="0" w:line="259" w:lineRule="auto"/>
              <w:ind w:right="56" w:hanging="10"/>
              <w:jc w:val="center"/>
            </w:pPr>
            <w:r>
              <w:t xml:space="preserve">100.0 </w:t>
            </w:r>
          </w:p>
        </w:tc>
        <w:tc>
          <w:tcPr>
            <w:tcW w:w="1601" w:type="dxa"/>
            <w:tcBorders>
              <w:top w:val="single" w:sz="4" w:space="0" w:color="000000"/>
              <w:left w:val="single" w:sz="4" w:space="0" w:color="000000"/>
              <w:bottom w:val="single" w:sz="4" w:space="0" w:color="000000"/>
              <w:right w:val="single" w:sz="4" w:space="0" w:color="000000"/>
            </w:tcBorders>
          </w:tcPr>
          <w:p w14:paraId="5BE99EF8" w14:textId="77777777" w:rsidR="00C70C1E" w:rsidRDefault="00AF67C6" w:rsidP="001342F0">
            <w:pPr>
              <w:spacing w:after="0" w:line="259" w:lineRule="auto"/>
              <w:ind w:right="55" w:hanging="10"/>
              <w:jc w:val="center"/>
            </w:pPr>
            <w:r>
              <w:t xml:space="preserve">100.0 </w:t>
            </w:r>
          </w:p>
        </w:tc>
        <w:tc>
          <w:tcPr>
            <w:tcW w:w="2209" w:type="dxa"/>
            <w:tcBorders>
              <w:top w:val="single" w:sz="4" w:space="0" w:color="000000"/>
              <w:left w:val="single" w:sz="4" w:space="0" w:color="000000"/>
              <w:bottom w:val="single" w:sz="4" w:space="0" w:color="000000"/>
              <w:right w:val="single" w:sz="4" w:space="0" w:color="000000"/>
            </w:tcBorders>
          </w:tcPr>
          <w:p w14:paraId="2C8480DD" w14:textId="77777777" w:rsidR="00C70C1E" w:rsidRDefault="00AF67C6" w:rsidP="001342F0">
            <w:pPr>
              <w:spacing w:after="0" w:line="259" w:lineRule="auto"/>
              <w:ind w:left="1" w:right="0" w:hanging="10"/>
              <w:jc w:val="center"/>
            </w:pPr>
            <w:r>
              <w:t xml:space="preserve"> </w:t>
            </w:r>
          </w:p>
        </w:tc>
      </w:tr>
    </w:tbl>
    <w:p w14:paraId="48B2429A" w14:textId="6BD3DCDD" w:rsidR="00C70C1E" w:rsidRDefault="00AF67C6" w:rsidP="00184430">
      <w:pPr>
        <w:spacing w:before="240"/>
        <w:ind w:left="-15" w:right="0" w:firstLine="582"/>
      </w:pPr>
      <w:r>
        <w:t xml:space="preserve">The study also examined the effect of the shifts in climate variables on the famers’ crop yields and the results of the study show that 106 respondents (96.4%) reported a decrease in agricultural productivity, and only four respondents (3.6%) indicated an increase in yields as illustrated in Table 10. </w:t>
      </w:r>
    </w:p>
    <w:p w14:paraId="79B1EE86" w14:textId="77777777" w:rsidR="00C70C1E" w:rsidRDefault="00AF67C6" w:rsidP="001342F0">
      <w:pPr>
        <w:spacing w:after="0" w:line="259" w:lineRule="auto"/>
        <w:ind w:right="0" w:hanging="10"/>
        <w:jc w:val="left"/>
      </w:pPr>
      <w:r>
        <w:t xml:space="preserve"> </w:t>
      </w:r>
    </w:p>
    <w:tbl>
      <w:tblPr>
        <w:tblStyle w:val="TableGrid"/>
        <w:tblW w:w="7845" w:type="dxa"/>
        <w:jc w:val="center"/>
        <w:tblInd w:w="0" w:type="dxa"/>
        <w:tblCellMar>
          <w:top w:w="7" w:type="dxa"/>
          <w:left w:w="168" w:type="dxa"/>
          <w:right w:w="110" w:type="dxa"/>
        </w:tblCellMar>
        <w:tblLook w:val="04A0" w:firstRow="1" w:lastRow="0" w:firstColumn="1" w:lastColumn="0" w:noHBand="0" w:noVBand="1"/>
      </w:tblPr>
      <w:tblGrid>
        <w:gridCol w:w="830"/>
        <w:gridCol w:w="816"/>
        <w:gridCol w:w="1337"/>
        <w:gridCol w:w="1051"/>
        <w:gridCol w:w="1601"/>
        <w:gridCol w:w="2210"/>
      </w:tblGrid>
      <w:tr w:rsidR="00C70C1E" w14:paraId="5B5B28D9" w14:textId="77777777" w:rsidTr="000D78E2">
        <w:trPr>
          <w:trHeight w:val="375"/>
          <w:jc w:val="center"/>
        </w:trPr>
        <w:tc>
          <w:tcPr>
            <w:tcW w:w="7845" w:type="dxa"/>
            <w:gridSpan w:val="6"/>
            <w:tcBorders>
              <w:top w:val="single" w:sz="4" w:space="0" w:color="000000"/>
              <w:left w:val="single" w:sz="4" w:space="0" w:color="000000"/>
              <w:bottom w:val="single" w:sz="4" w:space="0" w:color="000000"/>
              <w:right w:val="single" w:sz="4" w:space="0" w:color="000000"/>
            </w:tcBorders>
            <w:vAlign w:val="center"/>
          </w:tcPr>
          <w:p w14:paraId="3A18900D" w14:textId="1709D2BB" w:rsidR="00C70C1E" w:rsidRDefault="00AF67C6" w:rsidP="001342F0">
            <w:pPr>
              <w:spacing w:after="0" w:line="259" w:lineRule="auto"/>
              <w:ind w:right="0" w:hanging="10"/>
              <w:jc w:val="left"/>
            </w:pPr>
            <w:r>
              <w:rPr>
                <w:b/>
              </w:rPr>
              <w:t xml:space="preserve">Table 11: </w:t>
            </w:r>
            <w:r w:rsidR="00184430" w:rsidRPr="00184430">
              <w:t>Frequency of responses on changes in farming practices</w:t>
            </w:r>
          </w:p>
        </w:tc>
      </w:tr>
      <w:tr w:rsidR="00C70C1E" w14:paraId="0F08EBCB" w14:textId="77777777" w:rsidTr="000D78E2">
        <w:trPr>
          <w:trHeight w:val="339"/>
          <w:jc w:val="center"/>
        </w:trPr>
        <w:tc>
          <w:tcPr>
            <w:tcW w:w="1646" w:type="dxa"/>
            <w:gridSpan w:val="2"/>
            <w:tcBorders>
              <w:top w:val="single" w:sz="4" w:space="0" w:color="000000"/>
              <w:left w:val="single" w:sz="4" w:space="0" w:color="000000"/>
              <w:bottom w:val="single" w:sz="4" w:space="0" w:color="000000"/>
              <w:right w:val="single" w:sz="4" w:space="0" w:color="000000"/>
            </w:tcBorders>
          </w:tcPr>
          <w:p w14:paraId="533AFCC6" w14:textId="77777777" w:rsidR="00C70C1E" w:rsidRDefault="00AF67C6" w:rsidP="001342F0">
            <w:pPr>
              <w:spacing w:after="0" w:line="259" w:lineRule="auto"/>
              <w:ind w:right="0" w:hanging="10"/>
              <w:jc w:val="left"/>
            </w:pPr>
            <w:r>
              <w:t xml:space="preserve"> </w:t>
            </w:r>
          </w:p>
        </w:tc>
        <w:tc>
          <w:tcPr>
            <w:tcW w:w="1337" w:type="dxa"/>
            <w:tcBorders>
              <w:top w:val="single" w:sz="4" w:space="0" w:color="000000"/>
              <w:left w:val="single" w:sz="4" w:space="0" w:color="000000"/>
              <w:bottom w:val="single" w:sz="4" w:space="0" w:color="000000"/>
              <w:right w:val="single" w:sz="4" w:space="0" w:color="000000"/>
            </w:tcBorders>
          </w:tcPr>
          <w:p w14:paraId="19002002" w14:textId="77777777" w:rsidR="00C70C1E" w:rsidRDefault="00AF67C6" w:rsidP="001342F0">
            <w:pPr>
              <w:spacing w:after="0" w:line="259" w:lineRule="auto"/>
              <w:ind w:left="3" w:right="0" w:hanging="10"/>
              <w:jc w:val="left"/>
            </w:pPr>
            <w:r>
              <w:rPr>
                <w:b/>
              </w:rPr>
              <w:t xml:space="preserve">Frequency </w:t>
            </w:r>
          </w:p>
        </w:tc>
        <w:tc>
          <w:tcPr>
            <w:tcW w:w="1051" w:type="dxa"/>
            <w:tcBorders>
              <w:top w:val="single" w:sz="4" w:space="0" w:color="000000"/>
              <w:left w:val="single" w:sz="4" w:space="0" w:color="000000"/>
              <w:bottom w:val="single" w:sz="4" w:space="0" w:color="000000"/>
              <w:right w:val="single" w:sz="4" w:space="0" w:color="000000"/>
            </w:tcBorders>
          </w:tcPr>
          <w:p w14:paraId="34D8ABAB" w14:textId="77777777" w:rsidR="00C70C1E" w:rsidRDefault="00AF67C6" w:rsidP="001342F0">
            <w:pPr>
              <w:spacing w:after="0" w:line="259" w:lineRule="auto"/>
              <w:ind w:right="0" w:hanging="10"/>
              <w:jc w:val="left"/>
            </w:pPr>
            <w:r>
              <w:rPr>
                <w:b/>
              </w:rPr>
              <w:t xml:space="preserve">Percent </w:t>
            </w:r>
          </w:p>
        </w:tc>
        <w:tc>
          <w:tcPr>
            <w:tcW w:w="1601" w:type="dxa"/>
            <w:tcBorders>
              <w:top w:val="single" w:sz="4" w:space="0" w:color="000000"/>
              <w:left w:val="single" w:sz="4" w:space="0" w:color="000000"/>
              <w:bottom w:val="single" w:sz="4" w:space="0" w:color="000000"/>
              <w:right w:val="single" w:sz="4" w:space="0" w:color="000000"/>
            </w:tcBorders>
          </w:tcPr>
          <w:p w14:paraId="773E88C6" w14:textId="77777777" w:rsidR="00C70C1E" w:rsidRDefault="00AF67C6" w:rsidP="001342F0">
            <w:pPr>
              <w:spacing w:after="0" w:line="259" w:lineRule="auto"/>
              <w:ind w:right="0" w:hanging="10"/>
              <w:jc w:val="left"/>
            </w:pPr>
            <w:r>
              <w:rPr>
                <w:b/>
              </w:rPr>
              <w:t xml:space="preserve">Valid Percent </w:t>
            </w:r>
          </w:p>
        </w:tc>
        <w:tc>
          <w:tcPr>
            <w:tcW w:w="2209" w:type="dxa"/>
            <w:tcBorders>
              <w:top w:val="single" w:sz="4" w:space="0" w:color="000000"/>
              <w:left w:val="single" w:sz="4" w:space="0" w:color="000000"/>
              <w:bottom w:val="single" w:sz="4" w:space="0" w:color="000000"/>
              <w:right w:val="single" w:sz="4" w:space="0" w:color="000000"/>
            </w:tcBorders>
          </w:tcPr>
          <w:p w14:paraId="351202F9" w14:textId="77777777" w:rsidR="00C70C1E" w:rsidRDefault="00AF67C6" w:rsidP="001342F0">
            <w:pPr>
              <w:spacing w:after="0" w:line="259" w:lineRule="auto"/>
              <w:ind w:left="2" w:right="0" w:hanging="10"/>
              <w:jc w:val="left"/>
            </w:pPr>
            <w:r>
              <w:rPr>
                <w:b/>
              </w:rPr>
              <w:t xml:space="preserve">Cumulative Percent </w:t>
            </w:r>
          </w:p>
        </w:tc>
      </w:tr>
      <w:tr w:rsidR="00C70C1E" w14:paraId="783DE7F3" w14:textId="77777777" w:rsidTr="000D78E2">
        <w:trPr>
          <w:trHeight w:val="300"/>
          <w:jc w:val="center"/>
        </w:trPr>
        <w:tc>
          <w:tcPr>
            <w:tcW w:w="830" w:type="dxa"/>
            <w:vMerge w:val="restart"/>
            <w:tcBorders>
              <w:top w:val="single" w:sz="4" w:space="0" w:color="000000"/>
              <w:left w:val="single" w:sz="4" w:space="0" w:color="000000"/>
              <w:bottom w:val="single" w:sz="4" w:space="0" w:color="000000"/>
              <w:right w:val="single" w:sz="4" w:space="0" w:color="000000"/>
            </w:tcBorders>
            <w:vAlign w:val="center"/>
          </w:tcPr>
          <w:p w14:paraId="644A7C59" w14:textId="77777777" w:rsidR="00C70C1E" w:rsidRDefault="00AF67C6" w:rsidP="001342F0">
            <w:pPr>
              <w:spacing w:after="0" w:line="259" w:lineRule="auto"/>
              <w:ind w:right="0" w:hanging="10"/>
              <w:jc w:val="left"/>
            </w:pPr>
            <w:r>
              <w:rPr>
                <w:b/>
              </w:rPr>
              <w:t xml:space="preserve">Valid </w:t>
            </w:r>
          </w:p>
        </w:tc>
        <w:tc>
          <w:tcPr>
            <w:tcW w:w="816" w:type="dxa"/>
            <w:tcBorders>
              <w:top w:val="single" w:sz="4" w:space="0" w:color="000000"/>
              <w:left w:val="single" w:sz="4" w:space="0" w:color="000000"/>
              <w:bottom w:val="single" w:sz="4" w:space="0" w:color="000000"/>
              <w:right w:val="single" w:sz="4" w:space="0" w:color="000000"/>
            </w:tcBorders>
          </w:tcPr>
          <w:p w14:paraId="1891459D" w14:textId="77777777" w:rsidR="00C70C1E" w:rsidRDefault="00AF67C6" w:rsidP="001342F0">
            <w:pPr>
              <w:spacing w:after="0" w:line="259" w:lineRule="auto"/>
              <w:ind w:right="0" w:hanging="10"/>
              <w:jc w:val="left"/>
            </w:pPr>
            <w:r>
              <w:rPr>
                <w:b/>
              </w:rPr>
              <w:t xml:space="preserve">No </w:t>
            </w:r>
          </w:p>
        </w:tc>
        <w:tc>
          <w:tcPr>
            <w:tcW w:w="1337" w:type="dxa"/>
            <w:tcBorders>
              <w:top w:val="single" w:sz="4" w:space="0" w:color="000000"/>
              <w:left w:val="single" w:sz="4" w:space="0" w:color="000000"/>
              <w:bottom w:val="single" w:sz="4" w:space="0" w:color="000000"/>
              <w:right w:val="single" w:sz="4" w:space="0" w:color="000000"/>
            </w:tcBorders>
          </w:tcPr>
          <w:p w14:paraId="1828655D" w14:textId="77777777" w:rsidR="00C70C1E" w:rsidRDefault="00AF67C6" w:rsidP="001342F0">
            <w:pPr>
              <w:spacing w:after="0" w:line="259" w:lineRule="auto"/>
              <w:ind w:right="55" w:hanging="10"/>
              <w:jc w:val="center"/>
            </w:pPr>
            <w:r>
              <w:t xml:space="preserve">7 </w:t>
            </w:r>
          </w:p>
        </w:tc>
        <w:tc>
          <w:tcPr>
            <w:tcW w:w="1051" w:type="dxa"/>
            <w:tcBorders>
              <w:top w:val="single" w:sz="4" w:space="0" w:color="000000"/>
              <w:left w:val="single" w:sz="4" w:space="0" w:color="000000"/>
              <w:bottom w:val="single" w:sz="4" w:space="0" w:color="000000"/>
              <w:right w:val="single" w:sz="4" w:space="0" w:color="000000"/>
            </w:tcBorders>
          </w:tcPr>
          <w:p w14:paraId="60C565A5" w14:textId="77777777" w:rsidR="00C70C1E" w:rsidRDefault="00AF67C6" w:rsidP="001342F0">
            <w:pPr>
              <w:spacing w:after="0" w:line="259" w:lineRule="auto"/>
              <w:ind w:right="55" w:hanging="10"/>
              <w:jc w:val="center"/>
            </w:pPr>
            <w:r>
              <w:t xml:space="preserve">6.4 </w:t>
            </w:r>
          </w:p>
        </w:tc>
        <w:tc>
          <w:tcPr>
            <w:tcW w:w="1601" w:type="dxa"/>
            <w:tcBorders>
              <w:top w:val="single" w:sz="4" w:space="0" w:color="000000"/>
              <w:left w:val="single" w:sz="4" w:space="0" w:color="000000"/>
              <w:bottom w:val="single" w:sz="4" w:space="0" w:color="000000"/>
              <w:right w:val="single" w:sz="4" w:space="0" w:color="000000"/>
            </w:tcBorders>
          </w:tcPr>
          <w:p w14:paraId="0FD94203" w14:textId="77777777" w:rsidR="00C70C1E" w:rsidRDefault="00AF67C6" w:rsidP="001342F0">
            <w:pPr>
              <w:spacing w:after="0" w:line="259" w:lineRule="auto"/>
              <w:ind w:right="57" w:hanging="10"/>
              <w:jc w:val="center"/>
            </w:pPr>
            <w:r>
              <w:t xml:space="preserve">6.4 </w:t>
            </w:r>
          </w:p>
        </w:tc>
        <w:tc>
          <w:tcPr>
            <w:tcW w:w="2209" w:type="dxa"/>
            <w:tcBorders>
              <w:top w:val="single" w:sz="4" w:space="0" w:color="000000"/>
              <w:left w:val="single" w:sz="4" w:space="0" w:color="000000"/>
              <w:bottom w:val="single" w:sz="4" w:space="0" w:color="000000"/>
              <w:right w:val="single" w:sz="4" w:space="0" w:color="000000"/>
            </w:tcBorders>
          </w:tcPr>
          <w:p w14:paraId="1CC6231E" w14:textId="77777777" w:rsidR="00C70C1E" w:rsidRDefault="00AF67C6" w:rsidP="001342F0">
            <w:pPr>
              <w:spacing w:after="0" w:line="259" w:lineRule="auto"/>
              <w:ind w:right="56" w:hanging="10"/>
              <w:jc w:val="center"/>
            </w:pPr>
            <w:r>
              <w:t xml:space="preserve">6.4 </w:t>
            </w:r>
          </w:p>
        </w:tc>
      </w:tr>
      <w:tr w:rsidR="00C70C1E" w14:paraId="1EE64568" w14:textId="77777777" w:rsidTr="000D78E2">
        <w:trPr>
          <w:trHeight w:val="302"/>
          <w:jc w:val="center"/>
        </w:trPr>
        <w:tc>
          <w:tcPr>
            <w:tcW w:w="0" w:type="auto"/>
            <w:vMerge/>
            <w:tcBorders>
              <w:top w:val="nil"/>
              <w:left w:val="single" w:sz="4" w:space="0" w:color="000000"/>
              <w:bottom w:val="nil"/>
              <w:right w:val="single" w:sz="4" w:space="0" w:color="000000"/>
            </w:tcBorders>
          </w:tcPr>
          <w:p w14:paraId="79F83C00" w14:textId="77777777" w:rsidR="00C70C1E" w:rsidRDefault="00C70C1E" w:rsidP="001342F0">
            <w:pPr>
              <w:spacing w:after="160" w:line="259" w:lineRule="auto"/>
              <w:ind w:right="0" w:hanging="10"/>
              <w:jc w:val="left"/>
            </w:pPr>
          </w:p>
        </w:tc>
        <w:tc>
          <w:tcPr>
            <w:tcW w:w="816" w:type="dxa"/>
            <w:tcBorders>
              <w:top w:val="single" w:sz="4" w:space="0" w:color="000000"/>
              <w:left w:val="single" w:sz="4" w:space="0" w:color="000000"/>
              <w:bottom w:val="single" w:sz="4" w:space="0" w:color="000000"/>
              <w:right w:val="single" w:sz="4" w:space="0" w:color="000000"/>
            </w:tcBorders>
          </w:tcPr>
          <w:p w14:paraId="4322CD67" w14:textId="77777777" w:rsidR="00C70C1E" w:rsidRDefault="00AF67C6" w:rsidP="001342F0">
            <w:pPr>
              <w:spacing w:after="0" w:line="259" w:lineRule="auto"/>
              <w:ind w:right="0" w:hanging="10"/>
              <w:jc w:val="left"/>
            </w:pPr>
            <w:r>
              <w:rPr>
                <w:b/>
              </w:rPr>
              <w:t xml:space="preserve">Yes </w:t>
            </w:r>
          </w:p>
        </w:tc>
        <w:tc>
          <w:tcPr>
            <w:tcW w:w="1337" w:type="dxa"/>
            <w:tcBorders>
              <w:top w:val="single" w:sz="4" w:space="0" w:color="000000"/>
              <w:left w:val="single" w:sz="4" w:space="0" w:color="000000"/>
              <w:bottom w:val="single" w:sz="4" w:space="0" w:color="000000"/>
              <w:right w:val="single" w:sz="4" w:space="0" w:color="000000"/>
            </w:tcBorders>
          </w:tcPr>
          <w:p w14:paraId="292EB692" w14:textId="77777777" w:rsidR="00C70C1E" w:rsidRDefault="00AF67C6" w:rsidP="001342F0">
            <w:pPr>
              <w:spacing w:after="0" w:line="259" w:lineRule="auto"/>
              <w:ind w:right="55" w:hanging="10"/>
              <w:jc w:val="center"/>
            </w:pPr>
            <w:r>
              <w:t xml:space="preserve">103 </w:t>
            </w:r>
          </w:p>
        </w:tc>
        <w:tc>
          <w:tcPr>
            <w:tcW w:w="1051" w:type="dxa"/>
            <w:tcBorders>
              <w:top w:val="single" w:sz="4" w:space="0" w:color="000000"/>
              <w:left w:val="single" w:sz="4" w:space="0" w:color="000000"/>
              <w:bottom w:val="single" w:sz="4" w:space="0" w:color="000000"/>
              <w:right w:val="single" w:sz="4" w:space="0" w:color="000000"/>
            </w:tcBorders>
          </w:tcPr>
          <w:p w14:paraId="001EC3D4" w14:textId="77777777" w:rsidR="00C70C1E" w:rsidRDefault="00AF67C6" w:rsidP="001342F0">
            <w:pPr>
              <w:spacing w:after="0" w:line="259" w:lineRule="auto"/>
              <w:ind w:right="55" w:hanging="10"/>
              <w:jc w:val="center"/>
            </w:pPr>
            <w:r>
              <w:t xml:space="preserve">93.6 </w:t>
            </w:r>
          </w:p>
        </w:tc>
        <w:tc>
          <w:tcPr>
            <w:tcW w:w="1601" w:type="dxa"/>
            <w:tcBorders>
              <w:top w:val="single" w:sz="4" w:space="0" w:color="000000"/>
              <w:left w:val="single" w:sz="4" w:space="0" w:color="000000"/>
              <w:bottom w:val="single" w:sz="4" w:space="0" w:color="000000"/>
              <w:right w:val="single" w:sz="4" w:space="0" w:color="000000"/>
            </w:tcBorders>
          </w:tcPr>
          <w:p w14:paraId="374B45C0" w14:textId="77777777" w:rsidR="00C70C1E" w:rsidRDefault="00AF67C6" w:rsidP="001342F0">
            <w:pPr>
              <w:spacing w:after="0" w:line="259" w:lineRule="auto"/>
              <w:ind w:right="57" w:hanging="10"/>
              <w:jc w:val="center"/>
            </w:pPr>
            <w:r>
              <w:t xml:space="preserve">93.6 </w:t>
            </w:r>
          </w:p>
        </w:tc>
        <w:tc>
          <w:tcPr>
            <w:tcW w:w="2209" w:type="dxa"/>
            <w:tcBorders>
              <w:top w:val="single" w:sz="4" w:space="0" w:color="000000"/>
              <w:left w:val="single" w:sz="4" w:space="0" w:color="000000"/>
              <w:bottom w:val="single" w:sz="4" w:space="0" w:color="000000"/>
              <w:right w:val="single" w:sz="4" w:space="0" w:color="000000"/>
            </w:tcBorders>
          </w:tcPr>
          <w:p w14:paraId="5DBFB742" w14:textId="77777777" w:rsidR="00C70C1E" w:rsidRDefault="00AF67C6" w:rsidP="001342F0">
            <w:pPr>
              <w:spacing w:after="0" w:line="259" w:lineRule="auto"/>
              <w:ind w:right="51" w:hanging="10"/>
              <w:jc w:val="center"/>
            </w:pPr>
            <w:r>
              <w:t xml:space="preserve">100.0 </w:t>
            </w:r>
          </w:p>
        </w:tc>
      </w:tr>
      <w:tr w:rsidR="00C70C1E" w14:paraId="06ABDEC1" w14:textId="77777777" w:rsidTr="000D78E2">
        <w:trPr>
          <w:trHeight w:val="300"/>
          <w:jc w:val="center"/>
        </w:trPr>
        <w:tc>
          <w:tcPr>
            <w:tcW w:w="0" w:type="auto"/>
            <w:vMerge/>
            <w:tcBorders>
              <w:top w:val="nil"/>
              <w:left w:val="single" w:sz="4" w:space="0" w:color="000000"/>
              <w:bottom w:val="single" w:sz="4" w:space="0" w:color="000000"/>
              <w:right w:val="single" w:sz="4" w:space="0" w:color="000000"/>
            </w:tcBorders>
          </w:tcPr>
          <w:p w14:paraId="030165E0" w14:textId="77777777" w:rsidR="00C70C1E" w:rsidRDefault="00C70C1E" w:rsidP="001342F0">
            <w:pPr>
              <w:spacing w:after="160" w:line="259" w:lineRule="auto"/>
              <w:ind w:right="0" w:hanging="10"/>
              <w:jc w:val="left"/>
            </w:pPr>
          </w:p>
        </w:tc>
        <w:tc>
          <w:tcPr>
            <w:tcW w:w="816" w:type="dxa"/>
            <w:tcBorders>
              <w:top w:val="single" w:sz="4" w:space="0" w:color="000000"/>
              <w:left w:val="single" w:sz="4" w:space="0" w:color="000000"/>
              <w:bottom w:val="single" w:sz="4" w:space="0" w:color="000000"/>
              <w:right w:val="single" w:sz="4" w:space="0" w:color="000000"/>
            </w:tcBorders>
          </w:tcPr>
          <w:p w14:paraId="67ADF39A" w14:textId="77777777" w:rsidR="00C70C1E" w:rsidRDefault="00AF67C6" w:rsidP="001342F0">
            <w:pPr>
              <w:spacing w:after="0" w:line="259" w:lineRule="auto"/>
              <w:ind w:right="0" w:hanging="10"/>
              <w:jc w:val="left"/>
            </w:pPr>
            <w:r>
              <w:rPr>
                <w:b/>
              </w:rPr>
              <w:t xml:space="preserve">Total </w:t>
            </w:r>
          </w:p>
        </w:tc>
        <w:tc>
          <w:tcPr>
            <w:tcW w:w="1337" w:type="dxa"/>
            <w:tcBorders>
              <w:top w:val="single" w:sz="4" w:space="0" w:color="000000"/>
              <w:left w:val="single" w:sz="4" w:space="0" w:color="000000"/>
              <w:bottom w:val="single" w:sz="4" w:space="0" w:color="000000"/>
              <w:right w:val="single" w:sz="4" w:space="0" w:color="000000"/>
            </w:tcBorders>
          </w:tcPr>
          <w:p w14:paraId="176741C1" w14:textId="77777777" w:rsidR="00C70C1E" w:rsidRDefault="00AF67C6" w:rsidP="001342F0">
            <w:pPr>
              <w:spacing w:after="0" w:line="259" w:lineRule="auto"/>
              <w:ind w:right="52" w:hanging="10"/>
              <w:jc w:val="center"/>
            </w:pPr>
            <w:r>
              <w:t xml:space="preserve">110 </w:t>
            </w:r>
          </w:p>
        </w:tc>
        <w:tc>
          <w:tcPr>
            <w:tcW w:w="1051" w:type="dxa"/>
            <w:tcBorders>
              <w:top w:val="single" w:sz="4" w:space="0" w:color="000000"/>
              <w:left w:val="single" w:sz="4" w:space="0" w:color="000000"/>
              <w:bottom w:val="single" w:sz="4" w:space="0" w:color="000000"/>
              <w:right w:val="single" w:sz="4" w:space="0" w:color="000000"/>
            </w:tcBorders>
          </w:tcPr>
          <w:p w14:paraId="6F523552" w14:textId="77777777" w:rsidR="00C70C1E" w:rsidRDefault="00AF67C6" w:rsidP="001342F0">
            <w:pPr>
              <w:spacing w:after="0" w:line="259" w:lineRule="auto"/>
              <w:ind w:right="55" w:hanging="10"/>
              <w:jc w:val="center"/>
            </w:pPr>
            <w:r>
              <w:t xml:space="preserve">100.0 </w:t>
            </w:r>
          </w:p>
        </w:tc>
        <w:tc>
          <w:tcPr>
            <w:tcW w:w="1601" w:type="dxa"/>
            <w:tcBorders>
              <w:top w:val="single" w:sz="4" w:space="0" w:color="000000"/>
              <w:left w:val="single" w:sz="4" w:space="0" w:color="000000"/>
              <w:bottom w:val="single" w:sz="4" w:space="0" w:color="000000"/>
              <w:right w:val="single" w:sz="4" w:space="0" w:color="000000"/>
            </w:tcBorders>
          </w:tcPr>
          <w:p w14:paraId="3FD46B12" w14:textId="77777777" w:rsidR="00C70C1E" w:rsidRDefault="00AF67C6" w:rsidP="001342F0">
            <w:pPr>
              <w:spacing w:after="0" w:line="259" w:lineRule="auto"/>
              <w:ind w:right="57" w:hanging="10"/>
              <w:jc w:val="center"/>
            </w:pPr>
            <w:r>
              <w:t xml:space="preserve">100.0 </w:t>
            </w:r>
          </w:p>
        </w:tc>
        <w:tc>
          <w:tcPr>
            <w:tcW w:w="2209" w:type="dxa"/>
            <w:tcBorders>
              <w:top w:val="single" w:sz="4" w:space="0" w:color="000000"/>
              <w:left w:val="single" w:sz="4" w:space="0" w:color="000000"/>
              <w:bottom w:val="single" w:sz="4" w:space="0" w:color="000000"/>
              <w:right w:val="single" w:sz="4" w:space="0" w:color="000000"/>
            </w:tcBorders>
          </w:tcPr>
          <w:p w14:paraId="531C7B1D" w14:textId="77777777" w:rsidR="00C70C1E" w:rsidRDefault="00AF67C6" w:rsidP="001342F0">
            <w:pPr>
              <w:spacing w:after="0" w:line="259" w:lineRule="auto"/>
              <w:ind w:left="3" w:right="0" w:hanging="10"/>
              <w:jc w:val="center"/>
            </w:pPr>
            <w:r>
              <w:t xml:space="preserve"> </w:t>
            </w:r>
          </w:p>
        </w:tc>
      </w:tr>
    </w:tbl>
    <w:p w14:paraId="0A8D5614" w14:textId="1C5E1C92" w:rsidR="00C70C1E" w:rsidRDefault="00AF67C6" w:rsidP="00673630">
      <w:pPr>
        <w:spacing w:before="240" w:after="250"/>
        <w:ind w:left="-15" w:right="0" w:firstLine="582"/>
      </w:pPr>
      <w:r>
        <w:t xml:space="preserve">Despite the reported disruptions in the shifts in rainfall patterns, extended dry spells, and flooding causing a decrease in crop yields, the results of the study in Table 11 show that farmers had made some changes to their farming practices. The results of the study reveal that 103 respondents (93.6%) had been making changes to their farming practices while seven respondents (6.4%) were doing the other.  </w:t>
      </w:r>
    </w:p>
    <w:p w14:paraId="25D114EB" w14:textId="77777777" w:rsidR="00297ECE" w:rsidRDefault="00AF67C6" w:rsidP="001342F0">
      <w:pPr>
        <w:ind w:left="1843" w:right="0" w:hanging="10"/>
      </w:pPr>
      <w:r>
        <w:rPr>
          <w:b/>
        </w:rPr>
        <w:t xml:space="preserve">Table 12:  </w:t>
      </w:r>
      <w:r>
        <w:t>Source of the change of practices</w:t>
      </w:r>
    </w:p>
    <w:tbl>
      <w:tblPr>
        <w:tblStyle w:val="TableGrid0"/>
        <w:tblW w:w="0" w:type="auto"/>
        <w:jc w:val="center"/>
        <w:tblLook w:val="04A0" w:firstRow="1" w:lastRow="0" w:firstColumn="1" w:lastColumn="0" w:noHBand="0" w:noVBand="1"/>
      </w:tblPr>
      <w:tblGrid>
        <w:gridCol w:w="1935"/>
        <w:gridCol w:w="1936"/>
        <w:gridCol w:w="1936"/>
      </w:tblGrid>
      <w:tr w:rsidR="00297ECE" w14:paraId="3BDB3E7E" w14:textId="77777777" w:rsidTr="00297ECE">
        <w:trPr>
          <w:jc w:val="center"/>
        </w:trPr>
        <w:tc>
          <w:tcPr>
            <w:tcW w:w="1935" w:type="dxa"/>
            <w:vAlign w:val="center"/>
          </w:tcPr>
          <w:p w14:paraId="465BAF0D" w14:textId="4DA1DB88" w:rsidR="00297ECE" w:rsidRDefault="00297ECE" w:rsidP="00297ECE">
            <w:pPr>
              <w:spacing w:line="276" w:lineRule="auto"/>
              <w:ind w:right="0" w:firstLine="0"/>
              <w:jc w:val="center"/>
              <w:rPr>
                <w:b/>
              </w:rPr>
            </w:pPr>
            <w:r>
              <w:rPr>
                <w:b/>
              </w:rPr>
              <w:t>Value</w:t>
            </w:r>
          </w:p>
        </w:tc>
        <w:tc>
          <w:tcPr>
            <w:tcW w:w="1936" w:type="dxa"/>
            <w:vAlign w:val="center"/>
          </w:tcPr>
          <w:p w14:paraId="46576D93" w14:textId="5CBA9991" w:rsidR="00297ECE" w:rsidRDefault="00297ECE" w:rsidP="00297ECE">
            <w:pPr>
              <w:spacing w:line="276" w:lineRule="auto"/>
              <w:ind w:right="0" w:firstLine="0"/>
              <w:jc w:val="center"/>
              <w:rPr>
                <w:b/>
              </w:rPr>
            </w:pPr>
            <w:r>
              <w:rPr>
                <w:b/>
              </w:rPr>
              <w:t>Frequency</w:t>
            </w:r>
          </w:p>
        </w:tc>
        <w:tc>
          <w:tcPr>
            <w:tcW w:w="1936" w:type="dxa"/>
            <w:vAlign w:val="center"/>
          </w:tcPr>
          <w:p w14:paraId="231370CD" w14:textId="4E110A72" w:rsidR="00297ECE" w:rsidRDefault="00297ECE" w:rsidP="00297ECE">
            <w:pPr>
              <w:spacing w:line="276" w:lineRule="auto"/>
              <w:ind w:right="0" w:firstLine="0"/>
              <w:jc w:val="center"/>
              <w:rPr>
                <w:b/>
              </w:rPr>
            </w:pPr>
            <w:r>
              <w:rPr>
                <w:b/>
              </w:rPr>
              <w:t>Percentage</w:t>
            </w:r>
          </w:p>
        </w:tc>
      </w:tr>
      <w:tr w:rsidR="00297ECE" w14:paraId="55F8BA31" w14:textId="77777777" w:rsidTr="00297ECE">
        <w:trPr>
          <w:jc w:val="center"/>
        </w:trPr>
        <w:tc>
          <w:tcPr>
            <w:tcW w:w="1935" w:type="dxa"/>
            <w:vAlign w:val="center"/>
          </w:tcPr>
          <w:p w14:paraId="64F92F54" w14:textId="2ACED0AB" w:rsidR="00297ECE" w:rsidRPr="00297ECE" w:rsidRDefault="00297ECE" w:rsidP="00297ECE">
            <w:pPr>
              <w:spacing w:line="276" w:lineRule="auto"/>
              <w:ind w:right="0" w:firstLine="0"/>
              <w:jc w:val="center"/>
              <w:rPr>
                <w:bCs/>
              </w:rPr>
            </w:pPr>
            <w:r w:rsidRPr="00297ECE">
              <w:rPr>
                <w:bCs/>
              </w:rPr>
              <w:t>Local knowledge</w:t>
            </w:r>
          </w:p>
        </w:tc>
        <w:tc>
          <w:tcPr>
            <w:tcW w:w="1936" w:type="dxa"/>
            <w:vAlign w:val="center"/>
          </w:tcPr>
          <w:p w14:paraId="46999543" w14:textId="26B49AD7" w:rsidR="00297ECE" w:rsidRPr="00297ECE" w:rsidRDefault="00297ECE" w:rsidP="00297ECE">
            <w:pPr>
              <w:spacing w:line="276" w:lineRule="auto"/>
              <w:ind w:right="0" w:firstLine="0"/>
              <w:jc w:val="center"/>
              <w:rPr>
                <w:bCs/>
              </w:rPr>
            </w:pPr>
            <w:r w:rsidRPr="00297ECE">
              <w:rPr>
                <w:bCs/>
              </w:rPr>
              <w:t>95</w:t>
            </w:r>
          </w:p>
        </w:tc>
        <w:tc>
          <w:tcPr>
            <w:tcW w:w="1936" w:type="dxa"/>
            <w:vAlign w:val="center"/>
          </w:tcPr>
          <w:p w14:paraId="0D000CD3" w14:textId="1350B2EF" w:rsidR="00297ECE" w:rsidRPr="00297ECE" w:rsidRDefault="00297ECE" w:rsidP="00297ECE">
            <w:pPr>
              <w:spacing w:line="276" w:lineRule="auto"/>
              <w:ind w:right="0" w:firstLine="0"/>
              <w:jc w:val="center"/>
              <w:rPr>
                <w:bCs/>
              </w:rPr>
            </w:pPr>
            <w:r w:rsidRPr="00297ECE">
              <w:rPr>
                <w:bCs/>
              </w:rPr>
              <w:t>86.36</w:t>
            </w:r>
          </w:p>
        </w:tc>
      </w:tr>
      <w:tr w:rsidR="00297ECE" w14:paraId="7631310B" w14:textId="77777777" w:rsidTr="00297ECE">
        <w:trPr>
          <w:jc w:val="center"/>
        </w:trPr>
        <w:tc>
          <w:tcPr>
            <w:tcW w:w="1935" w:type="dxa"/>
            <w:vAlign w:val="center"/>
          </w:tcPr>
          <w:p w14:paraId="420BC4D7" w14:textId="38696402" w:rsidR="00297ECE" w:rsidRPr="00297ECE" w:rsidRDefault="00297ECE" w:rsidP="00297ECE">
            <w:pPr>
              <w:spacing w:line="276" w:lineRule="auto"/>
              <w:ind w:right="0" w:firstLine="0"/>
              <w:jc w:val="center"/>
              <w:rPr>
                <w:bCs/>
              </w:rPr>
            </w:pPr>
            <w:r w:rsidRPr="00297ECE">
              <w:rPr>
                <w:bCs/>
              </w:rPr>
              <w:t>Other</w:t>
            </w:r>
          </w:p>
        </w:tc>
        <w:tc>
          <w:tcPr>
            <w:tcW w:w="1936" w:type="dxa"/>
            <w:vAlign w:val="center"/>
          </w:tcPr>
          <w:p w14:paraId="588B3A2E" w14:textId="6676AF3B" w:rsidR="00297ECE" w:rsidRPr="00297ECE" w:rsidRDefault="00297ECE" w:rsidP="00297ECE">
            <w:pPr>
              <w:spacing w:line="276" w:lineRule="auto"/>
              <w:ind w:right="0" w:firstLine="0"/>
              <w:jc w:val="center"/>
              <w:rPr>
                <w:bCs/>
              </w:rPr>
            </w:pPr>
            <w:r w:rsidRPr="00297ECE">
              <w:rPr>
                <w:bCs/>
              </w:rPr>
              <w:t>8</w:t>
            </w:r>
          </w:p>
        </w:tc>
        <w:tc>
          <w:tcPr>
            <w:tcW w:w="1936" w:type="dxa"/>
            <w:vAlign w:val="center"/>
          </w:tcPr>
          <w:p w14:paraId="7043DAE3" w14:textId="45ED54FC" w:rsidR="00297ECE" w:rsidRPr="00297ECE" w:rsidRDefault="00297ECE" w:rsidP="00297ECE">
            <w:pPr>
              <w:spacing w:line="276" w:lineRule="auto"/>
              <w:ind w:right="0" w:firstLine="0"/>
              <w:jc w:val="center"/>
              <w:rPr>
                <w:bCs/>
              </w:rPr>
            </w:pPr>
            <w:r w:rsidRPr="00297ECE">
              <w:rPr>
                <w:bCs/>
              </w:rPr>
              <w:t>7.27</w:t>
            </w:r>
          </w:p>
        </w:tc>
      </w:tr>
    </w:tbl>
    <w:p w14:paraId="2B0A2F1B" w14:textId="3B544276" w:rsidR="00C70C1E" w:rsidRDefault="00AF67C6" w:rsidP="00297ECE">
      <w:pPr>
        <w:spacing w:before="240" w:after="166"/>
        <w:ind w:left="-15" w:right="0" w:firstLine="582"/>
      </w:pPr>
      <w:r>
        <w:t xml:space="preserve">The study also examined the sources that farmers used to make changes to their farming input and the results of the study in Table 12 show that 95 respondents (86.36%) confirmed that they made changes based on their LEK system, denoting that the majority of these adaptive changes that farmers made were rooted in their LEK. Only a small fraction of eight respondents (7.27%) relied on other external sources, reinforcing the fact that LEK remained the dominant and trusted foundation for local adaptation.  </w:t>
      </w:r>
    </w:p>
    <w:p w14:paraId="40BDF640" w14:textId="77777777" w:rsidR="00C70C1E" w:rsidRDefault="00AF67C6" w:rsidP="001342F0">
      <w:pPr>
        <w:ind w:left="-15" w:right="0" w:hanging="10"/>
      </w:pPr>
      <w:r>
        <w:rPr>
          <w:b/>
        </w:rPr>
        <w:t xml:space="preserve">Table 13: </w:t>
      </w:r>
      <w:r>
        <w:t>Reported changes in farming practices in response to climate change</w:t>
      </w:r>
      <w:r>
        <w:rPr>
          <w:b/>
        </w:rPr>
        <w:t xml:space="preserve">  </w:t>
      </w:r>
    </w:p>
    <w:tbl>
      <w:tblPr>
        <w:tblStyle w:val="TableGrid"/>
        <w:tblW w:w="9316" w:type="dxa"/>
        <w:tblInd w:w="48" w:type="dxa"/>
        <w:tblCellMar>
          <w:top w:w="7" w:type="dxa"/>
          <w:right w:w="115" w:type="dxa"/>
        </w:tblCellMar>
        <w:tblLook w:val="04A0" w:firstRow="1" w:lastRow="0" w:firstColumn="1" w:lastColumn="0" w:noHBand="0" w:noVBand="1"/>
      </w:tblPr>
      <w:tblGrid>
        <w:gridCol w:w="5470"/>
        <w:gridCol w:w="2120"/>
        <w:gridCol w:w="1726"/>
      </w:tblGrid>
      <w:tr w:rsidR="00C70C1E" w14:paraId="0E1C2C6B" w14:textId="77777777">
        <w:trPr>
          <w:trHeight w:val="300"/>
        </w:trPr>
        <w:tc>
          <w:tcPr>
            <w:tcW w:w="5471" w:type="dxa"/>
            <w:tcBorders>
              <w:top w:val="single" w:sz="4" w:space="0" w:color="000000"/>
              <w:left w:val="nil"/>
              <w:bottom w:val="single" w:sz="4" w:space="0" w:color="000000"/>
              <w:right w:val="nil"/>
            </w:tcBorders>
          </w:tcPr>
          <w:p w14:paraId="529CCE1D" w14:textId="77777777" w:rsidR="00C70C1E" w:rsidRDefault="00AF67C6" w:rsidP="003C2E77">
            <w:pPr>
              <w:spacing w:after="0" w:line="259" w:lineRule="auto"/>
              <w:ind w:right="0" w:firstLine="0"/>
              <w:jc w:val="left"/>
            </w:pPr>
            <w:r>
              <w:t xml:space="preserve">Practices </w:t>
            </w:r>
          </w:p>
        </w:tc>
        <w:tc>
          <w:tcPr>
            <w:tcW w:w="2120" w:type="dxa"/>
            <w:tcBorders>
              <w:top w:val="single" w:sz="4" w:space="0" w:color="000000"/>
              <w:left w:val="nil"/>
              <w:bottom w:val="single" w:sz="4" w:space="0" w:color="000000"/>
              <w:right w:val="nil"/>
            </w:tcBorders>
          </w:tcPr>
          <w:p w14:paraId="649C18B5" w14:textId="77777777" w:rsidR="00C70C1E" w:rsidRDefault="00AF67C6" w:rsidP="003C2E77">
            <w:pPr>
              <w:spacing w:after="0" w:line="259" w:lineRule="auto"/>
              <w:ind w:right="0" w:firstLine="0"/>
              <w:jc w:val="left"/>
            </w:pPr>
            <w:r>
              <w:t xml:space="preserve">Frequency </w:t>
            </w:r>
          </w:p>
        </w:tc>
        <w:tc>
          <w:tcPr>
            <w:tcW w:w="1726" w:type="dxa"/>
            <w:tcBorders>
              <w:top w:val="single" w:sz="4" w:space="0" w:color="000000"/>
              <w:left w:val="nil"/>
              <w:bottom w:val="single" w:sz="4" w:space="0" w:color="000000"/>
              <w:right w:val="nil"/>
            </w:tcBorders>
          </w:tcPr>
          <w:p w14:paraId="536CC05A" w14:textId="77777777" w:rsidR="00C70C1E" w:rsidRDefault="00AF67C6" w:rsidP="003C2E77">
            <w:pPr>
              <w:spacing w:after="0" w:line="259" w:lineRule="auto"/>
              <w:ind w:right="0" w:firstLine="0"/>
              <w:jc w:val="left"/>
            </w:pPr>
            <w:r>
              <w:t xml:space="preserve">Percentages (%) </w:t>
            </w:r>
          </w:p>
        </w:tc>
      </w:tr>
      <w:tr w:rsidR="00C70C1E" w14:paraId="6F697B4A" w14:textId="77777777">
        <w:trPr>
          <w:trHeight w:val="275"/>
        </w:trPr>
        <w:tc>
          <w:tcPr>
            <w:tcW w:w="5471" w:type="dxa"/>
            <w:tcBorders>
              <w:top w:val="single" w:sz="4" w:space="0" w:color="000000"/>
              <w:left w:val="nil"/>
              <w:bottom w:val="nil"/>
              <w:right w:val="nil"/>
            </w:tcBorders>
          </w:tcPr>
          <w:p w14:paraId="69E0B1AD" w14:textId="77777777" w:rsidR="00C70C1E" w:rsidRDefault="00AF67C6" w:rsidP="003C2E77">
            <w:pPr>
              <w:spacing w:after="0" w:line="259" w:lineRule="auto"/>
              <w:ind w:right="0" w:firstLine="0"/>
              <w:jc w:val="left"/>
            </w:pPr>
            <w:r>
              <w:t xml:space="preserve">Early cultivation &amp; Harvesting </w:t>
            </w:r>
          </w:p>
        </w:tc>
        <w:tc>
          <w:tcPr>
            <w:tcW w:w="2120" w:type="dxa"/>
            <w:tcBorders>
              <w:top w:val="single" w:sz="4" w:space="0" w:color="000000"/>
              <w:left w:val="nil"/>
              <w:bottom w:val="nil"/>
              <w:right w:val="nil"/>
            </w:tcBorders>
          </w:tcPr>
          <w:p w14:paraId="6C0D2B83" w14:textId="77777777" w:rsidR="00C70C1E" w:rsidRDefault="00AF67C6" w:rsidP="003C2E77">
            <w:pPr>
              <w:spacing w:after="0" w:line="259" w:lineRule="auto"/>
              <w:ind w:right="0" w:firstLine="0"/>
              <w:jc w:val="left"/>
            </w:pPr>
            <w:r>
              <w:t xml:space="preserve">36 </w:t>
            </w:r>
          </w:p>
        </w:tc>
        <w:tc>
          <w:tcPr>
            <w:tcW w:w="1726" w:type="dxa"/>
            <w:tcBorders>
              <w:top w:val="single" w:sz="4" w:space="0" w:color="000000"/>
              <w:left w:val="nil"/>
              <w:bottom w:val="nil"/>
              <w:right w:val="nil"/>
            </w:tcBorders>
          </w:tcPr>
          <w:p w14:paraId="504B2F7C" w14:textId="77777777" w:rsidR="00C70C1E" w:rsidRDefault="00AF67C6" w:rsidP="003C2E77">
            <w:pPr>
              <w:spacing w:after="0" w:line="259" w:lineRule="auto"/>
              <w:ind w:right="0" w:firstLine="0"/>
              <w:jc w:val="left"/>
            </w:pPr>
            <w:r>
              <w:t xml:space="preserve">37.89 </w:t>
            </w:r>
          </w:p>
        </w:tc>
      </w:tr>
      <w:tr w:rsidR="00C70C1E" w14:paraId="13DC7956" w14:textId="77777777">
        <w:trPr>
          <w:trHeight w:val="292"/>
        </w:trPr>
        <w:tc>
          <w:tcPr>
            <w:tcW w:w="5471" w:type="dxa"/>
            <w:tcBorders>
              <w:top w:val="nil"/>
              <w:left w:val="nil"/>
              <w:bottom w:val="nil"/>
              <w:right w:val="nil"/>
            </w:tcBorders>
          </w:tcPr>
          <w:p w14:paraId="3CABBE85" w14:textId="77777777" w:rsidR="00C70C1E" w:rsidRDefault="00AF67C6" w:rsidP="003C2E77">
            <w:pPr>
              <w:spacing w:after="0" w:line="259" w:lineRule="auto"/>
              <w:ind w:right="0" w:firstLine="0"/>
              <w:jc w:val="left"/>
            </w:pPr>
            <w:r>
              <w:t xml:space="preserve">Intercropping    </w:t>
            </w:r>
          </w:p>
        </w:tc>
        <w:tc>
          <w:tcPr>
            <w:tcW w:w="2120" w:type="dxa"/>
            <w:tcBorders>
              <w:top w:val="nil"/>
              <w:left w:val="nil"/>
              <w:bottom w:val="nil"/>
              <w:right w:val="nil"/>
            </w:tcBorders>
          </w:tcPr>
          <w:p w14:paraId="23B8B8E1" w14:textId="77777777" w:rsidR="00C70C1E" w:rsidRDefault="00AF67C6" w:rsidP="003C2E77">
            <w:pPr>
              <w:spacing w:after="0" w:line="259" w:lineRule="auto"/>
              <w:ind w:right="0" w:firstLine="0"/>
              <w:jc w:val="left"/>
            </w:pPr>
            <w:r>
              <w:t xml:space="preserve">30 </w:t>
            </w:r>
          </w:p>
        </w:tc>
        <w:tc>
          <w:tcPr>
            <w:tcW w:w="1726" w:type="dxa"/>
            <w:tcBorders>
              <w:top w:val="nil"/>
              <w:left w:val="nil"/>
              <w:bottom w:val="nil"/>
              <w:right w:val="nil"/>
            </w:tcBorders>
          </w:tcPr>
          <w:p w14:paraId="00994AF0" w14:textId="77777777" w:rsidR="00C70C1E" w:rsidRDefault="00AF67C6" w:rsidP="003C2E77">
            <w:pPr>
              <w:spacing w:after="0" w:line="259" w:lineRule="auto"/>
              <w:ind w:right="0" w:firstLine="0"/>
              <w:jc w:val="left"/>
            </w:pPr>
            <w:r>
              <w:t xml:space="preserve">31.58 </w:t>
            </w:r>
          </w:p>
        </w:tc>
      </w:tr>
      <w:tr w:rsidR="00C70C1E" w14:paraId="5F5AFC77" w14:textId="77777777">
        <w:trPr>
          <w:trHeight w:val="292"/>
        </w:trPr>
        <w:tc>
          <w:tcPr>
            <w:tcW w:w="5471" w:type="dxa"/>
            <w:tcBorders>
              <w:top w:val="nil"/>
              <w:left w:val="nil"/>
              <w:bottom w:val="nil"/>
              <w:right w:val="nil"/>
            </w:tcBorders>
          </w:tcPr>
          <w:p w14:paraId="0C2788CD" w14:textId="77777777" w:rsidR="00C70C1E" w:rsidRDefault="00AF67C6" w:rsidP="003C2E77">
            <w:pPr>
              <w:spacing w:after="0" w:line="259" w:lineRule="auto"/>
              <w:ind w:right="0" w:firstLine="0"/>
              <w:jc w:val="left"/>
            </w:pPr>
            <w:r>
              <w:t xml:space="preserve">Crop rotation </w:t>
            </w:r>
          </w:p>
        </w:tc>
        <w:tc>
          <w:tcPr>
            <w:tcW w:w="2120" w:type="dxa"/>
            <w:tcBorders>
              <w:top w:val="nil"/>
              <w:left w:val="nil"/>
              <w:bottom w:val="nil"/>
              <w:right w:val="nil"/>
            </w:tcBorders>
          </w:tcPr>
          <w:p w14:paraId="63B7D40F" w14:textId="77777777" w:rsidR="00C70C1E" w:rsidRDefault="00AF67C6" w:rsidP="003C2E77">
            <w:pPr>
              <w:spacing w:after="0" w:line="259" w:lineRule="auto"/>
              <w:ind w:right="0" w:firstLine="0"/>
              <w:jc w:val="left"/>
            </w:pPr>
            <w:r>
              <w:t xml:space="preserve">19 </w:t>
            </w:r>
          </w:p>
        </w:tc>
        <w:tc>
          <w:tcPr>
            <w:tcW w:w="1726" w:type="dxa"/>
            <w:tcBorders>
              <w:top w:val="nil"/>
              <w:left w:val="nil"/>
              <w:bottom w:val="nil"/>
              <w:right w:val="nil"/>
            </w:tcBorders>
          </w:tcPr>
          <w:p w14:paraId="1E4F32C2" w14:textId="77777777" w:rsidR="00C70C1E" w:rsidRDefault="00AF67C6" w:rsidP="003C2E77">
            <w:pPr>
              <w:spacing w:after="0" w:line="259" w:lineRule="auto"/>
              <w:ind w:right="0" w:firstLine="0"/>
              <w:jc w:val="left"/>
            </w:pPr>
            <w:r>
              <w:t xml:space="preserve">20 </w:t>
            </w:r>
          </w:p>
        </w:tc>
      </w:tr>
      <w:tr w:rsidR="00C70C1E" w14:paraId="3B89DF86" w14:textId="77777777">
        <w:trPr>
          <w:trHeight w:val="290"/>
        </w:trPr>
        <w:tc>
          <w:tcPr>
            <w:tcW w:w="5471" w:type="dxa"/>
            <w:tcBorders>
              <w:top w:val="nil"/>
              <w:left w:val="nil"/>
              <w:bottom w:val="nil"/>
              <w:right w:val="nil"/>
            </w:tcBorders>
          </w:tcPr>
          <w:p w14:paraId="40943FB7" w14:textId="77777777" w:rsidR="00C70C1E" w:rsidRDefault="00AF67C6" w:rsidP="003C2E77">
            <w:pPr>
              <w:spacing w:after="0" w:line="259" w:lineRule="auto"/>
              <w:ind w:right="0" w:firstLine="0"/>
              <w:jc w:val="left"/>
            </w:pPr>
            <w:r>
              <w:t xml:space="preserve">Agroforestry </w:t>
            </w:r>
          </w:p>
        </w:tc>
        <w:tc>
          <w:tcPr>
            <w:tcW w:w="2120" w:type="dxa"/>
            <w:tcBorders>
              <w:top w:val="nil"/>
              <w:left w:val="nil"/>
              <w:bottom w:val="nil"/>
              <w:right w:val="nil"/>
            </w:tcBorders>
          </w:tcPr>
          <w:p w14:paraId="125D2B32" w14:textId="77777777" w:rsidR="00C70C1E" w:rsidRDefault="00AF67C6" w:rsidP="003C2E77">
            <w:pPr>
              <w:spacing w:after="0" w:line="259" w:lineRule="auto"/>
              <w:ind w:right="0" w:firstLine="0"/>
              <w:jc w:val="left"/>
            </w:pPr>
            <w:r>
              <w:t xml:space="preserve">7 </w:t>
            </w:r>
          </w:p>
        </w:tc>
        <w:tc>
          <w:tcPr>
            <w:tcW w:w="1726" w:type="dxa"/>
            <w:tcBorders>
              <w:top w:val="nil"/>
              <w:left w:val="nil"/>
              <w:bottom w:val="nil"/>
              <w:right w:val="nil"/>
            </w:tcBorders>
          </w:tcPr>
          <w:p w14:paraId="1B4EDD3B" w14:textId="77777777" w:rsidR="00C70C1E" w:rsidRDefault="00AF67C6" w:rsidP="003C2E77">
            <w:pPr>
              <w:spacing w:after="0" w:line="259" w:lineRule="auto"/>
              <w:ind w:right="0" w:firstLine="0"/>
              <w:jc w:val="left"/>
            </w:pPr>
            <w:r>
              <w:t xml:space="preserve">7.37 </w:t>
            </w:r>
          </w:p>
        </w:tc>
      </w:tr>
      <w:tr w:rsidR="00C70C1E" w14:paraId="7D1F751D" w14:textId="77777777">
        <w:trPr>
          <w:trHeight w:val="316"/>
        </w:trPr>
        <w:tc>
          <w:tcPr>
            <w:tcW w:w="5471" w:type="dxa"/>
            <w:tcBorders>
              <w:top w:val="nil"/>
              <w:left w:val="nil"/>
              <w:bottom w:val="single" w:sz="4" w:space="0" w:color="000000"/>
              <w:right w:val="nil"/>
            </w:tcBorders>
          </w:tcPr>
          <w:p w14:paraId="3350EF46" w14:textId="77777777" w:rsidR="00C70C1E" w:rsidRDefault="00AF67C6" w:rsidP="003C2E77">
            <w:pPr>
              <w:spacing w:after="0" w:line="259" w:lineRule="auto"/>
              <w:ind w:right="0" w:firstLine="0"/>
              <w:jc w:val="left"/>
            </w:pPr>
            <w:r>
              <w:t xml:space="preserve">Mulching </w:t>
            </w:r>
          </w:p>
        </w:tc>
        <w:tc>
          <w:tcPr>
            <w:tcW w:w="2120" w:type="dxa"/>
            <w:tcBorders>
              <w:top w:val="nil"/>
              <w:left w:val="nil"/>
              <w:bottom w:val="single" w:sz="4" w:space="0" w:color="000000"/>
              <w:right w:val="nil"/>
            </w:tcBorders>
          </w:tcPr>
          <w:p w14:paraId="42F810DE" w14:textId="77777777" w:rsidR="00C70C1E" w:rsidRDefault="00AF67C6" w:rsidP="003C2E77">
            <w:pPr>
              <w:spacing w:after="0" w:line="259" w:lineRule="auto"/>
              <w:ind w:right="0" w:firstLine="0"/>
              <w:jc w:val="left"/>
            </w:pPr>
            <w:r>
              <w:t xml:space="preserve">3 </w:t>
            </w:r>
          </w:p>
        </w:tc>
        <w:tc>
          <w:tcPr>
            <w:tcW w:w="1726" w:type="dxa"/>
            <w:tcBorders>
              <w:top w:val="nil"/>
              <w:left w:val="nil"/>
              <w:bottom w:val="single" w:sz="4" w:space="0" w:color="000000"/>
              <w:right w:val="nil"/>
            </w:tcBorders>
          </w:tcPr>
          <w:p w14:paraId="41ABF694" w14:textId="77777777" w:rsidR="00C70C1E" w:rsidRDefault="00AF67C6" w:rsidP="003C2E77">
            <w:pPr>
              <w:spacing w:after="0" w:line="259" w:lineRule="auto"/>
              <w:ind w:right="0" w:firstLine="0"/>
              <w:jc w:val="left"/>
            </w:pPr>
            <w:r>
              <w:t xml:space="preserve">3.16 </w:t>
            </w:r>
          </w:p>
        </w:tc>
      </w:tr>
    </w:tbl>
    <w:p w14:paraId="3ADCC236" w14:textId="77777777" w:rsidR="00C70C1E" w:rsidRDefault="00AF67C6" w:rsidP="00673630">
      <w:pPr>
        <w:spacing w:before="240" w:after="249"/>
        <w:ind w:right="158" w:firstLine="567"/>
      </w:pPr>
      <w:r>
        <w:t>Reported changes in farming practices in response to climate change</w:t>
      </w:r>
      <w:r>
        <w:rPr>
          <w:b/>
        </w:rPr>
        <w:t xml:space="preserve"> </w:t>
      </w:r>
      <w:r>
        <w:t xml:space="preserve">were also examined and the results of the study in Table 13 show that early cultivation was the most frequently adopted adaptation practice, followed by intercropping, and crop rotation. These practices, largely informed by LEK, helped smallholder farmers adjust to unpredictable rainfall patterns and reduced risks of crop failure. This shows that cultivation timing, adopting resilient cropping techniques, and modifying field management practices were reported to be the main adaptive responses to climate variability and change. </w:t>
      </w:r>
    </w:p>
    <w:p w14:paraId="25BD665F" w14:textId="77777777" w:rsidR="000D78E2" w:rsidRDefault="000D78E2" w:rsidP="00673630">
      <w:pPr>
        <w:spacing w:before="240" w:after="249"/>
        <w:ind w:right="158" w:firstLine="567"/>
      </w:pPr>
    </w:p>
    <w:p w14:paraId="42136204" w14:textId="6F512259" w:rsidR="00C70C1E" w:rsidRDefault="000D78E2" w:rsidP="00377079">
      <w:pPr>
        <w:spacing w:line="276" w:lineRule="auto"/>
        <w:ind w:left="708" w:right="0" w:hanging="10"/>
      </w:pPr>
      <w:r>
        <w:rPr>
          <w:b/>
        </w:rPr>
        <w:lastRenderedPageBreak/>
        <w:t xml:space="preserve">                    </w:t>
      </w:r>
      <w:r w:rsidR="00AF67C6">
        <w:rPr>
          <w:b/>
        </w:rPr>
        <w:t xml:space="preserve">Table 14: </w:t>
      </w:r>
      <w:r w:rsidR="00AF67C6">
        <w:t xml:space="preserve">Impact of changed practices on crop yield </w:t>
      </w:r>
    </w:p>
    <w:tbl>
      <w:tblPr>
        <w:tblStyle w:val="TableGrid0"/>
        <w:tblW w:w="0" w:type="auto"/>
        <w:jc w:val="center"/>
        <w:tblLook w:val="04A0" w:firstRow="1" w:lastRow="0" w:firstColumn="1" w:lastColumn="0" w:noHBand="0" w:noVBand="1"/>
      </w:tblPr>
      <w:tblGrid>
        <w:gridCol w:w="1935"/>
        <w:gridCol w:w="1936"/>
        <w:gridCol w:w="1936"/>
      </w:tblGrid>
      <w:tr w:rsidR="000D78E2" w14:paraId="1A4871DF" w14:textId="77777777" w:rsidTr="000D78E2">
        <w:trPr>
          <w:jc w:val="center"/>
        </w:trPr>
        <w:tc>
          <w:tcPr>
            <w:tcW w:w="1935" w:type="dxa"/>
            <w:vAlign w:val="center"/>
          </w:tcPr>
          <w:p w14:paraId="547848DB" w14:textId="313CE89A" w:rsidR="000D78E2" w:rsidRPr="000D78E2" w:rsidRDefault="000D78E2" w:rsidP="00377079">
            <w:pPr>
              <w:spacing w:line="276" w:lineRule="auto"/>
              <w:ind w:right="0" w:firstLine="0"/>
              <w:jc w:val="center"/>
              <w:rPr>
                <w:b/>
                <w:bCs/>
              </w:rPr>
            </w:pPr>
            <w:r w:rsidRPr="000D78E2">
              <w:rPr>
                <w:b/>
                <w:bCs/>
              </w:rPr>
              <w:t>Value</w:t>
            </w:r>
          </w:p>
        </w:tc>
        <w:tc>
          <w:tcPr>
            <w:tcW w:w="1936" w:type="dxa"/>
            <w:vAlign w:val="center"/>
          </w:tcPr>
          <w:p w14:paraId="258FD8F2" w14:textId="28481F33" w:rsidR="000D78E2" w:rsidRPr="000D78E2" w:rsidRDefault="000D78E2" w:rsidP="00377079">
            <w:pPr>
              <w:spacing w:line="276" w:lineRule="auto"/>
              <w:ind w:right="0" w:firstLine="0"/>
              <w:jc w:val="center"/>
              <w:rPr>
                <w:b/>
                <w:bCs/>
              </w:rPr>
            </w:pPr>
            <w:r w:rsidRPr="000D78E2">
              <w:rPr>
                <w:b/>
                <w:bCs/>
              </w:rPr>
              <w:t>Frequency</w:t>
            </w:r>
          </w:p>
        </w:tc>
        <w:tc>
          <w:tcPr>
            <w:tcW w:w="1936" w:type="dxa"/>
            <w:vAlign w:val="center"/>
          </w:tcPr>
          <w:p w14:paraId="1A827829" w14:textId="077053BC" w:rsidR="000D78E2" w:rsidRPr="000D78E2" w:rsidRDefault="000D78E2" w:rsidP="00377079">
            <w:pPr>
              <w:spacing w:line="276" w:lineRule="auto"/>
              <w:ind w:right="0" w:firstLine="0"/>
              <w:jc w:val="center"/>
              <w:rPr>
                <w:b/>
                <w:bCs/>
              </w:rPr>
            </w:pPr>
            <w:r w:rsidRPr="000D78E2">
              <w:rPr>
                <w:b/>
                <w:bCs/>
              </w:rPr>
              <w:t>Percentage</w:t>
            </w:r>
          </w:p>
        </w:tc>
      </w:tr>
      <w:tr w:rsidR="000D78E2" w14:paraId="629F18A2" w14:textId="77777777" w:rsidTr="000D78E2">
        <w:trPr>
          <w:jc w:val="center"/>
        </w:trPr>
        <w:tc>
          <w:tcPr>
            <w:tcW w:w="1935" w:type="dxa"/>
            <w:vAlign w:val="center"/>
          </w:tcPr>
          <w:p w14:paraId="68453B98" w14:textId="089727C9" w:rsidR="000D78E2" w:rsidRDefault="000D78E2" w:rsidP="00377079">
            <w:pPr>
              <w:spacing w:line="276" w:lineRule="auto"/>
              <w:ind w:right="0" w:firstLine="0"/>
              <w:jc w:val="center"/>
            </w:pPr>
            <w:r>
              <w:t>Increased</w:t>
            </w:r>
          </w:p>
        </w:tc>
        <w:tc>
          <w:tcPr>
            <w:tcW w:w="1936" w:type="dxa"/>
            <w:vAlign w:val="center"/>
          </w:tcPr>
          <w:p w14:paraId="430C3047" w14:textId="01DE53B6" w:rsidR="000D78E2" w:rsidRDefault="000D78E2" w:rsidP="00377079">
            <w:pPr>
              <w:spacing w:line="276" w:lineRule="auto"/>
              <w:ind w:right="0" w:firstLine="0"/>
              <w:jc w:val="center"/>
            </w:pPr>
            <w:r>
              <w:t>92</w:t>
            </w:r>
          </w:p>
        </w:tc>
        <w:tc>
          <w:tcPr>
            <w:tcW w:w="1936" w:type="dxa"/>
            <w:vAlign w:val="center"/>
          </w:tcPr>
          <w:p w14:paraId="45A4E983" w14:textId="4AFDA956" w:rsidR="000D78E2" w:rsidRDefault="000D78E2" w:rsidP="00377079">
            <w:pPr>
              <w:spacing w:line="276" w:lineRule="auto"/>
              <w:ind w:right="0" w:firstLine="0"/>
              <w:jc w:val="center"/>
            </w:pPr>
            <w:r>
              <w:t>83.64</w:t>
            </w:r>
          </w:p>
        </w:tc>
      </w:tr>
      <w:tr w:rsidR="000D78E2" w14:paraId="0DB28C21" w14:textId="77777777" w:rsidTr="000D78E2">
        <w:trPr>
          <w:jc w:val="center"/>
        </w:trPr>
        <w:tc>
          <w:tcPr>
            <w:tcW w:w="1935" w:type="dxa"/>
            <w:vAlign w:val="center"/>
          </w:tcPr>
          <w:p w14:paraId="0C80FB16" w14:textId="29E033A2" w:rsidR="000D78E2" w:rsidRDefault="000D78E2" w:rsidP="00377079">
            <w:pPr>
              <w:spacing w:line="276" w:lineRule="auto"/>
              <w:ind w:right="0" w:firstLine="0"/>
              <w:jc w:val="center"/>
            </w:pPr>
            <w:r>
              <w:t>Decreased</w:t>
            </w:r>
          </w:p>
        </w:tc>
        <w:tc>
          <w:tcPr>
            <w:tcW w:w="1936" w:type="dxa"/>
            <w:vAlign w:val="center"/>
          </w:tcPr>
          <w:p w14:paraId="4B2D349D" w14:textId="61B0DE74" w:rsidR="000D78E2" w:rsidRDefault="000D78E2" w:rsidP="00377079">
            <w:pPr>
              <w:spacing w:line="276" w:lineRule="auto"/>
              <w:ind w:right="0" w:firstLine="0"/>
              <w:jc w:val="center"/>
            </w:pPr>
            <w:r>
              <w:t>2</w:t>
            </w:r>
          </w:p>
        </w:tc>
        <w:tc>
          <w:tcPr>
            <w:tcW w:w="1936" w:type="dxa"/>
            <w:vAlign w:val="center"/>
          </w:tcPr>
          <w:p w14:paraId="204838AA" w14:textId="21BBC194" w:rsidR="000D78E2" w:rsidRDefault="000D78E2" w:rsidP="00377079">
            <w:pPr>
              <w:spacing w:line="276" w:lineRule="auto"/>
              <w:ind w:right="0" w:firstLine="0"/>
              <w:jc w:val="center"/>
            </w:pPr>
            <w:r>
              <w:t>1.82</w:t>
            </w:r>
          </w:p>
        </w:tc>
      </w:tr>
      <w:tr w:rsidR="000D78E2" w14:paraId="69FB9EA1" w14:textId="77777777" w:rsidTr="000D78E2">
        <w:trPr>
          <w:jc w:val="center"/>
        </w:trPr>
        <w:tc>
          <w:tcPr>
            <w:tcW w:w="1935" w:type="dxa"/>
            <w:vAlign w:val="center"/>
          </w:tcPr>
          <w:p w14:paraId="15B69493" w14:textId="23D4CA90" w:rsidR="000D78E2" w:rsidRDefault="000D78E2" w:rsidP="00377079">
            <w:pPr>
              <w:spacing w:line="276" w:lineRule="auto"/>
              <w:ind w:right="0" w:firstLine="0"/>
              <w:jc w:val="center"/>
            </w:pPr>
            <w:r>
              <w:t>No change</w:t>
            </w:r>
          </w:p>
        </w:tc>
        <w:tc>
          <w:tcPr>
            <w:tcW w:w="1936" w:type="dxa"/>
            <w:vAlign w:val="center"/>
          </w:tcPr>
          <w:p w14:paraId="186E82ED" w14:textId="05EFF414" w:rsidR="000D78E2" w:rsidRDefault="000D78E2" w:rsidP="00377079">
            <w:pPr>
              <w:spacing w:line="276" w:lineRule="auto"/>
              <w:ind w:right="0" w:firstLine="0"/>
              <w:jc w:val="center"/>
            </w:pPr>
            <w:r>
              <w:t>13</w:t>
            </w:r>
          </w:p>
        </w:tc>
        <w:tc>
          <w:tcPr>
            <w:tcW w:w="1936" w:type="dxa"/>
            <w:vAlign w:val="center"/>
          </w:tcPr>
          <w:p w14:paraId="62A1886D" w14:textId="3A04B56D" w:rsidR="000D78E2" w:rsidRDefault="000D78E2" w:rsidP="00377079">
            <w:pPr>
              <w:spacing w:line="276" w:lineRule="auto"/>
              <w:ind w:right="0" w:firstLine="0"/>
              <w:jc w:val="center"/>
            </w:pPr>
            <w:r>
              <w:t>11.82</w:t>
            </w:r>
          </w:p>
        </w:tc>
      </w:tr>
    </w:tbl>
    <w:p w14:paraId="3C0C2E84" w14:textId="77777777" w:rsidR="00C70C1E" w:rsidRDefault="00AF67C6" w:rsidP="000D78E2">
      <w:pPr>
        <w:spacing w:before="240" w:after="179"/>
        <w:ind w:left="-15" w:right="0" w:firstLine="582"/>
      </w:pPr>
      <w:r>
        <w:t xml:space="preserve">The impact of changed practices on crop yield was also examined and the results of the study in Table 14 reveal that out of 103 respondents, 92 (83.64%) noted an increase in their crop productivity, while 13 (11.82%) respondents reported noticing no change and only two (1.82%) observed a decline in crop yields. The overall positive response demonstrates the relevance, accuracy and adaptability of LEK in coping with climate-related stressors. </w:t>
      </w:r>
    </w:p>
    <w:p w14:paraId="3A61436A" w14:textId="1BB2B807" w:rsidR="00C70C1E" w:rsidRDefault="00AF67C6" w:rsidP="00804027">
      <w:pPr>
        <w:pStyle w:val="Heading3"/>
        <w:numPr>
          <w:ilvl w:val="1"/>
          <w:numId w:val="7"/>
        </w:numPr>
        <w:tabs>
          <w:tab w:val="center" w:pos="2160"/>
        </w:tabs>
        <w:spacing w:after="21"/>
        <w:ind w:left="567" w:right="0" w:hanging="567"/>
      </w:pPr>
      <w:r>
        <w:t>LEK in relation to climate change</w:t>
      </w:r>
      <w:r>
        <w:rPr>
          <w:b w:val="0"/>
        </w:rPr>
        <w:t xml:space="preserve"> </w:t>
      </w:r>
    </w:p>
    <w:p w14:paraId="4063FB98" w14:textId="2C8C651F" w:rsidR="00C70C1E" w:rsidRDefault="00AF67C6" w:rsidP="00804027">
      <w:pPr>
        <w:pStyle w:val="Heading4"/>
        <w:numPr>
          <w:ilvl w:val="2"/>
          <w:numId w:val="7"/>
        </w:numPr>
        <w:spacing w:after="173"/>
        <w:ind w:left="567" w:right="0" w:hanging="567"/>
      </w:pPr>
      <w:r>
        <w:t xml:space="preserve">LEK and climate change adaptation </w:t>
      </w:r>
    </w:p>
    <w:p w14:paraId="56B7D800" w14:textId="77777777" w:rsidR="00C70C1E" w:rsidRDefault="00AF67C6" w:rsidP="00673630">
      <w:pPr>
        <w:spacing w:after="173"/>
        <w:ind w:left="-15" w:right="0" w:firstLine="582"/>
      </w:pPr>
      <w:r>
        <w:t xml:space="preserve">The use of LEK in climate change adaptation was examined to determine the knowledge and practices adopted by smallholder farmers in responding to climate variability and change. The results of the study in Table 15 and 16 reveal that farmers in Mbereshi village utilized a wide range of LEK to adapt to climate variability and changing seasonal patterns and hence all 110 respondents (100%) provided at least one example of LEK they actively used.  </w:t>
      </w:r>
    </w:p>
    <w:p w14:paraId="65E65369" w14:textId="77777777" w:rsidR="00C70C1E" w:rsidRDefault="00AF67C6" w:rsidP="001342F0">
      <w:pPr>
        <w:ind w:left="-15" w:right="0" w:hanging="10"/>
      </w:pPr>
      <w:r>
        <w:rPr>
          <w:b/>
        </w:rPr>
        <w:t>Table 15</w:t>
      </w:r>
      <w:r>
        <w:t xml:space="preserve">: LEK – Knowledge </w:t>
      </w:r>
    </w:p>
    <w:tbl>
      <w:tblPr>
        <w:tblStyle w:val="TableGrid"/>
        <w:tblW w:w="9316" w:type="dxa"/>
        <w:tblInd w:w="48" w:type="dxa"/>
        <w:tblCellMar>
          <w:top w:w="7" w:type="dxa"/>
          <w:right w:w="115" w:type="dxa"/>
        </w:tblCellMar>
        <w:tblLook w:val="04A0" w:firstRow="1" w:lastRow="0" w:firstColumn="1" w:lastColumn="0" w:noHBand="0" w:noVBand="1"/>
      </w:tblPr>
      <w:tblGrid>
        <w:gridCol w:w="5886"/>
        <w:gridCol w:w="1700"/>
        <w:gridCol w:w="1730"/>
      </w:tblGrid>
      <w:tr w:rsidR="00C70C1E" w14:paraId="55DC4AF9" w14:textId="77777777">
        <w:trPr>
          <w:trHeight w:val="300"/>
        </w:trPr>
        <w:tc>
          <w:tcPr>
            <w:tcW w:w="5886" w:type="dxa"/>
            <w:tcBorders>
              <w:top w:val="single" w:sz="4" w:space="0" w:color="000000"/>
              <w:left w:val="nil"/>
              <w:bottom w:val="single" w:sz="4" w:space="0" w:color="000000"/>
              <w:right w:val="nil"/>
            </w:tcBorders>
          </w:tcPr>
          <w:p w14:paraId="501AD410" w14:textId="77777777" w:rsidR="00C70C1E" w:rsidRPr="00D932C5" w:rsidRDefault="00AF67C6" w:rsidP="00A91EB8">
            <w:pPr>
              <w:spacing w:after="0" w:line="259" w:lineRule="auto"/>
              <w:ind w:left="108" w:right="0" w:hanging="108"/>
              <w:jc w:val="left"/>
              <w:rPr>
                <w:b/>
                <w:bCs/>
              </w:rPr>
            </w:pPr>
            <w:r w:rsidRPr="00D932C5">
              <w:rPr>
                <w:b/>
                <w:bCs/>
              </w:rPr>
              <w:t xml:space="preserve">LEK Knowledge </w:t>
            </w:r>
          </w:p>
        </w:tc>
        <w:tc>
          <w:tcPr>
            <w:tcW w:w="1700" w:type="dxa"/>
            <w:tcBorders>
              <w:top w:val="single" w:sz="4" w:space="0" w:color="000000"/>
              <w:left w:val="nil"/>
              <w:bottom w:val="single" w:sz="4" w:space="0" w:color="000000"/>
              <w:right w:val="nil"/>
            </w:tcBorders>
          </w:tcPr>
          <w:p w14:paraId="30463963" w14:textId="77777777" w:rsidR="00C70C1E" w:rsidRPr="00D932C5" w:rsidRDefault="00AF67C6" w:rsidP="009004C2">
            <w:pPr>
              <w:spacing w:after="0" w:line="259" w:lineRule="auto"/>
              <w:ind w:right="0" w:firstLine="0"/>
              <w:jc w:val="left"/>
              <w:rPr>
                <w:b/>
                <w:bCs/>
              </w:rPr>
            </w:pPr>
            <w:r w:rsidRPr="00D932C5">
              <w:rPr>
                <w:b/>
                <w:bCs/>
              </w:rPr>
              <w:t xml:space="preserve">Frequency </w:t>
            </w:r>
          </w:p>
        </w:tc>
        <w:tc>
          <w:tcPr>
            <w:tcW w:w="1730" w:type="dxa"/>
            <w:tcBorders>
              <w:top w:val="single" w:sz="4" w:space="0" w:color="000000"/>
              <w:left w:val="nil"/>
              <w:bottom w:val="single" w:sz="4" w:space="0" w:color="000000"/>
              <w:right w:val="nil"/>
            </w:tcBorders>
          </w:tcPr>
          <w:p w14:paraId="11146110" w14:textId="77777777" w:rsidR="00C70C1E" w:rsidRPr="00D932C5" w:rsidRDefault="00AF67C6" w:rsidP="009004C2">
            <w:pPr>
              <w:spacing w:after="0" w:line="259" w:lineRule="auto"/>
              <w:ind w:right="0" w:firstLine="0"/>
              <w:jc w:val="left"/>
              <w:rPr>
                <w:b/>
                <w:bCs/>
              </w:rPr>
            </w:pPr>
            <w:r w:rsidRPr="00D932C5">
              <w:rPr>
                <w:b/>
                <w:bCs/>
              </w:rPr>
              <w:t xml:space="preserve">Percentage (%) </w:t>
            </w:r>
          </w:p>
        </w:tc>
      </w:tr>
      <w:tr w:rsidR="00C70C1E" w14:paraId="55553E22" w14:textId="77777777">
        <w:trPr>
          <w:trHeight w:val="275"/>
        </w:trPr>
        <w:tc>
          <w:tcPr>
            <w:tcW w:w="5886" w:type="dxa"/>
            <w:tcBorders>
              <w:top w:val="single" w:sz="4" w:space="0" w:color="000000"/>
              <w:left w:val="nil"/>
              <w:bottom w:val="nil"/>
              <w:right w:val="nil"/>
            </w:tcBorders>
          </w:tcPr>
          <w:p w14:paraId="7F351A14" w14:textId="77777777" w:rsidR="00C70C1E" w:rsidRDefault="00AF67C6" w:rsidP="00A91EB8">
            <w:pPr>
              <w:spacing w:after="0" w:line="259" w:lineRule="auto"/>
              <w:ind w:left="108" w:right="0" w:hanging="108"/>
              <w:jc w:val="left"/>
            </w:pPr>
            <w:r>
              <w:t>Plant flowering and blooming</w:t>
            </w:r>
            <w:r>
              <w:rPr>
                <w:b/>
              </w:rPr>
              <w:t xml:space="preserve"> </w:t>
            </w:r>
          </w:p>
        </w:tc>
        <w:tc>
          <w:tcPr>
            <w:tcW w:w="1700" w:type="dxa"/>
            <w:tcBorders>
              <w:top w:val="single" w:sz="4" w:space="0" w:color="000000"/>
              <w:left w:val="nil"/>
              <w:bottom w:val="nil"/>
              <w:right w:val="nil"/>
            </w:tcBorders>
          </w:tcPr>
          <w:p w14:paraId="3336797D" w14:textId="77777777" w:rsidR="00C70C1E" w:rsidRDefault="00AF67C6" w:rsidP="002E3D5F">
            <w:pPr>
              <w:spacing w:after="0" w:line="259" w:lineRule="auto"/>
              <w:ind w:right="0" w:firstLine="0"/>
              <w:jc w:val="left"/>
            </w:pPr>
            <w:r>
              <w:t xml:space="preserve">40 </w:t>
            </w:r>
          </w:p>
        </w:tc>
        <w:tc>
          <w:tcPr>
            <w:tcW w:w="1730" w:type="dxa"/>
            <w:tcBorders>
              <w:top w:val="single" w:sz="4" w:space="0" w:color="000000"/>
              <w:left w:val="nil"/>
              <w:bottom w:val="nil"/>
              <w:right w:val="nil"/>
            </w:tcBorders>
          </w:tcPr>
          <w:p w14:paraId="4BDF6C94" w14:textId="77777777" w:rsidR="00C70C1E" w:rsidRDefault="00AF67C6" w:rsidP="002E3D5F">
            <w:pPr>
              <w:spacing w:after="0" w:line="259" w:lineRule="auto"/>
              <w:ind w:right="0" w:firstLine="0"/>
              <w:jc w:val="left"/>
            </w:pPr>
            <w:r>
              <w:t xml:space="preserve">36.36 </w:t>
            </w:r>
          </w:p>
        </w:tc>
      </w:tr>
      <w:tr w:rsidR="00C70C1E" w14:paraId="7E26734D" w14:textId="77777777">
        <w:trPr>
          <w:trHeight w:val="292"/>
        </w:trPr>
        <w:tc>
          <w:tcPr>
            <w:tcW w:w="5886" w:type="dxa"/>
            <w:tcBorders>
              <w:top w:val="nil"/>
              <w:left w:val="nil"/>
              <w:bottom w:val="nil"/>
              <w:right w:val="nil"/>
            </w:tcBorders>
          </w:tcPr>
          <w:p w14:paraId="423D8C6C" w14:textId="77777777" w:rsidR="00C70C1E" w:rsidRDefault="00AF67C6" w:rsidP="00A91EB8">
            <w:pPr>
              <w:spacing w:after="0" w:line="259" w:lineRule="auto"/>
              <w:ind w:left="108" w:right="0" w:hanging="108"/>
              <w:jc w:val="left"/>
            </w:pPr>
            <w:r>
              <w:t xml:space="preserve">Cloud cover and Wind flow observation </w:t>
            </w:r>
          </w:p>
        </w:tc>
        <w:tc>
          <w:tcPr>
            <w:tcW w:w="1700" w:type="dxa"/>
            <w:tcBorders>
              <w:top w:val="nil"/>
              <w:left w:val="nil"/>
              <w:bottom w:val="nil"/>
              <w:right w:val="nil"/>
            </w:tcBorders>
          </w:tcPr>
          <w:p w14:paraId="4E40DE8E" w14:textId="77777777" w:rsidR="00C70C1E" w:rsidRDefault="00AF67C6" w:rsidP="002E3D5F">
            <w:pPr>
              <w:spacing w:after="0" w:line="259" w:lineRule="auto"/>
              <w:ind w:right="0" w:firstLine="23"/>
              <w:jc w:val="left"/>
            </w:pPr>
            <w:r>
              <w:t xml:space="preserve">38 </w:t>
            </w:r>
          </w:p>
        </w:tc>
        <w:tc>
          <w:tcPr>
            <w:tcW w:w="1730" w:type="dxa"/>
            <w:tcBorders>
              <w:top w:val="nil"/>
              <w:left w:val="nil"/>
              <w:bottom w:val="nil"/>
              <w:right w:val="nil"/>
            </w:tcBorders>
          </w:tcPr>
          <w:p w14:paraId="29A6C6D4" w14:textId="77777777" w:rsidR="00C70C1E" w:rsidRDefault="00AF67C6" w:rsidP="002E3D5F">
            <w:pPr>
              <w:spacing w:after="0" w:line="259" w:lineRule="auto"/>
              <w:ind w:right="0" w:firstLine="0"/>
              <w:jc w:val="left"/>
            </w:pPr>
            <w:r>
              <w:t xml:space="preserve">34.55 </w:t>
            </w:r>
          </w:p>
        </w:tc>
      </w:tr>
      <w:tr w:rsidR="00C70C1E" w14:paraId="4B60F38E" w14:textId="77777777">
        <w:trPr>
          <w:trHeight w:val="292"/>
        </w:trPr>
        <w:tc>
          <w:tcPr>
            <w:tcW w:w="5886" w:type="dxa"/>
            <w:tcBorders>
              <w:top w:val="nil"/>
              <w:left w:val="nil"/>
              <w:bottom w:val="nil"/>
              <w:right w:val="nil"/>
            </w:tcBorders>
          </w:tcPr>
          <w:p w14:paraId="24224B55" w14:textId="77777777" w:rsidR="00C70C1E" w:rsidRDefault="00AF67C6" w:rsidP="00A91EB8">
            <w:pPr>
              <w:spacing w:after="0" w:line="259" w:lineRule="auto"/>
              <w:ind w:left="108" w:right="0" w:hanging="108"/>
              <w:jc w:val="left"/>
            </w:pPr>
            <w:r>
              <w:t xml:space="preserve">Animal behavior (migratory birds,) </w:t>
            </w:r>
          </w:p>
        </w:tc>
        <w:tc>
          <w:tcPr>
            <w:tcW w:w="1700" w:type="dxa"/>
            <w:tcBorders>
              <w:top w:val="nil"/>
              <w:left w:val="nil"/>
              <w:bottom w:val="nil"/>
              <w:right w:val="nil"/>
            </w:tcBorders>
          </w:tcPr>
          <w:p w14:paraId="52B0C72E" w14:textId="77777777" w:rsidR="00C70C1E" w:rsidRDefault="00AF67C6" w:rsidP="002E3D5F">
            <w:pPr>
              <w:spacing w:after="0" w:line="259" w:lineRule="auto"/>
              <w:ind w:right="0" w:firstLine="0"/>
              <w:jc w:val="left"/>
            </w:pPr>
            <w:r>
              <w:t xml:space="preserve">30 </w:t>
            </w:r>
          </w:p>
        </w:tc>
        <w:tc>
          <w:tcPr>
            <w:tcW w:w="1730" w:type="dxa"/>
            <w:tcBorders>
              <w:top w:val="nil"/>
              <w:left w:val="nil"/>
              <w:bottom w:val="nil"/>
              <w:right w:val="nil"/>
            </w:tcBorders>
          </w:tcPr>
          <w:p w14:paraId="62D61E9A" w14:textId="77777777" w:rsidR="00C70C1E" w:rsidRDefault="00AF67C6" w:rsidP="002E3D5F">
            <w:pPr>
              <w:spacing w:after="0" w:line="259" w:lineRule="auto"/>
              <w:ind w:right="0" w:firstLine="0"/>
              <w:jc w:val="left"/>
            </w:pPr>
            <w:r>
              <w:t xml:space="preserve">27.27 </w:t>
            </w:r>
          </w:p>
        </w:tc>
      </w:tr>
      <w:tr w:rsidR="00C70C1E" w14:paraId="4F9BC940" w14:textId="77777777">
        <w:trPr>
          <w:trHeight w:val="316"/>
        </w:trPr>
        <w:tc>
          <w:tcPr>
            <w:tcW w:w="5886" w:type="dxa"/>
            <w:tcBorders>
              <w:top w:val="nil"/>
              <w:left w:val="nil"/>
              <w:bottom w:val="single" w:sz="4" w:space="0" w:color="000000"/>
              <w:right w:val="nil"/>
            </w:tcBorders>
          </w:tcPr>
          <w:p w14:paraId="616C60DB" w14:textId="77777777" w:rsidR="00C70C1E" w:rsidRDefault="00AF67C6" w:rsidP="00A91EB8">
            <w:pPr>
              <w:spacing w:after="0" w:line="259" w:lineRule="auto"/>
              <w:ind w:left="108" w:right="0" w:hanging="108"/>
              <w:jc w:val="left"/>
            </w:pPr>
            <w:r>
              <w:t>Use of insects and insect sounds as indicators</w:t>
            </w:r>
            <w:r>
              <w:rPr>
                <w:b/>
              </w:rPr>
              <w:t xml:space="preserve"> </w:t>
            </w:r>
          </w:p>
        </w:tc>
        <w:tc>
          <w:tcPr>
            <w:tcW w:w="1700" w:type="dxa"/>
            <w:tcBorders>
              <w:top w:val="nil"/>
              <w:left w:val="nil"/>
              <w:bottom w:val="single" w:sz="4" w:space="0" w:color="000000"/>
              <w:right w:val="nil"/>
            </w:tcBorders>
          </w:tcPr>
          <w:p w14:paraId="15CC9C56" w14:textId="77777777" w:rsidR="00C70C1E" w:rsidRDefault="00AF67C6" w:rsidP="00A91EB8">
            <w:pPr>
              <w:spacing w:after="0" w:line="259" w:lineRule="auto"/>
              <w:ind w:right="0" w:hanging="108"/>
              <w:jc w:val="left"/>
            </w:pPr>
            <w:r>
              <w:t xml:space="preserve">2 </w:t>
            </w:r>
          </w:p>
        </w:tc>
        <w:tc>
          <w:tcPr>
            <w:tcW w:w="1730" w:type="dxa"/>
            <w:tcBorders>
              <w:top w:val="nil"/>
              <w:left w:val="nil"/>
              <w:bottom w:val="single" w:sz="4" w:space="0" w:color="000000"/>
              <w:right w:val="nil"/>
            </w:tcBorders>
          </w:tcPr>
          <w:p w14:paraId="65963C7F" w14:textId="77777777" w:rsidR="00C70C1E" w:rsidRDefault="00AF67C6" w:rsidP="00C35134">
            <w:pPr>
              <w:spacing w:after="0" w:line="259" w:lineRule="auto"/>
              <w:ind w:right="0" w:firstLine="0"/>
              <w:jc w:val="left"/>
            </w:pPr>
            <w:r>
              <w:t xml:space="preserve">1.82 </w:t>
            </w:r>
          </w:p>
        </w:tc>
      </w:tr>
    </w:tbl>
    <w:p w14:paraId="2684726B" w14:textId="77777777" w:rsidR="00C70C1E" w:rsidRDefault="00AF67C6" w:rsidP="00673630">
      <w:pPr>
        <w:spacing w:before="240"/>
        <w:ind w:right="0" w:firstLine="567"/>
      </w:pPr>
      <w:r>
        <w:t xml:space="preserve">The data presented in Table 15 reflects the most commonly reported LEK indicators used by smallholder farmers in Mbereshi village to interpret seasonal and weather changes.  </w:t>
      </w:r>
    </w:p>
    <w:p w14:paraId="4226485D" w14:textId="77777777" w:rsidR="00C70C1E" w:rsidRDefault="00C70C1E" w:rsidP="001342F0">
      <w:pPr>
        <w:ind w:hanging="10"/>
        <w:sectPr w:rsidR="00C70C1E" w:rsidSect="008B092A">
          <w:headerReference w:type="even" r:id="rId23"/>
          <w:headerReference w:type="default" r:id="rId24"/>
          <w:footerReference w:type="even" r:id="rId25"/>
          <w:footerReference w:type="default" r:id="rId26"/>
          <w:headerReference w:type="first" r:id="rId27"/>
          <w:footerReference w:type="first" r:id="rId28"/>
          <w:pgSz w:w="11906" w:h="16838"/>
          <w:pgMar w:top="1152" w:right="1241" w:bottom="1350" w:left="1248" w:header="720" w:footer="721" w:gutter="0"/>
          <w:cols w:space="720"/>
          <w:docGrid w:linePitch="299"/>
        </w:sectPr>
      </w:pPr>
    </w:p>
    <w:p w14:paraId="51B2FB4A" w14:textId="7980D63B" w:rsidR="00C70C1E" w:rsidRDefault="00AF67C6" w:rsidP="001342F0">
      <w:pPr>
        <w:tabs>
          <w:tab w:val="center" w:pos="2015"/>
        </w:tabs>
        <w:ind w:left="-15" w:right="0" w:hanging="10"/>
        <w:jc w:val="left"/>
      </w:pPr>
      <w:r>
        <w:rPr>
          <w:rFonts w:ascii="Calibri" w:eastAsia="Calibri" w:hAnsi="Calibri" w:cs="Calibri"/>
        </w:rPr>
        <w:lastRenderedPageBreak/>
        <w:t xml:space="preserve"> </w:t>
      </w:r>
      <w:r>
        <w:rPr>
          <w:rFonts w:ascii="Calibri" w:eastAsia="Calibri" w:hAnsi="Calibri" w:cs="Calibri"/>
        </w:rPr>
        <w:tab/>
      </w:r>
      <w:r>
        <w:rPr>
          <w:b/>
        </w:rPr>
        <w:t>Table 16:</w:t>
      </w:r>
      <w:r>
        <w:t xml:space="preserve"> LEK - Practices </w:t>
      </w:r>
    </w:p>
    <w:tbl>
      <w:tblPr>
        <w:tblStyle w:val="TableGrid"/>
        <w:tblW w:w="8961" w:type="dxa"/>
        <w:tblInd w:w="924" w:type="dxa"/>
        <w:tblCellMar>
          <w:top w:w="7" w:type="dxa"/>
          <w:right w:w="115" w:type="dxa"/>
        </w:tblCellMar>
        <w:tblLook w:val="04A0" w:firstRow="1" w:lastRow="0" w:firstColumn="1" w:lastColumn="0" w:noHBand="0" w:noVBand="1"/>
      </w:tblPr>
      <w:tblGrid>
        <w:gridCol w:w="4592"/>
        <w:gridCol w:w="2444"/>
        <w:gridCol w:w="1925"/>
      </w:tblGrid>
      <w:tr w:rsidR="00C70C1E" w14:paraId="2DAF78ED" w14:textId="77777777">
        <w:trPr>
          <w:trHeight w:val="358"/>
        </w:trPr>
        <w:tc>
          <w:tcPr>
            <w:tcW w:w="4592" w:type="dxa"/>
            <w:tcBorders>
              <w:top w:val="single" w:sz="4" w:space="0" w:color="000000"/>
              <w:left w:val="nil"/>
              <w:bottom w:val="single" w:sz="4" w:space="0" w:color="000000"/>
              <w:right w:val="nil"/>
            </w:tcBorders>
          </w:tcPr>
          <w:p w14:paraId="5A5F281D" w14:textId="4DDCB5E8" w:rsidR="00C70C1E" w:rsidRDefault="00AF67C6" w:rsidP="001342F0">
            <w:pPr>
              <w:spacing w:after="0" w:line="259" w:lineRule="auto"/>
              <w:ind w:left="108" w:right="0" w:hanging="10"/>
              <w:jc w:val="left"/>
            </w:pPr>
            <w:r>
              <w:rPr>
                <w:b/>
              </w:rPr>
              <w:t xml:space="preserve"> </w:t>
            </w:r>
            <w:r w:rsidR="00DA2444">
              <w:rPr>
                <w:b/>
              </w:rPr>
              <w:t>Practices</w:t>
            </w:r>
          </w:p>
        </w:tc>
        <w:tc>
          <w:tcPr>
            <w:tcW w:w="2444" w:type="dxa"/>
            <w:tcBorders>
              <w:top w:val="single" w:sz="4" w:space="0" w:color="000000"/>
              <w:left w:val="nil"/>
              <w:bottom w:val="single" w:sz="4" w:space="0" w:color="000000"/>
              <w:right w:val="nil"/>
            </w:tcBorders>
          </w:tcPr>
          <w:p w14:paraId="0F92BF66" w14:textId="77777777" w:rsidR="00C70C1E" w:rsidRPr="00DA2444" w:rsidRDefault="00AF67C6" w:rsidP="001342F0">
            <w:pPr>
              <w:spacing w:after="0" w:line="259" w:lineRule="auto"/>
              <w:ind w:right="0" w:hanging="10"/>
              <w:jc w:val="left"/>
              <w:rPr>
                <w:b/>
                <w:bCs/>
              </w:rPr>
            </w:pPr>
            <w:r w:rsidRPr="00DA2444">
              <w:rPr>
                <w:b/>
                <w:bCs/>
              </w:rPr>
              <w:t xml:space="preserve">Frequency  </w:t>
            </w:r>
          </w:p>
        </w:tc>
        <w:tc>
          <w:tcPr>
            <w:tcW w:w="1925" w:type="dxa"/>
            <w:tcBorders>
              <w:top w:val="single" w:sz="4" w:space="0" w:color="000000"/>
              <w:left w:val="nil"/>
              <w:bottom w:val="single" w:sz="4" w:space="0" w:color="000000"/>
              <w:right w:val="nil"/>
            </w:tcBorders>
          </w:tcPr>
          <w:p w14:paraId="0BC55DE3" w14:textId="77777777" w:rsidR="00C70C1E" w:rsidRPr="00DA2444" w:rsidRDefault="00AF67C6" w:rsidP="001342F0">
            <w:pPr>
              <w:spacing w:after="0" w:line="259" w:lineRule="auto"/>
              <w:ind w:right="0" w:hanging="10"/>
              <w:jc w:val="left"/>
              <w:rPr>
                <w:b/>
                <w:bCs/>
              </w:rPr>
            </w:pPr>
            <w:r w:rsidRPr="00DA2444">
              <w:rPr>
                <w:b/>
                <w:bCs/>
              </w:rPr>
              <w:t xml:space="preserve">Percentages (%) </w:t>
            </w:r>
          </w:p>
        </w:tc>
      </w:tr>
      <w:tr w:rsidR="00C70C1E" w14:paraId="72E385F7" w14:textId="77777777">
        <w:trPr>
          <w:trHeight w:val="303"/>
        </w:trPr>
        <w:tc>
          <w:tcPr>
            <w:tcW w:w="4592" w:type="dxa"/>
            <w:tcBorders>
              <w:top w:val="single" w:sz="4" w:space="0" w:color="000000"/>
              <w:left w:val="nil"/>
              <w:bottom w:val="nil"/>
              <w:right w:val="nil"/>
            </w:tcBorders>
          </w:tcPr>
          <w:p w14:paraId="3FBEDD10" w14:textId="77777777" w:rsidR="00C70C1E" w:rsidRDefault="00AF67C6" w:rsidP="001342F0">
            <w:pPr>
              <w:spacing w:after="0" w:line="259" w:lineRule="auto"/>
              <w:ind w:left="108" w:right="0" w:hanging="10"/>
              <w:jc w:val="left"/>
            </w:pPr>
            <w:r>
              <w:t xml:space="preserve">Crop rotation </w:t>
            </w:r>
          </w:p>
        </w:tc>
        <w:tc>
          <w:tcPr>
            <w:tcW w:w="2444" w:type="dxa"/>
            <w:tcBorders>
              <w:top w:val="single" w:sz="4" w:space="0" w:color="000000"/>
              <w:left w:val="nil"/>
              <w:bottom w:val="nil"/>
              <w:right w:val="nil"/>
            </w:tcBorders>
          </w:tcPr>
          <w:p w14:paraId="183374CC" w14:textId="77777777" w:rsidR="00C70C1E" w:rsidRDefault="00AF67C6" w:rsidP="001342F0">
            <w:pPr>
              <w:spacing w:after="0" w:line="259" w:lineRule="auto"/>
              <w:ind w:right="0" w:hanging="10"/>
              <w:jc w:val="left"/>
            </w:pPr>
            <w:r>
              <w:t xml:space="preserve">98 </w:t>
            </w:r>
          </w:p>
        </w:tc>
        <w:tc>
          <w:tcPr>
            <w:tcW w:w="1925" w:type="dxa"/>
            <w:tcBorders>
              <w:top w:val="single" w:sz="4" w:space="0" w:color="000000"/>
              <w:left w:val="nil"/>
              <w:bottom w:val="nil"/>
              <w:right w:val="nil"/>
            </w:tcBorders>
          </w:tcPr>
          <w:p w14:paraId="0914829D" w14:textId="77777777" w:rsidR="00C70C1E" w:rsidRDefault="00AF67C6" w:rsidP="001342F0">
            <w:pPr>
              <w:spacing w:after="0" w:line="259" w:lineRule="auto"/>
              <w:ind w:right="0" w:hanging="10"/>
              <w:jc w:val="left"/>
            </w:pPr>
            <w:r>
              <w:t xml:space="preserve">89.09 </w:t>
            </w:r>
          </w:p>
        </w:tc>
      </w:tr>
      <w:tr w:rsidR="00C70C1E" w14:paraId="00719185" w14:textId="77777777">
        <w:trPr>
          <w:trHeight w:val="348"/>
        </w:trPr>
        <w:tc>
          <w:tcPr>
            <w:tcW w:w="4592" w:type="dxa"/>
            <w:tcBorders>
              <w:top w:val="nil"/>
              <w:left w:val="nil"/>
              <w:bottom w:val="nil"/>
              <w:right w:val="nil"/>
            </w:tcBorders>
          </w:tcPr>
          <w:p w14:paraId="1D975922" w14:textId="77777777" w:rsidR="00C70C1E" w:rsidRDefault="00AF67C6" w:rsidP="001342F0">
            <w:pPr>
              <w:spacing w:after="0" w:line="259" w:lineRule="auto"/>
              <w:ind w:left="108" w:right="0" w:hanging="10"/>
              <w:jc w:val="left"/>
            </w:pPr>
            <w:r>
              <w:t>Intercropping (maize, beans, pumpkin)</w:t>
            </w:r>
            <w:r>
              <w:rPr>
                <w:b/>
              </w:rPr>
              <w:t xml:space="preserve"> </w:t>
            </w:r>
          </w:p>
        </w:tc>
        <w:tc>
          <w:tcPr>
            <w:tcW w:w="2444" w:type="dxa"/>
            <w:tcBorders>
              <w:top w:val="nil"/>
              <w:left w:val="nil"/>
              <w:bottom w:val="nil"/>
              <w:right w:val="nil"/>
            </w:tcBorders>
          </w:tcPr>
          <w:p w14:paraId="52431F54" w14:textId="77777777" w:rsidR="00C70C1E" w:rsidRDefault="00AF67C6" w:rsidP="001342F0">
            <w:pPr>
              <w:spacing w:after="0" w:line="259" w:lineRule="auto"/>
              <w:ind w:right="0" w:hanging="10"/>
              <w:jc w:val="left"/>
            </w:pPr>
            <w:r>
              <w:t xml:space="preserve">96 </w:t>
            </w:r>
          </w:p>
        </w:tc>
        <w:tc>
          <w:tcPr>
            <w:tcW w:w="1925" w:type="dxa"/>
            <w:tcBorders>
              <w:top w:val="nil"/>
              <w:left w:val="nil"/>
              <w:bottom w:val="nil"/>
              <w:right w:val="nil"/>
            </w:tcBorders>
          </w:tcPr>
          <w:p w14:paraId="7415B945" w14:textId="77777777" w:rsidR="00C70C1E" w:rsidRDefault="00AF67C6" w:rsidP="001342F0">
            <w:pPr>
              <w:spacing w:after="0" w:line="259" w:lineRule="auto"/>
              <w:ind w:right="0" w:hanging="10"/>
              <w:jc w:val="left"/>
            </w:pPr>
            <w:r>
              <w:t xml:space="preserve">87.27 </w:t>
            </w:r>
          </w:p>
        </w:tc>
      </w:tr>
      <w:tr w:rsidR="00C70C1E" w14:paraId="24980636" w14:textId="77777777">
        <w:trPr>
          <w:trHeight w:val="347"/>
        </w:trPr>
        <w:tc>
          <w:tcPr>
            <w:tcW w:w="4592" w:type="dxa"/>
            <w:tcBorders>
              <w:top w:val="nil"/>
              <w:left w:val="nil"/>
              <w:bottom w:val="nil"/>
              <w:right w:val="nil"/>
            </w:tcBorders>
          </w:tcPr>
          <w:p w14:paraId="1FE83BC3" w14:textId="77777777" w:rsidR="00C70C1E" w:rsidRDefault="00AF67C6" w:rsidP="001342F0">
            <w:pPr>
              <w:spacing w:after="0" w:line="259" w:lineRule="auto"/>
              <w:ind w:left="108" w:right="0" w:hanging="10"/>
              <w:jc w:val="left"/>
            </w:pPr>
            <w:r>
              <w:t>Seed selection based on soil type</w:t>
            </w:r>
            <w:r>
              <w:rPr>
                <w:b/>
              </w:rPr>
              <w:t xml:space="preserve"> </w:t>
            </w:r>
          </w:p>
        </w:tc>
        <w:tc>
          <w:tcPr>
            <w:tcW w:w="2444" w:type="dxa"/>
            <w:tcBorders>
              <w:top w:val="nil"/>
              <w:left w:val="nil"/>
              <w:bottom w:val="nil"/>
              <w:right w:val="nil"/>
            </w:tcBorders>
          </w:tcPr>
          <w:p w14:paraId="2B497445" w14:textId="77777777" w:rsidR="00C70C1E" w:rsidRDefault="00AF67C6" w:rsidP="001342F0">
            <w:pPr>
              <w:spacing w:after="0" w:line="259" w:lineRule="auto"/>
              <w:ind w:right="0" w:hanging="10"/>
              <w:jc w:val="left"/>
            </w:pPr>
            <w:r>
              <w:t xml:space="preserve">45 </w:t>
            </w:r>
          </w:p>
        </w:tc>
        <w:tc>
          <w:tcPr>
            <w:tcW w:w="1925" w:type="dxa"/>
            <w:tcBorders>
              <w:top w:val="nil"/>
              <w:left w:val="nil"/>
              <w:bottom w:val="nil"/>
              <w:right w:val="nil"/>
            </w:tcBorders>
          </w:tcPr>
          <w:p w14:paraId="3BFE4489" w14:textId="77777777" w:rsidR="00C70C1E" w:rsidRDefault="00AF67C6" w:rsidP="001342F0">
            <w:pPr>
              <w:spacing w:after="0" w:line="259" w:lineRule="auto"/>
              <w:ind w:right="0" w:hanging="10"/>
              <w:jc w:val="left"/>
            </w:pPr>
            <w:r>
              <w:t xml:space="preserve">40.91 </w:t>
            </w:r>
          </w:p>
        </w:tc>
      </w:tr>
      <w:tr w:rsidR="00C70C1E" w14:paraId="3EEF8C93" w14:textId="77777777">
        <w:trPr>
          <w:trHeight w:val="347"/>
        </w:trPr>
        <w:tc>
          <w:tcPr>
            <w:tcW w:w="4592" w:type="dxa"/>
            <w:tcBorders>
              <w:top w:val="nil"/>
              <w:left w:val="nil"/>
              <w:bottom w:val="nil"/>
              <w:right w:val="nil"/>
            </w:tcBorders>
          </w:tcPr>
          <w:p w14:paraId="77331DE1" w14:textId="77777777" w:rsidR="00C70C1E" w:rsidRDefault="00AF67C6" w:rsidP="001342F0">
            <w:pPr>
              <w:spacing w:after="0" w:line="259" w:lineRule="auto"/>
              <w:ind w:left="108" w:right="0" w:hanging="10"/>
              <w:jc w:val="left"/>
            </w:pPr>
            <w:r>
              <w:t>Mulching</w:t>
            </w:r>
            <w:r>
              <w:rPr>
                <w:b/>
              </w:rPr>
              <w:t xml:space="preserve"> </w:t>
            </w:r>
          </w:p>
        </w:tc>
        <w:tc>
          <w:tcPr>
            <w:tcW w:w="2444" w:type="dxa"/>
            <w:tcBorders>
              <w:top w:val="nil"/>
              <w:left w:val="nil"/>
              <w:bottom w:val="nil"/>
              <w:right w:val="nil"/>
            </w:tcBorders>
          </w:tcPr>
          <w:p w14:paraId="7F0E3FE3" w14:textId="77777777" w:rsidR="00C70C1E" w:rsidRDefault="00AF67C6" w:rsidP="001342F0">
            <w:pPr>
              <w:spacing w:after="0" w:line="259" w:lineRule="auto"/>
              <w:ind w:right="0" w:hanging="10"/>
              <w:jc w:val="left"/>
            </w:pPr>
            <w:r>
              <w:t xml:space="preserve">10 </w:t>
            </w:r>
          </w:p>
        </w:tc>
        <w:tc>
          <w:tcPr>
            <w:tcW w:w="1925" w:type="dxa"/>
            <w:tcBorders>
              <w:top w:val="nil"/>
              <w:left w:val="nil"/>
              <w:bottom w:val="nil"/>
              <w:right w:val="nil"/>
            </w:tcBorders>
          </w:tcPr>
          <w:p w14:paraId="60B5F11B" w14:textId="77777777" w:rsidR="00C70C1E" w:rsidRDefault="00AF67C6" w:rsidP="001342F0">
            <w:pPr>
              <w:spacing w:after="0" w:line="259" w:lineRule="auto"/>
              <w:ind w:right="0" w:hanging="10"/>
              <w:jc w:val="left"/>
            </w:pPr>
            <w:r>
              <w:t xml:space="preserve">9.09 </w:t>
            </w:r>
          </w:p>
        </w:tc>
      </w:tr>
      <w:tr w:rsidR="00C70C1E" w14:paraId="0614C7E6" w14:textId="77777777">
        <w:trPr>
          <w:trHeight w:val="347"/>
        </w:trPr>
        <w:tc>
          <w:tcPr>
            <w:tcW w:w="4592" w:type="dxa"/>
            <w:tcBorders>
              <w:top w:val="nil"/>
              <w:left w:val="nil"/>
              <w:bottom w:val="nil"/>
              <w:right w:val="nil"/>
            </w:tcBorders>
          </w:tcPr>
          <w:p w14:paraId="06F0AF3C" w14:textId="77777777" w:rsidR="00C70C1E" w:rsidRDefault="00AF67C6" w:rsidP="001342F0">
            <w:pPr>
              <w:spacing w:after="0" w:line="259" w:lineRule="auto"/>
              <w:ind w:left="108" w:right="0" w:hanging="10"/>
              <w:jc w:val="left"/>
            </w:pPr>
            <w:r>
              <w:t>Early planting</w:t>
            </w:r>
            <w:r>
              <w:rPr>
                <w:b/>
              </w:rPr>
              <w:t xml:space="preserve"> </w:t>
            </w:r>
          </w:p>
        </w:tc>
        <w:tc>
          <w:tcPr>
            <w:tcW w:w="2444" w:type="dxa"/>
            <w:tcBorders>
              <w:top w:val="nil"/>
              <w:left w:val="nil"/>
              <w:bottom w:val="nil"/>
              <w:right w:val="nil"/>
            </w:tcBorders>
          </w:tcPr>
          <w:p w14:paraId="5A7F3D61" w14:textId="77777777" w:rsidR="00C70C1E" w:rsidRDefault="00AF67C6" w:rsidP="001342F0">
            <w:pPr>
              <w:spacing w:after="0" w:line="259" w:lineRule="auto"/>
              <w:ind w:right="0" w:hanging="10"/>
              <w:jc w:val="left"/>
            </w:pPr>
            <w:r>
              <w:t xml:space="preserve">8 </w:t>
            </w:r>
          </w:p>
        </w:tc>
        <w:tc>
          <w:tcPr>
            <w:tcW w:w="1925" w:type="dxa"/>
            <w:tcBorders>
              <w:top w:val="nil"/>
              <w:left w:val="nil"/>
              <w:bottom w:val="nil"/>
              <w:right w:val="nil"/>
            </w:tcBorders>
          </w:tcPr>
          <w:p w14:paraId="5E628EFF" w14:textId="77777777" w:rsidR="00C70C1E" w:rsidRDefault="00AF67C6" w:rsidP="001342F0">
            <w:pPr>
              <w:spacing w:after="0" w:line="259" w:lineRule="auto"/>
              <w:ind w:right="0" w:hanging="10"/>
              <w:jc w:val="left"/>
            </w:pPr>
            <w:r>
              <w:t xml:space="preserve">7.27 </w:t>
            </w:r>
          </w:p>
        </w:tc>
      </w:tr>
      <w:tr w:rsidR="00C70C1E" w14:paraId="6EA284DE" w14:textId="77777777">
        <w:trPr>
          <w:trHeight w:val="350"/>
        </w:trPr>
        <w:tc>
          <w:tcPr>
            <w:tcW w:w="4592" w:type="dxa"/>
            <w:tcBorders>
              <w:top w:val="nil"/>
              <w:left w:val="nil"/>
              <w:bottom w:val="nil"/>
              <w:right w:val="nil"/>
            </w:tcBorders>
          </w:tcPr>
          <w:p w14:paraId="66456E50" w14:textId="77777777" w:rsidR="00C70C1E" w:rsidRDefault="00AF67C6" w:rsidP="001342F0">
            <w:pPr>
              <w:spacing w:after="0" w:line="259" w:lineRule="auto"/>
              <w:ind w:left="108" w:right="0" w:hanging="10"/>
              <w:jc w:val="left"/>
            </w:pPr>
            <w:r>
              <w:t>Raised ridges and mounds</w:t>
            </w:r>
            <w:r>
              <w:rPr>
                <w:b/>
              </w:rPr>
              <w:t xml:space="preserve"> </w:t>
            </w:r>
          </w:p>
        </w:tc>
        <w:tc>
          <w:tcPr>
            <w:tcW w:w="2444" w:type="dxa"/>
            <w:tcBorders>
              <w:top w:val="nil"/>
              <w:left w:val="nil"/>
              <w:bottom w:val="nil"/>
              <w:right w:val="nil"/>
            </w:tcBorders>
          </w:tcPr>
          <w:p w14:paraId="10A5CFE7" w14:textId="77777777" w:rsidR="00C70C1E" w:rsidRDefault="00AF67C6" w:rsidP="001342F0">
            <w:pPr>
              <w:spacing w:after="0" w:line="259" w:lineRule="auto"/>
              <w:ind w:right="0" w:hanging="10"/>
              <w:jc w:val="left"/>
            </w:pPr>
            <w:r>
              <w:t xml:space="preserve">5 </w:t>
            </w:r>
          </w:p>
        </w:tc>
        <w:tc>
          <w:tcPr>
            <w:tcW w:w="1925" w:type="dxa"/>
            <w:tcBorders>
              <w:top w:val="nil"/>
              <w:left w:val="nil"/>
              <w:bottom w:val="nil"/>
              <w:right w:val="nil"/>
            </w:tcBorders>
          </w:tcPr>
          <w:p w14:paraId="4425866B" w14:textId="77777777" w:rsidR="00C70C1E" w:rsidRDefault="00AF67C6" w:rsidP="001342F0">
            <w:pPr>
              <w:spacing w:after="0" w:line="259" w:lineRule="auto"/>
              <w:ind w:right="0" w:hanging="10"/>
              <w:jc w:val="left"/>
            </w:pPr>
            <w:r>
              <w:t xml:space="preserve">4.55 </w:t>
            </w:r>
          </w:p>
        </w:tc>
      </w:tr>
      <w:tr w:rsidR="00C70C1E" w14:paraId="45C3A0DA" w14:textId="77777777">
        <w:trPr>
          <w:trHeight w:val="352"/>
        </w:trPr>
        <w:tc>
          <w:tcPr>
            <w:tcW w:w="4592" w:type="dxa"/>
            <w:tcBorders>
              <w:top w:val="nil"/>
              <w:left w:val="nil"/>
              <w:bottom w:val="nil"/>
              <w:right w:val="nil"/>
            </w:tcBorders>
          </w:tcPr>
          <w:p w14:paraId="6BD03C38" w14:textId="77777777" w:rsidR="00C70C1E" w:rsidRDefault="00AF67C6" w:rsidP="001342F0">
            <w:pPr>
              <w:spacing w:after="0" w:line="259" w:lineRule="auto"/>
              <w:ind w:left="108" w:right="0" w:hanging="10"/>
              <w:jc w:val="left"/>
            </w:pPr>
            <w:r>
              <w:t>Use of early-maturing or drought-tolerant seeds</w:t>
            </w:r>
            <w:r>
              <w:rPr>
                <w:b/>
              </w:rPr>
              <w:t xml:space="preserve"> </w:t>
            </w:r>
          </w:p>
        </w:tc>
        <w:tc>
          <w:tcPr>
            <w:tcW w:w="2444" w:type="dxa"/>
            <w:tcBorders>
              <w:top w:val="nil"/>
              <w:left w:val="nil"/>
              <w:bottom w:val="nil"/>
              <w:right w:val="nil"/>
            </w:tcBorders>
          </w:tcPr>
          <w:p w14:paraId="2EA32F0D" w14:textId="77777777" w:rsidR="00C70C1E" w:rsidRDefault="00AF67C6" w:rsidP="001342F0">
            <w:pPr>
              <w:spacing w:after="0" w:line="259" w:lineRule="auto"/>
              <w:ind w:right="0" w:hanging="10"/>
              <w:jc w:val="left"/>
            </w:pPr>
            <w:r>
              <w:t xml:space="preserve">5 </w:t>
            </w:r>
          </w:p>
        </w:tc>
        <w:tc>
          <w:tcPr>
            <w:tcW w:w="1925" w:type="dxa"/>
            <w:tcBorders>
              <w:top w:val="nil"/>
              <w:left w:val="nil"/>
              <w:bottom w:val="nil"/>
              <w:right w:val="nil"/>
            </w:tcBorders>
          </w:tcPr>
          <w:p w14:paraId="4550BF31" w14:textId="77777777" w:rsidR="00C70C1E" w:rsidRDefault="00AF67C6" w:rsidP="001342F0">
            <w:pPr>
              <w:spacing w:after="0" w:line="259" w:lineRule="auto"/>
              <w:ind w:right="0" w:hanging="10"/>
              <w:jc w:val="left"/>
            </w:pPr>
            <w:r>
              <w:t xml:space="preserve">4.55 </w:t>
            </w:r>
          </w:p>
        </w:tc>
      </w:tr>
      <w:tr w:rsidR="00C70C1E" w14:paraId="44B7C5BC" w14:textId="77777777">
        <w:trPr>
          <w:trHeight w:val="335"/>
        </w:trPr>
        <w:tc>
          <w:tcPr>
            <w:tcW w:w="4592" w:type="dxa"/>
            <w:tcBorders>
              <w:top w:val="nil"/>
              <w:left w:val="nil"/>
              <w:bottom w:val="single" w:sz="4" w:space="0" w:color="000000"/>
              <w:right w:val="nil"/>
            </w:tcBorders>
          </w:tcPr>
          <w:p w14:paraId="7CFEB42B" w14:textId="77777777" w:rsidR="00C70C1E" w:rsidRDefault="00AF67C6" w:rsidP="001342F0">
            <w:pPr>
              <w:spacing w:after="0" w:line="259" w:lineRule="auto"/>
              <w:ind w:left="108" w:right="0" w:hanging="10"/>
              <w:jc w:val="left"/>
            </w:pPr>
            <w:r>
              <w:t>Agroforestry</w:t>
            </w:r>
            <w:r>
              <w:rPr>
                <w:b/>
              </w:rPr>
              <w:t xml:space="preserve"> </w:t>
            </w:r>
          </w:p>
        </w:tc>
        <w:tc>
          <w:tcPr>
            <w:tcW w:w="2444" w:type="dxa"/>
            <w:tcBorders>
              <w:top w:val="nil"/>
              <w:left w:val="nil"/>
              <w:bottom w:val="single" w:sz="4" w:space="0" w:color="000000"/>
              <w:right w:val="nil"/>
            </w:tcBorders>
          </w:tcPr>
          <w:p w14:paraId="5252C1D1" w14:textId="77777777" w:rsidR="00C70C1E" w:rsidRDefault="00AF67C6" w:rsidP="001342F0">
            <w:pPr>
              <w:spacing w:after="0" w:line="259" w:lineRule="auto"/>
              <w:ind w:right="0" w:hanging="10"/>
              <w:jc w:val="left"/>
            </w:pPr>
            <w:r>
              <w:t xml:space="preserve">3 </w:t>
            </w:r>
          </w:p>
        </w:tc>
        <w:tc>
          <w:tcPr>
            <w:tcW w:w="1925" w:type="dxa"/>
            <w:tcBorders>
              <w:top w:val="nil"/>
              <w:left w:val="nil"/>
              <w:bottom w:val="single" w:sz="4" w:space="0" w:color="000000"/>
              <w:right w:val="nil"/>
            </w:tcBorders>
          </w:tcPr>
          <w:p w14:paraId="4BE253DB" w14:textId="77777777" w:rsidR="00C70C1E" w:rsidRDefault="00AF67C6" w:rsidP="001342F0">
            <w:pPr>
              <w:spacing w:after="0" w:line="259" w:lineRule="auto"/>
              <w:ind w:right="0" w:hanging="10"/>
              <w:jc w:val="left"/>
            </w:pPr>
            <w:r>
              <w:t xml:space="preserve">2.73 </w:t>
            </w:r>
          </w:p>
        </w:tc>
      </w:tr>
    </w:tbl>
    <w:p w14:paraId="59299A95" w14:textId="77777777" w:rsidR="00C70C1E" w:rsidRPr="008D54D3" w:rsidRDefault="00AF67C6" w:rsidP="001342F0">
      <w:pPr>
        <w:spacing w:after="58" w:line="239" w:lineRule="auto"/>
        <w:ind w:left="922" w:right="0" w:hanging="10"/>
        <w:jc w:val="left"/>
        <w:rPr>
          <w:i/>
          <w:iCs/>
        </w:rPr>
      </w:pPr>
      <w:r w:rsidRPr="00682A83">
        <w:rPr>
          <w:i/>
          <w:iCs/>
          <w:sz w:val="20"/>
          <w:szCs w:val="20"/>
        </w:rPr>
        <w:t>The practices listed in Table 16 represent strategies employed by smallholder farmers to cope with climate variability and change. These methods were rooted in LEK and have passed down through generations</w:t>
      </w:r>
      <w:r w:rsidRPr="008D54D3">
        <w:rPr>
          <w:i/>
          <w:iCs/>
        </w:rPr>
        <w:t xml:space="preserve">. </w:t>
      </w:r>
    </w:p>
    <w:p w14:paraId="2C1C2570" w14:textId="1A9B1BDA" w:rsidR="00C70C1E" w:rsidRDefault="00AF67C6" w:rsidP="001342F0">
      <w:pPr>
        <w:tabs>
          <w:tab w:val="center" w:pos="699"/>
        </w:tabs>
        <w:spacing w:line="259" w:lineRule="auto"/>
        <w:ind w:left="-15" w:right="0" w:hanging="10"/>
        <w:jc w:val="left"/>
      </w:pPr>
      <w:r>
        <w:rPr>
          <w:rFonts w:ascii="Calibri" w:eastAsia="Calibri" w:hAnsi="Calibri" w:cs="Calibri"/>
        </w:rPr>
        <w:tab/>
      </w:r>
      <w:r>
        <w:t xml:space="preserve"> </w:t>
      </w:r>
    </w:p>
    <w:p w14:paraId="4ED51553" w14:textId="5FD08B5E" w:rsidR="00C70C1E" w:rsidRDefault="00AF67C6" w:rsidP="00804027">
      <w:pPr>
        <w:pStyle w:val="Heading2"/>
        <w:numPr>
          <w:ilvl w:val="2"/>
          <w:numId w:val="7"/>
        </w:numPr>
        <w:tabs>
          <w:tab w:val="center" w:pos="2658"/>
        </w:tabs>
        <w:spacing w:after="170"/>
        <w:ind w:left="1276" w:right="0" w:hanging="567"/>
      </w:pPr>
      <w:r>
        <w:t xml:space="preserve">LEK and climate change mitigation </w:t>
      </w:r>
    </w:p>
    <w:p w14:paraId="5F9FF09C" w14:textId="3437D971" w:rsidR="00C70C1E" w:rsidRDefault="00E95549" w:rsidP="00101800">
      <w:pPr>
        <w:spacing w:after="170"/>
        <w:ind w:left="709" w:right="0" w:firstLine="567"/>
      </w:pPr>
      <w:r>
        <w:t>T</w:t>
      </w:r>
      <w:r w:rsidR="00AF67C6">
        <w:t>he use of LEK to mitigate the effects of climate change</w:t>
      </w:r>
      <w:r>
        <w:t xml:space="preserve"> was also assessed and </w:t>
      </w:r>
      <w:r w:rsidR="00AF67C6">
        <w:t>the results of the study</w:t>
      </w:r>
      <w:r w:rsidR="0094198B">
        <w:t>,</w:t>
      </w:r>
      <w:r w:rsidR="00AF67C6">
        <w:t xml:space="preserve"> in Figure </w:t>
      </w:r>
      <w:r w:rsidR="00BE3EC3">
        <w:t>4</w:t>
      </w:r>
      <w:r w:rsidR="0094198B">
        <w:t>,</w:t>
      </w:r>
      <w:r w:rsidR="00AF67C6">
        <w:t xml:space="preserve"> </w:t>
      </w:r>
      <w:r w:rsidR="0094198B">
        <w:t>show</w:t>
      </w:r>
      <w:r w:rsidR="00AF67C6">
        <w:t xml:space="preserve"> that some LEK practices indirectly contributed to climate change mitigation as smallholder farmers affirmed</w:t>
      </w:r>
      <w:r w:rsidR="005222A2">
        <w:t xml:space="preserve"> </w:t>
      </w:r>
      <w:r w:rsidR="00AF67C6">
        <w:t>that their farming methods contributed to protecting the environment. The most widely practiced mitigation</w:t>
      </w:r>
      <w:r w:rsidR="00AF67C6">
        <w:rPr>
          <w:rFonts w:ascii="Calibri" w:eastAsia="Calibri" w:hAnsi="Calibri" w:cs="Calibri"/>
        </w:rPr>
        <w:t xml:space="preserve"> </w:t>
      </w:r>
      <w:r w:rsidR="00AF67C6">
        <w:t xml:space="preserve">related technique was conservation tillage which stood at 97.27% (n=107), followed by organic fertilizers (animal and plant manure) at 47.27% (n=52), which was mostly used on gardens, and the least was agroforestry at 40% (n=44). </w:t>
      </w:r>
    </w:p>
    <w:p w14:paraId="15DE7A40" w14:textId="6204294C" w:rsidR="00C70C1E" w:rsidRDefault="00AF67C6" w:rsidP="00804027">
      <w:pPr>
        <w:tabs>
          <w:tab w:val="center" w:pos="5440"/>
        </w:tabs>
        <w:spacing w:line="259" w:lineRule="auto"/>
        <w:ind w:left="709" w:right="0" w:firstLine="0"/>
        <w:jc w:val="left"/>
      </w:pPr>
      <w:r>
        <w:rPr>
          <w:rFonts w:ascii="Calibri" w:eastAsia="Calibri" w:hAnsi="Calibri" w:cs="Calibri"/>
        </w:rPr>
        <w:tab/>
      </w:r>
      <w:r w:rsidR="0064613C">
        <w:rPr>
          <w:noProof/>
        </w:rPr>
        <w:drawing>
          <wp:inline distT="0" distB="0" distL="0" distR="0" wp14:anchorId="54B1406B" wp14:editId="79CDE770">
            <wp:extent cx="3956958" cy="2030186"/>
            <wp:effectExtent l="0" t="0" r="5715" b="8255"/>
            <wp:docPr id="578918066" name="Chart 1">
              <a:extLst xmlns:a="http://schemas.openxmlformats.org/drawingml/2006/main">
                <a:ext uri="{FF2B5EF4-FFF2-40B4-BE49-F238E27FC236}">
                  <a16:creationId xmlns:a16="http://schemas.microsoft.com/office/drawing/2014/main" id="{F3C8FE7C-0AF3-F407-DB5A-DDD8044C8EE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3049A1B" w14:textId="3AB1F55E" w:rsidR="00C70C1E" w:rsidRDefault="00AF67C6" w:rsidP="001342F0">
      <w:pPr>
        <w:tabs>
          <w:tab w:val="center" w:pos="3465"/>
        </w:tabs>
        <w:spacing w:after="218"/>
        <w:ind w:left="-15" w:right="0" w:hanging="10"/>
        <w:jc w:val="left"/>
      </w:pPr>
      <w:r>
        <w:rPr>
          <w:rFonts w:ascii="Calibri" w:eastAsia="Calibri" w:hAnsi="Calibri" w:cs="Calibri"/>
        </w:rPr>
        <w:t xml:space="preserve"> </w:t>
      </w:r>
      <w:r>
        <w:rPr>
          <w:rFonts w:ascii="Calibri" w:eastAsia="Calibri" w:hAnsi="Calibri" w:cs="Calibri"/>
        </w:rPr>
        <w:tab/>
      </w:r>
      <w:r w:rsidR="00E95549">
        <w:rPr>
          <w:rFonts w:ascii="Calibri" w:eastAsia="Calibri" w:hAnsi="Calibri" w:cs="Calibri"/>
        </w:rPr>
        <w:t xml:space="preserve"> </w:t>
      </w:r>
      <w:r w:rsidR="0064613C">
        <w:rPr>
          <w:rFonts w:ascii="Calibri" w:eastAsia="Calibri" w:hAnsi="Calibri" w:cs="Calibri"/>
        </w:rPr>
        <w:t xml:space="preserve">                                        </w:t>
      </w:r>
      <w:r w:rsidR="000B212B">
        <w:rPr>
          <w:rFonts w:ascii="Calibri" w:eastAsia="Calibri" w:hAnsi="Calibri" w:cs="Calibri"/>
        </w:rPr>
        <w:t xml:space="preserve">     </w:t>
      </w:r>
      <w:r>
        <w:t xml:space="preserve">Figure </w:t>
      </w:r>
      <w:r w:rsidR="00BE3EC3">
        <w:t>4</w:t>
      </w:r>
      <w:r>
        <w:t xml:space="preserve">: Frequency </w:t>
      </w:r>
      <w:r w:rsidR="0064613C">
        <w:t>of</w:t>
      </w:r>
      <w:r>
        <w:t xml:space="preserve"> practice in conservation farming </w:t>
      </w:r>
    </w:p>
    <w:p w14:paraId="3298C1C5" w14:textId="4FDF3507" w:rsidR="00C70C1E" w:rsidRDefault="00AF67C6" w:rsidP="00804027">
      <w:pPr>
        <w:pStyle w:val="Heading2"/>
        <w:numPr>
          <w:ilvl w:val="2"/>
          <w:numId w:val="7"/>
        </w:numPr>
        <w:tabs>
          <w:tab w:val="center" w:pos="2979"/>
        </w:tabs>
        <w:spacing w:after="167"/>
        <w:ind w:left="1276" w:right="0" w:hanging="567"/>
      </w:pPr>
      <w:r>
        <w:t xml:space="preserve">Effectiveness of LEK in building resilience </w:t>
      </w:r>
    </w:p>
    <w:p w14:paraId="294E72BE" w14:textId="08EB6BDE" w:rsidR="00C70C1E" w:rsidRDefault="00AF67C6" w:rsidP="00E648E1">
      <w:pPr>
        <w:ind w:left="709" w:right="0" w:firstLine="567"/>
      </w:pPr>
      <w:r>
        <w:t>The study also provided compelling evidence of the effectiveness of LEK in enhancing resilience</w:t>
      </w:r>
      <w:r>
        <w:rPr>
          <w:rFonts w:ascii="Calibri" w:eastAsia="Calibri" w:hAnsi="Calibri" w:cs="Calibri"/>
        </w:rPr>
        <w:t xml:space="preserve"> </w:t>
      </w:r>
      <w:r>
        <w:t xml:space="preserve">against the adverse impacts of climate change. The responses of farmers in Figure </w:t>
      </w:r>
      <w:r w:rsidR="00F53B88">
        <w:t>5</w:t>
      </w:r>
      <w:bookmarkStart w:id="0" w:name="_GoBack"/>
      <w:bookmarkEnd w:id="0"/>
      <w:r>
        <w:t xml:space="preserve"> when asked to state the</w:t>
      </w:r>
      <w:r w:rsidR="005C0D06">
        <w:t xml:space="preserve"> </w:t>
      </w:r>
      <w:r>
        <w:t>impact of LEK in helping cope with climatic stressors and maintain productivity, show that 65 of them</w:t>
      </w:r>
      <w:r>
        <w:rPr>
          <w:rFonts w:ascii="Calibri" w:eastAsia="Calibri" w:hAnsi="Calibri" w:cs="Calibri"/>
        </w:rPr>
        <w:t xml:space="preserve"> </w:t>
      </w:r>
      <w:r>
        <w:t xml:space="preserve">(59.09%) rated LEK as very effective, while 44 (40%) found it effective. Only one respondent (0.91%) </w:t>
      </w:r>
      <w:r>
        <w:rPr>
          <w:rFonts w:ascii="Calibri" w:eastAsia="Calibri" w:hAnsi="Calibri" w:cs="Calibri"/>
        </w:rPr>
        <w:t xml:space="preserve">478 </w:t>
      </w:r>
      <w:r>
        <w:t xml:space="preserve">considered it not effective.  </w:t>
      </w:r>
    </w:p>
    <w:p w14:paraId="4194A423" w14:textId="77777777" w:rsidR="00C70C1E" w:rsidRDefault="00C70C1E" w:rsidP="001342F0">
      <w:pPr>
        <w:ind w:hanging="10"/>
        <w:sectPr w:rsidR="00C70C1E" w:rsidSect="008B092A">
          <w:headerReference w:type="even" r:id="rId30"/>
          <w:headerReference w:type="default" r:id="rId31"/>
          <w:footerReference w:type="even" r:id="rId32"/>
          <w:footerReference w:type="default" r:id="rId33"/>
          <w:headerReference w:type="first" r:id="rId34"/>
          <w:footerReference w:type="first" r:id="rId35"/>
          <w:pgSz w:w="11906" w:h="16838"/>
          <w:pgMar w:top="1440" w:right="1240" w:bottom="1440" w:left="550" w:header="720" w:footer="721" w:gutter="0"/>
          <w:cols w:space="720"/>
          <w:docGrid w:linePitch="299"/>
        </w:sectPr>
      </w:pPr>
    </w:p>
    <w:p w14:paraId="7E69A6A2" w14:textId="1238195B" w:rsidR="00C70C1E" w:rsidRDefault="0008022D" w:rsidP="001342F0">
      <w:pPr>
        <w:spacing w:after="0" w:line="259" w:lineRule="auto"/>
        <w:ind w:left="1022" w:right="0" w:hanging="10"/>
        <w:jc w:val="left"/>
      </w:pPr>
      <w:r>
        <w:rPr>
          <w:noProof/>
        </w:rPr>
        <w:lastRenderedPageBreak/>
        <w:drawing>
          <wp:inline distT="0" distB="0" distL="0" distR="0" wp14:anchorId="0D31840A" wp14:editId="45646EA1">
            <wp:extent cx="3853543" cy="1948543"/>
            <wp:effectExtent l="0" t="0" r="13970" b="13970"/>
            <wp:docPr id="2066006509" name="Chart 1">
              <a:extLst xmlns:a="http://schemas.openxmlformats.org/drawingml/2006/main">
                <a:ext uri="{FF2B5EF4-FFF2-40B4-BE49-F238E27FC236}">
                  <a16:creationId xmlns:a16="http://schemas.microsoft.com/office/drawing/2014/main" id="{21182F29-A4C9-3111-77C2-5BA34117BC0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362A7F7A" w14:textId="2E239114" w:rsidR="00C70C1E" w:rsidRDefault="00AF67C6" w:rsidP="001342F0">
      <w:pPr>
        <w:spacing w:after="212"/>
        <w:ind w:left="994" w:right="0" w:hanging="10"/>
      </w:pPr>
      <w:r>
        <w:t xml:space="preserve">Figure </w:t>
      </w:r>
      <w:r w:rsidR="00BE3EC3">
        <w:t>5</w:t>
      </w:r>
      <w:r>
        <w:t xml:space="preserve">: </w:t>
      </w:r>
      <w:r w:rsidR="0008022D">
        <w:t>E</w:t>
      </w:r>
      <w:r>
        <w:t xml:space="preserve">ffectiveness of LEK </w:t>
      </w:r>
    </w:p>
    <w:p w14:paraId="17693115" w14:textId="77777777" w:rsidR="00C70C1E" w:rsidRDefault="00AF67C6" w:rsidP="00E648E1">
      <w:pPr>
        <w:spacing w:after="217" w:line="239" w:lineRule="auto"/>
        <w:ind w:left="-15" w:right="0" w:firstLine="582"/>
      </w:pPr>
      <w:r>
        <w:t xml:space="preserve">In order to understand the use of LEK by farmers, a Multiple Regression Analysis was used, where the gender, age of the farmer, educational level, farming experience (years spent in farming), farm size (in hectares), and years lived in the village were the dependent variables against the independent variable (use of LEK) of the farmers as shown in Table 17.   </w:t>
      </w:r>
    </w:p>
    <w:p w14:paraId="398CAA3A" w14:textId="77777777" w:rsidR="00C70C1E" w:rsidRDefault="00AF67C6" w:rsidP="001342F0">
      <w:pPr>
        <w:ind w:left="139" w:right="0" w:hanging="10"/>
      </w:pPr>
      <w:r>
        <w:rPr>
          <w:b/>
        </w:rPr>
        <w:t>Table 17:</w:t>
      </w:r>
      <w:r>
        <w:t xml:space="preserve"> Multiple Regression Analysis results on factors influencing farmers’ adoption of LEK </w:t>
      </w:r>
    </w:p>
    <w:tbl>
      <w:tblPr>
        <w:tblStyle w:val="TableGrid"/>
        <w:tblW w:w="9352" w:type="dxa"/>
        <w:tblInd w:w="31" w:type="dxa"/>
        <w:tblCellMar>
          <w:top w:w="7" w:type="dxa"/>
          <w:right w:w="72" w:type="dxa"/>
        </w:tblCellMar>
        <w:tblLook w:val="04A0" w:firstRow="1" w:lastRow="0" w:firstColumn="1" w:lastColumn="0" w:noHBand="0" w:noVBand="1"/>
      </w:tblPr>
      <w:tblGrid>
        <w:gridCol w:w="1651"/>
        <w:gridCol w:w="2410"/>
        <w:gridCol w:w="1892"/>
        <w:gridCol w:w="989"/>
        <w:gridCol w:w="970"/>
        <w:gridCol w:w="1440"/>
      </w:tblGrid>
      <w:tr w:rsidR="00C70C1E" w14:paraId="0082908A" w14:textId="77777777">
        <w:trPr>
          <w:trHeight w:val="593"/>
        </w:trPr>
        <w:tc>
          <w:tcPr>
            <w:tcW w:w="1651" w:type="dxa"/>
            <w:tcBorders>
              <w:top w:val="single" w:sz="4" w:space="0" w:color="000000"/>
              <w:left w:val="nil"/>
              <w:bottom w:val="single" w:sz="4" w:space="0" w:color="000000"/>
              <w:right w:val="nil"/>
            </w:tcBorders>
            <w:vAlign w:val="center"/>
          </w:tcPr>
          <w:p w14:paraId="646B445E" w14:textId="77777777" w:rsidR="00C70C1E" w:rsidRDefault="00AF67C6" w:rsidP="001342F0">
            <w:pPr>
              <w:spacing w:after="0" w:line="259" w:lineRule="auto"/>
              <w:ind w:left="108" w:right="0" w:hanging="10"/>
              <w:jc w:val="left"/>
            </w:pPr>
            <w:r>
              <w:rPr>
                <w:b/>
              </w:rPr>
              <w:t>Variable</w:t>
            </w:r>
            <w:r>
              <w:t xml:space="preserve"> </w:t>
            </w:r>
          </w:p>
        </w:tc>
        <w:tc>
          <w:tcPr>
            <w:tcW w:w="2410" w:type="dxa"/>
            <w:tcBorders>
              <w:top w:val="single" w:sz="4" w:space="0" w:color="000000"/>
              <w:left w:val="nil"/>
              <w:bottom w:val="single" w:sz="4" w:space="0" w:color="000000"/>
              <w:right w:val="nil"/>
            </w:tcBorders>
          </w:tcPr>
          <w:p w14:paraId="022AA710" w14:textId="77777777" w:rsidR="00C70C1E" w:rsidRDefault="00AF67C6" w:rsidP="001342F0">
            <w:pPr>
              <w:spacing w:after="59" w:line="259" w:lineRule="auto"/>
              <w:ind w:right="0" w:hanging="10"/>
              <w:jc w:val="left"/>
            </w:pPr>
            <w:r>
              <w:rPr>
                <w:b/>
              </w:rPr>
              <w:t xml:space="preserve">Unstandardized </w:t>
            </w:r>
          </w:p>
          <w:p w14:paraId="3957CD48" w14:textId="77777777" w:rsidR="00C70C1E" w:rsidRDefault="00AF67C6" w:rsidP="001342F0">
            <w:pPr>
              <w:spacing w:after="0" w:line="259" w:lineRule="auto"/>
              <w:ind w:right="0" w:hanging="10"/>
              <w:jc w:val="left"/>
            </w:pPr>
            <w:r>
              <w:rPr>
                <w:b/>
              </w:rPr>
              <w:t>Coefficient (β)</w:t>
            </w:r>
            <w:r>
              <w:t xml:space="preserve"> </w:t>
            </w:r>
          </w:p>
        </w:tc>
        <w:tc>
          <w:tcPr>
            <w:tcW w:w="1892" w:type="dxa"/>
            <w:tcBorders>
              <w:top w:val="single" w:sz="4" w:space="0" w:color="000000"/>
              <w:left w:val="nil"/>
              <w:bottom w:val="single" w:sz="4" w:space="0" w:color="000000"/>
              <w:right w:val="nil"/>
            </w:tcBorders>
            <w:vAlign w:val="center"/>
          </w:tcPr>
          <w:p w14:paraId="786B0D09" w14:textId="77777777" w:rsidR="00C70C1E" w:rsidRDefault="00AF67C6" w:rsidP="001342F0">
            <w:pPr>
              <w:spacing w:after="0" w:line="259" w:lineRule="auto"/>
              <w:ind w:right="0" w:hanging="10"/>
              <w:jc w:val="left"/>
            </w:pPr>
            <w:r>
              <w:rPr>
                <w:b/>
              </w:rPr>
              <w:t>Standard Error</w:t>
            </w:r>
            <w:r>
              <w:t xml:space="preserve"> </w:t>
            </w:r>
          </w:p>
        </w:tc>
        <w:tc>
          <w:tcPr>
            <w:tcW w:w="989" w:type="dxa"/>
            <w:tcBorders>
              <w:top w:val="single" w:sz="4" w:space="0" w:color="000000"/>
              <w:left w:val="nil"/>
              <w:bottom w:val="single" w:sz="4" w:space="0" w:color="000000"/>
              <w:right w:val="nil"/>
            </w:tcBorders>
            <w:vAlign w:val="center"/>
          </w:tcPr>
          <w:p w14:paraId="3DE006DC" w14:textId="77777777" w:rsidR="00C70C1E" w:rsidRDefault="00AF67C6" w:rsidP="001342F0">
            <w:pPr>
              <w:spacing w:after="0" w:line="259" w:lineRule="auto"/>
              <w:ind w:right="0" w:hanging="10"/>
              <w:jc w:val="left"/>
            </w:pPr>
            <w:r>
              <w:rPr>
                <w:b/>
              </w:rPr>
              <w:t>t-value</w:t>
            </w:r>
            <w:r>
              <w:t xml:space="preserve"> </w:t>
            </w:r>
          </w:p>
        </w:tc>
        <w:tc>
          <w:tcPr>
            <w:tcW w:w="970" w:type="dxa"/>
            <w:tcBorders>
              <w:top w:val="single" w:sz="4" w:space="0" w:color="000000"/>
              <w:left w:val="nil"/>
              <w:bottom w:val="single" w:sz="4" w:space="0" w:color="000000"/>
              <w:right w:val="nil"/>
            </w:tcBorders>
            <w:vAlign w:val="center"/>
          </w:tcPr>
          <w:p w14:paraId="5673F1AC" w14:textId="77777777" w:rsidR="00C70C1E" w:rsidRDefault="00AF67C6" w:rsidP="001342F0">
            <w:pPr>
              <w:spacing w:after="0" w:line="259" w:lineRule="auto"/>
              <w:ind w:right="0" w:hanging="10"/>
              <w:jc w:val="left"/>
            </w:pPr>
            <w:r>
              <w:rPr>
                <w:b/>
              </w:rPr>
              <w:t>p-value</w:t>
            </w:r>
            <w:r>
              <w:t xml:space="preserve"> </w:t>
            </w:r>
          </w:p>
        </w:tc>
        <w:tc>
          <w:tcPr>
            <w:tcW w:w="1440" w:type="dxa"/>
            <w:tcBorders>
              <w:top w:val="single" w:sz="4" w:space="0" w:color="000000"/>
              <w:left w:val="nil"/>
              <w:bottom w:val="single" w:sz="4" w:space="0" w:color="000000"/>
              <w:right w:val="nil"/>
            </w:tcBorders>
            <w:vAlign w:val="center"/>
          </w:tcPr>
          <w:p w14:paraId="390B45D3" w14:textId="77777777" w:rsidR="00C70C1E" w:rsidRDefault="00AF67C6" w:rsidP="001342F0">
            <w:pPr>
              <w:spacing w:after="0" w:line="259" w:lineRule="auto"/>
              <w:ind w:right="0" w:hanging="10"/>
              <w:jc w:val="left"/>
            </w:pPr>
            <w:r>
              <w:rPr>
                <w:b/>
              </w:rPr>
              <w:t>Significance</w:t>
            </w:r>
            <w:r>
              <w:t xml:space="preserve"> </w:t>
            </w:r>
          </w:p>
        </w:tc>
      </w:tr>
      <w:tr w:rsidR="00C70C1E" w14:paraId="5A692D99" w14:textId="77777777">
        <w:trPr>
          <w:trHeight w:val="275"/>
        </w:trPr>
        <w:tc>
          <w:tcPr>
            <w:tcW w:w="1651" w:type="dxa"/>
            <w:tcBorders>
              <w:top w:val="single" w:sz="4" w:space="0" w:color="000000"/>
              <w:left w:val="nil"/>
              <w:bottom w:val="nil"/>
              <w:right w:val="nil"/>
            </w:tcBorders>
          </w:tcPr>
          <w:p w14:paraId="2BEFAC4A" w14:textId="77777777" w:rsidR="00C70C1E" w:rsidRDefault="00AF67C6" w:rsidP="00D932C5">
            <w:pPr>
              <w:spacing w:after="0" w:line="240" w:lineRule="auto"/>
              <w:ind w:left="108" w:right="0" w:hanging="10"/>
              <w:jc w:val="left"/>
            </w:pPr>
            <w:r>
              <w:t xml:space="preserve">Constant (a) </w:t>
            </w:r>
          </w:p>
        </w:tc>
        <w:tc>
          <w:tcPr>
            <w:tcW w:w="2410" w:type="dxa"/>
            <w:tcBorders>
              <w:top w:val="single" w:sz="4" w:space="0" w:color="000000"/>
              <w:left w:val="nil"/>
              <w:bottom w:val="nil"/>
              <w:right w:val="nil"/>
            </w:tcBorders>
          </w:tcPr>
          <w:p w14:paraId="24B16887" w14:textId="77777777" w:rsidR="00C70C1E" w:rsidRDefault="00AF67C6" w:rsidP="00D932C5">
            <w:pPr>
              <w:spacing w:after="0" w:line="240" w:lineRule="auto"/>
              <w:ind w:right="0" w:hanging="10"/>
              <w:jc w:val="left"/>
            </w:pPr>
            <w:r>
              <w:t xml:space="preserve">0.7122 </w:t>
            </w:r>
          </w:p>
        </w:tc>
        <w:tc>
          <w:tcPr>
            <w:tcW w:w="1892" w:type="dxa"/>
            <w:tcBorders>
              <w:top w:val="single" w:sz="4" w:space="0" w:color="000000"/>
              <w:left w:val="nil"/>
              <w:bottom w:val="nil"/>
              <w:right w:val="nil"/>
            </w:tcBorders>
          </w:tcPr>
          <w:p w14:paraId="4503D99F" w14:textId="77777777" w:rsidR="00C70C1E" w:rsidRDefault="00AF67C6" w:rsidP="00D932C5">
            <w:pPr>
              <w:spacing w:after="0" w:line="240" w:lineRule="auto"/>
              <w:ind w:right="0" w:hanging="10"/>
              <w:jc w:val="left"/>
            </w:pPr>
            <w:r>
              <w:t xml:space="preserve">0.060 </w:t>
            </w:r>
          </w:p>
        </w:tc>
        <w:tc>
          <w:tcPr>
            <w:tcW w:w="989" w:type="dxa"/>
            <w:tcBorders>
              <w:top w:val="single" w:sz="4" w:space="0" w:color="000000"/>
              <w:left w:val="nil"/>
              <w:bottom w:val="nil"/>
              <w:right w:val="nil"/>
            </w:tcBorders>
          </w:tcPr>
          <w:p w14:paraId="3FC09166" w14:textId="77777777" w:rsidR="00C70C1E" w:rsidRDefault="00AF67C6" w:rsidP="00D932C5">
            <w:pPr>
              <w:spacing w:after="0" w:line="240" w:lineRule="auto"/>
              <w:ind w:right="0" w:hanging="10"/>
              <w:jc w:val="left"/>
            </w:pPr>
            <w:r>
              <w:t xml:space="preserve">11.88 </w:t>
            </w:r>
          </w:p>
        </w:tc>
        <w:tc>
          <w:tcPr>
            <w:tcW w:w="970" w:type="dxa"/>
            <w:tcBorders>
              <w:top w:val="single" w:sz="4" w:space="0" w:color="000000"/>
              <w:left w:val="nil"/>
              <w:bottom w:val="nil"/>
              <w:right w:val="nil"/>
            </w:tcBorders>
          </w:tcPr>
          <w:p w14:paraId="5996D61D" w14:textId="77777777" w:rsidR="00C70C1E" w:rsidRDefault="00AF67C6" w:rsidP="00D932C5">
            <w:pPr>
              <w:spacing w:after="0" w:line="240" w:lineRule="auto"/>
              <w:ind w:right="0" w:hanging="10"/>
              <w:jc w:val="left"/>
            </w:pPr>
            <w:r>
              <w:t xml:space="preserve">0.000 </w:t>
            </w:r>
          </w:p>
        </w:tc>
        <w:tc>
          <w:tcPr>
            <w:tcW w:w="1440" w:type="dxa"/>
            <w:tcBorders>
              <w:top w:val="single" w:sz="4" w:space="0" w:color="000000"/>
              <w:left w:val="nil"/>
              <w:bottom w:val="nil"/>
              <w:right w:val="nil"/>
            </w:tcBorders>
          </w:tcPr>
          <w:p w14:paraId="0AA0EB22" w14:textId="77777777" w:rsidR="00C70C1E" w:rsidRDefault="00AF67C6" w:rsidP="00D932C5">
            <w:pPr>
              <w:spacing w:after="0" w:line="240" w:lineRule="auto"/>
              <w:ind w:right="0" w:hanging="10"/>
              <w:jc w:val="left"/>
            </w:pPr>
            <w:r>
              <w:t xml:space="preserve">Significant </w:t>
            </w:r>
          </w:p>
        </w:tc>
      </w:tr>
      <w:tr w:rsidR="00C70C1E" w14:paraId="619ED50B" w14:textId="77777777">
        <w:trPr>
          <w:trHeight w:val="290"/>
        </w:trPr>
        <w:tc>
          <w:tcPr>
            <w:tcW w:w="1651" w:type="dxa"/>
            <w:tcBorders>
              <w:top w:val="nil"/>
              <w:left w:val="nil"/>
              <w:bottom w:val="nil"/>
              <w:right w:val="nil"/>
            </w:tcBorders>
          </w:tcPr>
          <w:p w14:paraId="100733E8" w14:textId="77777777" w:rsidR="00C70C1E" w:rsidRDefault="00AF67C6" w:rsidP="00D932C5">
            <w:pPr>
              <w:spacing w:after="0" w:line="240" w:lineRule="auto"/>
              <w:ind w:left="108" w:right="0" w:hanging="10"/>
              <w:jc w:val="left"/>
            </w:pPr>
            <w:r>
              <w:t xml:space="preserve">Gender </w:t>
            </w:r>
          </w:p>
        </w:tc>
        <w:tc>
          <w:tcPr>
            <w:tcW w:w="2410" w:type="dxa"/>
            <w:tcBorders>
              <w:top w:val="nil"/>
              <w:left w:val="nil"/>
              <w:bottom w:val="nil"/>
              <w:right w:val="nil"/>
            </w:tcBorders>
          </w:tcPr>
          <w:p w14:paraId="7F5EFF47" w14:textId="77777777" w:rsidR="00C70C1E" w:rsidRDefault="00AF67C6" w:rsidP="00D932C5">
            <w:pPr>
              <w:spacing w:after="0" w:line="240" w:lineRule="auto"/>
              <w:ind w:right="0" w:hanging="10"/>
              <w:jc w:val="left"/>
            </w:pPr>
            <w:r>
              <w:t xml:space="preserve">0.0896 </w:t>
            </w:r>
          </w:p>
        </w:tc>
        <w:tc>
          <w:tcPr>
            <w:tcW w:w="1892" w:type="dxa"/>
            <w:tcBorders>
              <w:top w:val="nil"/>
              <w:left w:val="nil"/>
              <w:bottom w:val="nil"/>
              <w:right w:val="nil"/>
            </w:tcBorders>
          </w:tcPr>
          <w:p w14:paraId="7A74493D" w14:textId="77777777" w:rsidR="00C70C1E" w:rsidRDefault="00AF67C6" w:rsidP="00D932C5">
            <w:pPr>
              <w:spacing w:after="0" w:line="240" w:lineRule="auto"/>
              <w:ind w:right="0" w:hanging="10"/>
              <w:jc w:val="left"/>
            </w:pPr>
            <w:r>
              <w:t xml:space="preserve">0.021 </w:t>
            </w:r>
          </w:p>
        </w:tc>
        <w:tc>
          <w:tcPr>
            <w:tcW w:w="989" w:type="dxa"/>
            <w:tcBorders>
              <w:top w:val="nil"/>
              <w:left w:val="nil"/>
              <w:bottom w:val="nil"/>
              <w:right w:val="nil"/>
            </w:tcBorders>
          </w:tcPr>
          <w:p w14:paraId="5A2AB281" w14:textId="77777777" w:rsidR="00C70C1E" w:rsidRDefault="00AF67C6" w:rsidP="00D932C5">
            <w:pPr>
              <w:spacing w:after="0" w:line="240" w:lineRule="auto"/>
              <w:ind w:right="0" w:hanging="10"/>
              <w:jc w:val="left"/>
            </w:pPr>
            <w:r>
              <w:t xml:space="preserve">4.27 </w:t>
            </w:r>
          </w:p>
        </w:tc>
        <w:tc>
          <w:tcPr>
            <w:tcW w:w="970" w:type="dxa"/>
            <w:tcBorders>
              <w:top w:val="nil"/>
              <w:left w:val="nil"/>
              <w:bottom w:val="nil"/>
              <w:right w:val="nil"/>
            </w:tcBorders>
          </w:tcPr>
          <w:p w14:paraId="330ED6C1" w14:textId="77777777" w:rsidR="00C70C1E" w:rsidRDefault="00AF67C6" w:rsidP="00D932C5">
            <w:pPr>
              <w:spacing w:after="0" w:line="240" w:lineRule="auto"/>
              <w:ind w:right="0" w:hanging="10"/>
              <w:jc w:val="left"/>
            </w:pPr>
            <w:r>
              <w:t xml:space="preserve">0.000 </w:t>
            </w:r>
          </w:p>
        </w:tc>
        <w:tc>
          <w:tcPr>
            <w:tcW w:w="1440" w:type="dxa"/>
            <w:tcBorders>
              <w:top w:val="nil"/>
              <w:left w:val="nil"/>
              <w:bottom w:val="nil"/>
              <w:right w:val="nil"/>
            </w:tcBorders>
          </w:tcPr>
          <w:p w14:paraId="5B51866C" w14:textId="77777777" w:rsidR="00C70C1E" w:rsidRDefault="00AF67C6" w:rsidP="00D932C5">
            <w:pPr>
              <w:spacing w:after="0" w:line="240" w:lineRule="auto"/>
              <w:ind w:right="0" w:hanging="10"/>
              <w:jc w:val="left"/>
            </w:pPr>
            <w:r>
              <w:t xml:space="preserve">Significant </w:t>
            </w:r>
          </w:p>
        </w:tc>
      </w:tr>
      <w:tr w:rsidR="00C70C1E" w14:paraId="33724035" w14:textId="77777777">
        <w:trPr>
          <w:trHeight w:val="294"/>
        </w:trPr>
        <w:tc>
          <w:tcPr>
            <w:tcW w:w="1651" w:type="dxa"/>
            <w:tcBorders>
              <w:top w:val="nil"/>
              <w:left w:val="nil"/>
              <w:bottom w:val="nil"/>
              <w:right w:val="nil"/>
            </w:tcBorders>
          </w:tcPr>
          <w:p w14:paraId="255FF1D9" w14:textId="77777777" w:rsidR="00C70C1E" w:rsidRDefault="00AF67C6" w:rsidP="00D932C5">
            <w:pPr>
              <w:spacing w:after="0" w:line="240" w:lineRule="auto"/>
              <w:ind w:left="108" w:right="0" w:hanging="10"/>
              <w:jc w:val="left"/>
            </w:pPr>
            <w:r>
              <w:t xml:space="preserve">Age </w:t>
            </w:r>
          </w:p>
        </w:tc>
        <w:tc>
          <w:tcPr>
            <w:tcW w:w="2410" w:type="dxa"/>
            <w:tcBorders>
              <w:top w:val="nil"/>
              <w:left w:val="nil"/>
              <w:bottom w:val="nil"/>
              <w:right w:val="nil"/>
            </w:tcBorders>
          </w:tcPr>
          <w:p w14:paraId="6CCDC60E" w14:textId="77777777" w:rsidR="00C70C1E" w:rsidRDefault="00AF67C6" w:rsidP="00D932C5">
            <w:pPr>
              <w:spacing w:after="0" w:line="240" w:lineRule="auto"/>
              <w:ind w:right="0" w:hanging="10"/>
              <w:jc w:val="left"/>
            </w:pPr>
            <w:r>
              <w:t xml:space="preserve">0.0412 </w:t>
            </w:r>
          </w:p>
        </w:tc>
        <w:tc>
          <w:tcPr>
            <w:tcW w:w="1892" w:type="dxa"/>
            <w:tcBorders>
              <w:top w:val="nil"/>
              <w:left w:val="nil"/>
              <w:bottom w:val="nil"/>
              <w:right w:val="nil"/>
            </w:tcBorders>
          </w:tcPr>
          <w:p w14:paraId="2D33F814" w14:textId="77777777" w:rsidR="00C70C1E" w:rsidRDefault="00AF67C6" w:rsidP="00D932C5">
            <w:pPr>
              <w:spacing w:after="0" w:line="240" w:lineRule="auto"/>
              <w:ind w:right="0" w:hanging="10"/>
              <w:jc w:val="left"/>
            </w:pPr>
            <w:r>
              <w:t xml:space="preserve">0.015 </w:t>
            </w:r>
          </w:p>
        </w:tc>
        <w:tc>
          <w:tcPr>
            <w:tcW w:w="989" w:type="dxa"/>
            <w:tcBorders>
              <w:top w:val="nil"/>
              <w:left w:val="nil"/>
              <w:bottom w:val="nil"/>
              <w:right w:val="nil"/>
            </w:tcBorders>
          </w:tcPr>
          <w:p w14:paraId="3DC0EDCF" w14:textId="77777777" w:rsidR="00C70C1E" w:rsidRDefault="00AF67C6" w:rsidP="00D932C5">
            <w:pPr>
              <w:spacing w:after="0" w:line="240" w:lineRule="auto"/>
              <w:ind w:right="0" w:hanging="10"/>
              <w:jc w:val="left"/>
            </w:pPr>
            <w:r>
              <w:t xml:space="preserve">2.75 </w:t>
            </w:r>
          </w:p>
        </w:tc>
        <w:tc>
          <w:tcPr>
            <w:tcW w:w="970" w:type="dxa"/>
            <w:tcBorders>
              <w:top w:val="nil"/>
              <w:left w:val="nil"/>
              <w:bottom w:val="nil"/>
              <w:right w:val="nil"/>
            </w:tcBorders>
          </w:tcPr>
          <w:p w14:paraId="2D6FF02C" w14:textId="77777777" w:rsidR="00C70C1E" w:rsidRDefault="00AF67C6" w:rsidP="00D932C5">
            <w:pPr>
              <w:spacing w:after="0" w:line="240" w:lineRule="auto"/>
              <w:ind w:right="0" w:hanging="10"/>
              <w:jc w:val="left"/>
            </w:pPr>
            <w:r>
              <w:t xml:space="preserve">0.007 </w:t>
            </w:r>
          </w:p>
        </w:tc>
        <w:tc>
          <w:tcPr>
            <w:tcW w:w="1440" w:type="dxa"/>
            <w:tcBorders>
              <w:top w:val="nil"/>
              <w:left w:val="nil"/>
              <w:bottom w:val="nil"/>
              <w:right w:val="nil"/>
            </w:tcBorders>
          </w:tcPr>
          <w:p w14:paraId="3A5D96E2" w14:textId="77777777" w:rsidR="00C70C1E" w:rsidRDefault="00AF67C6" w:rsidP="00D932C5">
            <w:pPr>
              <w:spacing w:after="0" w:line="240" w:lineRule="auto"/>
              <w:ind w:right="0" w:hanging="10"/>
              <w:jc w:val="left"/>
            </w:pPr>
            <w:r>
              <w:rPr>
                <w:b/>
              </w:rPr>
              <w:t>Significant</w:t>
            </w:r>
            <w:r>
              <w:t xml:space="preserve"> </w:t>
            </w:r>
          </w:p>
        </w:tc>
      </w:tr>
      <w:tr w:rsidR="00C70C1E" w14:paraId="0DDA6397" w14:textId="77777777">
        <w:trPr>
          <w:trHeight w:val="580"/>
        </w:trPr>
        <w:tc>
          <w:tcPr>
            <w:tcW w:w="1651" w:type="dxa"/>
            <w:tcBorders>
              <w:top w:val="nil"/>
              <w:left w:val="nil"/>
              <w:bottom w:val="nil"/>
              <w:right w:val="nil"/>
            </w:tcBorders>
          </w:tcPr>
          <w:p w14:paraId="4115FE81" w14:textId="77777777" w:rsidR="00C70C1E" w:rsidRDefault="00AF67C6" w:rsidP="00D932C5">
            <w:pPr>
              <w:spacing w:after="0" w:line="240" w:lineRule="auto"/>
              <w:ind w:left="108" w:right="21" w:hanging="10"/>
              <w:jc w:val="left"/>
            </w:pPr>
            <w:r>
              <w:t xml:space="preserve">Education Level </w:t>
            </w:r>
          </w:p>
        </w:tc>
        <w:tc>
          <w:tcPr>
            <w:tcW w:w="2410" w:type="dxa"/>
            <w:tcBorders>
              <w:top w:val="nil"/>
              <w:left w:val="nil"/>
              <w:bottom w:val="nil"/>
              <w:right w:val="nil"/>
            </w:tcBorders>
            <w:vAlign w:val="center"/>
          </w:tcPr>
          <w:p w14:paraId="03D17F1F" w14:textId="77777777" w:rsidR="00C70C1E" w:rsidRDefault="00AF67C6" w:rsidP="00D932C5">
            <w:pPr>
              <w:spacing w:after="0" w:line="240" w:lineRule="auto"/>
              <w:ind w:right="0" w:hanging="10"/>
              <w:jc w:val="left"/>
            </w:pPr>
            <w:r>
              <w:t xml:space="preserve">0.0018 </w:t>
            </w:r>
          </w:p>
        </w:tc>
        <w:tc>
          <w:tcPr>
            <w:tcW w:w="1892" w:type="dxa"/>
            <w:tcBorders>
              <w:top w:val="nil"/>
              <w:left w:val="nil"/>
              <w:bottom w:val="nil"/>
              <w:right w:val="nil"/>
            </w:tcBorders>
            <w:vAlign w:val="center"/>
          </w:tcPr>
          <w:p w14:paraId="17067D17" w14:textId="77777777" w:rsidR="00C70C1E" w:rsidRDefault="00AF67C6" w:rsidP="00D932C5">
            <w:pPr>
              <w:spacing w:after="0" w:line="240" w:lineRule="auto"/>
              <w:ind w:right="0" w:hanging="10"/>
              <w:jc w:val="left"/>
            </w:pPr>
            <w:r>
              <w:t xml:space="preserve">0.014 </w:t>
            </w:r>
          </w:p>
        </w:tc>
        <w:tc>
          <w:tcPr>
            <w:tcW w:w="989" w:type="dxa"/>
            <w:tcBorders>
              <w:top w:val="nil"/>
              <w:left w:val="nil"/>
              <w:bottom w:val="nil"/>
              <w:right w:val="nil"/>
            </w:tcBorders>
            <w:vAlign w:val="center"/>
          </w:tcPr>
          <w:p w14:paraId="6EF99100" w14:textId="77777777" w:rsidR="00C70C1E" w:rsidRDefault="00AF67C6" w:rsidP="00D932C5">
            <w:pPr>
              <w:spacing w:after="0" w:line="240" w:lineRule="auto"/>
              <w:ind w:right="0" w:hanging="10"/>
              <w:jc w:val="left"/>
            </w:pPr>
            <w:r>
              <w:t xml:space="preserve">0.11 </w:t>
            </w:r>
          </w:p>
        </w:tc>
        <w:tc>
          <w:tcPr>
            <w:tcW w:w="970" w:type="dxa"/>
            <w:tcBorders>
              <w:top w:val="nil"/>
              <w:left w:val="nil"/>
              <w:bottom w:val="nil"/>
              <w:right w:val="nil"/>
            </w:tcBorders>
            <w:vAlign w:val="center"/>
          </w:tcPr>
          <w:p w14:paraId="773CAF4C" w14:textId="77777777" w:rsidR="00C70C1E" w:rsidRDefault="00AF67C6" w:rsidP="00D932C5">
            <w:pPr>
              <w:spacing w:after="0" w:line="240" w:lineRule="auto"/>
              <w:ind w:right="0" w:hanging="10"/>
              <w:jc w:val="left"/>
            </w:pPr>
            <w:r>
              <w:t xml:space="preserve">0.915 </w:t>
            </w:r>
          </w:p>
        </w:tc>
        <w:tc>
          <w:tcPr>
            <w:tcW w:w="1440" w:type="dxa"/>
            <w:tcBorders>
              <w:top w:val="nil"/>
              <w:left w:val="nil"/>
              <w:bottom w:val="nil"/>
              <w:right w:val="nil"/>
            </w:tcBorders>
            <w:vAlign w:val="center"/>
          </w:tcPr>
          <w:p w14:paraId="6E1DF204" w14:textId="77777777" w:rsidR="00C70C1E" w:rsidRDefault="00AF67C6" w:rsidP="00D932C5">
            <w:pPr>
              <w:spacing w:after="0" w:line="240" w:lineRule="auto"/>
              <w:ind w:right="0" w:hanging="10"/>
            </w:pPr>
            <w:r>
              <w:t xml:space="preserve">Not significant </w:t>
            </w:r>
          </w:p>
        </w:tc>
      </w:tr>
      <w:tr w:rsidR="00C70C1E" w14:paraId="30B4CC89" w14:textId="77777777">
        <w:trPr>
          <w:trHeight w:val="581"/>
        </w:trPr>
        <w:tc>
          <w:tcPr>
            <w:tcW w:w="1651" w:type="dxa"/>
            <w:tcBorders>
              <w:top w:val="nil"/>
              <w:left w:val="nil"/>
              <w:bottom w:val="nil"/>
              <w:right w:val="nil"/>
            </w:tcBorders>
          </w:tcPr>
          <w:p w14:paraId="0E2B4D22" w14:textId="77777777" w:rsidR="00C70C1E" w:rsidRDefault="00AF67C6" w:rsidP="00D932C5">
            <w:pPr>
              <w:spacing w:after="14" w:line="240" w:lineRule="auto"/>
              <w:ind w:left="108" w:right="0" w:hanging="10"/>
              <w:jc w:val="left"/>
            </w:pPr>
            <w:r>
              <w:t xml:space="preserve">Farming </w:t>
            </w:r>
          </w:p>
          <w:p w14:paraId="2E3ACA73" w14:textId="77777777" w:rsidR="00C70C1E" w:rsidRDefault="00AF67C6" w:rsidP="00D932C5">
            <w:pPr>
              <w:spacing w:after="0" w:line="240" w:lineRule="auto"/>
              <w:ind w:left="108" w:right="0" w:hanging="10"/>
              <w:jc w:val="left"/>
            </w:pPr>
            <w:r>
              <w:t xml:space="preserve">Experience </w:t>
            </w:r>
          </w:p>
        </w:tc>
        <w:tc>
          <w:tcPr>
            <w:tcW w:w="2410" w:type="dxa"/>
            <w:tcBorders>
              <w:top w:val="nil"/>
              <w:left w:val="nil"/>
              <w:bottom w:val="nil"/>
              <w:right w:val="nil"/>
            </w:tcBorders>
            <w:vAlign w:val="center"/>
          </w:tcPr>
          <w:p w14:paraId="207560FE" w14:textId="77777777" w:rsidR="00C70C1E" w:rsidRDefault="00AF67C6" w:rsidP="00D932C5">
            <w:pPr>
              <w:spacing w:after="0" w:line="240" w:lineRule="auto"/>
              <w:ind w:right="0" w:hanging="10"/>
              <w:jc w:val="left"/>
            </w:pPr>
            <w:r>
              <w:t xml:space="preserve">0.0365 </w:t>
            </w:r>
          </w:p>
        </w:tc>
        <w:tc>
          <w:tcPr>
            <w:tcW w:w="1892" w:type="dxa"/>
            <w:tcBorders>
              <w:top w:val="nil"/>
              <w:left w:val="nil"/>
              <w:bottom w:val="nil"/>
              <w:right w:val="nil"/>
            </w:tcBorders>
            <w:vAlign w:val="center"/>
          </w:tcPr>
          <w:p w14:paraId="5216A120" w14:textId="77777777" w:rsidR="00C70C1E" w:rsidRDefault="00AF67C6" w:rsidP="00D932C5">
            <w:pPr>
              <w:spacing w:after="0" w:line="240" w:lineRule="auto"/>
              <w:ind w:right="0" w:hanging="10"/>
              <w:jc w:val="left"/>
            </w:pPr>
            <w:r>
              <w:t xml:space="preserve">0.012 </w:t>
            </w:r>
          </w:p>
        </w:tc>
        <w:tc>
          <w:tcPr>
            <w:tcW w:w="989" w:type="dxa"/>
            <w:tcBorders>
              <w:top w:val="nil"/>
              <w:left w:val="nil"/>
              <w:bottom w:val="nil"/>
              <w:right w:val="nil"/>
            </w:tcBorders>
            <w:vAlign w:val="center"/>
          </w:tcPr>
          <w:p w14:paraId="493032F3" w14:textId="77777777" w:rsidR="00C70C1E" w:rsidRDefault="00AF67C6" w:rsidP="00D932C5">
            <w:pPr>
              <w:spacing w:after="0" w:line="240" w:lineRule="auto"/>
              <w:ind w:right="0" w:hanging="10"/>
              <w:jc w:val="left"/>
            </w:pPr>
            <w:r>
              <w:t xml:space="preserve">3.04 </w:t>
            </w:r>
          </w:p>
        </w:tc>
        <w:tc>
          <w:tcPr>
            <w:tcW w:w="970" w:type="dxa"/>
            <w:tcBorders>
              <w:top w:val="nil"/>
              <w:left w:val="nil"/>
              <w:bottom w:val="nil"/>
              <w:right w:val="nil"/>
            </w:tcBorders>
            <w:vAlign w:val="center"/>
          </w:tcPr>
          <w:p w14:paraId="591F6473" w14:textId="77777777" w:rsidR="00C70C1E" w:rsidRDefault="00AF67C6" w:rsidP="00D932C5">
            <w:pPr>
              <w:spacing w:after="0" w:line="240" w:lineRule="auto"/>
              <w:ind w:right="0" w:hanging="10"/>
              <w:jc w:val="left"/>
            </w:pPr>
            <w:r>
              <w:t xml:space="preserve">0.003 </w:t>
            </w:r>
          </w:p>
        </w:tc>
        <w:tc>
          <w:tcPr>
            <w:tcW w:w="1440" w:type="dxa"/>
            <w:tcBorders>
              <w:top w:val="nil"/>
              <w:left w:val="nil"/>
              <w:bottom w:val="nil"/>
              <w:right w:val="nil"/>
            </w:tcBorders>
            <w:vAlign w:val="center"/>
          </w:tcPr>
          <w:p w14:paraId="245D7741" w14:textId="77777777" w:rsidR="00C70C1E" w:rsidRDefault="00AF67C6" w:rsidP="00D932C5">
            <w:pPr>
              <w:spacing w:after="0" w:line="240" w:lineRule="auto"/>
              <w:ind w:right="0" w:hanging="10"/>
              <w:jc w:val="left"/>
            </w:pPr>
            <w:r>
              <w:rPr>
                <w:b/>
              </w:rPr>
              <w:t>Significant</w:t>
            </w:r>
            <w:r>
              <w:t xml:space="preserve"> </w:t>
            </w:r>
          </w:p>
        </w:tc>
      </w:tr>
      <w:tr w:rsidR="00C70C1E" w14:paraId="49E0EB76" w14:textId="77777777">
        <w:trPr>
          <w:trHeight w:val="292"/>
        </w:trPr>
        <w:tc>
          <w:tcPr>
            <w:tcW w:w="1651" w:type="dxa"/>
            <w:tcBorders>
              <w:top w:val="nil"/>
              <w:left w:val="nil"/>
              <w:bottom w:val="nil"/>
              <w:right w:val="nil"/>
            </w:tcBorders>
          </w:tcPr>
          <w:p w14:paraId="23176808" w14:textId="77777777" w:rsidR="00C70C1E" w:rsidRDefault="00AF67C6" w:rsidP="00D932C5">
            <w:pPr>
              <w:spacing w:after="0" w:line="240" w:lineRule="auto"/>
              <w:ind w:left="108" w:right="0" w:hanging="10"/>
              <w:jc w:val="left"/>
            </w:pPr>
            <w:r>
              <w:t xml:space="preserve">Farm Size </w:t>
            </w:r>
          </w:p>
        </w:tc>
        <w:tc>
          <w:tcPr>
            <w:tcW w:w="2410" w:type="dxa"/>
            <w:tcBorders>
              <w:top w:val="nil"/>
              <w:left w:val="nil"/>
              <w:bottom w:val="nil"/>
              <w:right w:val="nil"/>
            </w:tcBorders>
          </w:tcPr>
          <w:p w14:paraId="53FEC097" w14:textId="77777777" w:rsidR="00C70C1E" w:rsidRDefault="00AF67C6" w:rsidP="00D932C5">
            <w:pPr>
              <w:spacing w:after="0" w:line="240" w:lineRule="auto"/>
              <w:ind w:right="0" w:hanging="10"/>
              <w:jc w:val="left"/>
            </w:pPr>
            <w:r>
              <w:t xml:space="preserve">0.00008 </w:t>
            </w:r>
          </w:p>
        </w:tc>
        <w:tc>
          <w:tcPr>
            <w:tcW w:w="1892" w:type="dxa"/>
            <w:tcBorders>
              <w:top w:val="nil"/>
              <w:left w:val="nil"/>
              <w:bottom w:val="nil"/>
              <w:right w:val="nil"/>
            </w:tcBorders>
          </w:tcPr>
          <w:p w14:paraId="6F2F37D8" w14:textId="77777777" w:rsidR="00C70C1E" w:rsidRDefault="00AF67C6" w:rsidP="00D932C5">
            <w:pPr>
              <w:spacing w:after="0" w:line="240" w:lineRule="auto"/>
              <w:ind w:right="0" w:hanging="10"/>
              <w:jc w:val="left"/>
            </w:pPr>
            <w:r>
              <w:t xml:space="preserve">0.001 </w:t>
            </w:r>
          </w:p>
        </w:tc>
        <w:tc>
          <w:tcPr>
            <w:tcW w:w="989" w:type="dxa"/>
            <w:tcBorders>
              <w:top w:val="nil"/>
              <w:left w:val="nil"/>
              <w:bottom w:val="nil"/>
              <w:right w:val="nil"/>
            </w:tcBorders>
          </w:tcPr>
          <w:p w14:paraId="017E5541" w14:textId="77777777" w:rsidR="00C70C1E" w:rsidRDefault="00AF67C6" w:rsidP="00D932C5">
            <w:pPr>
              <w:spacing w:after="0" w:line="240" w:lineRule="auto"/>
              <w:ind w:right="0" w:hanging="10"/>
              <w:jc w:val="left"/>
            </w:pPr>
            <w:r>
              <w:t xml:space="preserve">0.05 </w:t>
            </w:r>
          </w:p>
        </w:tc>
        <w:tc>
          <w:tcPr>
            <w:tcW w:w="970" w:type="dxa"/>
            <w:tcBorders>
              <w:top w:val="nil"/>
              <w:left w:val="nil"/>
              <w:bottom w:val="nil"/>
              <w:right w:val="nil"/>
            </w:tcBorders>
          </w:tcPr>
          <w:p w14:paraId="669954C9" w14:textId="77777777" w:rsidR="00C70C1E" w:rsidRDefault="00AF67C6" w:rsidP="00D932C5">
            <w:pPr>
              <w:spacing w:after="0" w:line="240" w:lineRule="auto"/>
              <w:ind w:right="0" w:hanging="10"/>
              <w:jc w:val="left"/>
            </w:pPr>
            <w:r>
              <w:t xml:space="preserve">0.961 </w:t>
            </w:r>
          </w:p>
        </w:tc>
        <w:tc>
          <w:tcPr>
            <w:tcW w:w="1440" w:type="dxa"/>
            <w:tcBorders>
              <w:top w:val="nil"/>
              <w:left w:val="nil"/>
              <w:bottom w:val="nil"/>
              <w:right w:val="nil"/>
            </w:tcBorders>
          </w:tcPr>
          <w:p w14:paraId="23568960" w14:textId="77777777" w:rsidR="00C70C1E" w:rsidRDefault="00AF67C6" w:rsidP="00D932C5">
            <w:pPr>
              <w:spacing w:after="0" w:line="240" w:lineRule="auto"/>
              <w:ind w:right="0" w:hanging="10"/>
            </w:pPr>
            <w:r>
              <w:t xml:space="preserve">Not significant </w:t>
            </w:r>
          </w:p>
        </w:tc>
      </w:tr>
      <w:tr w:rsidR="00C70C1E" w14:paraId="6E3D4342" w14:textId="77777777">
        <w:trPr>
          <w:trHeight w:val="607"/>
        </w:trPr>
        <w:tc>
          <w:tcPr>
            <w:tcW w:w="1651" w:type="dxa"/>
            <w:tcBorders>
              <w:top w:val="nil"/>
              <w:left w:val="nil"/>
              <w:bottom w:val="single" w:sz="4" w:space="0" w:color="000000"/>
              <w:right w:val="nil"/>
            </w:tcBorders>
          </w:tcPr>
          <w:p w14:paraId="54B5E190" w14:textId="77777777" w:rsidR="00C70C1E" w:rsidRDefault="00AF67C6" w:rsidP="00D932C5">
            <w:pPr>
              <w:spacing w:after="0" w:line="240" w:lineRule="auto"/>
              <w:ind w:left="108" w:right="0" w:hanging="10"/>
              <w:jc w:val="left"/>
            </w:pPr>
            <w:r>
              <w:t xml:space="preserve">Years Lived in Village </w:t>
            </w:r>
          </w:p>
        </w:tc>
        <w:tc>
          <w:tcPr>
            <w:tcW w:w="2410" w:type="dxa"/>
            <w:tcBorders>
              <w:top w:val="nil"/>
              <w:left w:val="nil"/>
              <w:bottom w:val="single" w:sz="4" w:space="0" w:color="000000"/>
              <w:right w:val="nil"/>
            </w:tcBorders>
            <w:vAlign w:val="center"/>
          </w:tcPr>
          <w:p w14:paraId="609B2707" w14:textId="77777777" w:rsidR="00C70C1E" w:rsidRDefault="00AF67C6" w:rsidP="00D932C5">
            <w:pPr>
              <w:spacing w:after="0" w:line="240" w:lineRule="auto"/>
              <w:ind w:right="0" w:hanging="10"/>
              <w:jc w:val="left"/>
            </w:pPr>
            <w:r>
              <w:t xml:space="preserve">-0.0008 </w:t>
            </w:r>
          </w:p>
        </w:tc>
        <w:tc>
          <w:tcPr>
            <w:tcW w:w="1892" w:type="dxa"/>
            <w:tcBorders>
              <w:top w:val="nil"/>
              <w:left w:val="nil"/>
              <w:bottom w:val="single" w:sz="4" w:space="0" w:color="000000"/>
              <w:right w:val="nil"/>
            </w:tcBorders>
            <w:vAlign w:val="center"/>
          </w:tcPr>
          <w:p w14:paraId="3B352FF4" w14:textId="77777777" w:rsidR="00C70C1E" w:rsidRDefault="00AF67C6" w:rsidP="00D932C5">
            <w:pPr>
              <w:spacing w:after="0" w:line="240" w:lineRule="auto"/>
              <w:ind w:right="0" w:hanging="10"/>
              <w:jc w:val="left"/>
            </w:pPr>
            <w:r>
              <w:t xml:space="preserve">0.0005 </w:t>
            </w:r>
          </w:p>
        </w:tc>
        <w:tc>
          <w:tcPr>
            <w:tcW w:w="989" w:type="dxa"/>
            <w:tcBorders>
              <w:top w:val="nil"/>
              <w:left w:val="nil"/>
              <w:bottom w:val="single" w:sz="4" w:space="0" w:color="000000"/>
              <w:right w:val="nil"/>
            </w:tcBorders>
            <w:vAlign w:val="center"/>
          </w:tcPr>
          <w:p w14:paraId="027D7983" w14:textId="77777777" w:rsidR="00C70C1E" w:rsidRDefault="00AF67C6" w:rsidP="00D932C5">
            <w:pPr>
              <w:spacing w:after="0" w:line="240" w:lineRule="auto"/>
              <w:ind w:right="0" w:hanging="10"/>
              <w:jc w:val="left"/>
            </w:pPr>
            <w:r>
              <w:t xml:space="preserve">-1.66 </w:t>
            </w:r>
          </w:p>
        </w:tc>
        <w:tc>
          <w:tcPr>
            <w:tcW w:w="970" w:type="dxa"/>
            <w:tcBorders>
              <w:top w:val="nil"/>
              <w:left w:val="nil"/>
              <w:bottom w:val="single" w:sz="4" w:space="0" w:color="000000"/>
              <w:right w:val="nil"/>
            </w:tcBorders>
            <w:vAlign w:val="center"/>
          </w:tcPr>
          <w:p w14:paraId="22AB5036" w14:textId="77777777" w:rsidR="00C70C1E" w:rsidRDefault="00AF67C6" w:rsidP="00D932C5">
            <w:pPr>
              <w:spacing w:after="0" w:line="240" w:lineRule="auto"/>
              <w:ind w:right="0" w:hanging="10"/>
              <w:jc w:val="left"/>
            </w:pPr>
            <w:r>
              <w:t xml:space="preserve">0.100 </w:t>
            </w:r>
          </w:p>
        </w:tc>
        <w:tc>
          <w:tcPr>
            <w:tcW w:w="1440" w:type="dxa"/>
            <w:tcBorders>
              <w:top w:val="nil"/>
              <w:left w:val="nil"/>
              <w:bottom w:val="single" w:sz="4" w:space="0" w:color="000000"/>
              <w:right w:val="nil"/>
            </w:tcBorders>
            <w:vAlign w:val="center"/>
          </w:tcPr>
          <w:p w14:paraId="2130F53F" w14:textId="77777777" w:rsidR="00C70C1E" w:rsidRDefault="00AF67C6" w:rsidP="00D932C5">
            <w:pPr>
              <w:spacing w:after="0" w:line="240" w:lineRule="auto"/>
              <w:ind w:right="0" w:hanging="10"/>
            </w:pPr>
            <w:r>
              <w:t xml:space="preserve">Not significant </w:t>
            </w:r>
          </w:p>
        </w:tc>
      </w:tr>
    </w:tbl>
    <w:p w14:paraId="3F4A1EDB" w14:textId="77777777" w:rsidR="00C70C1E" w:rsidRPr="00E648E1" w:rsidRDefault="00AF67C6" w:rsidP="001342F0">
      <w:pPr>
        <w:spacing w:after="46"/>
        <w:ind w:left="139" w:right="0" w:hanging="10"/>
        <w:rPr>
          <w:sz w:val="20"/>
          <w:szCs w:val="20"/>
        </w:rPr>
      </w:pPr>
      <w:r w:rsidRPr="00E648E1">
        <w:rPr>
          <w:sz w:val="20"/>
          <w:szCs w:val="20"/>
        </w:rPr>
        <w:t xml:space="preserve">Table 17 summarizes the results of a multiple regression model estimating the influence of selected demographic and agricultural factors on the use of LEK among smallholder farmers in Mbereshi village. </w:t>
      </w:r>
    </w:p>
    <w:tbl>
      <w:tblPr>
        <w:tblStyle w:val="TableGrid"/>
        <w:tblW w:w="9186" w:type="dxa"/>
        <w:tblInd w:w="283" w:type="dxa"/>
        <w:tblLook w:val="04A0" w:firstRow="1" w:lastRow="0" w:firstColumn="1" w:lastColumn="0" w:noHBand="0" w:noVBand="1"/>
      </w:tblPr>
      <w:tblGrid>
        <w:gridCol w:w="4596"/>
        <w:gridCol w:w="3856"/>
        <w:gridCol w:w="734"/>
      </w:tblGrid>
      <w:tr w:rsidR="00C70C1E" w:rsidRPr="00E648E1" w14:paraId="304C6FFA" w14:textId="77777777">
        <w:trPr>
          <w:trHeight w:val="269"/>
        </w:trPr>
        <w:tc>
          <w:tcPr>
            <w:tcW w:w="4596" w:type="dxa"/>
            <w:tcBorders>
              <w:top w:val="nil"/>
              <w:left w:val="nil"/>
              <w:bottom w:val="nil"/>
              <w:right w:val="nil"/>
            </w:tcBorders>
          </w:tcPr>
          <w:p w14:paraId="198E9658" w14:textId="77777777" w:rsidR="00C70C1E" w:rsidRPr="00E648E1" w:rsidRDefault="00AF67C6" w:rsidP="001342F0">
            <w:pPr>
              <w:spacing w:after="0" w:line="259" w:lineRule="auto"/>
              <w:ind w:right="0" w:hanging="10"/>
              <w:jc w:val="left"/>
            </w:pPr>
            <w:r w:rsidRPr="00E648E1">
              <w:rPr>
                <w:b/>
              </w:rPr>
              <w:t xml:space="preserve">R-squared </w:t>
            </w:r>
          </w:p>
        </w:tc>
        <w:tc>
          <w:tcPr>
            <w:tcW w:w="3856" w:type="dxa"/>
            <w:tcBorders>
              <w:top w:val="nil"/>
              <w:left w:val="nil"/>
              <w:bottom w:val="nil"/>
              <w:right w:val="nil"/>
            </w:tcBorders>
          </w:tcPr>
          <w:p w14:paraId="0E2A7F32" w14:textId="77777777" w:rsidR="00C70C1E" w:rsidRPr="00E648E1" w:rsidRDefault="00AF67C6" w:rsidP="001342F0">
            <w:pPr>
              <w:spacing w:after="0" w:line="259" w:lineRule="auto"/>
              <w:ind w:right="0" w:hanging="10"/>
              <w:jc w:val="left"/>
            </w:pPr>
            <w:r w:rsidRPr="00E648E1">
              <w:rPr>
                <w:b/>
              </w:rPr>
              <w:t>(R²)</w:t>
            </w:r>
            <w:r w:rsidRPr="00E648E1">
              <w:t xml:space="preserve">: </w:t>
            </w:r>
          </w:p>
        </w:tc>
        <w:tc>
          <w:tcPr>
            <w:tcW w:w="734" w:type="dxa"/>
            <w:tcBorders>
              <w:top w:val="nil"/>
              <w:left w:val="nil"/>
              <w:bottom w:val="nil"/>
              <w:right w:val="nil"/>
            </w:tcBorders>
          </w:tcPr>
          <w:p w14:paraId="0F5E50BF" w14:textId="77777777" w:rsidR="00C70C1E" w:rsidRPr="00E648E1" w:rsidRDefault="00AF67C6" w:rsidP="001342F0">
            <w:pPr>
              <w:spacing w:after="0" w:line="259" w:lineRule="auto"/>
              <w:ind w:left="182" w:right="0" w:hanging="10"/>
              <w:jc w:val="left"/>
            </w:pPr>
            <w:r w:rsidRPr="00E648E1">
              <w:t xml:space="preserve">0.312 </w:t>
            </w:r>
          </w:p>
        </w:tc>
      </w:tr>
      <w:tr w:rsidR="00C70C1E" w:rsidRPr="00E648E1" w14:paraId="548B29B2" w14:textId="77777777">
        <w:trPr>
          <w:trHeight w:val="269"/>
        </w:trPr>
        <w:tc>
          <w:tcPr>
            <w:tcW w:w="4596" w:type="dxa"/>
            <w:tcBorders>
              <w:top w:val="nil"/>
              <w:left w:val="nil"/>
              <w:bottom w:val="nil"/>
              <w:right w:val="nil"/>
            </w:tcBorders>
          </w:tcPr>
          <w:p w14:paraId="7F709352" w14:textId="77777777" w:rsidR="00C70C1E" w:rsidRPr="00E648E1" w:rsidRDefault="00AF67C6" w:rsidP="001342F0">
            <w:pPr>
              <w:spacing w:after="0" w:line="259" w:lineRule="auto"/>
              <w:ind w:right="0" w:hanging="10"/>
              <w:jc w:val="left"/>
            </w:pPr>
            <w:r w:rsidRPr="00E648E1">
              <w:rPr>
                <w:b/>
              </w:rPr>
              <w:t xml:space="preserve">Adjusted </w:t>
            </w:r>
          </w:p>
        </w:tc>
        <w:tc>
          <w:tcPr>
            <w:tcW w:w="3856" w:type="dxa"/>
            <w:tcBorders>
              <w:top w:val="nil"/>
              <w:left w:val="nil"/>
              <w:bottom w:val="nil"/>
              <w:right w:val="nil"/>
            </w:tcBorders>
          </w:tcPr>
          <w:p w14:paraId="1CD0B843" w14:textId="77777777" w:rsidR="00C70C1E" w:rsidRPr="00E648E1" w:rsidRDefault="00AF67C6" w:rsidP="001342F0">
            <w:pPr>
              <w:spacing w:after="0" w:line="259" w:lineRule="auto"/>
              <w:ind w:left="7" w:right="0" w:hanging="10"/>
              <w:jc w:val="left"/>
            </w:pPr>
            <w:r w:rsidRPr="00E648E1">
              <w:rPr>
                <w:b/>
              </w:rPr>
              <w:t>R²</w:t>
            </w:r>
            <w:r w:rsidRPr="00E648E1">
              <w:t xml:space="preserve">: </w:t>
            </w:r>
          </w:p>
        </w:tc>
        <w:tc>
          <w:tcPr>
            <w:tcW w:w="734" w:type="dxa"/>
            <w:tcBorders>
              <w:top w:val="nil"/>
              <w:left w:val="nil"/>
              <w:bottom w:val="nil"/>
              <w:right w:val="nil"/>
            </w:tcBorders>
          </w:tcPr>
          <w:p w14:paraId="0E39A567" w14:textId="77777777" w:rsidR="00C70C1E" w:rsidRPr="00E648E1" w:rsidRDefault="00AF67C6" w:rsidP="001342F0">
            <w:pPr>
              <w:spacing w:after="0" w:line="259" w:lineRule="auto"/>
              <w:ind w:right="53" w:hanging="10"/>
              <w:jc w:val="right"/>
            </w:pPr>
            <w:r w:rsidRPr="00E648E1">
              <w:t xml:space="preserve">0.274 </w:t>
            </w:r>
          </w:p>
        </w:tc>
      </w:tr>
    </w:tbl>
    <w:p w14:paraId="79CB843A" w14:textId="77777777" w:rsidR="00C70C1E" w:rsidRPr="00E648E1" w:rsidRDefault="00AF67C6" w:rsidP="001342F0">
      <w:pPr>
        <w:spacing w:after="293"/>
        <w:ind w:left="283" w:right="0" w:hanging="10"/>
        <w:rPr>
          <w:sz w:val="24"/>
          <w:szCs w:val="24"/>
        </w:rPr>
      </w:pPr>
      <w:r w:rsidRPr="00E648E1">
        <w:rPr>
          <w:b/>
        </w:rPr>
        <w:t>F-statistic</w:t>
      </w:r>
      <w:r w:rsidRPr="00E648E1">
        <w:t>: 7.29 (p &lt; 0.001)</w:t>
      </w:r>
      <w:r w:rsidRPr="00E648E1">
        <w:rPr>
          <w:sz w:val="24"/>
          <w:szCs w:val="24"/>
        </w:rPr>
        <w:t xml:space="preserve"> </w:t>
      </w:r>
    </w:p>
    <w:p w14:paraId="0F9C9ADC" w14:textId="77777777" w:rsidR="00C70C1E" w:rsidRDefault="00AF67C6" w:rsidP="00E648E1">
      <w:pPr>
        <w:spacing w:after="275"/>
        <w:ind w:left="-15" w:right="0" w:firstLine="582"/>
      </w:pPr>
      <w:r>
        <w:t>The results of the multiple regression model in Table 17 show that the age and farming experience of respondents were the most significant predictors of LEK use among smallholder farmers in Mbereshi village (</w:t>
      </w:r>
      <w:r>
        <w:rPr>
          <w:i/>
        </w:rPr>
        <w:t xml:space="preserve">p </w:t>
      </w:r>
      <w:r>
        <w:t xml:space="preserve">= 0.007 and </w:t>
      </w:r>
      <w:r>
        <w:rPr>
          <w:i/>
        </w:rPr>
        <w:t xml:space="preserve">p </w:t>
      </w:r>
      <w:r>
        <w:t xml:space="preserve">= 0.003 respectively). The model also shows an approximately 27.4% of the variance in LEK use (Adjusted R² = 0.274), indicating a moderate level of explanatory power with potential for inclusion of additional cultural or ecological variables to further strengthen the model. </w:t>
      </w:r>
    </w:p>
    <w:p w14:paraId="05EDB215" w14:textId="7F4DFE7C" w:rsidR="00C70C1E" w:rsidRDefault="00AF67C6" w:rsidP="00804027">
      <w:pPr>
        <w:pStyle w:val="ListParagraph"/>
        <w:numPr>
          <w:ilvl w:val="0"/>
          <w:numId w:val="7"/>
        </w:numPr>
        <w:spacing w:after="33" w:line="259" w:lineRule="auto"/>
        <w:ind w:left="567" w:right="0" w:hanging="567"/>
        <w:jc w:val="left"/>
      </w:pPr>
      <w:r w:rsidRPr="00F31694">
        <w:rPr>
          <w:b/>
          <w:sz w:val="24"/>
        </w:rPr>
        <w:t xml:space="preserve">DISCUSSION AND CONCLUSION </w:t>
      </w:r>
    </w:p>
    <w:p w14:paraId="0AD58009" w14:textId="7CFCA558" w:rsidR="00C70C1E" w:rsidRDefault="00AF67C6" w:rsidP="00804027">
      <w:pPr>
        <w:pStyle w:val="Heading1"/>
        <w:numPr>
          <w:ilvl w:val="1"/>
          <w:numId w:val="7"/>
        </w:numPr>
        <w:spacing w:after="15"/>
        <w:ind w:left="567" w:right="0" w:hanging="567"/>
      </w:pPr>
      <w:r>
        <w:t>DISCUSSION</w:t>
      </w:r>
      <w:r>
        <w:rPr>
          <w:sz w:val="24"/>
        </w:rPr>
        <w:t xml:space="preserve"> </w:t>
      </w:r>
    </w:p>
    <w:p w14:paraId="3B9D99C9" w14:textId="77777777" w:rsidR="00C70C1E" w:rsidRDefault="00AF67C6" w:rsidP="001342F0">
      <w:pPr>
        <w:spacing w:after="10" w:line="259" w:lineRule="auto"/>
        <w:ind w:left="451" w:right="0" w:hanging="10"/>
        <w:jc w:val="left"/>
      </w:pPr>
      <w:r>
        <w:rPr>
          <w:b/>
          <w:sz w:val="24"/>
        </w:rPr>
        <w:t xml:space="preserve"> </w:t>
      </w:r>
    </w:p>
    <w:p w14:paraId="2821768F" w14:textId="6CC2B770" w:rsidR="00C70C1E" w:rsidRDefault="00AF67C6" w:rsidP="00804027">
      <w:pPr>
        <w:pStyle w:val="Heading2"/>
        <w:numPr>
          <w:ilvl w:val="2"/>
          <w:numId w:val="7"/>
        </w:numPr>
        <w:ind w:left="567" w:right="0" w:hanging="567"/>
      </w:pPr>
      <w:r>
        <w:t xml:space="preserve">Demographic data and respondents’ livelihoods </w:t>
      </w:r>
    </w:p>
    <w:p w14:paraId="26CE0AD1" w14:textId="77777777" w:rsidR="00C70C1E" w:rsidRDefault="00AF67C6" w:rsidP="006F7DCA">
      <w:pPr>
        <w:ind w:left="-15" w:right="0" w:firstLine="582"/>
      </w:pPr>
      <w:r>
        <w:t>As alluded to in the results section, the demographic characteristics of respondents are very important in determining which category of smallholder farmers were actively involved in farming practices and their influence on farmers’ health within and across different settings. The results of the study</w:t>
      </w:r>
      <w:r>
        <w:rPr>
          <w:color w:val="EE0000"/>
        </w:rPr>
        <w:t xml:space="preserve"> </w:t>
      </w:r>
      <w:r>
        <w:t xml:space="preserve">show a slightly </w:t>
      </w:r>
      <w:r>
        <w:lastRenderedPageBreak/>
        <w:t xml:space="preserve">higher percentage of females in gender distribution although the head of the household was dominated by males. The mean age of respondents was 50.6 years, indicating that most participants were middle-aged with mean number of 24 years that respondents had spent in farming. This age mean of most household heads entails that households were led by experienced adults with vast knowledge on observed multi-year climate trends and adaptations, with considerable engagement in land-based livelihoods and with a potentially deep understanding of LEK of their local environment. The household gender demonstrates that smallholder farming in Mbereshi village was male-dominated; a pattern commonly observed in most rural parts of Zambia as a result of socio-cultural norms where men are often regarded as household heads and primary decision-makers in agricultural activities. </w:t>
      </w:r>
    </w:p>
    <w:p w14:paraId="4981B69D" w14:textId="77777777" w:rsidR="00C70C1E" w:rsidRDefault="00AF67C6" w:rsidP="006F7DCA">
      <w:pPr>
        <w:spacing w:after="258"/>
        <w:ind w:left="-15" w:right="0" w:firstLine="582"/>
      </w:pPr>
      <w:r>
        <w:t xml:space="preserve">The study also reveals that the educational level of the majority of respondents was attained at secondary and primary level of education, and only a small of proportion had reached tertiary education. This illustrates that while a significant number of farmers had progressed beyond basic education, very few had access to higher learning. The study also shows that smallholder farmers’ livelihoods in Mbereshi village were almost entirely dependent on rain-fed agriculture as the region lacked significant commercial activity, formal businesses or industrial employment opportunities, leaving farming as the only source of household income. The majority of respondents reported that they relied on the income generated from their crop sales after harvest to sustain their livelihoods throughout the year.  </w:t>
      </w:r>
    </w:p>
    <w:p w14:paraId="104771D7" w14:textId="26B88F8D" w:rsidR="00C70C1E" w:rsidRDefault="00AF67C6" w:rsidP="00804027">
      <w:pPr>
        <w:pStyle w:val="Heading2"/>
        <w:numPr>
          <w:ilvl w:val="2"/>
          <w:numId w:val="7"/>
        </w:numPr>
        <w:ind w:left="567" w:right="0" w:hanging="567"/>
      </w:pPr>
      <w:r>
        <w:t xml:space="preserve">Farmers' perception and observation of climate change shifts </w:t>
      </w:r>
    </w:p>
    <w:p w14:paraId="128EC255" w14:textId="77777777" w:rsidR="0071362D" w:rsidRDefault="00AF67C6" w:rsidP="00550972">
      <w:pPr>
        <w:ind w:left="-15" w:right="0" w:firstLine="582"/>
      </w:pPr>
      <w:r>
        <w:t xml:space="preserve">The results of the study reveal a strong awareness of climate change among smallholder farmers in Mbereshi village. These observations were not informed by scientific data but rather by daily interactions with the local environment and also reliance on traditional knowledge systems. The study shows that farmers consistently reported later-than-usual offset of rains, early onset, and an overall reduction in rainfall. Farmers reported that rainfall patterns had become increasingly erratic, with rains starting late and ending early, and becoming less predictable over time. This tended to disrupt the agricultural calendar and thereby reducing crop productivity. </w:t>
      </w:r>
      <w:r w:rsidR="0071362D">
        <w:t>The study shows that</w:t>
      </w:r>
      <w:r>
        <w:t xml:space="preserve"> farmers </w:t>
      </w:r>
      <w:r w:rsidR="00AC084B">
        <w:t>observed</w:t>
      </w:r>
      <w:r>
        <w:t xml:space="preserve"> prolonged dry spells occurring at unusual times during the rainy season. These were previously expected in January but then sometimes occurred at the start of the rainy season or extended into February, creating considerable stress on crop growth.</w:t>
      </w:r>
      <w:r w:rsidR="00A3444B">
        <w:t xml:space="preserve"> </w:t>
      </w:r>
      <w:r>
        <w:t>This shift in climate had made it difficult for farmers with their timely planting</w:t>
      </w:r>
      <w:r w:rsidR="00A3444B">
        <w:t>,</w:t>
      </w:r>
      <w:r>
        <w:t xml:space="preserve"> resulting in crops often suffering from moisture stress during crucial growth stages.</w:t>
      </w:r>
    </w:p>
    <w:p w14:paraId="5CC65A0E" w14:textId="77777777" w:rsidR="00D021F8" w:rsidRDefault="00AF67C6" w:rsidP="00D021F8">
      <w:pPr>
        <w:ind w:left="-15" w:right="0" w:firstLine="582"/>
      </w:pPr>
      <w:r>
        <w:t>The study findings are consistent with climate studies in Zambia, which highlight increased drought frequency and irregular intra-seasonal dry spells as major challenges for smallholder agriculture (Mulenga, Wineman, &amp; Sitko, 2017; National Adaption Plan, 2023). The study findings also align with the broader research on climate change in Zambia and the Sub</w:t>
      </w:r>
      <w:r w:rsidR="000509BB">
        <w:t>-</w:t>
      </w:r>
      <w:r>
        <w:t>Saharan Africa in which, for example, Hakwendenda (2022)</w:t>
      </w:r>
      <w:r w:rsidR="00F660CE">
        <w:t xml:space="preserve"> and Mwansabombwe Town Council (2024)</w:t>
      </w:r>
      <w:r w:rsidR="006161E5">
        <w:t xml:space="preserve"> </w:t>
      </w:r>
      <w:r>
        <w:t>document a trend of erratic rainfall patterns, including both delayed onset and premature cessation of rains, as well as reduced total rainfall amounts. These changes are attributed to increasing climate variability and change driven largely by global warming and regional atmospheric shifts.</w:t>
      </w:r>
    </w:p>
    <w:p w14:paraId="7FA005D2" w14:textId="000BD246" w:rsidR="00C569DD" w:rsidRDefault="00AF67C6" w:rsidP="00D021F8">
      <w:pPr>
        <w:ind w:left="-15" w:right="0" w:firstLine="582"/>
      </w:pPr>
      <w:r>
        <w:t>The</w:t>
      </w:r>
      <w:r w:rsidR="0071362D">
        <w:t xml:space="preserve"> </w:t>
      </w:r>
      <w:r>
        <w:t xml:space="preserve">perceptions </w:t>
      </w:r>
      <w:r w:rsidR="0071362D">
        <w:t xml:space="preserve">and awareness on climate </w:t>
      </w:r>
      <w:r>
        <w:t xml:space="preserve">can further be confirmed by the Chi-square test that was performed on the climate variables where all the variables yielded statistically significant results (p&lt;0.05), indicating that the observed patterns in the farmers’ responses were not due to chance. Rainfall and drought </w:t>
      </w:r>
      <w:r w:rsidR="00E946F0">
        <w:t xml:space="preserve">changes </w:t>
      </w:r>
      <w:r>
        <w:t>were uniformly high</w:t>
      </w:r>
      <w:r w:rsidR="00E946F0">
        <w:t xml:space="preserve"> </w:t>
      </w:r>
      <w:r>
        <w:t>while temperature was barely perceived as having changed.</w:t>
      </w:r>
      <w:r w:rsidR="00D021F8">
        <w:t xml:space="preserve"> </w:t>
      </w:r>
      <w:r>
        <w:t>This shows that farmers were acutely responsive to rainfall-related variability but less observant of temperature shifts.</w:t>
      </w:r>
      <w:r w:rsidR="00D021F8">
        <w:t xml:space="preserve"> </w:t>
      </w:r>
      <w:r>
        <w:t>Furthermore, most of the respondents reported a decrease in agricultural productivity, citing these input disruptions and weather variability as major causes, and only few respondents indicated an increase in yields likely often due to the adoption of drought-tolerant seeds or planting at more favorable times. This overwhelming response reveals the severe impact of climate variability and change on crop yields and household food security in Mbereshi village. The reduced rainfall, unpredictable dry spells, and flooding were reported to have disrupted planting and harvesting cycles, leading to lower yields and diminished incomes for smallholder farmers.</w:t>
      </w:r>
    </w:p>
    <w:p w14:paraId="77034508" w14:textId="2885EBD9" w:rsidR="00C70C1E" w:rsidRDefault="00AF67C6" w:rsidP="00D021F8">
      <w:pPr>
        <w:ind w:left="-15" w:right="0" w:firstLine="582"/>
      </w:pPr>
      <w:r>
        <w:lastRenderedPageBreak/>
        <w:t>For smallholder</w:t>
      </w:r>
      <w:r w:rsidR="00C569DD">
        <w:t xml:space="preserve"> </w:t>
      </w:r>
      <w:r>
        <w:t xml:space="preserve">farmers who relied solely on rain-fed agriculture, the rainfall irregularities posed severe risks to food security, income generation, and long-term resilience. In particular, the combination of early onset with late offset of rainfall promoted false planting and waterlogging while reduced rainfall intensified drought-related vulnerabilities. The high level of awareness can be attributed to the farmers' dependence on rain-fed agriculture and their acute sensitivity to environmental shifts that directly affected their livelihoods. These observations were not isolated events but were part of a cumulative experience rooted in intergenerational ecological memory. As climate change continues to manifest through irregular rainfall, increased flooding, and dry spells, these farmers are developing a nuanced, experience-based understanding of climatic variability and change. </w:t>
      </w:r>
    </w:p>
    <w:p w14:paraId="537C3C3E" w14:textId="5302DC51" w:rsidR="00C70C1E" w:rsidRDefault="00AF67C6" w:rsidP="00804027">
      <w:pPr>
        <w:pStyle w:val="Heading2"/>
        <w:numPr>
          <w:ilvl w:val="2"/>
          <w:numId w:val="7"/>
        </w:numPr>
        <w:spacing w:before="240"/>
        <w:ind w:left="567" w:right="0" w:hanging="567"/>
      </w:pPr>
      <w:r>
        <w:t xml:space="preserve">LEK for climate adaptation </w:t>
      </w:r>
    </w:p>
    <w:p w14:paraId="62A86E06" w14:textId="77777777" w:rsidR="005D1BC4" w:rsidRDefault="00AF67C6" w:rsidP="00E946F0">
      <w:pPr>
        <w:ind w:left="-15" w:right="0" w:firstLine="582"/>
      </w:pPr>
      <w:r>
        <w:t>Despite the effects of the changing climate variables on farming inputs and productivity, farmers in Mbereshi village had continued to adapt and sustain their agricultural activities through the use of LEK. The disruptions caused by shifting rainfall patterns, extended dry spells, and flooding had challenged farmers’ ability to use essential inputs effectively. However, in response to these challenges, the study reports that farmers had made changes to their farming practices, which were informed by LEK. The demonstrated LEK applications guided household level adaptation decisions, changing cultivation timing, adopting resilient cropping techniques, and modifying field management practices.</w:t>
      </w:r>
      <w:r w:rsidR="005D1BC4">
        <w:t xml:space="preserve"> </w:t>
      </w:r>
      <w:r>
        <w:t xml:space="preserve">Farmers also cited bird behavior, especially of species like </w:t>
      </w:r>
      <w:proofErr w:type="spellStart"/>
      <w:r>
        <w:rPr>
          <w:i/>
        </w:rPr>
        <w:t>Ikowa</w:t>
      </w:r>
      <w:proofErr w:type="spellEnd"/>
      <w:r>
        <w:t>, also known as Great Egret (</w:t>
      </w:r>
      <w:proofErr w:type="spellStart"/>
      <w:r>
        <w:rPr>
          <w:i/>
        </w:rPr>
        <w:t>Ardea</w:t>
      </w:r>
      <w:proofErr w:type="spellEnd"/>
      <w:r>
        <w:rPr>
          <w:i/>
        </w:rPr>
        <w:t xml:space="preserve"> alba</w:t>
      </w:r>
      <w:r>
        <w:t xml:space="preserve">), </w:t>
      </w:r>
      <w:proofErr w:type="spellStart"/>
      <w:r>
        <w:rPr>
          <w:i/>
        </w:rPr>
        <w:t>utumimbi</w:t>
      </w:r>
      <w:proofErr w:type="spellEnd"/>
      <w:r>
        <w:t xml:space="preserve">, and </w:t>
      </w:r>
      <w:proofErr w:type="spellStart"/>
      <w:r>
        <w:rPr>
          <w:i/>
        </w:rPr>
        <w:t>kamaisa</w:t>
      </w:r>
      <w:proofErr w:type="spellEnd"/>
      <w:r>
        <w:t>, as traditional indicators of rainfall onset and offset.</w:t>
      </w:r>
    </w:p>
    <w:p w14:paraId="12223B95" w14:textId="58961736" w:rsidR="00C70C1E" w:rsidRDefault="00AF67C6" w:rsidP="00E946F0">
      <w:pPr>
        <w:ind w:left="-15" w:right="0" w:firstLine="582"/>
      </w:pPr>
      <w:r>
        <w:t>The flowering and blooming of plant species</w:t>
      </w:r>
      <w:r w:rsidR="005D1BC4">
        <w:t>, notably the Mukula tree (</w:t>
      </w:r>
      <w:r w:rsidR="005D1BC4">
        <w:rPr>
          <w:i/>
        </w:rPr>
        <w:t>Pterocarpus Erinaceus</w:t>
      </w:r>
      <w:r w:rsidR="005D1BC4">
        <w:t xml:space="preserve">), were used </w:t>
      </w:r>
      <w:r>
        <w:t>as signals of upcoming rains</w:t>
      </w:r>
      <w:r w:rsidR="005D1BC4">
        <w:t xml:space="preserve"> and such climate signals </w:t>
      </w:r>
      <w:r>
        <w:t>w</w:t>
      </w:r>
      <w:r w:rsidR="005D1BC4">
        <w:t>ere</w:t>
      </w:r>
      <w:r>
        <w:t xml:space="preserve"> the </w:t>
      </w:r>
      <w:r w:rsidR="005D1BC4">
        <w:t xml:space="preserve">mostly </w:t>
      </w:r>
      <w:r>
        <w:t>commonly reported by respondents for predicting the offset of rainfall.</w:t>
      </w:r>
      <w:r w:rsidR="005D1BC4">
        <w:t xml:space="preserve"> </w:t>
      </w:r>
      <w:r>
        <w:t xml:space="preserve">Cloud cover and wind flow were </w:t>
      </w:r>
      <w:r w:rsidR="005D1BC4">
        <w:t xml:space="preserve">also </w:t>
      </w:r>
      <w:r>
        <w:t>widely reported to be used by farmers as visual signs to anticipate weather patterns. For instance, several participants stated how cloud cover was used stating that when clouds were near, it was interpreted as signa</w:t>
      </w:r>
      <w:r w:rsidR="005D1BC4">
        <w:t>l</w:t>
      </w:r>
      <w:r>
        <w:t xml:space="preserve">ling that the rains were still at the onset period, while when clouds were far it meant that the rain season was ending.  </w:t>
      </w:r>
    </w:p>
    <w:p w14:paraId="46547362" w14:textId="079D4BE0" w:rsidR="00C70C1E" w:rsidRDefault="00AF67C6" w:rsidP="00E946F0">
      <w:pPr>
        <w:ind w:left="-15" w:right="0" w:firstLine="582"/>
      </w:pPr>
      <w:r>
        <w:t xml:space="preserve">Among the </w:t>
      </w:r>
      <w:r w:rsidR="00D51059">
        <w:t xml:space="preserve">traditional </w:t>
      </w:r>
      <w:r>
        <w:t xml:space="preserve">practices and local knowledge that were most cited was the adoption of early cultivation followed by intercropping and crop rotation. </w:t>
      </w:r>
      <w:r w:rsidR="00D51059">
        <w:t xml:space="preserve">The study shows that </w:t>
      </w:r>
      <w:r>
        <w:t xml:space="preserve">early planting allowed </w:t>
      </w:r>
      <w:r w:rsidR="00D51059">
        <w:t>farmers</w:t>
      </w:r>
      <w:r>
        <w:t xml:space="preserve"> to take advantage of the shifting onset of rains while intercropping and crop rotation helped them manage soil fertility, minimize pest outbreaks, and ensure food availability. The selection of seeds based on soil type and planting time was also frequently mentioned.</w:t>
      </w:r>
      <w:r w:rsidR="009B694B">
        <w:t xml:space="preserve"> </w:t>
      </w:r>
      <w:r>
        <w:t xml:space="preserve">This demonstrates the localized and context-specific nature of adaptive strategies, indicating that the practices were informed by ecological cues such as plant flowering, bird migration, wind flow, and cloud patterns, reflecting a deep relationship between farmers and their environment. </w:t>
      </w:r>
    </w:p>
    <w:p w14:paraId="12DD5361" w14:textId="32D9D114" w:rsidR="00C70C1E" w:rsidRDefault="00AF67C6" w:rsidP="00181FD3">
      <w:pPr>
        <w:spacing w:after="257"/>
        <w:ind w:left="-15" w:right="0" w:firstLine="582"/>
      </w:pPr>
      <w:r>
        <w:t xml:space="preserve">Farmers also </w:t>
      </w:r>
      <w:r w:rsidR="009B694B">
        <w:t>indicated</w:t>
      </w:r>
      <w:r>
        <w:t xml:space="preserve"> </w:t>
      </w:r>
      <w:r w:rsidR="009B694B">
        <w:t xml:space="preserve">using </w:t>
      </w:r>
      <w:r>
        <w:t xml:space="preserve">different </w:t>
      </w:r>
      <w:r w:rsidR="009B694B">
        <w:t xml:space="preserve">traditional </w:t>
      </w:r>
      <w:r>
        <w:t xml:space="preserve">practices and </w:t>
      </w:r>
      <w:r w:rsidR="009B694B">
        <w:t xml:space="preserve">local </w:t>
      </w:r>
      <w:r>
        <w:t xml:space="preserve">knowledge to adapt to the effects of climate change. This means that </w:t>
      </w:r>
      <w:r w:rsidR="009B694B">
        <w:t xml:space="preserve">their </w:t>
      </w:r>
      <w:r>
        <w:t>decisions such as when to cultivate, which seed varieties to use, and how to interpret signs from cloud movement, plant flowering, or bird migration were deeply rooted in generational experience and real-time ecological observation</w:t>
      </w:r>
      <w:r w:rsidR="009B694B">
        <w:t>,</w:t>
      </w:r>
      <w:r>
        <w:t xml:space="preserve"> </w:t>
      </w:r>
      <w:r w:rsidR="009B694B">
        <w:t xml:space="preserve">which </w:t>
      </w:r>
      <w:r>
        <w:t xml:space="preserve">continues to help farmers cope with the effects of climate variability and change.  </w:t>
      </w:r>
    </w:p>
    <w:p w14:paraId="4FD45986" w14:textId="3C5FD4DD" w:rsidR="00C70C1E" w:rsidRDefault="00AF67C6" w:rsidP="00804027">
      <w:pPr>
        <w:pStyle w:val="Heading2"/>
        <w:numPr>
          <w:ilvl w:val="2"/>
          <w:numId w:val="7"/>
        </w:numPr>
        <w:ind w:left="567" w:right="0" w:hanging="567"/>
      </w:pPr>
      <w:r>
        <w:t xml:space="preserve">LEK Contribution to climate change mitigation and environment sustainability </w:t>
      </w:r>
    </w:p>
    <w:p w14:paraId="207B46BE" w14:textId="77777777" w:rsidR="00C70C1E" w:rsidRDefault="00AF67C6" w:rsidP="00096A7D">
      <w:pPr>
        <w:ind w:left="-15" w:right="0" w:firstLine="582"/>
      </w:pPr>
      <w:r>
        <w:t xml:space="preserve">While the study primarily focused on adaptation, it also uncovered evidence that LEK practices contributed to environmental sustainability and climate change mitigation. Farmers indicated conservation tillage, organic fertilizer, and agroforestry as the most prominent practices used in contributing to climate change mitigation, agricultural output and environmental sustainability. Most of the farmers indicated that conservation tillage minimized soil disturbance, improved soil structure, and prevented erosion practices that contributed to carbon retention in the soil and improved water retention. Organic fertilizers were mostly used by gardeners while some were put in their agricultural fields after harvest to reduce on the application of synthetic fertilizers, thereby reducing greenhouse gas emissions associated with industrial fertilizers in their farming systems. Agroforestry was mostly practiced by farmers, indicating a growing recognition and </w:t>
      </w:r>
      <w:r>
        <w:lastRenderedPageBreak/>
        <w:t xml:space="preserve">value of integrating trees within crop fields. This means that not only did this practice aid in carbon sequestration but also enhanced microclimatic regulation, biodiversity, and long-term land productivity. </w:t>
      </w:r>
    </w:p>
    <w:p w14:paraId="3455B16E" w14:textId="0FFE28CD" w:rsidR="00C70C1E" w:rsidRDefault="00AF67C6" w:rsidP="00096A7D">
      <w:pPr>
        <w:spacing w:after="258"/>
        <w:ind w:left="-15" w:right="0" w:firstLine="582"/>
      </w:pPr>
      <w:r>
        <w:t xml:space="preserve">Smallholder farmers also believed that these practices helped in maintaining healthy soils, preserving water sources, and sustaining local biodiversity. These perceptions demonstrate that smallholder farmers in Mbereshi village did not see environmental care and agricultural productivity as opposing goals. Rather, their LEK promoted co-existence with nature, guided by principles of balance, observation, and regeneration. While these practices were not necessarily adopted with the intention of reducing emissions, their outcomes such as reduced land degradation, diversified cropping systems, and reduced chemical dependency aligned with the core tenets of climate change mitigation and adaptation. Thus, LEK in Mbereshi village </w:t>
      </w:r>
      <w:r w:rsidR="00096A7D">
        <w:t>seem</w:t>
      </w:r>
      <w:r w:rsidR="001E71C5">
        <w:t>ed</w:t>
      </w:r>
      <w:r w:rsidR="00096A7D">
        <w:t xml:space="preserve"> to have </w:t>
      </w:r>
      <w:r>
        <w:t xml:space="preserve">contributed to a low-emission agricultural system. This unanimous response has challenged the misconception that traditional agricultural systems are environmentally passive or outdated. Instead, the results show that farmers possessed and applied a wealth of ecologically aligned strategies rooted in their LEK. </w:t>
      </w:r>
    </w:p>
    <w:p w14:paraId="56848A99" w14:textId="307B0D4E" w:rsidR="00C70C1E" w:rsidRDefault="00AF67C6" w:rsidP="00804027">
      <w:pPr>
        <w:pStyle w:val="Heading2"/>
        <w:numPr>
          <w:ilvl w:val="2"/>
          <w:numId w:val="7"/>
        </w:numPr>
        <w:ind w:left="567" w:right="0" w:hanging="567"/>
      </w:pPr>
      <w:r>
        <w:t xml:space="preserve">Building climate resilience through LEK and its effectives  </w:t>
      </w:r>
    </w:p>
    <w:p w14:paraId="35C5EDEB" w14:textId="77777777" w:rsidR="00C70C1E" w:rsidRDefault="00AF67C6" w:rsidP="00751AB5">
      <w:pPr>
        <w:ind w:left="-15" w:right="0" w:firstLine="582"/>
      </w:pPr>
      <w:r>
        <w:t xml:space="preserve">The effectiveness of LEK in building resilience was clearly demonstrated by the study findings. The farmers were asked to state the effectiveness of LEK in helping them cope with climate change and most of the respondents described it as very effective while a few felt it was not effective. Farmers pointed out specific ways LEK helped them manage risks through early planting, seed selection, and the interpretation of natural indicators like cloud cover, flowering of plants, bird migration, and wind flow. These observational systems, deeply embedded in culture, allowed farmers to make timely decisions, reduce on input waste, and preserve crop productivity in the context of rainfall unpredictability and extreme events. Nonetheless, a minority of respondents felt that there had been moments when their local knowledge was insufficient in the face of severe climate shocks.  </w:t>
      </w:r>
    </w:p>
    <w:p w14:paraId="3B4DF6E0" w14:textId="335FCA27" w:rsidR="00C70C1E" w:rsidRDefault="00AF67C6" w:rsidP="00751AB5">
      <w:pPr>
        <w:ind w:left="-15" w:right="0" w:firstLine="582"/>
      </w:pPr>
      <w:r>
        <w:t>One farmer, for instance, described how erratic changes in rainfall patterns affected harvesting times, while another reported that early cultivation was no longer enough and had to be paired with increased intercropping and crop rotation. These accounts were not indications of failure but reflections of a changing climate that was testing even the most robust traditional systems. Notably, the effectiveness of these strategies was evident in the outcomes of most farmers who made changes reporting increased yields. Only a few saw no change, and experienced a decrease in yields. This suggests that LEK-based adaptation was not only widespread but also functionally effective in mitigating the negative impacts of climate change.</w:t>
      </w:r>
      <w:r w:rsidR="00DB077F">
        <w:t xml:space="preserve"> It also </w:t>
      </w:r>
      <w:r>
        <w:t xml:space="preserve">illustrates that adaptation in Mbereshi was not imposed externally but emerged from within the community through continuous observation, reflection, and response to environmental conditions. </w:t>
      </w:r>
    </w:p>
    <w:p w14:paraId="3904CE03" w14:textId="77777777" w:rsidR="00C70C1E" w:rsidRDefault="00AF67C6" w:rsidP="00751AB5">
      <w:pPr>
        <w:ind w:left="-15" w:right="0" w:firstLine="582"/>
      </w:pPr>
      <w:r>
        <w:t xml:space="preserve">Overall, the study findings affirm that LEK in Mbereshi village was not only alive, but dynamic. It evolved in response to new environmental challenges and continues to guide farmers in developing locally adaptive, sustainable, and resilient farming systems. This knowledge system is a valuable asset that deserves recognition, documentation, and support within national adaptation and mitigation frameworks. This is also supported by the results of multiple regression analysis which showed consistence with the broader understanding that LEK was largely accumulated through long-term environmental interaction and observation. Older farmers and those with more years spent in farming possessed a rich repository of traditional knowledge that guided their practices in the face of climatic variability. </w:t>
      </w:r>
    </w:p>
    <w:p w14:paraId="08600C61" w14:textId="77777777" w:rsidR="00C70C1E" w:rsidRDefault="00AF67C6" w:rsidP="00751AB5">
      <w:pPr>
        <w:spacing w:after="289"/>
        <w:ind w:left="-15" w:right="0" w:firstLine="582"/>
      </w:pPr>
      <w:r>
        <w:t xml:space="preserve">However, education level, farm size, and years lived in the village were not significant contributors to LEK use. The results highlight that formal education may not necessarily enhance LEK application but instead, experiential and intergenerational knowledge sharing play a more pivotal role. The insignificance of education and years lived in the village suggests that LEK is not acquired through formal means or passive residency but rather through active, daily involvement in farming and climate-related observations. This reaffirms the position of scholars such as Berkes (2017) and Freeman (1992), who argue that LEK is best understood as a dynamic, lived system of knowledge. The findings also support the argument that future climate adaptation programs must integrate age-sensitive and experience-based knowledge systems. Efforts to build resilience among rural farming populations should emphasize the preservation, transfer, and </w:t>
      </w:r>
      <w:r>
        <w:lastRenderedPageBreak/>
        <w:t xml:space="preserve">revitalization of LEK through peer learning, intergenerational mentorship, and participatory extension services that value local wisdom as much as scientific recommendations. </w:t>
      </w:r>
    </w:p>
    <w:p w14:paraId="67C79D0F" w14:textId="4E68CC40" w:rsidR="00C70C1E" w:rsidRDefault="00AF67C6" w:rsidP="00804027">
      <w:pPr>
        <w:pStyle w:val="Heading1"/>
        <w:numPr>
          <w:ilvl w:val="1"/>
          <w:numId w:val="7"/>
        </w:numPr>
        <w:spacing w:after="232"/>
        <w:ind w:left="567" w:right="0" w:hanging="567"/>
      </w:pPr>
      <w:r>
        <w:t>CONCLUSION</w:t>
      </w:r>
      <w:r>
        <w:rPr>
          <w:sz w:val="24"/>
        </w:rPr>
        <w:t xml:space="preserve"> </w:t>
      </w:r>
    </w:p>
    <w:p w14:paraId="6FE12EA6" w14:textId="77777777" w:rsidR="00C70C1E" w:rsidRDefault="00AF67C6" w:rsidP="00751AB5">
      <w:pPr>
        <w:ind w:left="-15" w:right="0" w:firstLine="582"/>
      </w:pPr>
      <w:r>
        <w:t xml:space="preserve">This study set out to examine how LEK was utilized by smallholder farmers in Mbereshi village to adapt to the impacts of climate change. The findings confirm that LEK plays a pivotal role in climate change mitigation and adaptation, and in building adaptive capacity and resilience among smallholder farmers. Smallholder farmers seem to possess an acute understanding of climatic changes developed through </w:t>
      </w:r>
      <w:proofErr w:type="spellStart"/>
      <w:r>
        <w:t>longterm</w:t>
      </w:r>
      <w:proofErr w:type="spellEnd"/>
      <w:r>
        <w:t xml:space="preserve"> interaction with their environment. This knowledge is not only observational but also actionable, guiding farming decisions that mitigate risks and optimize productivity. Adaptation strategies such as early cultivation, crop rotation, and seed selection, among others, are grounded in LEK and have led to improved yields for most smallholder farmers. The widespread application of LEK-based practices underscores the autonomy and capacity of local communities to respond effectively to climate variability and change. Additionally, practices such as conservation tillage, use of organic fertilizers, and agroforestry demonstrate that LEK can also support climate change mitigation and environmental sustainability. The study concludes that LEK is not a relic of the past but a living, evolving system of knowledge that must be preserved, supported, and integrated into formal adaptation strategies. Its effectiveness, however, does not negate the need for support mechanisms; rather, it calls for a hybrid model that combines traditional wisdom with scientific innovation</w:t>
      </w:r>
      <w:r>
        <w:rPr>
          <w:sz w:val="24"/>
        </w:rPr>
        <w:t xml:space="preserve">. </w:t>
      </w:r>
    </w:p>
    <w:p w14:paraId="2CC78D38" w14:textId="77777777" w:rsidR="00C70C1E" w:rsidRDefault="00AF67C6" w:rsidP="00751AB5">
      <w:pPr>
        <w:spacing w:after="273"/>
        <w:ind w:left="-15" w:right="0" w:firstLine="582"/>
      </w:pPr>
      <w:r>
        <w:t xml:space="preserve">Based on the aforementioned results and conclusions, the study recommends that,1) there is a need to recognize and integrate LEK strategies into national policies where government institutions and development partners can work together for a common goal. Local and national agricultural policies should integrate LEK into climate adaptation and extension strategies. 2) There is also a need to support community-based knowledge systems by documenting and preserving LEK through participatory research and knowledge-sharing platforms. 3) Hybrid support systems should be provided to complement LEK with scientific forecasting tools, weather information systems, and improved extension services to enhance adaptive capacity. 4) The promotion of climate-smart agriculture through investment in </w:t>
      </w:r>
      <w:proofErr w:type="spellStart"/>
      <w:r>
        <w:t>agro</w:t>
      </w:r>
      <w:proofErr w:type="spellEnd"/>
      <w:r>
        <w:t xml:space="preserve">-ecological practices that align with LEK such as conservation farming, organic inputs, and tree planting is critical. 5) Infrastructure and market access should also be enhanced by improving rural infrastructure, storage, and market access to reduce on post-harvest losses and strengthen household income stability. As farmers depend solely on seasonal production and occasional sales to buyers like the Food Reserve Agency (FRA), the provision of rural infrastructure, storage facilities, and better market linkages is essential to reduce vulnerability and improve livelihoods. </w:t>
      </w:r>
    </w:p>
    <w:p w14:paraId="1E9CFFFD" w14:textId="5A2F0A17" w:rsidR="00C70C1E" w:rsidRPr="00B62EE4" w:rsidRDefault="00AF67C6" w:rsidP="00804027">
      <w:pPr>
        <w:pStyle w:val="Heading1"/>
        <w:numPr>
          <w:ilvl w:val="0"/>
          <w:numId w:val="11"/>
        </w:numPr>
        <w:ind w:left="567" w:right="0" w:hanging="567"/>
        <w:rPr>
          <w:sz w:val="24"/>
          <w:szCs w:val="24"/>
        </w:rPr>
      </w:pPr>
      <w:r w:rsidRPr="00B62EE4">
        <w:rPr>
          <w:sz w:val="24"/>
          <w:szCs w:val="24"/>
        </w:rPr>
        <w:t>DATA AVAILABILITY</w:t>
      </w:r>
      <w:r w:rsidRPr="00B62EE4">
        <w:rPr>
          <w:sz w:val="28"/>
          <w:szCs w:val="24"/>
        </w:rPr>
        <w:t xml:space="preserve"> </w:t>
      </w:r>
    </w:p>
    <w:p w14:paraId="1FFA5BBC" w14:textId="300A0136" w:rsidR="00B70A89" w:rsidRPr="005B170B" w:rsidRDefault="00AF67C6" w:rsidP="001342F0">
      <w:pPr>
        <w:spacing w:after="265" w:line="259" w:lineRule="auto"/>
        <w:ind w:right="0" w:hanging="10"/>
        <w:jc w:val="left"/>
        <w:rPr>
          <w:sz w:val="24"/>
        </w:rPr>
      </w:pPr>
      <w:r>
        <w:rPr>
          <w:sz w:val="24"/>
        </w:rPr>
        <w:t xml:space="preserve">Data will be available upon request from authors. </w:t>
      </w:r>
    </w:p>
    <w:p w14:paraId="629E0433" w14:textId="6EA491D5" w:rsidR="00B70A89" w:rsidRPr="00B62EE4" w:rsidRDefault="00F53B88" w:rsidP="00F53B88">
      <w:pPr>
        <w:pStyle w:val="NoSpacing"/>
        <w:spacing w:line="276" w:lineRule="auto"/>
        <w:jc w:val="both"/>
        <w:rPr>
          <w:rFonts w:ascii="Times New Roman" w:hAnsi="Times New Roman" w:cs="Times New Roman"/>
          <w:b/>
          <w:bCs/>
          <w:sz w:val="24"/>
          <w:szCs w:val="24"/>
        </w:rPr>
      </w:pPr>
      <w:bookmarkStart w:id="1" w:name="_Hlk219284361"/>
      <w:bookmarkStart w:id="2" w:name="_Hlk198031404"/>
      <w:r>
        <w:rPr>
          <w:rFonts w:ascii="Times New Roman" w:hAnsi="Times New Roman" w:cs="Times New Roman"/>
          <w:b/>
          <w:bCs/>
          <w:sz w:val="24"/>
          <w:szCs w:val="24"/>
        </w:rPr>
        <w:t xml:space="preserve">   </w:t>
      </w:r>
      <w:r w:rsidR="00C947F5" w:rsidRPr="00B62EE4">
        <w:rPr>
          <w:rFonts w:ascii="Times New Roman" w:hAnsi="Times New Roman" w:cs="Times New Roman"/>
          <w:b/>
          <w:bCs/>
          <w:sz w:val="24"/>
          <w:szCs w:val="24"/>
        </w:rPr>
        <w:t>DISCLAIMER (ARTIFICIAL INTELLIGENCE)</w:t>
      </w:r>
    </w:p>
    <w:p w14:paraId="63140E9D" w14:textId="77777777" w:rsidR="00B70A89" w:rsidRPr="005B170B" w:rsidRDefault="00B70A89" w:rsidP="001342F0">
      <w:pPr>
        <w:pStyle w:val="NoSpacing"/>
        <w:spacing w:line="276" w:lineRule="auto"/>
        <w:ind w:hanging="10"/>
        <w:jc w:val="both"/>
        <w:rPr>
          <w:rFonts w:ascii="Times New Roman" w:hAnsi="Times New Roman" w:cs="Times New Roman"/>
        </w:rPr>
      </w:pPr>
    </w:p>
    <w:p w14:paraId="0BD3C804" w14:textId="6B5FF3A1" w:rsidR="00FB5AB8" w:rsidRPr="005B170B" w:rsidRDefault="00B70A89" w:rsidP="00751AB5">
      <w:pPr>
        <w:pStyle w:val="NoSpacing"/>
        <w:spacing w:line="276" w:lineRule="auto"/>
        <w:ind w:firstLine="567"/>
        <w:jc w:val="both"/>
        <w:rPr>
          <w:rFonts w:ascii="Times New Roman" w:hAnsi="Times New Roman" w:cs="Times New Roman"/>
          <w:highlight w:val="yellow"/>
        </w:rPr>
      </w:pPr>
      <w:r w:rsidRPr="005B170B">
        <w:rPr>
          <w:rFonts w:ascii="Times New Roman" w:hAnsi="Times New Roman" w:cs="Times New Roman"/>
        </w:rPr>
        <w:t>Author</w:t>
      </w:r>
      <w:r w:rsidR="00B62EE4">
        <w:rPr>
          <w:rFonts w:ascii="Times New Roman" w:hAnsi="Times New Roman" w:cs="Times New Roman"/>
        </w:rPr>
        <w:t>s</w:t>
      </w:r>
      <w:r w:rsidRPr="005B170B">
        <w:rPr>
          <w:rFonts w:ascii="Times New Roman" w:hAnsi="Times New Roman" w:cs="Times New Roman"/>
        </w:rPr>
        <w:t xml:space="preserve"> hereby declare</w:t>
      </w:r>
      <w:r w:rsidR="00B62EE4">
        <w:rPr>
          <w:rFonts w:ascii="Times New Roman" w:hAnsi="Times New Roman" w:cs="Times New Roman"/>
        </w:rPr>
        <w:t xml:space="preserve"> </w:t>
      </w:r>
      <w:r w:rsidRPr="005B170B">
        <w:rPr>
          <w:rFonts w:ascii="Times New Roman" w:hAnsi="Times New Roman" w:cs="Times New Roman"/>
        </w:rPr>
        <w:t>that NO generative AI technologies such as Large Language Models (ChatGPT, COPILOT, etc.) and text-to-image generators have been used during the writing or editing of this manuscript</w:t>
      </w:r>
      <w:bookmarkEnd w:id="1"/>
      <w:r w:rsidRPr="005B170B">
        <w:rPr>
          <w:rFonts w:ascii="Times New Roman" w:hAnsi="Times New Roman" w:cs="Times New Roman"/>
        </w:rPr>
        <w:t>.</w:t>
      </w:r>
      <w:r w:rsidRPr="005B170B">
        <w:rPr>
          <w:rFonts w:ascii="Times New Roman" w:hAnsi="Times New Roman" w:cs="Times New Roman"/>
          <w:highlight w:val="yellow"/>
        </w:rPr>
        <w:t xml:space="preserve"> </w:t>
      </w:r>
      <w:bookmarkEnd w:id="2"/>
    </w:p>
    <w:p w14:paraId="36A975B8" w14:textId="3FC3DE7A" w:rsidR="00C70C1E" w:rsidRDefault="00AF67C6" w:rsidP="00F53B88">
      <w:pPr>
        <w:pStyle w:val="Heading2"/>
        <w:spacing w:before="240" w:after="234"/>
        <w:ind w:left="567" w:right="0" w:firstLine="0"/>
      </w:pPr>
      <w:r>
        <w:rPr>
          <w:sz w:val="24"/>
        </w:rPr>
        <w:t xml:space="preserve">REFERENCES </w:t>
      </w:r>
    </w:p>
    <w:p w14:paraId="1E15DB67" w14:textId="50476F84" w:rsidR="00C70C1E" w:rsidRPr="00AA2CE0" w:rsidRDefault="00D11600" w:rsidP="00F53B88">
      <w:pPr>
        <w:pStyle w:val="ListParagraph"/>
        <w:numPr>
          <w:ilvl w:val="0"/>
          <w:numId w:val="14"/>
        </w:numPr>
        <w:spacing w:after="0" w:line="240" w:lineRule="auto"/>
        <w:ind w:right="0"/>
      </w:pPr>
      <w:r w:rsidRPr="00AA2CE0">
        <w:t xml:space="preserve">African Development Bank, Asian Development Bank, Department for International Development (United Kingdom), Directorate-General for Development (European Commission), Federal Ministry for Economic Cooperation and Development (Germany), Ministry of Foreign Affairs - Development Cooperation (The Netherlands), Organization for Economic Cooperation and Development, United Nations Development Programme, United Nations Environment Programme, </w:t>
      </w:r>
      <w:r w:rsidRPr="00AA2CE0">
        <w:lastRenderedPageBreak/>
        <w:t>&amp; The World Bank</w:t>
      </w:r>
      <w:r w:rsidR="00AF67C6" w:rsidRPr="00AA2CE0">
        <w:t xml:space="preserve">. (2003). </w:t>
      </w:r>
      <w:r w:rsidR="00AF67C6" w:rsidRPr="00F53B88">
        <w:rPr>
          <w:i/>
        </w:rPr>
        <w:t>Poverty and climate change:</w:t>
      </w:r>
      <w:r w:rsidR="00925F21" w:rsidRPr="00F53B88">
        <w:rPr>
          <w:i/>
        </w:rPr>
        <w:t xml:space="preserve"> r</w:t>
      </w:r>
      <w:r w:rsidR="00AF67C6" w:rsidRPr="00F53B88">
        <w:rPr>
          <w:i/>
        </w:rPr>
        <w:t>educing the vulnerability of the poor</w:t>
      </w:r>
      <w:r w:rsidR="00925F21" w:rsidRPr="00F53B88">
        <w:rPr>
          <w:i/>
        </w:rPr>
        <w:t xml:space="preserve"> through adaptation</w:t>
      </w:r>
      <w:r w:rsidR="00AF67C6" w:rsidRPr="00AA2CE0">
        <w:t>.</w:t>
      </w:r>
      <w:r w:rsidR="00751BD4" w:rsidRPr="00AA2CE0">
        <w:t xml:space="preserve"> </w:t>
      </w:r>
      <w:r w:rsidR="00AF67C6" w:rsidRPr="00AA2CE0">
        <w:t>Washington</w:t>
      </w:r>
      <w:r w:rsidR="00751BD4" w:rsidRPr="00AA2CE0">
        <w:t xml:space="preserve">, </w:t>
      </w:r>
      <w:r w:rsidR="00AF67C6" w:rsidRPr="00AA2CE0">
        <w:t xml:space="preserve">DC: </w:t>
      </w:r>
      <w:r w:rsidR="00751BD4" w:rsidRPr="00AA2CE0">
        <w:t xml:space="preserve">The </w:t>
      </w:r>
      <w:r w:rsidR="00AF67C6" w:rsidRPr="00AA2CE0">
        <w:t xml:space="preserve">World Bank.   </w:t>
      </w:r>
      <w:hyperlink r:id="rId37">
        <w:r w:rsidR="00AF67C6" w:rsidRPr="00F53B88">
          <w:rPr>
            <w:color w:val="0563C1"/>
            <w:u w:val="single" w:color="0563C1"/>
          </w:rPr>
          <w:t>https://documents.worldbank.org/en/publication/documents</w:t>
        </w:r>
      </w:hyperlink>
      <w:hyperlink r:id="rId38">
        <w:r w:rsidR="00AF67C6" w:rsidRPr="00F53B88">
          <w:rPr>
            <w:color w:val="0563C1"/>
            <w:u w:val="single" w:color="0563C1"/>
          </w:rPr>
          <w:t>-</w:t>
        </w:r>
      </w:hyperlink>
    </w:p>
    <w:p w14:paraId="478EC3CD" w14:textId="77777777" w:rsidR="00C70C1E" w:rsidRPr="00AA2CE0" w:rsidRDefault="005021FC" w:rsidP="00F53B88">
      <w:pPr>
        <w:pStyle w:val="ListParagraph"/>
        <w:numPr>
          <w:ilvl w:val="2"/>
          <w:numId w:val="14"/>
        </w:numPr>
        <w:spacing w:after="0" w:line="240" w:lineRule="auto"/>
        <w:ind w:right="0"/>
      </w:pPr>
      <w:hyperlink r:id="rId39">
        <w:r w:rsidR="00AF67C6" w:rsidRPr="00F53B88">
          <w:rPr>
            <w:color w:val="0563C1"/>
            <w:u w:val="single" w:color="0563C1"/>
          </w:rPr>
          <w:t>reports/documentdetail/765361468136816043/poverty</w:t>
        </w:r>
      </w:hyperlink>
      <w:hyperlink r:id="rId40">
        <w:r w:rsidR="00AF67C6" w:rsidRPr="00F53B88">
          <w:rPr>
            <w:color w:val="0563C1"/>
            <w:u w:val="single" w:color="0563C1"/>
          </w:rPr>
          <w:t>-</w:t>
        </w:r>
      </w:hyperlink>
      <w:hyperlink r:id="rId41">
        <w:r w:rsidR="00AF67C6" w:rsidRPr="00F53B88">
          <w:rPr>
            <w:color w:val="0563C1"/>
            <w:u w:val="single" w:color="0563C1"/>
          </w:rPr>
          <w:t>and</w:t>
        </w:r>
      </w:hyperlink>
      <w:hyperlink r:id="rId42">
        <w:r w:rsidR="00AF67C6" w:rsidRPr="00F53B88">
          <w:rPr>
            <w:color w:val="0563C1"/>
            <w:u w:val="single" w:color="0563C1"/>
          </w:rPr>
          <w:t>-</w:t>
        </w:r>
      </w:hyperlink>
      <w:hyperlink r:id="rId43">
        <w:r w:rsidR="00AF67C6" w:rsidRPr="00F53B88">
          <w:rPr>
            <w:color w:val="0563C1"/>
            <w:u w:val="single" w:color="0563C1"/>
          </w:rPr>
          <w:t>climate</w:t>
        </w:r>
      </w:hyperlink>
      <w:hyperlink r:id="rId44">
        <w:r w:rsidR="00AF67C6" w:rsidRPr="00F53B88">
          <w:rPr>
            <w:color w:val="0563C1"/>
            <w:u w:val="single" w:color="0563C1"/>
          </w:rPr>
          <w:t>-</w:t>
        </w:r>
      </w:hyperlink>
      <w:hyperlink r:id="rId45">
        <w:r w:rsidR="00AF67C6" w:rsidRPr="00F53B88">
          <w:rPr>
            <w:color w:val="0563C1"/>
            <w:u w:val="single" w:color="0563C1"/>
          </w:rPr>
          <w:t>change</w:t>
        </w:r>
      </w:hyperlink>
      <w:hyperlink r:id="rId46">
        <w:r w:rsidR="00AF67C6" w:rsidRPr="00F53B88">
          <w:rPr>
            <w:color w:val="0563C1"/>
            <w:u w:val="single" w:color="0563C1"/>
          </w:rPr>
          <w:t>-</w:t>
        </w:r>
      </w:hyperlink>
      <w:hyperlink r:id="rId47">
        <w:r w:rsidR="00AF67C6" w:rsidRPr="00F53B88">
          <w:rPr>
            <w:color w:val="0563C1"/>
            <w:u w:val="single" w:color="0563C1"/>
          </w:rPr>
          <w:t>reducing</w:t>
        </w:r>
      </w:hyperlink>
      <w:hyperlink r:id="rId48">
        <w:r w:rsidR="00AF67C6" w:rsidRPr="00F53B88">
          <w:rPr>
            <w:color w:val="0563C1"/>
            <w:u w:val="single" w:color="0563C1"/>
          </w:rPr>
          <w:t>-</w:t>
        </w:r>
      </w:hyperlink>
      <w:hyperlink r:id="rId49">
        <w:r w:rsidR="00AF67C6" w:rsidRPr="00F53B88">
          <w:rPr>
            <w:color w:val="0563C1"/>
            <w:u w:val="single" w:color="0563C1"/>
          </w:rPr>
          <w:t>the</w:t>
        </w:r>
      </w:hyperlink>
      <w:hyperlink r:id="rId50"/>
      <w:hyperlink r:id="rId51">
        <w:r w:rsidR="00AF67C6" w:rsidRPr="00F53B88">
          <w:rPr>
            <w:color w:val="0563C1"/>
            <w:u w:val="single" w:color="0563C1"/>
          </w:rPr>
          <w:t>vulnerability</w:t>
        </w:r>
      </w:hyperlink>
      <w:hyperlink r:id="rId52">
        <w:r w:rsidR="00AF67C6" w:rsidRPr="00F53B88">
          <w:rPr>
            <w:color w:val="0563C1"/>
            <w:u w:val="single" w:color="0563C1"/>
          </w:rPr>
          <w:t>-</w:t>
        </w:r>
      </w:hyperlink>
      <w:hyperlink r:id="rId53">
        <w:r w:rsidR="00AF67C6" w:rsidRPr="00F53B88">
          <w:rPr>
            <w:color w:val="0563C1"/>
            <w:u w:val="single" w:color="0563C1"/>
          </w:rPr>
          <w:t>of</w:t>
        </w:r>
      </w:hyperlink>
      <w:hyperlink r:id="rId54">
        <w:r w:rsidR="00AF67C6" w:rsidRPr="00F53B88">
          <w:rPr>
            <w:color w:val="0563C1"/>
            <w:u w:val="single" w:color="0563C1"/>
          </w:rPr>
          <w:t>-</w:t>
        </w:r>
      </w:hyperlink>
      <w:hyperlink r:id="rId55">
        <w:r w:rsidR="00AF67C6" w:rsidRPr="00F53B88">
          <w:rPr>
            <w:color w:val="0563C1"/>
            <w:u w:val="single" w:color="0563C1"/>
          </w:rPr>
          <w:t>the</w:t>
        </w:r>
      </w:hyperlink>
      <w:hyperlink r:id="rId56">
        <w:r w:rsidR="00AF67C6" w:rsidRPr="00F53B88">
          <w:rPr>
            <w:color w:val="0563C1"/>
            <w:u w:val="single" w:color="0563C1"/>
          </w:rPr>
          <w:t>-</w:t>
        </w:r>
      </w:hyperlink>
      <w:hyperlink r:id="rId57">
        <w:r w:rsidR="00AF67C6" w:rsidRPr="00F53B88">
          <w:rPr>
            <w:color w:val="0563C1"/>
            <w:u w:val="single" w:color="0563C1"/>
          </w:rPr>
          <w:t>poor</w:t>
        </w:r>
      </w:hyperlink>
      <w:hyperlink r:id="rId58">
        <w:r w:rsidR="00AF67C6" w:rsidRPr="00AA2CE0">
          <w:t xml:space="preserve"> </w:t>
        </w:r>
      </w:hyperlink>
    </w:p>
    <w:p w14:paraId="26EF7D89" w14:textId="7932A921" w:rsidR="00C70C1E" w:rsidRPr="00AA2CE0" w:rsidRDefault="00AF67C6" w:rsidP="00F53B88">
      <w:pPr>
        <w:pStyle w:val="ListParagraph"/>
        <w:numPr>
          <w:ilvl w:val="0"/>
          <w:numId w:val="14"/>
        </w:numPr>
        <w:spacing w:after="0" w:line="240" w:lineRule="auto"/>
        <w:ind w:right="0"/>
      </w:pPr>
      <w:r w:rsidRPr="00AA2CE0">
        <w:t xml:space="preserve">AJE. (2022). </w:t>
      </w:r>
      <w:r w:rsidR="003C203B" w:rsidRPr="00AA2CE0">
        <w:t xml:space="preserve">Sharing your findings with a general audience. </w:t>
      </w:r>
      <w:r w:rsidRPr="00F53B88">
        <w:rPr>
          <w:i/>
        </w:rPr>
        <w:t>American Journal Experts</w:t>
      </w:r>
      <w:r w:rsidRPr="00AA2CE0">
        <w:t xml:space="preserve">. </w:t>
      </w:r>
      <w:hyperlink r:id="rId59">
        <w:r w:rsidRPr="00AA2CE0">
          <w:t xml:space="preserve"> </w:t>
        </w:r>
      </w:hyperlink>
      <w:hyperlink r:id="rId60">
        <w:r w:rsidRPr="00F53B88">
          <w:rPr>
            <w:color w:val="0563C1"/>
            <w:u w:val="single" w:color="0563C1"/>
          </w:rPr>
          <w:t>https://www.aje.com/en/arc/how</w:t>
        </w:r>
      </w:hyperlink>
      <w:hyperlink r:id="rId61">
        <w:r w:rsidRPr="00F53B88">
          <w:rPr>
            <w:color w:val="0563C1"/>
            <w:u w:val="single" w:color="0563C1"/>
          </w:rPr>
          <w:t>-</w:t>
        </w:r>
      </w:hyperlink>
      <w:hyperlink r:id="rId62">
        <w:r w:rsidRPr="00F53B88">
          <w:rPr>
            <w:color w:val="0563C1"/>
            <w:u w:val="single" w:color="0563C1"/>
          </w:rPr>
          <w:t>to</w:t>
        </w:r>
      </w:hyperlink>
      <w:hyperlink r:id="rId63">
        <w:r w:rsidRPr="00F53B88">
          <w:rPr>
            <w:color w:val="0563C1"/>
            <w:u w:val="single" w:color="0563C1"/>
          </w:rPr>
          <w:t>-</w:t>
        </w:r>
      </w:hyperlink>
      <w:hyperlink r:id="rId64">
        <w:r w:rsidRPr="00F53B88">
          <w:rPr>
            <w:color w:val="0563C1"/>
            <w:u w:val="single" w:color="0563C1"/>
          </w:rPr>
          <w:t>generalize</w:t>
        </w:r>
      </w:hyperlink>
      <w:hyperlink r:id="rId65">
        <w:r w:rsidRPr="00F53B88">
          <w:rPr>
            <w:color w:val="0563C1"/>
            <w:u w:val="single" w:color="0563C1"/>
          </w:rPr>
          <w:t>-</w:t>
        </w:r>
      </w:hyperlink>
      <w:hyperlink r:id="rId66">
        <w:r w:rsidRPr="00F53B88">
          <w:rPr>
            <w:color w:val="0563C1"/>
            <w:u w:val="single" w:color="0563C1"/>
          </w:rPr>
          <w:t>research</w:t>
        </w:r>
      </w:hyperlink>
      <w:hyperlink r:id="rId67">
        <w:r w:rsidRPr="00F53B88">
          <w:rPr>
            <w:color w:val="0563C1"/>
            <w:u w:val="single" w:color="0563C1"/>
          </w:rPr>
          <w:t>-</w:t>
        </w:r>
      </w:hyperlink>
      <w:hyperlink r:id="rId68">
        <w:r w:rsidRPr="00F53B88">
          <w:rPr>
            <w:color w:val="0563C1"/>
            <w:u w:val="single" w:color="0563C1"/>
          </w:rPr>
          <w:t>findings/</w:t>
        </w:r>
      </w:hyperlink>
      <w:hyperlink r:id="rId69">
        <w:r w:rsidRPr="00AA2CE0">
          <w:t xml:space="preserve"> </w:t>
        </w:r>
      </w:hyperlink>
    </w:p>
    <w:p w14:paraId="69A4DC86" w14:textId="0B1539FD" w:rsidR="00C70C1E" w:rsidRPr="00F53B88" w:rsidRDefault="00AF67C6" w:rsidP="00F53B88">
      <w:pPr>
        <w:pStyle w:val="ListParagraph"/>
        <w:numPr>
          <w:ilvl w:val="0"/>
          <w:numId w:val="14"/>
        </w:numPr>
        <w:spacing w:after="0" w:line="240" w:lineRule="auto"/>
        <w:ind w:right="0"/>
        <w:rPr>
          <w:lang w:val="nl-BE"/>
        </w:rPr>
      </w:pPr>
      <w:r w:rsidRPr="00AA2CE0">
        <w:t xml:space="preserve">Aniah, P., </w:t>
      </w:r>
      <w:proofErr w:type="spellStart"/>
      <w:r w:rsidRPr="00AA2CE0">
        <w:t>Kaunza</w:t>
      </w:r>
      <w:proofErr w:type="spellEnd"/>
      <w:r w:rsidRPr="00AA2CE0">
        <w:t>-Nu-Dem, M.K.</w:t>
      </w:r>
      <w:r w:rsidR="00465085" w:rsidRPr="00AA2CE0">
        <w:t xml:space="preserve"> &amp; </w:t>
      </w:r>
      <w:proofErr w:type="spellStart"/>
      <w:r w:rsidRPr="00AA2CE0">
        <w:t>Ayembilla</w:t>
      </w:r>
      <w:proofErr w:type="spellEnd"/>
      <w:r w:rsidRPr="00AA2CE0">
        <w:t xml:space="preserve">, J.A. (2019). Smallholder farmers’ livelihood adaptation to climate variability and ecological changes in </w:t>
      </w:r>
      <w:r w:rsidR="00465085" w:rsidRPr="00AA2CE0">
        <w:t xml:space="preserve">the Savana </w:t>
      </w:r>
      <w:proofErr w:type="spellStart"/>
      <w:r w:rsidR="00465085" w:rsidRPr="00AA2CE0">
        <w:t>agro</w:t>
      </w:r>
      <w:proofErr w:type="spellEnd"/>
      <w:r w:rsidR="00102FEA" w:rsidRPr="00AA2CE0">
        <w:t>-</w:t>
      </w:r>
      <w:r w:rsidR="00465085" w:rsidRPr="00AA2CE0">
        <w:t>ecological zone of</w:t>
      </w:r>
      <w:r w:rsidRPr="00AA2CE0">
        <w:t xml:space="preserve"> Ghana. </w:t>
      </w:r>
      <w:r w:rsidRPr="00F53B88">
        <w:rPr>
          <w:i/>
          <w:lang w:val="nl-BE"/>
        </w:rPr>
        <w:t>Heliyon</w:t>
      </w:r>
      <w:r w:rsidRPr="00F53B88">
        <w:rPr>
          <w:lang w:val="nl-BE"/>
        </w:rPr>
        <w:t xml:space="preserve">, 5(6): e01492. </w:t>
      </w:r>
      <w:hyperlink r:id="rId70">
        <w:r w:rsidRPr="00F53B88">
          <w:rPr>
            <w:color w:val="0563C1"/>
            <w:u w:val="single" w:color="0563C1"/>
            <w:lang w:val="nl-BE"/>
          </w:rPr>
          <w:t>https://doi.org/10.1016/j.heliyon.2019.e01492</w:t>
        </w:r>
      </w:hyperlink>
      <w:hyperlink r:id="rId71">
        <w:r w:rsidRPr="00F53B88">
          <w:rPr>
            <w:lang w:val="nl-BE"/>
          </w:rPr>
          <w:t xml:space="preserve"> </w:t>
        </w:r>
      </w:hyperlink>
    </w:p>
    <w:p w14:paraId="74ACE0CF" w14:textId="77777777" w:rsidR="00C70C1E" w:rsidRPr="00AA2CE0" w:rsidRDefault="00AF67C6" w:rsidP="00F53B88">
      <w:pPr>
        <w:pStyle w:val="ListParagraph"/>
        <w:numPr>
          <w:ilvl w:val="0"/>
          <w:numId w:val="14"/>
        </w:numPr>
        <w:spacing w:after="0" w:line="240" w:lineRule="auto"/>
        <w:ind w:right="0"/>
      </w:pPr>
      <w:r w:rsidRPr="00F53B88">
        <w:rPr>
          <w:lang w:val="nl-BE"/>
        </w:rPr>
        <w:t xml:space="preserve">Bryman, A. (2016). </w:t>
      </w:r>
      <w:r w:rsidRPr="00F53B88">
        <w:rPr>
          <w:i/>
        </w:rPr>
        <w:t>Social research methods</w:t>
      </w:r>
      <w:r w:rsidRPr="00AA2CE0">
        <w:t xml:space="preserve"> (5</w:t>
      </w:r>
      <w:r w:rsidRPr="00F53B88">
        <w:rPr>
          <w:vertAlign w:val="superscript"/>
        </w:rPr>
        <w:t>th</w:t>
      </w:r>
      <w:r w:rsidRPr="00AA2CE0">
        <w:t xml:space="preserve"> ed.). Oxford, UK: Oxford University Press. </w:t>
      </w:r>
    </w:p>
    <w:p w14:paraId="14F478F9" w14:textId="592C4010" w:rsidR="00C70C1E" w:rsidRPr="00AA2CE0" w:rsidRDefault="00AF67C6" w:rsidP="00F53B88">
      <w:pPr>
        <w:pStyle w:val="ListParagraph"/>
        <w:numPr>
          <w:ilvl w:val="0"/>
          <w:numId w:val="14"/>
        </w:numPr>
        <w:spacing w:before="240" w:after="0" w:line="240" w:lineRule="auto"/>
        <w:ind w:right="0"/>
      </w:pPr>
      <w:r w:rsidRPr="00AA2CE0">
        <w:t xml:space="preserve">Creswell, J.W. (2014). </w:t>
      </w:r>
      <w:r w:rsidRPr="00F53B88">
        <w:rPr>
          <w:i/>
        </w:rPr>
        <w:t xml:space="preserve">Research design: </w:t>
      </w:r>
      <w:r w:rsidR="00751BD4" w:rsidRPr="00F53B88">
        <w:rPr>
          <w:i/>
        </w:rPr>
        <w:t>q</w:t>
      </w:r>
      <w:r w:rsidRPr="00F53B88">
        <w:rPr>
          <w:i/>
        </w:rPr>
        <w:t>ualitative, quantitative, and mixed</w:t>
      </w:r>
      <w:r w:rsidR="00751BD4" w:rsidRPr="00F53B88">
        <w:rPr>
          <w:i/>
        </w:rPr>
        <w:t>-</w:t>
      </w:r>
      <w:r w:rsidRPr="00F53B88">
        <w:rPr>
          <w:i/>
        </w:rPr>
        <w:t>methods approaches</w:t>
      </w:r>
      <w:r w:rsidRPr="00AA2CE0">
        <w:t xml:space="preserve"> (4</w:t>
      </w:r>
      <w:r w:rsidRPr="00F53B88">
        <w:rPr>
          <w:vertAlign w:val="superscript"/>
        </w:rPr>
        <w:t>th</w:t>
      </w:r>
      <w:r w:rsidRPr="00AA2CE0">
        <w:t xml:space="preserve"> ed.). Los Angeles, CA: SAGE Publications. </w:t>
      </w:r>
    </w:p>
    <w:p w14:paraId="01D1B710" w14:textId="72435757" w:rsidR="00C70C1E" w:rsidRPr="00AA2CE0" w:rsidRDefault="00AF67C6" w:rsidP="00F53B88">
      <w:pPr>
        <w:pStyle w:val="ListParagraph"/>
        <w:numPr>
          <w:ilvl w:val="0"/>
          <w:numId w:val="14"/>
        </w:numPr>
        <w:spacing w:after="0" w:line="240" w:lineRule="auto"/>
        <w:ind w:right="0"/>
      </w:pPr>
      <w:r w:rsidRPr="00AA2CE0">
        <w:t xml:space="preserve">Creswell, J.W. &amp; Creswell, J.D. (2018). </w:t>
      </w:r>
      <w:r w:rsidRPr="00F53B88">
        <w:rPr>
          <w:i/>
        </w:rPr>
        <w:t xml:space="preserve">Research design: </w:t>
      </w:r>
      <w:r w:rsidR="00751BD4" w:rsidRPr="00F53B88">
        <w:rPr>
          <w:i/>
        </w:rPr>
        <w:t>q</w:t>
      </w:r>
      <w:r w:rsidRPr="00F53B88">
        <w:rPr>
          <w:i/>
        </w:rPr>
        <w:t>ualitative, quantitative, and mixed</w:t>
      </w:r>
      <w:r w:rsidR="00751BD4" w:rsidRPr="00F53B88">
        <w:rPr>
          <w:i/>
        </w:rPr>
        <w:t>-</w:t>
      </w:r>
      <w:r w:rsidRPr="00F53B88">
        <w:rPr>
          <w:i/>
        </w:rPr>
        <w:t xml:space="preserve">methods approaches </w:t>
      </w:r>
      <w:r w:rsidRPr="00AA2CE0">
        <w:t>(5</w:t>
      </w:r>
      <w:r w:rsidRPr="00F53B88">
        <w:rPr>
          <w:vertAlign w:val="superscript"/>
        </w:rPr>
        <w:t>th</w:t>
      </w:r>
      <w:r w:rsidRPr="00AA2CE0">
        <w:t xml:space="preserve"> ed.). Los Angeles, CA: SAGE Publications. </w:t>
      </w:r>
    </w:p>
    <w:p w14:paraId="656882AE" w14:textId="241D9879" w:rsidR="00C70C1E" w:rsidRPr="00AA2CE0" w:rsidRDefault="00AF67C6" w:rsidP="00F53B88">
      <w:pPr>
        <w:pStyle w:val="ListParagraph"/>
        <w:numPr>
          <w:ilvl w:val="0"/>
          <w:numId w:val="14"/>
        </w:numPr>
        <w:spacing w:after="0" w:line="240" w:lineRule="auto"/>
        <w:ind w:right="0"/>
      </w:pPr>
      <w:r w:rsidRPr="00AA2CE0">
        <w:t xml:space="preserve">Creswell, J.W. &amp; </w:t>
      </w:r>
      <w:proofErr w:type="spellStart"/>
      <w:r w:rsidRPr="00AA2CE0">
        <w:t>Poth</w:t>
      </w:r>
      <w:proofErr w:type="spellEnd"/>
      <w:r w:rsidRPr="00AA2CE0">
        <w:t xml:space="preserve">, C.N. (2018). </w:t>
      </w:r>
      <w:r w:rsidRPr="00F53B88">
        <w:rPr>
          <w:i/>
        </w:rPr>
        <w:t xml:space="preserve">Qualitative inquiry and research design: </w:t>
      </w:r>
      <w:r w:rsidR="00751BD4" w:rsidRPr="00F53B88">
        <w:rPr>
          <w:i/>
        </w:rPr>
        <w:t>c</w:t>
      </w:r>
      <w:r w:rsidRPr="00F53B88">
        <w:rPr>
          <w:i/>
        </w:rPr>
        <w:t>hoosing among five approaches</w:t>
      </w:r>
      <w:r w:rsidRPr="00AA2CE0">
        <w:t xml:space="preserve"> (4</w:t>
      </w:r>
      <w:r w:rsidRPr="00F53B88">
        <w:rPr>
          <w:vertAlign w:val="superscript"/>
        </w:rPr>
        <w:t>th</w:t>
      </w:r>
      <w:r w:rsidRPr="00AA2CE0">
        <w:t xml:space="preserve"> ed.). Los Angeles, CA: SAGE Publications. </w:t>
      </w:r>
    </w:p>
    <w:p w14:paraId="04FE7FAD" w14:textId="77777777" w:rsidR="00C70C1E" w:rsidRPr="00AA2CE0" w:rsidRDefault="00AF67C6" w:rsidP="00F53B88">
      <w:pPr>
        <w:pStyle w:val="ListParagraph"/>
        <w:numPr>
          <w:ilvl w:val="0"/>
          <w:numId w:val="14"/>
        </w:numPr>
        <w:spacing w:after="0" w:line="240" w:lineRule="auto"/>
        <w:ind w:right="0"/>
      </w:pPr>
      <w:r w:rsidRPr="00AA2CE0">
        <w:t xml:space="preserve">Deressa, T.T., Hassan, R.M., Ringler, C., Alemu, T. &amp; Yesuf, M. (2008). </w:t>
      </w:r>
      <w:r w:rsidRPr="00F53B88">
        <w:rPr>
          <w:i/>
        </w:rPr>
        <w:t>Analysis of the determinants of farmers’ choice of adaptation methods and perceptions of climate change in the Nile Basin of Ethiopia</w:t>
      </w:r>
      <w:r w:rsidRPr="00AA2CE0">
        <w:t>. IFPRI Discussion Paper 00798. Washington, DC: International Food Policy Research Institute.</w:t>
      </w:r>
      <w:hyperlink r:id="rId72">
        <w:r w:rsidRPr="00F53B88">
          <w:rPr>
            <w:color w:val="0563C1"/>
            <w:u w:val="single" w:color="0563C1"/>
          </w:rPr>
          <w:t>https://www.ifpri.org/publication/determinants</w:t>
        </w:r>
      </w:hyperlink>
      <w:hyperlink r:id="rId73">
        <w:r w:rsidRPr="00F53B88">
          <w:rPr>
            <w:color w:val="0563C1"/>
            <w:u w:val="single" w:color="0563C1"/>
          </w:rPr>
          <w:t>-</w:t>
        </w:r>
      </w:hyperlink>
      <w:hyperlink r:id="rId74">
        <w:r w:rsidRPr="00F53B88">
          <w:rPr>
            <w:color w:val="0563C1"/>
            <w:u w:val="single" w:color="0563C1"/>
          </w:rPr>
          <w:t>farmers</w:t>
        </w:r>
      </w:hyperlink>
      <w:hyperlink r:id="rId75">
        <w:r w:rsidRPr="00F53B88">
          <w:rPr>
            <w:color w:val="0563C1"/>
            <w:u w:val="single" w:color="0563C1"/>
          </w:rPr>
          <w:t>-</w:t>
        </w:r>
      </w:hyperlink>
      <w:hyperlink r:id="rId76">
        <w:r w:rsidRPr="00F53B88">
          <w:rPr>
            <w:color w:val="0563C1"/>
            <w:u w:val="single" w:color="0563C1"/>
          </w:rPr>
          <w:t>choice</w:t>
        </w:r>
      </w:hyperlink>
      <w:hyperlink r:id="rId77"/>
      <w:hyperlink r:id="rId78">
        <w:r w:rsidRPr="00F53B88">
          <w:rPr>
            <w:color w:val="0563C1"/>
            <w:u w:val="single" w:color="0563C1"/>
          </w:rPr>
          <w:t>adaptation</w:t>
        </w:r>
      </w:hyperlink>
      <w:hyperlink r:id="rId79">
        <w:r w:rsidRPr="00F53B88">
          <w:rPr>
            <w:color w:val="0563C1"/>
            <w:u w:val="single" w:color="0563C1"/>
          </w:rPr>
          <w:t>-</w:t>
        </w:r>
      </w:hyperlink>
      <w:hyperlink r:id="rId80">
        <w:r w:rsidRPr="00F53B88">
          <w:rPr>
            <w:color w:val="0563C1"/>
            <w:u w:val="single" w:color="0563C1"/>
          </w:rPr>
          <w:t>methods</w:t>
        </w:r>
      </w:hyperlink>
      <w:hyperlink r:id="rId81">
        <w:r w:rsidRPr="00F53B88">
          <w:rPr>
            <w:color w:val="0563C1"/>
            <w:u w:val="single" w:color="0563C1"/>
          </w:rPr>
          <w:t>-</w:t>
        </w:r>
      </w:hyperlink>
      <w:hyperlink r:id="rId82">
        <w:r w:rsidRPr="00F53B88">
          <w:rPr>
            <w:color w:val="0563C1"/>
            <w:u w:val="single" w:color="0563C1"/>
          </w:rPr>
          <w:t>and</w:t>
        </w:r>
      </w:hyperlink>
      <w:hyperlink r:id="rId83">
        <w:r w:rsidRPr="00F53B88">
          <w:rPr>
            <w:color w:val="0563C1"/>
            <w:u w:val="single" w:color="0563C1"/>
          </w:rPr>
          <w:t>-</w:t>
        </w:r>
      </w:hyperlink>
      <w:hyperlink r:id="rId84">
        <w:r w:rsidRPr="00F53B88">
          <w:rPr>
            <w:color w:val="0563C1"/>
            <w:u w:val="single" w:color="0563C1"/>
          </w:rPr>
          <w:t>perceptions</w:t>
        </w:r>
      </w:hyperlink>
      <w:hyperlink r:id="rId85">
        <w:r w:rsidRPr="00F53B88">
          <w:rPr>
            <w:color w:val="0563C1"/>
            <w:u w:val="single" w:color="0563C1"/>
          </w:rPr>
          <w:t>-</w:t>
        </w:r>
      </w:hyperlink>
      <w:hyperlink r:id="rId86">
        <w:r w:rsidRPr="00F53B88">
          <w:rPr>
            <w:color w:val="0563C1"/>
            <w:u w:val="single" w:color="0563C1"/>
          </w:rPr>
          <w:t>climate</w:t>
        </w:r>
      </w:hyperlink>
      <w:hyperlink r:id="rId87">
        <w:r w:rsidRPr="00F53B88">
          <w:rPr>
            <w:color w:val="0563C1"/>
            <w:u w:val="single" w:color="0563C1"/>
          </w:rPr>
          <w:t>-</w:t>
        </w:r>
      </w:hyperlink>
      <w:hyperlink r:id="rId88">
        <w:r w:rsidRPr="00F53B88">
          <w:rPr>
            <w:color w:val="0563C1"/>
            <w:u w:val="single" w:color="0563C1"/>
          </w:rPr>
          <w:t>change</w:t>
        </w:r>
      </w:hyperlink>
      <w:hyperlink r:id="rId89">
        <w:r w:rsidRPr="00F53B88">
          <w:rPr>
            <w:color w:val="0563C1"/>
            <w:u w:val="single" w:color="0563C1"/>
          </w:rPr>
          <w:t>-</w:t>
        </w:r>
      </w:hyperlink>
      <w:hyperlink r:id="rId90">
        <w:r w:rsidRPr="00F53B88">
          <w:rPr>
            <w:color w:val="0563C1"/>
            <w:u w:val="single" w:color="0563C1"/>
          </w:rPr>
          <w:t>nile</w:t>
        </w:r>
      </w:hyperlink>
      <w:hyperlink r:id="rId91">
        <w:r w:rsidRPr="00AA2CE0">
          <w:t xml:space="preserve"> </w:t>
        </w:r>
      </w:hyperlink>
    </w:p>
    <w:p w14:paraId="456D4DB4" w14:textId="77777777" w:rsidR="00C70C1E" w:rsidRPr="00AA2CE0" w:rsidRDefault="00AF67C6" w:rsidP="00F53B88">
      <w:pPr>
        <w:pStyle w:val="ListParagraph"/>
        <w:numPr>
          <w:ilvl w:val="0"/>
          <w:numId w:val="14"/>
        </w:numPr>
        <w:spacing w:after="0" w:line="240" w:lineRule="auto"/>
        <w:ind w:right="0"/>
      </w:pPr>
      <w:r w:rsidRPr="00F53B88">
        <w:rPr>
          <w:lang w:val="nl-BE"/>
        </w:rPr>
        <w:t xml:space="preserve">Etikan, I., Musa, S.A. &amp; Alkassim, R.S. (2016). </w:t>
      </w:r>
      <w:r w:rsidRPr="00AA2CE0">
        <w:t xml:space="preserve">Comparison of convenience sampling and purposive sampling. </w:t>
      </w:r>
      <w:r w:rsidRPr="00F53B88">
        <w:rPr>
          <w:i/>
          <w:iCs/>
        </w:rPr>
        <w:t>American Journal of Theoretical and Applied Statistics</w:t>
      </w:r>
      <w:r w:rsidRPr="00AA2CE0">
        <w:t xml:space="preserve">, 5(1): 1–4. </w:t>
      </w:r>
    </w:p>
    <w:p w14:paraId="0D4AC2A4" w14:textId="77777777" w:rsidR="00C70C1E" w:rsidRPr="00AA2CE0" w:rsidRDefault="00AF67C6" w:rsidP="00F53B88">
      <w:pPr>
        <w:pStyle w:val="ListParagraph"/>
        <w:numPr>
          <w:ilvl w:val="0"/>
          <w:numId w:val="14"/>
        </w:numPr>
        <w:tabs>
          <w:tab w:val="center" w:pos="3378"/>
        </w:tabs>
        <w:spacing w:after="0" w:line="240" w:lineRule="auto"/>
        <w:ind w:right="0"/>
      </w:pPr>
      <w:r w:rsidRPr="00AA2CE0">
        <w:t xml:space="preserve">  </w:t>
      </w:r>
      <w:r w:rsidRPr="00AA2CE0">
        <w:tab/>
      </w:r>
      <w:hyperlink r:id="rId92">
        <w:r w:rsidRPr="00F53B88">
          <w:rPr>
            <w:color w:val="0563C1"/>
            <w:u w:val="single" w:color="0563C1"/>
          </w:rPr>
          <w:t>https://doi.org/10.11648/j.ajtas.20160501.11</w:t>
        </w:r>
      </w:hyperlink>
      <w:hyperlink r:id="rId93">
        <w:r w:rsidRPr="00AA2CE0">
          <w:t xml:space="preserve"> </w:t>
        </w:r>
      </w:hyperlink>
    </w:p>
    <w:p w14:paraId="0819D5AA" w14:textId="77777777" w:rsidR="00C70C1E" w:rsidRPr="00AA2CE0" w:rsidRDefault="00AF67C6" w:rsidP="00F53B88">
      <w:pPr>
        <w:pStyle w:val="ListParagraph"/>
        <w:numPr>
          <w:ilvl w:val="0"/>
          <w:numId w:val="14"/>
        </w:numPr>
        <w:spacing w:after="0" w:line="240" w:lineRule="auto"/>
        <w:ind w:right="0"/>
      </w:pPr>
      <w:r w:rsidRPr="00AA2CE0">
        <w:t xml:space="preserve">Freeman, M.R. (1992). The nature and utility of traditional ecological knowledge. </w:t>
      </w:r>
      <w:r w:rsidRPr="00F53B88">
        <w:rPr>
          <w:i/>
        </w:rPr>
        <w:t>Northern Perspectives</w:t>
      </w:r>
      <w:r w:rsidRPr="00AA2CE0">
        <w:t xml:space="preserve">, 20(1): 9–12. </w:t>
      </w:r>
      <w:hyperlink r:id="rId94">
        <w:r w:rsidRPr="00F53B88">
          <w:rPr>
            <w:color w:val="0563C1"/>
            <w:u w:val="single" w:color="0563C1"/>
          </w:rPr>
          <w:t>https://www.uarctic.org/media/8577/northern_perspectives.pdf</w:t>
        </w:r>
      </w:hyperlink>
      <w:hyperlink r:id="rId95">
        <w:r w:rsidRPr="00AA2CE0">
          <w:t xml:space="preserve"> </w:t>
        </w:r>
      </w:hyperlink>
    </w:p>
    <w:p w14:paraId="7AAA36CC" w14:textId="3612E69E" w:rsidR="00C70C1E" w:rsidRPr="00AA2CE0" w:rsidRDefault="00AF67C6" w:rsidP="00F53B88">
      <w:pPr>
        <w:pStyle w:val="ListParagraph"/>
        <w:numPr>
          <w:ilvl w:val="0"/>
          <w:numId w:val="14"/>
        </w:numPr>
        <w:spacing w:after="0" w:line="240" w:lineRule="auto"/>
        <w:ind w:right="0"/>
      </w:pPr>
      <w:proofErr w:type="spellStart"/>
      <w:r w:rsidRPr="00AA2CE0">
        <w:t>Garay-Barayazarra</w:t>
      </w:r>
      <w:proofErr w:type="spellEnd"/>
      <w:r w:rsidRPr="00AA2CE0">
        <w:t xml:space="preserve">, G. &amp; Puri, R.K. (2011). </w:t>
      </w:r>
      <w:r w:rsidR="00DC52F2" w:rsidRPr="00F53B88">
        <w:rPr>
          <w:sz w:val="20"/>
          <w:szCs w:val="20"/>
        </w:rPr>
        <w:t xml:space="preserve">Smelling the monsoon: Senses and traditional weather forecasting knowledge among the </w:t>
      </w:r>
      <w:proofErr w:type="spellStart"/>
      <w:r w:rsidR="00DC52F2" w:rsidRPr="00F53B88">
        <w:rPr>
          <w:sz w:val="20"/>
          <w:szCs w:val="20"/>
        </w:rPr>
        <w:t>Kenyah</w:t>
      </w:r>
      <w:proofErr w:type="spellEnd"/>
      <w:r w:rsidR="00DC52F2" w:rsidRPr="00F53B88">
        <w:rPr>
          <w:sz w:val="20"/>
          <w:szCs w:val="20"/>
        </w:rPr>
        <w:t xml:space="preserve"> </w:t>
      </w:r>
      <w:proofErr w:type="spellStart"/>
      <w:r w:rsidR="00DC52F2" w:rsidRPr="00F53B88">
        <w:rPr>
          <w:sz w:val="20"/>
          <w:szCs w:val="20"/>
        </w:rPr>
        <w:t>Badeng</w:t>
      </w:r>
      <w:proofErr w:type="spellEnd"/>
      <w:r w:rsidR="00DC52F2" w:rsidRPr="00F53B88">
        <w:rPr>
          <w:sz w:val="20"/>
          <w:szCs w:val="20"/>
        </w:rPr>
        <w:t xml:space="preserve"> farmers of Sarawak, Malaysia</w:t>
      </w:r>
      <w:r w:rsidRPr="00AA2CE0">
        <w:t xml:space="preserve">. </w:t>
      </w:r>
      <w:r w:rsidRPr="00F53B88">
        <w:rPr>
          <w:i/>
        </w:rPr>
        <w:t>Indian Journal of Traditional Knowledge</w:t>
      </w:r>
      <w:r w:rsidRPr="00AA2CE0">
        <w:t>, 10(1):</w:t>
      </w:r>
      <w:r w:rsidR="00DC52F2" w:rsidRPr="00AA2CE0">
        <w:t xml:space="preserve"> </w:t>
      </w:r>
      <w:r w:rsidRPr="00AA2CE0">
        <w:t>21–30.</w:t>
      </w:r>
      <w:r w:rsidR="0030361C" w:rsidRPr="00AA2CE0">
        <w:t xml:space="preserve"> </w:t>
      </w:r>
      <w:hyperlink r:id="rId96" w:history="1">
        <w:r w:rsidR="0030361C" w:rsidRPr="00AA2CE0">
          <w:rPr>
            <w:rStyle w:val="Hyperlink"/>
          </w:rPr>
          <w:t>http://nopr.niscpr.res.in/handle/123456789/11015</w:t>
        </w:r>
      </w:hyperlink>
      <w:hyperlink r:id="rId97">
        <w:r w:rsidRPr="00AA2CE0">
          <w:t xml:space="preserve"> </w:t>
        </w:r>
      </w:hyperlink>
    </w:p>
    <w:p w14:paraId="41DA2DF0" w14:textId="77777777" w:rsidR="00751BD4" w:rsidRPr="00AA2CE0" w:rsidRDefault="00AF67C6" w:rsidP="00F53B88">
      <w:pPr>
        <w:pStyle w:val="ListParagraph"/>
        <w:numPr>
          <w:ilvl w:val="0"/>
          <w:numId w:val="14"/>
        </w:numPr>
        <w:spacing w:after="0" w:line="240" w:lineRule="auto"/>
        <w:ind w:right="0"/>
      </w:pPr>
      <w:r w:rsidRPr="00AA2CE0">
        <w:t>Hakwendenda, P.C. (2022). Climate change resilience and adaptation strategies in ecologically fragile urban</w:t>
      </w:r>
      <w:r w:rsidR="00751BD4" w:rsidRPr="00AA2CE0">
        <w:t xml:space="preserve"> </w:t>
      </w:r>
      <w:r w:rsidRPr="00AA2CE0">
        <w:t xml:space="preserve">mining communities: A review of existing research and practice. </w:t>
      </w:r>
      <w:r w:rsidRPr="00F53B88">
        <w:rPr>
          <w:i/>
        </w:rPr>
        <w:t>International Journal of Environment and Climate Change</w:t>
      </w:r>
      <w:r w:rsidRPr="00AA2CE0">
        <w:t>, 12(10): 38-73</w:t>
      </w:r>
    </w:p>
    <w:p w14:paraId="46B70047" w14:textId="3BA542D1" w:rsidR="00C70C1E" w:rsidRPr="00AA2CE0" w:rsidRDefault="005021FC" w:rsidP="00F53B88">
      <w:pPr>
        <w:pStyle w:val="ListParagraph"/>
        <w:numPr>
          <w:ilvl w:val="2"/>
          <w:numId w:val="14"/>
        </w:numPr>
        <w:spacing w:after="0" w:line="240" w:lineRule="auto"/>
        <w:ind w:right="0"/>
      </w:pPr>
      <w:hyperlink r:id="rId98" w:history="1">
        <w:r w:rsidR="00751BD4" w:rsidRPr="00AA2CE0">
          <w:rPr>
            <w:rStyle w:val="Hyperlink"/>
          </w:rPr>
          <w:t>https://doi.org/10.9734/IJECC/2022/v12i1030771</w:t>
        </w:r>
      </w:hyperlink>
      <w:hyperlink r:id="rId99">
        <w:r w:rsidR="00AF67C6" w:rsidRPr="00AA2CE0">
          <w:t xml:space="preserve"> </w:t>
        </w:r>
      </w:hyperlink>
    </w:p>
    <w:p w14:paraId="75928965" w14:textId="77777777" w:rsidR="00C70C1E" w:rsidRPr="00AA2CE0" w:rsidRDefault="00AF67C6" w:rsidP="00F53B88">
      <w:pPr>
        <w:pStyle w:val="ListParagraph"/>
        <w:numPr>
          <w:ilvl w:val="0"/>
          <w:numId w:val="14"/>
        </w:numPr>
        <w:spacing w:after="0" w:line="240" w:lineRule="auto"/>
        <w:ind w:right="0"/>
      </w:pPr>
      <w:r w:rsidRPr="00AA2CE0">
        <w:t xml:space="preserve">Harvard Humanitarian Initiative. (2022). </w:t>
      </w:r>
      <w:proofErr w:type="spellStart"/>
      <w:r w:rsidRPr="00F53B88">
        <w:rPr>
          <w:i/>
        </w:rPr>
        <w:t>KoBoToolbox</w:t>
      </w:r>
      <w:proofErr w:type="spellEnd"/>
      <w:r w:rsidRPr="00AA2CE0">
        <w:t xml:space="preserve">. </w:t>
      </w:r>
      <w:hyperlink r:id="rId100">
        <w:r w:rsidRPr="00F53B88">
          <w:rPr>
            <w:color w:val="0563C1"/>
            <w:u w:val="single" w:color="0563C1"/>
          </w:rPr>
          <w:t>https://www.kobotoolbox.org/</w:t>
        </w:r>
      </w:hyperlink>
      <w:hyperlink r:id="rId101">
        <w:r w:rsidRPr="00AA2CE0">
          <w:t xml:space="preserve"> </w:t>
        </w:r>
      </w:hyperlink>
    </w:p>
    <w:p w14:paraId="11ADCD39" w14:textId="77777777" w:rsidR="00C70C1E" w:rsidRPr="00AA2CE0" w:rsidRDefault="00AF67C6" w:rsidP="00F53B88">
      <w:pPr>
        <w:pStyle w:val="ListParagraph"/>
        <w:numPr>
          <w:ilvl w:val="0"/>
          <w:numId w:val="14"/>
        </w:numPr>
        <w:spacing w:before="240" w:after="0" w:line="240" w:lineRule="auto"/>
        <w:ind w:right="0"/>
      </w:pPr>
      <w:r w:rsidRPr="00AA2CE0">
        <w:t xml:space="preserve">Houde, N. (2007). The six faces of traditional ecological knowledge: Challenges and opportunities for Canadian co-management arrangements. </w:t>
      </w:r>
      <w:r w:rsidRPr="00F53B88">
        <w:rPr>
          <w:i/>
        </w:rPr>
        <w:t>Ecology and Society</w:t>
      </w:r>
      <w:r w:rsidRPr="00AA2CE0">
        <w:t xml:space="preserve">, 12(2): 34. </w:t>
      </w:r>
    </w:p>
    <w:p w14:paraId="53A6BBFA" w14:textId="77777777" w:rsidR="00C70C1E" w:rsidRPr="00AA2CE0" w:rsidRDefault="00AF67C6" w:rsidP="00F53B88">
      <w:pPr>
        <w:pStyle w:val="ListParagraph"/>
        <w:numPr>
          <w:ilvl w:val="0"/>
          <w:numId w:val="14"/>
        </w:numPr>
        <w:tabs>
          <w:tab w:val="center" w:pos="3752"/>
        </w:tabs>
        <w:spacing w:after="0" w:line="240" w:lineRule="auto"/>
        <w:ind w:right="0"/>
      </w:pPr>
      <w:r w:rsidRPr="00AA2CE0">
        <w:t xml:space="preserve">  </w:t>
      </w:r>
      <w:r w:rsidRPr="00AA2CE0">
        <w:tab/>
      </w:r>
      <w:hyperlink r:id="rId102">
        <w:r w:rsidRPr="00F53B88">
          <w:rPr>
            <w:color w:val="0563C1"/>
            <w:u w:val="single" w:color="0563C1"/>
          </w:rPr>
          <w:t>https://www.ecologyandsociety.org/vol12/iss2/art34/</w:t>
        </w:r>
      </w:hyperlink>
      <w:hyperlink r:id="rId103">
        <w:r w:rsidRPr="00AA2CE0">
          <w:t xml:space="preserve"> </w:t>
        </w:r>
      </w:hyperlink>
    </w:p>
    <w:p w14:paraId="3E864F78" w14:textId="77777777" w:rsidR="00C70C1E" w:rsidRPr="00AA2CE0" w:rsidRDefault="00AF67C6" w:rsidP="00F53B88">
      <w:pPr>
        <w:pStyle w:val="ListParagraph"/>
        <w:numPr>
          <w:ilvl w:val="0"/>
          <w:numId w:val="14"/>
        </w:numPr>
        <w:spacing w:after="0" w:line="240" w:lineRule="auto"/>
        <w:ind w:right="0"/>
      </w:pPr>
      <w:r w:rsidRPr="00AA2CE0">
        <w:t xml:space="preserve">IPCC. (2001). </w:t>
      </w:r>
      <w:r w:rsidRPr="00F53B88">
        <w:rPr>
          <w:i/>
        </w:rPr>
        <w:t>Climate change 2001: Impacts, adaptation, and vulnerability</w:t>
      </w:r>
      <w:r w:rsidRPr="00AA2CE0">
        <w:t xml:space="preserve">. Geneva, Switzerland: Intergovernmental Panel on Climate Change. </w:t>
      </w:r>
    </w:p>
    <w:p w14:paraId="41A38CC7" w14:textId="77777777" w:rsidR="00C70C1E" w:rsidRPr="00AA2CE0" w:rsidRDefault="00AF67C6" w:rsidP="00F53B88">
      <w:pPr>
        <w:pStyle w:val="ListParagraph"/>
        <w:numPr>
          <w:ilvl w:val="0"/>
          <w:numId w:val="14"/>
        </w:numPr>
        <w:spacing w:after="0" w:line="240" w:lineRule="auto"/>
        <w:ind w:right="0"/>
      </w:pPr>
      <w:r w:rsidRPr="00AA2CE0">
        <w:t xml:space="preserve">IPCC. (2014). </w:t>
      </w:r>
      <w:r w:rsidRPr="00F53B88">
        <w:rPr>
          <w:i/>
        </w:rPr>
        <w:t>Climate change 2014: Synthesis report. Geneva</w:t>
      </w:r>
      <w:r w:rsidRPr="00AA2CE0">
        <w:t xml:space="preserve">, Switzerland: Intergovernmental Panel on Climate Change. </w:t>
      </w:r>
      <w:hyperlink r:id="rId104">
        <w:r w:rsidRPr="00F53B88">
          <w:rPr>
            <w:color w:val="0563C1"/>
            <w:u w:val="single" w:color="0563C1"/>
          </w:rPr>
          <w:t>https://www.ipcc.ch/report/ar5/syr/</w:t>
        </w:r>
      </w:hyperlink>
      <w:hyperlink r:id="rId105">
        <w:r w:rsidRPr="00AA2CE0">
          <w:t xml:space="preserve"> </w:t>
        </w:r>
      </w:hyperlink>
    </w:p>
    <w:p w14:paraId="3A5C947F" w14:textId="4291DD94" w:rsidR="00C70C1E" w:rsidRPr="00AA2CE0" w:rsidRDefault="00AF67C6" w:rsidP="00F53B88">
      <w:pPr>
        <w:pStyle w:val="ListParagraph"/>
        <w:numPr>
          <w:ilvl w:val="0"/>
          <w:numId w:val="14"/>
        </w:numPr>
        <w:spacing w:after="0" w:line="240" w:lineRule="auto"/>
        <w:ind w:right="0"/>
      </w:pPr>
      <w:r w:rsidRPr="00AA2CE0">
        <w:t>IPCC. (202</w:t>
      </w:r>
      <w:r w:rsidR="00D36AC0" w:rsidRPr="00AA2CE0">
        <w:t>2</w:t>
      </w:r>
      <w:r w:rsidRPr="00AA2CE0">
        <w:t xml:space="preserve">). </w:t>
      </w:r>
      <w:r w:rsidR="00D36AC0" w:rsidRPr="00F53B88">
        <w:rPr>
          <w:i/>
        </w:rPr>
        <w:t>Climate Change 2022: Impacts, Adaptation and Vulnerability</w:t>
      </w:r>
      <w:r w:rsidRPr="00AA2CE0">
        <w:t xml:space="preserve">. Cambridge, UK: Cambridge University Press. </w:t>
      </w:r>
      <w:hyperlink r:id="rId106">
        <w:r w:rsidRPr="00F53B88">
          <w:rPr>
            <w:color w:val="0563C1"/>
            <w:u w:val="single" w:color="0563C1"/>
          </w:rPr>
          <w:t>https://www.ipcc.ch/report/ar6/wg2/</w:t>
        </w:r>
      </w:hyperlink>
    </w:p>
    <w:p w14:paraId="336A8705" w14:textId="66DC1D8E" w:rsidR="00411209" w:rsidRPr="00AA2CE0" w:rsidRDefault="00AF67C6" w:rsidP="00F53B88">
      <w:pPr>
        <w:pStyle w:val="ListParagraph"/>
        <w:numPr>
          <w:ilvl w:val="0"/>
          <w:numId w:val="14"/>
        </w:numPr>
        <w:spacing w:after="0" w:line="240" w:lineRule="auto"/>
        <w:ind w:right="0"/>
      </w:pPr>
      <w:r w:rsidRPr="00AA2CE0">
        <w:t>Islam, M.S., Kabir, M.H., Ali, M.S., Sultana, M.S. &amp; Mahasin, M. (2019). Farmers’ knowledge on climate change effects in agriculture.</w:t>
      </w:r>
      <w:r w:rsidR="00446E1A" w:rsidRPr="00AA2CE0">
        <w:t xml:space="preserve"> </w:t>
      </w:r>
      <w:r w:rsidRPr="00F53B88">
        <w:rPr>
          <w:i/>
        </w:rPr>
        <w:t>Agricultural Sciences</w:t>
      </w:r>
      <w:r w:rsidR="00446E1A" w:rsidRPr="00F53B88">
        <w:rPr>
          <w:i/>
        </w:rPr>
        <w:t xml:space="preserve"> Journal</w:t>
      </w:r>
      <w:r w:rsidRPr="00AA2CE0">
        <w:t xml:space="preserve">, 10(3): 386–394. </w:t>
      </w:r>
      <w:r w:rsidR="00446E1A" w:rsidRPr="00AA2CE0">
        <w:t xml:space="preserve"> </w:t>
      </w:r>
      <w:hyperlink r:id="rId107" w:history="1">
        <w:r w:rsidR="00446E1A" w:rsidRPr="00AA2CE0">
          <w:rPr>
            <w:rStyle w:val="Hyperlink"/>
          </w:rPr>
          <w:t>https://doi.org/10.4236/as.2019.103031</w:t>
        </w:r>
      </w:hyperlink>
      <w:r w:rsidR="00446E1A" w:rsidRPr="00AA2CE0">
        <w:t xml:space="preserve"> </w:t>
      </w:r>
    </w:p>
    <w:p w14:paraId="3381CD0D" w14:textId="6977B38E" w:rsidR="00C70C1E" w:rsidRPr="00AA2CE0" w:rsidRDefault="00AF67C6" w:rsidP="00F53B88">
      <w:pPr>
        <w:pStyle w:val="ListParagraph"/>
        <w:numPr>
          <w:ilvl w:val="0"/>
          <w:numId w:val="14"/>
        </w:numPr>
        <w:spacing w:after="0" w:line="240" w:lineRule="auto"/>
        <w:ind w:right="0"/>
      </w:pPr>
      <w:proofErr w:type="spellStart"/>
      <w:r w:rsidRPr="00AA2CE0">
        <w:t>Kalantary</w:t>
      </w:r>
      <w:proofErr w:type="spellEnd"/>
      <w:r w:rsidRPr="00AA2CE0">
        <w:t xml:space="preserve">, S. (2010). </w:t>
      </w:r>
      <w:r w:rsidRPr="00F53B88">
        <w:rPr>
          <w:i/>
        </w:rPr>
        <w:t>Climate change and food security in Zambia</w:t>
      </w:r>
      <w:r w:rsidRPr="00AA2CE0">
        <w:t xml:space="preserve"> [Unpublished thesis]. Wageningen University, Wageningen, Netherlands. Kalinda, T. (2011). Smallholder farmers’ perceptions of climate change and conservation agriculture: </w:t>
      </w:r>
      <w:r w:rsidR="000144AA" w:rsidRPr="00AA2CE0">
        <w:t>e</w:t>
      </w:r>
      <w:r w:rsidRPr="00AA2CE0">
        <w:t xml:space="preserve">vidence from Zambia. </w:t>
      </w:r>
      <w:r w:rsidRPr="00F53B88">
        <w:rPr>
          <w:i/>
          <w:iCs/>
        </w:rPr>
        <w:t>Journal of Sustainable Development</w:t>
      </w:r>
      <w:r w:rsidRPr="00AA2CE0">
        <w:t xml:space="preserve">, 4(4): 73–85. </w:t>
      </w:r>
      <w:hyperlink r:id="rId108" w:history="1">
        <w:r w:rsidR="00CB6DC7" w:rsidRPr="00AA2CE0">
          <w:rPr>
            <w:rStyle w:val="Hyperlink"/>
          </w:rPr>
          <w:t>https://doi.org/10.5539/jsd.v4n4p73</w:t>
        </w:r>
      </w:hyperlink>
      <w:hyperlink r:id="rId109">
        <w:r w:rsidRPr="00AA2CE0">
          <w:t xml:space="preserve"> </w:t>
        </w:r>
      </w:hyperlink>
    </w:p>
    <w:p w14:paraId="0817C4CD" w14:textId="7AA1EE84" w:rsidR="00C70C1E" w:rsidRPr="00AA2CE0" w:rsidRDefault="00AF67C6" w:rsidP="00F53B88">
      <w:pPr>
        <w:pStyle w:val="ListParagraph"/>
        <w:numPr>
          <w:ilvl w:val="0"/>
          <w:numId w:val="14"/>
        </w:numPr>
        <w:spacing w:after="0" w:line="240" w:lineRule="auto"/>
        <w:ind w:right="0"/>
      </w:pPr>
      <w:r w:rsidRPr="00AA2CE0">
        <w:t>Kallio, H., Pietilä, A.M., Johnson, M. &amp; Kangasniemi, M. (2016). Systematic methodological review:</w:t>
      </w:r>
      <w:r w:rsidR="00D74AF9" w:rsidRPr="00AA2CE0">
        <w:t xml:space="preserve"> </w:t>
      </w:r>
      <w:r w:rsidRPr="00AA2CE0">
        <w:t xml:space="preserve">Developing a framework for a qualitative semi-structured interview guide. </w:t>
      </w:r>
      <w:r w:rsidRPr="00F53B88">
        <w:rPr>
          <w:i/>
        </w:rPr>
        <w:t>Journal of Advanced Nursing</w:t>
      </w:r>
      <w:r w:rsidRPr="00AA2CE0">
        <w:t xml:space="preserve">, 72(12): 2954–2965. </w:t>
      </w:r>
      <w:hyperlink r:id="rId110">
        <w:r w:rsidRPr="00F53B88">
          <w:rPr>
            <w:color w:val="0563C1"/>
            <w:u w:val="single" w:color="0563C1"/>
          </w:rPr>
          <w:t>https://doi.org/10.1111/jan.13031</w:t>
        </w:r>
      </w:hyperlink>
      <w:hyperlink r:id="rId111">
        <w:r w:rsidRPr="00AA2CE0">
          <w:t xml:space="preserve"> </w:t>
        </w:r>
      </w:hyperlink>
      <w:hyperlink r:id="rId112">
        <w:r w:rsidRPr="00AA2CE0">
          <w:t xml:space="preserve"> </w:t>
        </w:r>
      </w:hyperlink>
    </w:p>
    <w:p w14:paraId="12E58F9E" w14:textId="77777777" w:rsidR="00C70C1E" w:rsidRPr="00AA2CE0" w:rsidRDefault="00AF67C6" w:rsidP="00F53B88">
      <w:pPr>
        <w:pStyle w:val="ListParagraph"/>
        <w:numPr>
          <w:ilvl w:val="0"/>
          <w:numId w:val="14"/>
        </w:numPr>
        <w:spacing w:after="0" w:line="240" w:lineRule="auto"/>
        <w:ind w:right="0"/>
      </w:pPr>
      <w:proofErr w:type="spellStart"/>
      <w:r w:rsidRPr="00AA2CE0">
        <w:lastRenderedPageBreak/>
        <w:t>Lavrakas</w:t>
      </w:r>
      <w:proofErr w:type="spellEnd"/>
      <w:r w:rsidRPr="00AA2CE0">
        <w:t xml:space="preserve">, P.J. (2008). </w:t>
      </w:r>
      <w:proofErr w:type="spellStart"/>
      <w:r w:rsidRPr="00F53B88">
        <w:rPr>
          <w:i/>
        </w:rPr>
        <w:t>Encyclopedia</w:t>
      </w:r>
      <w:proofErr w:type="spellEnd"/>
      <w:r w:rsidRPr="00F53B88">
        <w:rPr>
          <w:i/>
        </w:rPr>
        <w:t xml:space="preserve"> of survey research methods</w:t>
      </w:r>
      <w:r w:rsidRPr="00AA2CE0">
        <w:t xml:space="preserve">. Thousand Oaks, CA: SAGE Publications. </w:t>
      </w:r>
      <w:hyperlink r:id="rId113">
        <w:r w:rsidRPr="00F53B88">
          <w:rPr>
            <w:color w:val="0563C1"/>
            <w:u w:val="single" w:color="0563C1"/>
          </w:rPr>
          <w:t>https://doi.org/10.4135/9781412963947</w:t>
        </w:r>
      </w:hyperlink>
      <w:hyperlink r:id="rId114">
        <w:r w:rsidRPr="00AA2CE0">
          <w:t xml:space="preserve"> </w:t>
        </w:r>
      </w:hyperlink>
    </w:p>
    <w:p w14:paraId="0BC35B25" w14:textId="77777777" w:rsidR="00C70C1E" w:rsidRPr="00AA2CE0" w:rsidRDefault="00AF67C6" w:rsidP="00F53B88">
      <w:pPr>
        <w:pStyle w:val="ListParagraph"/>
        <w:numPr>
          <w:ilvl w:val="0"/>
          <w:numId w:val="14"/>
        </w:numPr>
        <w:spacing w:after="0" w:line="240" w:lineRule="auto"/>
        <w:ind w:right="0"/>
      </w:pPr>
      <w:r w:rsidRPr="00AA2CE0">
        <w:t>Leonard, S., Parsons, M., Olawsky, K., Kofod, F. (2013). The role of culture and traditional knowledge in climate change adaptation: Insights from East Kimberley, Australia.</w:t>
      </w:r>
      <w:r w:rsidRPr="00F53B88">
        <w:rPr>
          <w:i/>
        </w:rPr>
        <w:t xml:space="preserve"> Global Environmental Change</w:t>
      </w:r>
      <w:r w:rsidRPr="00AA2CE0">
        <w:t xml:space="preserve">, 23(3): 623–632. </w:t>
      </w:r>
      <w:hyperlink r:id="rId115">
        <w:r w:rsidRPr="00F53B88">
          <w:rPr>
            <w:color w:val="0563C1"/>
            <w:u w:val="single" w:color="0563C1"/>
          </w:rPr>
          <w:t>https://doi.org/10.1016/j.gloenvcha.2013.02.012</w:t>
        </w:r>
      </w:hyperlink>
      <w:hyperlink r:id="rId116">
        <w:r w:rsidRPr="00AA2CE0">
          <w:t xml:space="preserve"> </w:t>
        </w:r>
      </w:hyperlink>
    </w:p>
    <w:p w14:paraId="4FEF9981" w14:textId="77777777" w:rsidR="00D74AF9" w:rsidRPr="00AA2CE0" w:rsidRDefault="00AF67C6" w:rsidP="00F53B88">
      <w:pPr>
        <w:pStyle w:val="ListParagraph"/>
        <w:numPr>
          <w:ilvl w:val="0"/>
          <w:numId w:val="14"/>
        </w:numPr>
        <w:spacing w:after="0" w:line="240" w:lineRule="auto"/>
        <w:ind w:right="0"/>
      </w:pPr>
      <w:r w:rsidRPr="00AA2CE0">
        <w:t xml:space="preserve">Mapfumo, P., </w:t>
      </w:r>
      <w:proofErr w:type="spellStart"/>
      <w:r w:rsidRPr="00AA2CE0">
        <w:t>Mtambanengwe</w:t>
      </w:r>
      <w:proofErr w:type="spellEnd"/>
      <w:r w:rsidRPr="00AA2CE0">
        <w:t xml:space="preserve">, F. &amp; </w:t>
      </w:r>
      <w:proofErr w:type="spellStart"/>
      <w:r w:rsidRPr="00AA2CE0">
        <w:t>Chikowo</w:t>
      </w:r>
      <w:proofErr w:type="spellEnd"/>
      <w:r w:rsidRPr="00AA2CE0">
        <w:t xml:space="preserve">, R. (2016). </w:t>
      </w:r>
      <w:r w:rsidR="00655538" w:rsidRPr="00AA2CE0">
        <w:t>Building on indigenous knowledge to strengthen the capacity of smallholder farming communities to adapt to climate change and variability in southern Africa</w:t>
      </w:r>
      <w:r w:rsidRPr="00AA2CE0">
        <w:t xml:space="preserve">. </w:t>
      </w:r>
      <w:r w:rsidR="00655538" w:rsidRPr="00F53B88">
        <w:rPr>
          <w:i/>
        </w:rPr>
        <w:t>Climate and</w:t>
      </w:r>
      <w:r w:rsidRPr="00F53B88">
        <w:rPr>
          <w:i/>
        </w:rPr>
        <w:t xml:space="preserve"> Development</w:t>
      </w:r>
      <w:r w:rsidRPr="00AA2CE0">
        <w:t>, 117(2):</w:t>
      </w:r>
      <w:r w:rsidR="00897BE3" w:rsidRPr="00AA2CE0">
        <w:t xml:space="preserve"> </w:t>
      </w:r>
      <w:r w:rsidRPr="00AA2CE0">
        <w:t>237–248.</w:t>
      </w:r>
    </w:p>
    <w:p w14:paraId="407C835E" w14:textId="1A9C611C" w:rsidR="00C70C1E" w:rsidRPr="00AA2CE0" w:rsidRDefault="005021FC" w:rsidP="00F53B88">
      <w:pPr>
        <w:pStyle w:val="ListParagraph"/>
        <w:numPr>
          <w:ilvl w:val="2"/>
          <w:numId w:val="14"/>
        </w:numPr>
        <w:spacing w:after="0" w:line="240" w:lineRule="auto"/>
        <w:ind w:right="0"/>
      </w:pPr>
      <w:hyperlink r:id="rId117" w:history="1">
        <w:r w:rsidR="00D74AF9" w:rsidRPr="00AA2CE0">
          <w:rPr>
            <w:rStyle w:val="Hyperlink"/>
          </w:rPr>
          <w:t>https://doi.org/10.1080/17565529.2014.998604</w:t>
        </w:r>
      </w:hyperlink>
      <w:r w:rsidR="00655538" w:rsidRPr="00AA2CE0">
        <w:t xml:space="preserve">  </w:t>
      </w:r>
    </w:p>
    <w:p w14:paraId="0DA6730F" w14:textId="77777777" w:rsidR="00D74AF9" w:rsidRPr="00AA2CE0" w:rsidRDefault="00AF67C6" w:rsidP="00F53B88">
      <w:pPr>
        <w:pStyle w:val="ListParagraph"/>
        <w:numPr>
          <w:ilvl w:val="0"/>
          <w:numId w:val="14"/>
        </w:numPr>
        <w:spacing w:after="0" w:line="240" w:lineRule="auto"/>
        <w:ind w:right="0"/>
      </w:pPr>
      <w:r w:rsidRPr="00AA2CE0">
        <w:t xml:space="preserve">Marin, A. (2010). Riders under storms: Contributions of nomadic herders’ observations to </w:t>
      </w:r>
      <w:proofErr w:type="spellStart"/>
      <w:r w:rsidRPr="00AA2CE0">
        <w:t>analyzing</w:t>
      </w:r>
      <w:proofErr w:type="spellEnd"/>
      <w:r w:rsidRPr="00AA2CE0">
        <w:t xml:space="preserve"> climate change in Mongolia. </w:t>
      </w:r>
      <w:r w:rsidRPr="00F53B88">
        <w:rPr>
          <w:i/>
        </w:rPr>
        <w:t>Global Environmental Change</w:t>
      </w:r>
      <w:r w:rsidRPr="00AA2CE0">
        <w:t>, 20(1): 162–176.</w:t>
      </w:r>
    </w:p>
    <w:p w14:paraId="03C8754F" w14:textId="4FA3390B" w:rsidR="00C70C1E" w:rsidRPr="00AA2CE0" w:rsidRDefault="005021FC" w:rsidP="00F53B88">
      <w:pPr>
        <w:pStyle w:val="ListParagraph"/>
        <w:numPr>
          <w:ilvl w:val="2"/>
          <w:numId w:val="14"/>
        </w:numPr>
        <w:spacing w:after="0" w:line="240" w:lineRule="auto"/>
        <w:ind w:right="0"/>
      </w:pPr>
      <w:hyperlink r:id="rId118" w:history="1">
        <w:r w:rsidR="00D74AF9" w:rsidRPr="00AA2CE0">
          <w:rPr>
            <w:rStyle w:val="Hyperlink"/>
          </w:rPr>
          <w:t>https://doi.org/10.1016/j.gloenvcha.2009.10.004</w:t>
        </w:r>
      </w:hyperlink>
      <w:hyperlink r:id="rId119">
        <w:r w:rsidR="00AF67C6" w:rsidRPr="00AA2CE0">
          <w:t xml:space="preserve"> </w:t>
        </w:r>
      </w:hyperlink>
    </w:p>
    <w:p w14:paraId="3C49081A" w14:textId="77777777" w:rsidR="00C70C1E" w:rsidRPr="00AA2CE0" w:rsidRDefault="00AF67C6" w:rsidP="00F53B88">
      <w:pPr>
        <w:pStyle w:val="ListParagraph"/>
        <w:numPr>
          <w:ilvl w:val="0"/>
          <w:numId w:val="14"/>
        </w:numPr>
        <w:spacing w:after="0" w:line="240" w:lineRule="auto"/>
        <w:ind w:right="0"/>
      </w:pPr>
      <w:r w:rsidRPr="00AA2CE0">
        <w:t xml:space="preserve">Mashiza, T.M. (2019). </w:t>
      </w:r>
      <w:r w:rsidRPr="00F53B88">
        <w:rPr>
          <w:i/>
          <w:iCs/>
        </w:rPr>
        <w:t>Adapting to climate change: Reflections of peasant farmers in Mashonaland West Province of Zimbabwe</w:t>
      </w:r>
      <w:r w:rsidRPr="00AA2CE0">
        <w:t xml:space="preserve">. </w:t>
      </w:r>
      <w:hyperlink r:id="rId120">
        <w:r w:rsidRPr="00F53B88">
          <w:rPr>
            <w:color w:val="0563C1"/>
            <w:u w:val="single" w:color="0563C1"/>
          </w:rPr>
          <w:t>https://hdl.handle.net/10520/EJC</w:t>
        </w:r>
      </w:hyperlink>
      <w:hyperlink r:id="rId121">
        <w:r w:rsidRPr="00F53B88">
          <w:rPr>
            <w:color w:val="0563C1"/>
            <w:u w:val="single" w:color="0563C1"/>
          </w:rPr>
          <w:t>-</w:t>
        </w:r>
      </w:hyperlink>
      <w:hyperlink r:id="rId122">
        <w:r w:rsidRPr="00F53B88">
          <w:rPr>
            <w:color w:val="0563C1"/>
            <w:u w:val="single" w:color="0563C1"/>
          </w:rPr>
          <w:t>1517a90920</w:t>
        </w:r>
      </w:hyperlink>
      <w:hyperlink r:id="rId123">
        <w:r w:rsidRPr="00AA2CE0">
          <w:t xml:space="preserve"> </w:t>
        </w:r>
      </w:hyperlink>
    </w:p>
    <w:p w14:paraId="58C8B452" w14:textId="77777777" w:rsidR="00C70C1E" w:rsidRPr="00AA2CE0" w:rsidRDefault="00AF67C6" w:rsidP="00F53B88">
      <w:pPr>
        <w:pStyle w:val="ListParagraph"/>
        <w:numPr>
          <w:ilvl w:val="0"/>
          <w:numId w:val="14"/>
        </w:numPr>
        <w:spacing w:after="0" w:line="240" w:lineRule="auto"/>
        <w:ind w:right="0"/>
      </w:pPr>
      <w:r w:rsidRPr="00AA2CE0">
        <w:t xml:space="preserve">Mavhura, E., </w:t>
      </w:r>
      <w:proofErr w:type="spellStart"/>
      <w:r w:rsidRPr="00AA2CE0">
        <w:t>Manyena</w:t>
      </w:r>
      <w:proofErr w:type="spellEnd"/>
      <w:r w:rsidRPr="00AA2CE0">
        <w:t xml:space="preserve">, S.B., Collins, A.E. &amp; Manatsa, D. (2013). Indigenous knowledge, coping strategies and resilience to floods in </w:t>
      </w:r>
      <w:proofErr w:type="spellStart"/>
      <w:r w:rsidRPr="00AA2CE0">
        <w:t>Muzarabani</w:t>
      </w:r>
      <w:proofErr w:type="spellEnd"/>
      <w:r w:rsidRPr="00AA2CE0">
        <w:t xml:space="preserve">, Zimbabwe. </w:t>
      </w:r>
      <w:r w:rsidRPr="00F53B88">
        <w:rPr>
          <w:i/>
        </w:rPr>
        <w:t>International Journal of Disaster Risk Reduction</w:t>
      </w:r>
      <w:r w:rsidRPr="00AA2CE0">
        <w:t xml:space="preserve">, 5: 38–48. </w:t>
      </w:r>
      <w:hyperlink r:id="rId124">
        <w:r w:rsidRPr="00F53B88">
          <w:rPr>
            <w:color w:val="0563C1"/>
            <w:u w:val="single" w:color="0563C1"/>
          </w:rPr>
          <w:t>https://doi.org/10.1016/j.ijdrr.2013.07.001</w:t>
        </w:r>
      </w:hyperlink>
      <w:hyperlink r:id="rId125">
        <w:r w:rsidRPr="00AA2CE0">
          <w:t xml:space="preserve"> </w:t>
        </w:r>
      </w:hyperlink>
    </w:p>
    <w:p w14:paraId="5F33C32A" w14:textId="77777777" w:rsidR="00C70C1E" w:rsidRPr="00AA2CE0" w:rsidRDefault="00AF67C6" w:rsidP="00F53B88">
      <w:pPr>
        <w:pStyle w:val="ListParagraph"/>
        <w:numPr>
          <w:ilvl w:val="0"/>
          <w:numId w:val="14"/>
        </w:numPr>
        <w:spacing w:after="0" w:line="240" w:lineRule="auto"/>
        <w:ind w:right="0"/>
      </w:pPr>
      <w:r w:rsidRPr="00AA2CE0">
        <w:t xml:space="preserve">Merriam, S.B. &amp; Tisdell, E.J. (2016). </w:t>
      </w:r>
      <w:r w:rsidRPr="00F53B88">
        <w:rPr>
          <w:i/>
        </w:rPr>
        <w:t>Qualitative research: A guide to design and implementation</w:t>
      </w:r>
      <w:r w:rsidRPr="00AA2CE0">
        <w:t xml:space="preserve"> (4</w:t>
      </w:r>
      <w:r w:rsidRPr="00F53B88">
        <w:rPr>
          <w:vertAlign w:val="superscript"/>
        </w:rPr>
        <w:t>th</w:t>
      </w:r>
      <w:r w:rsidRPr="00AA2CE0">
        <w:t xml:space="preserve"> ed.). San Francisco, CA: Jossey-Bass. </w:t>
      </w:r>
    </w:p>
    <w:p w14:paraId="5FD30B4E" w14:textId="77777777" w:rsidR="00C70C1E" w:rsidRPr="00AA2CE0" w:rsidRDefault="00AF67C6" w:rsidP="00F53B88">
      <w:pPr>
        <w:pStyle w:val="ListParagraph"/>
        <w:numPr>
          <w:ilvl w:val="0"/>
          <w:numId w:val="14"/>
        </w:numPr>
        <w:spacing w:after="0" w:line="240" w:lineRule="auto"/>
        <w:ind w:right="0"/>
      </w:pPr>
      <w:r w:rsidRPr="00AA2CE0">
        <w:t xml:space="preserve">Mertz, O., Mbow, C., Reenberg, A. &amp; Diouf, A. (2009). Farmers’ perceptions of climate change and agricultural adaptation strategies in rural Sahel. </w:t>
      </w:r>
      <w:r w:rsidRPr="00F53B88">
        <w:rPr>
          <w:i/>
        </w:rPr>
        <w:t>Environmental Management</w:t>
      </w:r>
      <w:r w:rsidRPr="00AA2CE0">
        <w:t xml:space="preserve">, 43(5): 804– 816. </w:t>
      </w:r>
      <w:hyperlink r:id="rId126">
        <w:r w:rsidRPr="00F53B88">
          <w:rPr>
            <w:color w:val="0563C1"/>
            <w:u w:val="single" w:color="0563C1"/>
          </w:rPr>
          <w:t>https://doi.org/10.1007/s00267</w:t>
        </w:r>
      </w:hyperlink>
      <w:hyperlink r:id="rId127">
        <w:r w:rsidRPr="00F53B88">
          <w:rPr>
            <w:color w:val="0563C1"/>
            <w:u w:val="single" w:color="0563C1"/>
          </w:rPr>
          <w:t>-</w:t>
        </w:r>
      </w:hyperlink>
      <w:hyperlink r:id="rId128">
        <w:r w:rsidRPr="00F53B88">
          <w:rPr>
            <w:color w:val="0563C1"/>
            <w:u w:val="single" w:color="0563C1"/>
          </w:rPr>
          <w:t>008</w:t>
        </w:r>
      </w:hyperlink>
      <w:hyperlink r:id="rId129">
        <w:r w:rsidRPr="00F53B88">
          <w:rPr>
            <w:color w:val="0563C1"/>
            <w:u w:val="single" w:color="0563C1"/>
          </w:rPr>
          <w:t>-</w:t>
        </w:r>
      </w:hyperlink>
      <w:hyperlink r:id="rId130">
        <w:r w:rsidRPr="00F53B88">
          <w:rPr>
            <w:color w:val="0563C1"/>
            <w:u w:val="single" w:color="0563C1"/>
          </w:rPr>
          <w:t>9197</w:t>
        </w:r>
      </w:hyperlink>
      <w:hyperlink r:id="rId131">
        <w:r w:rsidRPr="00F53B88">
          <w:rPr>
            <w:color w:val="0563C1"/>
            <w:u w:val="single" w:color="0563C1"/>
          </w:rPr>
          <w:t>-</w:t>
        </w:r>
      </w:hyperlink>
      <w:hyperlink r:id="rId132">
        <w:r w:rsidRPr="00F53B88">
          <w:rPr>
            <w:color w:val="0563C1"/>
            <w:u w:val="single" w:color="0563C1"/>
          </w:rPr>
          <w:t>0</w:t>
        </w:r>
      </w:hyperlink>
      <w:hyperlink r:id="rId133">
        <w:r w:rsidRPr="00AA2CE0">
          <w:t xml:space="preserve"> </w:t>
        </w:r>
      </w:hyperlink>
    </w:p>
    <w:p w14:paraId="5C17E94E" w14:textId="67F871BC" w:rsidR="00C70C1E" w:rsidRPr="00AA2CE0" w:rsidRDefault="00AF67C6" w:rsidP="00F53B88">
      <w:pPr>
        <w:pStyle w:val="ListParagraph"/>
        <w:numPr>
          <w:ilvl w:val="0"/>
          <w:numId w:val="14"/>
        </w:numPr>
        <w:spacing w:after="0" w:line="240" w:lineRule="auto"/>
        <w:ind w:right="0"/>
      </w:pPr>
      <w:r w:rsidRPr="00AA2CE0">
        <w:t xml:space="preserve">Mindat.org. (2024). </w:t>
      </w:r>
      <w:r w:rsidRPr="00F53B88">
        <w:rPr>
          <w:i/>
        </w:rPr>
        <w:t>Geological features of Mbereshi</w:t>
      </w:r>
      <w:r w:rsidRPr="00AA2CE0">
        <w:t xml:space="preserve">, Zambia. Retrieved from, </w:t>
      </w:r>
      <w:hyperlink r:id="rId134" w:history="1">
        <w:r w:rsidR="00D74AF9" w:rsidRPr="00AA2CE0">
          <w:rPr>
            <w:rStyle w:val="Hyperlink"/>
          </w:rPr>
          <w:t>https://www.mindat.org/loc/Mbereshi</w:t>
        </w:r>
      </w:hyperlink>
      <w:hyperlink r:id="rId135">
        <w:r w:rsidRPr="00AA2CE0">
          <w:t xml:space="preserve"> </w:t>
        </w:r>
      </w:hyperlink>
    </w:p>
    <w:p w14:paraId="1FE6C229" w14:textId="2764ABDE" w:rsidR="00C70C1E" w:rsidRPr="00AA2CE0" w:rsidRDefault="00AF67C6" w:rsidP="00F53B88">
      <w:pPr>
        <w:pStyle w:val="ListParagraph"/>
        <w:numPr>
          <w:ilvl w:val="0"/>
          <w:numId w:val="14"/>
        </w:numPr>
        <w:spacing w:after="0" w:line="240" w:lineRule="auto"/>
        <w:ind w:right="0"/>
      </w:pPr>
      <w:r w:rsidRPr="00F53B88">
        <w:rPr>
          <w:lang w:val="nl-BE"/>
        </w:rPr>
        <w:t xml:space="preserve">Mulenga, B.P., Wineman, A. &amp; Sitko, N.J. (2017). </w:t>
      </w:r>
      <w:r w:rsidRPr="00AA2CE0">
        <w:t>Climate trends and farmers’ perceptions of climate</w:t>
      </w:r>
      <w:r w:rsidR="00D74AF9" w:rsidRPr="00AA2CE0">
        <w:t xml:space="preserve"> </w:t>
      </w:r>
      <w:r w:rsidRPr="00AA2CE0">
        <w:t xml:space="preserve">change </w:t>
      </w:r>
      <w:r w:rsidRPr="00AA2CE0">
        <w:tab/>
        <w:t>in Zambia.</w:t>
      </w:r>
      <w:r w:rsidR="00D74AF9" w:rsidRPr="00AA2CE0">
        <w:t xml:space="preserve"> </w:t>
      </w:r>
      <w:r w:rsidRPr="00F53B88">
        <w:rPr>
          <w:i/>
        </w:rPr>
        <w:t>Environmental Management</w:t>
      </w:r>
      <w:r w:rsidRPr="00AA2CE0">
        <w:t>, 59(2):</w:t>
      </w:r>
      <w:r w:rsidR="00D74AF9" w:rsidRPr="00AA2CE0">
        <w:t xml:space="preserve"> </w:t>
      </w:r>
      <w:r w:rsidRPr="00AA2CE0">
        <w:t xml:space="preserve">291–306. </w:t>
      </w:r>
      <w:hyperlink r:id="rId136">
        <w:r w:rsidRPr="00F53B88">
          <w:rPr>
            <w:color w:val="0563C1"/>
            <w:u w:val="single" w:color="0563C1"/>
          </w:rPr>
          <w:t>https://doi.org/10.1007/s00267</w:t>
        </w:r>
      </w:hyperlink>
      <w:hyperlink r:id="rId137">
        <w:r w:rsidRPr="00F53B88">
          <w:rPr>
            <w:color w:val="0563C1"/>
            <w:u w:val="single" w:color="0563C1"/>
          </w:rPr>
          <w:t>-</w:t>
        </w:r>
      </w:hyperlink>
      <w:hyperlink r:id="rId138">
        <w:r w:rsidRPr="00F53B88">
          <w:rPr>
            <w:color w:val="0563C1"/>
            <w:u w:val="single" w:color="0563C1"/>
          </w:rPr>
          <w:t>016</w:t>
        </w:r>
      </w:hyperlink>
      <w:hyperlink r:id="rId139">
        <w:r w:rsidRPr="00F53B88">
          <w:rPr>
            <w:color w:val="0563C1"/>
            <w:u w:val="single" w:color="0563C1"/>
          </w:rPr>
          <w:t>-</w:t>
        </w:r>
      </w:hyperlink>
      <w:hyperlink r:id="rId140">
        <w:r w:rsidRPr="00F53B88">
          <w:rPr>
            <w:color w:val="0563C1"/>
            <w:u w:val="single" w:color="0563C1"/>
          </w:rPr>
          <w:t>0780</w:t>
        </w:r>
      </w:hyperlink>
      <w:hyperlink r:id="rId141">
        <w:r w:rsidRPr="00F53B88">
          <w:rPr>
            <w:color w:val="0563C1"/>
            <w:u w:val="single" w:color="0563C1"/>
          </w:rPr>
          <w:t>-</w:t>
        </w:r>
      </w:hyperlink>
      <w:hyperlink r:id="rId142">
        <w:r w:rsidRPr="00F53B88">
          <w:rPr>
            <w:color w:val="0563C1"/>
            <w:u w:val="single" w:color="0563C1"/>
          </w:rPr>
          <w:t>5</w:t>
        </w:r>
      </w:hyperlink>
      <w:hyperlink r:id="rId143">
        <w:r w:rsidRPr="00AA2CE0">
          <w:t xml:space="preserve"> </w:t>
        </w:r>
      </w:hyperlink>
    </w:p>
    <w:p w14:paraId="33CBA12F" w14:textId="0D2311AF" w:rsidR="00C70C1E" w:rsidRPr="00AA2CE0" w:rsidRDefault="002B5C34" w:rsidP="00F53B88">
      <w:pPr>
        <w:pStyle w:val="ListParagraph"/>
        <w:numPr>
          <w:ilvl w:val="0"/>
          <w:numId w:val="14"/>
        </w:numPr>
        <w:spacing w:after="0" w:line="240" w:lineRule="auto"/>
        <w:ind w:right="0"/>
      </w:pPr>
      <w:r w:rsidRPr="00AA2CE0">
        <w:t xml:space="preserve">Mwansabombwe Town Council. (2024). </w:t>
      </w:r>
      <w:r w:rsidR="00AF67C6" w:rsidRPr="00F53B88">
        <w:rPr>
          <w:i/>
          <w:iCs/>
        </w:rPr>
        <w:t xml:space="preserve">Mwansabombwe </w:t>
      </w:r>
      <w:r w:rsidRPr="00F53B88">
        <w:rPr>
          <w:i/>
          <w:iCs/>
        </w:rPr>
        <w:t xml:space="preserve">District </w:t>
      </w:r>
      <w:r w:rsidR="00AF67C6" w:rsidRPr="00F53B88">
        <w:rPr>
          <w:i/>
          <w:iCs/>
        </w:rPr>
        <w:t>Integrated Development Plan</w:t>
      </w:r>
      <w:r w:rsidRPr="00F53B88">
        <w:rPr>
          <w:i/>
          <w:iCs/>
        </w:rPr>
        <w:t xml:space="preserve"> </w:t>
      </w:r>
      <w:r w:rsidR="00AF67C6" w:rsidRPr="00F53B88">
        <w:rPr>
          <w:i/>
          <w:iCs/>
        </w:rPr>
        <w:t>2024</w:t>
      </w:r>
      <w:r w:rsidRPr="00F53B88">
        <w:rPr>
          <w:i/>
          <w:iCs/>
        </w:rPr>
        <w:t>-2034</w:t>
      </w:r>
      <w:r w:rsidR="00AF67C6" w:rsidRPr="00AA2CE0">
        <w:t xml:space="preserve">. Mwansabombwe Town Council, Zambia. </w:t>
      </w:r>
    </w:p>
    <w:p w14:paraId="014E6A3B" w14:textId="0851CEA0" w:rsidR="00C70C1E" w:rsidRPr="00AA2CE0" w:rsidRDefault="00D61F18" w:rsidP="00F53B88">
      <w:pPr>
        <w:pStyle w:val="ListParagraph"/>
        <w:numPr>
          <w:ilvl w:val="0"/>
          <w:numId w:val="14"/>
        </w:numPr>
        <w:spacing w:after="0" w:line="240" w:lineRule="auto"/>
        <w:ind w:right="0"/>
      </w:pPr>
      <w:r w:rsidRPr="00AA2CE0">
        <w:t xml:space="preserve">Hosen, N. &amp; </w:t>
      </w:r>
      <w:r w:rsidR="00AF67C6" w:rsidRPr="00AA2CE0">
        <w:t xml:space="preserve">Nakamura, H. (2020). Local knowledge for global actions: </w:t>
      </w:r>
      <w:r w:rsidRPr="00AA2CE0">
        <w:t>t</w:t>
      </w:r>
      <w:r w:rsidR="00AF67C6" w:rsidRPr="00AA2CE0">
        <w:t xml:space="preserve">he role of traditional ecological </w:t>
      </w:r>
    </w:p>
    <w:p w14:paraId="384E1993" w14:textId="345E4780" w:rsidR="00C70C1E" w:rsidRPr="00AA2CE0" w:rsidRDefault="00AF67C6" w:rsidP="00F53B88">
      <w:pPr>
        <w:pStyle w:val="ListParagraph"/>
        <w:numPr>
          <w:ilvl w:val="2"/>
          <w:numId w:val="14"/>
        </w:numPr>
        <w:spacing w:after="0" w:line="240" w:lineRule="auto"/>
        <w:ind w:right="0"/>
      </w:pPr>
      <w:r w:rsidRPr="00AA2CE0">
        <w:t>knowledge in climate change adaptation.</w:t>
      </w:r>
      <w:r w:rsidR="00D61F18" w:rsidRPr="00AA2CE0">
        <w:t xml:space="preserve"> </w:t>
      </w:r>
      <w:r w:rsidR="00D61F18" w:rsidRPr="00F53B88">
        <w:rPr>
          <w:i/>
        </w:rPr>
        <w:t>Environment-Behaviour Proceedings</w:t>
      </w:r>
      <w:r w:rsidRPr="00AA2CE0">
        <w:t xml:space="preserve">, </w:t>
      </w:r>
      <w:r w:rsidRPr="00AA2CE0">
        <w:tab/>
        <w:t xml:space="preserve">5(13): </w:t>
      </w:r>
      <w:r w:rsidRPr="00AA2CE0">
        <w:tab/>
      </w:r>
      <w:r w:rsidR="00D61F18" w:rsidRPr="00AA2CE0">
        <w:t>37</w:t>
      </w:r>
      <w:r w:rsidRPr="00AA2CE0">
        <w:t>–</w:t>
      </w:r>
      <w:r w:rsidR="00D61F18" w:rsidRPr="00AA2CE0">
        <w:t>43</w:t>
      </w:r>
      <w:r w:rsidRPr="00AA2CE0">
        <w:t>.</w:t>
      </w:r>
      <w:r w:rsidR="00D61F18" w:rsidRPr="00AA2CE0">
        <w:t xml:space="preserve"> </w:t>
      </w:r>
      <w:hyperlink r:id="rId144" w:history="1">
        <w:r w:rsidR="00D61F18" w:rsidRPr="00AA2CE0">
          <w:rPr>
            <w:rStyle w:val="Hyperlink"/>
          </w:rPr>
          <w:t>https://doi.org/10.21834/e-bpj.v5i13.2059</w:t>
        </w:r>
      </w:hyperlink>
      <w:r w:rsidR="00D61F18" w:rsidRPr="00AA2CE0">
        <w:t xml:space="preserve">   </w:t>
      </w:r>
    </w:p>
    <w:p w14:paraId="7FD5670D" w14:textId="77777777" w:rsidR="00DA4E5F" w:rsidRPr="00AA2CE0" w:rsidRDefault="00AF67C6" w:rsidP="00F53B88">
      <w:pPr>
        <w:pStyle w:val="ListParagraph"/>
        <w:numPr>
          <w:ilvl w:val="0"/>
          <w:numId w:val="14"/>
        </w:numPr>
        <w:spacing w:after="0" w:line="240" w:lineRule="auto"/>
        <w:ind w:right="0"/>
      </w:pPr>
      <w:r w:rsidRPr="00AA2CE0">
        <w:t xml:space="preserve">Nakashima, D., Galloway McLean, K., Thulstrup, H.D., Ramos Castillo, A. &amp; Rubis, J.T. (2012). </w:t>
      </w:r>
      <w:r w:rsidRPr="00F53B88">
        <w:rPr>
          <w:i/>
        </w:rPr>
        <w:t xml:space="preserve">Weathering uncertainty: </w:t>
      </w:r>
      <w:r w:rsidR="00DA4E5F" w:rsidRPr="00F53B88">
        <w:rPr>
          <w:i/>
        </w:rPr>
        <w:t>t</w:t>
      </w:r>
      <w:r w:rsidRPr="00F53B88">
        <w:rPr>
          <w:i/>
        </w:rPr>
        <w:t>raditional knowledge for climate change assessment and adaptation</w:t>
      </w:r>
      <w:r w:rsidRPr="00AA2CE0">
        <w:t>. Paris, France: UNESCO and</w:t>
      </w:r>
      <w:r w:rsidR="00DA4E5F" w:rsidRPr="00AA2CE0">
        <w:t xml:space="preserve"> </w:t>
      </w:r>
      <w:r w:rsidRPr="00AA2CE0">
        <w:t>UNU-TKI.</w:t>
      </w:r>
    </w:p>
    <w:p w14:paraId="2737E277" w14:textId="2DEDBC62" w:rsidR="00C70C1E" w:rsidRPr="00AA2CE0" w:rsidRDefault="005021FC" w:rsidP="00F53B88">
      <w:pPr>
        <w:pStyle w:val="ListParagraph"/>
        <w:numPr>
          <w:ilvl w:val="2"/>
          <w:numId w:val="14"/>
        </w:numPr>
        <w:spacing w:after="0" w:line="240" w:lineRule="auto"/>
        <w:ind w:right="0"/>
      </w:pPr>
      <w:hyperlink r:id="rId145" w:history="1">
        <w:r w:rsidR="00DA4E5F" w:rsidRPr="00AA2CE0">
          <w:rPr>
            <w:rStyle w:val="Hyperlink"/>
          </w:rPr>
          <w:t>https://unesdoc.unesco.org/ark:/48223/pf0000216612</w:t>
        </w:r>
      </w:hyperlink>
      <w:hyperlink r:id="rId146">
        <w:r w:rsidR="00AF67C6" w:rsidRPr="00AA2CE0">
          <w:t xml:space="preserve"> </w:t>
        </w:r>
      </w:hyperlink>
    </w:p>
    <w:p w14:paraId="25F7A7CE" w14:textId="01C10539" w:rsidR="00C70C1E" w:rsidRPr="00AA2CE0" w:rsidRDefault="00AF67C6" w:rsidP="00F53B88">
      <w:pPr>
        <w:pStyle w:val="ListParagraph"/>
        <w:numPr>
          <w:ilvl w:val="0"/>
          <w:numId w:val="14"/>
        </w:numPr>
        <w:spacing w:after="0" w:line="240" w:lineRule="auto"/>
        <w:ind w:right="0"/>
      </w:pPr>
      <w:r w:rsidRPr="00AA2CE0">
        <w:t xml:space="preserve">National Adaption Plan. (2023). </w:t>
      </w:r>
      <w:r w:rsidRPr="00F53B88">
        <w:rPr>
          <w:i/>
        </w:rPr>
        <w:t xml:space="preserve">National </w:t>
      </w:r>
      <w:r w:rsidR="0031164F" w:rsidRPr="00F53B88">
        <w:rPr>
          <w:i/>
        </w:rPr>
        <w:t>A</w:t>
      </w:r>
      <w:r w:rsidRPr="00F53B88">
        <w:rPr>
          <w:i/>
        </w:rPr>
        <w:t xml:space="preserve">daption </w:t>
      </w:r>
      <w:r w:rsidR="0031164F" w:rsidRPr="00F53B88">
        <w:rPr>
          <w:i/>
        </w:rPr>
        <w:t>P</w:t>
      </w:r>
      <w:r w:rsidRPr="00F53B88">
        <w:rPr>
          <w:i/>
        </w:rPr>
        <w:t>lan for Zambia</w:t>
      </w:r>
      <w:r w:rsidRPr="00AA2CE0">
        <w:t xml:space="preserve">. Ministry of Green Economy and Environment. </w:t>
      </w:r>
    </w:p>
    <w:p w14:paraId="2DD02C8F" w14:textId="7C5CAD8E" w:rsidR="00C70C1E" w:rsidRPr="00AA2CE0" w:rsidRDefault="00AF67C6" w:rsidP="00F53B88">
      <w:pPr>
        <w:pStyle w:val="ListParagraph"/>
        <w:numPr>
          <w:ilvl w:val="0"/>
          <w:numId w:val="14"/>
        </w:numPr>
        <w:spacing w:after="0" w:line="240" w:lineRule="auto"/>
        <w:ind w:right="0"/>
      </w:pPr>
      <w:proofErr w:type="spellStart"/>
      <w:r w:rsidRPr="00AA2CE0">
        <w:t>Nkomwa</w:t>
      </w:r>
      <w:proofErr w:type="spellEnd"/>
      <w:r w:rsidRPr="00AA2CE0">
        <w:t xml:space="preserve">, E.C., Joshua, M.K., </w:t>
      </w:r>
      <w:proofErr w:type="spellStart"/>
      <w:r w:rsidRPr="00AA2CE0">
        <w:t>Ngongondo</w:t>
      </w:r>
      <w:proofErr w:type="spellEnd"/>
      <w:r w:rsidRPr="00AA2CE0">
        <w:t xml:space="preserve">, C., </w:t>
      </w:r>
      <w:proofErr w:type="spellStart"/>
      <w:r w:rsidRPr="00AA2CE0">
        <w:t>Monjerezi</w:t>
      </w:r>
      <w:proofErr w:type="spellEnd"/>
      <w:r w:rsidRPr="00AA2CE0">
        <w:t xml:space="preserve">, M. &amp; </w:t>
      </w:r>
      <w:proofErr w:type="spellStart"/>
      <w:r w:rsidRPr="00AA2CE0">
        <w:t>Chipungu</w:t>
      </w:r>
      <w:proofErr w:type="spellEnd"/>
      <w:r w:rsidRPr="00AA2CE0">
        <w:t xml:space="preserve">, F. (2014). </w:t>
      </w:r>
      <w:r w:rsidRPr="00F53B88">
        <w:rPr>
          <w:i/>
        </w:rPr>
        <w:t xml:space="preserve">Assessing indigenous knowledge systems and climate change adaptation strategies in agriculture: </w:t>
      </w:r>
      <w:r w:rsidR="00942934" w:rsidRPr="00F53B88">
        <w:rPr>
          <w:i/>
        </w:rPr>
        <w:t>a</w:t>
      </w:r>
      <w:r w:rsidRPr="00F53B88">
        <w:rPr>
          <w:i/>
        </w:rPr>
        <w:t xml:space="preserve"> case study of </w:t>
      </w:r>
      <w:proofErr w:type="spellStart"/>
      <w:r w:rsidRPr="00F53B88">
        <w:rPr>
          <w:i/>
        </w:rPr>
        <w:t>Chagaka</w:t>
      </w:r>
      <w:proofErr w:type="spellEnd"/>
      <w:r w:rsidRPr="00F53B88">
        <w:rPr>
          <w:i/>
        </w:rPr>
        <w:t xml:space="preserve"> </w:t>
      </w:r>
      <w:r w:rsidR="00942934" w:rsidRPr="00F53B88">
        <w:rPr>
          <w:i/>
        </w:rPr>
        <w:t>v</w:t>
      </w:r>
      <w:r w:rsidRPr="00F53B88">
        <w:rPr>
          <w:i/>
        </w:rPr>
        <w:t xml:space="preserve">illage, </w:t>
      </w:r>
      <w:proofErr w:type="spellStart"/>
      <w:r w:rsidRPr="00F53B88">
        <w:rPr>
          <w:i/>
        </w:rPr>
        <w:t>Chikhwawa</w:t>
      </w:r>
      <w:proofErr w:type="spellEnd"/>
      <w:r w:rsidRPr="00F53B88">
        <w:rPr>
          <w:i/>
        </w:rPr>
        <w:t xml:space="preserve">, </w:t>
      </w:r>
      <w:r w:rsidR="00942934" w:rsidRPr="00F53B88">
        <w:rPr>
          <w:i/>
        </w:rPr>
        <w:t>s</w:t>
      </w:r>
      <w:r w:rsidRPr="00F53B88">
        <w:rPr>
          <w:i/>
        </w:rPr>
        <w:t>outhern Malawi</w:t>
      </w:r>
      <w:r w:rsidRPr="00AA2CE0">
        <w:t xml:space="preserve">. Physics and Chemistry of the Earth, Parts A/B/C, 67–69, 164–172. </w:t>
      </w:r>
      <w:hyperlink r:id="rId147">
        <w:r w:rsidRPr="00F53B88">
          <w:rPr>
            <w:color w:val="0563C1"/>
            <w:u w:val="single" w:color="0563C1"/>
          </w:rPr>
          <w:t>https://doi.org/10.1016/j.pce.2013.10.002</w:t>
        </w:r>
      </w:hyperlink>
      <w:hyperlink r:id="rId148">
        <w:r w:rsidRPr="00AA2CE0">
          <w:t xml:space="preserve"> </w:t>
        </w:r>
      </w:hyperlink>
    </w:p>
    <w:p w14:paraId="264A4837" w14:textId="77777777" w:rsidR="00C70C1E" w:rsidRPr="00AA2CE0" w:rsidRDefault="00AF67C6" w:rsidP="00F53B88">
      <w:pPr>
        <w:pStyle w:val="ListParagraph"/>
        <w:numPr>
          <w:ilvl w:val="0"/>
          <w:numId w:val="14"/>
        </w:numPr>
        <w:spacing w:after="0" w:line="240" w:lineRule="auto"/>
        <w:ind w:right="0"/>
      </w:pPr>
      <w:r w:rsidRPr="00AA2CE0">
        <w:t xml:space="preserve">Nyanga, P.H., Johnsen, F.H., Aune, J.B. &amp; Kalinda, T.H. (2011). Smallholder farmers’ perceptions of climate change and conservation agriculture: Evidence from Zambia. </w:t>
      </w:r>
      <w:r w:rsidRPr="00F53B88">
        <w:rPr>
          <w:i/>
        </w:rPr>
        <w:t>Journal of Sustainable Development</w:t>
      </w:r>
      <w:r w:rsidRPr="00AA2CE0">
        <w:t xml:space="preserve">, 4(4): 73–85. </w:t>
      </w:r>
      <w:hyperlink r:id="rId149">
        <w:r w:rsidRPr="00F53B88">
          <w:rPr>
            <w:color w:val="0563C1"/>
            <w:u w:val="single" w:color="0563C1"/>
          </w:rPr>
          <w:t>https://doi.org/10.5539/jsd.v4n4p73</w:t>
        </w:r>
      </w:hyperlink>
      <w:hyperlink r:id="rId150">
        <w:r w:rsidRPr="00AA2CE0">
          <w:t xml:space="preserve"> </w:t>
        </w:r>
      </w:hyperlink>
    </w:p>
    <w:p w14:paraId="2D92C853" w14:textId="77777777" w:rsidR="00C70C1E" w:rsidRPr="00AA2CE0" w:rsidRDefault="00AF67C6" w:rsidP="00F53B88">
      <w:pPr>
        <w:pStyle w:val="ListParagraph"/>
        <w:numPr>
          <w:ilvl w:val="0"/>
          <w:numId w:val="14"/>
        </w:numPr>
        <w:spacing w:after="0" w:line="240" w:lineRule="auto"/>
        <w:ind w:right="0"/>
      </w:pPr>
      <w:r w:rsidRPr="00AA2CE0">
        <w:t xml:space="preserve">Palinkas, L. A., Horwitz, S. M., Green, C. A., Wisdom, J. P., Duan, N., &amp; </w:t>
      </w:r>
      <w:proofErr w:type="spellStart"/>
      <w:r w:rsidRPr="00AA2CE0">
        <w:t>Hoagwood</w:t>
      </w:r>
      <w:proofErr w:type="spellEnd"/>
      <w:r w:rsidRPr="00AA2CE0">
        <w:t xml:space="preserve">, K. (2015). Purposeful sampling for qualitative data collection and analysis in mixed method implementation research. </w:t>
      </w:r>
      <w:r w:rsidRPr="00F53B88">
        <w:rPr>
          <w:i/>
          <w:iCs/>
        </w:rPr>
        <w:t>Administration and Policy in Mental Health and Mental Health Services Research,</w:t>
      </w:r>
      <w:r w:rsidRPr="00AA2CE0">
        <w:t xml:space="preserve"> 42(5), 533–544. </w:t>
      </w:r>
      <w:hyperlink r:id="rId151">
        <w:r w:rsidRPr="00F53B88">
          <w:rPr>
            <w:color w:val="0563C1"/>
            <w:u w:val="single" w:color="0563C1"/>
          </w:rPr>
          <w:t>https://doi.org/10.1007/s10488</w:t>
        </w:r>
      </w:hyperlink>
      <w:hyperlink r:id="rId152">
        <w:r w:rsidRPr="00F53B88">
          <w:rPr>
            <w:color w:val="0563C1"/>
            <w:u w:val="single" w:color="0563C1"/>
          </w:rPr>
          <w:t>-</w:t>
        </w:r>
      </w:hyperlink>
      <w:hyperlink r:id="rId153">
        <w:r w:rsidRPr="00F53B88">
          <w:rPr>
            <w:color w:val="0563C1"/>
            <w:u w:val="single" w:color="0563C1"/>
          </w:rPr>
          <w:t>013</w:t>
        </w:r>
      </w:hyperlink>
      <w:hyperlink r:id="rId154">
        <w:r w:rsidRPr="00F53B88">
          <w:rPr>
            <w:color w:val="0563C1"/>
            <w:u w:val="single" w:color="0563C1"/>
          </w:rPr>
          <w:t>-</w:t>
        </w:r>
      </w:hyperlink>
      <w:hyperlink r:id="rId155">
        <w:r w:rsidRPr="00F53B88">
          <w:rPr>
            <w:color w:val="0563C1"/>
            <w:u w:val="single" w:color="0563C1"/>
          </w:rPr>
          <w:t>0528</w:t>
        </w:r>
      </w:hyperlink>
      <w:hyperlink r:id="rId156">
        <w:r w:rsidRPr="00F53B88">
          <w:rPr>
            <w:color w:val="0563C1"/>
            <w:u w:val="single" w:color="0563C1"/>
          </w:rPr>
          <w:t>-</w:t>
        </w:r>
      </w:hyperlink>
      <w:hyperlink r:id="rId157">
        <w:r w:rsidRPr="00F53B88">
          <w:rPr>
            <w:color w:val="0563C1"/>
            <w:u w:val="single" w:color="0563C1"/>
          </w:rPr>
          <w:t>y</w:t>
        </w:r>
      </w:hyperlink>
      <w:hyperlink r:id="rId158">
        <w:r w:rsidRPr="00AA2CE0">
          <w:t xml:space="preserve"> </w:t>
        </w:r>
      </w:hyperlink>
    </w:p>
    <w:p w14:paraId="0E11BDA3" w14:textId="574FF8C6" w:rsidR="00C70C1E" w:rsidRPr="00AA2CE0" w:rsidRDefault="00AF67C6" w:rsidP="00F53B88">
      <w:pPr>
        <w:pStyle w:val="ListParagraph"/>
        <w:numPr>
          <w:ilvl w:val="0"/>
          <w:numId w:val="14"/>
        </w:numPr>
        <w:spacing w:after="0" w:line="240" w:lineRule="auto"/>
        <w:ind w:right="0"/>
      </w:pPr>
      <w:r w:rsidRPr="00AA2CE0">
        <w:t xml:space="preserve">Patton, M.Q. (2015). </w:t>
      </w:r>
      <w:r w:rsidRPr="00F53B88">
        <w:rPr>
          <w:i/>
          <w:iCs/>
        </w:rPr>
        <w:t>Qualitative research and evaluation methods (4</w:t>
      </w:r>
      <w:r w:rsidRPr="00F53B88">
        <w:rPr>
          <w:i/>
          <w:iCs/>
          <w:vertAlign w:val="superscript"/>
        </w:rPr>
        <w:t>th</w:t>
      </w:r>
      <w:r w:rsidRPr="00F53B88">
        <w:rPr>
          <w:i/>
          <w:iCs/>
        </w:rPr>
        <w:t xml:space="preserve"> ed.).</w:t>
      </w:r>
      <w:r w:rsidRPr="00AA2CE0">
        <w:t xml:space="preserve"> Los Angeles, CA: SAGE Publications. </w:t>
      </w:r>
    </w:p>
    <w:p w14:paraId="59A4C0D9" w14:textId="018EA46A" w:rsidR="00C70C1E" w:rsidRPr="00AA2CE0" w:rsidRDefault="00AF67C6" w:rsidP="00F53B88">
      <w:pPr>
        <w:pStyle w:val="ListParagraph"/>
        <w:numPr>
          <w:ilvl w:val="0"/>
          <w:numId w:val="14"/>
        </w:numPr>
        <w:spacing w:after="0" w:line="240" w:lineRule="auto"/>
        <w:ind w:right="0"/>
      </w:pPr>
      <w:r w:rsidRPr="00AA2CE0">
        <w:t xml:space="preserve">Pettengell, C. (2010). </w:t>
      </w:r>
      <w:r w:rsidRPr="00F53B88">
        <w:rPr>
          <w:i/>
          <w:iCs/>
        </w:rPr>
        <w:t>Climate change adaptation: Enabling people living in poverty to adapt</w:t>
      </w:r>
      <w:r w:rsidRPr="00AA2CE0">
        <w:t xml:space="preserve">. Oxford, UK: Oxfam </w:t>
      </w:r>
      <w:r w:rsidRPr="00AA2CE0">
        <w:tab/>
        <w:t>International.</w:t>
      </w:r>
      <w:r w:rsidR="00942934" w:rsidRPr="00AA2CE0">
        <w:t xml:space="preserve"> </w:t>
      </w:r>
      <w:hyperlink r:id="rId159" w:history="1">
        <w:r w:rsidR="00813B88" w:rsidRPr="00F53B88">
          <w:rPr>
            <w:rStyle w:val="Hyperlink"/>
            <w:sz w:val="20"/>
            <w:szCs w:val="20"/>
          </w:rPr>
          <w:t>https://policy</w:t>
        </w:r>
      </w:hyperlink>
      <w:hyperlink r:id="rId160">
        <w:r w:rsidRPr="00F53B88">
          <w:rPr>
            <w:color w:val="0563C1"/>
            <w:sz w:val="20"/>
            <w:szCs w:val="20"/>
            <w:u w:val="single" w:color="0563C1"/>
          </w:rPr>
          <w:t>-</w:t>
        </w:r>
      </w:hyperlink>
      <w:r w:rsidRPr="00F53B88">
        <w:rPr>
          <w:color w:val="0563C1"/>
          <w:sz w:val="20"/>
          <w:szCs w:val="20"/>
          <w:u w:val="single" w:color="0563C1"/>
        </w:rPr>
        <w:t>practice.oxfam.org/resources/climate</w:t>
      </w:r>
      <w:hyperlink r:id="rId161">
        <w:r w:rsidRPr="00F53B88">
          <w:rPr>
            <w:color w:val="0563C1"/>
            <w:sz w:val="20"/>
            <w:szCs w:val="20"/>
            <w:u w:val="single" w:color="0563C1"/>
          </w:rPr>
          <w:t>change</w:t>
        </w:r>
      </w:hyperlink>
      <w:hyperlink r:id="rId162"/>
      <w:hyperlink r:id="rId163">
        <w:r w:rsidRPr="00F53B88">
          <w:rPr>
            <w:color w:val="0563C1"/>
            <w:sz w:val="20"/>
            <w:szCs w:val="20"/>
            <w:u w:val="single" w:color="0563C1"/>
          </w:rPr>
          <w:t>adaptation</w:t>
        </w:r>
      </w:hyperlink>
      <w:hyperlink r:id="rId164">
        <w:r w:rsidRPr="00F53B88">
          <w:rPr>
            <w:color w:val="0563C1"/>
            <w:sz w:val="20"/>
            <w:szCs w:val="20"/>
            <w:u w:val="single" w:color="0563C1"/>
          </w:rPr>
          <w:t>-</w:t>
        </w:r>
      </w:hyperlink>
      <w:hyperlink r:id="rId165">
        <w:r w:rsidRPr="00F53B88">
          <w:rPr>
            <w:color w:val="0563C1"/>
            <w:sz w:val="20"/>
            <w:szCs w:val="20"/>
            <w:u w:val="single" w:color="0563C1"/>
          </w:rPr>
          <w:t>enabling</w:t>
        </w:r>
      </w:hyperlink>
      <w:hyperlink r:id="rId166">
        <w:r w:rsidRPr="00F53B88">
          <w:rPr>
            <w:color w:val="0563C1"/>
            <w:sz w:val="20"/>
            <w:szCs w:val="20"/>
            <w:u w:val="single" w:color="0563C1"/>
          </w:rPr>
          <w:t>-</w:t>
        </w:r>
      </w:hyperlink>
      <w:hyperlink r:id="rId167">
        <w:r w:rsidRPr="00F53B88">
          <w:rPr>
            <w:color w:val="0563C1"/>
            <w:sz w:val="20"/>
            <w:szCs w:val="20"/>
            <w:u w:val="single" w:color="0563C1"/>
          </w:rPr>
          <w:t>people</w:t>
        </w:r>
      </w:hyperlink>
      <w:hyperlink r:id="rId168">
        <w:r w:rsidRPr="00F53B88">
          <w:rPr>
            <w:color w:val="0563C1"/>
            <w:sz w:val="20"/>
            <w:szCs w:val="20"/>
            <w:u w:val="single" w:color="0563C1"/>
          </w:rPr>
          <w:t>-</w:t>
        </w:r>
      </w:hyperlink>
      <w:hyperlink r:id="rId169">
        <w:r w:rsidRPr="00F53B88">
          <w:rPr>
            <w:color w:val="0563C1"/>
            <w:sz w:val="20"/>
            <w:szCs w:val="20"/>
            <w:u w:val="single" w:color="0563C1"/>
          </w:rPr>
          <w:t>living</w:t>
        </w:r>
      </w:hyperlink>
      <w:hyperlink r:id="rId170">
        <w:r w:rsidRPr="00F53B88">
          <w:rPr>
            <w:color w:val="0563C1"/>
            <w:sz w:val="20"/>
            <w:szCs w:val="20"/>
            <w:u w:val="single" w:color="0563C1"/>
          </w:rPr>
          <w:t>-</w:t>
        </w:r>
      </w:hyperlink>
      <w:hyperlink r:id="rId171">
        <w:r w:rsidRPr="00F53B88">
          <w:rPr>
            <w:color w:val="0563C1"/>
            <w:sz w:val="20"/>
            <w:szCs w:val="20"/>
            <w:u w:val="single" w:color="0563C1"/>
          </w:rPr>
          <w:t>in</w:t>
        </w:r>
      </w:hyperlink>
      <w:hyperlink r:id="rId172">
        <w:r w:rsidRPr="00F53B88">
          <w:rPr>
            <w:color w:val="0563C1"/>
            <w:sz w:val="20"/>
            <w:szCs w:val="20"/>
            <w:u w:val="single" w:color="0563C1"/>
          </w:rPr>
          <w:t>-</w:t>
        </w:r>
      </w:hyperlink>
      <w:hyperlink r:id="rId173">
        <w:r w:rsidRPr="00F53B88">
          <w:rPr>
            <w:color w:val="0563C1"/>
            <w:sz w:val="20"/>
            <w:szCs w:val="20"/>
            <w:u w:val="single" w:color="0563C1"/>
          </w:rPr>
          <w:t>poverty</w:t>
        </w:r>
      </w:hyperlink>
      <w:hyperlink r:id="rId174">
        <w:r w:rsidRPr="00F53B88">
          <w:rPr>
            <w:color w:val="0563C1"/>
            <w:sz w:val="20"/>
            <w:szCs w:val="20"/>
            <w:u w:val="single" w:color="0563C1"/>
          </w:rPr>
          <w:t>-</w:t>
        </w:r>
      </w:hyperlink>
      <w:hyperlink r:id="rId175">
        <w:r w:rsidRPr="00F53B88">
          <w:rPr>
            <w:color w:val="0563C1"/>
            <w:sz w:val="20"/>
            <w:szCs w:val="20"/>
            <w:u w:val="single" w:color="0563C1"/>
          </w:rPr>
          <w:t>to</w:t>
        </w:r>
      </w:hyperlink>
      <w:hyperlink r:id="rId176">
        <w:r w:rsidRPr="00F53B88">
          <w:rPr>
            <w:color w:val="0563C1"/>
            <w:sz w:val="20"/>
            <w:szCs w:val="20"/>
            <w:u w:val="single" w:color="0563C1"/>
          </w:rPr>
          <w:t>-</w:t>
        </w:r>
      </w:hyperlink>
      <w:hyperlink r:id="rId177">
        <w:r w:rsidRPr="00F53B88">
          <w:rPr>
            <w:color w:val="0563C1"/>
            <w:sz w:val="20"/>
            <w:szCs w:val="20"/>
            <w:u w:val="single" w:color="0563C1"/>
          </w:rPr>
          <w:t>adapt</w:t>
        </w:r>
      </w:hyperlink>
      <w:hyperlink r:id="rId178">
        <w:r w:rsidRPr="00F53B88">
          <w:rPr>
            <w:color w:val="0563C1"/>
            <w:sz w:val="20"/>
            <w:szCs w:val="20"/>
            <w:u w:val="single" w:color="0563C1"/>
          </w:rPr>
          <w:t>-</w:t>
        </w:r>
      </w:hyperlink>
      <w:hyperlink r:id="rId179">
        <w:r w:rsidRPr="00F53B88">
          <w:rPr>
            <w:color w:val="0563C1"/>
            <w:sz w:val="20"/>
            <w:szCs w:val="20"/>
            <w:u w:val="single" w:color="0563C1"/>
          </w:rPr>
          <w:t>112455/</w:t>
        </w:r>
      </w:hyperlink>
      <w:hyperlink r:id="rId180">
        <w:r w:rsidRPr="00F53B88">
          <w:rPr>
            <w:sz w:val="20"/>
            <w:szCs w:val="20"/>
          </w:rPr>
          <w:t xml:space="preserve"> </w:t>
        </w:r>
      </w:hyperlink>
    </w:p>
    <w:p w14:paraId="7CB8C6BF" w14:textId="23D0776C" w:rsidR="00C70C1E" w:rsidRPr="00AA2CE0" w:rsidRDefault="00AF67C6" w:rsidP="00F53B88">
      <w:pPr>
        <w:pStyle w:val="ListParagraph"/>
        <w:numPr>
          <w:ilvl w:val="0"/>
          <w:numId w:val="14"/>
        </w:numPr>
        <w:spacing w:after="0" w:line="240" w:lineRule="auto"/>
        <w:ind w:right="0"/>
      </w:pPr>
      <w:r w:rsidRPr="00AA2CE0">
        <w:lastRenderedPageBreak/>
        <w:t>Reid, W</w:t>
      </w:r>
      <w:r w:rsidR="00942934" w:rsidRPr="00AA2CE0">
        <w:t>.</w:t>
      </w:r>
      <w:r w:rsidRPr="00AA2CE0">
        <w:t>V., Berkes, F., Wilbanks, T.</w:t>
      </w:r>
      <w:r w:rsidR="007A36DD" w:rsidRPr="00AA2CE0">
        <w:t xml:space="preserve"> </w:t>
      </w:r>
      <w:r w:rsidRPr="00AA2CE0">
        <w:t>&amp; Capistrano, D. (200</w:t>
      </w:r>
      <w:r w:rsidR="00CB7C81" w:rsidRPr="00AA2CE0">
        <w:t>6</w:t>
      </w:r>
      <w:r w:rsidRPr="00AA2CE0">
        <w:t xml:space="preserve">). </w:t>
      </w:r>
      <w:r w:rsidRPr="00F53B88">
        <w:rPr>
          <w:i/>
          <w:iCs/>
        </w:rPr>
        <w:t>Bridging scales and knowledge systems: Concepts and applications in ecosystem assessment</w:t>
      </w:r>
      <w:r w:rsidRPr="00AA2CE0">
        <w:t xml:space="preserve">. Washington, DC: Island Press. </w:t>
      </w:r>
      <w:hyperlink r:id="rId181">
        <w:r w:rsidRPr="00F53B88">
          <w:rPr>
            <w:color w:val="0563C1"/>
            <w:u w:val="single" w:color="0563C1"/>
          </w:rPr>
          <w:t>https://www.unep.org/resources/book/bridging</w:t>
        </w:r>
      </w:hyperlink>
      <w:hyperlink r:id="rId182">
        <w:r w:rsidRPr="00F53B88">
          <w:rPr>
            <w:color w:val="0563C1"/>
            <w:u w:val="single" w:color="0563C1"/>
          </w:rPr>
          <w:t>-</w:t>
        </w:r>
      </w:hyperlink>
      <w:hyperlink r:id="rId183">
        <w:r w:rsidRPr="00F53B88">
          <w:rPr>
            <w:color w:val="0563C1"/>
            <w:u w:val="single" w:color="0563C1"/>
          </w:rPr>
          <w:t>scales</w:t>
        </w:r>
      </w:hyperlink>
      <w:hyperlink r:id="rId184">
        <w:r w:rsidRPr="00F53B88">
          <w:rPr>
            <w:color w:val="0563C1"/>
            <w:u w:val="single" w:color="0563C1"/>
          </w:rPr>
          <w:t>-</w:t>
        </w:r>
      </w:hyperlink>
      <w:hyperlink r:id="rId185">
        <w:r w:rsidRPr="00F53B88">
          <w:rPr>
            <w:color w:val="0563C1"/>
            <w:u w:val="single" w:color="0563C1"/>
          </w:rPr>
          <w:t>and</w:t>
        </w:r>
      </w:hyperlink>
      <w:hyperlink r:id="rId186">
        <w:r w:rsidRPr="00F53B88">
          <w:rPr>
            <w:color w:val="0563C1"/>
            <w:u w:val="single" w:color="0563C1"/>
          </w:rPr>
          <w:t>-</w:t>
        </w:r>
      </w:hyperlink>
      <w:hyperlink r:id="rId187">
        <w:r w:rsidRPr="00F53B88">
          <w:rPr>
            <w:color w:val="0563C1"/>
            <w:u w:val="single" w:color="0563C1"/>
          </w:rPr>
          <w:t>knowledge</w:t>
        </w:r>
      </w:hyperlink>
      <w:hyperlink r:id="rId188">
        <w:r w:rsidRPr="00F53B88">
          <w:rPr>
            <w:color w:val="0563C1"/>
            <w:u w:val="single" w:color="0563C1"/>
          </w:rPr>
          <w:t>-</w:t>
        </w:r>
      </w:hyperlink>
      <w:hyperlink r:id="rId189">
        <w:r w:rsidRPr="00F53B88">
          <w:rPr>
            <w:color w:val="0563C1"/>
            <w:u w:val="single" w:color="0563C1"/>
          </w:rPr>
          <w:t>systems</w:t>
        </w:r>
      </w:hyperlink>
      <w:hyperlink r:id="rId190">
        <w:r w:rsidRPr="00AA2CE0">
          <w:t xml:space="preserve"> </w:t>
        </w:r>
      </w:hyperlink>
    </w:p>
    <w:p w14:paraId="357FE9D0" w14:textId="1DFBADAA" w:rsidR="00C70C1E" w:rsidRPr="00AA2CE0" w:rsidRDefault="00AF67C6" w:rsidP="00F53B88">
      <w:pPr>
        <w:pStyle w:val="ListParagraph"/>
        <w:numPr>
          <w:ilvl w:val="0"/>
          <w:numId w:val="14"/>
        </w:numPr>
        <w:spacing w:after="0" w:line="240" w:lineRule="auto"/>
        <w:ind w:right="0"/>
      </w:pPr>
      <w:r w:rsidRPr="00AA2CE0">
        <w:t xml:space="preserve">Ross, P.T. &amp; Zaidi, N.L. (2019). </w:t>
      </w:r>
      <w:r w:rsidR="00C80F69" w:rsidRPr="00AA2CE0">
        <w:t>Limited by our limitations</w:t>
      </w:r>
      <w:r w:rsidRPr="00AA2CE0">
        <w:t xml:space="preserve">. </w:t>
      </w:r>
      <w:r w:rsidR="00C80F69" w:rsidRPr="00F53B88">
        <w:rPr>
          <w:i/>
          <w:iCs/>
        </w:rPr>
        <w:t>Perspectives on Medical Education</w:t>
      </w:r>
      <w:r w:rsidRPr="00F53B88">
        <w:rPr>
          <w:i/>
          <w:iCs/>
        </w:rPr>
        <w:t xml:space="preserve">, </w:t>
      </w:r>
      <w:r w:rsidRPr="00AA2CE0">
        <w:t xml:space="preserve">53(6), </w:t>
      </w:r>
      <w:r w:rsidRPr="00AA2CE0">
        <w:tab/>
        <w:t xml:space="preserve">566–575. </w:t>
      </w:r>
      <w:hyperlink r:id="rId191" w:history="1">
        <w:r w:rsidR="00C80F69" w:rsidRPr="00AA2CE0">
          <w:rPr>
            <w:rStyle w:val="Hyperlink"/>
          </w:rPr>
          <w:t>https://doi.or/10.1007/s40037-019-00530-x</w:t>
        </w:r>
      </w:hyperlink>
      <w:r w:rsidR="00C80F69" w:rsidRPr="00AA2CE0">
        <w:t xml:space="preserve"> </w:t>
      </w:r>
    </w:p>
    <w:p w14:paraId="073992A7" w14:textId="2310E171" w:rsidR="00C70C1E" w:rsidRPr="00AA2CE0" w:rsidRDefault="00AF67C6" w:rsidP="00F53B88">
      <w:pPr>
        <w:pStyle w:val="ListParagraph"/>
        <w:numPr>
          <w:ilvl w:val="0"/>
          <w:numId w:val="14"/>
        </w:numPr>
        <w:spacing w:after="0" w:line="240" w:lineRule="auto"/>
        <w:ind w:right="0"/>
      </w:pPr>
      <w:r w:rsidRPr="00AA2CE0">
        <w:t xml:space="preserve">Saunders, M., Lewis, P. &amp; Thornhill, A. (2016). </w:t>
      </w:r>
      <w:r w:rsidRPr="00F53B88">
        <w:rPr>
          <w:i/>
          <w:iCs/>
        </w:rPr>
        <w:t>Research methods for business students (7</w:t>
      </w:r>
      <w:r w:rsidRPr="00F53B88">
        <w:rPr>
          <w:i/>
          <w:iCs/>
          <w:vertAlign w:val="superscript"/>
        </w:rPr>
        <w:t>th</w:t>
      </w:r>
      <w:r w:rsidRPr="00F53B88">
        <w:rPr>
          <w:i/>
          <w:iCs/>
        </w:rPr>
        <w:t xml:space="preserve"> ed.). </w:t>
      </w:r>
      <w:r w:rsidRPr="00AA2CE0">
        <w:t xml:space="preserve">Harlow, UK: Pearson Education. </w:t>
      </w:r>
    </w:p>
    <w:p w14:paraId="38D3B756" w14:textId="77777777" w:rsidR="00C70C1E" w:rsidRPr="00AA2CE0" w:rsidRDefault="00AF67C6" w:rsidP="00F53B88">
      <w:pPr>
        <w:pStyle w:val="ListParagraph"/>
        <w:numPr>
          <w:ilvl w:val="0"/>
          <w:numId w:val="14"/>
        </w:numPr>
        <w:spacing w:after="0" w:line="240" w:lineRule="auto"/>
        <w:ind w:right="0"/>
      </w:pPr>
      <w:r w:rsidRPr="00AA2CE0">
        <w:t xml:space="preserve">Slegers, M. F. W. (2008). If only it would rain: Farmers’ perceptions of rainfall and drought in semi-arid </w:t>
      </w:r>
    </w:p>
    <w:p w14:paraId="2D2D2DD1" w14:textId="4256C549" w:rsidR="00C70C1E" w:rsidRPr="00F53B88" w:rsidRDefault="00AF67C6" w:rsidP="00F53B88">
      <w:pPr>
        <w:pStyle w:val="ListParagraph"/>
        <w:numPr>
          <w:ilvl w:val="2"/>
          <w:numId w:val="14"/>
        </w:numPr>
        <w:spacing w:after="0" w:line="240" w:lineRule="auto"/>
        <w:ind w:right="0"/>
        <w:rPr>
          <w:lang w:val="nl-BE"/>
        </w:rPr>
      </w:pPr>
      <w:r w:rsidRPr="00AA2CE0">
        <w:t xml:space="preserve">central </w:t>
      </w:r>
      <w:r w:rsidRPr="00AA2CE0">
        <w:tab/>
        <w:t xml:space="preserve">Tanzania. </w:t>
      </w:r>
      <w:r w:rsidRPr="00F53B88">
        <w:rPr>
          <w:i/>
          <w:iCs/>
        </w:rPr>
        <w:t>Journal of Arid Environments,</w:t>
      </w:r>
      <w:r w:rsidRPr="00AA2CE0">
        <w:t xml:space="preserve"> 72(11),</w:t>
      </w:r>
      <w:r w:rsidR="00813B88" w:rsidRPr="00AA2CE0">
        <w:t xml:space="preserve"> </w:t>
      </w:r>
      <w:r w:rsidRPr="00AA2CE0">
        <w:t xml:space="preserve">2106–2123. </w:t>
      </w:r>
      <w:hyperlink r:id="rId192" w:history="1">
        <w:r w:rsidR="00813B88" w:rsidRPr="00F53B88">
          <w:rPr>
            <w:rStyle w:val="Hyperlink"/>
            <w:lang w:val="nl-BE"/>
          </w:rPr>
          <w:t>https://doi.org/10.1016/j.jaridenv.2008.06.011</w:t>
        </w:r>
      </w:hyperlink>
      <w:hyperlink r:id="rId193">
        <w:r w:rsidRPr="00F53B88">
          <w:rPr>
            <w:lang w:val="nl-BE"/>
          </w:rPr>
          <w:t xml:space="preserve"> </w:t>
        </w:r>
      </w:hyperlink>
    </w:p>
    <w:p w14:paraId="6DB96B57" w14:textId="6A0DE584" w:rsidR="00C70C1E" w:rsidRPr="00AA2CE0" w:rsidRDefault="00AF67C6" w:rsidP="00F53B88">
      <w:pPr>
        <w:pStyle w:val="ListParagraph"/>
        <w:numPr>
          <w:ilvl w:val="0"/>
          <w:numId w:val="14"/>
        </w:numPr>
        <w:spacing w:after="0" w:line="240" w:lineRule="auto"/>
        <w:ind w:right="0"/>
      </w:pPr>
      <w:r w:rsidRPr="00F53B88">
        <w:rPr>
          <w:lang w:val="nl-BE"/>
        </w:rPr>
        <w:t xml:space="preserve">Sospeter, M. E., Mtega, W. P., &amp; Malekani, A. (2025). </w:t>
      </w:r>
      <w:r w:rsidR="00F660CE" w:rsidRPr="00AA2CE0">
        <w:t>Indigenous knowledge for climate change adaptation among Tanzanian smallholder farmers: A systematic review</w:t>
      </w:r>
      <w:r w:rsidRPr="00AA2CE0">
        <w:t xml:space="preserve">. </w:t>
      </w:r>
      <w:r w:rsidRPr="00F53B88">
        <w:rPr>
          <w:i/>
          <w:iCs/>
        </w:rPr>
        <w:tab/>
        <w:t xml:space="preserve">IFLA </w:t>
      </w:r>
      <w:r w:rsidRPr="00F53B88">
        <w:rPr>
          <w:i/>
          <w:iCs/>
        </w:rPr>
        <w:tab/>
        <w:t>Journal</w:t>
      </w:r>
      <w:r w:rsidRPr="00AA2CE0">
        <w:t xml:space="preserve">. </w:t>
      </w:r>
      <w:hyperlink r:id="rId194">
        <w:r w:rsidRPr="00F53B88">
          <w:rPr>
            <w:color w:val="0563C1"/>
            <w:u w:val="single" w:color="0563C1"/>
          </w:rPr>
          <w:t>https://doi.org/10.1177/03400352251317997</w:t>
        </w:r>
      </w:hyperlink>
      <w:hyperlink r:id="rId195">
        <w:r w:rsidRPr="00AA2CE0">
          <w:t xml:space="preserve"> </w:t>
        </w:r>
      </w:hyperlink>
    </w:p>
    <w:p w14:paraId="169A2417" w14:textId="77777777" w:rsidR="00813B88" w:rsidRPr="00AA2CE0" w:rsidRDefault="00AF67C6" w:rsidP="00F53B88">
      <w:pPr>
        <w:pStyle w:val="ListParagraph"/>
        <w:numPr>
          <w:ilvl w:val="0"/>
          <w:numId w:val="14"/>
        </w:numPr>
        <w:spacing w:after="0" w:line="240" w:lineRule="auto"/>
        <w:ind w:right="-8"/>
      </w:pPr>
      <w:r w:rsidRPr="00AA2CE0">
        <w:t xml:space="preserve">United Nations Development Programme. (2021). </w:t>
      </w:r>
      <w:r w:rsidRPr="00F53B88">
        <w:rPr>
          <w:i/>
        </w:rPr>
        <w:t>Supporting developing countries to integrate the agricultural</w:t>
      </w:r>
      <w:r w:rsidR="00813B88" w:rsidRPr="00F53B88">
        <w:rPr>
          <w:i/>
        </w:rPr>
        <w:t xml:space="preserve"> </w:t>
      </w:r>
      <w:r w:rsidRPr="00F53B88">
        <w:rPr>
          <w:i/>
        </w:rPr>
        <w:t>sectors into National Adaptation Plans: Zambia</w:t>
      </w:r>
      <w:r w:rsidRPr="00AA2CE0">
        <w:t>.</w:t>
      </w:r>
    </w:p>
    <w:p w14:paraId="2CDC495E" w14:textId="6C2A13C8" w:rsidR="00C70C1E" w:rsidRPr="00AA2CE0" w:rsidRDefault="005021FC" w:rsidP="00F53B88">
      <w:pPr>
        <w:pStyle w:val="ListParagraph"/>
        <w:numPr>
          <w:ilvl w:val="2"/>
          <w:numId w:val="14"/>
        </w:numPr>
        <w:spacing w:after="0" w:line="240" w:lineRule="auto"/>
        <w:ind w:right="-8"/>
      </w:pPr>
      <w:hyperlink r:id="rId196" w:history="1">
        <w:r w:rsidR="00813B88" w:rsidRPr="00AA2CE0">
          <w:rPr>
            <w:rStyle w:val="Hyperlink"/>
          </w:rPr>
          <w:t>https://www.adaptation</w:t>
        </w:r>
      </w:hyperlink>
      <w:hyperlink r:id="rId197"/>
      <w:hyperlink r:id="rId198">
        <w:r w:rsidR="00AF67C6" w:rsidRPr="00F53B88">
          <w:rPr>
            <w:color w:val="0563C1"/>
            <w:u w:val="single" w:color="0563C1"/>
          </w:rPr>
          <w:t>undp.org/sites/default/files/resources/zambia_nap</w:t>
        </w:r>
      </w:hyperlink>
      <w:hyperlink r:id="rId199">
        <w:r w:rsidR="00AF67C6" w:rsidRPr="00F53B88">
          <w:rPr>
            <w:color w:val="0563C1"/>
            <w:u w:val="single" w:color="0563C1"/>
          </w:rPr>
          <w:t>-</w:t>
        </w:r>
      </w:hyperlink>
      <w:hyperlink r:id="rId200">
        <w:r w:rsidR="00AF67C6" w:rsidRPr="00F53B88">
          <w:rPr>
            <w:color w:val="0563C1"/>
            <w:u w:val="single" w:color="0563C1"/>
          </w:rPr>
          <w:t>ag_case_study.pdf</w:t>
        </w:r>
      </w:hyperlink>
      <w:hyperlink r:id="rId201">
        <w:r w:rsidR="00AF67C6" w:rsidRPr="00AA2CE0">
          <w:t xml:space="preserve"> </w:t>
        </w:r>
      </w:hyperlink>
    </w:p>
    <w:p w14:paraId="19F75E36" w14:textId="0F1BA83B" w:rsidR="00C70C1E" w:rsidRPr="00AA2CE0" w:rsidRDefault="00AF67C6" w:rsidP="00F53B88">
      <w:pPr>
        <w:pStyle w:val="ListParagraph"/>
        <w:numPr>
          <w:ilvl w:val="0"/>
          <w:numId w:val="14"/>
        </w:numPr>
        <w:spacing w:after="0" w:line="240" w:lineRule="auto"/>
        <w:ind w:right="0"/>
      </w:pPr>
      <w:r w:rsidRPr="00AA2CE0">
        <w:t>Weinreich, N.K. (20</w:t>
      </w:r>
      <w:r w:rsidR="00437A0D" w:rsidRPr="00AA2CE0">
        <w:t>11</w:t>
      </w:r>
      <w:r w:rsidRPr="00AA2CE0">
        <w:t xml:space="preserve">). </w:t>
      </w:r>
      <w:r w:rsidRPr="00F53B88">
        <w:rPr>
          <w:i/>
          <w:iCs/>
        </w:rPr>
        <w:t xml:space="preserve">Hands-on social marketing: A step-by-step guide to </w:t>
      </w:r>
      <w:r w:rsidR="00437A0D" w:rsidRPr="00F53B88">
        <w:rPr>
          <w:i/>
          <w:iCs/>
        </w:rPr>
        <w:t xml:space="preserve">designing change for good </w:t>
      </w:r>
      <w:r w:rsidRPr="00F53B88">
        <w:rPr>
          <w:i/>
          <w:iCs/>
        </w:rPr>
        <w:t>(2</w:t>
      </w:r>
      <w:r w:rsidRPr="00F53B88">
        <w:rPr>
          <w:i/>
          <w:iCs/>
          <w:vertAlign w:val="superscript"/>
        </w:rPr>
        <w:t>nd</w:t>
      </w:r>
      <w:r w:rsidRPr="00F53B88">
        <w:rPr>
          <w:i/>
          <w:iCs/>
        </w:rPr>
        <w:t xml:space="preserve"> ed.)</w:t>
      </w:r>
      <w:r w:rsidRPr="00AA2CE0">
        <w:t xml:space="preserve">. Los Angeles, CA: SAGE Publications. </w:t>
      </w:r>
    </w:p>
    <w:p w14:paraId="41E606E6" w14:textId="1EE68361" w:rsidR="00C70C1E" w:rsidRPr="00AA2CE0" w:rsidRDefault="00AF67C6" w:rsidP="00F53B88">
      <w:pPr>
        <w:pStyle w:val="ListParagraph"/>
        <w:numPr>
          <w:ilvl w:val="0"/>
          <w:numId w:val="14"/>
        </w:numPr>
        <w:spacing w:after="0" w:line="240" w:lineRule="auto"/>
        <w:ind w:right="0"/>
      </w:pPr>
      <w:r w:rsidRPr="00AA2CE0">
        <w:t>Zambia Statistics Agency. (2022</w:t>
      </w:r>
      <w:r w:rsidRPr="00F53B88">
        <w:rPr>
          <w:i/>
          <w:iCs/>
        </w:rPr>
        <w:t xml:space="preserve">). 2022 census of population and housing: </w:t>
      </w:r>
      <w:r w:rsidR="00E32055" w:rsidRPr="00F53B88">
        <w:rPr>
          <w:i/>
          <w:iCs/>
        </w:rPr>
        <w:t>p</w:t>
      </w:r>
      <w:r w:rsidRPr="00F53B88">
        <w:rPr>
          <w:i/>
          <w:iCs/>
        </w:rPr>
        <w:t>reliminary report.</w:t>
      </w:r>
      <w:r w:rsidRPr="00AA2CE0">
        <w:t xml:space="preserve"> Lusaka, Zambia: Zambia Statistics Agency. </w:t>
      </w:r>
      <w:hyperlink r:id="rId202">
        <w:r w:rsidRPr="00F53B88">
          <w:rPr>
            <w:color w:val="0563C1"/>
            <w:u w:val="single" w:color="0563C1"/>
          </w:rPr>
          <w:t>https://www.zamstats.gov.zm/publications/2022</w:t>
        </w:r>
      </w:hyperlink>
      <w:hyperlink r:id="rId203"/>
      <w:hyperlink r:id="rId204">
        <w:r w:rsidRPr="00F53B88">
          <w:rPr>
            <w:color w:val="0563C1"/>
            <w:u w:val="single" w:color="0563C1"/>
          </w:rPr>
          <w:t>census</w:t>
        </w:r>
      </w:hyperlink>
      <w:hyperlink r:id="rId205">
        <w:r w:rsidRPr="00F53B88">
          <w:rPr>
            <w:color w:val="0563C1"/>
            <w:u w:val="single" w:color="0563C1"/>
          </w:rPr>
          <w:t>-</w:t>
        </w:r>
      </w:hyperlink>
      <w:hyperlink r:id="rId206">
        <w:r w:rsidRPr="00F53B88">
          <w:rPr>
            <w:color w:val="0563C1"/>
            <w:u w:val="single" w:color="0563C1"/>
          </w:rPr>
          <w:t>preliminary</w:t>
        </w:r>
      </w:hyperlink>
      <w:hyperlink r:id="rId207">
        <w:r w:rsidRPr="00F53B88">
          <w:rPr>
            <w:color w:val="0563C1"/>
            <w:u w:val="single" w:color="0563C1"/>
          </w:rPr>
          <w:t>-</w:t>
        </w:r>
      </w:hyperlink>
      <w:hyperlink r:id="rId208">
        <w:r w:rsidRPr="00F53B88">
          <w:rPr>
            <w:color w:val="0563C1"/>
            <w:u w:val="single" w:color="0563C1"/>
          </w:rPr>
          <w:t>report</w:t>
        </w:r>
      </w:hyperlink>
      <w:hyperlink r:id="rId209">
        <w:r w:rsidRPr="00AA2CE0">
          <w:t xml:space="preserve"> </w:t>
        </w:r>
      </w:hyperlink>
    </w:p>
    <w:sectPr w:rsidR="00C70C1E" w:rsidRPr="00AA2CE0" w:rsidSect="00066C41">
      <w:headerReference w:type="even" r:id="rId210"/>
      <w:headerReference w:type="default" r:id="rId211"/>
      <w:footerReference w:type="even" r:id="rId212"/>
      <w:footerReference w:type="default" r:id="rId213"/>
      <w:headerReference w:type="first" r:id="rId214"/>
      <w:footerReference w:type="first" r:id="rId215"/>
      <w:pgSz w:w="11906" w:h="16838"/>
      <w:pgMar w:top="1154" w:right="1239" w:bottom="1266" w:left="1248" w:header="720" w:footer="72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7005C" w14:textId="77777777" w:rsidR="005021FC" w:rsidRDefault="005021FC">
      <w:pPr>
        <w:spacing w:after="0" w:line="240" w:lineRule="auto"/>
      </w:pPr>
      <w:r>
        <w:separator/>
      </w:r>
    </w:p>
  </w:endnote>
  <w:endnote w:type="continuationSeparator" w:id="0">
    <w:p w14:paraId="00A91728" w14:textId="77777777" w:rsidR="005021FC" w:rsidRDefault="005021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36C004" w14:textId="77777777" w:rsidR="00C70C1E" w:rsidRDefault="00AF67C6">
    <w:pPr>
      <w:spacing w:after="0" w:line="259" w:lineRule="auto"/>
      <w:ind w:right="8"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09711BD8" w14:textId="77777777" w:rsidR="00C70C1E" w:rsidRDefault="00AF67C6">
    <w:pPr>
      <w:spacing w:after="0" w:line="259" w:lineRule="auto"/>
      <w:ind w:right="0" w:firstLine="0"/>
      <w:jc w:val="left"/>
    </w:pPr>
    <w:r>
      <w:rPr>
        <w:rFonts w:ascii="Calibri" w:eastAsia="Calibri" w:hAnsi="Calibri" w:cs="Calibri"/>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92FFE" w14:textId="77777777" w:rsidR="00C70C1E" w:rsidRDefault="00AF67C6">
    <w:pPr>
      <w:spacing w:after="0" w:line="259" w:lineRule="auto"/>
      <w:ind w:left="691" w:righ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6262FC23" w14:textId="77777777" w:rsidR="00C70C1E" w:rsidRDefault="00AF67C6">
    <w:pPr>
      <w:spacing w:after="0" w:line="259" w:lineRule="auto"/>
      <w:ind w:left="699" w:right="0" w:firstLine="0"/>
      <w:jc w:val="left"/>
    </w:pPr>
    <w:r>
      <w:rPr>
        <w:rFonts w:ascii="Calibri" w:eastAsia="Calibri" w:hAnsi="Calibri" w:cs="Calibri"/>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B5110" w14:textId="77777777" w:rsidR="00C70C1E" w:rsidRDefault="00AF67C6">
    <w:pPr>
      <w:spacing w:after="0" w:line="259" w:lineRule="auto"/>
      <w:ind w:left="691" w:right="0" w:firstLine="0"/>
      <w:jc w:val="center"/>
    </w:pPr>
    <w:r>
      <w:fldChar w:fldCharType="begin"/>
    </w:r>
    <w:r>
      <w:instrText xml:space="preserve"> PAGE   \* MERGEFORMAT </w:instrText>
    </w:r>
    <w:r>
      <w:fldChar w:fldCharType="separate"/>
    </w:r>
    <w:r w:rsidR="004A620D" w:rsidRPr="004A620D">
      <w:rPr>
        <w:rFonts w:ascii="Calibri" w:eastAsia="Calibri" w:hAnsi="Calibri" w:cs="Calibri"/>
        <w:noProof/>
      </w:rPr>
      <w:t>16</w:t>
    </w:r>
    <w:r>
      <w:rPr>
        <w:rFonts w:ascii="Calibri" w:eastAsia="Calibri" w:hAnsi="Calibri" w:cs="Calibri"/>
      </w:rPr>
      <w:fldChar w:fldCharType="end"/>
    </w:r>
    <w:r>
      <w:rPr>
        <w:rFonts w:ascii="Calibri" w:eastAsia="Calibri" w:hAnsi="Calibri" w:cs="Calibri"/>
      </w:rPr>
      <w:t xml:space="preserve"> </w:t>
    </w:r>
  </w:p>
  <w:p w14:paraId="67E1C287" w14:textId="77777777" w:rsidR="00C70C1E" w:rsidRDefault="00AF67C6">
    <w:pPr>
      <w:spacing w:after="0" w:line="259" w:lineRule="auto"/>
      <w:ind w:left="699" w:right="0" w:firstLine="0"/>
      <w:jc w:val="left"/>
    </w:pPr>
    <w:r>
      <w:rPr>
        <w:rFonts w:ascii="Calibri" w:eastAsia="Calibri" w:hAnsi="Calibri" w:cs="Calibri"/>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90EF0" w14:textId="77777777" w:rsidR="00C70C1E" w:rsidRDefault="00AF67C6">
    <w:pPr>
      <w:spacing w:after="0" w:line="259" w:lineRule="auto"/>
      <w:ind w:left="691" w:righ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7F6EF7F5" w14:textId="77777777" w:rsidR="00C70C1E" w:rsidRDefault="00AF67C6">
    <w:pPr>
      <w:spacing w:after="0" w:line="259" w:lineRule="auto"/>
      <w:ind w:left="699" w:right="0" w:firstLine="0"/>
      <w:jc w:val="left"/>
    </w:pPr>
    <w:r>
      <w:rPr>
        <w:rFonts w:ascii="Calibri" w:eastAsia="Calibri" w:hAnsi="Calibri" w:cs="Calibri"/>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A97A9" w14:textId="77777777" w:rsidR="00C70C1E" w:rsidRDefault="00AF67C6">
    <w:pPr>
      <w:spacing w:after="0" w:line="259" w:lineRule="auto"/>
      <w:ind w:right="9"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FF90490" w14:textId="77777777" w:rsidR="00C70C1E" w:rsidRDefault="00AF67C6">
    <w:pPr>
      <w:spacing w:after="0" w:line="259" w:lineRule="auto"/>
      <w:ind w:right="0" w:firstLine="0"/>
      <w:jc w:val="left"/>
    </w:pPr>
    <w:r>
      <w:rPr>
        <w:rFonts w:ascii="Calibri" w:eastAsia="Calibri" w:hAnsi="Calibri" w:cs="Calibri"/>
      </w:rP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0B58" w14:textId="77777777" w:rsidR="00C70C1E" w:rsidRDefault="00AF67C6">
    <w:pPr>
      <w:spacing w:after="0" w:line="259" w:lineRule="auto"/>
      <w:ind w:right="9" w:firstLine="0"/>
      <w:jc w:val="center"/>
    </w:pPr>
    <w:r>
      <w:fldChar w:fldCharType="begin"/>
    </w:r>
    <w:r>
      <w:instrText xml:space="preserve"> PAGE   \* MERGEFORMAT </w:instrText>
    </w:r>
    <w:r>
      <w:fldChar w:fldCharType="separate"/>
    </w:r>
    <w:r w:rsidR="004A620D" w:rsidRPr="004A620D">
      <w:rPr>
        <w:rFonts w:ascii="Calibri" w:eastAsia="Calibri" w:hAnsi="Calibri" w:cs="Calibri"/>
        <w:noProof/>
      </w:rPr>
      <w:t>20</w:t>
    </w:r>
    <w:r>
      <w:rPr>
        <w:rFonts w:ascii="Calibri" w:eastAsia="Calibri" w:hAnsi="Calibri" w:cs="Calibri"/>
      </w:rPr>
      <w:fldChar w:fldCharType="end"/>
    </w:r>
    <w:r>
      <w:rPr>
        <w:rFonts w:ascii="Calibri" w:eastAsia="Calibri" w:hAnsi="Calibri" w:cs="Calibri"/>
      </w:rPr>
      <w:t xml:space="preserve"> </w:t>
    </w:r>
  </w:p>
  <w:p w14:paraId="7C51EAD5" w14:textId="77777777" w:rsidR="00C70C1E" w:rsidRDefault="00AF67C6">
    <w:pPr>
      <w:spacing w:after="0" w:line="259" w:lineRule="auto"/>
      <w:ind w:right="0" w:firstLine="0"/>
      <w:jc w:val="left"/>
    </w:pPr>
    <w:r>
      <w:rPr>
        <w:rFonts w:ascii="Calibri" w:eastAsia="Calibri" w:hAnsi="Calibri" w:cs="Calibri"/>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9E1AD" w14:textId="77777777" w:rsidR="00C70C1E" w:rsidRDefault="00AF67C6">
    <w:pPr>
      <w:spacing w:after="0" w:line="259" w:lineRule="auto"/>
      <w:ind w:right="9"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BC37AB2" w14:textId="77777777" w:rsidR="00C70C1E" w:rsidRDefault="00AF67C6">
    <w:pPr>
      <w:spacing w:after="0" w:line="259" w:lineRule="auto"/>
      <w:ind w:right="0" w:firstLine="0"/>
      <w:jc w:val="left"/>
    </w:pPr>
    <w:r>
      <w:rPr>
        <w:rFonts w:ascii="Calibri" w:eastAsia="Calibri" w:hAnsi="Calibri" w:cs="Calibr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1D0FA" w14:textId="77777777" w:rsidR="00C70C1E" w:rsidRDefault="00AF67C6">
    <w:pPr>
      <w:spacing w:after="0" w:line="259" w:lineRule="auto"/>
      <w:ind w:right="8" w:firstLine="0"/>
      <w:jc w:val="center"/>
    </w:pPr>
    <w:r>
      <w:fldChar w:fldCharType="begin"/>
    </w:r>
    <w:r>
      <w:instrText xml:space="preserve"> PAGE   \* MERGEFORMAT </w:instrText>
    </w:r>
    <w:r>
      <w:fldChar w:fldCharType="separate"/>
    </w:r>
    <w:r w:rsidR="004A620D" w:rsidRPr="004A620D">
      <w:rPr>
        <w:rFonts w:ascii="Calibri" w:eastAsia="Calibri" w:hAnsi="Calibri" w:cs="Calibri"/>
        <w:noProof/>
      </w:rPr>
      <w:t>1</w:t>
    </w:r>
    <w:r>
      <w:rPr>
        <w:rFonts w:ascii="Calibri" w:eastAsia="Calibri" w:hAnsi="Calibri" w:cs="Calibri"/>
      </w:rPr>
      <w:fldChar w:fldCharType="end"/>
    </w:r>
    <w:r>
      <w:rPr>
        <w:rFonts w:ascii="Calibri" w:eastAsia="Calibri" w:hAnsi="Calibri" w:cs="Calibri"/>
      </w:rPr>
      <w:t xml:space="preserve"> </w:t>
    </w:r>
  </w:p>
  <w:p w14:paraId="3B6AE0E2" w14:textId="77777777" w:rsidR="00C70C1E" w:rsidRDefault="00AF67C6">
    <w:pPr>
      <w:spacing w:after="0" w:line="259" w:lineRule="auto"/>
      <w:ind w:right="0" w:firstLine="0"/>
      <w:jc w:val="left"/>
    </w:pPr>
    <w:r>
      <w:rPr>
        <w:rFonts w:ascii="Calibri" w:eastAsia="Calibri" w:hAnsi="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85F43D" w14:textId="77777777" w:rsidR="00C70C1E" w:rsidRDefault="00AF67C6">
    <w:pPr>
      <w:spacing w:after="0" w:line="259" w:lineRule="auto"/>
      <w:ind w:right="8"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FF79783" w14:textId="77777777" w:rsidR="00C70C1E" w:rsidRDefault="00AF67C6">
    <w:pPr>
      <w:spacing w:after="0" w:line="259" w:lineRule="auto"/>
      <w:ind w:right="0" w:firstLine="0"/>
      <w:jc w:val="left"/>
    </w:pPr>
    <w:r>
      <w:rPr>
        <w:rFonts w:ascii="Calibri" w:eastAsia="Calibri" w:hAnsi="Calibri" w:cs="Calibri"/>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AD62E" w14:textId="77777777" w:rsidR="00C70C1E" w:rsidRDefault="00AF67C6">
    <w:pPr>
      <w:spacing w:after="0" w:line="259" w:lineRule="auto"/>
      <w:ind w:left="693" w:righ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4D7894A" w14:textId="77777777" w:rsidR="00C70C1E" w:rsidRDefault="00AF67C6">
    <w:pPr>
      <w:spacing w:after="0" w:line="259" w:lineRule="auto"/>
      <w:ind w:left="699" w:right="0" w:firstLine="0"/>
      <w:jc w:val="left"/>
    </w:pPr>
    <w:r>
      <w:rPr>
        <w:rFonts w:ascii="Calibri" w:eastAsia="Calibri" w:hAnsi="Calibri" w:cs="Calibri"/>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EEC1FE" w14:textId="77777777" w:rsidR="00C70C1E" w:rsidRDefault="00AF67C6">
    <w:pPr>
      <w:spacing w:after="0" w:line="259" w:lineRule="auto"/>
      <w:ind w:left="693" w:right="0" w:firstLine="0"/>
      <w:jc w:val="center"/>
    </w:pPr>
    <w:r>
      <w:fldChar w:fldCharType="begin"/>
    </w:r>
    <w:r>
      <w:instrText xml:space="preserve"> PAGE   \* MERGEFORMAT </w:instrText>
    </w:r>
    <w:r>
      <w:fldChar w:fldCharType="separate"/>
    </w:r>
    <w:r w:rsidR="004A620D" w:rsidRPr="004A620D">
      <w:rPr>
        <w:rFonts w:ascii="Calibri" w:eastAsia="Calibri" w:hAnsi="Calibri" w:cs="Calibri"/>
        <w:noProof/>
      </w:rPr>
      <w:t>9</w:t>
    </w:r>
    <w:r>
      <w:rPr>
        <w:rFonts w:ascii="Calibri" w:eastAsia="Calibri" w:hAnsi="Calibri" w:cs="Calibri"/>
      </w:rPr>
      <w:fldChar w:fldCharType="end"/>
    </w:r>
    <w:r>
      <w:rPr>
        <w:rFonts w:ascii="Calibri" w:eastAsia="Calibri" w:hAnsi="Calibri" w:cs="Calibri"/>
      </w:rPr>
      <w:t xml:space="preserve"> </w:t>
    </w:r>
  </w:p>
  <w:p w14:paraId="5C9514E6" w14:textId="77777777" w:rsidR="00C70C1E" w:rsidRDefault="00AF67C6">
    <w:pPr>
      <w:spacing w:after="0" w:line="259" w:lineRule="auto"/>
      <w:ind w:left="699" w:right="0" w:firstLine="0"/>
      <w:jc w:val="left"/>
    </w:pPr>
    <w:r>
      <w:rPr>
        <w:rFonts w:ascii="Calibri" w:eastAsia="Calibri" w:hAnsi="Calibri" w:cs="Calibri"/>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6A787" w14:textId="77777777" w:rsidR="00C70C1E" w:rsidRDefault="00AF67C6">
    <w:pPr>
      <w:spacing w:after="0" w:line="259" w:lineRule="auto"/>
      <w:ind w:left="693" w:right="0"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2A65AC7A" w14:textId="77777777" w:rsidR="00C70C1E" w:rsidRDefault="00AF67C6">
    <w:pPr>
      <w:spacing w:after="0" w:line="259" w:lineRule="auto"/>
      <w:ind w:left="699" w:right="0" w:firstLine="0"/>
      <w:jc w:val="left"/>
    </w:pPr>
    <w:r>
      <w:rPr>
        <w:rFonts w:ascii="Calibri" w:eastAsia="Calibri" w:hAnsi="Calibri" w:cs="Calibri"/>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C2EDA3" w14:textId="77777777" w:rsidR="00C70C1E" w:rsidRDefault="00AF67C6">
    <w:pPr>
      <w:spacing w:after="0" w:line="259" w:lineRule="auto"/>
      <w:ind w:right="6"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11236680" w14:textId="77777777" w:rsidR="00C70C1E" w:rsidRDefault="00AF67C6">
    <w:pPr>
      <w:spacing w:after="0" w:line="259" w:lineRule="auto"/>
      <w:ind w:right="0" w:firstLine="0"/>
      <w:jc w:val="left"/>
    </w:pPr>
    <w:r>
      <w:rPr>
        <w:rFonts w:ascii="Calibri" w:eastAsia="Calibri" w:hAnsi="Calibri" w:cs="Calibri"/>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EE076" w14:textId="77777777" w:rsidR="00C70C1E" w:rsidRDefault="00AF67C6">
    <w:pPr>
      <w:spacing w:after="0" w:line="259" w:lineRule="auto"/>
      <w:ind w:right="6" w:firstLine="0"/>
      <w:jc w:val="center"/>
    </w:pPr>
    <w:r>
      <w:fldChar w:fldCharType="begin"/>
    </w:r>
    <w:r>
      <w:instrText xml:space="preserve"> PAGE   \* MERGEFORMAT </w:instrText>
    </w:r>
    <w:r>
      <w:fldChar w:fldCharType="separate"/>
    </w:r>
    <w:r w:rsidR="004A620D" w:rsidRPr="004A620D">
      <w:rPr>
        <w:rFonts w:ascii="Calibri" w:eastAsia="Calibri" w:hAnsi="Calibri" w:cs="Calibri"/>
        <w:noProof/>
      </w:rPr>
      <w:t>15</w:t>
    </w:r>
    <w:r>
      <w:rPr>
        <w:rFonts w:ascii="Calibri" w:eastAsia="Calibri" w:hAnsi="Calibri" w:cs="Calibri"/>
      </w:rPr>
      <w:fldChar w:fldCharType="end"/>
    </w:r>
    <w:r>
      <w:rPr>
        <w:rFonts w:ascii="Calibri" w:eastAsia="Calibri" w:hAnsi="Calibri" w:cs="Calibri"/>
      </w:rPr>
      <w:t xml:space="preserve"> </w:t>
    </w:r>
  </w:p>
  <w:p w14:paraId="3E15FD50" w14:textId="77777777" w:rsidR="00C70C1E" w:rsidRDefault="00AF67C6">
    <w:pPr>
      <w:spacing w:after="0" w:line="259" w:lineRule="auto"/>
      <w:ind w:right="0" w:firstLine="0"/>
      <w:jc w:val="left"/>
    </w:pPr>
    <w:r>
      <w:rPr>
        <w:rFonts w:ascii="Calibri" w:eastAsia="Calibri" w:hAnsi="Calibri" w:cs="Calibri"/>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4A3EB" w14:textId="77777777" w:rsidR="00C70C1E" w:rsidRDefault="00AF67C6">
    <w:pPr>
      <w:spacing w:after="0" w:line="259" w:lineRule="auto"/>
      <w:ind w:right="6" w:firstLine="0"/>
      <w:jc w:val="center"/>
    </w:pPr>
    <w:r>
      <w:fldChar w:fldCharType="begin"/>
    </w:r>
    <w:r>
      <w:instrText xml:space="preserve"> PAGE   \* MERGEFORMAT </w:instrText>
    </w:r>
    <w:r>
      <w:fldChar w:fldCharType="separate"/>
    </w:r>
    <w:r>
      <w:rPr>
        <w:rFonts w:ascii="Calibri" w:eastAsia="Calibri" w:hAnsi="Calibri" w:cs="Calibri"/>
      </w:rPr>
      <w:t>1</w:t>
    </w:r>
    <w:r>
      <w:rPr>
        <w:rFonts w:ascii="Calibri" w:eastAsia="Calibri" w:hAnsi="Calibri" w:cs="Calibri"/>
      </w:rPr>
      <w:fldChar w:fldCharType="end"/>
    </w:r>
    <w:r>
      <w:rPr>
        <w:rFonts w:ascii="Calibri" w:eastAsia="Calibri" w:hAnsi="Calibri" w:cs="Calibri"/>
      </w:rPr>
      <w:t xml:space="preserve"> </w:t>
    </w:r>
  </w:p>
  <w:p w14:paraId="7E9156E4" w14:textId="77777777" w:rsidR="00C70C1E" w:rsidRDefault="00AF67C6">
    <w:pPr>
      <w:spacing w:after="0" w:line="259" w:lineRule="auto"/>
      <w:ind w:right="0" w:firstLine="0"/>
      <w:jc w:val="left"/>
    </w:pPr>
    <w:r>
      <w:rPr>
        <w:rFonts w:ascii="Calibri" w:eastAsia="Calibri" w:hAnsi="Calibri" w:cs="Calibr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27674" w14:textId="77777777" w:rsidR="005021FC" w:rsidRDefault="005021FC">
      <w:pPr>
        <w:spacing w:after="0" w:line="240" w:lineRule="auto"/>
      </w:pPr>
      <w:r>
        <w:separator/>
      </w:r>
    </w:p>
  </w:footnote>
  <w:footnote w:type="continuationSeparator" w:id="0">
    <w:p w14:paraId="45E84FF5" w14:textId="77777777" w:rsidR="005021FC" w:rsidRDefault="005021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6B37E" w14:textId="07151EDC" w:rsidR="008B092A" w:rsidRDefault="005021FC">
    <w:pPr>
      <w:pStyle w:val="Header"/>
    </w:pPr>
    <w:r>
      <w:rPr>
        <w:noProof/>
      </w:rPr>
      <w:pict w14:anchorId="0D0154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44" o:spid="_x0000_s2050" type="#_x0000_t136" style="position:absolute;left:0;text-align:left;margin-left:0;margin-top:0;width:596.6pt;height:67.3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26B53" w14:textId="3455713F" w:rsidR="008B092A" w:rsidRDefault="005021FC">
    <w:pPr>
      <w:pStyle w:val="Header"/>
    </w:pPr>
    <w:r>
      <w:rPr>
        <w:noProof/>
      </w:rPr>
      <w:pict w14:anchorId="1C318F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53" o:spid="_x0000_s2059" type="#_x0000_t136" style="position:absolute;left:0;text-align:left;margin-left:0;margin-top:0;width:596.6pt;height:67.3pt;rotation:315;z-index:-25163673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3A87E" w14:textId="0911C449" w:rsidR="008B092A" w:rsidRDefault="005021FC">
    <w:pPr>
      <w:pStyle w:val="Header"/>
    </w:pPr>
    <w:r>
      <w:rPr>
        <w:noProof/>
      </w:rPr>
      <w:pict w14:anchorId="6D1CE8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54" o:spid="_x0000_s2060" type="#_x0000_t136" style="position:absolute;left:0;text-align:left;margin-left:0;margin-top:0;width:596.6pt;height:67.3pt;rotation:315;z-index:-25163468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F5274" w14:textId="36A5D97C" w:rsidR="008B092A" w:rsidRDefault="005021FC">
    <w:pPr>
      <w:pStyle w:val="Header"/>
    </w:pPr>
    <w:r>
      <w:rPr>
        <w:noProof/>
      </w:rPr>
      <w:pict w14:anchorId="1249DC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52" o:spid="_x0000_s2058" type="#_x0000_t136" style="position:absolute;left:0;text-align:left;margin-left:0;margin-top:0;width:596.6pt;height:67.3pt;rotation:315;z-index:-25163878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C0CB1" w14:textId="0A9F9721" w:rsidR="008B092A" w:rsidRDefault="005021FC">
    <w:pPr>
      <w:pStyle w:val="Header"/>
    </w:pPr>
    <w:r>
      <w:rPr>
        <w:noProof/>
      </w:rPr>
      <w:pict w14:anchorId="41F90E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56" o:spid="_x0000_s2062" type="#_x0000_t136" style="position:absolute;left:0;text-align:left;margin-left:0;margin-top:0;width:596.6pt;height:67.3pt;rotation:315;z-index:-2516305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7FB56" w14:textId="727983AA" w:rsidR="008B092A" w:rsidRDefault="005021FC">
    <w:pPr>
      <w:pStyle w:val="Header"/>
    </w:pPr>
    <w:r>
      <w:rPr>
        <w:noProof/>
      </w:rPr>
      <w:pict w14:anchorId="6C5E2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57" o:spid="_x0000_s2063" type="#_x0000_t136" style="position:absolute;left:0;text-align:left;margin-left:0;margin-top:0;width:596.6pt;height:67.3pt;rotation:315;z-index:-25162854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3D054D" w14:textId="02E05CEB" w:rsidR="008B092A" w:rsidRDefault="005021FC">
    <w:pPr>
      <w:pStyle w:val="Header"/>
    </w:pPr>
    <w:r>
      <w:rPr>
        <w:noProof/>
      </w:rPr>
      <w:pict w14:anchorId="1B7F6F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55" o:spid="_x0000_s2061" type="#_x0000_t136" style="position:absolute;left:0;text-align:left;margin-left:0;margin-top:0;width:596.6pt;height:67.3pt;rotation:315;z-index:-2516326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A395B" w14:textId="7064A489" w:rsidR="008B092A" w:rsidRDefault="005021FC">
    <w:pPr>
      <w:pStyle w:val="Header"/>
    </w:pPr>
    <w:r>
      <w:rPr>
        <w:noProof/>
      </w:rPr>
      <w:pict w14:anchorId="2E4A3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45" o:spid="_x0000_s2051" type="#_x0000_t136" style="position:absolute;left:0;text-align:left;margin-left:0;margin-top:0;width:596.6pt;height:67.3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0187D" w14:textId="47E37599" w:rsidR="008B092A" w:rsidRDefault="005021FC">
    <w:pPr>
      <w:pStyle w:val="Header"/>
    </w:pPr>
    <w:r>
      <w:rPr>
        <w:noProof/>
      </w:rPr>
      <w:pict w14:anchorId="3B585C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43" o:spid="_x0000_s2049" type="#_x0000_t136" style="position:absolute;left:0;text-align:left;margin-left:0;margin-top:0;width:596.6pt;height:67.3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4CB2ED" w14:textId="0B8484B4" w:rsidR="008B092A" w:rsidRDefault="005021FC">
    <w:pPr>
      <w:pStyle w:val="Header"/>
    </w:pPr>
    <w:r>
      <w:rPr>
        <w:noProof/>
      </w:rPr>
      <w:pict w14:anchorId="45E55F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47" o:spid="_x0000_s2053" type="#_x0000_t136" style="position:absolute;left:0;text-align:left;margin-left:0;margin-top:0;width:596.6pt;height:67.3pt;rotation:315;z-index:-251649024;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77EEA" w14:textId="0948F00D" w:rsidR="008B092A" w:rsidRDefault="005021FC">
    <w:pPr>
      <w:pStyle w:val="Header"/>
    </w:pPr>
    <w:r>
      <w:rPr>
        <w:noProof/>
      </w:rPr>
      <w:pict w14:anchorId="25DF7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48" o:spid="_x0000_s2054" type="#_x0000_t136" style="position:absolute;left:0;text-align:left;margin-left:0;margin-top:0;width:596.6pt;height:67.3pt;rotation:315;z-index:-25164697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1B75DC" w14:textId="2813F9F1" w:rsidR="008B092A" w:rsidRDefault="005021FC">
    <w:pPr>
      <w:pStyle w:val="Header"/>
    </w:pPr>
    <w:r>
      <w:rPr>
        <w:noProof/>
      </w:rPr>
      <w:pict w14:anchorId="41EFD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46" o:spid="_x0000_s2052" type="#_x0000_t136" style="position:absolute;left:0;text-align:left;margin-left:0;margin-top:0;width:596.6pt;height:67.3pt;rotation:315;z-index:-25165107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3791" w14:textId="18854F8D" w:rsidR="008B092A" w:rsidRDefault="005021FC">
    <w:pPr>
      <w:pStyle w:val="Header"/>
    </w:pPr>
    <w:r>
      <w:rPr>
        <w:noProof/>
      </w:rPr>
      <w:pict w14:anchorId="2C4CC7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50" o:spid="_x0000_s2056" type="#_x0000_t136" style="position:absolute;left:0;text-align:left;margin-left:0;margin-top:0;width:596.6pt;height:67.3pt;rotation:315;z-index:-25164288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3EC3" w14:textId="2B68C444" w:rsidR="008B092A" w:rsidRDefault="005021FC">
    <w:pPr>
      <w:pStyle w:val="Header"/>
    </w:pPr>
    <w:r>
      <w:rPr>
        <w:noProof/>
      </w:rPr>
      <w:pict w14:anchorId="6C2D92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51" o:spid="_x0000_s2057" type="#_x0000_t136" style="position:absolute;left:0;text-align:left;margin-left:0;margin-top:0;width:596.6pt;height:67.3pt;rotation:315;z-index:-25164083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33856" w14:textId="4BA5A45D" w:rsidR="008B092A" w:rsidRDefault="005021FC">
    <w:pPr>
      <w:pStyle w:val="Header"/>
    </w:pPr>
    <w:r>
      <w:rPr>
        <w:noProof/>
      </w:rPr>
      <w:pict w14:anchorId="5EB7C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830349" o:spid="_x0000_s2055" type="#_x0000_t136" style="position:absolute;left:0;text-align:left;margin-left:0;margin-top:0;width:596.6pt;height:67.3pt;rotation:315;z-index:-25164492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80EBD"/>
    <w:multiLevelType w:val="multilevel"/>
    <w:tmpl w:val="E89AF09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164655"/>
    <w:multiLevelType w:val="multilevel"/>
    <w:tmpl w:val="733C27FA"/>
    <w:lvl w:ilvl="0">
      <w:start w:val="1"/>
      <w:numFmt w:val="decimal"/>
      <w:lvlText w:val="%1.0"/>
      <w:lvlJc w:val="left"/>
      <w:pPr>
        <w:ind w:left="357" w:hanging="372"/>
      </w:pPr>
      <w:rPr>
        <w:rFonts w:hint="default"/>
        <w:sz w:val="24"/>
      </w:rPr>
    </w:lvl>
    <w:lvl w:ilvl="1">
      <w:start w:val="1"/>
      <w:numFmt w:val="decimal"/>
      <w:lvlText w:val="%1.%2"/>
      <w:lvlJc w:val="left"/>
      <w:pPr>
        <w:ind w:left="1077" w:hanging="372"/>
      </w:pPr>
      <w:rPr>
        <w:rFonts w:hint="default"/>
        <w:sz w:val="24"/>
      </w:rPr>
    </w:lvl>
    <w:lvl w:ilvl="2">
      <w:start w:val="1"/>
      <w:numFmt w:val="decimal"/>
      <w:lvlText w:val="%1.%2.%3"/>
      <w:lvlJc w:val="left"/>
      <w:pPr>
        <w:ind w:left="2145" w:hanging="720"/>
      </w:pPr>
      <w:rPr>
        <w:rFonts w:hint="default"/>
        <w:sz w:val="24"/>
      </w:rPr>
    </w:lvl>
    <w:lvl w:ilvl="3">
      <w:start w:val="1"/>
      <w:numFmt w:val="decimal"/>
      <w:lvlText w:val="%1.%2.%3.%4"/>
      <w:lvlJc w:val="left"/>
      <w:pPr>
        <w:ind w:left="2865" w:hanging="720"/>
      </w:pPr>
      <w:rPr>
        <w:rFonts w:hint="default"/>
        <w:sz w:val="24"/>
      </w:rPr>
    </w:lvl>
    <w:lvl w:ilvl="4">
      <w:start w:val="1"/>
      <w:numFmt w:val="decimal"/>
      <w:lvlText w:val="%1.%2.%3.%4.%5"/>
      <w:lvlJc w:val="left"/>
      <w:pPr>
        <w:ind w:left="3945" w:hanging="1080"/>
      </w:pPr>
      <w:rPr>
        <w:rFonts w:hint="default"/>
        <w:sz w:val="24"/>
      </w:rPr>
    </w:lvl>
    <w:lvl w:ilvl="5">
      <w:start w:val="1"/>
      <w:numFmt w:val="decimal"/>
      <w:lvlText w:val="%1.%2.%3.%4.%5.%6"/>
      <w:lvlJc w:val="left"/>
      <w:pPr>
        <w:ind w:left="4665" w:hanging="1080"/>
      </w:pPr>
      <w:rPr>
        <w:rFonts w:hint="default"/>
        <w:sz w:val="24"/>
      </w:rPr>
    </w:lvl>
    <w:lvl w:ilvl="6">
      <w:start w:val="1"/>
      <w:numFmt w:val="decimal"/>
      <w:lvlText w:val="%1.%2.%3.%4.%5.%6.%7"/>
      <w:lvlJc w:val="left"/>
      <w:pPr>
        <w:ind w:left="5745" w:hanging="1440"/>
      </w:pPr>
      <w:rPr>
        <w:rFonts w:hint="default"/>
        <w:sz w:val="24"/>
      </w:rPr>
    </w:lvl>
    <w:lvl w:ilvl="7">
      <w:start w:val="1"/>
      <w:numFmt w:val="decimal"/>
      <w:lvlText w:val="%1.%2.%3.%4.%5.%6.%7.%8"/>
      <w:lvlJc w:val="left"/>
      <w:pPr>
        <w:ind w:left="6465" w:hanging="1440"/>
      </w:pPr>
      <w:rPr>
        <w:rFonts w:hint="default"/>
        <w:sz w:val="24"/>
      </w:rPr>
    </w:lvl>
    <w:lvl w:ilvl="8">
      <w:start w:val="1"/>
      <w:numFmt w:val="decimal"/>
      <w:lvlText w:val="%1.%2.%3.%4.%5.%6.%7.%8.%9"/>
      <w:lvlJc w:val="left"/>
      <w:pPr>
        <w:ind w:left="7185" w:hanging="1440"/>
      </w:pPr>
      <w:rPr>
        <w:rFonts w:hint="default"/>
        <w:sz w:val="24"/>
      </w:rPr>
    </w:lvl>
  </w:abstractNum>
  <w:abstractNum w:abstractNumId="2" w15:restartNumberingAfterBreak="0">
    <w:nsid w:val="0902479B"/>
    <w:multiLevelType w:val="multilevel"/>
    <w:tmpl w:val="0528147E"/>
    <w:lvl w:ilvl="0">
      <w:start w:val="1"/>
      <w:numFmt w:val="decimal"/>
      <w:lvlText w:val="%1.0"/>
      <w:lvlJc w:val="left"/>
      <w:pPr>
        <w:ind w:left="357" w:hanging="372"/>
      </w:pPr>
      <w:rPr>
        <w:rFonts w:hint="default"/>
        <w:b/>
        <w:bCs/>
        <w:sz w:val="24"/>
      </w:rPr>
    </w:lvl>
    <w:lvl w:ilvl="1">
      <w:start w:val="1"/>
      <w:numFmt w:val="decimal"/>
      <w:lvlText w:val="%1.%2"/>
      <w:lvlJc w:val="left"/>
      <w:pPr>
        <w:ind w:left="1077" w:hanging="372"/>
      </w:pPr>
      <w:rPr>
        <w:rFonts w:hint="default"/>
        <w:sz w:val="24"/>
      </w:rPr>
    </w:lvl>
    <w:lvl w:ilvl="2">
      <w:start w:val="1"/>
      <w:numFmt w:val="decimal"/>
      <w:lvlText w:val="%1.%2.%3"/>
      <w:lvlJc w:val="left"/>
      <w:pPr>
        <w:ind w:left="2145" w:hanging="720"/>
      </w:pPr>
      <w:rPr>
        <w:rFonts w:hint="default"/>
        <w:sz w:val="24"/>
      </w:rPr>
    </w:lvl>
    <w:lvl w:ilvl="3">
      <w:start w:val="1"/>
      <w:numFmt w:val="decimal"/>
      <w:lvlText w:val="%1.%2.%3.%4"/>
      <w:lvlJc w:val="left"/>
      <w:pPr>
        <w:ind w:left="2865" w:hanging="720"/>
      </w:pPr>
      <w:rPr>
        <w:rFonts w:hint="default"/>
        <w:sz w:val="24"/>
      </w:rPr>
    </w:lvl>
    <w:lvl w:ilvl="4">
      <w:start w:val="1"/>
      <w:numFmt w:val="decimal"/>
      <w:lvlText w:val="%1.%2.%3.%4.%5"/>
      <w:lvlJc w:val="left"/>
      <w:pPr>
        <w:ind w:left="3945" w:hanging="1080"/>
      </w:pPr>
      <w:rPr>
        <w:rFonts w:hint="default"/>
        <w:sz w:val="24"/>
      </w:rPr>
    </w:lvl>
    <w:lvl w:ilvl="5">
      <w:start w:val="1"/>
      <w:numFmt w:val="decimal"/>
      <w:lvlText w:val="%1.%2.%3.%4.%5.%6"/>
      <w:lvlJc w:val="left"/>
      <w:pPr>
        <w:ind w:left="4665" w:hanging="1080"/>
      </w:pPr>
      <w:rPr>
        <w:rFonts w:hint="default"/>
        <w:sz w:val="24"/>
      </w:rPr>
    </w:lvl>
    <w:lvl w:ilvl="6">
      <w:start w:val="1"/>
      <w:numFmt w:val="decimal"/>
      <w:lvlText w:val="%1.%2.%3.%4.%5.%6.%7"/>
      <w:lvlJc w:val="left"/>
      <w:pPr>
        <w:ind w:left="5745" w:hanging="1440"/>
      </w:pPr>
      <w:rPr>
        <w:rFonts w:hint="default"/>
        <w:sz w:val="24"/>
      </w:rPr>
    </w:lvl>
    <w:lvl w:ilvl="7">
      <w:start w:val="1"/>
      <w:numFmt w:val="decimal"/>
      <w:lvlText w:val="%1.%2.%3.%4.%5.%6.%7.%8"/>
      <w:lvlJc w:val="left"/>
      <w:pPr>
        <w:ind w:left="6465" w:hanging="1440"/>
      </w:pPr>
      <w:rPr>
        <w:rFonts w:hint="default"/>
        <w:sz w:val="24"/>
      </w:rPr>
    </w:lvl>
    <w:lvl w:ilvl="8">
      <w:start w:val="1"/>
      <w:numFmt w:val="decimal"/>
      <w:lvlText w:val="%1.%2.%3.%4.%5.%6.%7.%8.%9"/>
      <w:lvlJc w:val="left"/>
      <w:pPr>
        <w:ind w:left="7185" w:hanging="1440"/>
      </w:pPr>
      <w:rPr>
        <w:rFonts w:hint="default"/>
        <w:sz w:val="24"/>
      </w:rPr>
    </w:lvl>
  </w:abstractNum>
  <w:abstractNum w:abstractNumId="3" w15:restartNumberingAfterBreak="0">
    <w:nsid w:val="18037302"/>
    <w:multiLevelType w:val="hybridMultilevel"/>
    <w:tmpl w:val="D6AE65BC"/>
    <w:lvl w:ilvl="0" w:tplc="5908DE04">
      <w:start w:val="382"/>
      <w:numFmt w:val="decimal"/>
      <w:lvlText w:val="%1"/>
      <w:lvlJc w:val="left"/>
      <w:pPr>
        <w:ind w:left="2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D807B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009AA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4CEB9D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F4FB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1844D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3E06B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9621EF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838859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D102D1C"/>
    <w:multiLevelType w:val="hybridMultilevel"/>
    <w:tmpl w:val="87A0A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442047"/>
    <w:multiLevelType w:val="multilevel"/>
    <w:tmpl w:val="AD9A90A2"/>
    <w:lvl w:ilvl="0">
      <w:start w:val="9"/>
      <w:numFmt w:val="decimal"/>
      <w:lvlText w:val="%1.0"/>
      <w:lvlJc w:val="left"/>
      <w:pPr>
        <w:ind w:left="720"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6" w15:restartNumberingAfterBreak="0">
    <w:nsid w:val="4170317B"/>
    <w:multiLevelType w:val="hybridMultilevel"/>
    <w:tmpl w:val="C032BED6"/>
    <w:lvl w:ilvl="0" w:tplc="E5B293D6">
      <w:start w:val="37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BA4AE2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0FC080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7E4F73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432413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06225E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3E406C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2AA1B2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EB2CE5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D2D424D"/>
    <w:multiLevelType w:val="multilevel"/>
    <w:tmpl w:val="8D986D9A"/>
    <w:lvl w:ilvl="0">
      <w:start w:val="1"/>
      <w:numFmt w:val="decimal"/>
      <w:lvlText w:val="%1.0"/>
      <w:lvlJc w:val="left"/>
      <w:pPr>
        <w:ind w:left="357" w:hanging="372"/>
      </w:pPr>
      <w:rPr>
        <w:rFonts w:hint="default"/>
        <w:b/>
        <w:bCs/>
        <w:sz w:val="24"/>
      </w:rPr>
    </w:lvl>
    <w:lvl w:ilvl="1">
      <w:start w:val="1"/>
      <w:numFmt w:val="decimal"/>
      <w:lvlText w:val="%1.%2"/>
      <w:lvlJc w:val="left"/>
      <w:pPr>
        <w:ind w:left="1077" w:hanging="372"/>
      </w:pPr>
      <w:rPr>
        <w:rFonts w:hint="default"/>
        <w:b/>
        <w:bCs/>
        <w:sz w:val="24"/>
      </w:rPr>
    </w:lvl>
    <w:lvl w:ilvl="2">
      <w:start w:val="1"/>
      <w:numFmt w:val="decimal"/>
      <w:lvlText w:val="%1.%2.%3"/>
      <w:lvlJc w:val="left"/>
      <w:pPr>
        <w:ind w:left="2145" w:hanging="720"/>
      </w:pPr>
      <w:rPr>
        <w:rFonts w:hint="default"/>
        <w:sz w:val="24"/>
      </w:rPr>
    </w:lvl>
    <w:lvl w:ilvl="3">
      <w:start w:val="1"/>
      <w:numFmt w:val="decimal"/>
      <w:lvlText w:val="%1.%2.%3.%4"/>
      <w:lvlJc w:val="left"/>
      <w:pPr>
        <w:ind w:left="2865" w:hanging="720"/>
      </w:pPr>
      <w:rPr>
        <w:rFonts w:hint="default"/>
        <w:sz w:val="24"/>
      </w:rPr>
    </w:lvl>
    <w:lvl w:ilvl="4">
      <w:start w:val="1"/>
      <w:numFmt w:val="decimal"/>
      <w:lvlText w:val="%1.%2.%3.%4.%5"/>
      <w:lvlJc w:val="left"/>
      <w:pPr>
        <w:ind w:left="3945" w:hanging="1080"/>
      </w:pPr>
      <w:rPr>
        <w:rFonts w:hint="default"/>
        <w:sz w:val="24"/>
      </w:rPr>
    </w:lvl>
    <w:lvl w:ilvl="5">
      <w:start w:val="1"/>
      <w:numFmt w:val="decimal"/>
      <w:lvlText w:val="%1.%2.%3.%4.%5.%6"/>
      <w:lvlJc w:val="left"/>
      <w:pPr>
        <w:ind w:left="4665" w:hanging="1080"/>
      </w:pPr>
      <w:rPr>
        <w:rFonts w:hint="default"/>
        <w:sz w:val="24"/>
      </w:rPr>
    </w:lvl>
    <w:lvl w:ilvl="6">
      <w:start w:val="1"/>
      <w:numFmt w:val="decimal"/>
      <w:lvlText w:val="%1.%2.%3.%4.%5.%6.%7"/>
      <w:lvlJc w:val="left"/>
      <w:pPr>
        <w:ind w:left="5745" w:hanging="1440"/>
      </w:pPr>
      <w:rPr>
        <w:rFonts w:hint="default"/>
        <w:sz w:val="24"/>
      </w:rPr>
    </w:lvl>
    <w:lvl w:ilvl="7">
      <w:start w:val="1"/>
      <w:numFmt w:val="decimal"/>
      <w:lvlText w:val="%1.%2.%3.%4.%5.%6.%7.%8"/>
      <w:lvlJc w:val="left"/>
      <w:pPr>
        <w:ind w:left="6465" w:hanging="1440"/>
      </w:pPr>
      <w:rPr>
        <w:rFonts w:hint="default"/>
        <w:sz w:val="24"/>
      </w:rPr>
    </w:lvl>
    <w:lvl w:ilvl="8">
      <w:start w:val="1"/>
      <w:numFmt w:val="decimal"/>
      <w:lvlText w:val="%1.%2.%3.%4.%5.%6.%7.%8.%9"/>
      <w:lvlJc w:val="left"/>
      <w:pPr>
        <w:ind w:left="7185" w:hanging="1440"/>
      </w:pPr>
      <w:rPr>
        <w:rFonts w:hint="default"/>
        <w:sz w:val="24"/>
      </w:rPr>
    </w:lvl>
  </w:abstractNum>
  <w:abstractNum w:abstractNumId="8" w15:restartNumberingAfterBreak="0">
    <w:nsid w:val="63BD1747"/>
    <w:multiLevelType w:val="multilevel"/>
    <w:tmpl w:val="BF1AC9CA"/>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9" w15:restartNumberingAfterBreak="0">
    <w:nsid w:val="699C63B2"/>
    <w:multiLevelType w:val="multilevel"/>
    <w:tmpl w:val="E996D17E"/>
    <w:lvl w:ilvl="0">
      <w:start w:val="5"/>
      <w:numFmt w:val="decimal"/>
      <w:lvlText w:val="%1.0"/>
      <w:lvlJc w:val="left"/>
      <w:pPr>
        <w:ind w:left="720" w:hanging="360"/>
      </w:pPr>
      <w:rPr>
        <w:rFonts w:hint="default"/>
        <w:sz w:val="24"/>
      </w:rPr>
    </w:lvl>
    <w:lvl w:ilvl="1">
      <w:start w:val="1"/>
      <w:numFmt w:val="decimal"/>
      <w:lvlText w:val="%1.%2"/>
      <w:lvlJc w:val="left"/>
      <w:pPr>
        <w:ind w:left="1440" w:hanging="360"/>
      </w:pPr>
      <w:rPr>
        <w:rFonts w:hint="default"/>
        <w:sz w:val="24"/>
      </w:rPr>
    </w:lvl>
    <w:lvl w:ilvl="2">
      <w:start w:val="1"/>
      <w:numFmt w:val="decimal"/>
      <w:lvlText w:val="%1.%2.%3"/>
      <w:lvlJc w:val="left"/>
      <w:pPr>
        <w:ind w:left="2520" w:hanging="720"/>
      </w:pPr>
      <w:rPr>
        <w:rFonts w:hint="default"/>
        <w:sz w:val="24"/>
      </w:rPr>
    </w:lvl>
    <w:lvl w:ilvl="3">
      <w:start w:val="1"/>
      <w:numFmt w:val="decimal"/>
      <w:lvlText w:val="%1.%2.%3.%4"/>
      <w:lvlJc w:val="left"/>
      <w:pPr>
        <w:ind w:left="3240" w:hanging="720"/>
      </w:pPr>
      <w:rPr>
        <w:rFonts w:hint="default"/>
        <w:sz w:val="24"/>
      </w:rPr>
    </w:lvl>
    <w:lvl w:ilvl="4">
      <w:start w:val="1"/>
      <w:numFmt w:val="decimal"/>
      <w:lvlText w:val="%1.%2.%3.%4.%5"/>
      <w:lvlJc w:val="left"/>
      <w:pPr>
        <w:ind w:left="4320" w:hanging="1080"/>
      </w:pPr>
      <w:rPr>
        <w:rFonts w:hint="default"/>
        <w:sz w:val="24"/>
      </w:rPr>
    </w:lvl>
    <w:lvl w:ilvl="5">
      <w:start w:val="1"/>
      <w:numFmt w:val="decimal"/>
      <w:lvlText w:val="%1.%2.%3.%4.%5.%6"/>
      <w:lvlJc w:val="left"/>
      <w:pPr>
        <w:ind w:left="5040" w:hanging="1080"/>
      </w:pPr>
      <w:rPr>
        <w:rFonts w:hint="default"/>
        <w:sz w:val="24"/>
      </w:rPr>
    </w:lvl>
    <w:lvl w:ilvl="6">
      <w:start w:val="1"/>
      <w:numFmt w:val="decimal"/>
      <w:lvlText w:val="%1.%2.%3.%4.%5.%6.%7"/>
      <w:lvlJc w:val="left"/>
      <w:pPr>
        <w:ind w:left="6120" w:hanging="1440"/>
      </w:pPr>
      <w:rPr>
        <w:rFonts w:hint="default"/>
        <w:sz w:val="24"/>
      </w:rPr>
    </w:lvl>
    <w:lvl w:ilvl="7">
      <w:start w:val="1"/>
      <w:numFmt w:val="decimal"/>
      <w:lvlText w:val="%1.%2.%3.%4.%5.%6.%7.%8"/>
      <w:lvlJc w:val="left"/>
      <w:pPr>
        <w:ind w:left="6840" w:hanging="1440"/>
      </w:pPr>
      <w:rPr>
        <w:rFonts w:hint="default"/>
        <w:sz w:val="24"/>
      </w:rPr>
    </w:lvl>
    <w:lvl w:ilvl="8">
      <w:start w:val="1"/>
      <w:numFmt w:val="decimal"/>
      <w:lvlText w:val="%1.%2.%3.%4.%5.%6.%7.%8.%9"/>
      <w:lvlJc w:val="left"/>
      <w:pPr>
        <w:ind w:left="7560" w:hanging="1440"/>
      </w:pPr>
      <w:rPr>
        <w:rFonts w:hint="default"/>
        <w:sz w:val="24"/>
      </w:rPr>
    </w:lvl>
  </w:abstractNum>
  <w:abstractNum w:abstractNumId="10" w15:restartNumberingAfterBreak="0">
    <w:nsid w:val="6BF15B6C"/>
    <w:multiLevelType w:val="multilevel"/>
    <w:tmpl w:val="733C27FA"/>
    <w:lvl w:ilvl="0">
      <w:start w:val="1"/>
      <w:numFmt w:val="decimal"/>
      <w:lvlText w:val="%1.0"/>
      <w:lvlJc w:val="left"/>
      <w:pPr>
        <w:ind w:left="357" w:hanging="372"/>
      </w:pPr>
      <w:rPr>
        <w:rFonts w:hint="default"/>
        <w:sz w:val="24"/>
      </w:rPr>
    </w:lvl>
    <w:lvl w:ilvl="1">
      <w:start w:val="1"/>
      <w:numFmt w:val="decimal"/>
      <w:lvlText w:val="%1.%2"/>
      <w:lvlJc w:val="left"/>
      <w:pPr>
        <w:ind w:left="1077" w:hanging="372"/>
      </w:pPr>
      <w:rPr>
        <w:rFonts w:hint="default"/>
        <w:sz w:val="24"/>
      </w:rPr>
    </w:lvl>
    <w:lvl w:ilvl="2">
      <w:start w:val="1"/>
      <w:numFmt w:val="decimal"/>
      <w:lvlText w:val="%1.%2.%3"/>
      <w:lvlJc w:val="left"/>
      <w:pPr>
        <w:ind w:left="2145" w:hanging="720"/>
      </w:pPr>
      <w:rPr>
        <w:rFonts w:hint="default"/>
        <w:sz w:val="24"/>
      </w:rPr>
    </w:lvl>
    <w:lvl w:ilvl="3">
      <w:start w:val="1"/>
      <w:numFmt w:val="decimal"/>
      <w:lvlText w:val="%1.%2.%3.%4"/>
      <w:lvlJc w:val="left"/>
      <w:pPr>
        <w:ind w:left="2865" w:hanging="720"/>
      </w:pPr>
      <w:rPr>
        <w:rFonts w:hint="default"/>
        <w:sz w:val="24"/>
      </w:rPr>
    </w:lvl>
    <w:lvl w:ilvl="4">
      <w:start w:val="1"/>
      <w:numFmt w:val="decimal"/>
      <w:lvlText w:val="%1.%2.%3.%4.%5"/>
      <w:lvlJc w:val="left"/>
      <w:pPr>
        <w:ind w:left="3945" w:hanging="1080"/>
      </w:pPr>
      <w:rPr>
        <w:rFonts w:hint="default"/>
        <w:sz w:val="24"/>
      </w:rPr>
    </w:lvl>
    <w:lvl w:ilvl="5">
      <w:start w:val="1"/>
      <w:numFmt w:val="decimal"/>
      <w:lvlText w:val="%1.%2.%3.%4.%5.%6"/>
      <w:lvlJc w:val="left"/>
      <w:pPr>
        <w:ind w:left="4665" w:hanging="1080"/>
      </w:pPr>
      <w:rPr>
        <w:rFonts w:hint="default"/>
        <w:sz w:val="24"/>
      </w:rPr>
    </w:lvl>
    <w:lvl w:ilvl="6">
      <w:start w:val="1"/>
      <w:numFmt w:val="decimal"/>
      <w:lvlText w:val="%1.%2.%3.%4.%5.%6.%7"/>
      <w:lvlJc w:val="left"/>
      <w:pPr>
        <w:ind w:left="5745" w:hanging="1440"/>
      </w:pPr>
      <w:rPr>
        <w:rFonts w:hint="default"/>
        <w:sz w:val="24"/>
      </w:rPr>
    </w:lvl>
    <w:lvl w:ilvl="7">
      <w:start w:val="1"/>
      <w:numFmt w:val="decimal"/>
      <w:lvlText w:val="%1.%2.%3.%4.%5.%6.%7.%8"/>
      <w:lvlJc w:val="left"/>
      <w:pPr>
        <w:ind w:left="6465" w:hanging="1440"/>
      </w:pPr>
      <w:rPr>
        <w:rFonts w:hint="default"/>
        <w:sz w:val="24"/>
      </w:rPr>
    </w:lvl>
    <w:lvl w:ilvl="8">
      <w:start w:val="1"/>
      <w:numFmt w:val="decimal"/>
      <w:lvlText w:val="%1.%2.%3.%4.%5.%6.%7.%8.%9"/>
      <w:lvlJc w:val="left"/>
      <w:pPr>
        <w:ind w:left="7185" w:hanging="1440"/>
      </w:pPr>
      <w:rPr>
        <w:rFonts w:hint="default"/>
        <w:sz w:val="24"/>
      </w:rPr>
    </w:lvl>
  </w:abstractNum>
  <w:abstractNum w:abstractNumId="11" w15:restartNumberingAfterBreak="0">
    <w:nsid w:val="77B9374F"/>
    <w:multiLevelType w:val="multilevel"/>
    <w:tmpl w:val="BF1AC9CA"/>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2" w15:restartNumberingAfterBreak="0">
    <w:nsid w:val="7C952C48"/>
    <w:multiLevelType w:val="multilevel"/>
    <w:tmpl w:val="AD9A90A2"/>
    <w:lvl w:ilvl="0">
      <w:start w:val="9"/>
      <w:numFmt w:val="decimal"/>
      <w:lvlText w:val="%1.0"/>
      <w:lvlJc w:val="left"/>
      <w:pPr>
        <w:ind w:left="720"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13" w15:restartNumberingAfterBreak="0">
    <w:nsid w:val="7F6D49EE"/>
    <w:multiLevelType w:val="multilevel"/>
    <w:tmpl w:val="AD9A90A2"/>
    <w:lvl w:ilvl="0">
      <w:start w:val="9"/>
      <w:numFmt w:val="decimal"/>
      <w:lvlText w:val="%1.0"/>
      <w:lvlJc w:val="left"/>
      <w:pPr>
        <w:ind w:left="720" w:hanging="360"/>
      </w:pPr>
      <w:rPr>
        <w:rFonts w:hint="default"/>
        <w:sz w:val="24"/>
        <w:szCs w:val="24"/>
      </w:rPr>
    </w:lvl>
    <w:lvl w:ilvl="1">
      <w:start w:val="1"/>
      <w:numFmt w:val="decimal"/>
      <w:lvlText w:val="%1.%2"/>
      <w:lvlJc w:val="left"/>
      <w:pPr>
        <w:ind w:left="144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num w:numId="1">
    <w:abstractNumId w:val="6"/>
  </w:num>
  <w:num w:numId="2">
    <w:abstractNumId w:val="3"/>
  </w:num>
  <w:num w:numId="3">
    <w:abstractNumId w:val="4"/>
  </w:num>
  <w:num w:numId="4">
    <w:abstractNumId w:val="12"/>
  </w:num>
  <w:num w:numId="5">
    <w:abstractNumId w:val="5"/>
  </w:num>
  <w:num w:numId="6">
    <w:abstractNumId w:val="13"/>
  </w:num>
  <w:num w:numId="7">
    <w:abstractNumId w:val="7"/>
  </w:num>
  <w:num w:numId="8">
    <w:abstractNumId w:val="1"/>
  </w:num>
  <w:num w:numId="9">
    <w:abstractNumId w:val="10"/>
  </w:num>
  <w:num w:numId="10">
    <w:abstractNumId w:val="2"/>
  </w:num>
  <w:num w:numId="11">
    <w:abstractNumId w:val="9"/>
  </w:num>
  <w:num w:numId="12">
    <w:abstractNumId w:val="8"/>
  </w:num>
  <w:num w:numId="13">
    <w:abstractNumId w:val="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0C1E"/>
    <w:rsid w:val="00006D5C"/>
    <w:rsid w:val="000144AA"/>
    <w:rsid w:val="000225DD"/>
    <w:rsid w:val="00026851"/>
    <w:rsid w:val="00027766"/>
    <w:rsid w:val="000308F3"/>
    <w:rsid w:val="00040687"/>
    <w:rsid w:val="000509BB"/>
    <w:rsid w:val="00051DA8"/>
    <w:rsid w:val="000556A2"/>
    <w:rsid w:val="00057E8A"/>
    <w:rsid w:val="00066C41"/>
    <w:rsid w:val="0008022D"/>
    <w:rsid w:val="00096A7D"/>
    <w:rsid w:val="000A2801"/>
    <w:rsid w:val="000B212B"/>
    <w:rsid w:val="000D78E2"/>
    <w:rsid w:val="000E3C75"/>
    <w:rsid w:val="000F1C2F"/>
    <w:rsid w:val="000F25FF"/>
    <w:rsid w:val="00101800"/>
    <w:rsid w:val="00102FEA"/>
    <w:rsid w:val="00103A97"/>
    <w:rsid w:val="00116DBB"/>
    <w:rsid w:val="001342F0"/>
    <w:rsid w:val="00141630"/>
    <w:rsid w:val="00142290"/>
    <w:rsid w:val="00150FB2"/>
    <w:rsid w:val="00153E93"/>
    <w:rsid w:val="00181FD3"/>
    <w:rsid w:val="00184430"/>
    <w:rsid w:val="00190FB5"/>
    <w:rsid w:val="001B594C"/>
    <w:rsid w:val="001B5E0B"/>
    <w:rsid w:val="001C50C0"/>
    <w:rsid w:val="001C663D"/>
    <w:rsid w:val="001E71C5"/>
    <w:rsid w:val="001F2E16"/>
    <w:rsid w:val="001F2E9F"/>
    <w:rsid w:val="00200ADE"/>
    <w:rsid w:val="00202261"/>
    <w:rsid w:val="00210414"/>
    <w:rsid w:val="00256B61"/>
    <w:rsid w:val="0027671C"/>
    <w:rsid w:val="002771BA"/>
    <w:rsid w:val="00284CDD"/>
    <w:rsid w:val="00297ECE"/>
    <w:rsid w:val="002A110A"/>
    <w:rsid w:val="002A7344"/>
    <w:rsid w:val="002B5C34"/>
    <w:rsid w:val="002E3D5F"/>
    <w:rsid w:val="0030361C"/>
    <w:rsid w:val="0031164F"/>
    <w:rsid w:val="0032233A"/>
    <w:rsid w:val="00332909"/>
    <w:rsid w:val="00347E74"/>
    <w:rsid w:val="00363701"/>
    <w:rsid w:val="003665B7"/>
    <w:rsid w:val="00377079"/>
    <w:rsid w:val="00395214"/>
    <w:rsid w:val="003A2699"/>
    <w:rsid w:val="003C203B"/>
    <w:rsid w:val="003C2E77"/>
    <w:rsid w:val="003E5E9A"/>
    <w:rsid w:val="00411209"/>
    <w:rsid w:val="004240F7"/>
    <w:rsid w:val="00430DD0"/>
    <w:rsid w:val="00437A0D"/>
    <w:rsid w:val="00446D15"/>
    <w:rsid w:val="00446E1A"/>
    <w:rsid w:val="004608D9"/>
    <w:rsid w:val="00465085"/>
    <w:rsid w:val="0047584D"/>
    <w:rsid w:val="004A620D"/>
    <w:rsid w:val="004C512A"/>
    <w:rsid w:val="004D6934"/>
    <w:rsid w:val="004E1390"/>
    <w:rsid w:val="004F05CF"/>
    <w:rsid w:val="004F2670"/>
    <w:rsid w:val="005021FC"/>
    <w:rsid w:val="00514030"/>
    <w:rsid w:val="00514CDA"/>
    <w:rsid w:val="005222A2"/>
    <w:rsid w:val="00550972"/>
    <w:rsid w:val="00553B2B"/>
    <w:rsid w:val="005865F9"/>
    <w:rsid w:val="005A56DD"/>
    <w:rsid w:val="005B170B"/>
    <w:rsid w:val="005B6B36"/>
    <w:rsid w:val="005C0D06"/>
    <w:rsid w:val="005D1BC4"/>
    <w:rsid w:val="005D4C96"/>
    <w:rsid w:val="00602253"/>
    <w:rsid w:val="00602B8F"/>
    <w:rsid w:val="006106EA"/>
    <w:rsid w:val="006161E5"/>
    <w:rsid w:val="00643E22"/>
    <w:rsid w:val="0064613C"/>
    <w:rsid w:val="006476F7"/>
    <w:rsid w:val="00655538"/>
    <w:rsid w:val="00660644"/>
    <w:rsid w:val="00662F70"/>
    <w:rsid w:val="00673630"/>
    <w:rsid w:val="00682A83"/>
    <w:rsid w:val="006845BD"/>
    <w:rsid w:val="006A78F6"/>
    <w:rsid w:val="006B605F"/>
    <w:rsid w:val="006F0385"/>
    <w:rsid w:val="006F7DCA"/>
    <w:rsid w:val="00705705"/>
    <w:rsid w:val="00705781"/>
    <w:rsid w:val="0071362D"/>
    <w:rsid w:val="007226D2"/>
    <w:rsid w:val="00751172"/>
    <w:rsid w:val="00751AB5"/>
    <w:rsid w:val="00751BD4"/>
    <w:rsid w:val="00754CAB"/>
    <w:rsid w:val="00755AE0"/>
    <w:rsid w:val="00760FBB"/>
    <w:rsid w:val="00772582"/>
    <w:rsid w:val="007A36DD"/>
    <w:rsid w:val="007B619B"/>
    <w:rsid w:val="00802D9D"/>
    <w:rsid w:val="00804027"/>
    <w:rsid w:val="00813B88"/>
    <w:rsid w:val="00815048"/>
    <w:rsid w:val="00837F88"/>
    <w:rsid w:val="0087304C"/>
    <w:rsid w:val="00875E50"/>
    <w:rsid w:val="00885BF5"/>
    <w:rsid w:val="00897BE3"/>
    <w:rsid w:val="008A16CC"/>
    <w:rsid w:val="008B092A"/>
    <w:rsid w:val="008C52A0"/>
    <w:rsid w:val="008D54D3"/>
    <w:rsid w:val="008D6AF8"/>
    <w:rsid w:val="009004C2"/>
    <w:rsid w:val="0090291B"/>
    <w:rsid w:val="00920EEF"/>
    <w:rsid w:val="00925F21"/>
    <w:rsid w:val="00932CE4"/>
    <w:rsid w:val="00934FDD"/>
    <w:rsid w:val="00940B6D"/>
    <w:rsid w:val="00941242"/>
    <w:rsid w:val="0094198B"/>
    <w:rsid w:val="00942934"/>
    <w:rsid w:val="00956AA0"/>
    <w:rsid w:val="00970269"/>
    <w:rsid w:val="00971481"/>
    <w:rsid w:val="009760B2"/>
    <w:rsid w:val="009B694B"/>
    <w:rsid w:val="00A026D8"/>
    <w:rsid w:val="00A3444B"/>
    <w:rsid w:val="00A51426"/>
    <w:rsid w:val="00A57F0F"/>
    <w:rsid w:val="00A62219"/>
    <w:rsid w:val="00A72432"/>
    <w:rsid w:val="00A76A7D"/>
    <w:rsid w:val="00A91EB8"/>
    <w:rsid w:val="00A94BEA"/>
    <w:rsid w:val="00A95BF6"/>
    <w:rsid w:val="00AA2CE0"/>
    <w:rsid w:val="00AC084B"/>
    <w:rsid w:val="00AE6AA3"/>
    <w:rsid w:val="00AF2C04"/>
    <w:rsid w:val="00AF67C6"/>
    <w:rsid w:val="00B07886"/>
    <w:rsid w:val="00B20699"/>
    <w:rsid w:val="00B36B39"/>
    <w:rsid w:val="00B51E51"/>
    <w:rsid w:val="00B52B7E"/>
    <w:rsid w:val="00B62EE4"/>
    <w:rsid w:val="00B70A89"/>
    <w:rsid w:val="00B8005D"/>
    <w:rsid w:val="00B962A5"/>
    <w:rsid w:val="00BB3148"/>
    <w:rsid w:val="00BD70EC"/>
    <w:rsid w:val="00BE3EC3"/>
    <w:rsid w:val="00BE42C4"/>
    <w:rsid w:val="00BF1164"/>
    <w:rsid w:val="00C00E2E"/>
    <w:rsid w:val="00C35134"/>
    <w:rsid w:val="00C51976"/>
    <w:rsid w:val="00C54027"/>
    <w:rsid w:val="00C569DD"/>
    <w:rsid w:val="00C64924"/>
    <w:rsid w:val="00C70C1E"/>
    <w:rsid w:val="00C77B98"/>
    <w:rsid w:val="00C80F69"/>
    <w:rsid w:val="00C947F5"/>
    <w:rsid w:val="00C95B59"/>
    <w:rsid w:val="00C965AB"/>
    <w:rsid w:val="00CA0E69"/>
    <w:rsid w:val="00CB39C7"/>
    <w:rsid w:val="00CB6DC7"/>
    <w:rsid w:val="00CB7C81"/>
    <w:rsid w:val="00CD6986"/>
    <w:rsid w:val="00CF4B72"/>
    <w:rsid w:val="00D01272"/>
    <w:rsid w:val="00D021F8"/>
    <w:rsid w:val="00D11600"/>
    <w:rsid w:val="00D34E57"/>
    <w:rsid w:val="00D36AC0"/>
    <w:rsid w:val="00D51059"/>
    <w:rsid w:val="00D61F18"/>
    <w:rsid w:val="00D74AF9"/>
    <w:rsid w:val="00D859C6"/>
    <w:rsid w:val="00D90CD9"/>
    <w:rsid w:val="00D932C5"/>
    <w:rsid w:val="00D965D9"/>
    <w:rsid w:val="00D97409"/>
    <w:rsid w:val="00DA2444"/>
    <w:rsid w:val="00DA4E5F"/>
    <w:rsid w:val="00DA7B2E"/>
    <w:rsid w:val="00DB077F"/>
    <w:rsid w:val="00DC52F2"/>
    <w:rsid w:val="00DD56C9"/>
    <w:rsid w:val="00DE2807"/>
    <w:rsid w:val="00E27E1F"/>
    <w:rsid w:val="00E305C6"/>
    <w:rsid w:val="00E3166D"/>
    <w:rsid w:val="00E32055"/>
    <w:rsid w:val="00E4062B"/>
    <w:rsid w:val="00E43316"/>
    <w:rsid w:val="00E648E1"/>
    <w:rsid w:val="00E7561B"/>
    <w:rsid w:val="00E77388"/>
    <w:rsid w:val="00E87491"/>
    <w:rsid w:val="00E946F0"/>
    <w:rsid w:val="00E95549"/>
    <w:rsid w:val="00E96EB7"/>
    <w:rsid w:val="00EA0BD7"/>
    <w:rsid w:val="00EA105A"/>
    <w:rsid w:val="00ED1E87"/>
    <w:rsid w:val="00EE2A5B"/>
    <w:rsid w:val="00F00DFB"/>
    <w:rsid w:val="00F147E3"/>
    <w:rsid w:val="00F174D4"/>
    <w:rsid w:val="00F23341"/>
    <w:rsid w:val="00F31694"/>
    <w:rsid w:val="00F53B88"/>
    <w:rsid w:val="00F604BE"/>
    <w:rsid w:val="00F628A7"/>
    <w:rsid w:val="00F660CE"/>
    <w:rsid w:val="00F7202B"/>
    <w:rsid w:val="00F9281A"/>
    <w:rsid w:val="00FB5AB8"/>
    <w:rsid w:val="00FC364B"/>
    <w:rsid w:val="00FD410F"/>
    <w:rsid w:val="00FD787A"/>
    <w:rsid w:val="00FE4932"/>
    <w:rsid w:val="00FE6271"/>
    <w:rsid w:val="00FE7A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4:docId w14:val="13D44B15"/>
  <w15:docId w15:val="{DEC9766D-F388-4282-8A5F-865BD04A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64" w:lineRule="auto"/>
      <w:ind w:right="2" w:firstLine="556"/>
      <w:jc w:val="both"/>
    </w:pPr>
    <w:rPr>
      <w:rFonts w:ascii="Times New Roman" w:eastAsia="Times New Roman" w:hAnsi="Times New Roman" w:cs="Times New Roman"/>
      <w:color w:val="000000"/>
    </w:rPr>
  </w:style>
  <w:style w:type="paragraph" w:styleId="Heading1">
    <w:name w:val="heading 1"/>
    <w:next w:val="Normal"/>
    <w:link w:val="Heading1Char"/>
    <w:uiPriority w:val="9"/>
    <w:unhideWhenUsed/>
    <w:qFormat/>
    <w:pPr>
      <w:keepNext/>
      <w:keepLines/>
      <w:spacing w:after="254"/>
      <w:ind w:left="10" w:right="7" w:hanging="10"/>
      <w:outlineLvl w:val="0"/>
    </w:pPr>
    <w:rPr>
      <w:rFonts w:ascii="Times New Roman" w:eastAsia="Times New Roman" w:hAnsi="Times New Roman" w:cs="Times New Roman"/>
      <w:b/>
      <w:color w:val="000000"/>
    </w:rPr>
  </w:style>
  <w:style w:type="paragraph" w:styleId="Heading2">
    <w:name w:val="heading 2"/>
    <w:next w:val="Normal"/>
    <w:link w:val="Heading2Char"/>
    <w:uiPriority w:val="9"/>
    <w:unhideWhenUsed/>
    <w:qFormat/>
    <w:pPr>
      <w:keepNext/>
      <w:keepLines/>
      <w:spacing w:after="254"/>
      <w:ind w:left="10" w:right="7" w:hanging="10"/>
      <w:outlineLvl w:val="1"/>
    </w:pPr>
    <w:rPr>
      <w:rFonts w:ascii="Times New Roman" w:eastAsia="Times New Roman" w:hAnsi="Times New Roman" w:cs="Times New Roman"/>
      <w:b/>
      <w:color w:val="000000"/>
    </w:rPr>
  </w:style>
  <w:style w:type="paragraph" w:styleId="Heading3">
    <w:name w:val="heading 3"/>
    <w:next w:val="Normal"/>
    <w:link w:val="Heading3Char"/>
    <w:uiPriority w:val="9"/>
    <w:unhideWhenUsed/>
    <w:qFormat/>
    <w:pPr>
      <w:keepNext/>
      <w:keepLines/>
      <w:spacing w:after="254"/>
      <w:ind w:left="10" w:right="7" w:hanging="10"/>
      <w:outlineLvl w:val="2"/>
    </w:pPr>
    <w:rPr>
      <w:rFonts w:ascii="Times New Roman" w:eastAsia="Times New Roman" w:hAnsi="Times New Roman" w:cs="Times New Roman"/>
      <w:b/>
      <w:color w:val="000000"/>
    </w:rPr>
  </w:style>
  <w:style w:type="paragraph" w:styleId="Heading4">
    <w:name w:val="heading 4"/>
    <w:next w:val="Normal"/>
    <w:link w:val="Heading4Char"/>
    <w:uiPriority w:val="9"/>
    <w:unhideWhenUsed/>
    <w:qFormat/>
    <w:pPr>
      <w:keepNext/>
      <w:keepLines/>
      <w:spacing w:after="254"/>
      <w:ind w:left="10" w:right="7" w:hanging="10"/>
      <w:outlineLvl w:val="3"/>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customStyle="1" w:styleId="Heading2Char">
    <w:name w:val="Heading 2 Char"/>
    <w:link w:val="Heading2"/>
    <w:rPr>
      <w:rFonts w:ascii="Times New Roman" w:eastAsia="Times New Roman" w:hAnsi="Times New Roman" w:cs="Times New Roman"/>
      <w:b/>
      <w:color w:val="000000"/>
      <w:sz w:val="22"/>
    </w:rPr>
  </w:style>
  <w:style w:type="character" w:customStyle="1" w:styleId="Heading3Char">
    <w:name w:val="Heading 3 Char"/>
    <w:link w:val="Heading3"/>
    <w:rPr>
      <w:rFonts w:ascii="Times New Roman" w:eastAsia="Times New Roman" w:hAnsi="Times New Roman" w:cs="Times New Roman"/>
      <w:b/>
      <w:color w:val="000000"/>
      <w:sz w:val="22"/>
    </w:rPr>
  </w:style>
  <w:style w:type="character" w:customStyle="1" w:styleId="Heading4Char">
    <w:name w:val="Heading 4 Char"/>
    <w:link w:val="Heading4"/>
    <w:rPr>
      <w:rFonts w:ascii="Times New Roman" w:eastAsia="Times New Roman" w:hAnsi="Times New Roman" w:cs="Times New Roman"/>
      <w:b/>
      <w:color w:val="000000"/>
      <w:sz w:val="22"/>
    </w:rPr>
  </w:style>
  <w:style w:type="character" w:styleId="LineNumber">
    <w:name w:val="line number"/>
    <w:hidden/>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8B09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92A"/>
    <w:rPr>
      <w:rFonts w:ascii="Times New Roman" w:eastAsia="Times New Roman" w:hAnsi="Times New Roman" w:cs="Times New Roman"/>
      <w:color w:val="000000"/>
    </w:rPr>
  </w:style>
  <w:style w:type="paragraph" w:styleId="NoSpacing">
    <w:name w:val="No Spacing"/>
    <w:uiPriority w:val="1"/>
    <w:qFormat/>
    <w:rsid w:val="00B70A89"/>
    <w:pPr>
      <w:spacing w:after="0" w:line="240" w:lineRule="auto"/>
    </w:pPr>
    <w:rPr>
      <w:rFonts w:eastAsiaTheme="minorHAnsi"/>
      <w:lang w:eastAsia="en-US"/>
    </w:rPr>
  </w:style>
  <w:style w:type="paragraph" w:styleId="ListParagraph">
    <w:name w:val="List Paragraph"/>
    <w:basedOn w:val="Normal"/>
    <w:uiPriority w:val="34"/>
    <w:qFormat/>
    <w:rsid w:val="00F31694"/>
    <w:pPr>
      <w:ind w:left="720"/>
      <w:contextualSpacing/>
    </w:pPr>
  </w:style>
  <w:style w:type="character" w:styleId="Hyperlink">
    <w:name w:val="Hyperlink"/>
    <w:basedOn w:val="DefaultParagraphFont"/>
    <w:uiPriority w:val="99"/>
    <w:unhideWhenUsed/>
    <w:rsid w:val="0030361C"/>
    <w:rPr>
      <w:color w:val="0563C1" w:themeColor="hyperlink"/>
      <w:u w:val="single"/>
    </w:rPr>
  </w:style>
  <w:style w:type="character" w:styleId="UnresolvedMention">
    <w:name w:val="Unresolved Mention"/>
    <w:basedOn w:val="DefaultParagraphFont"/>
    <w:uiPriority w:val="99"/>
    <w:semiHidden/>
    <w:unhideWhenUsed/>
    <w:rsid w:val="0030361C"/>
    <w:rPr>
      <w:color w:val="605E5C"/>
      <w:shd w:val="clear" w:color="auto" w:fill="E1DFDD"/>
    </w:rPr>
  </w:style>
  <w:style w:type="paragraph" w:styleId="Caption">
    <w:name w:val="caption"/>
    <w:basedOn w:val="Normal"/>
    <w:next w:val="Normal"/>
    <w:uiPriority w:val="35"/>
    <w:unhideWhenUsed/>
    <w:qFormat/>
    <w:rsid w:val="00660644"/>
    <w:pPr>
      <w:spacing w:after="200" w:line="240" w:lineRule="auto"/>
    </w:pPr>
    <w:rPr>
      <w:i/>
      <w:iCs/>
      <w:color w:val="44546A" w:themeColor="text2"/>
      <w:sz w:val="18"/>
      <w:szCs w:val="18"/>
    </w:rPr>
  </w:style>
  <w:style w:type="table" w:styleId="TableGrid0">
    <w:name w:val="Table Grid"/>
    <w:basedOn w:val="TableNormal"/>
    <w:uiPriority w:val="39"/>
    <w:rsid w:val="00A724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80/17565529.2014.998604" TargetMode="External"/><Relationship Id="rId21" Type="http://schemas.openxmlformats.org/officeDocument/2006/relationships/chart" Target="charts/chart1.xml"/><Relationship Id="rId42" Type="http://schemas.openxmlformats.org/officeDocument/2006/relationships/hyperlink" Target="https://documents.worldbank.org/en/publication/documents-reports/documentdetail/765361468136816043/poverty-and-climate-change-reducing-the-vulnerability-of-the-poor" TargetMode="External"/><Relationship Id="rId63" Type="http://schemas.openxmlformats.org/officeDocument/2006/relationships/hyperlink" Target="https://www.aje.com/en/arc/how-to-generalize-research-findings/" TargetMode="External"/><Relationship Id="rId84" Type="http://schemas.openxmlformats.org/officeDocument/2006/relationships/hyperlink" Target="https://www.ifpri.org/publication/determinants-farmers-choice-adaptation-methods-and-perceptions-climate-change-nile" TargetMode="External"/><Relationship Id="rId138" Type="http://schemas.openxmlformats.org/officeDocument/2006/relationships/hyperlink" Target="https://doi.org/10.1007/s00267-016-0780-5" TargetMode="External"/><Relationship Id="rId159" Type="http://schemas.openxmlformats.org/officeDocument/2006/relationships/hyperlink" Target="https://policy" TargetMode="External"/><Relationship Id="rId170" Type="http://schemas.openxmlformats.org/officeDocument/2006/relationships/hyperlink" Target="https://policy-practice.oxfam.org/resources/climate-change-adaptation-enabling-people-living-in-poverty-to-adapt-112455/" TargetMode="External"/><Relationship Id="rId191" Type="http://schemas.openxmlformats.org/officeDocument/2006/relationships/hyperlink" Target="https://doi.or/10.1007/s40037-019-00530-x" TargetMode="External"/><Relationship Id="rId205" Type="http://schemas.openxmlformats.org/officeDocument/2006/relationships/hyperlink" Target="https://www.zamstats.gov.zm/publications/2022-census-preliminary-report" TargetMode="External"/><Relationship Id="rId107" Type="http://schemas.openxmlformats.org/officeDocument/2006/relationships/hyperlink" Target="https://doi.org/10.4236/as.2019.103031" TargetMode="External"/><Relationship Id="rId11" Type="http://schemas.openxmlformats.org/officeDocument/2006/relationships/footer" Target="footer1.xml"/><Relationship Id="rId32" Type="http://schemas.openxmlformats.org/officeDocument/2006/relationships/footer" Target="footer10.xml"/><Relationship Id="rId53" Type="http://schemas.openxmlformats.org/officeDocument/2006/relationships/hyperlink" Target="https://documents.worldbank.org/en/publication/documents-reports/documentdetail/765361468136816043/poverty-and-climate-change-reducing-the-vulnerability-of-the-poor" TargetMode="External"/><Relationship Id="rId74" Type="http://schemas.openxmlformats.org/officeDocument/2006/relationships/hyperlink" Target="https://www.ifpri.org/publication/determinants-farmers-choice-adaptation-methods-and-perceptions-climate-change-nile" TargetMode="External"/><Relationship Id="rId128" Type="http://schemas.openxmlformats.org/officeDocument/2006/relationships/hyperlink" Target="https://doi.org/10.1007/s00267-008-9197-0" TargetMode="External"/><Relationship Id="rId149" Type="http://schemas.openxmlformats.org/officeDocument/2006/relationships/hyperlink" Target="https://doi.org/10.5539/jsd.v4n4p73" TargetMode="External"/><Relationship Id="rId5" Type="http://schemas.openxmlformats.org/officeDocument/2006/relationships/webSettings" Target="webSettings.xml"/><Relationship Id="rId95" Type="http://schemas.openxmlformats.org/officeDocument/2006/relationships/hyperlink" Target="https://www.uarctic.org/media/8577/northern_perspectives.pdf" TargetMode="External"/><Relationship Id="rId160" Type="http://schemas.openxmlformats.org/officeDocument/2006/relationships/hyperlink" Target="https://policy-practice.oxfam.org/resources/climate-change-adaptation-enabling-people-living-in-poverty-to-adapt-112455/" TargetMode="External"/><Relationship Id="rId181" Type="http://schemas.openxmlformats.org/officeDocument/2006/relationships/hyperlink" Target="https://www.unep.org/resources/book/bridging-scales-and-knowledge-systems" TargetMode="External"/><Relationship Id="rId216" Type="http://schemas.openxmlformats.org/officeDocument/2006/relationships/fontTable" Target="fontTable.xml"/><Relationship Id="rId22" Type="http://schemas.openxmlformats.org/officeDocument/2006/relationships/chart" Target="charts/chart2.xml"/><Relationship Id="rId43" Type="http://schemas.openxmlformats.org/officeDocument/2006/relationships/hyperlink" Target="https://documents.worldbank.org/en/publication/documents-reports/documentdetail/765361468136816043/poverty-and-climate-change-reducing-the-vulnerability-of-the-poor" TargetMode="External"/><Relationship Id="rId64" Type="http://schemas.openxmlformats.org/officeDocument/2006/relationships/hyperlink" Target="https://www.aje.com/en/arc/how-to-generalize-research-findings/" TargetMode="External"/><Relationship Id="rId118" Type="http://schemas.openxmlformats.org/officeDocument/2006/relationships/hyperlink" Target="https://doi.org/10.1016/j.gloenvcha.2009.10.004" TargetMode="External"/><Relationship Id="rId139" Type="http://schemas.openxmlformats.org/officeDocument/2006/relationships/hyperlink" Target="https://doi.org/10.1007/s00267-016-0780-5" TargetMode="External"/><Relationship Id="rId85" Type="http://schemas.openxmlformats.org/officeDocument/2006/relationships/hyperlink" Target="https://www.ifpri.org/publication/determinants-farmers-choice-adaptation-methods-and-perceptions-climate-change-nile" TargetMode="External"/><Relationship Id="rId150" Type="http://schemas.openxmlformats.org/officeDocument/2006/relationships/hyperlink" Target="https://doi.org/10.5539/jsd.v4n4p73" TargetMode="External"/><Relationship Id="rId171" Type="http://schemas.openxmlformats.org/officeDocument/2006/relationships/hyperlink" Target="https://policy-practice.oxfam.org/resources/climate-change-adaptation-enabling-people-living-in-poverty-to-adapt-112455/" TargetMode="External"/><Relationship Id="rId192" Type="http://schemas.openxmlformats.org/officeDocument/2006/relationships/hyperlink" Target="https://doi.org/10.1016/j.jaridenv.2008.06.011" TargetMode="External"/><Relationship Id="rId206" Type="http://schemas.openxmlformats.org/officeDocument/2006/relationships/hyperlink" Target="https://www.zamstats.gov.zm/publications/2022-census-preliminary-report" TargetMode="External"/><Relationship Id="rId12" Type="http://schemas.openxmlformats.org/officeDocument/2006/relationships/footer" Target="footer2.xml"/><Relationship Id="rId33" Type="http://schemas.openxmlformats.org/officeDocument/2006/relationships/footer" Target="footer11.xml"/><Relationship Id="rId108" Type="http://schemas.openxmlformats.org/officeDocument/2006/relationships/hyperlink" Target="https://doi.org/10.5539/jsd.v4n4p73" TargetMode="External"/><Relationship Id="rId129" Type="http://schemas.openxmlformats.org/officeDocument/2006/relationships/hyperlink" Target="https://doi.org/10.1007/s00267-008-9197-0" TargetMode="External"/><Relationship Id="rId54" Type="http://schemas.openxmlformats.org/officeDocument/2006/relationships/hyperlink" Target="https://documents.worldbank.org/en/publication/documents-reports/documentdetail/765361468136816043/poverty-and-climate-change-reducing-the-vulnerability-of-the-poor" TargetMode="External"/><Relationship Id="rId75" Type="http://schemas.openxmlformats.org/officeDocument/2006/relationships/hyperlink" Target="https://www.ifpri.org/publication/determinants-farmers-choice-adaptation-methods-and-perceptions-climate-change-nile" TargetMode="External"/><Relationship Id="rId96" Type="http://schemas.openxmlformats.org/officeDocument/2006/relationships/hyperlink" Target="http://nopr.niscpr.res.in/handle/123456789/11015" TargetMode="External"/><Relationship Id="rId140" Type="http://schemas.openxmlformats.org/officeDocument/2006/relationships/hyperlink" Target="https://doi.org/10.1007/s00267-016-0780-5" TargetMode="External"/><Relationship Id="rId161" Type="http://schemas.openxmlformats.org/officeDocument/2006/relationships/hyperlink" Target="https://policy-practice.oxfam.org/resources/climate-change-adaptation-enabling-people-living-in-poverty-to-adapt-112455/" TargetMode="External"/><Relationship Id="rId182" Type="http://schemas.openxmlformats.org/officeDocument/2006/relationships/hyperlink" Target="https://www.unep.org/resources/book/bridging-scales-and-knowledge-systems" TargetMode="External"/><Relationship Id="rId217" Type="http://schemas.openxmlformats.org/officeDocument/2006/relationships/theme" Target="theme/theme1.xml"/><Relationship Id="rId6" Type="http://schemas.openxmlformats.org/officeDocument/2006/relationships/footnotes" Target="footnotes.xml"/><Relationship Id="rId23" Type="http://schemas.openxmlformats.org/officeDocument/2006/relationships/header" Target="header7.xml"/><Relationship Id="rId119" Type="http://schemas.openxmlformats.org/officeDocument/2006/relationships/hyperlink" Target="https://doi.org/10.1016/j.gloenvcha.2009.10.004" TargetMode="External"/><Relationship Id="rId44" Type="http://schemas.openxmlformats.org/officeDocument/2006/relationships/hyperlink" Target="https://documents.worldbank.org/en/publication/documents-reports/documentdetail/765361468136816043/poverty-and-climate-change-reducing-the-vulnerability-of-the-poor" TargetMode="External"/><Relationship Id="rId65" Type="http://schemas.openxmlformats.org/officeDocument/2006/relationships/hyperlink" Target="https://www.aje.com/en/arc/how-to-generalize-research-findings/" TargetMode="External"/><Relationship Id="rId86" Type="http://schemas.openxmlformats.org/officeDocument/2006/relationships/hyperlink" Target="https://www.ifpri.org/publication/determinants-farmers-choice-adaptation-methods-and-perceptions-climate-change-nile" TargetMode="External"/><Relationship Id="rId130" Type="http://schemas.openxmlformats.org/officeDocument/2006/relationships/hyperlink" Target="https://doi.org/10.1007/s00267-008-9197-0" TargetMode="External"/><Relationship Id="rId151" Type="http://schemas.openxmlformats.org/officeDocument/2006/relationships/hyperlink" Target="https://doi.org/10.1007/s10488-013-0528-y" TargetMode="External"/><Relationship Id="rId172" Type="http://schemas.openxmlformats.org/officeDocument/2006/relationships/hyperlink" Target="https://policy-practice.oxfam.org/resources/climate-change-adaptation-enabling-people-living-in-poverty-to-adapt-112455/" TargetMode="External"/><Relationship Id="rId193" Type="http://schemas.openxmlformats.org/officeDocument/2006/relationships/hyperlink" Target="https://doi.org/10.1016/j.jaridenv.2008.06.011" TargetMode="External"/><Relationship Id="rId207" Type="http://schemas.openxmlformats.org/officeDocument/2006/relationships/hyperlink" Target="https://www.zamstats.gov.zm/publications/2022-census-preliminary-report" TargetMode="External"/><Relationship Id="rId13" Type="http://schemas.openxmlformats.org/officeDocument/2006/relationships/header" Target="header3.xml"/><Relationship Id="rId109" Type="http://schemas.openxmlformats.org/officeDocument/2006/relationships/hyperlink" Target="https://doi.org/10.5539/jsd.v4n4p73" TargetMode="External"/><Relationship Id="rId34" Type="http://schemas.openxmlformats.org/officeDocument/2006/relationships/header" Target="header12.xml"/><Relationship Id="rId55" Type="http://schemas.openxmlformats.org/officeDocument/2006/relationships/hyperlink" Target="https://documents.worldbank.org/en/publication/documents-reports/documentdetail/765361468136816043/poverty-and-climate-change-reducing-the-vulnerability-of-the-poor" TargetMode="External"/><Relationship Id="rId76" Type="http://schemas.openxmlformats.org/officeDocument/2006/relationships/hyperlink" Target="https://www.ifpri.org/publication/determinants-farmers-choice-adaptation-methods-and-perceptions-climate-change-nile" TargetMode="External"/><Relationship Id="rId97" Type="http://schemas.openxmlformats.org/officeDocument/2006/relationships/hyperlink" Target="http://nopr.niscpr.res.in/handle/123456789/11015" TargetMode="External"/><Relationship Id="rId120" Type="http://schemas.openxmlformats.org/officeDocument/2006/relationships/hyperlink" Target="https://hdl.handle.net/10520/EJC-1517a90920" TargetMode="External"/><Relationship Id="rId141" Type="http://schemas.openxmlformats.org/officeDocument/2006/relationships/hyperlink" Target="https://doi.org/10.1007/s00267-016-0780-5" TargetMode="External"/><Relationship Id="rId7" Type="http://schemas.openxmlformats.org/officeDocument/2006/relationships/endnotes" Target="endnotes.xml"/><Relationship Id="rId162" Type="http://schemas.openxmlformats.org/officeDocument/2006/relationships/hyperlink" Target="https://policy-practice.oxfam.org/resources/climate-change-adaptation-enabling-people-living-in-poverty-to-adapt-112455/" TargetMode="External"/><Relationship Id="rId183" Type="http://schemas.openxmlformats.org/officeDocument/2006/relationships/hyperlink" Target="https://www.unep.org/resources/book/bridging-scales-and-knowledge-systems" TargetMode="External"/><Relationship Id="rId24" Type="http://schemas.openxmlformats.org/officeDocument/2006/relationships/header" Target="header8.xml"/><Relationship Id="rId45" Type="http://schemas.openxmlformats.org/officeDocument/2006/relationships/hyperlink" Target="https://documents.worldbank.org/en/publication/documents-reports/documentdetail/765361468136816043/poverty-and-climate-change-reducing-the-vulnerability-of-the-poor" TargetMode="External"/><Relationship Id="rId66" Type="http://schemas.openxmlformats.org/officeDocument/2006/relationships/hyperlink" Target="https://www.aje.com/en/arc/how-to-generalize-research-findings/" TargetMode="External"/><Relationship Id="rId87" Type="http://schemas.openxmlformats.org/officeDocument/2006/relationships/hyperlink" Target="https://www.ifpri.org/publication/determinants-farmers-choice-adaptation-methods-and-perceptions-climate-change-nile" TargetMode="External"/><Relationship Id="rId110" Type="http://schemas.openxmlformats.org/officeDocument/2006/relationships/hyperlink" Target="https://doi.org/10.1111/jan.13031" TargetMode="External"/><Relationship Id="rId131" Type="http://schemas.openxmlformats.org/officeDocument/2006/relationships/hyperlink" Target="https://doi.org/10.1007/s00267-008-9197-0" TargetMode="External"/><Relationship Id="rId152" Type="http://schemas.openxmlformats.org/officeDocument/2006/relationships/hyperlink" Target="https://doi.org/10.1007/s10488-013-0528-y" TargetMode="External"/><Relationship Id="rId173" Type="http://schemas.openxmlformats.org/officeDocument/2006/relationships/hyperlink" Target="https://policy-practice.oxfam.org/resources/climate-change-adaptation-enabling-people-living-in-poverty-to-adapt-112455/" TargetMode="External"/><Relationship Id="rId194" Type="http://schemas.openxmlformats.org/officeDocument/2006/relationships/hyperlink" Target="https://doi.org/10.1177/03400352251317997" TargetMode="External"/><Relationship Id="rId208" Type="http://schemas.openxmlformats.org/officeDocument/2006/relationships/hyperlink" Target="https://www.zamstats.gov.zm/publications/2022-census-preliminary-report" TargetMode="External"/><Relationship Id="rId14" Type="http://schemas.openxmlformats.org/officeDocument/2006/relationships/footer" Target="footer3.xml"/><Relationship Id="rId30" Type="http://schemas.openxmlformats.org/officeDocument/2006/relationships/header" Target="header10.xml"/><Relationship Id="rId35" Type="http://schemas.openxmlformats.org/officeDocument/2006/relationships/footer" Target="footer12.xml"/><Relationship Id="rId56" Type="http://schemas.openxmlformats.org/officeDocument/2006/relationships/hyperlink" Target="https://documents.worldbank.org/en/publication/documents-reports/documentdetail/765361468136816043/poverty-and-climate-change-reducing-the-vulnerability-of-the-poor" TargetMode="External"/><Relationship Id="rId77" Type="http://schemas.openxmlformats.org/officeDocument/2006/relationships/hyperlink" Target="https://www.ifpri.org/publication/determinants-farmers-choice-adaptation-methods-and-perceptions-climate-change-nile" TargetMode="External"/><Relationship Id="rId100" Type="http://schemas.openxmlformats.org/officeDocument/2006/relationships/hyperlink" Target="https://www.kobotoolbox.org/" TargetMode="External"/><Relationship Id="rId105" Type="http://schemas.openxmlformats.org/officeDocument/2006/relationships/hyperlink" Target="https://www.ipcc.ch/report/ar5/syr/" TargetMode="External"/><Relationship Id="rId126" Type="http://schemas.openxmlformats.org/officeDocument/2006/relationships/hyperlink" Target="https://doi.org/10.1007/s00267-008-9197-0" TargetMode="External"/><Relationship Id="rId147" Type="http://schemas.openxmlformats.org/officeDocument/2006/relationships/hyperlink" Target="https://doi.org/10.1016/j.pce.2013.10.002" TargetMode="External"/><Relationship Id="rId168" Type="http://schemas.openxmlformats.org/officeDocument/2006/relationships/hyperlink" Target="https://policy-practice.oxfam.org/resources/climate-change-adaptation-enabling-people-living-in-poverty-to-adapt-112455/" TargetMode="External"/><Relationship Id="rId8" Type="http://schemas.openxmlformats.org/officeDocument/2006/relationships/image" Target="media/image1.png"/><Relationship Id="rId51" Type="http://schemas.openxmlformats.org/officeDocument/2006/relationships/hyperlink" Target="https://documents.worldbank.org/en/publication/documents-reports/documentdetail/765361468136816043/poverty-and-climate-change-reducing-the-vulnerability-of-the-poor" TargetMode="External"/><Relationship Id="rId72" Type="http://schemas.openxmlformats.org/officeDocument/2006/relationships/hyperlink" Target="https://www.ifpri.org/publication/determinants-farmers-choice-adaptation-methods-and-perceptions-climate-change-nile" TargetMode="External"/><Relationship Id="rId93" Type="http://schemas.openxmlformats.org/officeDocument/2006/relationships/hyperlink" Target="https://doi.org/10.11648/j.ajtas.20160501.11" TargetMode="External"/><Relationship Id="rId98" Type="http://schemas.openxmlformats.org/officeDocument/2006/relationships/hyperlink" Target="https://doi.org/10.9734/IJECC/2022/v12i1030771" TargetMode="External"/><Relationship Id="rId121" Type="http://schemas.openxmlformats.org/officeDocument/2006/relationships/hyperlink" Target="https://hdl.handle.net/10520/EJC-1517a90920" TargetMode="External"/><Relationship Id="rId142" Type="http://schemas.openxmlformats.org/officeDocument/2006/relationships/hyperlink" Target="https://doi.org/10.1007/s00267-016-0780-5" TargetMode="External"/><Relationship Id="rId163" Type="http://schemas.openxmlformats.org/officeDocument/2006/relationships/hyperlink" Target="https://policy-practice.oxfam.org/resources/climate-change-adaptation-enabling-people-living-in-poverty-to-adapt-112455/" TargetMode="External"/><Relationship Id="rId184" Type="http://schemas.openxmlformats.org/officeDocument/2006/relationships/hyperlink" Target="https://www.unep.org/resources/book/bridging-scales-and-knowledge-systems" TargetMode="External"/><Relationship Id="rId189" Type="http://schemas.openxmlformats.org/officeDocument/2006/relationships/hyperlink" Target="https://www.unep.org/resources/book/bridging-scales-and-knowledge-systems" TargetMode="External"/><Relationship Id="rId3" Type="http://schemas.openxmlformats.org/officeDocument/2006/relationships/styles" Target="styles.xml"/><Relationship Id="rId214" Type="http://schemas.openxmlformats.org/officeDocument/2006/relationships/header" Target="header15.xml"/><Relationship Id="rId25" Type="http://schemas.openxmlformats.org/officeDocument/2006/relationships/footer" Target="footer7.xml"/><Relationship Id="rId46" Type="http://schemas.openxmlformats.org/officeDocument/2006/relationships/hyperlink" Target="https://documents.worldbank.org/en/publication/documents-reports/documentdetail/765361468136816043/poverty-and-climate-change-reducing-the-vulnerability-of-the-poor" TargetMode="External"/><Relationship Id="rId67" Type="http://schemas.openxmlformats.org/officeDocument/2006/relationships/hyperlink" Target="https://www.aje.com/en/arc/how-to-generalize-research-findings/" TargetMode="External"/><Relationship Id="rId116" Type="http://schemas.openxmlformats.org/officeDocument/2006/relationships/hyperlink" Target="https://doi.org/10.1016/j.gloenvcha.2013.02.012" TargetMode="External"/><Relationship Id="rId137" Type="http://schemas.openxmlformats.org/officeDocument/2006/relationships/hyperlink" Target="https://doi.org/10.1007/s00267-016-0780-5" TargetMode="External"/><Relationship Id="rId158" Type="http://schemas.openxmlformats.org/officeDocument/2006/relationships/hyperlink" Target="https://doi.org/10.1007/s10488-013-0528-y" TargetMode="External"/><Relationship Id="rId20" Type="http://schemas.openxmlformats.org/officeDocument/2006/relationships/footer" Target="footer6.xml"/><Relationship Id="rId41" Type="http://schemas.openxmlformats.org/officeDocument/2006/relationships/hyperlink" Target="https://documents.worldbank.org/en/publication/documents-reports/documentdetail/765361468136816043/poverty-and-climate-change-reducing-the-vulnerability-of-the-poor" TargetMode="External"/><Relationship Id="rId62" Type="http://schemas.openxmlformats.org/officeDocument/2006/relationships/hyperlink" Target="https://www.aje.com/en/arc/how-to-generalize-research-findings/" TargetMode="External"/><Relationship Id="rId83" Type="http://schemas.openxmlformats.org/officeDocument/2006/relationships/hyperlink" Target="https://www.ifpri.org/publication/determinants-farmers-choice-adaptation-methods-and-perceptions-climate-change-nile" TargetMode="External"/><Relationship Id="rId88" Type="http://schemas.openxmlformats.org/officeDocument/2006/relationships/hyperlink" Target="https://www.ifpri.org/publication/determinants-farmers-choice-adaptation-methods-and-perceptions-climate-change-nile" TargetMode="External"/><Relationship Id="rId111" Type="http://schemas.openxmlformats.org/officeDocument/2006/relationships/hyperlink" Target="https://doi.org/10.1111/jan.13031" TargetMode="External"/><Relationship Id="rId132" Type="http://schemas.openxmlformats.org/officeDocument/2006/relationships/hyperlink" Target="https://doi.org/10.1007/s00267-008-9197-0" TargetMode="External"/><Relationship Id="rId153" Type="http://schemas.openxmlformats.org/officeDocument/2006/relationships/hyperlink" Target="https://doi.org/10.1007/s10488-013-0528-y" TargetMode="External"/><Relationship Id="rId174" Type="http://schemas.openxmlformats.org/officeDocument/2006/relationships/hyperlink" Target="https://policy-practice.oxfam.org/resources/climate-change-adaptation-enabling-people-living-in-poverty-to-adapt-112455/" TargetMode="External"/><Relationship Id="rId179" Type="http://schemas.openxmlformats.org/officeDocument/2006/relationships/hyperlink" Target="https://policy-practice.oxfam.org/resources/climate-change-adaptation-enabling-people-living-in-poverty-to-adapt-112455/" TargetMode="External"/><Relationship Id="rId195" Type="http://schemas.openxmlformats.org/officeDocument/2006/relationships/hyperlink" Target="https://doi.org/10.1177/03400352251317997" TargetMode="External"/><Relationship Id="rId209" Type="http://schemas.openxmlformats.org/officeDocument/2006/relationships/hyperlink" Target="https://www.zamstats.gov.zm/publications/2022-census-preliminary-report" TargetMode="External"/><Relationship Id="rId190" Type="http://schemas.openxmlformats.org/officeDocument/2006/relationships/hyperlink" Target="https://www.unep.org/resources/book/bridging-scales-and-knowledge-systems" TargetMode="External"/><Relationship Id="rId204" Type="http://schemas.openxmlformats.org/officeDocument/2006/relationships/hyperlink" Target="https://www.zamstats.gov.zm/publications/2022-census-preliminary-report" TargetMode="External"/><Relationship Id="rId15" Type="http://schemas.openxmlformats.org/officeDocument/2006/relationships/header" Target="header4.xml"/><Relationship Id="rId36" Type="http://schemas.openxmlformats.org/officeDocument/2006/relationships/chart" Target="charts/chart4.xml"/><Relationship Id="rId57" Type="http://schemas.openxmlformats.org/officeDocument/2006/relationships/hyperlink" Target="https://documents.worldbank.org/en/publication/documents-reports/documentdetail/765361468136816043/poverty-and-climate-change-reducing-the-vulnerability-of-the-poor" TargetMode="External"/><Relationship Id="rId106" Type="http://schemas.openxmlformats.org/officeDocument/2006/relationships/hyperlink" Target="https://www.ipcc.ch/report/ar6/wg2/" TargetMode="External"/><Relationship Id="rId127" Type="http://schemas.openxmlformats.org/officeDocument/2006/relationships/hyperlink" Target="https://doi.org/10.1007/s00267-008-9197-0" TargetMode="External"/><Relationship Id="rId10" Type="http://schemas.openxmlformats.org/officeDocument/2006/relationships/header" Target="header2.xml"/><Relationship Id="rId31" Type="http://schemas.openxmlformats.org/officeDocument/2006/relationships/header" Target="header11.xml"/><Relationship Id="rId52" Type="http://schemas.openxmlformats.org/officeDocument/2006/relationships/hyperlink" Target="https://documents.worldbank.org/en/publication/documents-reports/documentdetail/765361468136816043/poverty-and-climate-change-reducing-the-vulnerability-of-the-poor" TargetMode="External"/><Relationship Id="rId73" Type="http://schemas.openxmlformats.org/officeDocument/2006/relationships/hyperlink" Target="https://www.ifpri.org/publication/determinants-farmers-choice-adaptation-methods-and-perceptions-climate-change-nile" TargetMode="External"/><Relationship Id="rId78" Type="http://schemas.openxmlformats.org/officeDocument/2006/relationships/hyperlink" Target="https://www.ifpri.org/publication/determinants-farmers-choice-adaptation-methods-and-perceptions-climate-change-nile" TargetMode="External"/><Relationship Id="rId94" Type="http://schemas.openxmlformats.org/officeDocument/2006/relationships/hyperlink" Target="https://www.uarctic.org/media/8577/northern_perspectives.pdf" TargetMode="External"/><Relationship Id="rId99" Type="http://schemas.openxmlformats.org/officeDocument/2006/relationships/hyperlink" Target="https://doi.org/10.9734/IJECC/2022/v12i1030771" TargetMode="External"/><Relationship Id="rId101" Type="http://schemas.openxmlformats.org/officeDocument/2006/relationships/hyperlink" Target="https://www.kobotoolbox.org/" TargetMode="External"/><Relationship Id="rId122" Type="http://schemas.openxmlformats.org/officeDocument/2006/relationships/hyperlink" Target="https://hdl.handle.net/10520/EJC-1517a90920" TargetMode="External"/><Relationship Id="rId143" Type="http://schemas.openxmlformats.org/officeDocument/2006/relationships/hyperlink" Target="https://doi.org/10.1007/s00267-016-0780-5" TargetMode="External"/><Relationship Id="rId148" Type="http://schemas.openxmlformats.org/officeDocument/2006/relationships/hyperlink" Target="https://doi.org/10.1016/j.pce.2013.10.002" TargetMode="External"/><Relationship Id="rId164" Type="http://schemas.openxmlformats.org/officeDocument/2006/relationships/hyperlink" Target="https://policy-practice.oxfam.org/resources/climate-change-adaptation-enabling-people-living-in-poverty-to-adapt-112455/" TargetMode="External"/><Relationship Id="rId169" Type="http://schemas.openxmlformats.org/officeDocument/2006/relationships/hyperlink" Target="https://policy-practice.oxfam.org/resources/climate-change-adaptation-enabling-people-living-in-poverty-to-adapt-112455/" TargetMode="External"/><Relationship Id="rId185" Type="http://schemas.openxmlformats.org/officeDocument/2006/relationships/hyperlink" Target="https://www.unep.org/resources/book/bridging-scales-and-knowledge-systems" TargetMode="External"/><Relationship Id="rId4" Type="http://schemas.openxmlformats.org/officeDocument/2006/relationships/settings" Target="settings.xml"/><Relationship Id="rId9" Type="http://schemas.openxmlformats.org/officeDocument/2006/relationships/header" Target="header1.xml"/><Relationship Id="rId180" Type="http://schemas.openxmlformats.org/officeDocument/2006/relationships/hyperlink" Target="https://policy-practice.oxfam.org/resources/climate-change-adaptation-enabling-people-living-in-poverty-to-adapt-112455/" TargetMode="External"/><Relationship Id="rId210" Type="http://schemas.openxmlformats.org/officeDocument/2006/relationships/header" Target="header13.xml"/><Relationship Id="rId215" Type="http://schemas.openxmlformats.org/officeDocument/2006/relationships/footer" Target="footer15.xml"/><Relationship Id="rId26" Type="http://schemas.openxmlformats.org/officeDocument/2006/relationships/footer" Target="footer8.xml"/><Relationship Id="rId47" Type="http://schemas.openxmlformats.org/officeDocument/2006/relationships/hyperlink" Target="https://documents.worldbank.org/en/publication/documents-reports/documentdetail/765361468136816043/poverty-and-climate-change-reducing-the-vulnerability-of-the-poor" TargetMode="External"/><Relationship Id="rId68" Type="http://schemas.openxmlformats.org/officeDocument/2006/relationships/hyperlink" Target="https://www.aje.com/en/arc/how-to-generalize-research-findings/" TargetMode="External"/><Relationship Id="rId89" Type="http://schemas.openxmlformats.org/officeDocument/2006/relationships/hyperlink" Target="https://www.ifpri.org/publication/determinants-farmers-choice-adaptation-methods-and-perceptions-climate-change-nile" TargetMode="External"/><Relationship Id="rId112" Type="http://schemas.openxmlformats.org/officeDocument/2006/relationships/hyperlink" Target="https://doi.org/10.47125/jesam/2023_1_05" TargetMode="External"/><Relationship Id="rId133" Type="http://schemas.openxmlformats.org/officeDocument/2006/relationships/hyperlink" Target="https://doi.org/10.1007/s00267-008-9197-0" TargetMode="External"/><Relationship Id="rId154" Type="http://schemas.openxmlformats.org/officeDocument/2006/relationships/hyperlink" Target="https://doi.org/10.1007/s10488-013-0528-y" TargetMode="External"/><Relationship Id="rId175" Type="http://schemas.openxmlformats.org/officeDocument/2006/relationships/hyperlink" Target="https://policy-practice.oxfam.org/resources/climate-change-adaptation-enabling-people-living-in-poverty-to-adapt-112455/" TargetMode="External"/><Relationship Id="rId196" Type="http://schemas.openxmlformats.org/officeDocument/2006/relationships/hyperlink" Target="https://www.adaptation" TargetMode="External"/><Relationship Id="rId200" Type="http://schemas.openxmlformats.org/officeDocument/2006/relationships/hyperlink" Target="https://www.adaptation-undp.org/sites/default/files/resources/zambia_nap-ag_case_study.pdf" TargetMode="External"/><Relationship Id="rId16" Type="http://schemas.openxmlformats.org/officeDocument/2006/relationships/header" Target="header5.xml"/><Relationship Id="rId37" Type="http://schemas.openxmlformats.org/officeDocument/2006/relationships/hyperlink" Target="https://documents.worldbank.org/en/publication/documents-reports/documentdetail/765361468136816043/poverty-and-climate-change-reducing-the-vulnerability-of-the-poor" TargetMode="External"/><Relationship Id="rId58" Type="http://schemas.openxmlformats.org/officeDocument/2006/relationships/hyperlink" Target="https://documents.worldbank.org/en/publication/documents-reports/documentdetail/765361468136816043/poverty-and-climate-change-reducing-the-vulnerability-of-the-poor" TargetMode="External"/><Relationship Id="rId79" Type="http://schemas.openxmlformats.org/officeDocument/2006/relationships/hyperlink" Target="https://www.ifpri.org/publication/determinants-farmers-choice-adaptation-methods-and-perceptions-climate-change-nile" TargetMode="External"/><Relationship Id="rId102" Type="http://schemas.openxmlformats.org/officeDocument/2006/relationships/hyperlink" Target="https://www.ecologyandsociety.org/vol12/iss2/art34/" TargetMode="External"/><Relationship Id="rId123" Type="http://schemas.openxmlformats.org/officeDocument/2006/relationships/hyperlink" Target="https://hdl.handle.net/10520/EJC-1517a90920" TargetMode="External"/><Relationship Id="rId144" Type="http://schemas.openxmlformats.org/officeDocument/2006/relationships/hyperlink" Target="https://doi.org/10.21834/e-bpj.v5i13.2059" TargetMode="External"/><Relationship Id="rId90" Type="http://schemas.openxmlformats.org/officeDocument/2006/relationships/hyperlink" Target="https://www.ifpri.org/publication/determinants-farmers-choice-adaptation-methods-and-perceptions-climate-change-nile" TargetMode="External"/><Relationship Id="rId165" Type="http://schemas.openxmlformats.org/officeDocument/2006/relationships/hyperlink" Target="https://policy-practice.oxfam.org/resources/climate-change-adaptation-enabling-people-living-in-poverty-to-adapt-112455/" TargetMode="External"/><Relationship Id="rId186" Type="http://schemas.openxmlformats.org/officeDocument/2006/relationships/hyperlink" Target="https://www.unep.org/resources/book/bridging-scales-and-knowledge-systems" TargetMode="External"/><Relationship Id="rId211" Type="http://schemas.openxmlformats.org/officeDocument/2006/relationships/header" Target="header14.xml"/><Relationship Id="rId27" Type="http://schemas.openxmlformats.org/officeDocument/2006/relationships/header" Target="header9.xml"/><Relationship Id="rId48" Type="http://schemas.openxmlformats.org/officeDocument/2006/relationships/hyperlink" Target="https://documents.worldbank.org/en/publication/documents-reports/documentdetail/765361468136816043/poverty-and-climate-change-reducing-the-vulnerability-of-the-poor" TargetMode="External"/><Relationship Id="rId69" Type="http://schemas.openxmlformats.org/officeDocument/2006/relationships/hyperlink" Target="https://www.aje.com/en/arc/how-to-generalize-research-findings/" TargetMode="External"/><Relationship Id="rId113" Type="http://schemas.openxmlformats.org/officeDocument/2006/relationships/hyperlink" Target="https://doi.org/10.4135/9781412963947" TargetMode="External"/><Relationship Id="rId134" Type="http://schemas.openxmlformats.org/officeDocument/2006/relationships/hyperlink" Target="https://www.mindat.org/loc/Mbereshi" TargetMode="External"/><Relationship Id="rId80" Type="http://schemas.openxmlformats.org/officeDocument/2006/relationships/hyperlink" Target="https://www.ifpri.org/publication/determinants-farmers-choice-adaptation-methods-and-perceptions-climate-change-nile" TargetMode="External"/><Relationship Id="rId155" Type="http://schemas.openxmlformats.org/officeDocument/2006/relationships/hyperlink" Target="https://doi.org/10.1007/s10488-013-0528-y" TargetMode="External"/><Relationship Id="rId176" Type="http://schemas.openxmlformats.org/officeDocument/2006/relationships/hyperlink" Target="https://policy-practice.oxfam.org/resources/climate-change-adaptation-enabling-people-living-in-poverty-to-adapt-112455/" TargetMode="External"/><Relationship Id="rId197" Type="http://schemas.openxmlformats.org/officeDocument/2006/relationships/hyperlink" Target="https://www.adaptation-undp.org/sites/default/files/resources/zambia_nap-ag_case_study.pdf" TargetMode="External"/><Relationship Id="rId201" Type="http://schemas.openxmlformats.org/officeDocument/2006/relationships/hyperlink" Target="https://www.adaptation-undp.org/sites/default/files/resources/zambia_nap-ag_case_study.pdf" TargetMode="External"/><Relationship Id="rId17" Type="http://schemas.openxmlformats.org/officeDocument/2006/relationships/footer" Target="footer4.xml"/><Relationship Id="rId38" Type="http://schemas.openxmlformats.org/officeDocument/2006/relationships/hyperlink" Target="https://documents.worldbank.org/en/publication/documents-reports/documentdetail/765361468136816043/poverty-and-climate-change-reducing-the-vulnerability-of-the-poor" TargetMode="External"/><Relationship Id="rId59" Type="http://schemas.openxmlformats.org/officeDocument/2006/relationships/hyperlink" Target="https://www.aje.com/en/arc/how-to-generalize-research-findings/" TargetMode="External"/><Relationship Id="rId103" Type="http://schemas.openxmlformats.org/officeDocument/2006/relationships/hyperlink" Target="https://www.ecologyandsociety.org/vol12/iss2/art34/" TargetMode="External"/><Relationship Id="rId124" Type="http://schemas.openxmlformats.org/officeDocument/2006/relationships/hyperlink" Target="https://doi.org/10.1016/j.ijdrr.2013.07.001" TargetMode="External"/><Relationship Id="rId70" Type="http://schemas.openxmlformats.org/officeDocument/2006/relationships/hyperlink" Target="https://doi.org/10.1016/j.heliyon.2019.e01492" TargetMode="External"/><Relationship Id="rId91" Type="http://schemas.openxmlformats.org/officeDocument/2006/relationships/hyperlink" Target="https://www.ifpri.org/publication/determinants-farmers-choice-adaptation-methods-and-perceptions-climate-change-nile" TargetMode="External"/><Relationship Id="rId145" Type="http://schemas.openxmlformats.org/officeDocument/2006/relationships/hyperlink" Target="https://unesdoc.unesco.org/ark:/48223/pf0000216612" TargetMode="External"/><Relationship Id="rId166" Type="http://schemas.openxmlformats.org/officeDocument/2006/relationships/hyperlink" Target="https://policy-practice.oxfam.org/resources/climate-change-adaptation-enabling-people-living-in-poverty-to-adapt-112455/" TargetMode="External"/><Relationship Id="rId187" Type="http://schemas.openxmlformats.org/officeDocument/2006/relationships/hyperlink" Target="https://www.unep.org/resources/book/bridging-scales-and-knowledge-systems" TargetMode="External"/><Relationship Id="rId1" Type="http://schemas.openxmlformats.org/officeDocument/2006/relationships/customXml" Target="../customXml/item1.xml"/><Relationship Id="rId212" Type="http://schemas.openxmlformats.org/officeDocument/2006/relationships/footer" Target="footer13.xml"/><Relationship Id="rId28" Type="http://schemas.openxmlformats.org/officeDocument/2006/relationships/footer" Target="footer9.xml"/><Relationship Id="rId49" Type="http://schemas.openxmlformats.org/officeDocument/2006/relationships/hyperlink" Target="https://documents.worldbank.org/en/publication/documents-reports/documentdetail/765361468136816043/poverty-and-climate-change-reducing-the-vulnerability-of-the-poor" TargetMode="External"/><Relationship Id="rId114" Type="http://schemas.openxmlformats.org/officeDocument/2006/relationships/hyperlink" Target="https://doi.org/10.4135/9781412963947" TargetMode="External"/><Relationship Id="rId60" Type="http://schemas.openxmlformats.org/officeDocument/2006/relationships/hyperlink" Target="https://www.aje.com/en/arc/how-to-generalize-research-findings/" TargetMode="External"/><Relationship Id="rId81" Type="http://schemas.openxmlformats.org/officeDocument/2006/relationships/hyperlink" Target="https://www.ifpri.org/publication/determinants-farmers-choice-adaptation-methods-and-perceptions-climate-change-nile" TargetMode="External"/><Relationship Id="rId135" Type="http://schemas.openxmlformats.org/officeDocument/2006/relationships/hyperlink" Target="https://www.mindat.org/loc/Mbereshi" TargetMode="External"/><Relationship Id="rId156" Type="http://schemas.openxmlformats.org/officeDocument/2006/relationships/hyperlink" Target="https://doi.org/10.1007/s10488-013-0528-y" TargetMode="External"/><Relationship Id="rId177" Type="http://schemas.openxmlformats.org/officeDocument/2006/relationships/hyperlink" Target="https://policy-practice.oxfam.org/resources/climate-change-adaptation-enabling-people-living-in-poverty-to-adapt-112455/" TargetMode="External"/><Relationship Id="rId198" Type="http://schemas.openxmlformats.org/officeDocument/2006/relationships/hyperlink" Target="https://www.adaptation-undp.org/sites/default/files/resources/zambia_nap-ag_case_study.pdf" TargetMode="External"/><Relationship Id="rId202" Type="http://schemas.openxmlformats.org/officeDocument/2006/relationships/hyperlink" Target="https://www.zamstats.gov.zm/publications/2022-census-preliminary-report" TargetMode="External"/><Relationship Id="rId18" Type="http://schemas.openxmlformats.org/officeDocument/2006/relationships/footer" Target="footer5.xml"/><Relationship Id="rId39" Type="http://schemas.openxmlformats.org/officeDocument/2006/relationships/hyperlink" Target="https://documents.worldbank.org/en/publication/documents-reports/documentdetail/765361468136816043/poverty-and-climate-change-reducing-the-vulnerability-of-the-poor" TargetMode="External"/><Relationship Id="rId50" Type="http://schemas.openxmlformats.org/officeDocument/2006/relationships/hyperlink" Target="https://documents.worldbank.org/en/publication/documents-reports/documentdetail/765361468136816043/poverty-and-climate-change-reducing-the-vulnerability-of-the-poor" TargetMode="External"/><Relationship Id="rId104" Type="http://schemas.openxmlformats.org/officeDocument/2006/relationships/hyperlink" Target="https://www.ipcc.ch/report/ar5/syr/" TargetMode="External"/><Relationship Id="rId125" Type="http://schemas.openxmlformats.org/officeDocument/2006/relationships/hyperlink" Target="https://doi.org/10.1016/j.ijdrr.2013.07.001" TargetMode="External"/><Relationship Id="rId146" Type="http://schemas.openxmlformats.org/officeDocument/2006/relationships/hyperlink" Target="https://unesdoc.unesco.org/ark:/48223/pf0000216612" TargetMode="External"/><Relationship Id="rId167" Type="http://schemas.openxmlformats.org/officeDocument/2006/relationships/hyperlink" Target="https://policy-practice.oxfam.org/resources/climate-change-adaptation-enabling-people-living-in-poverty-to-adapt-112455/" TargetMode="External"/><Relationship Id="rId188" Type="http://schemas.openxmlformats.org/officeDocument/2006/relationships/hyperlink" Target="https://www.unep.org/resources/book/bridging-scales-and-knowledge-systems" TargetMode="External"/><Relationship Id="rId71" Type="http://schemas.openxmlformats.org/officeDocument/2006/relationships/hyperlink" Target="https://doi.org/10.1016/j.heliyon.2019.e01492" TargetMode="External"/><Relationship Id="rId92" Type="http://schemas.openxmlformats.org/officeDocument/2006/relationships/hyperlink" Target="https://doi.org/10.11648/j.ajtas.20160501.11" TargetMode="External"/><Relationship Id="rId213" Type="http://schemas.openxmlformats.org/officeDocument/2006/relationships/footer" Target="footer14.xml"/><Relationship Id="rId2" Type="http://schemas.openxmlformats.org/officeDocument/2006/relationships/numbering" Target="numbering.xml"/><Relationship Id="rId29" Type="http://schemas.openxmlformats.org/officeDocument/2006/relationships/chart" Target="charts/chart3.xml"/><Relationship Id="rId40" Type="http://schemas.openxmlformats.org/officeDocument/2006/relationships/hyperlink" Target="https://documents.worldbank.org/en/publication/documents-reports/documentdetail/765361468136816043/poverty-and-climate-change-reducing-the-vulnerability-of-the-poor" TargetMode="External"/><Relationship Id="rId115" Type="http://schemas.openxmlformats.org/officeDocument/2006/relationships/hyperlink" Target="https://doi.org/10.1016/j.gloenvcha.2013.02.012" TargetMode="External"/><Relationship Id="rId136" Type="http://schemas.openxmlformats.org/officeDocument/2006/relationships/hyperlink" Target="https://doi.org/10.1007/s00267-016-0780-5" TargetMode="External"/><Relationship Id="rId157" Type="http://schemas.openxmlformats.org/officeDocument/2006/relationships/hyperlink" Target="https://doi.org/10.1007/s10488-013-0528-y" TargetMode="External"/><Relationship Id="rId178" Type="http://schemas.openxmlformats.org/officeDocument/2006/relationships/hyperlink" Target="https://policy-practice.oxfam.org/resources/climate-change-adaptation-enabling-people-living-in-poverty-to-adapt-112455/" TargetMode="External"/><Relationship Id="rId61" Type="http://schemas.openxmlformats.org/officeDocument/2006/relationships/hyperlink" Target="https://www.aje.com/en/arc/how-to-generalize-research-findings/" TargetMode="External"/><Relationship Id="rId82" Type="http://schemas.openxmlformats.org/officeDocument/2006/relationships/hyperlink" Target="https://www.ifpri.org/publication/determinants-farmers-choice-adaptation-methods-and-perceptions-climate-change-nile" TargetMode="External"/><Relationship Id="rId199" Type="http://schemas.openxmlformats.org/officeDocument/2006/relationships/hyperlink" Target="https://www.adaptation-undp.org/sites/default/files/resources/zambia_nap-ag_case_study.pdf" TargetMode="External"/><Relationship Id="rId203" Type="http://schemas.openxmlformats.org/officeDocument/2006/relationships/hyperlink" Target="https://www.zamstats.gov.zm/publications/2022-census-preliminary-report" TargetMode="External"/><Relationship Id="rId19" Type="http://schemas.openxmlformats.org/officeDocument/2006/relationships/header" Target="header6.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20" b="1" i="0" u="none" strike="noStrike" kern="1200" spc="0" baseline="0">
                <a:solidFill>
                  <a:schemeClr val="tx1">
                    <a:lumMod val="65000"/>
                    <a:lumOff val="35000"/>
                  </a:schemeClr>
                </a:solidFill>
                <a:latin typeface="+mn-lt"/>
                <a:ea typeface="+mn-ea"/>
                <a:cs typeface="+mn-cs"/>
              </a:defRPr>
            </a:pPr>
            <a:r>
              <a:rPr lang="en-US" b="1"/>
              <a:t>Most cultivated crops</a:t>
            </a:r>
          </a:p>
        </c:rich>
      </c:tx>
      <c:overlay val="0"/>
      <c:spPr>
        <a:noFill/>
        <a:ln>
          <a:noFill/>
        </a:ln>
        <a:effectLst/>
      </c:spPr>
      <c:txPr>
        <a:bodyPr rot="0" spcFirstLastPara="1" vertOverflow="ellipsis" vert="horz" wrap="square" anchor="ctr" anchorCtr="1"/>
        <a:lstStyle/>
        <a:p>
          <a:pPr>
            <a:defRPr sz="132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Sheet1!$A$1:$A$4</c:f>
              <c:strCache>
                <c:ptCount val="4"/>
                <c:pt idx="0">
                  <c:v>Maize</c:v>
                </c:pt>
                <c:pt idx="1">
                  <c:v>Legumes</c:v>
                </c:pt>
                <c:pt idx="2">
                  <c:v>Cassava</c:v>
                </c:pt>
                <c:pt idx="3">
                  <c:v>Other</c:v>
                </c:pt>
              </c:strCache>
            </c:strRef>
          </c:cat>
          <c:val>
            <c:numRef>
              <c:f>Sheet1!$B$1:$B$4</c:f>
              <c:numCache>
                <c:formatCode>General</c:formatCode>
                <c:ptCount val="4"/>
                <c:pt idx="0">
                  <c:v>100</c:v>
                </c:pt>
                <c:pt idx="1">
                  <c:v>98</c:v>
                </c:pt>
                <c:pt idx="2">
                  <c:v>29</c:v>
                </c:pt>
                <c:pt idx="3">
                  <c:v>10</c:v>
                </c:pt>
              </c:numCache>
            </c:numRef>
          </c:val>
          <c:extLst>
            <c:ext xmlns:c16="http://schemas.microsoft.com/office/drawing/2014/chart" uri="{C3380CC4-5D6E-409C-BE32-E72D297353CC}">
              <c16:uniqueId val="{00000000-607E-4D8E-892E-0B053B3345E4}"/>
            </c:ext>
          </c:extLst>
        </c:ser>
        <c:dLbls>
          <c:dLblPos val="outEnd"/>
          <c:showLegendKey val="0"/>
          <c:showVal val="1"/>
          <c:showCatName val="0"/>
          <c:showSerName val="0"/>
          <c:showPercent val="0"/>
          <c:showBubbleSize val="0"/>
        </c:dLbls>
        <c:gapWidth val="219"/>
        <c:overlap val="-27"/>
        <c:axId val="373295824"/>
        <c:axId val="373294384"/>
      </c:barChart>
      <c:catAx>
        <c:axId val="373295824"/>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b="1"/>
                  <a:t>Type of Crops</a:t>
                </a:r>
              </a:p>
            </c:rich>
          </c:tx>
          <c:layout>
            <c:manualLayout>
              <c:xMode val="edge"/>
              <c:yMode val="edge"/>
              <c:x val="0.40358902012248471"/>
              <c:y val="0.89719889180519097"/>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73294384"/>
        <c:crosses val="autoZero"/>
        <c:auto val="1"/>
        <c:lblAlgn val="ctr"/>
        <c:lblOffset val="100"/>
        <c:noMultiLvlLbl val="0"/>
      </c:catAx>
      <c:valAx>
        <c:axId val="37329438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b="1"/>
                  <a:t>Frequency</a:t>
                </a:r>
              </a:p>
            </c:rich>
          </c:tx>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73295824"/>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sz="1100"/>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t>Climate variables perceived to have changed</a:t>
            </a:r>
          </a:p>
        </c:rich>
      </c:tx>
      <c:layout>
        <c:manualLayout>
          <c:xMode val="edge"/>
          <c:yMode val="edge"/>
          <c:x val="0.16798622047244094"/>
          <c:y val="2.3148148148148147E-2"/>
        </c:manualLayout>
      </c:layout>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Sheet2!$A$1:$A$4</c:f>
              <c:strCache>
                <c:ptCount val="4"/>
                <c:pt idx="0">
                  <c:v>Rainfall</c:v>
                </c:pt>
                <c:pt idx="1">
                  <c:v>Drought</c:v>
                </c:pt>
                <c:pt idx="2">
                  <c:v>Floods</c:v>
                </c:pt>
                <c:pt idx="3">
                  <c:v>Temperature</c:v>
                </c:pt>
              </c:strCache>
            </c:strRef>
          </c:cat>
          <c:val>
            <c:numRef>
              <c:f>Sheet2!$B$1:$B$4</c:f>
              <c:numCache>
                <c:formatCode>General</c:formatCode>
                <c:ptCount val="4"/>
                <c:pt idx="0">
                  <c:v>110</c:v>
                </c:pt>
                <c:pt idx="1">
                  <c:v>110</c:v>
                </c:pt>
                <c:pt idx="2">
                  <c:v>109</c:v>
                </c:pt>
                <c:pt idx="3">
                  <c:v>1</c:v>
                </c:pt>
              </c:numCache>
            </c:numRef>
          </c:val>
          <c:extLst>
            <c:ext xmlns:c16="http://schemas.microsoft.com/office/drawing/2014/chart" uri="{C3380CC4-5D6E-409C-BE32-E72D297353CC}">
              <c16:uniqueId val="{00000000-FD6B-485A-B134-10C93D7B2BC6}"/>
            </c:ext>
          </c:extLst>
        </c:ser>
        <c:dLbls>
          <c:dLblPos val="outEnd"/>
          <c:showLegendKey val="0"/>
          <c:showVal val="1"/>
          <c:showCatName val="0"/>
          <c:showSerName val="0"/>
          <c:showPercent val="0"/>
          <c:showBubbleSize val="0"/>
        </c:dLbls>
        <c:gapWidth val="182"/>
        <c:axId val="373324624"/>
        <c:axId val="373328944"/>
      </c:barChart>
      <c:catAx>
        <c:axId val="373324624"/>
        <c:scaling>
          <c:orientation val="minMax"/>
        </c:scaling>
        <c:delete val="0"/>
        <c:axPos val="l"/>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a:t>Climate variables</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73328944"/>
        <c:crosses val="autoZero"/>
        <c:auto val="1"/>
        <c:lblAlgn val="ctr"/>
        <c:lblOffset val="100"/>
        <c:noMultiLvlLbl val="0"/>
      </c:catAx>
      <c:valAx>
        <c:axId val="37332894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r>
                  <a:rPr lang="en-US"/>
                  <a:t>Frequency</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73324624"/>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sz="1100"/>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t>Frequency of practice in conservation farming </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7E9-4C26-A3F8-1A263A6C21F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7E9-4C26-A3F8-1A263A6C21F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7E9-4C26-A3F8-1A263A6C21F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7E9-4C26-A3F8-1A263A6C21F7}"/>
              </c:ext>
            </c:extLst>
          </c:dPt>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Sheet3!$A$1:$A$4</c:f>
              <c:strCache>
                <c:ptCount val="4"/>
                <c:pt idx="0">
                  <c:v>Conservation tillage</c:v>
                </c:pt>
                <c:pt idx="1">
                  <c:v>Organic fertilizers</c:v>
                </c:pt>
                <c:pt idx="2">
                  <c:v>Agroforestry</c:v>
                </c:pt>
                <c:pt idx="3">
                  <c:v>Other</c:v>
                </c:pt>
              </c:strCache>
            </c:strRef>
          </c:cat>
          <c:val>
            <c:numRef>
              <c:f>Sheet3!$B$1:$B$4</c:f>
              <c:numCache>
                <c:formatCode>General</c:formatCode>
                <c:ptCount val="4"/>
                <c:pt idx="0">
                  <c:v>107</c:v>
                </c:pt>
                <c:pt idx="1">
                  <c:v>52</c:v>
                </c:pt>
                <c:pt idx="2">
                  <c:v>44</c:v>
                </c:pt>
                <c:pt idx="3">
                  <c:v>4</c:v>
                </c:pt>
              </c:numCache>
            </c:numRef>
          </c:val>
          <c:extLst>
            <c:ext xmlns:c16="http://schemas.microsoft.com/office/drawing/2014/chart" uri="{C3380CC4-5D6E-409C-BE32-E72D297353CC}">
              <c16:uniqueId val="{00000008-97E9-4C26-A3F8-1A263A6C21F7}"/>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sz="1100"/>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r>
              <a:rPr lang="en-US" sz="1200" b="1"/>
              <a:t>Effectiveness of LEK </a:t>
            </a:r>
          </a:p>
        </c:rich>
      </c:tx>
      <c:overlay val="0"/>
      <c:spPr>
        <a:noFill/>
        <a:ln>
          <a:noFill/>
        </a:ln>
        <a:effectLst/>
      </c:spPr>
      <c:txPr>
        <a:bodyPr rot="0" spcFirstLastPara="1" vertOverflow="ellipsis" vert="horz" wrap="square" anchor="ctr" anchorCtr="1"/>
        <a:lstStyle/>
        <a:p>
          <a:pPr>
            <a:defRPr sz="120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Sheet4!$A$1:$A$3</c:f>
              <c:strCache>
                <c:ptCount val="3"/>
                <c:pt idx="0">
                  <c:v>Very effective</c:v>
                </c:pt>
                <c:pt idx="1">
                  <c:v>Effective</c:v>
                </c:pt>
                <c:pt idx="2">
                  <c:v>Not effective</c:v>
                </c:pt>
              </c:strCache>
            </c:strRef>
          </c:cat>
          <c:val>
            <c:numRef>
              <c:f>Sheet4!$B$1:$B$3</c:f>
              <c:numCache>
                <c:formatCode>General</c:formatCode>
                <c:ptCount val="3"/>
                <c:pt idx="0">
                  <c:v>65</c:v>
                </c:pt>
                <c:pt idx="1">
                  <c:v>44</c:v>
                </c:pt>
                <c:pt idx="2">
                  <c:v>1</c:v>
                </c:pt>
              </c:numCache>
            </c:numRef>
          </c:val>
          <c:extLst>
            <c:ext xmlns:c16="http://schemas.microsoft.com/office/drawing/2014/chart" uri="{C3380CC4-5D6E-409C-BE32-E72D297353CC}">
              <c16:uniqueId val="{00000000-5922-4113-8079-F611D8346215}"/>
            </c:ext>
          </c:extLst>
        </c:ser>
        <c:dLbls>
          <c:dLblPos val="outEnd"/>
          <c:showLegendKey val="0"/>
          <c:showVal val="1"/>
          <c:showCatName val="0"/>
          <c:showSerName val="0"/>
          <c:showPercent val="0"/>
          <c:showBubbleSize val="0"/>
        </c:dLbls>
        <c:gapWidth val="219"/>
        <c:overlap val="-27"/>
        <c:axId val="373279984"/>
        <c:axId val="373298224"/>
      </c:barChart>
      <c:catAx>
        <c:axId val="373279984"/>
        <c:scaling>
          <c:orientation val="minMax"/>
        </c:scaling>
        <c:delete val="0"/>
        <c:axPos val="b"/>
        <c:title>
          <c:tx>
            <c:rich>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b="1"/>
                  <a:t>Scale of Effectiveness</a:t>
                </a:r>
              </a:p>
            </c:rich>
          </c:tx>
          <c:layout>
            <c:manualLayout>
              <c:xMode val="edge"/>
              <c:yMode val="edge"/>
              <c:x val="0.33040540623969761"/>
              <c:y val="0.87175344105326136"/>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73298224"/>
        <c:crosses val="autoZero"/>
        <c:auto val="1"/>
        <c:lblAlgn val="ctr"/>
        <c:lblOffset val="100"/>
        <c:noMultiLvlLbl val="0"/>
      </c:catAx>
      <c:valAx>
        <c:axId val="3732982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r>
                  <a:rPr lang="en-US" b="1"/>
                  <a:t>Frequency</a:t>
                </a:r>
              </a:p>
            </c:rich>
          </c:tx>
          <c:layout>
            <c:manualLayout>
              <c:xMode val="edge"/>
              <c:yMode val="edge"/>
              <c:x val="1.9444444444444445E-2"/>
              <c:y val="0.37249234470691162"/>
            </c:manualLayout>
          </c:layout>
          <c:overlay val="0"/>
          <c:spPr>
            <a:noFill/>
            <a:ln>
              <a:noFill/>
            </a:ln>
            <a:effectLst/>
          </c:spPr>
          <c:txPr>
            <a:bodyPr rot="-5400000" spcFirstLastPara="1" vertOverflow="ellipsis" vert="horz" wrap="square" anchor="ctr" anchorCtr="1"/>
            <a:lstStyle/>
            <a:p>
              <a:pPr>
                <a:defRPr sz="11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mn-lt"/>
                <a:ea typeface="+mn-ea"/>
                <a:cs typeface="+mn-cs"/>
              </a:defRPr>
            </a:pPr>
            <a:endParaRPr lang="en-US"/>
          </a:p>
        </c:txPr>
        <c:crossAx val="373279984"/>
        <c:crosses val="autoZero"/>
        <c:crossBetween val="between"/>
      </c:valAx>
      <c:spPr>
        <a:noFill/>
        <a:ln>
          <a:noFill/>
        </a:ln>
        <a:effectLst/>
      </c:spPr>
    </c:plotArea>
    <c:plotVisOnly val="1"/>
    <c:dispBlanksAs val="gap"/>
    <c:showDLblsOverMax val="0"/>
  </c:chart>
  <c:spPr>
    <a:solidFill>
      <a:schemeClr val="bg1"/>
    </a:solidFill>
    <a:ln w="9525" cap="flat" cmpd="sng" algn="ctr">
      <a:solidFill>
        <a:sysClr val="windowText" lastClr="000000"/>
      </a:solidFill>
      <a:round/>
    </a:ln>
    <a:effectLst/>
  </c:spPr>
  <c:txPr>
    <a:bodyPr/>
    <a:lstStyle/>
    <a:p>
      <a:pPr>
        <a:defRPr sz="1100"/>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06084-3340-4293-B036-B76F6F625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549</TotalTime>
  <Pages>23</Pages>
  <Words>13815</Words>
  <Characters>78747</Characters>
  <Application>Microsoft Office Word</Application>
  <DocSecurity>0</DocSecurity>
  <Lines>656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CHUKA</dc:creator>
  <cp:keywords/>
  <cp:lastModifiedBy>Editor GP 005</cp:lastModifiedBy>
  <cp:revision>232</cp:revision>
  <dcterms:created xsi:type="dcterms:W3CDTF">2026-01-14T11:15:00Z</dcterms:created>
  <dcterms:modified xsi:type="dcterms:W3CDTF">2026-01-27T12:03:00Z</dcterms:modified>
</cp:coreProperties>
</file>