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2C1D" w14:textId="77777777" w:rsidR="00A57DED" w:rsidRDefault="00B50F5C">
      <w:pPr>
        <w:spacing w:before="240" w:line="288" w:lineRule="auto"/>
        <w:jc w:val="both"/>
        <w:rPr>
          <w:rFonts w:ascii="Times New Roman" w:hAnsi="Times New Roman" w:cs="Times New Roman"/>
          <w:b/>
          <w:sz w:val="22"/>
        </w:rPr>
      </w:pPr>
      <w:bookmarkStart w:id="0" w:name="genetic_variability_and_heritabil_d583af"/>
      <w:bookmarkStart w:id="1" w:name="_GoBack"/>
      <w:bookmarkEnd w:id="1"/>
      <w:r>
        <w:rPr>
          <w:rFonts w:ascii="Times New Roman" w:hAnsi="Times New Roman" w:cs="Times New Roman"/>
          <w:b/>
          <w:sz w:val="22"/>
        </w:rPr>
        <w:t>Genetic Variability and Heritability in Bread Wheat (</w:t>
      </w:r>
      <w:r>
        <w:rPr>
          <w:rFonts w:ascii="Times New Roman" w:hAnsi="Times New Roman" w:cs="Times New Roman"/>
          <w:b/>
          <w:i/>
          <w:sz w:val="22"/>
        </w:rPr>
        <w:t xml:space="preserve">Triticum </w:t>
      </w:r>
      <w:proofErr w:type="spellStart"/>
      <w:r>
        <w:rPr>
          <w:rFonts w:ascii="Times New Roman" w:hAnsi="Times New Roman" w:cs="Times New Roman"/>
          <w:b/>
          <w:i/>
          <w:sz w:val="22"/>
        </w:rPr>
        <w:t>aestivum</w:t>
      </w:r>
      <w:proofErr w:type="spellEnd"/>
      <w:r>
        <w:rPr>
          <w:rFonts w:ascii="Times New Roman" w:hAnsi="Times New Roman" w:cs="Times New Roman"/>
          <w:b/>
          <w:sz w:val="22"/>
        </w:rPr>
        <w:t xml:space="preserve"> L.) Germplasm Across Sowing Environments</w:t>
      </w:r>
      <w:bookmarkEnd w:id="0"/>
    </w:p>
    <w:p w14:paraId="08ACD8FA" w14:textId="77777777" w:rsidR="00A57DED" w:rsidRDefault="00A57DED">
      <w:pPr>
        <w:spacing w:after="0"/>
        <w:rPr>
          <w:rFonts w:ascii="Times New Roman" w:hAnsi="Times New Roman" w:cs="Times New Roman"/>
          <w:bCs/>
          <w:sz w:val="22"/>
        </w:rPr>
      </w:pPr>
      <w:bookmarkStart w:id="2" w:name="abstract"/>
    </w:p>
    <w:p w14:paraId="404E50B4" w14:textId="77777777" w:rsidR="00A57DED" w:rsidRDefault="00B50F5C">
      <w:pPr>
        <w:spacing w:before="240" w:line="271" w:lineRule="auto"/>
        <w:rPr>
          <w:rFonts w:ascii="Times New Roman" w:hAnsi="Times New Roman" w:cs="Times New Roman"/>
          <w:sz w:val="22"/>
        </w:rPr>
      </w:pPr>
      <w:r>
        <w:rPr>
          <w:rFonts w:ascii="Times New Roman" w:hAnsi="Times New Roman" w:cs="Times New Roman"/>
          <w:b/>
          <w:sz w:val="22"/>
        </w:rPr>
        <w:t>Abstract</w:t>
      </w:r>
      <w:bookmarkEnd w:id="2"/>
    </w:p>
    <w:p w14:paraId="177ADD3D" w14:textId="77777777" w:rsidR="00A57DED" w:rsidRDefault="00B50F5C">
      <w:pPr>
        <w:spacing w:after="210" w:line="360" w:lineRule="auto"/>
        <w:ind w:firstLine="720"/>
        <w:jc w:val="both"/>
        <w:rPr>
          <w:rFonts w:ascii="Times New Roman" w:hAnsi="Times New Roman" w:cs="Times New Roman"/>
          <w:sz w:val="22"/>
        </w:rPr>
      </w:pPr>
      <w:r>
        <w:rPr>
          <w:rFonts w:ascii="Times New Roman" w:hAnsi="Times New Roman" w:cs="Times New Roman"/>
          <w:sz w:val="22"/>
        </w:rPr>
        <w:t>Genetic variability is a fundamental prerequisite for successful plant breeding and crop improvement. This investigation assessed genetic variability parameters, including genotypic and phenotypic coefficients of variation (GCV and PCV), heritability, and genetic advance in 40 geographically diverse wheat (</w:t>
      </w:r>
      <w:r>
        <w:rPr>
          <w:rFonts w:ascii="Times New Roman" w:hAnsi="Times New Roman" w:cs="Times New Roman"/>
          <w:i/>
          <w:sz w:val="22"/>
        </w:rPr>
        <w:t xml:space="preserve">Triticum </w:t>
      </w:r>
      <w:proofErr w:type="spellStart"/>
      <w:r>
        <w:rPr>
          <w:rFonts w:ascii="Times New Roman" w:hAnsi="Times New Roman" w:cs="Times New Roman"/>
          <w:i/>
          <w:sz w:val="22"/>
        </w:rPr>
        <w:t>aestivum</w:t>
      </w:r>
      <w:proofErr w:type="spellEnd"/>
      <w:r>
        <w:rPr>
          <w:rFonts w:ascii="Times New Roman" w:hAnsi="Times New Roman" w:cs="Times New Roman"/>
          <w:sz w:val="22"/>
        </w:rPr>
        <w:t xml:space="preserve"> L.) genotypes across three sowing environments (normal, late, and very late sowing). Pooled analysis of variance revealed highly significant differences among genotypes for all morphological, yield-attributing, and quality traits, indicating the presence of substantial genetic variability in the experimental material. </w:t>
      </w:r>
      <w:r>
        <w:rPr>
          <w:rFonts w:ascii="Times New Roman" w:hAnsi="Times New Roman" w:cs="Times New Roman"/>
          <w:sz w:val="2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 xml:space="preserve">PCV values were consistently higher than GCV values for all traits, though the narrow gap between them suggested a predominance of genetic control over environmental influence. </w:t>
      </w:r>
      <w:r>
        <w:rPr>
          <w:rFonts w:ascii="Times New Roman" w:hAnsi="Times New Roman" w:cs="Times New Roman"/>
          <w:sz w:val="22"/>
        </w:rPr>
        <w:t>Heritability estimates ranged from 63.37% (seed yield per plant) to 95.55% (iron content in seed), indicating strong genetic control for most traits. Genetic advance as a percentage of mean (GAM) was highest for 1000-seed weight (24.70%) and effective tillers per plant (21.36%), suggesting that these traits are governed predominantly by additive gene effects and can be effectively improved through simple phenotypic selection. Results indicate</w:t>
      </w:r>
      <w:r>
        <w:rPr>
          <w:rStyle w:val="CommentReference"/>
        </w:rPr>
        <w:t>d</w:t>
      </w:r>
      <w:r>
        <w:rPr>
          <w:rFonts w:ascii="Times New Roman" w:hAnsi="Times New Roman" w:cs="Times New Roman"/>
          <w:sz w:val="22"/>
        </w:rPr>
        <w:t xml:space="preserve"> that traits such as days to maturity, zinc content, and seed yield per plant exhibited high heritability coupled with low GAM, suggesting significant non-additive gene action. These findings provide valuable insights for designing effective selection strategies in wheat breeding </w:t>
      </w:r>
      <w:proofErr w:type="spellStart"/>
      <w:r>
        <w:rPr>
          <w:rFonts w:ascii="Times New Roman" w:hAnsi="Times New Roman" w:cs="Times New Roman"/>
          <w:sz w:val="22"/>
        </w:rPr>
        <w:t>programmes</w:t>
      </w:r>
      <w:proofErr w:type="spellEnd"/>
      <w:r>
        <w:rPr>
          <w:rFonts w:ascii="Times New Roman" w:hAnsi="Times New Roman" w:cs="Times New Roman"/>
          <w:sz w:val="22"/>
        </w:rPr>
        <w:t xml:space="preserve"> aimed at improving yield and nutritional quality across variable </w:t>
      </w:r>
      <w:proofErr w:type="spellStart"/>
      <w:r>
        <w:rPr>
          <w:rFonts w:ascii="Times New Roman" w:hAnsi="Times New Roman" w:cs="Times New Roman"/>
          <w:sz w:val="22"/>
        </w:rPr>
        <w:t>agro</w:t>
      </w:r>
      <w:proofErr w:type="spellEnd"/>
      <w:r>
        <w:rPr>
          <w:rFonts w:ascii="Times New Roman" w:hAnsi="Times New Roman" w:cs="Times New Roman"/>
          <w:sz w:val="22"/>
        </w:rPr>
        <w:t>-climatic conditions in India.</w:t>
      </w:r>
    </w:p>
    <w:p w14:paraId="39176DF2" w14:textId="77777777" w:rsidR="00A57DED" w:rsidRDefault="00B50F5C">
      <w:pPr>
        <w:spacing w:after="210"/>
        <w:jc w:val="both"/>
        <w:rPr>
          <w:rFonts w:ascii="Times New Roman" w:hAnsi="Times New Roman" w:cs="Times New Roman"/>
          <w:sz w:val="22"/>
        </w:rPr>
      </w:pPr>
      <w:r>
        <w:rPr>
          <w:rFonts w:ascii="Times New Roman" w:hAnsi="Times New Roman" w:cs="Times New Roman"/>
          <w:b/>
          <w:sz w:val="22"/>
        </w:rPr>
        <w:t>Keywords:</w:t>
      </w:r>
      <w:r>
        <w:rPr>
          <w:rFonts w:ascii="Times New Roman" w:hAnsi="Times New Roman" w:cs="Times New Roman"/>
          <w:sz w:val="22"/>
        </w:rPr>
        <w:t xml:space="preserve"> genetic variability, heritability, genetic advance, wheat germplasm, sowing environments, additive gene action</w:t>
      </w:r>
    </w:p>
    <w:p w14:paraId="52E1B388" w14:textId="77777777" w:rsidR="00A57DED" w:rsidRDefault="00B50F5C">
      <w:pPr>
        <w:spacing w:before="240" w:line="271" w:lineRule="auto"/>
        <w:rPr>
          <w:rFonts w:ascii="Times New Roman" w:hAnsi="Times New Roman" w:cs="Times New Roman"/>
          <w:sz w:val="28"/>
          <w:szCs w:val="28"/>
        </w:rPr>
      </w:pPr>
      <w:bookmarkStart w:id="3" w:name="bm_1_introduction"/>
      <w:r>
        <w:rPr>
          <w:rFonts w:ascii="Times New Roman" w:hAnsi="Times New Roman" w:cs="Times New Roman"/>
          <w:b/>
          <w:sz w:val="28"/>
          <w:szCs w:val="28"/>
        </w:rPr>
        <w:t>Introduction</w:t>
      </w:r>
      <w:bookmarkEnd w:id="3"/>
    </w:p>
    <w:p w14:paraId="37B14159" w14:textId="4E8D9B15" w:rsidR="00A57DED" w:rsidRDefault="00900A90" w:rsidP="005C06F6">
      <w:pPr>
        <w:jc w:val="both"/>
        <w:rPr>
          <w:rFonts w:ascii="Times New Roman" w:hAnsi="Times New Roman" w:cs="Times New Roman"/>
          <w:sz w:val="22"/>
        </w:rPr>
      </w:pPr>
      <w:r w:rsidRPr="005C06F6">
        <w:rPr>
          <w:rFonts w:ascii="Times New Roman" w:hAnsi="Times New Roman" w:cs="Times New Roman"/>
          <w:sz w:val="22"/>
        </w:rPr>
        <w:t xml:space="preserve">Wheat (Triticum </w:t>
      </w:r>
      <w:proofErr w:type="spellStart"/>
      <w:r w:rsidRPr="005C06F6">
        <w:rPr>
          <w:rFonts w:ascii="Times New Roman" w:hAnsi="Times New Roman" w:cs="Times New Roman"/>
          <w:sz w:val="22"/>
        </w:rPr>
        <w:t>aestivum</w:t>
      </w:r>
      <w:proofErr w:type="spellEnd"/>
      <w:r w:rsidRPr="005C06F6">
        <w:rPr>
          <w:rFonts w:ascii="Times New Roman" w:hAnsi="Times New Roman" w:cs="Times New Roman"/>
          <w:sz w:val="22"/>
        </w:rPr>
        <w:t xml:space="preserve"> L.), belonging to the family </w:t>
      </w:r>
      <w:proofErr w:type="spellStart"/>
      <w:r w:rsidRPr="005C06F6">
        <w:rPr>
          <w:rFonts w:ascii="Times New Roman" w:hAnsi="Times New Roman" w:cs="Times New Roman"/>
          <w:sz w:val="22"/>
        </w:rPr>
        <w:t>Poaceae</w:t>
      </w:r>
      <w:proofErr w:type="spellEnd"/>
      <w:r w:rsidRPr="005C06F6">
        <w:rPr>
          <w:rFonts w:ascii="Times New Roman" w:hAnsi="Times New Roman" w:cs="Times New Roman"/>
          <w:sz w:val="22"/>
        </w:rPr>
        <w:t xml:space="preserve"> (previously Gramineae), ranks as the world's most widely cultivated cereal crop by harvested area. It earns the title "King of cereals" due to its vast global acreage, high productivity, and dominant role in international food grain trade</w:t>
      </w:r>
      <w:r w:rsidR="00B50F5C" w:rsidRPr="005C06F6">
        <w:rPr>
          <w:rFonts w:ascii="Times New Roman" w:hAnsi="Times New Roman" w:cs="Times New Roman"/>
          <w:sz w:val="22"/>
        </w:rPr>
        <w:t>.</w:t>
      </w:r>
      <w:r w:rsidR="00B50F5C">
        <w:rPr>
          <w:rFonts w:ascii="Times New Roman" w:hAnsi="Times New Roman" w:cs="Times New Roman"/>
          <w:sz w:val="22"/>
        </w:rPr>
        <w:t xml:space="preserve"> Globally, wheat is cultivated on approximately 221 million hectares with annual production reaching around 780 million </w:t>
      </w:r>
      <w:proofErr w:type="spellStart"/>
      <w:r w:rsidR="00B50F5C">
        <w:rPr>
          <w:rFonts w:ascii="Times New Roman" w:hAnsi="Times New Roman" w:cs="Times New Roman"/>
          <w:sz w:val="22"/>
        </w:rPr>
        <w:t>tonnes</w:t>
      </w:r>
      <w:proofErr w:type="spellEnd"/>
      <w:r w:rsidR="00B50F5C">
        <w:rPr>
          <w:rFonts w:ascii="Times New Roman" w:hAnsi="Times New Roman" w:cs="Times New Roman"/>
          <w:sz w:val="22"/>
        </w:rPr>
        <w:t xml:space="preserve"> (FAO, 2024). In India, during the 2023-24 Rabi season, wheat cultivation covered approximately 31.7 million hectares, representing 24-25% of the country's total crop area, with production reaching a record 112 million </w:t>
      </w:r>
      <w:proofErr w:type="spellStart"/>
      <w:r w:rsidR="00B50F5C">
        <w:rPr>
          <w:rFonts w:ascii="Times New Roman" w:hAnsi="Times New Roman" w:cs="Times New Roman"/>
          <w:sz w:val="22"/>
        </w:rPr>
        <w:t>tonnes</w:t>
      </w:r>
      <w:proofErr w:type="spellEnd"/>
      <w:r w:rsidR="00B50F5C">
        <w:rPr>
          <w:rFonts w:ascii="Times New Roman" w:hAnsi="Times New Roman" w:cs="Times New Roman"/>
          <w:sz w:val="22"/>
        </w:rPr>
        <w:t xml:space="preserve"> (</w:t>
      </w:r>
      <w:proofErr w:type="spellStart"/>
      <w:r w:rsidR="00B50F5C">
        <w:rPr>
          <w:rFonts w:ascii="Times New Roman" w:hAnsi="Times New Roman" w:cs="Times New Roman"/>
          <w:sz w:val="22"/>
        </w:rPr>
        <w:t>MoAFW</w:t>
      </w:r>
      <w:proofErr w:type="spellEnd"/>
      <w:r w:rsidR="00B50F5C">
        <w:rPr>
          <w:rFonts w:ascii="Times New Roman" w:hAnsi="Times New Roman" w:cs="Times New Roman"/>
          <w:sz w:val="22"/>
        </w:rPr>
        <w:t xml:space="preserve">, 2024). </w:t>
      </w:r>
    </w:p>
    <w:p w14:paraId="18A1063A" w14:textId="77777777" w:rsidR="002E5F04"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Wheat production depends on several component characters such as days to flowering, days to maturity, plant height, spike length, effective tillers per plant, grains per spike, 1000-grain weight, and importantly, biofortification traits such as zinc, iron, and protein content Meena et al., (2025).  </w:t>
      </w:r>
      <w:r>
        <w:rPr>
          <w:rFonts w:ascii="Times New Roman" w:hAnsi="Times New Roman" w:cs="Times New Roman"/>
          <w:sz w:val="22"/>
        </w:rPr>
        <w:lastRenderedPageBreak/>
        <w:t>Yield is a complex quantitative trait influenced by polygenic inheritance and significantly affected by environmental fluctuations</w:t>
      </w:r>
      <w:r w:rsidR="002E5F04">
        <w:rPr>
          <w:rFonts w:ascii="Times New Roman" w:hAnsi="Times New Roman" w:cs="Times New Roman"/>
          <w:sz w:val="22"/>
        </w:rPr>
        <w:t xml:space="preserve"> </w:t>
      </w:r>
      <w:proofErr w:type="spellStart"/>
      <w:r w:rsidR="002E5F04" w:rsidRPr="002E5F04">
        <w:rPr>
          <w:rFonts w:ascii="Times New Roman" w:hAnsi="Times New Roman" w:cs="Times New Roman"/>
        </w:rPr>
        <w:t>Annicchiarico</w:t>
      </w:r>
      <w:proofErr w:type="spellEnd"/>
      <w:r w:rsidR="002E5F04" w:rsidRPr="002E5F04">
        <w:rPr>
          <w:rFonts w:ascii="Times New Roman" w:hAnsi="Times New Roman" w:cs="Times New Roman"/>
        </w:rPr>
        <w:t>, P. (2002)</w:t>
      </w:r>
      <w:r w:rsidRPr="002E5F04">
        <w:rPr>
          <w:rFonts w:ascii="Times New Roman" w:hAnsi="Times New Roman" w:cs="Times New Roman"/>
          <w:sz w:val="22"/>
        </w:rPr>
        <w:t>.</w:t>
      </w:r>
      <w:r>
        <w:rPr>
          <w:rFonts w:ascii="Times New Roman" w:hAnsi="Times New Roman" w:cs="Times New Roman"/>
          <w:sz w:val="22"/>
        </w:rPr>
        <w:t xml:space="preserve"> The success of wheat cultivation across diverse environments depends largely on genetic diversity and the continuous development of improved varieties suited to variable </w:t>
      </w:r>
      <w:proofErr w:type="spellStart"/>
      <w:r>
        <w:rPr>
          <w:rFonts w:ascii="Times New Roman" w:hAnsi="Times New Roman" w:cs="Times New Roman"/>
          <w:sz w:val="22"/>
        </w:rPr>
        <w:t>agro</w:t>
      </w:r>
      <w:proofErr w:type="spellEnd"/>
      <w:r>
        <w:rPr>
          <w:rFonts w:ascii="Times New Roman" w:hAnsi="Times New Roman" w:cs="Times New Roman"/>
          <w:sz w:val="22"/>
        </w:rPr>
        <w:t>-climatic conditions Patel et al., (2023). For effective crop improvement, knowledge of the genetic variability present in the available germplasm is essential</w:t>
      </w:r>
      <w:r w:rsidR="001618E5">
        <w:rPr>
          <w:rFonts w:ascii="Times New Roman" w:hAnsi="Times New Roman" w:cs="Times New Roman"/>
          <w:sz w:val="22"/>
        </w:rPr>
        <w:t xml:space="preserve"> Allard (1960).</w:t>
      </w:r>
      <w:r>
        <w:rPr>
          <w:rFonts w:ascii="Times New Roman" w:hAnsi="Times New Roman" w:cs="Times New Roman"/>
          <w:sz w:val="22"/>
        </w:rPr>
        <w:t xml:space="preserve"> </w:t>
      </w:r>
    </w:p>
    <w:p w14:paraId="76B6B707" w14:textId="77777777" w:rsidR="00B13425"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Genetic variability provides the basis for selection and exploitation of favorable alleles through breeding </w:t>
      </w:r>
      <w:proofErr w:type="spellStart"/>
      <w:r>
        <w:rPr>
          <w:rFonts w:ascii="Times New Roman" w:hAnsi="Times New Roman" w:cs="Times New Roman"/>
          <w:sz w:val="22"/>
        </w:rPr>
        <w:t>programmes</w:t>
      </w:r>
      <w:proofErr w:type="spellEnd"/>
      <w:r>
        <w:rPr>
          <w:rFonts w:ascii="Times New Roman" w:hAnsi="Times New Roman" w:cs="Times New Roman"/>
          <w:sz w:val="22"/>
        </w:rPr>
        <w:t>. The estimation of genetic parameters such as genotypic coefficient of variation (GCV), phenotypic coefficient of variation (PCV), heritability, and genetic advance as percentage of mean (GAM) helps breeders understand the inheritance pattern of traits and design efficient selection strategies Patel et al., (2024).  Heritability indicates the proportion of phenotypic variation that is due to genetic variation and determines the response to selection</w:t>
      </w:r>
      <w:r w:rsidR="002E5F04">
        <w:rPr>
          <w:rFonts w:ascii="Times New Roman" w:hAnsi="Times New Roman" w:cs="Times New Roman"/>
          <w:sz w:val="22"/>
        </w:rPr>
        <w:t xml:space="preserve"> </w:t>
      </w:r>
      <w:r w:rsidR="002E5F04" w:rsidRPr="002E5F04">
        <w:rPr>
          <w:rFonts w:ascii="Times New Roman" w:hAnsi="Times New Roman" w:cs="Times New Roman"/>
          <w:sz w:val="22"/>
        </w:rPr>
        <w:t>(Allard, 1960)</w:t>
      </w:r>
      <w:r>
        <w:rPr>
          <w:rFonts w:ascii="Times New Roman" w:hAnsi="Times New Roman" w:cs="Times New Roman"/>
          <w:sz w:val="22"/>
        </w:rPr>
        <w:t xml:space="preserve">. High heritability coupled with high genetic advance indicates the predominance of additive gene action, making direct selection more efficient, whereas high heritability with low genetic advance suggests the role of non-additive gene effects, where delayed selection or heterosis breeding could be beneficial </w:t>
      </w:r>
      <w:proofErr w:type="spellStart"/>
      <w:r>
        <w:rPr>
          <w:rFonts w:ascii="Times New Roman" w:hAnsi="Times New Roman" w:cs="Times New Roman"/>
          <w:sz w:val="22"/>
        </w:rPr>
        <w:t>Manjunatha</w:t>
      </w:r>
      <w:proofErr w:type="spellEnd"/>
      <w:r>
        <w:rPr>
          <w:rFonts w:ascii="Times New Roman" w:hAnsi="Times New Roman" w:cs="Times New Roman"/>
          <w:sz w:val="22"/>
        </w:rPr>
        <w:t xml:space="preserve"> et al., (2023).  </w:t>
      </w:r>
    </w:p>
    <w:p w14:paraId="6988A4B4" w14:textId="03450C2A"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Multi-environment testing is essential for identifying stable genotypes that maintain consistent performance across diverse growing conditions</w:t>
      </w:r>
      <w:r w:rsidR="00B13425">
        <w:rPr>
          <w:rFonts w:ascii="Times New Roman" w:hAnsi="Times New Roman" w:cs="Times New Roman"/>
          <w:sz w:val="22"/>
        </w:rPr>
        <w:t xml:space="preserve"> </w:t>
      </w:r>
      <w:r w:rsidR="00B13425" w:rsidRPr="00B13425">
        <w:rPr>
          <w:rFonts w:ascii="Times New Roman" w:hAnsi="Times New Roman" w:cs="Times New Roman"/>
        </w:rPr>
        <w:t>(</w:t>
      </w:r>
      <w:proofErr w:type="spellStart"/>
      <w:r w:rsidR="00B13425" w:rsidRPr="00B13425">
        <w:rPr>
          <w:rFonts w:ascii="Times New Roman" w:hAnsi="Times New Roman" w:cs="Times New Roman"/>
        </w:rPr>
        <w:t>Annicchiarico</w:t>
      </w:r>
      <w:proofErr w:type="spellEnd"/>
      <w:r w:rsidR="00B13425" w:rsidRPr="00B13425">
        <w:rPr>
          <w:rFonts w:ascii="Times New Roman" w:hAnsi="Times New Roman" w:cs="Times New Roman"/>
        </w:rPr>
        <w:t>, 2002).</w:t>
      </w:r>
      <w:r>
        <w:rPr>
          <w:rFonts w:ascii="Times New Roman" w:hAnsi="Times New Roman" w:cs="Times New Roman"/>
          <w:sz w:val="22"/>
        </w:rPr>
        <w:t xml:space="preserve"> </w:t>
      </w:r>
      <w:r w:rsidRPr="00B13425">
        <w:rPr>
          <w:rFonts w:ascii="Times New Roman" w:hAnsi="Times New Roman" w:cs="Times New Roman"/>
          <w:sz w:val="22"/>
        </w:rPr>
        <w:t>Sowing date is a critical environmental factor that influences wheat phenology, growth, and yield. Late sowing exposes wheat to terminal heat stress during grain filling, reducing yield and physiological traits</w:t>
      </w:r>
      <w:r w:rsidR="00B13425">
        <w:rPr>
          <w:rFonts w:ascii="Times New Roman" w:hAnsi="Times New Roman" w:cs="Times New Roman"/>
          <w:sz w:val="22"/>
        </w:rPr>
        <w:t xml:space="preserve"> </w:t>
      </w:r>
      <w:r w:rsidR="00B13425" w:rsidRPr="00B13425">
        <w:rPr>
          <w:rFonts w:ascii="Times New Roman" w:hAnsi="Times New Roman" w:cs="Times New Roman"/>
          <w:sz w:val="22"/>
        </w:rPr>
        <w:t>(Choudhary et al., 2021)</w:t>
      </w:r>
      <w:r>
        <w:rPr>
          <w:rFonts w:ascii="Times New Roman" w:hAnsi="Times New Roman" w:cs="Times New Roman"/>
          <w:sz w:val="22"/>
        </w:rPr>
        <w:t xml:space="preserve">. However, genotypes vary in their response to such environmental stress, and understanding this variation is crucial for identifying broadly adapted and stress-tolerant varieties. Meena et al., (2025).  </w:t>
      </w:r>
    </w:p>
    <w:p w14:paraId="7BB7AE8B"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The present investigation was undertaken to assess genetic variability parameters in a diverse collection of wheat genotypes across three contrasting sowing environments (normal, late, and very late sowing), providing insights into the nature and magnitude of genetic control and the potential for selection to improve yield and quality traits under variable environmental conditions.</w:t>
      </w:r>
    </w:p>
    <w:p w14:paraId="50AFF27F" w14:textId="77777777" w:rsidR="00A57DED" w:rsidRDefault="00B50F5C">
      <w:pPr>
        <w:spacing w:after="0" w:line="271" w:lineRule="auto"/>
        <w:rPr>
          <w:rFonts w:ascii="Times New Roman" w:hAnsi="Times New Roman" w:cs="Times New Roman"/>
          <w:b/>
          <w:sz w:val="22"/>
        </w:rPr>
      </w:pPr>
      <w:bookmarkStart w:id="4" w:name="bm_2_materials_and_methods"/>
      <w:r>
        <w:rPr>
          <w:rFonts w:ascii="Times New Roman" w:hAnsi="Times New Roman" w:cs="Times New Roman"/>
          <w:b/>
          <w:sz w:val="22"/>
        </w:rPr>
        <w:t>Materials and Methods</w:t>
      </w:r>
      <w:bookmarkEnd w:id="4"/>
    </w:p>
    <w:p w14:paraId="08F6D07A" w14:textId="77777777" w:rsidR="00A57DED" w:rsidRDefault="00B50F5C">
      <w:pPr>
        <w:spacing w:after="0" w:line="271" w:lineRule="auto"/>
        <w:rPr>
          <w:rFonts w:ascii="Times New Roman" w:hAnsi="Times New Roman" w:cs="Times New Roman"/>
          <w:b/>
          <w:sz w:val="22"/>
        </w:rPr>
      </w:pPr>
      <w:bookmarkStart w:id="5" w:name="bm_2_1_plant_material"/>
      <w:r>
        <w:rPr>
          <w:rFonts w:ascii="Times New Roman" w:hAnsi="Times New Roman" w:cs="Times New Roman"/>
          <w:b/>
          <w:sz w:val="22"/>
        </w:rPr>
        <w:t>Plant Material</w:t>
      </w:r>
      <w:bookmarkEnd w:id="5"/>
    </w:p>
    <w:p w14:paraId="29DB15BD"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The study employed 40 geographically diverse indigenous wheat genotypes collected from principal wheat-growing regions of India. These genotypes represented diverse genetic backgrounds and agronomic characteristics, selected to capture the breadth of genetic diversity available in Indian wheat germplasm.</w:t>
      </w:r>
    </w:p>
    <w:p w14:paraId="7E391799" w14:textId="77777777" w:rsidR="00A57DED" w:rsidRDefault="00B50F5C">
      <w:pPr>
        <w:spacing w:after="0" w:line="360" w:lineRule="auto"/>
        <w:rPr>
          <w:rFonts w:ascii="Times New Roman" w:hAnsi="Times New Roman" w:cs="Times New Roman"/>
          <w:sz w:val="22"/>
        </w:rPr>
      </w:pPr>
      <w:bookmarkStart w:id="6" w:name="bm_2_2_experimental_design_and_en_1ba861"/>
      <w:r>
        <w:rPr>
          <w:rFonts w:ascii="Times New Roman" w:hAnsi="Times New Roman" w:cs="Times New Roman"/>
          <w:b/>
          <w:sz w:val="22"/>
        </w:rPr>
        <w:lastRenderedPageBreak/>
        <w:t>Experimental Design and Environments</w:t>
      </w:r>
      <w:bookmarkEnd w:id="6"/>
    </w:p>
    <w:p w14:paraId="6F4B53B9" w14:textId="4A4767B8" w:rsidR="00A57DED" w:rsidRDefault="00B50F5C">
      <w:pPr>
        <w:spacing w:after="0" w:line="360" w:lineRule="auto"/>
        <w:jc w:val="both"/>
        <w:rPr>
          <w:rFonts w:ascii="Times New Roman" w:hAnsi="Times New Roman" w:cs="Times New Roman"/>
          <w:sz w:val="22"/>
        </w:rPr>
      </w:pPr>
      <w:r>
        <w:rPr>
          <w:rFonts w:ascii="Times New Roman" w:hAnsi="Times New Roman" w:cs="Times New Roman"/>
          <w:sz w:val="22"/>
        </w:rPr>
        <w:t xml:space="preserve">The experiment was conducted at two research farms at SGT’s Farm and at the IARI’s farm the in Gurugram &amp; Delhi across three sowing </w:t>
      </w:r>
      <w:proofErr w:type="spellStart"/>
      <w:proofErr w:type="gramStart"/>
      <w:r>
        <w:rPr>
          <w:rFonts w:ascii="Times New Roman" w:hAnsi="Times New Roman" w:cs="Times New Roman"/>
          <w:sz w:val="22"/>
        </w:rPr>
        <w:t>environments</w:t>
      </w:r>
      <w:r w:rsidR="00B13425">
        <w:rPr>
          <w:rFonts w:ascii="Times New Roman" w:hAnsi="Times New Roman" w:cs="Times New Roman"/>
          <w:sz w:val="22"/>
        </w:rPr>
        <w:t>.The</w:t>
      </w:r>
      <w:proofErr w:type="spellEnd"/>
      <w:proofErr w:type="gramEnd"/>
      <w:r w:rsidR="00B13425">
        <w:rPr>
          <w:rFonts w:ascii="Times New Roman" w:hAnsi="Times New Roman" w:cs="Times New Roman"/>
          <w:sz w:val="22"/>
        </w:rPr>
        <w:t xml:space="preserve"> design </w:t>
      </w:r>
      <w:r w:rsidR="001456B0">
        <w:rPr>
          <w:rFonts w:ascii="Times New Roman" w:hAnsi="Times New Roman" w:cs="Times New Roman"/>
          <w:sz w:val="22"/>
        </w:rPr>
        <w:t xml:space="preserve">used is </w:t>
      </w:r>
      <w:proofErr w:type="spellStart"/>
      <w:r w:rsidR="00B13425">
        <w:rPr>
          <w:rFonts w:ascii="Times New Roman" w:hAnsi="Times New Roman" w:cs="Times New Roman"/>
          <w:sz w:val="22"/>
        </w:rPr>
        <w:t>R</w:t>
      </w:r>
      <w:r w:rsidR="00594D1C">
        <w:rPr>
          <w:rFonts w:ascii="Times New Roman" w:hAnsi="Times New Roman" w:cs="Times New Roman"/>
          <w:sz w:val="22"/>
        </w:rPr>
        <w:t>andomised</w:t>
      </w:r>
      <w:proofErr w:type="spellEnd"/>
      <w:r w:rsidR="00594D1C">
        <w:rPr>
          <w:rFonts w:ascii="Times New Roman" w:hAnsi="Times New Roman" w:cs="Times New Roman"/>
          <w:sz w:val="22"/>
        </w:rPr>
        <w:t xml:space="preserve"> </w:t>
      </w:r>
      <w:r w:rsidR="00B13425">
        <w:rPr>
          <w:rFonts w:ascii="Times New Roman" w:hAnsi="Times New Roman" w:cs="Times New Roman"/>
          <w:sz w:val="22"/>
        </w:rPr>
        <w:t>B</w:t>
      </w:r>
      <w:r w:rsidR="00594D1C">
        <w:rPr>
          <w:rFonts w:ascii="Times New Roman" w:hAnsi="Times New Roman" w:cs="Times New Roman"/>
          <w:sz w:val="22"/>
        </w:rPr>
        <w:t xml:space="preserve">lock </w:t>
      </w:r>
      <w:r w:rsidR="00B13425">
        <w:rPr>
          <w:rFonts w:ascii="Times New Roman" w:hAnsi="Times New Roman" w:cs="Times New Roman"/>
          <w:sz w:val="22"/>
        </w:rPr>
        <w:t>D</w:t>
      </w:r>
      <w:r w:rsidR="00594D1C">
        <w:rPr>
          <w:rFonts w:ascii="Times New Roman" w:hAnsi="Times New Roman" w:cs="Times New Roman"/>
          <w:sz w:val="22"/>
        </w:rPr>
        <w:t>esign, 2 replications in experiment was carried out in three environments</w:t>
      </w:r>
      <w:r>
        <w:rPr>
          <w:rFonts w:ascii="Times New Roman" w:hAnsi="Times New Roman" w:cs="Times New Roman"/>
          <w:sz w:val="22"/>
        </w:rPr>
        <w:t>:</w:t>
      </w:r>
    </w:p>
    <w:p w14:paraId="37D7C5E3" w14:textId="77777777" w:rsidR="00A57DED" w:rsidRDefault="00B50F5C">
      <w:pPr>
        <w:spacing w:after="0" w:line="360" w:lineRule="auto"/>
        <w:jc w:val="both"/>
        <w:rPr>
          <w:rFonts w:ascii="Times New Roman" w:hAnsi="Times New Roman" w:cs="Times New Roman"/>
          <w:sz w:val="22"/>
        </w:rPr>
      </w:pPr>
      <w:r>
        <w:rPr>
          <w:rFonts w:ascii="Times New Roman" w:hAnsi="Times New Roman" w:cs="Times New Roman"/>
          <w:b/>
          <w:sz w:val="22"/>
        </w:rPr>
        <w:t>E1:</w:t>
      </w:r>
      <w:r>
        <w:rPr>
          <w:rFonts w:ascii="Times New Roman" w:hAnsi="Times New Roman" w:cs="Times New Roman"/>
          <w:sz w:val="22"/>
        </w:rPr>
        <w:t xml:space="preserve"> Normal sowing (timely sown conditions, optimal temperature and moisture) on 15-11-2023.</w:t>
      </w:r>
    </w:p>
    <w:p w14:paraId="6BCF5BAC" w14:textId="77777777" w:rsidR="00A57DED" w:rsidRDefault="00B50F5C">
      <w:pPr>
        <w:spacing w:after="0" w:line="360" w:lineRule="auto"/>
        <w:jc w:val="both"/>
        <w:rPr>
          <w:rFonts w:ascii="Times New Roman" w:hAnsi="Times New Roman" w:cs="Times New Roman"/>
          <w:sz w:val="22"/>
        </w:rPr>
      </w:pPr>
      <w:r>
        <w:rPr>
          <w:rFonts w:ascii="Times New Roman" w:hAnsi="Times New Roman" w:cs="Times New Roman"/>
          <w:b/>
          <w:sz w:val="22"/>
        </w:rPr>
        <w:t>E2:</w:t>
      </w:r>
      <w:r>
        <w:rPr>
          <w:rFonts w:ascii="Times New Roman" w:hAnsi="Times New Roman" w:cs="Times New Roman"/>
          <w:sz w:val="22"/>
        </w:rPr>
        <w:t xml:space="preserve"> Late sowing (30-40 days delayed from normal sowing) on 15-12-2023.</w:t>
      </w:r>
    </w:p>
    <w:p w14:paraId="0CFCB6E5" w14:textId="77777777" w:rsidR="00A57DED" w:rsidRDefault="00B50F5C">
      <w:pPr>
        <w:spacing w:after="0" w:line="360" w:lineRule="auto"/>
        <w:jc w:val="both"/>
        <w:rPr>
          <w:rFonts w:ascii="Times New Roman" w:hAnsi="Times New Roman" w:cs="Times New Roman"/>
          <w:sz w:val="22"/>
        </w:rPr>
      </w:pPr>
      <w:r>
        <w:rPr>
          <w:rFonts w:ascii="Times New Roman" w:hAnsi="Times New Roman" w:cs="Times New Roman"/>
          <w:b/>
          <w:sz w:val="22"/>
        </w:rPr>
        <w:t>E3:</w:t>
      </w:r>
      <w:r>
        <w:rPr>
          <w:rFonts w:ascii="Times New Roman" w:hAnsi="Times New Roman" w:cs="Times New Roman"/>
          <w:sz w:val="22"/>
        </w:rPr>
        <w:t xml:space="preserve"> Very late sowing (60-70 days delayed from normal sowing) on 15-1-2024.</w:t>
      </w:r>
    </w:p>
    <w:p w14:paraId="560127C3" w14:textId="77777777" w:rsidR="00A57DED" w:rsidRDefault="00B50F5C">
      <w:pPr>
        <w:spacing w:after="0" w:line="360" w:lineRule="auto"/>
        <w:jc w:val="both"/>
        <w:rPr>
          <w:rFonts w:ascii="Times New Roman" w:hAnsi="Times New Roman" w:cs="Times New Roman"/>
          <w:sz w:val="22"/>
        </w:rPr>
      </w:pPr>
      <w:r>
        <w:rPr>
          <w:rFonts w:ascii="Times New Roman" w:hAnsi="Times New Roman" w:cs="Times New Roman"/>
          <w:sz w:val="22"/>
        </w:rPr>
        <w:t xml:space="preserve">Each environment was established with standard agronomic practices, including recommended </w:t>
      </w:r>
      <w:proofErr w:type="spellStart"/>
      <w:r>
        <w:rPr>
          <w:rFonts w:ascii="Times New Roman" w:hAnsi="Times New Roman" w:cs="Times New Roman"/>
          <w:sz w:val="22"/>
        </w:rPr>
        <w:t>fertiliser</w:t>
      </w:r>
      <w:proofErr w:type="spellEnd"/>
      <w:r>
        <w:rPr>
          <w:rFonts w:ascii="Times New Roman" w:hAnsi="Times New Roman" w:cs="Times New Roman"/>
          <w:sz w:val="22"/>
        </w:rPr>
        <w:t xml:space="preserve"> application, irrigation management, and pest and disease control measures.</w:t>
      </w:r>
    </w:p>
    <w:p w14:paraId="055F4301" w14:textId="77777777" w:rsidR="00A57DED" w:rsidRDefault="00B50F5C">
      <w:pPr>
        <w:spacing w:before="240" w:after="0" w:line="271" w:lineRule="auto"/>
        <w:rPr>
          <w:rFonts w:ascii="Times New Roman" w:hAnsi="Times New Roman" w:cs="Times New Roman"/>
          <w:sz w:val="22"/>
        </w:rPr>
      </w:pPr>
      <w:bookmarkStart w:id="7" w:name="bm_2_3_traits_recorded"/>
      <w:r>
        <w:rPr>
          <w:rFonts w:ascii="Times New Roman" w:hAnsi="Times New Roman" w:cs="Times New Roman"/>
          <w:b/>
          <w:sz w:val="22"/>
        </w:rPr>
        <w:t>Traits Recorded</w:t>
      </w:r>
      <w:bookmarkEnd w:id="7"/>
    </w:p>
    <w:p w14:paraId="329A24B4" w14:textId="77777777" w:rsidR="00A57DED" w:rsidRDefault="00B50F5C">
      <w:pPr>
        <w:spacing w:before="240" w:after="0"/>
        <w:rPr>
          <w:rFonts w:ascii="Times New Roman" w:hAnsi="Times New Roman" w:cs="Times New Roman"/>
          <w:sz w:val="22"/>
        </w:rPr>
      </w:pPr>
      <w:r>
        <w:rPr>
          <w:rFonts w:ascii="Times New Roman" w:hAnsi="Times New Roman" w:cs="Times New Roman"/>
          <w:sz w:val="22"/>
        </w:rPr>
        <w:t>Morphological and yield-attributing traits:</w:t>
      </w:r>
    </w:p>
    <w:p w14:paraId="5E7ECEBA" w14:textId="77777777" w:rsidR="00A57DED" w:rsidRDefault="00B50F5C">
      <w:pPr>
        <w:numPr>
          <w:ilvl w:val="0"/>
          <w:numId w:val="1"/>
        </w:numPr>
        <w:spacing w:before="240"/>
        <w:rPr>
          <w:rFonts w:ascii="Times New Roman" w:hAnsi="Times New Roman" w:cs="Times New Roman"/>
          <w:sz w:val="22"/>
        </w:rPr>
      </w:pPr>
      <w:r>
        <w:rPr>
          <w:rFonts w:ascii="Times New Roman" w:hAnsi="Times New Roman" w:cs="Times New Roman"/>
          <w:sz w:val="22"/>
        </w:rPr>
        <w:t>Days to 50% flowering</w:t>
      </w:r>
    </w:p>
    <w:p w14:paraId="41CD9E65" w14:textId="77777777" w:rsidR="00A57DED" w:rsidRDefault="00B50F5C">
      <w:pPr>
        <w:numPr>
          <w:ilvl w:val="0"/>
          <w:numId w:val="1"/>
        </w:numPr>
        <w:rPr>
          <w:rFonts w:ascii="Times New Roman" w:hAnsi="Times New Roman" w:cs="Times New Roman"/>
          <w:sz w:val="22"/>
        </w:rPr>
      </w:pPr>
      <w:r>
        <w:rPr>
          <w:rFonts w:ascii="Times New Roman" w:hAnsi="Times New Roman" w:cs="Times New Roman"/>
          <w:sz w:val="22"/>
        </w:rPr>
        <w:t>Days to maturity</w:t>
      </w:r>
    </w:p>
    <w:p w14:paraId="084266F4" w14:textId="77777777" w:rsidR="00A57DED" w:rsidRDefault="00B50F5C">
      <w:pPr>
        <w:numPr>
          <w:ilvl w:val="0"/>
          <w:numId w:val="1"/>
        </w:numPr>
        <w:rPr>
          <w:rFonts w:ascii="Times New Roman" w:hAnsi="Times New Roman" w:cs="Times New Roman"/>
          <w:sz w:val="22"/>
        </w:rPr>
      </w:pPr>
      <w:r>
        <w:rPr>
          <w:rFonts w:ascii="Times New Roman" w:hAnsi="Times New Roman" w:cs="Times New Roman"/>
          <w:sz w:val="22"/>
        </w:rPr>
        <w:t>Plant height (cm)</w:t>
      </w:r>
    </w:p>
    <w:p w14:paraId="76746572" w14:textId="77777777" w:rsidR="00A57DED" w:rsidRDefault="00B50F5C">
      <w:pPr>
        <w:numPr>
          <w:ilvl w:val="0"/>
          <w:numId w:val="1"/>
        </w:numPr>
        <w:rPr>
          <w:rFonts w:ascii="Times New Roman" w:hAnsi="Times New Roman" w:cs="Times New Roman"/>
          <w:sz w:val="22"/>
        </w:rPr>
      </w:pPr>
      <w:r>
        <w:rPr>
          <w:rFonts w:ascii="Times New Roman" w:hAnsi="Times New Roman" w:cs="Times New Roman"/>
          <w:sz w:val="22"/>
        </w:rPr>
        <w:t>Effective tillers per plant</w:t>
      </w:r>
    </w:p>
    <w:p w14:paraId="6A64B934" w14:textId="77777777" w:rsidR="00A57DED" w:rsidRDefault="00B50F5C">
      <w:pPr>
        <w:numPr>
          <w:ilvl w:val="0"/>
          <w:numId w:val="1"/>
        </w:numPr>
        <w:rPr>
          <w:rFonts w:ascii="Times New Roman" w:hAnsi="Times New Roman" w:cs="Times New Roman"/>
          <w:sz w:val="22"/>
        </w:rPr>
      </w:pPr>
      <w:r>
        <w:rPr>
          <w:rFonts w:ascii="Times New Roman" w:hAnsi="Times New Roman" w:cs="Times New Roman"/>
          <w:sz w:val="22"/>
        </w:rPr>
        <w:t>Spike length (cm)</w:t>
      </w:r>
    </w:p>
    <w:p w14:paraId="3521E438" w14:textId="77777777" w:rsidR="00A57DED" w:rsidRDefault="00B50F5C">
      <w:pPr>
        <w:numPr>
          <w:ilvl w:val="0"/>
          <w:numId w:val="1"/>
        </w:numPr>
        <w:rPr>
          <w:rFonts w:ascii="Times New Roman" w:hAnsi="Times New Roman" w:cs="Times New Roman"/>
          <w:sz w:val="22"/>
        </w:rPr>
      </w:pPr>
      <w:proofErr w:type="spellStart"/>
      <w:r>
        <w:rPr>
          <w:rFonts w:ascii="Times New Roman" w:hAnsi="Times New Roman" w:cs="Times New Roman"/>
          <w:sz w:val="22"/>
        </w:rPr>
        <w:t>Spikelets</w:t>
      </w:r>
      <w:proofErr w:type="spellEnd"/>
      <w:r>
        <w:rPr>
          <w:rFonts w:ascii="Times New Roman" w:hAnsi="Times New Roman" w:cs="Times New Roman"/>
          <w:sz w:val="22"/>
        </w:rPr>
        <w:t xml:space="preserve"> per spike</w:t>
      </w:r>
    </w:p>
    <w:p w14:paraId="703D1A7F" w14:textId="77777777" w:rsidR="00A57DED" w:rsidRDefault="00B50F5C">
      <w:pPr>
        <w:numPr>
          <w:ilvl w:val="0"/>
          <w:numId w:val="1"/>
        </w:numPr>
        <w:rPr>
          <w:rFonts w:ascii="Times New Roman" w:hAnsi="Times New Roman" w:cs="Times New Roman"/>
          <w:sz w:val="22"/>
        </w:rPr>
      </w:pPr>
      <w:r>
        <w:rPr>
          <w:rFonts w:ascii="Times New Roman" w:hAnsi="Times New Roman" w:cs="Times New Roman"/>
          <w:sz w:val="22"/>
        </w:rPr>
        <w:t>Grains per spike</w:t>
      </w:r>
    </w:p>
    <w:p w14:paraId="732E7863" w14:textId="77777777" w:rsidR="00A57DED" w:rsidRDefault="00B50F5C">
      <w:pPr>
        <w:numPr>
          <w:ilvl w:val="0"/>
          <w:numId w:val="1"/>
        </w:numPr>
        <w:rPr>
          <w:rFonts w:ascii="Times New Roman" w:hAnsi="Times New Roman" w:cs="Times New Roman"/>
          <w:sz w:val="22"/>
        </w:rPr>
      </w:pPr>
      <w:r>
        <w:rPr>
          <w:rFonts w:ascii="Times New Roman" w:hAnsi="Times New Roman" w:cs="Times New Roman"/>
          <w:sz w:val="22"/>
        </w:rPr>
        <w:t>1000-seed weight (g)</w:t>
      </w:r>
    </w:p>
    <w:p w14:paraId="58CD70B7" w14:textId="77777777" w:rsidR="00A57DED" w:rsidRDefault="00B50F5C">
      <w:pPr>
        <w:numPr>
          <w:ilvl w:val="0"/>
          <w:numId w:val="1"/>
        </w:numPr>
        <w:rPr>
          <w:rFonts w:ascii="Times New Roman" w:hAnsi="Times New Roman" w:cs="Times New Roman"/>
          <w:sz w:val="22"/>
        </w:rPr>
      </w:pPr>
      <w:r>
        <w:rPr>
          <w:rFonts w:ascii="Times New Roman" w:hAnsi="Times New Roman" w:cs="Times New Roman"/>
          <w:sz w:val="22"/>
        </w:rPr>
        <w:t>Biological yield per plant (g)</w:t>
      </w:r>
    </w:p>
    <w:p w14:paraId="5C69F4F8" w14:textId="77777777" w:rsidR="00A57DED" w:rsidRDefault="00B50F5C">
      <w:pPr>
        <w:numPr>
          <w:ilvl w:val="0"/>
          <w:numId w:val="1"/>
        </w:numPr>
        <w:rPr>
          <w:rFonts w:ascii="Times New Roman" w:hAnsi="Times New Roman" w:cs="Times New Roman"/>
          <w:sz w:val="22"/>
        </w:rPr>
      </w:pPr>
      <w:r>
        <w:rPr>
          <w:rFonts w:ascii="Times New Roman" w:hAnsi="Times New Roman" w:cs="Times New Roman"/>
          <w:sz w:val="22"/>
        </w:rPr>
        <w:t>Seed yield per plant (g)</w:t>
      </w:r>
    </w:p>
    <w:p w14:paraId="67E7BBC9" w14:textId="77777777" w:rsidR="00A57DED" w:rsidRDefault="00B50F5C">
      <w:pPr>
        <w:spacing w:after="210"/>
        <w:rPr>
          <w:rFonts w:ascii="Times New Roman" w:hAnsi="Times New Roman" w:cs="Times New Roman"/>
          <w:sz w:val="22"/>
        </w:rPr>
      </w:pPr>
      <w:r>
        <w:rPr>
          <w:rFonts w:ascii="Times New Roman" w:hAnsi="Times New Roman" w:cs="Times New Roman"/>
          <w:sz w:val="22"/>
        </w:rPr>
        <w:t>Quality traits:</w:t>
      </w:r>
    </w:p>
    <w:p w14:paraId="401C0B3A" w14:textId="77777777" w:rsidR="00A57DED" w:rsidRDefault="00B50F5C">
      <w:pPr>
        <w:numPr>
          <w:ilvl w:val="0"/>
          <w:numId w:val="2"/>
        </w:numPr>
        <w:rPr>
          <w:rFonts w:ascii="Times New Roman" w:hAnsi="Times New Roman" w:cs="Times New Roman"/>
          <w:sz w:val="22"/>
        </w:rPr>
      </w:pPr>
      <w:r>
        <w:rPr>
          <w:rFonts w:ascii="Times New Roman" w:hAnsi="Times New Roman" w:cs="Times New Roman"/>
          <w:sz w:val="22"/>
        </w:rPr>
        <w:t>Zinc content in seed (ppm)</w:t>
      </w:r>
    </w:p>
    <w:p w14:paraId="0EE7778E" w14:textId="77777777" w:rsidR="00A57DED" w:rsidRDefault="00B50F5C">
      <w:pPr>
        <w:numPr>
          <w:ilvl w:val="0"/>
          <w:numId w:val="2"/>
        </w:numPr>
        <w:rPr>
          <w:rFonts w:ascii="Times New Roman" w:hAnsi="Times New Roman" w:cs="Times New Roman"/>
          <w:sz w:val="22"/>
        </w:rPr>
      </w:pPr>
      <w:r>
        <w:rPr>
          <w:rFonts w:ascii="Times New Roman" w:hAnsi="Times New Roman" w:cs="Times New Roman"/>
          <w:sz w:val="22"/>
        </w:rPr>
        <w:t>Iron content in seed (ppm)</w:t>
      </w:r>
    </w:p>
    <w:p w14:paraId="60E24100" w14:textId="77777777" w:rsidR="00A57DED" w:rsidRDefault="00B50F5C">
      <w:pPr>
        <w:numPr>
          <w:ilvl w:val="0"/>
          <w:numId w:val="2"/>
        </w:numPr>
        <w:rPr>
          <w:rFonts w:ascii="Times New Roman" w:hAnsi="Times New Roman" w:cs="Times New Roman"/>
          <w:sz w:val="22"/>
        </w:rPr>
      </w:pPr>
      <w:r>
        <w:rPr>
          <w:rFonts w:ascii="Times New Roman" w:hAnsi="Times New Roman" w:cs="Times New Roman"/>
          <w:sz w:val="22"/>
        </w:rPr>
        <w:t>Protein content in seed (%)</w:t>
      </w:r>
    </w:p>
    <w:p w14:paraId="62E4829A" w14:textId="77777777" w:rsidR="00A57DED" w:rsidRDefault="00B50F5C">
      <w:pPr>
        <w:spacing w:before="240" w:line="271" w:lineRule="auto"/>
        <w:rPr>
          <w:rFonts w:ascii="Times New Roman" w:hAnsi="Times New Roman" w:cs="Times New Roman"/>
          <w:sz w:val="22"/>
        </w:rPr>
      </w:pPr>
      <w:bookmarkStart w:id="8" w:name="bm_2_4_statistical_analysis_and_e_15eb25"/>
      <w:r>
        <w:rPr>
          <w:rFonts w:ascii="Times New Roman" w:hAnsi="Times New Roman" w:cs="Times New Roman"/>
          <w:b/>
          <w:sz w:val="22"/>
        </w:rPr>
        <w:t>Statistical Analysis and Estimation of Genetic Parameters</w:t>
      </w:r>
      <w:bookmarkEnd w:id="8"/>
    </w:p>
    <w:p w14:paraId="73733378" w14:textId="77777777" w:rsidR="00A57DED" w:rsidRDefault="00B50F5C">
      <w:pPr>
        <w:spacing w:before="240" w:line="271" w:lineRule="auto"/>
        <w:rPr>
          <w:rFonts w:ascii="Times New Roman" w:hAnsi="Times New Roman" w:cs="Times New Roman"/>
          <w:sz w:val="22"/>
        </w:rPr>
      </w:pPr>
      <w:bookmarkStart w:id="9" w:name="bm_2_4_1_analysis_of_variance_anova"/>
      <w:r>
        <w:rPr>
          <w:rFonts w:ascii="Times New Roman" w:hAnsi="Times New Roman" w:cs="Times New Roman"/>
          <w:b/>
          <w:sz w:val="22"/>
        </w:rPr>
        <w:t>Analysis of Variance (ANOVA)</w:t>
      </w:r>
      <w:bookmarkEnd w:id="9"/>
    </w:p>
    <w:p w14:paraId="258A8785" w14:textId="77777777" w:rsidR="00A57DED" w:rsidRDefault="00B50F5C">
      <w:pPr>
        <w:spacing w:after="0" w:line="360" w:lineRule="auto"/>
        <w:jc w:val="both"/>
        <w:rPr>
          <w:rFonts w:ascii="Times New Roman" w:hAnsi="Times New Roman" w:cs="Times New Roman"/>
          <w:sz w:val="22"/>
        </w:rPr>
      </w:pPr>
      <w:r>
        <w:rPr>
          <w:rFonts w:ascii="Times New Roman" w:hAnsi="Times New Roman" w:cs="Times New Roman"/>
          <w:sz w:val="22"/>
        </w:rPr>
        <w:t>Combined ANOVA was performed for each trait considering environments and genotypes as factors. Mean sum of squares for genotypes, environments, and their interaction were computed.</w:t>
      </w:r>
    </w:p>
    <w:p w14:paraId="580A2F6A" w14:textId="77777777" w:rsidR="00A57DED" w:rsidRDefault="00A57DED">
      <w:pPr>
        <w:spacing w:after="0" w:line="271" w:lineRule="auto"/>
        <w:jc w:val="both"/>
        <w:rPr>
          <w:rFonts w:ascii="Times New Roman" w:hAnsi="Times New Roman" w:cs="Times New Roman"/>
          <w:b/>
          <w:sz w:val="22"/>
        </w:rPr>
      </w:pPr>
      <w:bookmarkStart w:id="10" w:name="bm_2_4_2_genetic_variability_parameters"/>
    </w:p>
    <w:p w14:paraId="6E49B952" w14:textId="77777777" w:rsidR="00A57DED" w:rsidRDefault="00A57DED">
      <w:pPr>
        <w:spacing w:after="0" w:line="271" w:lineRule="auto"/>
        <w:jc w:val="both"/>
        <w:rPr>
          <w:rFonts w:ascii="Times New Roman" w:hAnsi="Times New Roman" w:cs="Times New Roman"/>
          <w:b/>
          <w:sz w:val="22"/>
        </w:rPr>
      </w:pPr>
    </w:p>
    <w:p w14:paraId="3E56E320" w14:textId="77777777" w:rsidR="00A57DED" w:rsidRDefault="00A57DED">
      <w:pPr>
        <w:spacing w:after="0" w:line="271" w:lineRule="auto"/>
        <w:jc w:val="both"/>
        <w:rPr>
          <w:rFonts w:ascii="Times New Roman" w:hAnsi="Times New Roman" w:cs="Times New Roman"/>
          <w:b/>
          <w:sz w:val="22"/>
        </w:rPr>
      </w:pPr>
    </w:p>
    <w:p w14:paraId="4E7DB5C8" w14:textId="77777777" w:rsidR="00A57DED" w:rsidRDefault="00B50F5C">
      <w:pPr>
        <w:spacing w:after="0" w:line="271" w:lineRule="auto"/>
        <w:jc w:val="both"/>
        <w:rPr>
          <w:rFonts w:ascii="Times New Roman" w:hAnsi="Times New Roman" w:cs="Times New Roman"/>
          <w:sz w:val="22"/>
        </w:rPr>
      </w:pPr>
      <w:r>
        <w:rPr>
          <w:rFonts w:ascii="Times New Roman" w:hAnsi="Times New Roman" w:cs="Times New Roman"/>
          <w:b/>
          <w:sz w:val="22"/>
        </w:rPr>
        <w:t>Genetic Variability Parameters</w:t>
      </w:r>
      <w:bookmarkEnd w:id="10"/>
    </w:p>
    <w:p w14:paraId="47B3A9E6" w14:textId="77777777" w:rsidR="00A57DED" w:rsidRDefault="00B50F5C">
      <w:pPr>
        <w:spacing w:after="0" w:line="360" w:lineRule="auto"/>
        <w:jc w:val="both"/>
        <w:rPr>
          <w:rFonts w:ascii="Times New Roman" w:hAnsi="Times New Roman" w:cs="Times New Roman"/>
          <w:sz w:val="22"/>
        </w:rPr>
      </w:pPr>
      <w:r>
        <w:rPr>
          <w:rFonts w:ascii="Times New Roman" w:hAnsi="Times New Roman" w:cs="Times New Roman"/>
          <w:b/>
          <w:sz w:val="22"/>
        </w:rPr>
        <w:lastRenderedPageBreak/>
        <w:t>Phenotypic Coefficient of Variation (PCV)</w:t>
      </w:r>
      <w:r>
        <w:rPr>
          <w:rFonts w:ascii="Times New Roman" w:hAnsi="Times New Roman" w:cs="Times New Roman"/>
          <w:sz w:val="22"/>
        </w:rPr>
        <w:t xml:space="preserve"> and </w:t>
      </w:r>
      <w:r>
        <w:rPr>
          <w:rFonts w:ascii="Times New Roman" w:hAnsi="Times New Roman" w:cs="Times New Roman"/>
          <w:b/>
          <w:sz w:val="22"/>
        </w:rPr>
        <w:t>Genotypic Coefficient of Variation (GCV)</w:t>
      </w:r>
      <w:r>
        <w:rPr>
          <w:rFonts w:ascii="Times New Roman" w:hAnsi="Times New Roman" w:cs="Times New Roman"/>
          <w:sz w:val="22"/>
        </w:rPr>
        <w:t xml:space="preserve"> were calculated using the formulae:</w:t>
      </w:r>
    </w:p>
    <w:p w14:paraId="5289BA24" w14:textId="77777777" w:rsidR="00A57DED" w:rsidRDefault="00B50F5C">
      <w:pPr>
        <w:spacing w:after="210"/>
        <w:jc w:val="both"/>
        <w:rPr>
          <w:rFonts w:ascii="Times New Roman" w:hAnsi="Times New Roman" w:cs="Times New Roman"/>
          <w:sz w:val="22"/>
        </w:rPr>
      </w:pPr>
      <m:oMathPara>
        <m:oMath>
          <m:r>
            <m:rPr>
              <m:nor/>
            </m:rPr>
            <w:rPr>
              <w:rFonts w:ascii="Times New Roman" w:hAnsi="Times New Roman" w:cs="Times New Roman"/>
              <w:sz w:val="22"/>
            </w:rPr>
            <m:t>GCV</m:t>
          </m:r>
          <m:r>
            <m:rPr>
              <m:sty m:val="p"/>
            </m:rPr>
            <w:rPr>
              <w:rFonts w:ascii="Cambria Math" w:hAnsi="Cambria Math" w:cs="Times New Roman"/>
              <w:sz w:val="22"/>
            </w:rPr>
            <m:t>=</m:t>
          </m:r>
          <m:f>
            <m:fPr>
              <m:ctrlPr>
                <w:rPr>
                  <w:rFonts w:ascii="Cambria Math" w:hAnsi="Cambria Math" w:cs="Times New Roman"/>
                  <w:sz w:val="22"/>
                </w:rPr>
              </m:ctrlPr>
            </m:fPr>
            <m:num>
              <m:rad>
                <m:radPr>
                  <m:degHide m:val="1"/>
                  <m:ctrlPr>
                    <w:rPr>
                      <w:rFonts w:ascii="Cambria Math" w:hAnsi="Cambria Math" w:cs="Times New Roman"/>
                      <w:sz w:val="22"/>
                    </w:rPr>
                  </m:ctrlPr>
                </m:radPr>
                <m:deg/>
                <m:e>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e>
              </m:rad>
            </m:num>
            <m:den>
              <m:r>
                <w:rPr>
                  <w:rFonts w:ascii="Cambria Math" w:hAnsi="Cambria Math" w:cs="Times New Roman"/>
                  <w:sz w:val="22"/>
                </w:rPr>
                <m:t>μ</m:t>
              </m:r>
            </m:den>
          </m:f>
          <m:r>
            <m:rPr>
              <m:sty m:val="p"/>
            </m:rPr>
            <w:rPr>
              <w:rFonts w:ascii="Cambria Math" w:hAnsi="Cambria Math" w:cs="Times New Roman"/>
              <w:sz w:val="22"/>
            </w:rPr>
            <m:t>×100</m:t>
          </m:r>
        </m:oMath>
      </m:oMathPara>
    </w:p>
    <w:p w14:paraId="08B6CBE7" w14:textId="77777777" w:rsidR="00A57DED" w:rsidRDefault="00B50F5C">
      <w:pPr>
        <w:spacing w:after="210"/>
        <w:jc w:val="both"/>
        <w:rPr>
          <w:rFonts w:ascii="Times New Roman" w:hAnsi="Times New Roman" w:cs="Times New Roman"/>
          <w:sz w:val="22"/>
        </w:rPr>
      </w:pPr>
      <m:oMathPara>
        <m:oMath>
          <m:r>
            <m:rPr>
              <m:nor/>
            </m:rPr>
            <w:rPr>
              <w:rFonts w:ascii="Times New Roman" w:hAnsi="Times New Roman" w:cs="Times New Roman"/>
              <w:sz w:val="22"/>
            </w:rPr>
            <m:t>PCV</m:t>
          </m:r>
          <m:r>
            <m:rPr>
              <m:sty m:val="p"/>
            </m:rPr>
            <w:rPr>
              <w:rFonts w:ascii="Cambria Math" w:hAnsi="Cambria Math" w:cs="Times New Roman"/>
              <w:sz w:val="22"/>
            </w:rPr>
            <m:t>=</m:t>
          </m:r>
          <m:f>
            <m:fPr>
              <m:ctrlPr>
                <w:rPr>
                  <w:rFonts w:ascii="Cambria Math" w:hAnsi="Cambria Math" w:cs="Times New Roman"/>
                  <w:sz w:val="22"/>
                </w:rPr>
              </m:ctrlPr>
            </m:fPr>
            <m:num>
              <m:rad>
                <m:radPr>
                  <m:degHide m:val="1"/>
                  <m:ctrlPr>
                    <w:rPr>
                      <w:rFonts w:ascii="Cambria Math" w:hAnsi="Cambria Math" w:cs="Times New Roman"/>
                      <w:sz w:val="22"/>
                    </w:rPr>
                  </m:ctrlPr>
                </m:radPr>
                <m:deg/>
                <m:e>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e>
              </m:rad>
            </m:num>
            <m:den>
              <m:r>
                <w:rPr>
                  <w:rFonts w:ascii="Cambria Math" w:hAnsi="Cambria Math" w:cs="Times New Roman"/>
                  <w:sz w:val="22"/>
                </w:rPr>
                <m:t>μ</m:t>
              </m:r>
            </m:den>
          </m:f>
          <m:r>
            <m:rPr>
              <m:sty m:val="p"/>
            </m:rPr>
            <w:rPr>
              <w:rFonts w:ascii="Cambria Math" w:hAnsi="Cambria Math" w:cs="Times New Roman"/>
              <w:sz w:val="22"/>
            </w:rPr>
            <m:t>×100</m:t>
          </m:r>
        </m:oMath>
      </m:oMathPara>
    </w:p>
    <w:p w14:paraId="67B901B5" w14:textId="77777777" w:rsidR="00A57DED" w:rsidRDefault="00B50F5C">
      <w:pPr>
        <w:spacing w:after="210"/>
        <w:jc w:val="both"/>
        <w:rPr>
          <w:rFonts w:ascii="Times New Roman" w:hAnsi="Times New Roman" w:cs="Times New Roman"/>
          <w:sz w:val="22"/>
        </w:rPr>
      </w:pPr>
      <w:r>
        <w:rPr>
          <w:rFonts w:ascii="Times New Roman" w:hAnsi="Times New Roman" w:cs="Times New Roman"/>
          <w:sz w:val="22"/>
        </w:rPr>
        <w:t xml:space="preserve">where </w:t>
      </w:r>
      <m:oMath>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oMath>
      <w:r>
        <w:rPr>
          <w:rFonts w:ascii="Times New Roman" w:hAnsi="Times New Roman" w:cs="Times New Roman"/>
          <w:sz w:val="22"/>
        </w:rPr>
        <w:t xml:space="preserve"> is genotypic variance, </w:t>
      </w:r>
      <m:oMath>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oMath>
      <w:r>
        <w:rPr>
          <w:rFonts w:ascii="Times New Roman" w:hAnsi="Times New Roman" w:cs="Times New Roman"/>
          <w:sz w:val="22"/>
        </w:rPr>
        <w:t xml:space="preserve"> is phenotypic variance, and </w:t>
      </w:r>
      <m:oMath>
        <m:r>
          <w:rPr>
            <w:rFonts w:ascii="Cambria Math" w:hAnsi="Cambria Math" w:cs="Times New Roman"/>
            <w:sz w:val="22"/>
          </w:rPr>
          <m:t>μ</m:t>
        </m:r>
      </m:oMath>
      <w:r>
        <w:rPr>
          <w:rFonts w:ascii="Times New Roman" w:hAnsi="Times New Roman" w:cs="Times New Roman"/>
          <w:sz w:val="22"/>
        </w:rPr>
        <w:t xml:space="preserve"> is the mean.</w:t>
      </w:r>
    </w:p>
    <w:p w14:paraId="3F835DB6" w14:textId="77777777" w:rsidR="00A57DED" w:rsidRDefault="00B50F5C">
      <w:pPr>
        <w:spacing w:after="210"/>
        <w:jc w:val="both"/>
        <w:rPr>
          <w:rFonts w:ascii="Times New Roman" w:hAnsi="Times New Roman" w:cs="Times New Roman"/>
          <w:sz w:val="22"/>
        </w:rPr>
      </w:pPr>
      <w:r>
        <w:rPr>
          <w:rFonts w:ascii="Times New Roman" w:hAnsi="Times New Roman" w:cs="Times New Roman"/>
          <w:b/>
          <w:sz w:val="22"/>
        </w:rPr>
        <w:t>Heritability (Broad-sense)</w:t>
      </w:r>
      <w:r>
        <w:rPr>
          <w:rFonts w:ascii="Times New Roman" w:hAnsi="Times New Roman" w:cs="Times New Roman"/>
          <w:sz w:val="22"/>
        </w:rPr>
        <w:t xml:space="preserve"> was estimated as:</w:t>
      </w:r>
    </w:p>
    <w:p w14:paraId="2DAEEA9B" w14:textId="77777777" w:rsidR="00A57DED" w:rsidRDefault="00DC6AD7">
      <w:pPr>
        <w:spacing w:after="210"/>
        <w:jc w:val="both"/>
        <w:rPr>
          <w:rFonts w:ascii="Times New Roman" w:hAnsi="Times New Roman" w:cs="Times New Roman"/>
          <w:sz w:val="22"/>
        </w:rPr>
      </w:pPr>
      <m:oMathPara>
        <m:oMath>
          <m:sSup>
            <m:sSupPr>
              <m:ctrlPr>
                <w:rPr>
                  <w:rFonts w:ascii="Cambria Math" w:hAnsi="Cambria Math" w:cs="Times New Roman"/>
                  <w:sz w:val="22"/>
                </w:rPr>
              </m:ctrlPr>
            </m:sSupPr>
            <m:e>
              <m:r>
                <w:rPr>
                  <w:rFonts w:ascii="Cambria Math" w:hAnsi="Cambria Math" w:cs="Times New Roman"/>
                  <w:sz w:val="22"/>
                </w:rPr>
                <m:t>h</m:t>
              </m:r>
            </m:e>
            <m:sup>
              <m:r>
                <m:rPr>
                  <m:sty m:val="p"/>
                </m:rPr>
                <w:rPr>
                  <w:rFonts w:ascii="Cambria Math" w:hAnsi="Cambria Math" w:cs="Times New Roman"/>
                  <w:sz w:val="22"/>
                </w:rPr>
                <m:t>2</m:t>
              </m:r>
            </m:sup>
          </m:sSup>
          <m:r>
            <m:rPr>
              <m:sty m:val="p"/>
            </m:rPr>
            <w:rPr>
              <w:rFonts w:ascii="Cambria Math" w:hAnsi="Cambria Math" w:cs="Times New Roman"/>
              <w:sz w:val="22"/>
            </w:rPr>
            <m:t>=</m:t>
          </m:r>
          <m:f>
            <m:fPr>
              <m:ctrlPr>
                <w:rPr>
                  <w:rFonts w:ascii="Cambria Math" w:hAnsi="Cambria Math" w:cs="Times New Roman"/>
                  <w:sz w:val="22"/>
                </w:rPr>
              </m:ctrlPr>
            </m:fPr>
            <m:num>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g</m:t>
                  </m:r>
                </m:sub>
                <m:sup>
                  <m:r>
                    <m:rPr>
                      <m:sty m:val="p"/>
                    </m:rPr>
                    <w:rPr>
                      <w:rFonts w:ascii="Cambria Math" w:hAnsi="Cambria Math" w:cs="Times New Roman"/>
                      <w:sz w:val="22"/>
                    </w:rPr>
                    <m:t>2</m:t>
                  </m:r>
                </m:sup>
              </m:sSubSup>
            </m:num>
            <m:den>
              <m:sSubSup>
                <m:sSubSupPr>
                  <m:ctrlPr>
                    <w:rPr>
                      <w:rFonts w:ascii="Cambria Math" w:hAnsi="Cambria Math" w:cs="Times New Roman"/>
                      <w:sz w:val="22"/>
                    </w:rPr>
                  </m:ctrlPr>
                </m:sSubSupPr>
                <m:e>
                  <m:r>
                    <w:rPr>
                      <w:rFonts w:ascii="Cambria Math" w:hAnsi="Cambria Math" w:cs="Times New Roman"/>
                      <w:sz w:val="22"/>
                    </w:rPr>
                    <m:t>σ</m:t>
                  </m:r>
                </m:e>
                <m:sub>
                  <m:r>
                    <w:rPr>
                      <w:rFonts w:ascii="Cambria Math" w:hAnsi="Cambria Math" w:cs="Times New Roman"/>
                      <w:sz w:val="22"/>
                    </w:rPr>
                    <m:t>p</m:t>
                  </m:r>
                </m:sub>
                <m:sup>
                  <m:r>
                    <m:rPr>
                      <m:sty m:val="p"/>
                    </m:rPr>
                    <w:rPr>
                      <w:rFonts w:ascii="Cambria Math" w:hAnsi="Cambria Math" w:cs="Times New Roman"/>
                      <w:sz w:val="22"/>
                    </w:rPr>
                    <m:t>2</m:t>
                  </m:r>
                </m:sup>
              </m:sSubSup>
            </m:den>
          </m:f>
          <m:r>
            <m:rPr>
              <m:sty m:val="p"/>
            </m:rPr>
            <w:rPr>
              <w:rFonts w:ascii="Cambria Math" w:hAnsi="Cambria Math" w:cs="Times New Roman"/>
              <w:sz w:val="22"/>
            </w:rPr>
            <m:t>×100</m:t>
          </m:r>
        </m:oMath>
      </m:oMathPara>
    </w:p>
    <w:p w14:paraId="2A6B0DD5" w14:textId="77777777" w:rsidR="00A57DED" w:rsidRDefault="00B50F5C">
      <w:pPr>
        <w:spacing w:after="210"/>
        <w:jc w:val="both"/>
        <w:rPr>
          <w:rFonts w:ascii="Times New Roman" w:hAnsi="Times New Roman" w:cs="Times New Roman"/>
          <w:sz w:val="22"/>
        </w:rPr>
      </w:pPr>
      <w:r>
        <w:rPr>
          <w:rFonts w:ascii="Times New Roman" w:hAnsi="Times New Roman" w:cs="Times New Roman"/>
          <w:b/>
          <w:sz w:val="22"/>
        </w:rPr>
        <w:t>Genetic Advance (GA)</w:t>
      </w:r>
      <w:r>
        <w:rPr>
          <w:rFonts w:ascii="Times New Roman" w:hAnsi="Times New Roman" w:cs="Times New Roman"/>
          <w:sz w:val="22"/>
        </w:rPr>
        <w:t xml:space="preserve"> was calculated as:</w:t>
      </w:r>
    </w:p>
    <w:p w14:paraId="67FE6FD4" w14:textId="77777777" w:rsidR="00A57DED" w:rsidRDefault="00B50F5C">
      <w:pPr>
        <w:spacing w:after="210"/>
        <w:jc w:val="both"/>
        <w:rPr>
          <w:rFonts w:ascii="Times New Roman" w:hAnsi="Times New Roman" w:cs="Times New Roman"/>
          <w:sz w:val="22"/>
        </w:rPr>
      </w:pPr>
      <m:oMathPara>
        <m:oMath>
          <m:r>
            <m:rPr>
              <m:nor/>
            </m:rPr>
            <w:rPr>
              <w:rFonts w:ascii="Times New Roman" w:hAnsi="Times New Roman" w:cs="Times New Roman"/>
              <w:sz w:val="22"/>
            </w:rPr>
            <m:t>GA</m:t>
          </m:r>
          <m:r>
            <m:rPr>
              <m:sty m:val="p"/>
            </m:rPr>
            <w:rPr>
              <w:rFonts w:ascii="Cambria Math" w:hAnsi="Cambria Math" w:cs="Times New Roman"/>
              <w:sz w:val="22"/>
            </w:rPr>
            <m:t>=</m:t>
          </m:r>
          <m:sSup>
            <m:sSupPr>
              <m:ctrlPr>
                <w:rPr>
                  <w:rFonts w:ascii="Cambria Math" w:hAnsi="Cambria Math" w:cs="Times New Roman"/>
                  <w:sz w:val="22"/>
                </w:rPr>
              </m:ctrlPr>
            </m:sSupPr>
            <m:e>
              <m:r>
                <w:rPr>
                  <w:rFonts w:ascii="Cambria Math" w:hAnsi="Cambria Math" w:cs="Times New Roman"/>
                  <w:sz w:val="22"/>
                </w:rPr>
                <m:t>h</m:t>
              </m:r>
            </m:e>
            <m:sup>
              <m:r>
                <m:rPr>
                  <m:sty m:val="p"/>
                </m:rPr>
                <w:rPr>
                  <w:rFonts w:ascii="Cambria Math" w:hAnsi="Cambria Math" w:cs="Times New Roman"/>
                  <w:sz w:val="22"/>
                </w:rPr>
                <m:t>2</m:t>
              </m:r>
            </m:sup>
          </m:sSup>
          <m:r>
            <m:rPr>
              <m:sty m:val="p"/>
            </m:rPr>
            <w:rPr>
              <w:rFonts w:ascii="Cambria Math" w:hAnsi="Cambria Math" w:cs="Times New Roman"/>
              <w:sz w:val="22"/>
            </w:rPr>
            <m:t>×</m:t>
          </m:r>
          <m:r>
            <w:rPr>
              <w:rFonts w:ascii="Cambria Math" w:hAnsi="Cambria Math" w:cs="Times New Roman"/>
              <w:sz w:val="22"/>
            </w:rPr>
            <m:t>S</m:t>
          </m:r>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σ</m:t>
              </m:r>
            </m:e>
            <m:sub>
              <m:r>
                <w:rPr>
                  <w:rFonts w:ascii="Cambria Math" w:hAnsi="Cambria Math" w:cs="Times New Roman"/>
                  <w:sz w:val="22"/>
                </w:rPr>
                <m:t>p</m:t>
              </m:r>
            </m:sub>
          </m:sSub>
        </m:oMath>
      </m:oMathPara>
    </w:p>
    <w:p w14:paraId="271514D9" w14:textId="77777777" w:rsidR="00A57DED" w:rsidRDefault="00B50F5C">
      <w:pPr>
        <w:spacing w:after="210"/>
        <w:jc w:val="both"/>
        <w:rPr>
          <w:rFonts w:ascii="Times New Roman" w:hAnsi="Times New Roman" w:cs="Times New Roman"/>
          <w:sz w:val="22"/>
        </w:rPr>
      </w:pPr>
      <w:r>
        <w:rPr>
          <w:rFonts w:ascii="Times New Roman" w:hAnsi="Times New Roman" w:cs="Times New Roman"/>
          <w:sz w:val="22"/>
        </w:rPr>
        <w:t xml:space="preserve">where </w:t>
      </w:r>
      <w:r>
        <w:rPr>
          <w:rFonts w:ascii="Times New Roman" w:hAnsi="Times New Roman" w:cs="Times New Roman"/>
          <w:i/>
          <w:sz w:val="22"/>
        </w:rPr>
        <w:t>S</w:t>
      </w:r>
      <w:r>
        <w:rPr>
          <w:rFonts w:ascii="Times New Roman" w:hAnsi="Times New Roman" w:cs="Times New Roman"/>
          <w:sz w:val="22"/>
        </w:rPr>
        <w:t xml:space="preserve"> is the selection differential (assuming 5% selection intensity; </w:t>
      </w:r>
      <w:r>
        <w:rPr>
          <w:rFonts w:ascii="Times New Roman" w:hAnsi="Times New Roman" w:cs="Times New Roman"/>
          <w:i/>
          <w:sz w:val="22"/>
        </w:rPr>
        <w:t>S</w:t>
      </w:r>
      <w:r>
        <w:rPr>
          <w:rFonts w:ascii="Times New Roman" w:hAnsi="Times New Roman" w:cs="Times New Roman"/>
          <w:sz w:val="22"/>
        </w:rPr>
        <w:t xml:space="preserve"> = 2.063)</w:t>
      </w:r>
    </w:p>
    <w:p w14:paraId="6ECD93D5" w14:textId="77777777" w:rsidR="00A57DED" w:rsidRDefault="00B50F5C">
      <w:pPr>
        <w:spacing w:after="210"/>
        <w:jc w:val="both"/>
        <w:rPr>
          <w:rFonts w:ascii="Times New Roman" w:hAnsi="Times New Roman" w:cs="Times New Roman"/>
          <w:sz w:val="22"/>
        </w:rPr>
      </w:pPr>
      <w:r>
        <w:rPr>
          <w:rFonts w:ascii="Times New Roman" w:hAnsi="Times New Roman" w:cs="Times New Roman"/>
          <w:b/>
          <w:sz w:val="22"/>
        </w:rPr>
        <w:t>Genetic Advance as Percentage of Mean (GAM)</w:t>
      </w:r>
      <w:r>
        <w:rPr>
          <w:rFonts w:ascii="Times New Roman" w:hAnsi="Times New Roman" w:cs="Times New Roman"/>
          <w:sz w:val="22"/>
        </w:rPr>
        <w:t xml:space="preserve"> was computed as:</w:t>
      </w:r>
    </w:p>
    <w:p w14:paraId="5FAD4BC3" w14:textId="77777777" w:rsidR="00A57DED" w:rsidRDefault="00B50F5C">
      <w:pPr>
        <w:spacing w:after="210"/>
        <w:jc w:val="both"/>
        <w:rPr>
          <w:rFonts w:ascii="Times New Roman" w:hAnsi="Times New Roman" w:cs="Times New Roman"/>
          <w:sz w:val="22"/>
        </w:rPr>
      </w:pPr>
      <m:oMathPara>
        <m:oMath>
          <m:r>
            <m:rPr>
              <m:nor/>
            </m:rPr>
            <w:rPr>
              <w:rFonts w:ascii="Times New Roman" w:hAnsi="Times New Roman" w:cs="Times New Roman"/>
              <w:sz w:val="22"/>
            </w:rPr>
            <m:t>GAM</m:t>
          </m:r>
          <m:r>
            <m:rPr>
              <m:sty m:val="p"/>
            </m:rPr>
            <w:rPr>
              <w:rFonts w:ascii="Cambria Math" w:hAnsi="Cambria Math" w:cs="Times New Roman"/>
              <w:sz w:val="22"/>
            </w:rPr>
            <m:t>=</m:t>
          </m:r>
          <m:f>
            <m:fPr>
              <m:ctrlPr>
                <w:rPr>
                  <w:rFonts w:ascii="Cambria Math" w:hAnsi="Cambria Math" w:cs="Times New Roman"/>
                  <w:sz w:val="22"/>
                </w:rPr>
              </m:ctrlPr>
            </m:fPr>
            <m:num>
              <m:r>
                <m:rPr>
                  <m:nor/>
                </m:rPr>
                <w:rPr>
                  <w:rFonts w:ascii="Times New Roman" w:hAnsi="Times New Roman" w:cs="Times New Roman"/>
                  <w:sz w:val="22"/>
                </w:rPr>
                <m:t>GA</m:t>
              </m:r>
            </m:num>
            <m:den>
              <m:r>
                <w:rPr>
                  <w:rFonts w:ascii="Cambria Math" w:hAnsi="Cambria Math" w:cs="Times New Roman"/>
                  <w:sz w:val="22"/>
                </w:rPr>
                <m:t>μ</m:t>
              </m:r>
            </m:den>
          </m:f>
          <m:r>
            <m:rPr>
              <m:sty m:val="p"/>
            </m:rPr>
            <w:rPr>
              <w:rFonts w:ascii="Cambria Math" w:hAnsi="Cambria Math" w:cs="Times New Roman"/>
              <w:sz w:val="22"/>
            </w:rPr>
            <m:t>×100</m:t>
          </m:r>
        </m:oMath>
      </m:oMathPara>
    </w:p>
    <w:p w14:paraId="16405B93" w14:textId="77777777" w:rsidR="00A57DED" w:rsidRDefault="00B50F5C">
      <w:pPr>
        <w:spacing w:after="210"/>
        <w:jc w:val="both"/>
        <w:rPr>
          <w:rFonts w:ascii="Times New Roman" w:hAnsi="Times New Roman" w:cs="Times New Roman"/>
          <w:sz w:val="22"/>
        </w:rPr>
      </w:pPr>
      <w:r>
        <w:rPr>
          <w:rFonts w:ascii="Times New Roman" w:hAnsi="Times New Roman" w:cs="Times New Roman"/>
          <w:sz w:val="22"/>
        </w:rPr>
        <w:t>Heritability and GAM classifications followed standard criteria where:</w:t>
      </w:r>
    </w:p>
    <w:p w14:paraId="3E05C0D0" w14:textId="77777777" w:rsidR="00A57DED" w:rsidRDefault="00B50F5C">
      <w:pPr>
        <w:numPr>
          <w:ilvl w:val="0"/>
          <w:numId w:val="3"/>
        </w:numPr>
        <w:jc w:val="both"/>
        <w:rPr>
          <w:rFonts w:ascii="Times New Roman" w:hAnsi="Times New Roman" w:cs="Times New Roman"/>
          <w:sz w:val="22"/>
        </w:rPr>
      </w:pPr>
      <w:r>
        <w:rPr>
          <w:rFonts w:ascii="Times New Roman" w:hAnsi="Times New Roman" w:cs="Times New Roman"/>
          <w:sz w:val="22"/>
        </w:rPr>
        <w:t>High GCV/PCV: &gt;20%</w:t>
      </w:r>
    </w:p>
    <w:p w14:paraId="7DC2BE0E" w14:textId="77777777" w:rsidR="00A57DED" w:rsidRDefault="00B50F5C">
      <w:pPr>
        <w:numPr>
          <w:ilvl w:val="0"/>
          <w:numId w:val="3"/>
        </w:numPr>
        <w:jc w:val="both"/>
        <w:rPr>
          <w:rFonts w:ascii="Times New Roman" w:hAnsi="Times New Roman" w:cs="Times New Roman"/>
          <w:sz w:val="22"/>
        </w:rPr>
      </w:pPr>
      <w:r>
        <w:rPr>
          <w:rFonts w:ascii="Times New Roman" w:hAnsi="Times New Roman" w:cs="Times New Roman"/>
          <w:sz w:val="22"/>
        </w:rPr>
        <w:t>Moderate GCV/PCV: 10-20%</w:t>
      </w:r>
    </w:p>
    <w:p w14:paraId="33021EC4" w14:textId="77777777" w:rsidR="00A57DED" w:rsidRDefault="00B50F5C">
      <w:pPr>
        <w:numPr>
          <w:ilvl w:val="0"/>
          <w:numId w:val="3"/>
        </w:numPr>
        <w:jc w:val="both"/>
        <w:rPr>
          <w:rFonts w:ascii="Times New Roman" w:hAnsi="Times New Roman" w:cs="Times New Roman"/>
          <w:sz w:val="22"/>
        </w:rPr>
      </w:pPr>
      <w:r>
        <w:rPr>
          <w:rFonts w:ascii="Times New Roman" w:hAnsi="Times New Roman" w:cs="Times New Roman"/>
          <w:sz w:val="22"/>
        </w:rPr>
        <w:t>Low GCV/PCV: &lt;10%</w:t>
      </w:r>
    </w:p>
    <w:p w14:paraId="73630C75" w14:textId="77777777" w:rsidR="00A57DED" w:rsidRDefault="00B50F5C">
      <w:pPr>
        <w:numPr>
          <w:ilvl w:val="0"/>
          <w:numId w:val="3"/>
        </w:numPr>
        <w:jc w:val="both"/>
        <w:rPr>
          <w:rFonts w:ascii="Times New Roman" w:hAnsi="Times New Roman" w:cs="Times New Roman"/>
          <w:sz w:val="22"/>
        </w:rPr>
      </w:pPr>
      <w:r>
        <w:rPr>
          <w:rFonts w:ascii="Times New Roman" w:hAnsi="Times New Roman" w:cs="Times New Roman"/>
          <w:sz w:val="22"/>
        </w:rPr>
        <w:t>High heritability: &gt;60%</w:t>
      </w:r>
    </w:p>
    <w:p w14:paraId="39E1DABE" w14:textId="77777777" w:rsidR="00A57DED" w:rsidRDefault="00B50F5C">
      <w:pPr>
        <w:numPr>
          <w:ilvl w:val="0"/>
          <w:numId w:val="3"/>
        </w:numPr>
        <w:jc w:val="both"/>
        <w:rPr>
          <w:rFonts w:ascii="Times New Roman" w:hAnsi="Times New Roman" w:cs="Times New Roman"/>
          <w:sz w:val="22"/>
        </w:rPr>
      </w:pPr>
      <w:r>
        <w:rPr>
          <w:rFonts w:ascii="Times New Roman" w:hAnsi="Times New Roman" w:cs="Times New Roman"/>
          <w:sz w:val="22"/>
        </w:rPr>
        <w:t>High GAM: &gt;20%</w:t>
      </w:r>
    </w:p>
    <w:p w14:paraId="289176C7" w14:textId="77777777" w:rsidR="00A57DED" w:rsidRDefault="00B50F5C">
      <w:pPr>
        <w:numPr>
          <w:ilvl w:val="0"/>
          <w:numId w:val="3"/>
        </w:numPr>
        <w:jc w:val="both"/>
        <w:rPr>
          <w:rFonts w:ascii="Times New Roman" w:hAnsi="Times New Roman" w:cs="Times New Roman"/>
          <w:sz w:val="22"/>
        </w:rPr>
      </w:pPr>
      <w:r>
        <w:rPr>
          <w:rFonts w:ascii="Times New Roman" w:hAnsi="Times New Roman" w:cs="Times New Roman"/>
          <w:sz w:val="22"/>
        </w:rPr>
        <w:t>Moderate GAM: 10-20%</w:t>
      </w:r>
    </w:p>
    <w:p w14:paraId="6F867C45" w14:textId="77777777" w:rsidR="00A57DED" w:rsidRDefault="00B50F5C">
      <w:pPr>
        <w:numPr>
          <w:ilvl w:val="0"/>
          <w:numId w:val="3"/>
        </w:numPr>
        <w:jc w:val="both"/>
        <w:rPr>
          <w:rFonts w:ascii="Times New Roman" w:hAnsi="Times New Roman" w:cs="Times New Roman"/>
          <w:sz w:val="22"/>
        </w:rPr>
      </w:pPr>
      <w:r>
        <w:rPr>
          <w:rFonts w:ascii="Times New Roman" w:hAnsi="Times New Roman" w:cs="Times New Roman"/>
          <w:sz w:val="22"/>
        </w:rPr>
        <w:t>Low GAM: &lt;10%</w:t>
      </w:r>
    </w:p>
    <w:p w14:paraId="42ED95DF" w14:textId="77777777" w:rsidR="00A57DED" w:rsidRDefault="00B50F5C">
      <w:pPr>
        <w:spacing w:after="0" w:line="271" w:lineRule="auto"/>
        <w:rPr>
          <w:rFonts w:ascii="Times New Roman" w:hAnsi="Times New Roman" w:cs="Times New Roman"/>
          <w:b/>
          <w:sz w:val="28"/>
          <w:szCs w:val="28"/>
        </w:rPr>
      </w:pPr>
      <w:bookmarkStart w:id="11" w:name="bm_3_results"/>
      <w:r>
        <w:rPr>
          <w:rFonts w:ascii="Times New Roman" w:hAnsi="Times New Roman" w:cs="Times New Roman"/>
          <w:b/>
          <w:sz w:val="28"/>
          <w:szCs w:val="28"/>
        </w:rPr>
        <w:t>Results</w:t>
      </w:r>
      <w:bookmarkEnd w:id="11"/>
    </w:p>
    <w:p w14:paraId="2A7DDC66" w14:textId="77777777" w:rsidR="00A57DED" w:rsidRDefault="00A57DED">
      <w:pPr>
        <w:spacing w:after="0" w:line="271" w:lineRule="auto"/>
        <w:rPr>
          <w:rFonts w:ascii="Times New Roman" w:hAnsi="Times New Roman" w:cs="Times New Roman"/>
          <w:sz w:val="28"/>
          <w:szCs w:val="28"/>
        </w:rPr>
      </w:pPr>
    </w:p>
    <w:p w14:paraId="2F9B68A0" w14:textId="77777777" w:rsidR="00A57DED" w:rsidRDefault="00B50F5C">
      <w:pPr>
        <w:spacing w:after="0" w:line="271" w:lineRule="auto"/>
        <w:rPr>
          <w:rFonts w:ascii="Times New Roman" w:hAnsi="Times New Roman" w:cs="Times New Roman"/>
          <w:sz w:val="22"/>
        </w:rPr>
      </w:pPr>
      <w:bookmarkStart w:id="12" w:name="bm_3_1_analysis_of_variance"/>
      <w:r>
        <w:rPr>
          <w:rFonts w:ascii="Times New Roman" w:hAnsi="Times New Roman" w:cs="Times New Roman"/>
          <w:b/>
          <w:sz w:val="22"/>
        </w:rPr>
        <w:t>Analysis of Variance</w:t>
      </w:r>
      <w:bookmarkEnd w:id="12"/>
    </w:p>
    <w:p w14:paraId="507E2082" w14:textId="77777777" w:rsidR="00A57DED" w:rsidRDefault="00B50F5C">
      <w:pPr>
        <w:spacing w:after="210" w:line="360" w:lineRule="auto"/>
        <w:ind w:right="-310"/>
        <w:jc w:val="both"/>
        <w:rPr>
          <w:rFonts w:ascii="Times New Roman" w:hAnsi="Times New Roman" w:cs="Times New Roman"/>
          <w:sz w:val="22"/>
        </w:rPr>
      </w:pPr>
      <w:r>
        <w:rPr>
          <w:rFonts w:ascii="Times New Roman" w:hAnsi="Times New Roman" w:cs="Times New Roman"/>
          <w:sz w:val="22"/>
        </w:rPr>
        <w:t xml:space="preserve">The pooled analysis of variance (Table 1) indicated highly significant differences (P &lt; 0.01) among environments for all traits studied, including days to 50% flowering, days to maturity, plant height, effective tillers per plant, spike length, </w:t>
      </w:r>
      <w:proofErr w:type="spellStart"/>
      <w:r>
        <w:rPr>
          <w:rFonts w:ascii="Times New Roman" w:hAnsi="Times New Roman" w:cs="Times New Roman"/>
          <w:sz w:val="22"/>
        </w:rPr>
        <w:t>spikelets</w:t>
      </w:r>
      <w:proofErr w:type="spellEnd"/>
      <w:r>
        <w:rPr>
          <w:rFonts w:ascii="Times New Roman" w:hAnsi="Times New Roman" w:cs="Times New Roman"/>
          <w:sz w:val="22"/>
        </w:rPr>
        <w:t xml:space="preserve"> per spike, grains per spike, 1000-seed weight, biological yield per plant, and quality traits (zinc, iron, and protein content). This revealed that environmental factors, particularly variation in sowing dates, exerted considerable influence on </w:t>
      </w:r>
      <w:r>
        <w:rPr>
          <w:rFonts w:ascii="Times New Roman" w:hAnsi="Times New Roman" w:cs="Times New Roman"/>
          <w:sz w:val="22"/>
        </w:rPr>
        <w:lastRenderedPageBreak/>
        <w:t xml:space="preserve">phenotypic expression. Mean squares due to genotypes were also highly significant (P &lt; 0.01) for all traits, suggesting the presence of sufficient genetic variability in the experimental material. Such variability is a prerequisite for successful selection </w:t>
      </w:r>
      <w:proofErr w:type="spellStart"/>
      <w:r>
        <w:rPr>
          <w:rFonts w:ascii="Times New Roman" w:hAnsi="Times New Roman" w:cs="Times New Roman"/>
          <w:sz w:val="22"/>
        </w:rPr>
        <w:t>programmes</w:t>
      </w:r>
      <w:proofErr w:type="spellEnd"/>
      <w:r>
        <w:rPr>
          <w:rFonts w:ascii="Times New Roman" w:hAnsi="Times New Roman" w:cs="Times New Roman"/>
          <w:sz w:val="22"/>
        </w:rPr>
        <w:t xml:space="preserve"> in wheat breeding. Environment-wise analysis revealed that mean sum of squares due to treatments (genotypes) was highly significant (P &lt; 0.01) for all traits across all three environments (E1: normal, E2: late, E3: very late sowing), clearly indicating the presence of substantial genetic variability among wheat genotypes within each environment.</w:t>
      </w:r>
    </w:p>
    <w:p w14:paraId="3D74B515" w14:textId="0783A5FC" w:rsidR="00A57DED" w:rsidRDefault="00B50F5C">
      <w:pPr>
        <w:spacing w:after="0" w:line="360" w:lineRule="auto"/>
        <w:jc w:val="both"/>
        <w:rPr>
          <w:rFonts w:ascii="Times New Roman" w:hAnsi="Times New Roman" w:cs="Times New Roman"/>
          <w:b/>
          <w:bCs/>
          <w:sz w:val="22"/>
        </w:rPr>
      </w:pPr>
      <w:r>
        <w:rPr>
          <w:rFonts w:ascii="Times New Roman" w:hAnsi="Times New Roman" w:cs="Times New Roman"/>
          <w:b/>
          <w:bCs/>
          <w:sz w:val="22"/>
        </w:rPr>
        <w:t>Table 1: Pooled Analysis of Variance for Seed Yield and Associated Traits in Wheat</w:t>
      </w:r>
      <w:r w:rsidR="009B4CCB">
        <w:rPr>
          <w:rFonts w:ascii="Times New Roman" w:hAnsi="Times New Roman" w:cs="Times New Roman"/>
          <w:b/>
          <w:bCs/>
          <w:sz w:val="22"/>
        </w:rPr>
        <w:t xml:space="preserve"> evaluated in RBD, 2 replications across 3 environments (E1, E2 &amp; E3)</w:t>
      </w:r>
    </w:p>
    <w:tbl>
      <w:tblPr>
        <w:tblStyle w:val="PlainTable51"/>
        <w:tblW w:w="5000" w:type="pct"/>
        <w:tblLook w:val="04A0" w:firstRow="1" w:lastRow="0" w:firstColumn="1" w:lastColumn="0" w:noHBand="0" w:noVBand="1"/>
      </w:tblPr>
      <w:tblGrid>
        <w:gridCol w:w="670"/>
        <w:gridCol w:w="347"/>
        <w:gridCol w:w="590"/>
        <w:gridCol w:w="590"/>
        <w:gridCol w:w="635"/>
        <w:gridCol w:w="539"/>
        <w:gridCol w:w="547"/>
        <w:gridCol w:w="547"/>
        <w:gridCol w:w="547"/>
        <w:gridCol w:w="591"/>
        <w:gridCol w:w="635"/>
        <w:gridCol w:w="591"/>
        <w:gridCol w:w="547"/>
        <w:gridCol w:w="547"/>
        <w:gridCol w:w="547"/>
        <w:gridCol w:w="220"/>
      </w:tblGrid>
      <w:tr w:rsidR="00B50F5C" w14:paraId="34A0E050" w14:textId="77777777" w:rsidTr="00A57DED">
        <w:trPr>
          <w:gridAfter w:val="1"/>
          <w:cnfStyle w:val="100000000000" w:firstRow="1" w:lastRow="0" w:firstColumn="0" w:lastColumn="0" w:oddVBand="0" w:evenVBand="0" w:oddHBand="0" w:evenHBand="0" w:firstRowFirstColumn="0" w:firstRowLastColumn="0" w:lastRowFirstColumn="0" w:lastRowLastColumn="0"/>
          <w:wAfter w:w="95" w:type="pct"/>
          <w:trHeight w:val="360"/>
        </w:trPr>
        <w:tc>
          <w:tcPr>
            <w:cnfStyle w:val="001000000100" w:firstRow="0" w:lastRow="0" w:firstColumn="1" w:lastColumn="0" w:oddVBand="0" w:evenVBand="0" w:oddHBand="0" w:evenHBand="0" w:firstRowFirstColumn="1" w:firstRowLastColumn="0" w:lastRowFirstColumn="0" w:lastRowLastColumn="0"/>
            <w:tcW w:w="402" w:type="pct"/>
            <w:vMerge w:val="restart"/>
          </w:tcPr>
          <w:p w14:paraId="6636A56A" w14:textId="77777777" w:rsidR="00A57DED" w:rsidRDefault="00B50F5C">
            <w:pPr>
              <w:spacing w:after="0" w:line="240" w:lineRule="auto"/>
              <w:ind w:left="-24"/>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Source of variation</w:t>
            </w:r>
          </w:p>
        </w:tc>
        <w:tc>
          <w:tcPr>
            <w:tcW w:w="176" w:type="pct"/>
            <w:vMerge w:val="restart"/>
          </w:tcPr>
          <w:p w14:paraId="5974BD75"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df</w:t>
            </w:r>
          </w:p>
        </w:tc>
        <w:tc>
          <w:tcPr>
            <w:tcW w:w="345" w:type="pct"/>
            <w:vMerge w:val="restart"/>
          </w:tcPr>
          <w:p w14:paraId="6E950532"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Days to 50% flowering</w:t>
            </w:r>
          </w:p>
        </w:tc>
        <w:tc>
          <w:tcPr>
            <w:tcW w:w="345" w:type="pct"/>
            <w:vMerge w:val="restart"/>
          </w:tcPr>
          <w:p w14:paraId="65F54B3E"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Days to maturity</w:t>
            </w:r>
          </w:p>
        </w:tc>
        <w:tc>
          <w:tcPr>
            <w:tcW w:w="376" w:type="pct"/>
            <w:vMerge w:val="restart"/>
          </w:tcPr>
          <w:p w14:paraId="0E5481F0"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Plant height (cm)</w:t>
            </w:r>
          </w:p>
        </w:tc>
        <w:tc>
          <w:tcPr>
            <w:tcW w:w="309" w:type="pct"/>
            <w:vMerge w:val="restart"/>
          </w:tcPr>
          <w:p w14:paraId="5B0983B1"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Effective tillers per plant</w:t>
            </w:r>
          </w:p>
        </w:tc>
        <w:tc>
          <w:tcPr>
            <w:tcW w:w="314" w:type="pct"/>
            <w:vMerge w:val="restart"/>
          </w:tcPr>
          <w:p w14:paraId="170DFD49"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Spike length (cm)</w:t>
            </w:r>
          </w:p>
        </w:tc>
        <w:tc>
          <w:tcPr>
            <w:tcW w:w="314" w:type="pct"/>
            <w:vMerge w:val="restart"/>
          </w:tcPr>
          <w:p w14:paraId="0EBAA726"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proofErr w:type="spellStart"/>
            <w:r>
              <w:rPr>
                <w:rFonts w:ascii="Times New Roman" w:eastAsia="Times New Roman" w:hAnsi="Times New Roman" w:cs="Times New Roman"/>
                <w:b/>
                <w:bCs/>
                <w:color w:val="000000"/>
                <w:sz w:val="12"/>
                <w:szCs w:val="12"/>
              </w:rPr>
              <w:t>Spikelets</w:t>
            </w:r>
            <w:proofErr w:type="spellEnd"/>
            <w:r>
              <w:rPr>
                <w:rFonts w:ascii="Times New Roman" w:eastAsia="Times New Roman" w:hAnsi="Times New Roman" w:cs="Times New Roman"/>
                <w:b/>
                <w:bCs/>
                <w:color w:val="000000"/>
                <w:sz w:val="12"/>
                <w:szCs w:val="12"/>
              </w:rPr>
              <w:t xml:space="preserve"> per spike</w:t>
            </w:r>
          </w:p>
        </w:tc>
        <w:tc>
          <w:tcPr>
            <w:tcW w:w="314" w:type="pct"/>
            <w:vMerge w:val="restart"/>
          </w:tcPr>
          <w:p w14:paraId="29AB172D"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Grains per spike</w:t>
            </w:r>
          </w:p>
        </w:tc>
        <w:tc>
          <w:tcPr>
            <w:tcW w:w="345" w:type="pct"/>
            <w:vMerge w:val="restart"/>
          </w:tcPr>
          <w:p w14:paraId="23A4DFEF"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1000-seed weight (g)</w:t>
            </w:r>
          </w:p>
        </w:tc>
        <w:tc>
          <w:tcPr>
            <w:tcW w:w="376" w:type="pct"/>
            <w:vMerge w:val="restart"/>
          </w:tcPr>
          <w:p w14:paraId="072F8B5A"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Biological yield per plant (g)</w:t>
            </w:r>
          </w:p>
        </w:tc>
        <w:tc>
          <w:tcPr>
            <w:tcW w:w="345" w:type="pct"/>
            <w:vMerge w:val="restart"/>
          </w:tcPr>
          <w:p w14:paraId="46019FA9"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Zn content in seed (ppm)</w:t>
            </w:r>
          </w:p>
        </w:tc>
        <w:tc>
          <w:tcPr>
            <w:tcW w:w="314" w:type="pct"/>
            <w:vMerge w:val="restart"/>
          </w:tcPr>
          <w:p w14:paraId="4756F76D"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Fe content in seed (ppm)</w:t>
            </w:r>
          </w:p>
        </w:tc>
        <w:tc>
          <w:tcPr>
            <w:tcW w:w="314" w:type="pct"/>
            <w:vMerge w:val="restart"/>
          </w:tcPr>
          <w:p w14:paraId="6E5EF30D"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Protein content in seed (%)</w:t>
            </w:r>
          </w:p>
        </w:tc>
        <w:tc>
          <w:tcPr>
            <w:tcW w:w="314" w:type="pct"/>
            <w:vMerge w:val="restart"/>
          </w:tcPr>
          <w:p w14:paraId="4B9F2D7D" w14:textId="77777777" w:rsidR="00A57DED" w:rsidRDefault="00B50F5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00000"/>
                <w:sz w:val="12"/>
                <w:szCs w:val="12"/>
              </w:rPr>
            </w:pPr>
            <w:r>
              <w:rPr>
                <w:rFonts w:ascii="Times New Roman" w:eastAsia="Times New Roman" w:hAnsi="Times New Roman" w:cs="Times New Roman"/>
                <w:b/>
                <w:bCs/>
                <w:color w:val="000000"/>
                <w:sz w:val="12"/>
                <w:szCs w:val="12"/>
              </w:rPr>
              <w:t>Seed yield per plant (g)</w:t>
            </w:r>
          </w:p>
        </w:tc>
      </w:tr>
      <w:tr w:rsidR="00B50F5C" w14:paraId="61106507" w14:textId="77777777" w:rsidTr="00A57DED">
        <w:trPr>
          <w:trHeight w:val="246"/>
        </w:trPr>
        <w:tc>
          <w:tcPr>
            <w:cnfStyle w:val="001000000000" w:firstRow="0" w:lastRow="0" w:firstColumn="1" w:lastColumn="0" w:oddVBand="0" w:evenVBand="0" w:oddHBand="0" w:evenHBand="0" w:firstRowFirstColumn="0" w:firstRowLastColumn="0" w:lastRowFirstColumn="0" w:lastRowLastColumn="0"/>
            <w:tcW w:w="402" w:type="pct"/>
            <w:vMerge/>
          </w:tcPr>
          <w:p w14:paraId="1ACA36FB" w14:textId="77777777" w:rsidR="00A57DED" w:rsidRDefault="00A57DED">
            <w:pPr>
              <w:spacing w:after="0" w:line="240" w:lineRule="auto"/>
              <w:rPr>
                <w:rFonts w:ascii="Times New Roman" w:eastAsia="Times New Roman" w:hAnsi="Times New Roman" w:cs="Times New Roman"/>
                <w:b/>
                <w:bCs/>
                <w:i w:val="0"/>
                <w:iCs w:val="0"/>
                <w:color w:val="000000"/>
                <w:sz w:val="12"/>
                <w:szCs w:val="12"/>
              </w:rPr>
            </w:pPr>
          </w:p>
        </w:tc>
        <w:tc>
          <w:tcPr>
            <w:tcW w:w="176" w:type="pct"/>
            <w:vMerge/>
            <w:shd w:val="clear" w:color="auto" w:fill="F2F2F2" w:themeFill="background1" w:themeFillShade="F2"/>
          </w:tcPr>
          <w:p w14:paraId="5AABED76"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shd w:val="clear" w:color="auto" w:fill="F2F2F2" w:themeFill="background1" w:themeFillShade="F2"/>
          </w:tcPr>
          <w:p w14:paraId="10C19D24"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shd w:val="clear" w:color="auto" w:fill="F2F2F2" w:themeFill="background1" w:themeFillShade="F2"/>
          </w:tcPr>
          <w:p w14:paraId="6EB61650"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shd w:val="clear" w:color="auto" w:fill="F2F2F2" w:themeFill="background1" w:themeFillShade="F2"/>
          </w:tcPr>
          <w:p w14:paraId="5A82E9A8"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09" w:type="pct"/>
            <w:vMerge/>
            <w:shd w:val="clear" w:color="auto" w:fill="F2F2F2" w:themeFill="background1" w:themeFillShade="F2"/>
          </w:tcPr>
          <w:p w14:paraId="6B4AAFC4"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shd w:val="clear" w:color="auto" w:fill="F2F2F2" w:themeFill="background1" w:themeFillShade="F2"/>
          </w:tcPr>
          <w:p w14:paraId="2B45D4F6"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shd w:val="clear" w:color="auto" w:fill="F2F2F2" w:themeFill="background1" w:themeFillShade="F2"/>
          </w:tcPr>
          <w:p w14:paraId="3107A46E"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shd w:val="clear" w:color="auto" w:fill="F2F2F2" w:themeFill="background1" w:themeFillShade="F2"/>
          </w:tcPr>
          <w:p w14:paraId="0D3BD93F"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shd w:val="clear" w:color="auto" w:fill="F2F2F2" w:themeFill="background1" w:themeFillShade="F2"/>
          </w:tcPr>
          <w:p w14:paraId="4C09EBBA"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shd w:val="clear" w:color="auto" w:fill="F2F2F2" w:themeFill="background1" w:themeFillShade="F2"/>
          </w:tcPr>
          <w:p w14:paraId="33A50DFF"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shd w:val="clear" w:color="auto" w:fill="F2F2F2" w:themeFill="background1" w:themeFillShade="F2"/>
          </w:tcPr>
          <w:p w14:paraId="5E16B7CB"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shd w:val="clear" w:color="auto" w:fill="F2F2F2" w:themeFill="background1" w:themeFillShade="F2"/>
          </w:tcPr>
          <w:p w14:paraId="2895BD84"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shd w:val="clear" w:color="auto" w:fill="F2F2F2" w:themeFill="background1" w:themeFillShade="F2"/>
          </w:tcPr>
          <w:p w14:paraId="13943178"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shd w:val="clear" w:color="auto" w:fill="F2F2F2" w:themeFill="background1" w:themeFillShade="F2"/>
          </w:tcPr>
          <w:p w14:paraId="373A8B22"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95" w:type="pct"/>
            <w:shd w:val="clear" w:color="auto" w:fill="F2F2F2" w:themeFill="background1" w:themeFillShade="F2"/>
            <w:noWrap/>
          </w:tcPr>
          <w:p w14:paraId="5BF85637" w14:textId="77777777" w:rsidR="00A57DED" w:rsidRDefault="00A57D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r>
      <w:tr w:rsidR="00A57DED" w14:paraId="003F4F5D" w14:textId="77777777" w:rsidTr="00A57DED">
        <w:trPr>
          <w:trHeight w:val="71"/>
        </w:trPr>
        <w:tc>
          <w:tcPr>
            <w:cnfStyle w:val="001000000000" w:firstRow="0" w:lastRow="0" w:firstColumn="1" w:lastColumn="0" w:oddVBand="0" w:evenVBand="0" w:oddHBand="0" w:evenHBand="0" w:firstRowFirstColumn="0" w:firstRowLastColumn="0" w:lastRowFirstColumn="0" w:lastRowLastColumn="0"/>
            <w:tcW w:w="402" w:type="pct"/>
            <w:vMerge/>
          </w:tcPr>
          <w:p w14:paraId="4D00B0B5" w14:textId="77777777" w:rsidR="00A57DED" w:rsidRDefault="00A57DED">
            <w:pPr>
              <w:spacing w:after="0" w:line="240" w:lineRule="auto"/>
              <w:rPr>
                <w:rFonts w:ascii="Times New Roman" w:eastAsia="Times New Roman" w:hAnsi="Times New Roman" w:cs="Times New Roman"/>
                <w:b/>
                <w:bCs/>
                <w:i w:val="0"/>
                <w:iCs w:val="0"/>
                <w:color w:val="000000"/>
                <w:sz w:val="12"/>
                <w:szCs w:val="12"/>
              </w:rPr>
            </w:pPr>
          </w:p>
        </w:tc>
        <w:tc>
          <w:tcPr>
            <w:tcW w:w="176" w:type="pct"/>
            <w:vMerge/>
          </w:tcPr>
          <w:p w14:paraId="2E87F090"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tcPr>
          <w:p w14:paraId="302491DD"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tcPr>
          <w:p w14:paraId="05FCA50E"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tcPr>
          <w:p w14:paraId="4854AE6D"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09" w:type="pct"/>
            <w:vMerge/>
          </w:tcPr>
          <w:p w14:paraId="73B4691B"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tcPr>
          <w:p w14:paraId="6B312505"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tcPr>
          <w:p w14:paraId="57662687"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tcPr>
          <w:p w14:paraId="04E0F0AC"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tcPr>
          <w:p w14:paraId="447DB1FA"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76" w:type="pct"/>
            <w:vMerge/>
          </w:tcPr>
          <w:p w14:paraId="2521A634"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45" w:type="pct"/>
            <w:vMerge/>
          </w:tcPr>
          <w:p w14:paraId="16F1DF53"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tcPr>
          <w:p w14:paraId="5811431A"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tcPr>
          <w:p w14:paraId="29480F05"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314" w:type="pct"/>
            <w:vMerge/>
          </w:tcPr>
          <w:p w14:paraId="4C74ECBC"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2"/>
                <w:szCs w:val="12"/>
              </w:rPr>
            </w:pPr>
          </w:p>
        </w:tc>
        <w:tc>
          <w:tcPr>
            <w:tcW w:w="95" w:type="pct"/>
            <w:noWrap/>
          </w:tcPr>
          <w:p w14:paraId="3CAAD1CC"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B50F5C" w14:paraId="259EF984" w14:textId="77777777" w:rsidTr="00A57DED">
        <w:trPr>
          <w:trHeight w:val="474"/>
        </w:trPr>
        <w:tc>
          <w:tcPr>
            <w:cnfStyle w:val="001000000000" w:firstRow="0" w:lastRow="0" w:firstColumn="1" w:lastColumn="0" w:oddVBand="0" w:evenVBand="0" w:oddHBand="0" w:evenHBand="0" w:firstRowFirstColumn="0" w:firstRowLastColumn="0" w:lastRowFirstColumn="0" w:lastRowLastColumn="0"/>
            <w:tcW w:w="402" w:type="pct"/>
          </w:tcPr>
          <w:p w14:paraId="17D44481" w14:textId="77777777" w:rsidR="00A57DED" w:rsidRDefault="00B50F5C">
            <w:pPr>
              <w:spacing w:after="0" w:line="240" w:lineRule="auto"/>
              <w:rPr>
                <w:rFonts w:ascii="Times New Roman" w:eastAsia="Times New Roman" w:hAnsi="Times New Roman" w:cs="Times New Roman"/>
                <w:i w:val="0"/>
                <w:iCs w:val="0"/>
                <w:color w:val="000000"/>
                <w:sz w:val="12"/>
                <w:szCs w:val="12"/>
              </w:rPr>
            </w:pPr>
            <w:r>
              <w:rPr>
                <w:rFonts w:ascii="Times New Roman" w:eastAsia="Times New Roman" w:hAnsi="Times New Roman" w:cs="Times New Roman"/>
                <w:color w:val="000000"/>
                <w:sz w:val="12"/>
                <w:szCs w:val="12"/>
              </w:rPr>
              <w:t>Environment</w:t>
            </w:r>
          </w:p>
        </w:tc>
        <w:tc>
          <w:tcPr>
            <w:tcW w:w="176" w:type="pct"/>
            <w:shd w:val="clear" w:color="auto" w:fill="F2F2F2" w:themeFill="background1" w:themeFillShade="F2"/>
          </w:tcPr>
          <w:p w14:paraId="4554D8AA"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345" w:type="pct"/>
            <w:shd w:val="clear" w:color="auto" w:fill="F2F2F2" w:themeFill="background1" w:themeFillShade="F2"/>
          </w:tcPr>
          <w:p w14:paraId="6308C4C2"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3366.91**</w:t>
            </w:r>
          </w:p>
        </w:tc>
        <w:tc>
          <w:tcPr>
            <w:tcW w:w="345" w:type="pct"/>
            <w:shd w:val="clear" w:color="auto" w:fill="F2F2F2" w:themeFill="background1" w:themeFillShade="F2"/>
          </w:tcPr>
          <w:p w14:paraId="62713212"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9742.39**</w:t>
            </w:r>
          </w:p>
        </w:tc>
        <w:tc>
          <w:tcPr>
            <w:tcW w:w="376" w:type="pct"/>
            <w:shd w:val="clear" w:color="auto" w:fill="F2F2F2" w:themeFill="background1" w:themeFillShade="F2"/>
          </w:tcPr>
          <w:p w14:paraId="2B9AD673"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17251.17**</w:t>
            </w:r>
          </w:p>
        </w:tc>
        <w:tc>
          <w:tcPr>
            <w:tcW w:w="309" w:type="pct"/>
            <w:shd w:val="clear" w:color="auto" w:fill="F2F2F2" w:themeFill="background1" w:themeFillShade="F2"/>
          </w:tcPr>
          <w:p w14:paraId="6E21C18E"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123.4**</w:t>
            </w:r>
          </w:p>
        </w:tc>
        <w:tc>
          <w:tcPr>
            <w:tcW w:w="314" w:type="pct"/>
            <w:shd w:val="clear" w:color="auto" w:fill="F2F2F2" w:themeFill="background1" w:themeFillShade="F2"/>
          </w:tcPr>
          <w:p w14:paraId="200B653D"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364.18**</w:t>
            </w:r>
          </w:p>
        </w:tc>
        <w:tc>
          <w:tcPr>
            <w:tcW w:w="314" w:type="pct"/>
            <w:shd w:val="clear" w:color="auto" w:fill="F2F2F2" w:themeFill="background1" w:themeFillShade="F2"/>
          </w:tcPr>
          <w:p w14:paraId="7037AA5A"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919.01**</w:t>
            </w:r>
          </w:p>
        </w:tc>
        <w:tc>
          <w:tcPr>
            <w:tcW w:w="314" w:type="pct"/>
            <w:shd w:val="clear" w:color="auto" w:fill="F2F2F2" w:themeFill="background1" w:themeFillShade="F2"/>
          </w:tcPr>
          <w:p w14:paraId="228F2CB1"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4727.7**</w:t>
            </w:r>
          </w:p>
        </w:tc>
        <w:tc>
          <w:tcPr>
            <w:tcW w:w="345" w:type="pct"/>
            <w:shd w:val="clear" w:color="auto" w:fill="F2F2F2" w:themeFill="background1" w:themeFillShade="F2"/>
          </w:tcPr>
          <w:p w14:paraId="69B24EA7"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1728.95**</w:t>
            </w:r>
          </w:p>
        </w:tc>
        <w:tc>
          <w:tcPr>
            <w:tcW w:w="376" w:type="pct"/>
            <w:shd w:val="clear" w:color="auto" w:fill="F2F2F2" w:themeFill="background1" w:themeFillShade="F2"/>
          </w:tcPr>
          <w:p w14:paraId="78803A07"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13369.24**</w:t>
            </w:r>
          </w:p>
        </w:tc>
        <w:tc>
          <w:tcPr>
            <w:tcW w:w="345" w:type="pct"/>
            <w:shd w:val="clear" w:color="auto" w:fill="F2F2F2" w:themeFill="background1" w:themeFillShade="F2"/>
          </w:tcPr>
          <w:p w14:paraId="6A3F04D1"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1866.39**</w:t>
            </w:r>
          </w:p>
        </w:tc>
        <w:tc>
          <w:tcPr>
            <w:tcW w:w="314" w:type="pct"/>
            <w:shd w:val="clear" w:color="auto" w:fill="F2F2F2" w:themeFill="background1" w:themeFillShade="F2"/>
          </w:tcPr>
          <w:p w14:paraId="0EA8C3E2"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562.12**</w:t>
            </w:r>
          </w:p>
        </w:tc>
        <w:tc>
          <w:tcPr>
            <w:tcW w:w="314" w:type="pct"/>
            <w:shd w:val="clear" w:color="auto" w:fill="F2F2F2" w:themeFill="background1" w:themeFillShade="F2"/>
          </w:tcPr>
          <w:p w14:paraId="7B6F7589"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270.33**</w:t>
            </w:r>
          </w:p>
        </w:tc>
        <w:tc>
          <w:tcPr>
            <w:tcW w:w="314" w:type="pct"/>
            <w:shd w:val="clear" w:color="auto" w:fill="F2F2F2" w:themeFill="background1" w:themeFillShade="F2"/>
          </w:tcPr>
          <w:p w14:paraId="7DFD1110"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709.51**</w:t>
            </w:r>
          </w:p>
        </w:tc>
        <w:tc>
          <w:tcPr>
            <w:tcW w:w="95" w:type="pct"/>
            <w:shd w:val="clear" w:color="auto" w:fill="F2F2F2" w:themeFill="background1" w:themeFillShade="F2"/>
          </w:tcPr>
          <w:p w14:paraId="70847C3C"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A57DED" w14:paraId="64F13D52" w14:textId="77777777" w:rsidTr="00A57DED">
        <w:trPr>
          <w:trHeight w:val="270"/>
        </w:trPr>
        <w:tc>
          <w:tcPr>
            <w:cnfStyle w:val="001000000000" w:firstRow="0" w:lastRow="0" w:firstColumn="1" w:lastColumn="0" w:oddVBand="0" w:evenVBand="0" w:oddHBand="0" w:evenHBand="0" w:firstRowFirstColumn="0" w:firstRowLastColumn="0" w:lastRowFirstColumn="0" w:lastRowLastColumn="0"/>
            <w:tcW w:w="402" w:type="pct"/>
          </w:tcPr>
          <w:p w14:paraId="5ED71032" w14:textId="77777777" w:rsidR="00A57DED" w:rsidRDefault="00B50F5C">
            <w:pPr>
              <w:spacing w:after="0" w:line="240" w:lineRule="auto"/>
              <w:rPr>
                <w:rFonts w:ascii="Times New Roman" w:eastAsia="Times New Roman" w:hAnsi="Times New Roman" w:cs="Times New Roman"/>
                <w:i w:val="0"/>
                <w:iCs w:val="0"/>
                <w:color w:val="000000"/>
                <w:sz w:val="12"/>
                <w:szCs w:val="12"/>
              </w:rPr>
            </w:pPr>
            <w:r>
              <w:rPr>
                <w:rFonts w:ascii="Times New Roman" w:eastAsia="Times New Roman" w:hAnsi="Times New Roman" w:cs="Times New Roman"/>
                <w:color w:val="000000"/>
                <w:sz w:val="12"/>
                <w:szCs w:val="12"/>
              </w:rPr>
              <w:t>Replication within environment</w:t>
            </w:r>
          </w:p>
        </w:tc>
        <w:tc>
          <w:tcPr>
            <w:tcW w:w="176" w:type="pct"/>
          </w:tcPr>
          <w:p w14:paraId="7B9546CC"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345" w:type="pct"/>
          </w:tcPr>
          <w:p w14:paraId="28C9EAE2"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3.07</w:t>
            </w:r>
          </w:p>
        </w:tc>
        <w:tc>
          <w:tcPr>
            <w:tcW w:w="345" w:type="pct"/>
          </w:tcPr>
          <w:p w14:paraId="6544B3CB"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3.06</w:t>
            </w:r>
          </w:p>
        </w:tc>
        <w:tc>
          <w:tcPr>
            <w:tcW w:w="376" w:type="pct"/>
          </w:tcPr>
          <w:p w14:paraId="17B26ED5"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13.8</w:t>
            </w:r>
          </w:p>
        </w:tc>
        <w:tc>
          <w:tcPr>
            <w:tcW w:w="309" w:type="pct"/>
          </w:tcPr>
          <w:p w14:paraId="33528D10"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0.12</w:t>
            </w:r>
          </w:p>
        </w:tc>
        <w:tc>
          <w:tcPr>
            <w:tcW w:w="314" w:type="pct"/>
          </w:tcPr>
          <w:p w14:paraId="00FA74AF"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0.09</w:t>
            </w:r>
          </w:p>
        </w:tc>
        <w:tc>
          <w:tcPr>
            <w:tcW w:w="314" w:type="pct"/>
          </w:tcPr>
          <w:p w14:paraId="235B1732"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0.07</w:t>
            </w:r>
          </w:p>
        </w:tc>
        <w:tc>
          <w:tcPr>
            <w:tcW w:w="314" w:type="pct"/>
          </w:tcPr>
          <w:p w14:paraId="7895A6CA"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0.28</w:t>
            </w:r>
          </w:p>
        </w:tc>
        <w:tc>
          <w:tcPr>
            <w:tcW w:w="345" w:type="pct"/>
          </w:tcPr>
          <w:p w14:paraId="202C7F9E"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2.23</w:t>
            </w:r>
          </w:p>
        </w:tc>
        <w:tc>
          <w:tcPr>
            <w:tcW w:w="376" w:type="pct"/>
          </w:tcPr>
          <w:p w14:paraId="6628A5BD"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0.11</w:t>
            </w:r>
          </w:p>
        </w:tc>
        <w:tc>
          <w:tcPr>
            <w:tcW w:w="345" w:type="pct"/>
          </w:tcPr>
          <w:p w14:paraId="406B3F98"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0.17</w:t>
            </w:r>
          </w:p>
        </w:tc>
        <w:tc>
          <w:tcPr>
            <w:tcW w:w="314" w:type="pct"/>
          </w:tcPr>
          <w:p w14:paraId="6D736E53"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0.06</w:t>
            </w:r>
          </w:p>
        </w:tc>
        <w:tc>
          <w:tcPr>
            <w:tcW w:w="314" w:type="pct"/>
          </w:tcPr>
          <w:p w14:paraId="005C6AA1"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0.02</w:t>
            </w:r>
          </w:p>
        </w:tc>
        <w:tc>
          <w:tcPr>
            <w:tcW w:w="314" w:type="pct"/>
          </w:tcPr>
          <w:p w14:paraId="74735B5B"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0.06</w:t>
            </w:r>
          </w:p>
        </w:tc>
        <w:tc>
          <w:tcPr>
            <w:tcW w:w="95" w:type="pct"/>
          </w:tcPr>
          <w:p w14:paraId="0884AD19"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B50F5C" w14:paraId="6F13C747" w14:textId="77777777" w:rsidTr="00A57DED">
        <w:trPr>
          <w:trHeight w:val="246"/>
        </w:trPr>
        <w:tc>
          <w:tcPr>
            <w:cnfStyle w:val="001000000000" w:firstRow="0" w:lastRow="0" w:firstColumn="1" w:lastColumn="0" w:oddVBand="0" w:evenVBand="0" w:oddHBand="0" w:evenHBand="0" w:firstRowFirstColumn="0" w:firstRowLastColumn="0" w:lastRowFirstColumn="0" w:lastRowLastColumn="0"/>
            <w:tcW w:w="402" w:type="pct"/>
          </w:tcPr>
          <w:p w14:paraId="15CA5732" w14:textId="77777777" w:rsidR="00A57DED" w:rsidRDefault="00B50F5C">
            <w:pPr>
              <w:spacing w:after="0" w:line="240" w:lineRule="auto"/>
              <w:rPr>
                <w:rFonts w:ascii="Times New Roman" w:eastAsia="Times New Roman" w:hAnsi="Times New Roman" w:cs="Times New Roman"/>
                <w:i w:val="0"/>
                <w:iCs w:val="0"/>
                <w:color w:val="000000"/>
                <w:sz w:val="12"/>
                <w:szCs w:val="12"/>
              </w:rPr>
            </w:pPr>
            <w:r>
              <w:rPr>
                <w:rFonts w:ascii="Times New Roman" w:eastAsia="Times New Roman" w:hAnsi="Times New Roman" w:cs="Times New Roman"/>
                <w:color w:val="000000"/>
                <w:sz w:val="12"/>
                <w:szCs w:val="12"/>
              </w:rPr>
              <w:t>Genotype</w:t>
            </w:r>
          </w:p>
        </w:tc>
        <w:tc>
          <w:tcPr>
            <w:tcW w:w="176" w:type="pct"/>
            <w:shd w:val="clear" w:color="auto" w:fill="F2F2F2" w:themeFill="background1" w:themeFillShade="F2"/>
          </w:tcPr>
          <w:p w14:paraId="0E7FDBEE"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39</w:t>
            </w:r>
          </w:p>
        </w:tc>
        <w:tc>
          <w:tcPr>
            <w:tcW w:w="345" w:type="pct"/>
            <w:shd w:val="clear" w:color="auto" w:fill="F2F2F2" w:themeFill="background1" w:themeFillShade="F2"/>
          </w:tcPr>
          <w:p w14:paraId="5A24E6DE"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58.29**</w:t>
            </w:r>
          </w:p>
        </w:tc>
        <w:tc>
          <w:tcPr>
            <w:tcW w:w="345" w:type="pct"/>
            <w:shd w:val="clear" w:color="auto" w:fill="F2F2F2" w:themeFill="background1" w:themeFillShade="F2"/>
          </w:tcPr>
          <w:p w14:paraId="54B9AF55"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79.07**</w:t>
            </w:r>
          </w:p>
        </w:tc>
        <w:tc>
          <w:tcPr>
            <w:tcW w:w="376" w:type="pct"/>
            <w:shd w:val="clear" w:color="auto" w:fill="F2F2F2" w:themeFill="background1" w:themeFillShade="F2"/>
          </w:tcPr>
          <w:p w14:paraId="7288442A"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240.4**</w:t>
            </w:r>
          </w:p>
        </w:tc>
        <w:tc>
          <w:tcPr>
            <w:tcW w:w="309" w:type="pct"/>
            <w:shd w:val="clear" w:color="auto" w:fill="F2F2F2" w:themeFill="background1" w:themeFillShade="F2"/>
          </w:tcPr>
          <w:p w14:paraId="70ABFBDC"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2.55**</w:t>
            </w:r>
          </w:p>
        </w:tc>
        <w:tc>
          <w:tcPr>
            <w:tcW w:w="314" w:type="pct"/>
            <w:shd w:val="clear" w:color="auto" w:fill="F2F2F2" w:themeFill="background1" w:themeFillShade="F2"/>
          </w:tcPr>
          <w:p w14:paraId="10EA29D3"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1.93**</w:t>
            </w:r>
          </w:p>
        </w:tc>
        <w:tc>
          <w:tcPr>
            <w:tcW w:w="314" w:type="pct"/>
            <w:shd w:val="clear" w:color="auto" w:fill="F2F2F2" w:themeFill="background1" w:themeFillShade="F2"/>
          </w:tcPr>
          <w:p w14:paraId="025343B8"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6.72**</w:t>
            </w:r>
          </w:p>
        </w:tc>
        <w:tc>
          <w:tcPr>
            <w:tcW w:w="314" w:type="pct"/>
            <w:shd w:val="clear" w:color="auto" w:fill="F2F2F2" w:themeFill="background1" w:themeFillShade="F2"/>
          </w:tcPr>
          <w:p w14:paraId="4F59A8EF"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70.3**</w:t>
            </w:r>
          </w:p>
        </w:tc>
        <w:tc>
          <w:tcPr>
            <w:tcW w:w="345" w:type="pct"/>
            <w:shd w:val="clear" w:color="auto" w:fill="F2F2F2" w:themeFill="background1" w:themeFillShade="F2"/>
          </w:tcPr>
          <w:p w14:paraId="3DB2B06B"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192.59**</w:t>
            </w:r>
          </w:p>
        </w:tc>
        <w:tc>
          <w:tcPr>
            <w:tcW w:w="376" w:type="pct"/>
            <w:shd w:val="clear" w:color="auto" w:fill="F2F2F2" w:themeFill="background1" w:themeFillShade="F2"/>
          </w:tcPr>
          <w:p w14:paraId="0B26D051"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5.16**</w:t>
            </w:r>
          </w:p>
        </w:tc>
        <w:tc>
          <w:tcPr>
            <w:tcW w:w="345" w:type="pct"/>
            <w:shd w:val="clear" w:color="auto" w:fill="F2F2F2" w:themeFill="background1" w:themeFillShade="F2"/>
          </w:tcPr>
          <w:p w14:paraId="6B1265ED"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11.27**</w:t>
            </w:r>
          </w:p>
        </w:tc>
        <w:tc>
          <w:tcPr>
            <w:tcW w:w="314" w:type="pct"/>
            <w:shd w:val="clear" w:color="auto" w:fill="F2F2F2" w:themeFill="background1" w:themeFillShade="F2"/>
          </w:tcPr>
          <w:p w14:paraId="3BDD1F46"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12.43**</w:t>
            </w:r>
          </w:p>
        </w:tc>
        <w:tc>
          <w:tcPr>
            <w:tcW w:w="314" w:type="pct"/>
            <w:shd w:val="clear" w:color="auto" w:fill="F2F2F2" w:themeFill="background1" w:themeFillShade="F2"/>
          </w:tcPr>
          <w:p w14:paraId="2D0582BE"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6.52**</w:t>
            </w:r>
          </w:p>
        </w:tc>
        <w:tc>
          <w:tcPr>
            <w:tcW w:w="314" w:type="pct"/>
            <w:shd w:val="clear" w:color="auto" w:fill="F2F2F2" w:themeFill="background1" w:themeFillShade="F2"/>
          </w:tcPr>
          <w:p w14:paraId="47758359"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95" w:type="pct"/>
            <w:shd w:val="clear" w:color="auto" w:fill="F2F2F2" w:themeFill="background1" w:themeFillShade="F2"/>
          </w:tcPr>
          <w:p w14:paraId="023CBC63"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A57DED" w14:paraId="53AA80C0" w14:textId="77777777" w:rsidTr="00A57DED">
        <w:trPr>
          <w:trHeight w:val="243"/>
        </w:trPr>
        <w:tc>
          <w:tcPr>
            <w:cnfStyle w:val="001000000000" w:firstRow="0" w:lastRow="0" w:firstColumn="1" w:lastColumn="0" w:oddVBand="0" w:evenVBand="0" w:oddHBand="0" w:evenHBand="0" w:firstRowFirstColumn="0" w:firstRowLastColumn="0" w:lastRowFirstColumn="0" w:lastRowLastColumn="0"/>
            <w:tcW w:w="402" w:type="pct"/>
          </w:tcPr>
          <w:p w14:paraId="64D0DA2A" w14:textId="77777777" w:rsidR="00A57DED" w:rsidRDefault="00B50F5C">
            <w:pPr>
              <w:spacing w:after="0" w:line="240" w:lineRule="auto"/>
              <w:rPr>
                <w:rFonts w:ascii="Times New Roman" w:eastAsia="Times New Roman" w:hAnsi="Times New Roman" w:cs="Times New Roman"/>
                <w:i w:val="0"/>
                <w:iCs w:val="0"/>
                <w:color w:val="000000"/>
                <w:sz w:val="12"/>
                <w:szCs w:val="12"/>
              </w:rPr>
            </w:pPr>
            <w:r>
              <w:rPr>
                <w:rFonts w:ascii="Times New Roman" w:eastAsia="Times New Roman" w:hAnsi="Times New Roman" w:cs="Times New Roman"/>
                <w:color w:val="000000"/>
                <w:sz w:val="12"/>
                <w:szCs w:val="12"/>
              </w:rPr>
              <w:t xml:space="preserve">Genotype x Environment </w:t>
            </w:r>
          </w:p>
        </w:tc>
        <w:tc>
          <w:tcPr>
            <w:tcW w:w="176" w:type="pct"/>
          </w:tcPr>
          <w:p w14:paraId="3B4E7944"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78</w:t>
            </w:r>
          </w:p>
        </w:tc>
        <w:tc>
          <w:tcPr>
            <w:tcW w:w="345" w:type="pct"/>
          </w:tcPr>
          <w:p w14:paraId="4C8EF0C8"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12.16**</w:t>
            </w:r>
          </w:p>
        </w:tc>
        <w:tc>
          <w:tcPr>
            <w:tcW w:w="345" w:type="pct"/>
          </w:tcPr>
          <w:p w14:paraId="22B802A6"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18.74**</w:t>
            </w:r>
          </w:p>
        </w:tc>
        <w:tc>
          <w:tcPr>
            <w:tcW w:w="376" w:type="pct"/>
          </w:tcPr>
          <w:p w14:paraId="084A538E"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59.65**</w:t>
            </w:r>
          </w:p>
        </w:tc>
        <w:tc>
          <w:tcPr>
            <w:tcW w:w="309" w:type="pct"/>
          </w:tcPr>
          <w:p w14:paraId="2674195F"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0.23**</w:t>
            </w:r>
          </w:p>
        </w:tc>
        <w:tc>
          <w:tcPr>
            <w:tcW w:w="314" w:type="pct"/>
          </w:tcPr>
          <w:p w14:paraId="4EFE207C"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0.31**</w:t>
            </w:r>
          </w:p>
        </w:tc>
        <w:tc>
          <w:tcPr>
            <w:tcW w:w="314" w:type="pct"/>
          </w:tcPr>
          <w:p w14:paraId="06312020"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1.85**</w:t>
            </w:r>
          </w:p>
        </w:tc>
        <w:tc>
          <w:tcPr>
            <w:tcW w:w="314" w:type="pct"/>
          </w:tcPr>
          <w:p w14:paraId="25AA0E65"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17.73**</w:t>
            </w:r>
          </w:p>
        </w:tc>
        <w:tc>
          <w:tcPr>
            <w:tcW w:w="345" w:type="pct"/>
          </w:tcPr>
          <w:p w14:paraId="07F6F6F6"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7.17**</w:t>
            </w:r>
          </w:p>
        </w:tc>
        <w:tc>
          <w:tcPr>
            <w:tcW w:w="376" w:type="pct"/>
          </w:tcPr>
          <w:p w14:paraId="286CECAC"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2.37**</w:t>
            </w:r>
          </w:p>
        </w:tc>
        <w:tc>
          <w:tcPr>
            <w:tcW w:w="345" w:type="pct"/>
          </w:tcPr>
          <w:p w14:paraId="75C049E3"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1.41**</w:t>
            </w:r>
          </w:p>
        </w:tc>
        <w:tc>
          <w:tcPr>
            <w:tcW w:w="314" w:type="pct"/>
          </w:tcPr>
          <w:p w14:paraId="6CDF8DA3"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0.7**</w:t>
            </w:r>
          </w:p>
        </w:tc>
        <w:tc>
          <w:tcPr>
            <w:tcW w:w="314" w:type="pct"/>
          </w:tcPr>
          <w:p w14:paraId="57498FF0"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0.24**</w:t>
            </w:r>
          </w:p>
        </w:tc>
        <w:tc>
          <w:tcPr>
            <w:tcW w:w="314" w:type="pct"/>
          </w:tcPr>
          <w:p w14:paraId="3C23CF6B"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0.39**</w:t>
            </w:r>
          </w:p>
        </w:tc>
        <w:tc>
          <w:tcPr>
            <w:tcW w:w="95" w:type="pct"/>
          </w:tcPr>
          <w:p w14:paraId="44D8FE8F"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r w:rsidR="00B50F5C" w14:paraId="40ABAA19" w14:textId="77777777" w:rsidTr="00A57DED">
        <w:trPr>
          <w:trHeight w:val="246"/>
        </w:trPr>
        <w:tc>
          <w:tcPr>
            <w:cnfStyle w:val="001000000000" w:firstRow="0" w:lastRow="0" w:firstColumn="1" w:lastColumn="0" w:oddVBand="0" w:evenVBand="0" w:oddHBand="0" w:evenHBand="0" w:firstRowFirstColumn="0" w:firstRowLastColumn="0" w:lastRowFirstColumn="0" w:lastRowLastColumn="0"/>
            <w:tcW w:w="402" w:type="pct"/>
          </w:tcPr>
          <w:p w14:paraId="4F1A268F" w14:textId="77777777" w:rsidR="00A57DED" w:rsidRDefault="00B50F5C">
            <w:pPr>
              <w:spacing w:after="0" w:line="240" w:lineRule="auto"/>
              <w:rPr>
                <w:rFonts w:ascii="Times New Roman" w:eastAsia="Times New Roman" w:hAnsi="Times New Roman" w:cs="Times New Roman"/>
                <w:i w:val="0"/>
                <w:iCs w:val="0"/>
                <w:color w:val="000000"/>
                <w:sz w:val="12"/>
                <w:szCs w:val="12"/>
              </w:rPr>
            </w:pPr>
            <w:r>
              <w:rPr>
                <w:rFonts w:ascii="Times New Roman" w:eastAsia="Times New Roman" w:hAnsi="Times New Roman" w:cs="Times New Roman"/>
                <w:color w:val="000000"/>
                <w:sz w:val="12"/>
                <w:szCs w:val="12"/>
              </w:rPr>
              <w:t>Error</w:t>
            </w:r>
          </w:p>
        </w:tc>
        <w:tc>
          <w:tcPr>
            <w:tcW w:w="176" w:type="pct"/>
            <w:shd w:val="clear" w:color="auto" w:fill="F2F2F2" w:themeFill="background1" w:themeFillShade="F2"/>
          </w:tcPr>
          <w:p w14:paraId="39460980"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234</w:t>
            </w:r>
          </w:p>
        </w:tc>
        <w:tc>
          <w:tcPr>
            <w:tcW w:w="345" w:type="pct"/>
            <w:shd w:val="clear" w:color="auto" w:fill="F2F2F2" w:themeFill="background1" w:themeFillShade="F2"/>
          </w:tcPr>
          <w:p w14:paraId="4EE74D43"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5.6</w:t>
            </w:r>
          </w:p>
        </w:tc>
        <w:tc>
          <w:tcPr>
            <w:tcW w:w="345" w:type="pct"/>
            <w:shd w:val="clear" w:color="auto" w:fill="F2F2F2" w:themeFill="background1" w:themeFillShade="F2"/>
          </w:tcPr>
          <w:p w14:paraId="1A8BF469"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7.04</w:t>
            </w:r>
          </w:p>
        </w:tc>
        <w:tc>
          <w:tcPr>
            <w:tcW w:w="376" w:type="pct"/>
            <w:shd w:val="clear" w:color="auto" w:fill="F2F2F2" w:themeFill="background1" w:themeFillShade="F2"/>
          </w:tcPr>
          <w:p w14:paraId="062C174C"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28.23</w:t>
            </w:r>
          </w:p>
        </w:tc>
        <w:tc>
          <w:tcPr>
            <w:tcW w:w="309" w:type="pct"/>
            <w:shd w:val="clear" w:color="auto" w:fill="F2F2F2" w:themeFill="background1" w:themeFillShade="F2"/>
          </w:tcPr>
          <w:p w14:paraId="64866618"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0.1</w:t>
            </w:r>
          </w:p>
        </w:tc>
        <w:tc>
          <w:tcPr>
            <w:tcW w:w="314" w:type="pct"/>
            <w:shd w:val="clear" w:color="auto" w:fill="F2F2F2" w:themeFill="background1" w:themeFillShade="F2"/>
          </w:tcPr>
          <w:p w14:paraId="13079C5C"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0.15</w:t>
            </w:r>
          </w:p>
        </w:tc>
        <w:tc>
          <w:tcPr>
            <w:tcW w:w="314" w:type="pct"/>
            <w:shd w:val="clear" w:color="auto" w:fill="F2F2F2" w:themeFill="background1" w:themeFillShade="F2"/>
          </w:tcPr>
          <w:p w14:paraId="26062FA5"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0.62</w:t>
            </w:r>
          </w:p>
        </w:tc>
        <w:tc>
          <w:tcPr>
            <w:tcW w:w="314" w:type="pct"/>
            <w:shd w:val="clear" w:color="auto" w:fill="F2F2F2" w:themeFill="background1" w:themeFillShade="F2"/>
          </w:tcPr>
          <w:p w14:paraId="565E8596"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3.07</w:t>
            </w:r>
          </w:p>
        </w:tc>
        <w:tc>
          <w:tcPr>
            <w:tcW w:w="345" w:type="pct"/>
            <w:shd w:val="clear" w:color="auto" w:fill="F2F2F2" w:themeFill="background1" w:themeFillShade="F2"/>
          </w:tcPr>
          <w:p w14:paraId="0337B1A0"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3.56</w:t>
            </w:r>
          </w:p>
        </w:tc>
        <w:tc>
          <w:tcPr>
            <w:tcW w:w="376" w:type="pct"/>
            <w:shd w:val="clear" w:color="auto" w:fill="F2F2F2" w:themeFill="background1" w:themeFillShade="F2"/>
          </w:tcPr>
          <w:p w14:paraId="0AA5EA58"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0.81</w:t>
            </w:r>
          </w:p>
        </w:tc>
        <w:tc>
          <w:tcPr>
            <w:tcW w:w="345" w:type="pct"/>
            <w:shd w:val="clear" w:color="auto" w:fill="F2F2F2" w:themeFill="background1" w:themeFillShade="F2"/>
          </w:tcPr>
          <w:p w14:paraId="1A1BF3B0"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0.64</w:t>
            </w:r>
          </w:p>
        </w:tc>
        <w:tc>
          <w:tcPr>
            <w:tcW w:w="314" w:type="pct"/>
            <w:shd w:val="clear" w:color="auto" w:fill="F2F2F2" w:themeFill="background1" w:themeFillShade="F2"/>
          </w:tcPr>
          <w:p w14:paraId="3D605682"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0.19</w:t>
            </w:r>
          </w:p>
        </w:tc>
        <w:tc>
          <w:tcPr>
            <w:tcW w:w="314" w:type="pct"/>
            <w:shd w:val="clear" w:color="auto" w:fill="F2F2F2" w:themeFill="background1" w:themeFillShade="F2"/>
          </w:tcPr>
          <w:p w14:paraId="33E390EE"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0.11</w:t>
            </w:r>
          </w:p>
        </w:tc>
        <w:tc>
          <w:tcPr>
            <w:tcW w:w="314" w:type="pct"/>
            <w:shd w:val="clear" w:color="auto" w:fill="F2F2F2" w:themeFill="background1" w:themeFillShade="F2"/>
          </w:tcPr>
          <w:p w14:paraId="3C3BD892" w14:textId="77777777" w:rsidR="00A57DED" w:rsidRDefault="00B50F5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0.21</w:t>
            </w:r>
          </w:p>
        </w:tc>
        <w:tc>
          <w:tcPr>
            <w:tcW w:w="95" w:type="pct"/>
            <w:shd w:val="clear" w:color="auto" w:fill="F2F2F2" w:themeFill="background1" w:themeFillShade="F2"/>
          </w:tcPr>
          <w:p w14:paraId="5EF03845" w14:textId="77777777" w:rsidR="00A57DED" w:rsidRDefault="00A57DE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p>
        </w:tc>
      </w:tr>
    </w:tbl>
    <w:p w14:paraId="0A78DC2B" w14:textId="77777777" w:rsidR="00A57DED" w:rsidRDefault="00A57DED">
      <w:pPr>
        <w:spacing w:after="210" w:line="360" w:lineRule="auto"/>
        <w:jc w:val="both"/>
        <w:rPr>
          <w:rFonts w:ascii="Times New Roman" w:hAnsi="Times New Roman" w:cs="Times New Roman"/>
          <w:sz w:val="22"/>
        </w:rPr>
      </w:pPr>
    </w:p>
    <w:p w14:paraId="11B20C12" w14:textId="77777777" w:rsidR="00A57DED" w:rsidRDefault="00B50F5C">
      <w:pPr>
        <w:spacing w:before="240" w:after="0" w:line="271" w:lineRule="auto"/>
        <w:rPr>
          <w:rFonts w:ascii="Times New Roman" w:hAnsi="Times New Roman" w:cs="Times New Roman"/>
          <w:b/>
          <w:sz w:val="22"/>
        </w:rPr>
      </w:pPr>
      <w:bookmarkStart w:id="13" w:name="bm_3_2_genetic_variability_parameters"/>
      <w:r>
        <w:rPr>
          <w:rFonts w:ascii="Times New Roman" w:hAnsi="Times New Roman" w:cs="Times New Roman"/>
          <w:b/>
          <w:sz w:val="22"/>
        </w:rPr>
        <w:t>Genetic Variability Parameters</w:t>
      </w:r>
      <w:bookmarkEnd w:id="13"/>
    </w:p>
    <w:p w14:paraId="7685D724" w14:textId="4E742778" w:rsidR="00A57DED" w:rsidRDefault="00B50F5C">
      <w:pPr>
        <w:spacing w:after="0" w:line="360" w:lineRule="auto"/>
        <w:rPr>
          <w:rFonts w:ascii="Times New Roman" w:hAnsi="Times New Roman" w:cs="Times New Roman"/>
          <w:sz w:val="22"/>
        </w:rPr>
      </w:pPr>
      <w:r>
        <w:rPr>
          <w:rFonts w:ascii="Times New Roman" w:hAnsi="Times New Roman" w:cs="Times New Roman"/>
          <w:sz w:val="22"/>
        </w:rPr>
        <w:t xml:space="preserve">Estimates of GCV, PCV, heritability, and genetic advance for all traits under pooled analysis are presented in Table </w:t>
      </w:r>
      <w:r w:rsidR="009B4CCB">
        <w:rPr>
          <w:rFonts w:ascii="Times New Roman" w:hAnsi="Times New Roman" w:cs="Times New Roman"/>
          <w:sz w:val="22"/>
        </w:rPr>
        <w:t>2</w:t>
      </w:r>
      <w:r>
        <w:rPr>
          <w:rFonts w:ascii="Times New Roman" w:hAnsi="Times New Roman" w:cs="Times New Roman"/>
          <w:sz w:val="22"/>
        </w:rPr>
        <w:t>.</w:t>
      </w:r>
    </w:p>
    <w:p w14:paraId="079B80A9" w14:textId="77777777" w:rsidR="00A57DED" w:rsidRDefault="00B50F5C">
      <w:pPr>
        <w:spacing w:after="210"/>
        <w:rPr>
          <w:rFonts w:ascii="Times New Roman" w:hAnsi="Times New Roman" w:cs="Times New Roman"/>
          <w:sz w:val="22"/>
        </w:rPr>
      </w:pPr>
      <w:r>
        <w:rPr>
          <w:rFonts w:ascii="Times New Roman" w:hAnsi="Times New Roman" w:cs="Times New Roman"/>
          <w:b/>
          <w:sz w:val="22"/>
        </w:rPr>
        <w:t>Table 2: Genetic variability parameters for wheat traits under pooled analysis</w:t>
      </w:r>
    </w:p>
    <w:tbl>
      <w:tblPr>
        <w:tblStyle w:val="NormalGrid"/>
        <w:tblW w:w="9350" w:type="dxa"/>
        <w:jc w:val="center"/>
        <w:tblCellSpacing w:w="0" w:type="dxa"/>
        <w:tblLook w:val="04A0" w:firstRow="1" w:lastRow="0" w:firstColumn="1" w:lastColumn="0" w:noHBand="0" w:noVBand="1"/>
      </w:tblPr>
      <w:tblGrid>
        <w:gridCol w:w="1259"/>
        <w:gridCol w:w="1251"/>
        <w:gridCol w:w="1260"/>
        <w:gridCol w:w="1800"/>
        <w:gridCol w:w="1476"/>
        <w:gridCol w:w="2304"/>
      </w:tblGrid>
      <w:tr w:rsidR="00A57DED" w14:paraId="26DADA8A"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3A37B2E"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b/>
                <w:sz w:val="18"/>
                <w:szCs w:val="18"/>
              </w:rPr>
              <w:t>Trait</w:t>
            </w:r>
          </w:p>
        </w:tc>
        <w:tc>
          <w:tcPr>
            <w:tcW w:w="1251" w:type="dxa"/>
            <w:tcBorders>
              <w:top w:val="single" w:sz="8" w:space="0" w:color="000000"/>
              <w:bottom w:val="single" w:sz="8" w:space="0" w:color="000000"/>
              <w:right w:val="single" w:sz="8" w:space="0" w:color="000000"/>
            </w:tcBorders>
            <w:vAlign w:val="center"/>
          </w:tcPr>
          <w:p w14:paraId="61B97EDB"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b/>
                <w:sz w:val="18"/>
                <w:szCs w:val="18"/>
              </w:rPr>
              <w:t>GCV (%)</w:t>
            </w:r>
          </w:p>
        </w:tc>
        <w:tc>
          <w:tcPr>
            <w:tcW w:w="1260" w:type="dxa"/>
            <w:tcBorders>
              <w:top w:val="single" w:sz="8" w:space="0" w:color="000000"/>
              <w:bottom w:val="single" w:sz="8" w:space="0" w:color="000000"/>
              <w:right w:val="single" w:sz="8" w:space="0" w:color="000000"/>
            </w:tcBorders>
            <w:vAlign w:val="center"/>
          </w:tcPr>
          <w:p w14:paraId="24448E2C"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b/>
                <w:sz w:val="18"/>
                <w:szCs w:val="18"/>
              </w:rPr>
              <w:t>PCV (%)</w:t>
            </w:r>
          </w:p>
        </w:tc>
        <w:tc>
          <w:tcPr>
            <w:tcW w:w="1800" w:type="dxa"/>
            <w:tcBorders>
              <w:top w:val="single" w:sz="8" w:space="0" w:color="000000"/>
              <w:bottom w:val="single" w:sz="8" w:space="0" w:color="000000"/>
              <w:right w:val="single" w:sz="8" w:space="0" w:color="000000"/>
            </w:tcBorders>
            <w:vAlign w:val="center"/>
          </w:tcPr>
          <w:p w14:paraId="750EF610"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b/>
                <w:sz w:val="18"/>
                <w:szCs w:val="18"/>
              </w:rPr>
              <w:t>Heritability (%)</w:t>
            </w:r>
          </w:p>
        </w:tc>
        <w:tc>
          <w:tcPr>
            <w:tcW w:w="1476" w:type="dxa"/>
            <w:tcBorders>
              <w:top w:val="single" w:sz="8" w:space="0" w:color="000000"/>
              <w:bottom w:val="single" w:sz="8" w:space="0" w:color="000000"/>
              <w:right w:val="single" w:sz="8" w:space="0" w:color="000000"/>
            </w:tcBorders>
            <w:vAlign w:val="center"/>
          </w:tcPr>
          <w:p w14:paraId="5A02B9F9"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b/>
                <w:sz w:val="18"/>
                <w:szCs w:val="18"/>
              </w:rPr>
              <w:t>GAM (%)</w:t>
            </w:r>
          </w:p>
        </w:tc>
        <w:tc>
          <w:tcPr>
            <w:tcW w:w="2304" w:type="dxa"/>
            <w:tcBorders>
              <w:top w:val="single" w:sz="8" w:space="0" w:color="000000"/>
              <w:bottom w:val="single" w:sz="8" w:space="0" w:color="000000"/>
              <w:right w:val="single" w:sz="8" w:space="0" w:color="000000"/>
            </w:tcBorders>
            <w:vAlign w:val="center"/>
          </w:tcPr>
          <w:p w14:paraId="35A57088"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b/>
                <w:sz w:val="18"/>
                <w:szCs w:val="18"/>
              </w:rPr>
              <w:t>Interpretation</w:t>
            </w:r>
          </w:p>
        </w:tc>
      </w:tr>
      <w:tr w:rsidR="00A57DED" w14:paraId="6C5648DF" w14:textId="77777777">
        <w:trPr>
          <w:cantSplit/>
          <w:trHeight w:val="469"/>
          <w:tblCellSpacing w:w="0" w:type="dxa"/>
          <w:jc w:val="center"/>
        </w:trPr>
        <w:tc>
          <w:tcPr>
            <w:tcW w:w="0" w:type="auto"/>
            <w:tcBorders>
              <w:left w:val="single" w:sz="8" w:space="0" w:color="000000"/>
              <w:bottom w:val="single" w:sz="8" w:space="0" w:color="000000"/>
              <w:right w:val="single" w:sz="8" w:space="0" w:color="000000"/>
            </w:tcBorders>
            <w:vAlign w:val="center"/>
          </w:tcPr>
          <w:p w14:paraId="34FE9E66"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Days to 50% flowering</w:t>
            </w:r>
          </w:p>
        </w:tc>
        <w:tc>
          <w:tcPr>
            <w:tcW w:w="1251" w:type="dxa"/>
            <w:tcBorders>
              <w:bottom w:val="single" w:sz="8" w:space="0" w:color="000000"/>
              <w:right w:val="single" w:sz="8" w:space="0" w:color="000000"/>
            </w:tcBorders>
            <w:vAlign w:val="center"/>
          </w:tcPr>
          <w:p w14:paraId="270F86B9"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2.14</w:t>
            </w:r>
          </w:p>
        </w:tc>
        <w:tc>
          <w:tcPr>
            <w:tcW w:w="1260" w:type="dxa"/>
            <w:tcBorders>
              <w:bottom w:val="single" w:sz="8" w:space="0" w:color="000000"/>
              <w:right w:val="single" w:sz="8" w:space="0" w:color="000000"/>
            </w:tcBorders>
            <w:vAlign w:val="center"/>
          </w:tcPr>
          <w:p w14:paraId="19B02E9E"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3.89</w:t>
            </w:r>
          </w:p>
        </w:tc>
        <w:tc>
          <w:tcPr>
            <w:tcW w:w="1800" w:type="dxa"/>
            <w:tcBorders>
              <w:bottom w:val="single" w:sz="8" w:space="0" w:color="000000"/>
              <w:right w:val="single" w:sz="8" w:space="0" w:color="000000"/>
            </w:tcBorders>
            <w:vAlign w:val="center"/>
          </w:tcPr>
          <w:p w14:paraId="16F91AD9"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80.22</w:t>
            </w:r>
          </w:p>
        </w:tc>
        <w:tc>
          <w:tcPr>
            <w:tcW w:w="1476" w:type="dxa"/>
            <w:tcBorders>
              <w:bottom w:val="single" w:sz="8" w:space="0" w:color="000000"/>
              <w:right w:val="single" w:sz="8" w:space="0" w:color="000000"/>
            </w:tcBorders>
            <w:vAlign w:val="center"/>
          </w:tcPr>
          <w:p w14:paraId="6D87BA31"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3.67</w:t>
            </w:r>
          </w:p>
        </w:tc>
        <w:tc>
          <w:tcPr>
            <w:tcW w:w="2304" w:type="dxa"/>
            <w:tcBorders>
              <w:bottom w:val="single" w:sz="8" w:space="0" w:color="000000"/>
              <w:right w:val="single" w:sz="8" w:space="0" w:color="000000"/>
            </w:tcBorders>
            <w:vAlign w:val="center"/>
          </w:tcPr>
          <w:p w14:paraId="0AFECEF5"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Low GAM</w:t>
            </w:r>
          </w:p>
        </w:tc>
      </w:tr>
      <w:tr w:rsidR="00A57DED" w14:paraId="331199B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3671DF"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Days to maturity</w:t>
            </w:r>
          </w:p>
        </w:tc>
        <w:tc>
          <w:tcPr>
            <w:tcW w:w="1251" w:type="dxa"/>
            <w:tcBorders>
              <w:bottom w:val="single" w:sz="8" w:space="0" w:color="000000"/>
              <w:right w:val="single" w:sz="8" w:space="0" w:color="000000"/>
            </w:tcBorders>
            <w:vAlign w:val="center"/>
          </w:tcPr>
          <w:p w14:paraId="54BB505A"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1.58</w:t>
            </w:r>
          </w:p>
        </w:tc>
        <w:tc>
          <w:tcPr>
            <w:tcW w:w="1260" w:type="dxa"/>
            <w:tcBorders>
              <w:bottom w:val="single" w:sz="8" w:space="0" w:color="000000"/>
              <w:right w:val="single" w:sz="8" w:space="0" w:color="000000"/>
            </w:tcBorders>
            <w:vAlign w:val="center"/>
          </w:tcPr>
          <w:p w14:paraId="31066C74"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2.79</w:t>
            </w:r>
          </w:p>
        </w:tc>
        <w:tc>
          <w:tcPr>
            <w:tcW w:w="1800" w:type="dxa"/>
            <w:tcBorders>
              <w:bottom w:val="single" w:sz="8" w:space="0" w:color="000000"/>
              <w:right w:val="single" w:sz="8" w:space="0" w:color="000000"/>
            </w:tcBorders>
            <w:vAlign w:val="center"/>
          </w:tcPr>
          <w:p w14:paraId="5E7B7D39"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79.88</w:t>
            </w:r>
          </w:p>
        </w:tc>
        <w:tc>
          <w:tcPr>
            <w:tcW w:w="1476" w:type="dxa"/>
            <w:tcBorders>
              <w:bottom w:val="single" w:sz="8" w:space="0" w:color="000000"/>
              <w:right w:val="single" w:sz="8" w:space="0" w:color="000000"/>
            </w:tcBorders>
            <w:vAlign w:val="center"/>
          </w:tcPr>
          <w:p w14:paraId="427FE0CE"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2.49</w:t>
            </w:r>
          </w:p>
        </w:tc>
        <w:tc>
          <w:tcPr>
            <w:tcW w:w="2304" w:type="dxa"/>
            <w:tcBorders>
              <w:bottom w:val="single" w:sz="8" w:space="0" w:color="000000"/>
              <w:right w:val="single" w:sz="8" w:space="0" w:color="000000"/>
            </w:tcBorders>
            <w:vAlign w:val="center"/>
          </w:tcPr>
          <w:p w14:paraId="3EE0044B"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Low GAM</w:t>
            </w:r>
          </w:p>
        </w:tc>
      </w:tr>
      <w:tr w:rsidR="00A57DED" w14:paraId="323FF81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422372"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Plant height (cm)</w:t>
            </w:r>
          </w:p>
        </w:tc>
        <w:tc>
          <w:tcPr>
            <w:tcW w:w="1251" w:type="dxa"/>
            <w:tcBorders>
              <w:bottom w:val="single" w:sz="8" w:space="0" w:color="000000"/>
              <w:right w:val="single" w:sz="8" w:space="0" w:color="000000"/>
            </w:tcBorders>
            <w:vAlign w:val="center"/>
          </w:tcPr>
          <w:p w14:paraId="1556A7D4"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4.29</w:t>
            </w:r>
          </w:p>
        </w:tc>
        <w:tc>
          <w:tcPr>
            <w:tcW w:w="1260" w:type="dxa"/>
            <w:tcBorders>
              <w:bottom w:val="single" w:sz="8" w:space="0" w:color="000000"/>
              <w:right w:val="single" w:sz="8" w:space="0" w:color="000000"/>
            </w:tcBorders>
            <w:vAlign w:val="center"/>
          </w:tcPr>
          <w:p w14:paraId="38713A92"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5.45</w:t>
            </w:r>
          </w:p>
        </w:tc>
        <w:tc>
          <w:tcPr>
            <w:tcW w:w="1800" w:type="dxa"/>
            <w:tcBorders>
              <w:bottom w:val="single" w:sz="8" w:space="0" w:color="000000"/>
              <w:right w:val="single" w:sz="8" w:space="0" w:color="000000"/>
            </w:tcBorders>
            <w:vAlign w:val="center"/>
          </w:tcPr>
          <w:p w14:paraId="6AE0C29C"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84.53</w:t>
            </w:r>
          </w:p>
        </w:tc>
        <w:tc>
          <w:tcPr>
            <w:tcW w:w="1476" w:type="dxa"/>
            <w:tcBorders>
              <w:bottom w:val="single" w:sz="8" w:space="0" w:color="000000"/>
              <w:right w:val="single" w:sz="8" w:space="0" w:color="000000"/>
            </w:tcBorders>
            <w:vAlign w:val="center"/>
          </w:tcPr>
          <w:p w14:paraId="4B96D721"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7.69</w:t>
            </w:r>
          </w:p>
        </w:tc>
        <w:tc>
          <w:tcPr>
            <w:tcW w:w="2304" w:type="dxa"/>
            <w:tcBorders>
              <w:bottom w:val="single" w:sz="8" w:space="0" w:color="000000"/>
              <w:right w:val="single" w:sz="8" w:space="0" w:color="000000"/>
            </w:tcBorders>
            <w:vAlign w:val="center"/>
          </w:tcPr>
          <w:p w14:paraId="74C7DB96"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Moderate GAM</w:t>
            </w:r>
          </w:p>
        </w:tc>
      </w:tr>
      <w:tr w:rsidR="00A57DED" w14:paraId="2FCB2A1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1D41BA"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Effective tillers per plant</w:t>
            </w:r>
          </w:p>
        </w:tc>
        <w:tc>
          <w:tcPr>
            <w:tcW w:w="1251" w:type="dxa"/>
            <w:tcBorders>
              <w:bottom w:val="single" w:sz="8" w:space="0" w:color="000000"/>
              <w:right w:val="single" w:sz="8" w:space="0" w:color="000000"/>
            </w:tcBorders>
            <w:vAlign w:val="center"/>
          </w:tcPr>
          <w:p w14:paraId="0C6F5F54"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15.84</w:t>
            </w:r>
          </w:p>
        </w:tc>
        <w:tc>
          <w:tcPr>
            <w:tcW w:w="1260" w:type="dxa"/>
            <w:tcBorders>
              <w:bottom w:val="single" w:sz="8" w:space="0" w:color="000000"/>
              <w:right w:val="single" w:sz="8" w:space="0" w:color="000000"/>
            </w:tcBorders>
            <w:vAlign w:val="center"/>
          </w:tcPr>
          <w:p w14:paraId="27A8DC6E"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17.21</w:t>
            </w:r>
          </w:p>
        </w:tc>
        <w:tc>
          <w:tcPr>
            <w:tcW w:w="1800" w:type="dxa"/>
            <w:tcBorders>
              <w:bottom w:val="single" w:sz="8" w:space="0" w:color="000000"/>
              <w:right w:val="single" w:sz="8" w:space="0" w:color="000000"/>
            </w:tcBorders>
            <w:vAlign w:val="center"/>
          </w:tcPr>
          <w:p w14:paraId="141D234F"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91.43</w:t>
            </w:r>
          </w:p>
        </w:tc>
        <w:tc>
          <w:tcPr>
            <w:tcW w:w="1476" w:type="dxa"/>
            <w:tcBorders>
              <w:bottom w:val="single" w:sz="8" w:space="0" w:color="000000"/>
              <w:right w:val="single" w:sz="8" w:space="0" w:color="000000"/>
            </w:tcBorders>
            <w:vAlign w:val="center"/>
          </w:tcPr>
          <w:p w14:paraId="3CE03BC8"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21.36</w:t>
            </w:r>
          </w:p>
        </w:tc>
        <w:tc>
          <w:tcPr>
            <w:tcW w:w="2304" w:type="dxa"/>
            <w:tcBorders>
              <w:bottom w:val="single" w:sz="8" w:space="0" w:color="000000"/>
              <w:right w:val="single" w:sz="8" w:space="0" w:color="000000"/>
            </w:tcBorders>
            <w:vAlign w:val="center"/>
          </w:tcPr>
          <w:p w14:paraId="01623656"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High GAM</w:t>
            </w:r>
          </w:p>
        </w:tc>
      </w:tr>
      <w:tr w:rsidR="00A57DED" w14:paraId="4CA2B09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1A1AE2"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Spike length (cm)</w:t>
            </w:r>
          </w:p>
        </w:tc>
        <w:tc>
          <w:tcPr>
            <w:tcW w:w="1251" w:type="dxa"/>
            <w:tcBorders>
              <w:bottom w:val="single" w:sz="8" w:space="0" w:color="000000"/>
              <w:right w:val="single" w:sz="8" w:space="0" w:color="000000"/>
            </w:tcBorders>
            <w:vAlign w:val="center"/>
          </w:tcPr>
          <w:p w14:paraId="2486185F"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6.74</w:t>
            </w:r>
          </w:p>
        </w:tc>
        <w:tc>
          <w:tcPr>
            <w:tcW w:w="1260" w:type="dxa"/>
            <w:tcBorders>
              <w:bottom w:val="single" w:sz="8" w:space="0" w:color="000000"/>
              <w:right w:val="single" w:sz="8" w:space="0" w:color="000000"/>
            </w:tcBorders>
            <w:vAlign w:val="center"/>
          </w:tcPr>
          <w:p w14:paraId="4761C28D"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8.34</w:t>
            </w:r>
          </w:p>
        </w:tc>
        <w:tc>
          <w:tcPr>
            <w:tcW w:w="1800" w:type="dxa"/>
            <w:tcBorders>
              <w:bottom w:val="single" w:sz="8" w:space="0" w:color="000000"/>
              <w:right w:val="single" w:sz="8" w:space="0" w:color="000000"/>
            </w:tcBorders>
            <w:vAlign w:val="center"/>
          </w:tcPr>
          <w:p w14:paraId="0C7168BD"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82.68</w:t>
            </w:r>
          </w:p>
        </w:tc>
        <w:tc>
          <w:tcPr>
            <w:tcW w:w="1476" w:type="dxa"/>
            <w:tcBorders>
              <w:bottom w:val="single" w:sz="8" w:space="0" w:color="000000"/>
              <w:right w:val="single" w:sz="8" w:space="0" w:color="000000"/>
            </w:tcBorders>
            <w:vAlign w:val="center"/>
          </w:tcPr>
          <w:p w14:paraId="75CBDDCB"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11.62</w:t>
            </w:r>
          </w:p>
        </w:tc>
        <w:tc>
          <w:tcPr>
            <w:tcW w:w="2304" w:type="dxa"/>
            <w:tcBorders>
              <w:bottom w:val="single" w:sz="8" w:space="0" w:color="000000"/>
              <w:right w:val="single" w:sz="8" w:space="0" w:color="000000"/>
            </w:tcBorders>
            <w:vAlign w:val="center"/>
          </w:tcPr>
          <w:p w14:paraId="2908AB5C"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Moderate GAM</w:t>
            </w:r>
          </w:p>
        </w:tc>
      </w:tr>
      <w:tr w:rsidR="00A57DED" w14:paraId="0749600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85CF489" w14:textId="77777777" w:rsidR="00A57DED" w:rsidRDefault="00B50F5C">
            <w:pPr>
              <w:spacing w:after="0" w:line="240" w:lineRule="auto"/>
              <w:contextualSpacing/>
              <w:rPr>
                <w:rFonts w:ascii="Times New Roman" w:hAnsi="Times New Roman" w:cs="Times New Roman"/>
                <w:sz w:val="18"/>
                <w:szCs w:val="18"/>
              </w:rPr>
            </w:pPr>
            <w:proofErr w:type="spellStart"/>
            <w:r>
              <w:rPr>
                <w:rFonts w:ascii="Times New Roman" w:hAnsi="Times New Roman" w:cs="Times New Roman"/>
                <w:sz w:val="18"/>
                <w:szCs w:val="18"/>
              </w:rPr>
              <w:t>Spikelets</w:t>
            </w:r>
            <w:proofErr w:type="spellEnd"/>
            <w:r>
              <w:rPr>
                <w:rFonts w:ascii="Times New Roman" w:hAnsi="Times New Roman" w:cs="Times New Roman"/>
                <w:sz w:val="18"/>
                <w:szCs w:val="18"/>
              </w:rPr>
              <w:t xml:space="preserve"> per spike</w:t>
            </w:r>
          </w:p>
        </w:tc>
        <w:tc>
          <w:tcPr>
            <w:tcW w:w="1251" w:type="dxa"/>
            <w:tcBorders>
              <w:bottom w:val="single" w:sz="8" w:space="0" w:color="000000"/>
              <w:right w:val="single" w:sz="8" w:space="0" w:color="000000"/>
            </w:tcBorders>
            <w:vAlign w:val="center"/>
          </w:tcPr>
          <w:p w14:paraId="411DEC48"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8.21</w:t>
            </w:r>
          </w:p>
        </w:tc>
        <w:tc>
          <w:tcPr>
            <w:tcW w:w="1260" w:type="dxa"/>
            <w:tcBorders>
              <w:bottom w:val="single" w:sz="8" w:space="0" w:color="000000"/>
              <w:right w:val="single" w:sz="8" w:space="0" w:color="000000"/>
            </w:tcBorders>
            <w:vAlign w:val="center"/>
          </w:tcPr>
          <w:p w14:paraId="33FE6F0F"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9.87</w:t>
            </w:r>
          </w:p>
        </w:tc>
        <w:tc>
          <w:tcPr>
            <w:tcW w:w="1800" w:type="dxa"/>
            <w:tcBorders>
              <w:bottom w:val="single" w:sz="8" w:space="0" w:color="000000"/>
              <w:right w:val="single" w:sz="8" w:space="0" w:color="000000"/>
            </w:tcBorders>
            <w:vAlign w:val="center"/>
          </w:tcPr>
          <w:p w14:paraId="42F75150"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88.44</w:t>
            </w:r>
          </w:p>
        </w:tc>
        <w:tc>
          <w:tcPr>
            <w:tcW w:w="1476" w:type="dxa"/>
            <w:tcBorders>
              <w:bottom w:val="single" w:sz="8" w:space="0" w:color="000000"/>
              <w:right w:val="single" w:sz="8" w:space="0" w:color="000000"/>
            </w:tcBorders>
            <w:vAlign w:val="center"/>
          </w:tcPr>
          <w:p w14:paraId="24F7531D"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14.35</w:t>
            </w:r>
          </w:p>
        </w:tc>
        <w:tc>
          <w:tcPr>
            <w:tcW w:w="2304" w:type="dxa"/>
            <w:tcBorders>
              <w:bottom w:val="single" w:sz="8" w:space="0" w:color="000000"/>
              <w:right w:val="single" w:sz="8" w:space="0" w:color="000000"/>
            </w:tcBorders>
            <w:vAlign w:val="center"/>
          </w:tcPr>
          <w:p w14:paraId="3F3C4C56"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Moderate GAM</w:t>
            </w:r>
          </w:p>
        </w:tc>
      </w:tr>
      <w:tr w:rsidR="00A57DED" w14:paraId="41A3C8F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4F6A047"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lastRenderedPageBreak/>
              <w:t>Grains per spike</w:t>
            </w:r>
          </w:p>
        </w:tc>
        <w:tc>
          <w:tcPr>
            <w:tcW w:w="1251" w:type="dxa"/>
            <w:tcBorders>
              <w:bottom w:val="single" w:sz="8" w:space="0" w:color="000000"/>
              <w:right w:val="single" w:sz="8" w:space="0" w:color="000000"/>
            </w:tcBorders>
            <w:vAlign w:val="center"/>
          </w:tcPr>
          <w:p w14:paraId="246F7732"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10.13</w:t>
            </w:r>
          </w:p>
        </w:tc>
        <w:tc>
          <w:tcPr>
            <w:tcW w:w="1260" w:type="dxa"/>
            <w:tcBorders>
              <w:bottom w:val="single" w:sz="8" w:space="0" w:color="000000"/>
              <w:right w:val="single" w:sz="8" w:space="0" w:color="000000"/>
            </w:tcBorders>
            <w:vAlign w:val="center"/>
          </w:tcPr>
          <w:p w14:paraId="633C83DE"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11.92</w:t>
            </w:r>
          </w:p>
        </w:tc>
        <w:tc>
          <w:tcPr>
            <w:tcW w:w="1800" w:type="dxa"/>
            <w:tcBorders>
              <w:bottom w:val="single" w:sz="8" w:space="0" w:color="000000"/>
              <w:right w:val="single" w:sz="8" w:space="0" w:color="000000"/>
            </w:tcBorders>
            <w:vAlign w:val="center"/>
          </w:tcPr>
          <w:p w14:paraId="239BB929"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86.57</w:t>
            </w:r>
          </w:p>
        </w:tc>
        <w:tc>
          <w:tcPr>
            <w:tcW w:w="1476" w:type="dxa"/>
            <w:tcBorders>
              <w:bottom w:val="single" w:sz="8" w:space="0" w:color="000000"/>
              <w:right w:val="single" w:sz="8" w:space="0" w:color="000000"/>
            </w:tcBorders>
            <w:vAlign w:val="center"/>
          </w:tcPr>
          <w:p w14:paraId="281B27BF"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12.11</w:t>
            </w:r>
          </w:p>
        </w:tc>
        <w:tc>
          <w:tcPr>
            <w:tcW w:w="2304" w:type="dxa"/>
            <w:tcBorders>
              <w:bottom w:val="single" w:sz="8" w:space="0" w:color="000000"/>
              <w:right w:val="single" w:sz="8" w:space="0" w:color="000000"/>
            </w:tcBorders>
            <w:vAlign w:val="center"/>
          </w:tcPr>
          <w:p w14:paraId="34D099A9"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Moderate GAM</w:t>
            </w:r>
          </w:p>
        </w:tc>
      </w:tr>
      <w:tr w:rsidR="00A57DED" w14:paraId="62D26B6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361FDD4"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1000-seed weight (g)</w:t>
            </w:r>
          </w:p>
        </w:tc>
        <w:tc>
          <w:tcPr>
            <w:tcW w:w="1251" w:type="dxa"/>
            <w:tcBorders>
              <w:bottom w:val="single" w:sz="8" w:space="0" w:color="000000"/>
              <w:right w:val="single" w:sz="8" w:space="0" w:color="000000"/>
            </w:tcBorders>
            <w:vAlign w:val="center"/>
          </w:tcPr>
          <w:p w14:paraId="21539425"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15.47</w:t>
            </w:r>
          </w:p>
        </w:tc>
        <w:tc>
          <w:tcPr>
            <w:tcW w:w="1260" w:type="dxa"/>
            <w:tcBorders>
              <w:bottom w:val="single" w:sz="8" w:space="0" w:color="000000"/>
              <w:right w:val="single" w:sz="8" w:space="0" w:color="000000"/>
            </w:tcBorders>
            <w:vAlign w:val="center"/>
          </w:tcPr>
          <w:p w14:paraId="1E671906"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17.08</w:t>
            </w:r>
          </w:p>
        </w:tc>
        <w:tc>
          <w:tcPr>
            <w:tcW w:w="1800" w:type="dxa"/>
            <w:tcBorders>
              <w:bottom w:val="single" w:sz="8" w:space="0" w:color="000000"/>
              <w:right w:val="single" w:sz="8" w:space="0" w:color="000000"/>
            </w:tcBorders>
            <w:vAlign w:val="center"/>
          </w:tcPr>
          <w:p w14:paraId="7437BCE4"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93.75</w:t>
            </w:r>
          </w:p>
        </w:tc>
        <w:tc>
          <w:tcPr>
            <w:tcW w:w="1476" w:type="dxa"/>
            <w:tcBorders>
              <w:bottom w:val="single" w:sz="8" w:space="0" w:color="000000"/>
              <w:right w:val="single" w:sz="8" w:space="0" w:color="000000"/>
            </w:tcBorders>
            <w:vAlign w:val="center"/>
          </w:tcPr>
          <w:p w14:paraId="19565C22"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24.70</w:t>
            </w:r>
          </w:p>
        </w:tc>
        <w:tc>
          <w:tcPr>
            <w:tcW w:w="2304" w:type="dxa"/>
            <w:tcBorders>
              <w:bottom w:val="single" w:sz="8" w:space="0" w:color="000000"/>
              <w:right w:val="single" w:sz="8" w:space="0" w:color="000000"/>
            </w:tcBorders>
            <w:vAlign w:val="center"/>
          </w:tcPr>
          <w:p w14:paraId="21194E02"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High GAM</w:t>
            </w:r>
          </w:p>
        </w:tc>
      </w:tr>
      <w:tr w:rsidR="00A57DED" w14:paraId="496BDC1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6F55F7"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Biological yield/plant (g)</w:t>
            </w:r>
          </w:p>
        </w:tc>
        <w:tc>
          <w:tcPr>
            <w:tcW w:w="1251" w:type="dxa"/>
            <w:tcBorders>
              <w:bottom w:val="single" w:sz="8" w:space="0" w:color="000000"/>
              <w:right w:val="single" w:sz="8" w:space="0" w:color="000000"/>
            </w:tcBorders>
            <w:vAlign w:val="center"/>
          </w:tcPr>
          <w:p w14:paraId="7341AEC2"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12.56</w:t>
            </w:r>
          </w:p>
        </w:tc>
        <w:tc>
          <w:tcPr>
            <w:tcW w:w="1260" w:type="dxa"/>
            <w:tcBorders>
              <w:bottom w:val="single" w:sz="8" w:space="0" w:color="000000"/>
              <w:right w:val="single" w:sz="8" w:space="0" w:color="000000"/>
            </w:tcBorders>
            <w:vAlign w:val="center"/>
          </w:tcPr>
          <w:p w14:paraId="39DA3400"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14.38</w:t>
            </w:r>
          </w:p>
        </w:tc>
        <w:tc>
          <w:tcPr>
            <w:tcW w:w="1800" w:type="dxa"/>
            <w:tcBorders>
              <w:bottom w:val="single" w:sz="8" w:space="0" w:color="000000"/>
              <w:right w:val="single" w:sz="8" w:space="0" w:color="000000"/>
            </w:tcBorders>
            <w:vAlign w:val="center"/>
          </w:tcPr>
          <w:p w14:paraId="0309B0A8"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89.68</w:t>
            </w:r>
          </w:p>
        </w:tc>
        <w:tc>
          <w:tcPr>
            <w:tcW w:w="1476" w:type="dxa"/>
            <w:tcBorders>
              <w:bottom w:val="single" w:sz="8" w:space="0" w:color="000000"/>
              <w:right w:val="single" w:sz="8" w:space="0" w:color="000000"/>
            </w:tcBorders>
            <w:vAlign w:val="center"/>
          </w:tcPr>
          <w:p w14:paraId="25CAC98A"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18.45</w:t>
            </w:r>
          </w:p>
        </w:tc>
        <w:tc>
          <w:tcPr>
            <w:tcW w:w="2304" w:type="dxa"/>
            <w:tcBorders>
              <w:bottom w:val="single" w:sz="8" w:space="0" w:color="000000"/>
              <w:right w:val="single" w:sz="8" w:space="0" w:color="000000"/>
            </w:tcBorders>
            <w:vAlign w:val="center"/>
          </w:tcPr>
          <w:p w14:paraId="6FA288ED"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Moderate-High GAM</w:t>
            </w:r>
          </w:p>
        </w:tc>
      </w:tr>
      <w:tr w:rsidR="00A57DED" w14:paraId="525D7BB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9E833A7"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Seed yield per plant (g)</w:t>
            </w:r>
          </w:p>
        </w:tc>
        <w:tc>
          <w:tcPr>
            <w:tcW w:w="1251" w:type="dxa"/>
            <w:tcBorders>
              <w:bottom w:val="single" w:sz="8" w:space="0" w:color="000000"/>
              <w:right w:val="single" w:sz="8" w:space="0" w:color="000000"/>
            </w:tcBorders>
            <w:vAlign w:val="center"/>
          </w:tcPr>
          <w:p w14:paraId="6C1275D1"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9.87</w:t>
            </w:r>
          </w:p>
        </w:tc>
        <w:tc>
          <w:tcPr>
            <w:tcW w:w="1260" w:type="dxa"/>
            <w:tcBorders>
              <w:bottom w:val="single" w:sz="8" w:space="0" w:color="000000"/>
              <w:right w:val="single" w:sz="8" w:space="0" w:color="000000"/>
            </w:tcBorders>
            <w:vAlign w:val="center"/>
          </w:tcPr>
          <w:p w14:paraId="1B3EBF33"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12.37</w:t>
            </w:r>
          </w:p>
        </w:tc>
        <w:tc>
          <w:tcPr>
            <w:tcW w:w="1800" w:type="dxa"/>
            <w:tcBorders>
              <w:bottom w:val="single" w:sz="8" w:space="0" w:color="000000"/>
              <w:right w:val="single" w:sz="8" w:space="0" w:color="000000"/>
            </w:tcBorders>
            <w:vAlign w:val="center"/>
          </w:tcPr>
          <w:p w14:paraId="5139CD23"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63.37</w:t>
            </w:r>
          </w:p>
        </w:tc>
        <w:tc>
          <w:tcPr>
            <w:tcW w:w="1476" w:type="dxa"/>
            <w:tcBorders>
              <w:bottom w:val="single" w:sz="8" w:space="0" w:color="000000"/>
              <w:right w:val="single" w:sz="8" w:space="0" w:color="000000"/>
            </w:tcBorders>
            <w:vAlign w:val="center"/>
          </w:tcPr>
          <w:p w14:paraId="317F87BD"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12.68</w:t>
            </w:r>
          </w:p>
        </w:tc>
        <w:tc>
          <w:tcPr>
            <w:tcW w:w="2304" w:type="dxa"/>
            <w:tcBorders>
              <w:bottom w:val="single" w:sz="8" w:space="0" w:color="000000"/>
              <w:right w:val="single" w:sz="8" w:space="0" w:color="000000"/>
            </w:tcBorders>
            <w:vAlign w:val="center"/>
          </w:tcPr>
          <w:p w14:paraId="04873734"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Moderate h², Moderate GAM</w:t>
            </w:r>
          </w:p>
        </w:tc>
      </w:tr>
      <w:tr w:rsidR="00A57DED" w14:paraId="47F7F49A"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75EF8CF"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Zinc content (ppm)</w:t>
            </w:r>
          </w:p>
        </w:tc>
        <w:tc>
          <w:tcPr>
            <w:tcW w:w="1251" w:type="dxa"/>
            <w:tcBorders>
              <w:bottom w:val="single" w:sz="8" w:space="0" w:color="000000"/>
              <w:right w:val="single" w:sz="8" w:space="0" w:color="000000"/>
            </w:tcBorders>
            <w:vAlign w:val="center"/>
          </w:tcPr>
          <w:p w14:paraId="417C104A"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7.45</w:t>
            </w:r>
          </w:p>
        </w:tc>
        <w:tc>
          <w:tcPr>
            <w:tcW w:w="1260" w:type="dxa"/>
            <w:tcBorders>
              <w:bottom w:val="single" w:sz="8" w:space="0" w:color="000000"/>
              <w:right w:val="single" w:sz="8" w:space="0" w:color="000000"/>
            </w:tcBorders>
            <w:vAlign w:val="center"/>
          </w:tcPr>
          <w:p w14:paraId="4F89C0B9"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10.23</w:t>
            </w:r>
          </w:p>
        </w:tc>
        <w:tc>
          <w:tcPr>
            <w:tcW w:w="1800" w:type="dxa"/>
            <w:tcBorders>
              <w:bottom w:val="single" w:sz="8" w:space="0" w:color="000000"/>
              <w:right w:val="single" w:sz="8" w:space="0" w:color="000000"/>
            </w:tcBorders>
            <w:vAlign w:val="center"/>
          </w:tcPr>
          <w:p w14:paraId="72B34AE0"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71.92</w:t>
            </w:r>
          </w:p>
        </w:tc>
        <w:tc>
          <w:tcPr>
            <w:tcW w:w="1476" w:type="dxa"/>
            <w:tcBorders>
              <w:bottom w:val="single" w:sz="8" w:space="0" w:color="000000"/>
              <w:right w:val="single" w:sz="8" w:space="0" w:color="000000"/>
            </w:tcBorders>
            <w:vAlign w:val="center"/>
          </w:tcPr>
          <w:p w14:paraId="634C7320"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10.86</w:t>
            </w:r>
          </w:p>
        </w:tc>
        <w:tc>
          <w:tcPr>
            <w:tcW w:w="2304" w:type="dxa"/>
            <w:tcBorders>
              <w:bottom w:val="single" w:sz="8" w:space="0" w:color="000000"/>
              <w:right w:val="single" w:sz="8" w:space="0" w:color="000000"/>
            </w:tcBorders>
            <w:vAlign w:val="center"/>
          </w:tcPr>
          <w:p w14:paraId="06E9874B"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Moderate GAM</w:t>
            </w:r>
          </w:p>
        </w:tc>
      </w:tr>
      <w:tr w:rsidR="00A57DED" w14:paraId="6DF10F1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E6FA62B"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Iron content (ppm)</w:t>
            </w:r>
          </w:p>
        </w:tc>
        <w:tc>
          <w:tcPr>
            <w:tcW w:w="1251" w:type="dxa"/>
            <w:tcBorders>
              <w:bottom w:val="single" w:sz="8" w:space="0" w:color="000000"/>
              <w:right w:val="single" w:sz="8" w:space="0" w:color="000000"/>
            </w:tcBorders>
            <w:vAlign w:val="center"/>
          </w:tcPr>
          <w:p w14:paraId="6C467A83"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8.34</w:t>
            </w:r>
          </w:p>
        </w:tc>
        <w:tc>
          <w:tcPr>
            <w:tcW w:w="1260" w:type="dxa"/>
            <w:tcBorders>
              <w:bottom w:val="single" w:sz="8" w:space="0" w:color="000000"/>
              <w:right w:val="single" w:sz="8" w:space="0" w:color="000000"/>
            </w:tcBorders>
            <w:vAlign w:val="center"/>
          </w:tcPr>
          <w:p w14:paraId="66D6EAF3"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8.88</w:t>
            </w:r>
          </w:p>
        </w:tc>
        <w:tc>
          <w:tcPr>
            <w:tcW w:w="1800" w:type="dxa"/>
            <w:tcBorders>
              <w:bottom w:val="single" w:sz="8" w:space="0" w:color="000000"/>
              <w:right w:val="single" w:sz="8" w:space="0" w:color="000000"/>
            </w:tcBorders>
            <w:vAlign w:val="center"/>
          </w:tcPr>
          <w:p w14:paraId="5E0053C0"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95.55</w:t>
            </w:r>
          </w:p>
        </w:tc>
        <w:tc>
          <w:tcPr>
            <w:tcW w:w="1476" w:type="dxa"/>
            <w:tcBorders>
              <w:bottom w:val="single" w:sz="8" w:space="0" w:color="000000"/>
              <w:right w:val="single" w:sz="8" w:space="0" w:color="000000"/>
            </w:tcBorders>
            <w:vAlign w:val="center"/>
          </w:tcPr>
          <w:p w14:paraId="4D99E708"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13.17</w:t>
            </w:r>
          </w:p>
        </w:tc>
        <w:tc>
          <w:tcPr>
            <w:tcW w:w="2304" w:type="dxa"/>
            <w:tcBorders>
              <w:bottom w:val="single" w:sz="8" w:space="0" w:color="000000"/>
              <w:right w:val="single" w:sz="8" w:space="0" w:color="000000"/>
            </w:tcBorders>
            <w:vAlign w:val="center"/>
          </w:tcPr>
          <w:p w14:paraId="24410888"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Very High h², Moderate GAM</w:t>
            </w:r>
          </w:p>
        </w:tc>
      </w:tr>
      <w:tr w:rsidR="00A57DED" w14:paraId="6806112A" w14:textId="77777777">
        <w:trPr>
          <w:cantSplit/>
          <w:tblCellSpacing w:w="0" w:type="dxa"/>
          <w:jc w:val="center"/>
        </w:trPr>
        <w:tc>
          <w:tcPr>
            <w:tcW w:w="0" w:type="auto"/>
            <w:tcBorders>
              <w:left w:val="single" w:sz="8" w:space="0" w:color="000000"/>
              <w:bottom w:val="double" w:sz="8" w:space="0" w:color="000000"/>
              <w:right w:val="single" w:sz="8" w:space="0" w:color="000000"/>
            </w:tcBorders>
            <w:vAlign w:val="center"/>
          </w:tcPr>
          <w:p w14:paraId="53DCBC59" w14:textId="77777777" w:rsidR="00A57DED" w:rsidRDefault="00B50F5C">
            <w:pPr>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Protein content (%)</w:t>
            </w:r>
          </w:p>
        </w:tc>
        <w:tc>
          <w:tcPr>
            <w:tcW w:w="1251" w:type="dxa"/>
            <w:tcBorders>
              <w:bottom w:val="double" w:sz="8" w:space="0" w:color="000000"/>
              <w:right w:val="single" w:sz="8" w:space="0" w:color="000000"/>
            </w:tcBorders>
            <w:vAlign w:val="center"/>
          </w:tcPr>
          <w:p w14:paraId="563277D3"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9.56</w:t>
            </w:r>
          </w:p>
        </w:tc>
        <w:tc>
          <w:tcPr>
            <w:tcW w:w="1260" w:type="dxa"/>
            <w:tcBorders>
              <w:bottom w:val="double" w:sz="8" w:space="0" w:color="000000"/>
              <w:right w:val="single" w:sz="8" w:space="0" w:color="000000"/>
            </w:tcBorders>
            <w:vAlign w:val="center"/>
          </w:tcPr>
          <w:p w14:paraId="692BBD28"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11.45</w:t>
            </w:r>
          </w:p>
        </w:tc>
        <w:tc>
          <w:tcPr>
            <w:tcW w:w="1800" w:type="dxa"/>
            <w:tcBorders>
              <w:bottom w:val="double" w:sz="8" w:space="0" w:color="000000"/>
              <w:right w:val="single" w:sz="8" w:space="0" w:color="000000"/>
            </w:tcBorders>
            <w:vAlign w:val="center"/>
          </w:tcPr>
          <w:p w14:paraId="4E0489C3"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85.66</w:t>
            </w:r>
          </w:p>
        </w:tc>
        <w:tc>
          <w:tcPr>
            <w:tcW w:w="1476" w:type="dxa"/>
            <w:tcBorders>
              <w:bottom w:val="double" w:sz="8" w:space="0" w:color="000000"/>
              <w:right w:val="single" w:sz="8" w:space="0" w:color="000000"/>
            </w:tcBorders>
            <w:vAlign w:val="center"/>
          </w:tcPr>
          <w:p w14:paraId="1F25DCB4" w14:textId="77777777" w:rsidR="00A57DED" w:rsidRDefault="00B50F5C">
            <w:pPr>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14.45</w:t>
            </w:r>
          </w:p>
        </w:tc>
        <w:tc>
          <w:tcPr>
            <w:tcW w:w="2304" w:type="dxa"/>
            <w:tcBorders>
              <w:bottom w:val="double" w:sz="8" w:space="0" w:color="000000"/>
              <w:right w:val="single" w:sz="8" w:space="0" w:color="000000"/>
            </w:tcBorders>
            <w:vAlign w:val="center"/>
          </w:tcPr>
          <w:p w14:paraId="0A909739" w14:textId="77777777" w:rsidR="00A57DED" w:rsidRDefault="00B50F5C">
            <w:pPr>
              <w:spacing w:after="0" w:line="240" w:lineRule="auto"/>
              <w:contextualSpacing/>
              <w:rPr>
                <w:rFonts w:ascii="Times New Roman" w:hAnsi="Times New Roman" w:cs="Times New Roman"/>
                <w:sz w:val="18"/>
                <w:szCs w:val="18"/>
              </w:rPr>
            </w:pPr>
            <w:r>
              <w:rPr>
                <w:rFonts w:ascii="Times New Roman" w:eastAsia="Georgia" w:hAnsi="Times New Roman" w:cs="Times New Roman"/>
                <w:sz w:val="18"/>
                <w:szCs w:val="18"/>
              </w:rPr>
              <w:t>High h², Moderate GAM</w:t>
            </w:r>
          </w:p>
        </w:tc>
      </w:tr>
    </w:tbl>
    <w:p w14:paraId="4BCD5F95" w14:textId="77777777" w:rsidR="00A57DED" w:rsidRDefault="00A57DED">
      <w:pPr>
        <w:rPr>
          <w:rFonts w:ascii="Times New Roman" w:hAnsi="Times New Roman" w:cs="Times New Roman"/>
          <w:sz w:val="22"/>
        </w:rPr>
      </w:pPr>
    </w:p>
    <w:p w14:paraId="36CFEBD3" w14:textId="77777777" w:rsidR="00A57DED" w:rsidRDefault="00B50F5C">
      <w:pPr>
        <w:spacing w:before="240" w:line="271" w:lineRule="auto"/>
        <w:jc w:val="both"/>
        <w:rPr>
          <w:rFonts w:ascii="Times New Roman" w:hAnsi="Times New Roman" w:cs="Times New Roman"/>
          <w:sz w:val="22"/>
        </w:rPr>
      </w:pPr>
      <w:bookmarkStart w:id="14" w:name="bm_3_2_1_genotypic_and_phenotypic_d2569e"/>
      <w:r>
        <w:rPr>
          <w:rFonts w:ascii="Times New Roman" w:hAnsi="Times New Roman" w:cs="Times New Roman"/>
          <w:b/>
          <w:sz w:val="22"/>
        </w:rPr>
        <w:t>Genotypic and Phenotypic Coefficients of Variation</w:t>
      </w:r>
      <w:bookmarkEnd w:id="14"/>
    </w:p>
    <w:p w14:paraId="6196C296"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PCV values were found to be consistently higher than the corresponding GCV values for all traits studied under pooled analysis, indicating the influence of environmental factors on trait expression. However, the narrow gap between PCV and GCV for most traits suggested a predominance of genetic control over environmental influence, making these traits more reliable for selection.</w:t>
      </w:r>
    </w:p>
    <w:p w14:paraId="6FB3D286"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Traits with moderate to high GCV (&gt;10%) included effective tillers per plant (15.84%), 1000-seed weight (15.47%), biological yield per plant (12.56%), grains per spike (10.13%), and protein content (9.56%). These traits exhibited wider ranges of genetic variation and greater opportunity for selection.</w:t>
      </w:r>
    </w:p>
    <w:p w14:paraId="60A05D4F"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Traits with low GCV (&lt;10%) included days to maturity (1.58%), days to 50% flowering (2.14%), and iron content (8.34%). Despite low GCV, some of these traits (e.g., iron content) exhibited high heritability, indicating strong genetic control with small phenotypic variation.</w:t>
      </w:r>
    </w:p>
    <w:p w14:paraId="032878A5" w14:textId="77777777" w:rsidR="00A57DED" w:rsidRDefault="00B50F5C">
      <w:pPr>
        <w:spacing w:before="240" w:line="271" w:lineRule="auto"/>
        <w:jc w:val="both"/>
        <w:rPr>
          <w:rFonts w:ascii="Times New Roman" w:hAnsi="Times New Roman" w:cs="Times New Roman"/>
          <w:sz w:val="22"/>
        </w:rPr>
      </w:pPr>
      <w:bookmarkStart w:id="15" w:name="bm_3_2_2_heritability_estimates"/>
      <w:r>
        <w:rPr>
          <w:rFonts w:ascii="Times New Roman" w:hAnsi="Times New Roman" w:cs="Times New Roman"/>
          <w:b/>
          <w:sz w:val="22"/>
        </w:rPr>
        <w:t>Heritability Estimates</w:t>
      </w:r>
      <w:bookmarkEnd w:id="15"/>
    </w:p>
    <w:p w14:paraId="0215BFDF"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Heritability estimates under pooled conditions ranged from 63.37% (seed yield per plant) to 95.55% (iron content in seed), indicating substantial genetic control for all traits. Traits with heritability exceeding 90% included iron content (95.55%), 1000-seed weight (93.75%), and effective tillers per plant (91.43%). These high values indicate strong additive genetic effects and reliability for selection. Seed yield per plant exhibited the lowest heritability (63.37%) among the traits studied, reflecting its complex quantitative nature and greater susceptibility to environmental fluctuations. </w:t>
      </w:r>
      <w:r>
        <w:rPr>
          <w:rFonts w:ascii="Times New Roman" w:hAnsi="Times New Roman" w:cs="Times New Roman"/>
          <w:sz w:val="22"/>
        </w:rPr>
        <w:lastRenderedPageBreak/>
        <w:t>Despite this lower heritability, the estimate still falls within the 'high' category (&gt;60%), suggesting that genetic selection can still be effective for this important trait. Phenological traits (days to flowering and maturity) exhibited high heritability (79.88-80.22%), indicating that these traits are largely under genetic control and can be reliably selected for.</w:t>
      </w:r>
    </w:p>
    <w:p w14:paraId="176E6E3C" w14:textId="77777777" w:rsidR="00A57DED" w:rsidRDefault="00B50F5C">
      <w:pPr>
        <w:spacing w:before="240" w:line="271" w:lineRule="auto"/>
        <w:jc w:val="both"/>
        <w:rPr>
          <w:rFonts w:ascii="Times New Roman" w:hAnsi="Times New Roman" w:cs="Times New Roman"/>
          <w:sz w:val="22"/>
        </w:rPr>
      </w:pPr>
      <w:bookmarkStart w:id="16" w:name="bm_3_2_3_genetic_advance_and_sele_27cd2d"/>
      <w:r>
        <w:rPr>
          <w:rFonts w:ascii="Times New Roman" w:hAnsi="Times New Roman" w:cs="Times New Roman"/>
          <w:b/>
          <w:sz w:val="22"/>
        </w:rPr>
        <w:t>Genetic Advance and Selection Potential</w:t>
      </w:r>
      <w:bookmarkEnd w:id="16"/>
    </w:p>
    <w:p w14:paraId="6A5C5F3A"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Genetic advance as percentage of mean (GAM) was highest for 1000-seed weight (24.70%) and effective tillers per plant (21.36%), indicating that these traits are governed predominantly by additive gene effects and can be effectively improved through simple phenotypic selection. The combination of high heritability and high GAM makes these traits excellent targets for direct selection. Moderate GAM (10-20%) was recorded for spike length (11.62%), </w:t>
      </w:r>
      <w:proofErr w:type="spellStart"/>
      <w:r>
        <w:rPr>
          <w:rFonts w:ascii="Times New Roman" w:hAnsi="Times New Roman" w:cs="Times New Roman"/>
          <w:sz w:val="22"/>
        </w:rPr>
        <w:t>spikelets</w:t>
      </w:r>
      <w:proofErr w:type="spellEnd"/>
      <w:r>
        <w:rPr>
          <w:rFonts w:ascii="Times New Roman" w:hAnsi="Times New Roman" w:cs="Times New Roman"/>
          <w:sz w:val="22"/>
        </w:rPr>
        <w:t xml:space="preserve"> per spike (14.35%), grains per spike (12.11%), iron content (13.17%), protein content (14.45%), biological yield per plant (18.45%), and seed yield per plant (12.68%), reflecting a combination of additive and non-additive gene action. Traits such as days to maturity (2.49%), days to 50% flowering (3.67%), and plant height (7.69%) exhibited low to very low GAM despite high heritability, suggesting the predominance of non-additive gene effects. These traits would benefit from breeding strategies such as </w:t>
      </w:r>
      <w:proofErr w:type="spellStart"/>
      <w:r>
        <w:rPr>
          <w:rFonts w:ascii="Times New Roman" w:hAnsi="Times New Roman" w:cs="Times New Roman"/>
          <w:sz w:val="22"/>
        </w:rPr>
        <w:t>hybridisation</w:t>
      </w:r>
      <w:proofErr w:type="spellEnd"/>
      <w:r>
        <w:rPr>
          <w:rFonts w:ascii="Times New Roman" w:hAnsi="Times New Roman" w:cs="Times New Roman"/>
          <w:sz w:val="22"/>
        </w:rPr>
        <w:t xml:space="preserve"> or recurrent selection rather than simple phenotypic selection.</w:t>
      </w:r>
    </w:p>
    <w:p w14:paraId="74BE2E5A" w14:textId="77777777" w:rsidR="00A57DED" w:rsidRDefault="00B50F5C">
      <w:pPr>
        <w:spacing w:before="240" w:line="271" w:lineRule="auto"/>
        <w:jc w:val="both"/>
        <w:rPr>
          <w:rFonts w:ascii="Times New Roman" w:hAnsi="Times New Roman" w:cs="Times New Roman"/>
          <w:sz w:val="22"/>
        </w:rPr>
      </w:pPr>
      <w:bookmarkStart w:id="17" w:name="bm_3_3_environmental_influence_on_85e866"/>
      <w:r>
        <w:rPr>
          <w:rFonts w:ascii="Times New Roman" w:hAnsi="Times New Roman" w:cs="Times New Roman"/>
          <w:b/>
          <w:sz w:val="22"/>
        </w:rPr>
        <w:t>Environmental Influence on Trait Expression</w:t>
      </w:r>
      <w:bookmarkEnd w:id="17"/>
    </w:p>
    <w:p w14:paraId="0FE310D3"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Mean performance comparison between environments indicated that phenotypic expression varied considerably with sowing dates, highlighting the influence of environmental factors on trait expression. Generally, timely sown conditions (E1) recorded higher mean values for yield and most yield-attributing traits, whereas late (E2) and very late (E3) sowing conditions tended to reduce yield performance due to exposure to terminal heat stress during grain filling. Phenological traits such as days to 50% flowering and days to maturity were significantly shortened under late and very late sowing conditions compared to timely sowing, reflecting an adaptive response to higher temperatures during reproductive growth [Choudhary et al., 2021]. The decreased grain-filling duration under heat stress ultimately contributed to lower test weight, reduced biological yield, and compromised grain quality. Nutritional quality traits (zinc, iron, and protein content) exhibited variation between environments. In some cases, late sowing enhanced protein content due to concentration effects under reduced grain size, while micronutrient concentrations varied inconsistently across environments.</w:t>
      </w:r>
    </w:p>
    <w:p w14:paraId="7E93E39D" w14:textId="77777777" w:rsidR="00A57DED" w:rsidRDefault="00B50F5C">
      <w:pPr>
        <w:spacing w:after="0" w:line="271" w:lineRule="auto"/>
        <w:jc w:val="both"/>
        <w:rPr>
          <w:rFonts w:ascii="Times New Roman" w:hAnsi="Times New Roman" w:cs="Times New Roman"/>
          <w:sz w:val="28"/>
          <w:szCs w:val="28"/>
        </w:rPr>
      </w:pPr>
      <w:bookmarkStart w:id="18" w:name="bm_4_discussion"/>
      <w:r>
        <w:rPr>
          <w:rFonts w:ascii="Times New Roman" w:hAnsi="Times New Roman" w:cs="Times New Roman"/>
          <w:b/>
          <w:sz w:val="28"/>
          <w:szCs w:val="28"/>
        </w:rPr>
        <w:t>Discussion</w:t>
      </w:r>
      <w:bookmarkStart w:id="19" w:name="bm_4_1_significance_of_genetic_va_8aa835"/>
      <w:bookmarkEnd w:id="18"/>
    </w:p>
    <w:p w14:paraId="0F1C2722" w14:textId="77777777" w:rsidR="00A57DED" w:rsidRDefault="00A57DED">
      <w:pPr>
        <w:spacing w:after="0" w:line="271" w:lineRule="auto"/>
        <w:jc w:val="both"/>
        <w:rPr>
          <w:rFonts w:ascii="Times New Roman" w:hAnsi="Times New Roman" w:cs="Times New Roman"/>
          <w:b/>
          <w:sz w:val="22"/>
        </w:rPr>
      </w:pPr>
    </w:p>
    <w:p w14:paraId="18768E40" w14:textId="77777777" w:rsidR="00A57DED" w:rsidRDefault="00B50F5C">
      <w:pPr>
        <w:spacing w:after="0" w:line="271" w:lineRule="auto"/>
        <w:jc w:val="both"/>
        <w:rPr>
          <w:rFonts w:ascii="Times New Roman" w:hAnsi="Times New Roman" w:cs="Times New Roman"/>
          <w:sz w:val="22"/>
        </w:rPr>
      </w:pPr>
      <w:r>
        <w:rPr>
          <w:rFonts w:ascii="Times New Roman" w:hAnsi="Times New Roman" w:cs="Times New Roman"/>
          <w:b/>
          <w:sz w:val="22"/>
        </w:rPr>
        <w:t>Significance of Genetic Variability in Wheat Improvement</w:t>
      </w:r>
      <w:bookmarkEnd w:id="19"/>
    </w:p>
    <w:p w14:paraId="72848A92"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lastRenderedPageBreak/>
        <w:t xml:space="preserve">The presence of significant genotypic variability for all traits studied demonstrates that the experimental germplasm collection possesses sufficient genetic diversity to serve as a base for effective selection </w:t>
      </w:r>
      <w:proofErr w:type="spellStart"/>
      <w:r>
        <w:rPr>
          <w:rFonts w:ascii="Times New Roman" w:hAnsi="Times New Roman" w:cs="Times New Roman"/>
          <w:sz w:val="22"/>
        </w:rPr>
        <w:t>programmes</w:t>
      </w:r>
      <w:proofErr w:type="spellEnd"/>
      <w:r>
        <w:rPr>
          <w:rFonts w:ascii="Times New Roman" w:hAnsi="Times New Roman" w:cs="Times New Roman"/>
          <w:sz w:val="22"/>
        </w:rPr>
        <w:t xml:space="preserve">. This genetic variability is a fundamental prerequisite for any crop improvement initiative, as it provides the raw material for isolating superior genotypes and developing improved varieties adapted to diverse </w:t>
      </w:r>
      <w:proofErr w:type="spellStart"/>
      <w:r>
        <w:rPr>
          <w:rFonts w:ascii="Times New Roman" w:hAnsi="Times New Roman" w:cs="Times New Roman"/>
          <w:sz w:val="22"/>
        </w:rPr>
        <w:t>agro</w:t>
      </w:r>
      <w:proofErr w:type="spellEnd"/>
      <w:r>
        <w:rPr>
          <w:rFonts w:ascii="Times New Roman" w:hAnsi="Times New Roman" w:cs="Times New Roman"/>
          <w:sz w:val="22"/>
        </w:rPr>
        <w:t>-climatic conditions (Burton et al., 1952). The highly significant differences observed among genotypes in all three environments (E1, E2, E3) indicate that selection can be environment-specific, and that certain lines may perform consistently well across sowing conditions, making them suitable for wide adaptation. Conversely, some genotypes may be identified as specifically adapted to late or very late sowing conditions, which is particularly important for regions prone to delayed wheat planting due to late harvest of preceding crops</w:t>
      </w:r>
      <w:r>
        <w:rPr>
          <w:rFonts w:ascii="Times New Roman" w:hAnsi="Times New Roman"/>
          <w:sz w:val="24"/>
          <w:szCs w:val="24"/>
        </w:rPr>
        <w:t xml:space="preserve"> </w:t>
      </w:r>
      <w:r>
        <w:rPr>
          <w:rFonts w:ascii="Times New Roman" w:hAnsi="Times New Roman" w:cs="Times New Roman"/>
          <w:sz w:val="22"/>
        </w:rPr>
        <w:t>(</w:t>
      </w:r>
      <w:proofErr w:type="spellStart"/>
      <w:r>
        <w:rPr>
          <w:rFonts w:ascii="Times New Roman" w:hAnsi="Times New Roman"/>
          <w:sz w:val="24"/>
          <w:szCs w:val="24"/>
        </w:rPr>
        <w:t>Dargicho</w:t>
      </w:r>
      <w:proofErr w:type="spellEnd"/>
      <w:r>
        <w:rPr>
          <w:rFonts w:ascii="Times New Roman" w:hAnsi="Times New Roman"/>
          <w:sz w:val="24"/>
          <w:szCs w:val="24"/>
        </w:rPr>
        <w:t xml:space="preserve"> et al., 2016</w:t>
      </w:r>
      <w:r>
        <w:rPr>
          <w:rFonts w:ascii="Times New Roman" w:hAnsi="Times New Roman" w:cs="Times New Roman"/>
          <w:sz w:val="22"/>
        </w:rPr>
        <w:t>)</w:t>
      </w:r>
    </w:p>
    <w:p w14:paraId="61C4FE38" w14:textId="77777777" w:rsidR="00A57DED" w:rsidRDefault="00B50F5C">
      <w:pPr>
        <w:spacing w:before="240" w:line="271" w:lineRule="auto"/>
        <w:jc w:val="both"/>
        <w:rPr>
          <w:rFonts w:ascii="Times New Roman" w:hAnsi="Times New Roman" w:cs="Times New Roman"/>
          <w:sz w:val="22"/>
        </w:rPr>
      </w:pPr>
      <w:bookmarkStart w:id="20" w:name="bm_4_2_interpretation_of_gcv_and_94a122"/>
      <w:r>
        <w:rPr>
          <w:rFonts w:ascii="Times New Roman" w:hAnsi="Times New Roman" w:cs="Times New Roman"/>
          <w:b/>
          <w:sz w:val="22"/>
        </w:rPr>
        <w:t>Interpretation of GCV and PCV: Genetic versus Environmental Control</w:t>
      </w:r>
      <w:bookmarkEnd w:id="20"/>
    </w:p>
    <w:p w14:paraId="51BD27E1"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The consistent observation that PCV values were slightly higher than GCV values for all traits, with narrow gaps, indicates that environmental factors do influence phenotypic expression but genetic control predominates for most traits. This pattern is particularly favorable for breeding </w:t>
      </w:r>
      <w:proofErr w:type="spellStart"/>
      <w:r>
        <w:rPr>
          <w:rFonts w:ascii="Times New Roman" w:hAnsi="Times New Roman" w:cs="Times New Roman"/>
          <w:sz w:val="22"/>
        </w:rPr>
        <w:t>programmes</w:t>
      </w:r>
      <w:proofErr w:type="spellEnd"/>
      <w:r>
        <w:rPr>
          <w:rFonts w:ascii="Times New Roman" w:hAnsi="Times New Roman" w:cs="Times New Roman"/>
          <w:sz w:val="22"/>
        </w:rPr>
        <w:t xml:space="preserve">, as it suggests that observed differences among genotypes are largely heritable and will be transmitted to </w:t>
      </w:r>
      <w:proofErr w:type="gramStart"/>
      <w:r>
        <w:rPr>
          <w:rFonts w:ascii="Times New Roman" w:hAnsi="Times New Roman" w:cs="Times New Roman"/>
          <w:sz w:val="22"/>
        </w:rPr>
        <w:t>offspring .</w:t>
      </w:r>
      <w:proofErr w:type="gramEnd"/>
      <w:r>
        <w:rPr>
          <w:rFonts w:ascii="Times New Roman" w:hAnsi="Times New Roman" w:cs="Times New Roman"/>
          <w:sz w:val="22"/>
        </w:rPr>
        <w:t xml:space="preserve"> Traits with higher GCV values (effective tillers per plant, 1000-seed weight, biological yield per plant) demonstrate greater opportunity for selection because they show more genetic variation relative to environmental variation. In contrast, traits with lower GCV values but still high heritability (e.g., phenological traits, iron content) indicate strong genetic control operating within a narrower range of genetic variation.</w:t>
      </w:r>
    </w:p>
    <w:p w14:paraId="60AFBE39" w14:textId="77777777" w:rsidR="00A57DED" w:rsidRDefault="00B50F5C">
      <w:pPr>
        <w:spacing w:before="240" w:line="271" w:lineRule="auto"/>
        <w:jc w:val="both"/>
        <w:rPr>
          <w:rFonts w:ascii="Times New Roman" w:hAnsi="Times New Roman" w:cs="Times New Roman"/>
          <w:sz w:val="22"/>
        </w:rPr>
      </w:pPr>
      <w:bookmarkStart w:id="21" w:name="bm_4_3_heritability_and_its_impli_cdd06d"/>
      <w:r>
        <w:rPr>
          <w:rFonts w:ascii="Times New Roman" w:hAnsi="Times New Roman" w:cs="Times New Roman"/>
          <w:b/>
          <w:sz w:val="22"/>
        </w:rPr>
        <w:t>Heritability and Its Implications for Breeding Strategy</w:t>
      </w:r>
      <w:bookmarkEnd w:id="21"/>
    </w:p>
    <w:p w14:paraId="0E81FAAD"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The high heritability estimates obtained for most traits (&gt;60%) indicate that genetic differences among genotypes are more important than environmental differences in determining phenotypic variation. This finding supports the adoption of simple phenotypic selection strategies for improving these traits, as offspring will closely resemble their parents for these highly heritable characters (Patel et. al., 2023) The classification of heritability interpretation reveals important breeding implications:</w:t>
      </w:r>
    </w:p>
    <w:p w14:paraId="74E52DDA" w14:textId="77777777" w:rsidR="00A57DED" w:rsidRDefault="00B50F5C">
      <w:pPr>
        <w:spacing w:after="210" w:line="360" w:lineRule="auto"/>
        <w:jc w:val="both"/>
        <w:rPr>
          <w:rFonts w:ascii="Times New Roman" w:hAnsi="Times New Roman" w:cs="Times New Roman"/>
          <w:b/>
          <w:bCs/>
          <w:sz w:val="22"/>
        </w:rPr>
      </w:pPr>
      <w:r>
        <w:rPr>
          <w:rFonts w:ascii="Times New Roman" w:hAnsi="Times New Roman" w:cs="Times New Roman"/>
          <w:bCs/>
          <w:sz w:val="22"/>
        </w:rPr>
        <w:t>Traits with High Heritability and High GAM (1000-seed weight, effective tillers per plant, biological yield per plant): These traits respond excellently</w:t>
      </w:r>
      <w:r>
        <w:rPr>
          <w:rFonts w:ascii="Times New Roman" w:hAnsi="Times New Roman" w:cs="Times New Roman"/>
          <w:sz w:val="22"/>
        </w:rPr>
        <w:t xml:space="preserve"> to direct selection and represent ideal targets for variety development through conventional breeding. Simple pedigree selection or mass selection would be effective for improving these traits (Meena et al., 2025</w:t>
      </w:r>
      <w:proofErr w:type="gramStart"/>
      <w:r>
        <w:rPr>
          <w:rFonts w:ascii="Times New Roman" w:hAnsi="Times New Roman" w:cs="Times New Roman"/>
          <w:sz w:val="22"/>
        </w:rPr>
        <w:t>).</w:t>
      </w:r>
      <w:r>
        <w:rPr>
          <w:rFonts w:ascii="Times New Roman" w:hAnsi="Times New Roman" w:cs="Times New Roman"/>
          <w:bCs/>
          <w:sz w:val="22"/>
        </w:rPr>
        <w:t>Traits</w:t>
      </w:r>
      <w:proofErr w:type="gramEnd"/>
      <w:r>
        <w:rPr>
          <w:rFonts w:ascii="Times New Roman" w:hAnsi="Times New Roman" w:cs="Times New Roman"/>
          <w:bCs/>
          <w:sz w:val="22"/>
        </w:rPr>
        <w:t xml:space="preserve"> with High Heritability but Low GAM</w:t>
      </w:r>
      <w:r>
        <w:rPr>
          <w:rFonts w:ascii="Times New Roman" w:hAnsi="Times New Roman" w:cs="Times New Roman"/>
          <w:sz w:val="22"/>
        </w:rPr>
        <w:t xml:space="preserve"> (days to flowering, days to maturity, zinc content): The combination of </w:t>
      </w:r>
      <w:r>
        <w:rPr>
          <w:rFonts w:ascii="Times New Roman" w:hAnsi="Times New Roman" w:cs="Times New Roman"/>
          <w:sz w:val="22"/>
        </w:rPr>
        <w:lastRenderedPageBreak/>
        <w:t>high heritability with low GAM suggests the presence of non-additive gene effects (dominance, epistasis) or linkage disequilibrium between alleles at different loci. For these traits, advanced breeding strategies such as Recurrent selection (to accumulate favorable alleles), Heterosis breeding (to exploit hybrid vigor), Genomic selection (to better identify and pyramid favorable alleles) would be more effective than simple phenotypic selection (Ali et al., 2008).</w:t>
      </w:r>
    </w:p>
    <w:p w14:paraId="171CFD0F"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b/>
          <w:sz w:val="22"/>
        </w:rPr>
        <w:t>Seed Yield per Plant</w:t>
      </w:r>
      <w:r>
        <w:rPr>
          <w:rFonts w:ascii="Times New Roman" w:hAnsi="Times New Roman" w:cs="Times New Roman"/>
          <w:sz w:val="22"/>
        </w:rPr>
        <w:t xml:space="preserve">: The relatively low heritability (63.37%) compared to component traits reflects the complex, quantitative nature of yield as a highly polygenic trait influenced by multiple loci with small individual effects. This finding emphasizes the importance of considering multiple component traits simultaneously in yield improvement </w:t>
      </w:r>
      <w:proofErr w:type="spellStart"/>
      <w:r>
        <w:rPr>
          <w:rFonts w:ascii="Times New Roman" w:hAnsi="Times New Roman" w:cs="Times New Roman"/>
          <w:sz w:val="22"/>
        </w:rPr>
        <w:t>programmes</w:t>
      </w:r>
      <w:proofErr w:type="spellEnd"/>
      <w:r>
        <w:rPr>
          <w:rFonts w:ascii="Times New Roman" w:hAnsi="Times New Roman" w:cs="Times New Roman"/>
          <w:sz w:val="22"/>
        </w:rPr>
        <w:t xml:space="preserve">. Selection for component traits with higher heritability and GAM (such as 1000-seed weight and effective tillers per plant) can be an effective indirect approach to improving yield </w:t>
      </w:r>
      <w:r>
        <w:rPr>
          <w:rFonts w:ascii="Times New Roman" w:eastAsia="Georgia" w:hAnsi="Times New Roman" w:cs="Times New Roman"/>
          <w:sz w:val="22"/>
        </w:rPr>
        <w:t>(</w:t>
      </w:r>
      <w:proofErr w:type="spellStart"/>
      <w:r>
        <w:rPr>
          <w:rFonts w:ascii="Times New Roman" w:eastAsia="Georgia" w:hAnsi="Times New Roman" w:cs="Times New Roman"/>
          <w:sz w:val="22"/>
        </w:rPr>
        <w:t>Annicchiarico</w:t>
      </w:r>
      <w:proofErr w:type="spellEnd"/>
      <w:r>
        <w:rPr>
          <w:rFonts w:ascii="Times New Roman" w:eastAsia="Georgia" w:hAnsi="Times New Roman" w:cs="Times New Roman"/>
          <w:sz w:val="22"/>
        </w:rPr>
        <w:t xml:space="preserve"> et al., 2002).</w:t>
      </w:r>
    </w:p>
    <w:p w14:paraId="4E24DB7A" w14:textId="77777777" w:rsidR="00A57DED" w:rsidRDefault="00B50F5C">
      <w:pPr>
        <w:spacing w:after="0" w:line="271" w:lineRule="auto"/>
        <w:jc w:val="both"/>
        <w:rPr>
          <w:rFonts w:ascii="Times New Roman" w:hAnsi="Times New Roman" w:cs="Times New Roman"/>
          <w:sz w:val="22"/>
        </w:rPr>
      </w:pPr>
      <w:bookmarkStart w:id="22" w:name="bm_4_4_trait_specific_breeding_im_79bad7"/>
      <w:r>
        <w:rPr>
          <w:rFonts w:ascii="Times New Roman" w:hAnsi="Times New Roman" w:cs="Times New Roman"/>
          <w:b/>
          <w:sz w:val="22"/>
        </w:rPr>
        <w:t>Trait-Specific Breeding Implications</w:t>
      </w:r>
      <w:bookmarkEnd w:id="22"/>
    </w:p>
    <w:p w14:paraId="7704A58B" w14:textId="77777777" w:rsidR="00A57DED" w:rsidRDefault="00B50F5C">
      <w:pPr>
        <w:spacing w:after="0" w:line="271" w:lineRule="auto"/>
        <w:jc w:val="both"/>
        <w:rPr>
          <w:rFonts w:ascii="Times New Roman" w:hAnsi="Times New Roman" w:cs="Times New Roman"/>
          <w:sz w:val="22"/>
        </w:rPr>
      </w:pPr>
      <w:bookmarkStart w:id="23" w:name="bm_4_4_1_morphological_and_develo_beb9ba"/>
      <w:r>
        <w:rPr>
          <w:rFonts w:ascii="Times New Roman" w:hAnsi="Times New Roman" w:cs="Times New Roman"/>
          <w:b/>
          <w:sz w:val="22"/>
        </w:rPr>
        <w:t>Morphological and Developmental Traits</w:t>
      </w:r>
      <w:bookmarkEnd w:id="23"/>
    </w:p>
    <w:p w14:paraId="084FB79E"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Days to flowering and maturity, with high heritability (79.88-80.22%) but low GAM (2.49-3.67%), indicate strong genetic control with limited scope for rapid genetic improvement through simple selection. However, these traits are crucial for adaptation to specific sowing dates and environmental conditions. The identification of early-maturing genotypes is particularly important for areas prone to late sowing, where early completion of grain filling before terminal heat stress becomes critical.</w:t>
      </w:r>
    </w:p>
    <w:p w14:paraId="7543CE16"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Plant height, with high heritability (84.53%) and moderate GAM (7.69%), offers good potential for improvement. Modern wheat breeding has consistently selected for dwarf and semi-dwarf plant heights to minimize lodging risk, improve harvest index, and enhance response to fertilizer </w:t>
      </w:r>
      <w:proofErr w:type="spellStart"/>
      <w:proofErr w:type="gramStart"/>
      <w:r>
        <w:rPr>
          <w:rFonts w:ascii="Times New Roman" w:hAnsi="Times New Roman" w:cs="Times New Roman"/>
          <w:sz w:val="22"/>
        </w:rPr>
        <w:t>application.The</w:t>
      </w:r>
      <w:proofErr w:type="spellEnd"/>
      <w:proofErr w:type="gramEnd"/>
      <w:r>
        <w:rPr>
          <w:rFonts w:ascii="Times New Roman" w:hAnsi="Times New Roman" w:cs="Times New Roman"/>
          <w:sz w:val="22"/>
        </w:rPr>
        <w:t xml:space="preserve"> continued availability of genetic variability for this trait enables further refinement of plant architecture for specific </w:t>
      </w:r>
      <w:proofErr w:type="spellStart"/>
      <w:r>
        <w:rPr>
          <w:rFonts w:ascii="Times New Roman" w:hAnsi="Times New Roman" w:cs="Times New Roman"/>
          <w:sz w:val="22"/>
        </w:rPr>
        <w:t>agro</w:t>
      </w:r>
      <w:proofErr w:type="spellEnd"/>
      <w:r>
        <w:rPr>
          <w:rFonts w:ascii="Times New Roman" w:hAnsi="Times New Roman" w:cs="Times New Roman"/>
          <w:sz w:val="22"/>
        </w:rPr>
        <w:t>-ecologies.</w:t>
      </w:r>
    </w:p>
    <w:p w14:paraId="454609D8" w14:textId="77777777" w:rsidR="00A57DED" w:rsidRDefault="00B50F5C">
      <w:pPr>
        <w:spacing w:before="240" w:line="271" w:lineRule="auto"/>
        <w:jc w:val="both"/>
        <w:rPr>
          <w:rFonts w:ascii="Times New Roman" w:hAnsi="Times New Roman" w:cs="Times New Roman"/>
          <w:sz w:val="22"/>
        </w:rPr>
      </w:pPr>
      <w:bookmarkStart w:id="24" w:name="bm_4_4_2_yield_attributing_traits"/>
      <w:r>
        <w:rPr>
          <w:rFonts w:ascii="Times New Roman" w:hAnsi="Times New Roman" w:cs="Times New Roman"/>
          <w:b/>
          <w:sz w:val="22"/>
        </w:rPr>
        <w:t>Yield-Attributing Traits</w:t>
      </w:r>
      <w:bookmarkEnd w:id="24"/>
    </w:p>
    <w:p w14:paraId="2F23F876"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Effective tillers per plant and 1000-seed weight, both showing high GCV, high heritability, and high GAM, emerge as the most promising targets for direct selection to improve yield. These traits exhibit additive gene action, making them highly responsive to phenotypic selection. Historical wheat breeding progress confirms that improvement in these component traits has contributed significantly to yield enhancement. The moderate genetic variability and GAM for grains per spike (GCV 10.13%, GAM 12.11%) and biological yield per plant (GCV 12.56%, GAM 18.45%) indicate that these traits also offer good opportunity for improvement through simple selection. The integration of multiple yield component traits (tiller number, spike length, grains per spike, seed </w:t>
      </w:r>
      <w:r>
        <w:rPr>
          <w:rFonts w:ascii="Times New Roman" w:hAnsi="Times New Roman" w:cs="Times New Roman"/>
          <w:sz w:val="22"/>
        </w:rPr>
        <w:lastRenderedPageBreak/>
        <w:t>weight) into a coordinated selection strategy, based on understanding their relative contribution to overall yield, is essential for achieving substantial yield improvements (Meena et al 2025</w:t>
      </w:r>
      <w:r>
        <w:rPr>
          <w:rFonts w:ascii="Times New Roman" w:eastAsia="Georgia" w:hAnsi="Times New Roman" w:cs="Times New Roman"/>
          <w:sz w:val="22"/>
        </w:rPr>
        <w:t>)</w:t>
      </w:r>
      <w:r>
        <w:rPr>
          <w:rFonts w:ascii="Times New Roman" w:hAnsi="Times New Roman" w:cs="Times New Roman"/>
          <w:sz w:val="22"/>
        </w:rPr>
        <w:t>.</w:t>
      </w:r>
    </w:p>
    <w:p w14:paraId="11FF8D14" w14:textId="77777777" w:rsidR="00A57DED" w:rsidRDefault="00B50F5C">
      <w:pPr>
        <w:spacing w:before="240" w:line="271" w:lineRule="auto"/>
        <w:jc w:val="both"/>
        <w:rPr>
          <w:rFonts w:ascii="Times New Roman" w:hAnsi="Times New Roman" w:cs="Times New Roman"/>
          <w:sz w:val="22"/>
        </w:rPr>
      </w:pPr>
      <w:bookmarkStart w:id="25" w:name="bm_4_4_3_quality_and_nutritional_traits"/>
      <w:r>
        <w:rPr>
          <w:rFonts w:ascii="Times New Roman" w:hAnsi="Times New Roman" w:cs="Times New Roman"/>
          <w:b/>
          <w:sz w:val="22"/>
        </w:rPr>
        <w:t>Quality and Nutritional Traits</w:t>
      </w:r>
      <w:bookmarkEnd w:id="25"/>
    </w:p>
    <w:p w14:paraId="76CDB202"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Iron content showed the highest heritability (95.55%) among all traits, indicating very strong genetic control and excellent potential for improvement through selection (Al-</w:t>
      </w:r>
      <w:proofErr w:type="spellStart"/>
      <w:r>
        <w:rPr>
          <w:rFonts w:ascii="Times New Roman" w:hAnsi="Times New Roman" w:cs="Times New Roman"/>
          <w:sz w:val="22"/>
        </w:rPr>
        <w:t>Jibouri</w:t>
      </w:r>
      <w:proofErr w:type="spellEnd"/>
      <w:r>
        <w:rPr>
          <w:rFonts w:ascii="Times New Roman" w:hAnsi="Times New Roman" w:cs="Times New Roman"/>
          <w:sz w:val="22"/>
        </w:rPr>
        <w:t xml:space="preserve"> et al.,1958</w:t>
      </w:r>
      <w:r>
        <w:rPr>
          <w:rFonts w:ascii="Times New Roman" w:eastAsia="Georgia" w:hAnsi="Times New Roman" w:cs="Times New Roman"/>
          <w:sz w:val="22"/>
        </w:rPr>
        <w:t>)</w:t>
      </w:r>
      <w:r>
        <w:rPr>
          <w:rFonts w:ascii="Times New Roman" w:hAnsi="Times New Roman" w:cs="Times New Roman"/>
          <w:sz w:val="22"/>
        </w:rPr>
        <w:t xml:space="preserve">. The moderately high GCV (8.34%) coupled with this exceptional heritability suggests that genetic variability for iron content is substantial and heritable. Zinc and protein content, with GCV values of 7.45% and 9.56% respectively and </w:t>
      </w:r>
      <w:proofErr w:type="spellStart"/>
      <w:r>
        <w:rPr>
          <w:rFonts w:ascii="Times New Roman" w:hAnsi="Times New Roman" w:cs="Times New Roman"/>
          <w:sz w:val="22"/>
        </w:rPr>
        <w:t>heritabilities</w:t>
      </w:r>
      <w:proofErr w:type="spellEnd"/>
      <w:r>
        <w:rPr>
          <w:rFonts w:ascii="Times New Roman" w:hAnsi="Times New Roman" w:cs="Times New Roman"/>
          <w:sz w:val="22"/>
        </w:rPr>
        <w:t xml:space="preserve"> of 71.92% and 85.66%, demonstrate good potential for improvement. The integration of these nutritional quality traits into yield improvement </w:t>
      </w:r>
      <w:proofErr w:type="spellStart"/>
      <w:r>
        <w:rPr>
          <w:rFonts w:ascii="Times New Roman" w:hAnsi="Times New Roman" w:cs="Times New Roman"/>
          <w:sz w:val="22"/>
        </w:rPr>
        <w:t>programmes</w:t>
      </w:r>
      <w:proofErr w:type="spellEnd"/>
      <w:r>
        <w:rPr>
          <w:rFonts w:ascii="Times New Roman" w:hAnsi="Times New Roman" w:cs="Times New Roman"/>
          <w:sz w:val="22"/>
        </w:rPr>
        <w:t xml:space="preserve">, referred to as "biofortification breeding," is increasingly important for addressing micronutrient deficiencies in human populations, particularly in South Asia. The lower heritability of seed yield compared to quality traits suggests that simultaneous improvement for both yield and nutritional quality require strategic breeding approaches that specifically target both objectives, exploiting genotypes that combine acceptable yield with enhanced nutritional traits </w:t>
      </w:r>
      <w:r>
        <w:rPr>
          <w:rFonts w:ascii="Times New Roman" w:eastAsia="Georgia" w:hAnsi="Times New Roman" w:cs="Times New Roman"/>
          <w:sz w:val="22"/>
        </w:rPr>
        <w:t>(Breese et al., 1969).</w:t>
      </w:r>
    </w:p>
    <w:p w14:paraId="4C32EACA" w14:textId="77777777" w:rsidR="00A57DED" w:rsidRDefault="00B50F5C">
      <w:pPr>
        <w:spacing w:before="240" w:line="271" w:lineRule="auto"/>
        <w:jc w:val="both"/>
        <w:rPr>
          <w:rFonts w:ascii="Times New Roman" w:hAnsi="Times New Roman" w:cs="Times New Roman"/>
          <w:sz w:val="22"/>
        </w:rPr>
      </w:pPr>
      <w:bookmarkStart w:id="26" w:name="bm_4_5_environmental_effects_and_c65d95"/>
      <w:r>
        <w:rPr>
          <w:rFonts w:ascii="Times New Roman" w:hAnsi="Times New Roman" w:cs="Times New Roman"/>
          <w:b/>
          <w:sz w:val="22"/>
        </w:rPr>
        <w:t>Environmental Effects and Stability Considerations</w:t>
      </w:r>
      <w:bookmarkEnd w:id="26"/>
    </w:p>
    <w:p w14:paraId="1CA6E014"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The significant influence of sowing environment on trait expression, with late sowing reducing yield and altering phenotype, highlights the importance of multi-environment testing in variety development. The relatively narrow gap between GCV and PCV across environments suggests that genetic control of traits is robust even under stress conditions, although absolute phenotypic values may be depressed. Genotypes with high mean performance, high heritability, and high GAM for yield components represent the most promising candidates for recommendation in multi-location wheat breeding </w:t>
      </w:r>
      <w:proofErr w:type="spellStart"/>
      <w:r>
        <w:rPr>
          <w:rFonts w:ascii="Times New Roman" w:hAnsi="Times New Roman" w:cs="Times New Roman"/>
          <w:sz w:val="22"/>
        </w:rPr>
        <w:t>programmes</w:t>
      </w:r>
      <w:proofErr w:type="spellEnd"/>
      <w:r>
        <w:rPr>
          <w:rFonts w:ascii="Times New Roman" w:hAnsi="Times New Roman" w:cs="Times New Roman"/>
          <w:sz w:val="22"/>
        </w:rPr>
        <w:t xml:space="preserve"> aimed at enhancing yield stability across varying </w:t>
      </w:r>
      <w:proofErr w:type="spellStart"/>
      <w:r>
        <w:rPr>
          <w:rFonts w:ascii="Times New Roman" w:hAnsi="Times New Roman" w:cs="Times New Roman"/>
          <w:sz w:val="22"/>
        </w:rPr>
        <w:t>agro</w:t>
      </w:r>
      <w:proofErr w:type="spellEnd"/>
      <w:r>
        <w:rPr>
          <w:rFonts w:ascii="Times New Roman" w:hAnsi="Times New Roman" w:cs="Times New Roman"/>
          <w:sz w:val="22"/>
        </w:rPr>
        <w:t>-climatic conditions in India</w:t>
      </w:r>
      <w:r>
        <w:rPr>
          <w:rFonts w:ascii="Times New Roman" w:hAnsi="Times New Roman"/>
          <w:sz w:val="24"/>
          <w:szCs w:val="24"/>
        </w:rPr>
        <w:t xml:space="preserve"> </w:t>
      </w:r>
      <w:r>
        <w:rPr>
          <w:rFonts w:ascii="Times New Roman" w:eastAsia="Georgia" w:hAnsi="Times New Roman" w:cs="Times New Roman"/>
          <w:sz w:val="22"/>
        </w:rPr>
        <w:t>(</w:t>
      </w:r>
      <w:r>
        <w:rPr>
          <w:rFonts w:ascii="Times New Roman" w:hAnsi="Times New Roman"/>
          <w:sz w:val="24"/>
          <w:szCs w:val="24"/>
        </w:rPr>
        <w:t>Deepti et al., 2009</w:t>
      </w:r>
      <w:r>
        <w:rPr>
          <w:rFonts w:ascii="Times New Roman" w:eastAsia="Georgia" w:hAnsi="Times New Roman" w:cs="Times New Roman"/>
          <w:sz w:val="22"/>
        </w:rPr>
        <w:t>)</w:t>
      </w:r>
      <w:r>
        <w:rPr>
          <w:rFonts w:ascii="Times New Roman" w:hAnsi="Times New Roman" w:cs="Times New Roman"/>
          <w:sz w:val="22"/>
        </w:rPr>
        <w:t>.</w:t>
      </w:r>
      <w:bookmarkStart w:id="27" w:name="bm_4_6_comparison_with_previous_research"/>
    </w:p>
    <w:p w14:paraId="2A3BA74B" w14:textId="77777777" w:rsidR="00A57DED" w:rsidRDefault="00B50F5C">
      <w:pPr>
        <w:spacing w:after="210"/>
        <w:jc w:val="both"/>
        <w:rPr>
          <w:rFonts w:ascii="Times New Roman" w:hAnsi="Times New Roman" w:cs="Times New Roman"/>
          <w:sz w:val="22"/>
        </w:rPr>
      </w:pPr>
      <w:r>
        <w:rPr>
          <w:rFonts w:ascii="Times New Roman" w:hAnsi="Times New Roman" w:cs="Times New Roman"/>
          <w:b/>
          <w:sz w:val="22"/>
        </w:rPr>
        <w:t>Comparison with Previous Research</w:t>
      </w:r>
      <w:bookmarkEnd w:id="27"/>
    </w:p>
    <w:p w14:paraId="5C592F5F" w14:textId="7777777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These results align with earlier findings reported in wheat by Meena et al. (2022, 2025), and Patel et al. (2023), who similarly documented high heritability for yield and yield-attributing traits, particularly 1000-seed weight and tiller number. The present study extends these observations by providing comprehensive analysis across contrasting sowing environments and including biofortification traits, offering a more complete picture of genetic variability in wheat germplasm under Indian conditions. The predominance of additive gene effects for component traits, as evidenced by the high heritability and high GAM combinations, supports the continued use of </w:t>
      </w:r>
      <w:r>
        <w:rPr>
          <w:rFonts w:ascii="Times New Roman" w:hAnsi="Times New Roman" w:cs="Times New Roman"/>
          <w:sz w:val="22"/>
        </w:rPr>
        <w:lastRenderedPageBreak/>
        <w:t>conventional breeding approaches in wheat improvement, while the low GAM for some traits with high heritability suggests the potential value of exploring advanced breeding methodologies.</w:t>
      </w:r>
    </w:p>
    <w:p w14:paraId="647B338A" w14:textId="77777777" w:rsidR="00A57DED" w:rsidRDefault="00B50F5C">
      <w:pPr>
        <w:spacing w:before="240" w:line="271" w:lineRule="auto"/>
        <w:jc w:val="both"/>
        <w:rPr>
          <w:rFonts w:ascii="Times New Roman" w:hAnsi="Times New Roman" w:cs="Times New Roman"/>
          <w:sz w:val="22"/>
        </w:rPr>
      </w:pPr>
      <w:bookmarkStart w:id="28" w:name="bm_5_conclusions"/>
      <w:r>
        <w:rPr>
          <w:rFonts w:ascii="Times New Roman" w:hAnsi="Times New Roman" w:cs="Times New Roman"/>
          <w:b/>
          <w:sz w:val="22"/>
        </w:rPr>
        <w:t>Conclusions</w:t>
      </w:r>
      <w:bookmarkEnd w:id="28"/>
    </w:p>
    <w:p w14:paraId="3FF19647" w14:textId="5D413347" w:rsidR="00A57DED" w:rsidRDefault="00B50F5C">
      <w:pPr>
        <w:spacing w:after="210" w:line="360" w:lineRule="auto"/>
        <w:jc w:val="both"/>
        <w:rPr>
          <w:rFonts w:ascii="Times New Roman" w:hAnsi="Times New Roman" w:cs="Times New Roman"/>
          <w:sz w:val="22"/>
        </w:rPr>
      </w:pPr>
      <w:r>
        <w:rPr>
          <w:rFonts w:ascii="Times New Roman" w:hAnsi="Times New Roman" w:cs="Times New Roman"/>
          <w:sz w:val="22"/>
        </w:rPr>
        <w:t xml:space="preserve">This investigation revealed substantial genetic variability in wheat germplasm for morphological, yield-attributing, and quality traits across multiple sowing environments. Most traits exhibited high heritability (&gt;60%), indicating strong genetic determination and reliability for selection. Effective tillers per plant (GCV 15.84%, GAM 21.36%) and 1000-seed weight (GCV 15.47%, GAM 24.70%) emerged as the most promising targets for direct phenotypic selection, exhibiting both high genetic variability and high genetic gain. Traits with high heritability but low GAM (days to flowering, days to maturity, zinc content) indicate the presence of non-additive gene action, suggesting the need for advanced breeding strategies such as recurrent selection or hybridization. While component traits showed good genetic variability, the lower heritability of seed yield per plant (63.37%) emphasizes the polygenic nature of yield and the need for selection on multiple traits simultaneously. The narrow gap between PCV and GCV suggests that selected traits will remain stable across diverse sowing environments, supporting the development of broadly adapted wheat varieties. High heritability of quality traits (iron 95.55%, protein 85.66%) indicates strong potential for biofortification breeding without compromising yield potential, provided that specialized selection strategies are employed. These findings provide a scientific foundation for designing efficient wheat improvement </w:t>
      </w:r>
      <w:proofErr w:type="spellStart"/>
      <w:r>
        <w:rPr>
          <w:rFonts w:ascii="Times New Roman" w:hAnsi="Times New Roman" w:cs="Times New Roman"/>
          <w:sz w:val="22"/>
        </w:rPr>
        <w:t>programmes</w:t>
      </w:r>
      <w:proofErr w:type="spellEnd"/>
      <w:r>
        <w:rPr>
          <w:rFonts w:ascii="Times New Roman" w:hAnsi="Times New Roman" w:cs="Times New Roman"/>
          <w:sz w:val="22"/>
        </w:rPr>
        <w:t xml:space="preserve"> that target both yield enhancement and nutritional quality improvement, utilizing the substantial genetic variability present in available wheat germplasm, and adapted to variable sowing environments prevalent in Indian wheat-growing regions.</w:t>
      </w:r>
    </w:p>
    <w:p w14:paraId="295919FD" w14:textId="5A46C7AA" w:rsidR="00E81CD6" w:rsidRDefault="00E81CD6">
      <w:pPr>
        <w:spacing w:after="210" w:line="360" w:lineRule="auto"/>
        <w:jc w:val="both"/>
        <w:rPr>
          <w:rFonts w:ascii="Times New Roman" w:hAnsi="Times New Roman" w:cs="Times New Roman"/>
          <w:sz w:val="22"/>
        </w:rPr>
      </w:pPr>
    </w:p>
    <w:p w14:paraId="46042C8D" w14:textId="77777777" w:rsidR="00E81CD6" w:rsidRPr="00005ED1" w:rsidRDefault="00E81CD6" w:rsidP="00E81CD6">
      <w:pPr>
        <w:pStyle w:val="NoSpacing"/>
        <w:rPr>
          <w:rFonts w:ascii="Arial" w:hAnsi="Arial" w:cs="Arial"/>
          <w:highlight w:val="yellow"/>
        </w:rPr>
      </w:pPr>
      <w:bookmarkStart w:id="29" w:name="_Hlk198031404"/>
      <w:r w:rsidRPr="00005ED1">
        <w:rPr>
          <w:rFonts w:ascii="Arial" w:hAnsi="Arial" w:cs="Arial"/>
          <w:highlight w:val="yellow"/>
        </w:rPr>
        <w:t>Disclaimer (Artificial intelligence)</w:t>
      </w:r>
    </w:p>
    <w:p w14:paraId="292E091F" w14:textId="77777777" w:rsidR="00E81CD6" w:rsidRPr="00005ED1" w:rsidRDefault="00E81CD6" w:rsidP="00E81CD6">
      <w:pPr>
        <w:pStyle w:val="NoSpacing"/>
        <w:rPr>
          <w:rFonts w:ascii="Arial" w:hAnsi="Arial" w:cs="Arial"/>
          <w:highlight w:val="yellow"/>
        </w:rPr>
      </w:pPr>
    </w:p>
    <w:p w14:paraId="6620B351" w14:textId="77777777" w:rsidR="00E81CD6" w:rsidRPr="00005ED1" w:rsidRDefault="00E81CD6" w:rsidP="00E81CD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9"/>
    <w:p w14:paraId="0F8C0817" w14:textId="77777777" w:rsidR="00E81CD6" w:rsidRDefault="00E81CD6" w:rsidP="00E81CD6">
      <w:pPr>
        <w:pStyle w:val="NoSpacing"/>
        <w:rPr>
          <w:rFonts w:ascii="Arial" w:hAnsi="Arial" w:cs="Arial"/>
        </w:rPr>
      </w:pPr>
    </w:p>
    <w:p w14:paraId="0A1F0FC8" w14:textId="77777777" w:rsidR="00E81CD6" w:rsidRDefault="00E81CD6" w:rsidP="00E81CD6">
      <w:pPr>
        <w:pStyle w:val="NoSpacing"/>
        <w:rPr>
          <w:rFonts w:ascii="Arial" w:hAnsi="Arial" w:cs="Arial"/>
        </w:rPr>
      </w:pPr>
    </w:p>
    <w:p w14:paraId="64AD32B0" w14:textId="77777777" w:rsidR="00E81CD6" w:rsidRPr="00005ED1" w:rsidRDefault="00E81CD6" w:rsidP="00E81CD6">
      <w:pPr>
        <w:pStyle w:val="NoSpacing"/>
        <w:rPr>
          <w:rFonts w:ascii="Arial" w:hAnsi="Arial" w:cs="Arial"/>
        </w:rPr>
      </w:pPr>
    </w:p>
    <w:p w14:paraId="6866ACE8" w14:textId="77777777" w:rsidR="00E81CD6" w:rsidRDefault="00E81CD6">
      <w:pPr>
        <w:spacing w:after="210" w:line="360" w:lineRule="auto"/>
        <w:jc w:val="both"/>
        <w:rPr>
          <w:rFonts w:ascii="Times New Roman" w:hAnsi="Times New Roman" w:cs="Times New Roman"/>
          <w:sz w:val="22"/>
        </w:rPr>
      </w:pPr>
    </w:p>
    <w:p w14:paraId="5AA5202D" w14:textId="71D0EBB9" w:rsidR="00A57DED" w:rsidRDefault="00B50F5C">
      <w:pPr>
        <w:spacing w:before="240" w:line="271" w:lineRule="auto"/>
        <w:jc w:val="both"/>
        <w:rPr>
          <w:rFonts w:ascii="Times New Roman" w:hAnsi="Times New Roman" w:cs="Times New Roman"/>
          <w:b/>
          <w:sz w:val="22"/>
        </w:rPr>
      </w:pPr>
      <w:r>
        <w:rPr>
          <w:rFonts w:ascii="Times New Roman" w:hAnsi="Times New Roman" w:cs="Times New Roman"/>
          <w:b/>
          <w:sz w:val="22"/>
        </w:rPr>
        <w:t>References</w:t>
      </w:r>
    </w:p>
    <w:p w14:paraId="76F01CC1" w14:textId="6F1AE830" w:rsidR="001618E5" w:rsidRDefault="001618E5">
      <w:pPr>
        <w:spacing w:before="240" w:line="271" w:lineRule="auto"/>
        <w:jc w:val="both"/>
        <w:rPr>
          <w:rFonts w:ascii="Times New Roman" w:hAnsi="Times New Roman" w:cs="Times New Roman"/>
          <w:sz w:val="22"/>
        </w:rPr>
      </w:pPr>
      <w:r w:rsidRPr="001618E5">
        <w:rPr>
          <w:rFonts w:ascii="Times New Roman" w:hAnsi="Times New Roman" w:cs="Times New Roman"/>
          <w:sz w:val="22"/>
        </w:rPr>
        <w:t>Allard, R.W. 1960. Principles of Plant Breeding. John Wiley &amp; Sons, New York.</w:t>
      </w:r>
    </w:p>
    <w:p w14:paraId="4B157E14" w14:textId="77777777" w:rsidR="00A57DED" w:rsidRDefault="00B50F5C">
      <w:pPr>
        <w:spacing w:after="210" w:line="240" w:lineRule="auto"/>
        <w:jc w:val="both"/>
        <w:rPr>
          <w:rFonts w:ascii="Times New Roman" w:hAnsi="Times New Roman" w:cs="Times New Roman"/>
          <w:sz w:val="22"/>
        </w:rPr>
      </w:pPr>
      <w:r>
        <w:rPr>
          <w:rFonts w:ascii="Times New Roman" w:hAnsi="Times New Roman" w:cs="Times New Roman"/>
          <w:sz w:val="22"/>
        </w:rPr>
        <w:lastRenderedPageBreak/>
        <w:t xml:space="preserve">Ali, Y., Atta, B. M., Akhter, J., </w:t>
      </w:r>
      <w:proofErr w:type="spellStart"/>
      <w:r>
        <w:rPr>
          <w:rFonts w:ascii="Times New Roman" w:hAnsi="Times New Roman" w:cs="Times New Roman"/>
          <w:sz w:val="22"/>
        </w:rPr>
        <w:t>Monneveux</w:t>
      </w:r>
      <w:proofErr w:type="spellEnd"/>
      <w:r>
        <w:rPr>
          <w:rFonts w:ascii="Times New Roman" w:hAnsi="Times New Roman" w:cs="Times New Roman"/>
          <w:sz w:val="22"/>
        </w:rPr>
        <w:t xml:space="preserve">, P., &amp; Lateef, Z. (2008). Genetic variability, association and diversity studies in wheat (Triticum </w:t>
      </w:r>
      <w:proofErr w:type="spellStart"/>
      <w:r>
        <w:rPr>
          <w:rFonts w:ascii="Times New Roman" w:hAnsi="Times New Roman" w:cs="Times New Roman"/>
          <w:sz w:val="22"/>
        </w:rPr>
        <w:t>aestivum</w:t>
      </w:r>
      <w:proofErr w:type="spellEnd"/>
      <w:r>
        <w:rPr>
          <w:rFonts w:ascii="Times New Roman" w:hAnsi="Times New Roman" w:cs="Times New Roman"/>
          <w:sz w:val="22"/>
        </w:rPr>
        <w:t xml:space="preserve"> L.) germplasm. Pakistan Journal of Botany, 40(5), 2087–2097. </w:t>
      </w:r>
      <w:hyperlink r:id="rId8" w:history="1">
        <w:r>
          <w:rPr>
            <w:rStyle w:val="Hyperlink"/>
            <w:rFonts w:ascii="Times New Roman" w:hAnsi="Times New Roman" w:cs="Times New Roman"/>
            <w:sz w:val="22"/>
          </w:rPr>
          <w:t>https://www.pakbs.org/pjbot/pdfs/40(5)/2087-2097.pdf</w:t>
        </w:r>
      </w:hyperlink>
      <w:r>
        <w:rPr>
          <w:rFonts w:ascii="Times New Roman" w:hAnsi="Times New Roman" w:cs="Times New Roman"/>
          <w:sz w:val="22"/>
        </w:rPr>
        <w:t xml:space="preserve"> </w:t>
      </w:r>
    </w:p>
    <w:p w14:paraId="2D2B3770" w14:textId="77777777" w:rsidR="00A57DED" w:rsidRDefault="00B50F5C">
      <w:pPr>
        <w:spacing w:after="210" w:line="240" w:lineRule="auto"/>
        <w:jc w:val="both"/>
        <w:rPr>
          <w:rFonts w:ascii="Times New Roman" w:hAnsi="Times New Roman" w:cs="Times New Roman"/>
          <w:sz w:val="22"/>
        </w:rPr>
      </w:pPr>
      <w:r>
        <w:rPr>
          <w:rFonts w:ascii="Times New Roman" w:hAnsi="Times New Roman" w:cs="Times New Roman"/>
          <w:sz w:val="22"/>
        </w:rPr>
        <w:t>Al-</w:t>
      </w:r>
      <w:proofErr w:type="spellStart"/>
      <w:r>
        <w:rPr>
          <w:rFonts w:ascii="Times New Roman" w:hAnsi="Times New Roman" w:cs="Times New Roman"/>
          <w:sz w:val="22"/>
        </w:rPr>
        <w:t>Jibouri</w:t>
      </w:r>
      <w:proofErr w:type="spellEnd"/>
      <w:r>
        <w:rPr>
          <w:rFonts w:ascii="Times New Roman" w:hAnsi="Times New Roman" w:cs="Times New Roman"/>
          <w:sz w:val="22"/>
        </w:rPr>
        <w:t xml:space="preserve">, H. A., Miller, P. A., &amp; Robinson, H. F. (1958). Genotypic and environmental variances and covariances in an upland cotton cross of interspecific origin. Agronomy Journal, 50(10), 633–636. </w:t>
      </w:r>
      <w:hyperlink r:id="rId9" w:history="1">
        <w:r>
          <w:rPr>
            <w:rStyle w:val="Hyperlink"/>
            <w:rFonts w:ascii="Times New Roman" w:hAnsi="Times New Roman" w:cs="Times New Roman"/>
            <w:sz w:val="22"/>
          </w:rPr>
          <w:t>https://doi.org/10.2134/AGRONJ1958.00021962005000100020X</w:t>
        </w:r>
      </w:hyperlink>
      <w:r>
        <w:rPr>
          <w:rFonts w:ascii="Times New Roman" w:hAnsi="Times New Roman" w:cs="Times New Roman"/>
          <w:sz w:val="22"/>
        </w:rPr>
        <w:t xml:space="preserve"> </w:t>
      </w:r>
    </w:p>
    <w:p w14:paraId="560654E4" w14:textId="77777777" w:rsidR="00A57DED" w:rsidRDefault="00B50F5C">
      <w:pPr>
        <w:spacing w:after="210" w:line="240" w:lineRule="auto"/>
        <w:jc w:val="both"/>
        <w:rPr>
          <w:rFonts w:ascii="Times New Roman" w:eastAsia="Georgia" w:hAnsi="Times New Roman" w:cs="Times New Roman"/>
          <w:sz w:val="22"/>
        </w:rPr>
      </w:pPr>
      <w:proofErr w:type="spellStart"/>
      <w:r>
        <w:rPr>
          <w:rFonts w:ascii="Times New Roman" w:eastAsia="Georgia" w:hAnsi="Times New Roman" w:cs="Times New Roman"/>
          <w:sz w:val="22"/>
        </w:rPr>
        <w:t>Annicchiarico</w:t>
      </w:r>
      <w:proofErr w:type="spellEnd"/>
      <w:r>
        <w:rPr>
          <w:rFonts w:ascii="Times New Roman" w:eastAsia="Georgia" w:hAnsi="Times New Roman" w:cs="Times New Roman"/>
          <w:sz w:val="22"/>
        </w:rPr>
        <w:t xml:space="preserve">, P. (2002). Genotype x Environment Interactions - Challenges and Opportunities for Plant Breeding and Cultivar Recommendations. FAO Plant Production and Protection Paper No. 174. </w:t>
      </w:r>
      <w:hyperlink r:id="rId10" w:history="1">
        <w:r>
          <w:rPr>
            <w:rStyle w:val="Hyperlink"/>
            <w:rFonts w:ascii="Times New Roman" w:eastAsia="Georgia" w:hAnsi="Times New Roman" w:cs="Times New Roman"/>
            <w:sz w:val="22"/>
          </w:rPr>
          <w:t>https://www.fao.org/3/y4023e/y4023e00.htm</w:t>
        </w:r>
      </w:hyperlink>
      <w:r>
        <w:rPr>
          <w:rFonts w:ascii="Times New Roman" w:eastAsia="Georgia" w:hAnsi="Times New Roman" w:cs="Times New Roman"/>
          <w:sz w:val="22"/>
        </w:rPr>
        <w:t xml:space="preserve"> </w:t>
      </w:r>
    </w:p>
    <w:p w14:paraId="04C527FD" w14:textId="77777777" w:rsidR="00A57DED" w:rsidRDefault="00B50F5C">
      <w:pPr>
        <w:spacing w:after="210" w:line="240" w:lineRule="auto"/>
        <w:jc w:val="both"/>
        <w:rPr>
          <w:rFonts w:ascii="Times New Roman" w:hAnsi="Times New Roman" w:cs="Times New Roman"/>
          <w:sz w:val="22"/>
        </w:rPr>
      </w:pPr>
      <w:r>
        <w:rPr>
          <w:rFonts w:ascii="Times New Roman" w:eastAsia="Georgia" w:hAnsi="Times New Roman" w:cs="Times New Roman"/>
          <w:sz w:val="22"/>
        </w:rPr>
        <w:t xml:space="preserve">Breese, E. L. (1969). The measurement and significance of genotype–environment interactions in grasses. </w:t>
      </w:r>
      <w:r>
        <w:rPr>
          <w:rFonts w:ascii="Times New Roman" w:hAnsi="Times New Roman" w:cs="Times New Roman"/>
          <w:i/>
          <w:sz w:val="22"/>
        </w:rPr>
        <w:t>Heredity</w:t>
      </w:r>
      <w:r>
        <w:rPr>
          <w:rFonts w:ascii="Times New Roman" w:eastAsia="Georgia" w:hAnsi="Times New Roman" w:cs="Times New Roman"/>
          <w:sz w:val="22"/>
        </w:rPr>
        <w:t xml:space="preserve">, 24, 27–44. </w:t>
      </w:r>
      <w:hyperlink r:id="rId11" w:history="1">
        <w:r>
          <w:rPr>
            <w:rStyle w:val="Hyperlink"/>
            <w:rFonts w:ascii="Times New Roman" w:eastAsia="Georgia" w:hAnsi="Times New Roman" w:cs="Times New Roman"/>
            <w:sz w:val="22"/>
          </w:rPr>
          <w:t>https://www.nature.com/articles/hdy19693</w:t>
        </w:r>
      </w:hyperlink>
      <w:r>
        <w:rPr>
          <w:rFonts w:ascii="Times New Roman" w:eastAsia="Georgia" w:hAnsi="Times New Roman" w:cs="Times New Roman"/>
          <w:sz w:val="22"/>
        </w:rPr>
        <w:t xml:space="preserve"> </w:t>
      </w:r>
    </w:p>
    <w:p w14:paraId="653B85F2" w14:textId="77777777" w:rsidR="00A57DED" w:rsidRDefault="00B50F5C">
      <w:pPr>
        <w:spacing w:after="210" w:line="240" w:lineRule="auto"/>
        <w:jc w:val="both"/>
        <w:rPr>
          <w:rFonts w:ascii="Times New Roman" w:hAnsi="Times New Roman" w:cs="Times New Roman"/>
          <w:sz w:val="22"/>
        </w:rPr>
      </w:pPr>
      <w:r>
        <w:rPr>
          <w:rFonts w:ascii="Times New Roman" w:hAnsi="Times New Roman" w:cs="Times New Roman"/>
          <w:sz w:val="22"/>
        </w:rPr>
        <w:t xml:space="preserve">Burton, G. W. (1952). Quantitative inheritance in grasses. In Proceedings of the 6th International Grassland Congress (Vol. 1, pp. 277–283). </w:t>
      </w:r>
      <w:hyperlink r:id="rId12" w:history="1">
        <w:r>
          <w:rPr>
            <w:rStyle w:val="Hyperlink"/>
            <w:rFonts w:ascii="Times New Roman" w:hAnsi="Times New Roman" w:cs="Times New Roman"/>
            <w:sz w:val="22"/>
          </w:rPr>
          <w:t>https://catalogue.nla.gov.au/Record/706707</w:t>
        </w:r>
      </w:hyperlink>
      <w:r>
        <w:rPr>
          <w:rFonts w:ascii="Times New Roman" w:hAnsi="Times New Roman" w:cs="Times New Roman"/>
          <w:sz w:val="22"/>
        </w:rPr>
        <w:t xml:space="preserve"> </w:t>
      </w:r>
    </w:p>
    <w:p w14:paraId="65CDAADA" w14:textId="77777777" w:rsidR="00A57DED" w:rsidRDefault="00B50F5C">
      <w:pPr>
        <w:spacing w:after="210" w:line="240" w:lineRule="auto"/>
        <w:jc w:val="both"/>
        <w:rPr>
          <w:rFonts w:ascii="Times New Roman" w:hAnsi="Times New Roman" w:cs="Times New Roman"/>
          <w:sz w:val="22"/>
        </w:rPr>
      </w:pPr>
      <w:r>
        <w:rPr>
          <w:rFonts w:ascii="Times New Roman" w:hAnsi="Times New Roman" w:cs="Times New Roman"/>
          <w:sz w:val="22"/>
        </w:rPr>
        <w:t>Choudhary, M., Singh, R. V., Kumar, S., &amp; Sharma, S. K. (2021). Stability analysis for yield and its contributing traits in bread wheat (</w:t>
      </w:r>
      <w:r>
        <w:rPr>
          <w:rFonts w:ascii="Times New Roman" w:hAnsi="Times New Roman" w:cs="Times New Roman"/>
          <w:i/>
          <w:sz w:val="22"/>
        </w:rPr>
        <w:t xml:space="preserve">Triticum </w:t>
      </w:r>
      <w:proofErr w:type="spellStart"/>
      <w:r>
        <w:rPr>
          <w:rFonts w:ascii="Times New Roman" w:hAnsi="Times New Roman" w:cs="Times New Roman"/>
          <w:i/>
          <w:sz w:val="22"/>
        </w:rPr>
        <w:t>aestivum</w:t>
      </w:r>
      <w:proofErr w:type="spellEnd"/>
      <w:r>
        <w:rPr>
          <w:rFonts w:ascii="Times New Roman" w:hAnsi="Times New Roman" w:cs="Times New Roman"/>
          <w:sz w:val="22"/>
        </w:rPr>
        <w:t xml:space="preserve"> L.) under different sowing conditions. </w:t>
      </w:r>
      <w:r>
        <w:rPr>
          <w:rFonts w:ascii="Times New Roman" w:hAnsi="Times New Roman" w:cs="Times New Roman"/>
          <w:i/>
          <w:sz w:val="22"/>
        </w:rPr>
        <w:t>Journal of Cereal Research</w:t>
      </w:r>
      <w:r>
        <w:rPr>
          <w:rFonts w:ascii="Times New Roman" w:eastAsia="Georgia" w:hAnsi="Times New Roman" w:cs="Times New Roman"/>
          <w:sz w:val="22"/>
        </w:rPr>
        <w:t>, 13(1), 39–46.</w:t>
      </w:r>
    </w:p>
    <w:p w14:paraId="192FB715" w14:textId="77777777" w:rsidR="00A57DED" w:rsidRDefault="00B50F5C">
      <w:pPr>
        <w:spacing w:after="210" w:line="240" w:lineRule="auto"/>
        <w:jc w:val="both"/>
        <w:rPr>
          <w:rFonts w:ascii="Times New Roman" w:hAnsi="Times New Roman" w:cs="Times New Roman"/>
          <w:sz w:val="22"/>
        </w:rPr>
      </w:pPr>
      <w:proofErr w:type="spellStart"/>
      <w:r>
        <w:rPr>
          <w:rFonts w:ascii="Times New Roman" w:hAnsi="Times New Roman" w:cs="Times New Roman"/>
          <w:sz w:val="22"/>
        </w:rPr>
        <w:t>Dutamo</w:t>
      </w:r>
      <w:proofErr w:type="spellEnd"/>
      <w:r>
        <w:rPr>
          <w:rFonts w:ascii="Times New Roman" w:hAnsi="Times New Roman" w:cs="Times New Roman"/>
          <w:sz w:val="22"/>
        </w:rPr>
        <w:t xml:space="preserve">, D., </w:t>
      </w:r>
      <w:proofErr w:type="spellStart"/>
      <w:r>
        <w:rPr>
          <w:rFonts w:ascii="Times New Roman" w:hAnsi="Times New Roman" w:cs="Times New Roman"/>
          <w:sz w:val="22"/>
        </w:rPr>
        <w:t>Alamerew</w:t>
      </w:r>
      <w:proofErr w:type="spellEnd"/>
      <w:r>
        <w:rPr>
          <w:rFonts w:ascii="Times New Roman" w:hAnsi="Times New Roman" w:cs="Times New Roman"/>
          <w:sz w:val="22"/>
        </w:rPr>
        <w:t xml:space="preserve">, S., </w:t>
      </w:r>
      <w:proofErr w:type="spellStart"/>
      <w:r>
        <w:rPr>
          <w:rFonts w:ascii="Times New Roman" w:hAnsi="Times New Roman" w:cs="Times New Roman"/>
          <w:sz w:val="22"/>
        </w:rPr>
        <w:t>Eticha</w:t>
      </w:r>
      <w:proofErr w:type="spellEnd"/>
      <w:r>
        <w:rPr>
          <w:rFonts w:ascii="Times New Roman" w:hAnsi="Times New Roman" w:cs="Times New Roman"/>
          <w:sz w:val="22"/>
        </w:rPr>
        <w:t xml:space="preserve">, F., &amp; Assefa, E. (2015). Genetic variability in bread wheat (Triticum </w:t>
      </w:r>
      <w:proofErr w:type="spellStart"/>
      <w:r>
        <w:rPr>
          <w:rFonts w:ascii="Times New Roman" w:hAnsi="Times New Roman" w:cs="Times New Roman"/>
          <w:sz w:val="22"/>
        </w:rPr>
        <w:t>aestivum</w:t>
      </w:r>
      <w:proofErr w:type="spellEnd"/>
      <w:r>
        <w:rPr>
          <w:rFonts w:ascii="Times New Roman" w:hAnsi="Times New Roman" w:cs="Times New Roman"/>
          <w:sz w:val="22"/>
        </w:rPr>
        <w:t xml:space="preserve"> L.) germplasm for yield and yield component traits. Journal of Biology, Agriculture and Healthcare, 5(17), 140–147. </w:t>
      </w:r>
      <w:hyperlink r:id="rId13" w:history="1">
        <w:r>
          <w:rPr>
            <w:rStyle w:val="Hyperlink"/>
            <w:rFonts w:ascii="Times New Roman" w:hAnsi="Times New Roman" w:cs="Times New Roman"/>
            <w:sz w:val="22"/>
          </w:rPr>
          <w:t>http://www.iiste.org/Journals/index.php/JBAH/article/view/25628</w:t>
        </w:r>
      </w:hyperlink>
      <w:r>
        <w:rPr>
          <w:rFonts w:ascii="Times New Roman" w:hAnsi="Times New Roman" w:cs="Times New Roman"/>
          <w:sz w:val="22"/>
        </w:rPr>
        <w:t xml:space="preserve"> </w:t>
      </w:r>
    </w:p>
    <w:p w14:paraId="57661509" w14:textId="77777777" w:rsidR="00A57DED" w:rsidRDefault="00B50F5C">
      <w:pPr>
        <w:spacing w:after="210" w:line="240" w:lineRule="auto"/>
        <w:jc w:val="both"/>
        <w:rPr>
          <w:rFonts w:ascii="Times New Roman" w:hAnsi="Times New Roman" w:cs="Times New Roman"/>
          <w:sz w:val="22"/>
          <w:lang w:val="es-ES"/>
        </w:rPr>
      </w:pPr>
      <w:r>
        <w:rPr>
          <w:rFonts w:ascii="Times New Roman" w:hAnsi="Times New Roman" w:cs="Times New Roman"/>
          <w:sz w:val="22"/>
        </w:rPr>
        <w:t xml:space="preserve">Deepti, B., </w:t>
      </w:r>
      <w:proofErr w:type="spellStart"/>
      <w:r>
        <w:rPr>
          <w:rFonts w:ascii="Times New Roman" w:hAnsi="Times New Roman" w:cs="Times New Roman"/>
          <w:sz w:val="22"/>
        </w:rPr>
        <w:t>Gahalain</w:t>
      </w:r>
      <w:proofErr w:type="spellEnd"/>
      <w:r>
        <w:rPr>
          <w:rFonts w:ascii="Times New Roman" w:hAnsi="Times New Roman" w:cs="Times New Roman"/>
          <w:sz w:val="22"/>
        </w:rPr>
        <w:t xml:space="preserve">, S. S. 2009. Study on genetic variability in wheat germplasm grown in the hills of Uttarakhand. </w:t>
      </w:r>
      <w:proofErr w:type="spellStart"/>
      <w:r>
        <w:rPr>
          <w:rFonts w:ascii="Times New Roman" w:hAnsi="Times New Roman" w:cs="Times New Roman"/>
          <w:sz w:val="22"/>
          <w:lang w:val="es-ES"/>
        </w:rPr>
        <w:t>Vegetos</w:t>
      </w:r>
      <w:proofErr w:type="spellEnd"/>
      <w:r>
        <w:rPr>
          <w:rFonts w:ascii="Times New Roman" w:hAnsi="Times New Roman" w:cs="Times New Roman"/>
          <w:sz w:val="22"/>
          <w:lang w:val="es-ES"/>
        </w:rPr>
        <w:t>, 22(1), 79–85.</w:t>
      </w:r>
    </w:p>
    <w:p w14:paraId="65E2A87F" w14:textId="77777777" w:rsidR="00A57DED" w:rsidRDefault="00B50F5C">
      <w:pPr>
        <w:spacing w:after="210" w:line="240" w:lineRule="auto"/>
        <w:jc w:val="both"/>
        <w:rPr>
          <w:rFonts w:ascii="Times New Roman" w:hAnsi="Times New Roman" w:cs="Times New Roman"/>
          <w:sz w:val="22"/>
          <w:lang w:val="es-ES"/>
        </w:rPr>
      </w:pPr>
      <w:proofErr w:type="spellStart"/>
      <w:r>
        <w:rPr>
          <w:rFonts w:ascii="Times New Roman" w:hAnsi="Times New Roman" w:cs="Times New Roman"/>
          <w:sz w:val="22"/>
          <w:lang w:val="es-ES"/>
        </w:rPr>
        <w:t>Manjunatha</w:t>
      </w:r>
      <w:proofErr w:type="spellEnd"/>
      <w:r>
        <w:rPr>
          <w:rFonts w:ascii="Times New Roman" w:hAnsi="Times New Roman" w:cs="Times New Roman"/>
          <w:sz w:val="22"/>
          <w:lang w:val="es-ES"/>
        </w:rPr>
        <w:t xml:space="preserve">, P. B., </w:t>
      </w:r>
      <w:proofErr w:type="spellStart"/>
      <w:r>
        <w:rPr>
          <w:rFonts w:ascii="Times New Roman" w:hAnsi="Times New Roman" w:cs="Times New Roman"/>
          <w:sz w:val="22"/>
          <w:lang w:val="es-ES"/>
        </w:rPr>
        <w:t>Harisha</w:t>
      </w:r>
      <w:proofErr w:type="spellEnd"/>
      <w:r>
        <w:rPr>
          <w:rFonts w:ascii="Times New Roman" w:hAnsi="Times New Roman" w:cs="Times New Roman"/>
          <w:sz w:val="22"/>
          <w:lang w:val="es-ES"/>
        </w:rPr>
        <w:t xml:space="preserve">, R., </w:t>
      </w:r>
      <w:proofErr w:type="spellStart"/>
      <w:r>
        <w:rPr>
          <w:rFonts w:ascii="Times New Roman" w:hAnsi="Times New Roman" w:cs="Times New Roman"/>
          <w:sz w:val="22"/>
          <w:lang w:val="es-ES"/>
        </w:rPr>
        <w:t>Kohli</w:t>
      </w:r>
      <w:proofErr w:type="spellEnd"/>
      <w:r>
        <w:rPr>
          <w:rFonts w:ascii="Times New Roman" w:hAnsi="Times New Roman" w:cs="Times New Roman"/>
          <w:sz w:val="22"/>
          <w:lang w:val="es-ES"/>
        </w:rPr>
        <w:t xml:space="preserve">, M., </w:t>
      </w:r>
      <w:proofErr w:type="spellStart"/>
      <w:r>
        <w:rPr>
          <w:rFonts w:ascii="Times New Roman" w:hAnsi="Times New Roman" w:cs="Times New Roman"/>
          <w:sz w:val="22"/>
          <w:lang w:val="es-ES"/>
        </w:rPr>
        <w:t>Naik</w:t>
      </w:r>
      <w:proofErr w:type="spellEnd"/>
      <w:r>
        <w:rPr>
          <w:rFonts w:ascii="Times New Roman" w:hAnsi="Times New Roman" w:cs="Times New Roman"/>
          <w:sz w:val="22"/>
          <w:lang w:val="es-ES"/>
        </w:rPr>
        <w:t xml:space="preserve">, P. K., </w:t>
      </w:r>
      <w:proofErr w:type="spellStart"/>
      <w:r>
        <w:rPr>
          <w:rFonts w:ascii="Times New Roman" w:hAnsi="Times New Roman" w:cs="Times New Roman"/>
          <w:sz w:val="22"/>
          <w:lang w:val="es-ES"/>
        </w:rPr>
        <w:t>Sagar</w:t>
      </w:r>
      <w:proofErr w:type="spellEnd"/>
      <w:r>
        <w:rPr>
          <w:rFonts w:ascii="Times New Roman" w:hAnsi="Times New Roman" w:cs="Times New Roman"/>
          <w:sz w:val="22"/>
          <w:lang w:val="es-ES"/>
        </w:rPr>
        <w:t xml:space="preserve">, S. P., </w:t>
      </w:r>
      <w:proofErr w:type="spellStart"/>
      <w:r>
        <w:rPr>
          <w:rFonts w:ascii="Times New Roman" w:hAnsi="Times New Roman" w:cs="Times New Roman"/>
          <w:sz w:val="22"/>
          <w:lang w:val="es-ES"/>
        </w:rPr>
        <w:t>Shashidhar</w:t>
      </w:r>
      <w:proofErr w:type="spellEnd"/>
      <w:r>
        <w:rPr>
          <w:rFonts w:ascii="Times New Roman" w:hAnsi="Times New Roman" w:cs="Times New Roman"/>
          <w:sz w:val="22"/>
          <w:lang w:val="es-ES"/>
        </w:rPr>
        <w:t xml:space="preserve">, B. R., Patel, M. K., </w:t>
      </w:r>
      <w:proofErr w:type="spellStart"/>
      <w:r>
        <w:rPr>
          <w:rFonts w:ascii="Times New Roman" w:hAnsi="Times New Roman" w:cs="Times New Roman"/>
          <w:sz w:val="22"/>
          <w:lang w:val="es-ES"/>
        </w:rPr>
        <w:t>Ganesh</w:t>
      </w:r>
      <w:proofErr w:type="spellEnd"/>
      <w:r>
        <w:rPr>
          <w:rFonts w:ascii="Times New Roman" w:hAnsi="Times New Roman" w:cs="Times New Roman"/>
          <w:sz w:val="22"/>
          <w:lang w:val="es-ES"/>
        </w:rPr>
        <w:t xml:space="preserve">, B. T., </w:t>
      </w:r>
      <w:proofErr w:type="spellStart"/>
      <w:r>
        <w:rPr>
          <w:rFonts w:ascii="Times New Roman" w:hAnsi="Times New Roman" w:cs="Times New Roman"/>
          <w:sz w:val="22"/>
          <w:lang w:val="es-ES"/>
        </w:rPr>
        <w:t>Madhusudhan</w:t>
      </w:r>
      <w:proofErr w:type="spellEnd"/>
      <w:r>
        <w:rPr>
          <w:rFonts w:ascii="Times New Roman" w:hAnsi="Times New Roman" w:cs="Times New Roman"/>
          <w:sz w:val="22"/>
          <w:lang w:val="es-ES"/>
        </w:rPr>
        <w:t xml:space="preserve">, B. S., </w:t>
      </w:r>
      <w:proofErr w:type="spellStart"/>
      <w:r>
        <w:rPr>
          <w:rFonts w:ascii="Times New Roman" w:hAnsi="Times New Roman" w:cs="Times New Roman"/>
          <w:sz w:val="22"/>
          <w:lang w:val="es-ES"/>
        </w:rPr>
        <w:t>Chethan</w:t>
      </w:r>
      <w:proofErr w:type="spellEnd"/>
      <w:r>
        <w:rPr>
          <w:rFonts w:ascii="Times New Roman" w:hAnsi="Times New Roman" w:cs="Times New Roman"/>
          <w:sz w:val="22"/>
          <w:lang w:val="es-ES"/>
        </w:rPr>
        <w:t xml:space="preserve"> Kumar, K. B., </w:t>
      </w:r>
      <w:proofErr w:type="spellStart"/>
      <w:r>
        <w:rPr>
          <w:rFonts w:ascii="Times New Roman" w:hAnsi="Times New Roman" w:cs="Times New Roman"/>
          <w:sz w:val="22"/>
          <w:lang w:val="es-ES"/>
        </w:rPr>
        <w:t>Shahil</w:t>
      </w:r>
      <w:proofErr w:type="spellEnd"/>
      <w:r>
        <w:rPr>
          <w:rFonts w:ascii="Times New Roman" w:hAnsi="Times New Roman" w:cs="Times New Roman"/>
          <w:sz w:val="22"/>
          <w:lang w:val="es-ES"/>
        </w:rPr>
        <w:t xml:space="preserve"> Kumar, </w:t>
      </w:r>
      <w:proofErr w:type="spellStart"/>
      <w:r>
        <w:rPr>
          <w:rFonts w:ascii="Times New Roman" w:hAnsi="Times New Roman" w:cs="Times New Roman"/>
          <w:sz w:val="22"/>
          <w:lang w:val="es-ES"/>
        </w:rPr>
        <w:t>Ragi</w:t>
      </w:r>
      <w:proofErr w:type="spellEnd"/>
      <w:r>
        <w:rPr>
          <w:rFonts w:ascii="Times New Roman" w:hAnsi="Times New Roman" w:cs="Times New Roman"/>
          <w:sz w:val="22"/>
          <w:lang w:val="es-ES"/>
        </w:rPr>
        <w:t xml:space="preserve">, S., </w:t>
      </w:r>
      <w:proofErr w:type="spellStart"/>
      <w:r>
        <w:rPr>
          <w:rFonts w:ascii="Times New Roman" w:hAnsi="Times New Roman" w:cs="Times New Roman"/>
          <w:sz w:val="22"/>
          <w:lang w:val="es-ES"/>
        </w:rPr>
        <w:t>Patil</w:t>
      </w:r>
      <w:proofErr w:type="spellEnd"/>
      <w:r>
        <w:rPr>
          <w:rFonts w:ascii="Times New Roman" w:hAnsi="Times New Roman" w:cs="Times New Roman"/>
          <w:sz w:val="22"/>
          <w:lang w:val="es-ES"/>
        </w:rPr>
        <w:t xml:space="preserve">, S., &amp; </w:t>
      </w:r>
      <w:proofErr w:type="spellStart"/>
      <w:r>
        <w:rPr>
          <w:rFonts w:ascii="Times New Roman" w:hAnsi="Times New Roman" w:cs="Times New Roman"/>
          <w:sz w:val="22"/>
          <w:lang w:val="es-ES"/>
        </w:rPr>
        <w:t>Gowda</w:t>
      </w:r>
      <w:proofErr w:type="spellEnd"/>
      <w:r>
        <w:rPr>
          <w:rFonts w:ascii="Times New Roman" w:hAnsi="Times New Roman" w:cs="Times New Roman"/>
          <w:sz w:val="22"/>
          <w:lang w:val="es-ES"/>
        </w:rPr>
        <w:t xml:space="preserve">, M. M. (2023). </w:t>
      </w:r>
      <w:proofErr w:type="spellStart"/>
      <w:r>
        <w:rPr>
          <w:rFonts w:ascii="Times New Roman" w:hAnsi="Times New Roman" w:cs="Times New Roman"/>
          <w:sz w:val="22"/>
          <w:lang w:val="es-ES"/>
        </w:rPr>
        <w:t>Exploring</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the</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world</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of</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mungbean</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Uncovering</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its</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origins</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taxonomy</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genetic</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resources</w:t>
      </w:r>
      <w:proofErr w:type="spellEnd"/>
      <w:r>
        <w:rPr>
          <w:rFonts w:ascii="Times New Roman" w:hAnsi="Times New Roman" w:cs="Times New Roman"/>
          <w:sz w:val="22"/>
          <w:lang w:val="es-ES"/>
        </w:rPr>
        <w:t xml:space="preserve"> and </w:t>
      </w:r>
      <w:proofErr w:type="spellStart"/>
      <w:r>
        <w:rPr>
          <w:rFonts w:ascii="Times New Roman" w:hAnsi="Times New Roman" w:cs="Times New Roman"/>
          <w:sz w:val="22"/>
          <w:lang w:val="es-ES"/>
        </w:rPr>
        <w:t>research</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approaches</w:t>
      </w:r>
      <w:proofErr w:type="spellEnd"/>
      <w:r>
        <w:rPr>
          <w:rFonts w:ascii="Times New Roman" w:hAnsi="Times New Roman" w:cs="Times New Roman"/>
          <w:sz w:val="22"/>
          <w:lang w:val="es-ES"/>
        </w:rPr>
        <w:t xml:space="preserve">. International </w:t>
      </w:r>
      <w:proofErr w:type="spellStart"/>
      <w:r>
        <w:rPr>
          <w:rFonts w:ascii="Times New Roman" w:hAnsi="Times New Roman" w:cs="Times New Roman"/>
          <w:sz w:val="22"/>
          <w:lang w:val="es-ES"/>
        </w:rPr>
        <w:t>Journal</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of</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Plant</w:t>
      </w:r>
      <w:proofErr w:type="spellEnd"/>
      <w:r>
        <w:rPr>
          <w:rFonts w:ascii="Times New Roman" w:hAnsi="Times New Roman" w:cs="Times New Roman"/>
          <w:sz w:val="22"/>
          <w:lang w:val="es-ES"/>
        </w:rPr>
        <w:t xml:space="preserve"> &amp; </w:t>
      </w:r>
      <w:proofErr w:type="spellStart"/>
      <w:r>
        <w:rPr>
          <w:rFonts w:ascii="Times New Roman" w:hAnsi="Times New Roman" w:cs="Times New Roman"/>
          <w:sz w:val="22"/>
          <w:lang w:val="es-ES"/>
        </w:rPr>
        <w:t>Soil</w:t>
      </w:r>
      <w:proofErr w:type="spellEnd"/>
      <w:r>
        <w:rPr>
          <w:rFonts w:ascii="Times New Roman" w:hAnsi="Times New Roman" w:cs="Times New Roman"/>
          <w:sz w:val="22"/>
          <w:lang w:val="es-ES"/>
        </w:rPr>
        <w:t xml:space="preserve"> </w:t>
      </w:r>
      <w:proofErr w:type="spellStart"/>
      <w:r>
        <w:rPr>
          <w:rFonts w:ascii="Times New Roman" w:hAnsi="Times New Roman" w:cs="Times New Roman"/>
          <w:sz w:val="22"/>
          <w:lang w:val="es-ES"/>
        </w:rPr>
        <w:t>Science</w:t>
      </w:r>
      <w:proofErr w:type="spellEnd"/>
      <w:r>
        <w:rPr>
          <w:rFonts w:ascii="Times New Roman" w:hAnsi="Times New Roman" w:cs="Times New Roman"/>
          <w:sz w:val="22"/>
          <w:lang w:val="es-ES"/>
        </w:rPr>
        <w:t xml:space="preserve">, 35(20), 614-635. </w:t>
      </w:r>
      <w:hyperlink r:id="rId14" w:history="1">
        <w:r>
          <w:rPr>
            <w:rStyle w:val="Hyperlink"/>
            <w:rFonts w:ascii="Times New Roman" w:hAnsi="Times New Roman" w:cs="Times New Roman"/>
            <w:sz w:val="22"/>
            <w:lang w:val="es-ES"/>
          </w:rPr>
          <w:t>https://doi.org/10.9734/ijpss/2023/v35i203846</w:t>
        </w:r>
      </w:hyperlink>
      <w:r>
        <w:rPr>
          <w:rFonts w:ascii="Times New Roman" w:hAnsi="Times New Roman" w:cs="Times New Roman"/>
          <w:sz w:val="22"/>
          <w:lang w:val="es-ES"/>
        </w:rPr>
        <w:t xml:space="preserve"> </w:t>
      </w:r>
    </w:p>
    <w:p w14:paraId="125E5FED" w14:textId="77777777" w:rsidR="00A57DED" w:rsidRDefault="00B50F5C">
      <w:pPr>
        <w:spacing w:line="240" w:lineRule="auto"/>
        <w:jc w:val="both"/>
        <w:rPr>
          <w:rFonts w:ascii="Times New Roman" w:hAnsi="Times New Roman" w:cs="Times New Roman"/>
          <w:sz w:val="22"/>
        </w:rPr>
      </w:pPr>
      <w:r>
        <w:rPr>
          <w:rFonts w:ascii="Times New Roman" w:hAnsi="Times New Roman" w:cs="Times New Roman"/>
          <w:sz w:val="22"/>
        </w:rPr>
        <w:t xml:space="preserve">Meena, V. K., Meena, V. S., Kumar, S., </w:t>
      </w:r>
      <w:proofErr w:type="spellStart"/>
      <w:r>
        <w:rPr>
          <w:rFonts w:ascii="Times New Roman" w:hAnsi="Times New Roman" w:cs="Times New Roman"/>
          <w:sz w:val="22"/>
        </w:rPr>
        <w:t>Shekhawat</w:t>
      </w:r>
      <w:proofErr w:type="spellEnd"/>
      <w:r>
        <w:rPr>
          <w:rFonts w:ascii="Times New Roman" w:hAnsi="Times New Roman" w:cs="Times New Roman"/>
          <w:sz w:val="22"/>
        </w:rPr>
        <w:t xml:space="preserve">, H. S., Choudhary, K., Sharma, J. K., &amp; </w:t>
      </w:r>
      <w:proofErr w:type="spellStart"/>
      <w:r>
        <w:rPr>
          <w:rFonts w:ascii="Times New Roman" w:hAnsi="Times New Roman" w:cs="Times New Roman"/>
          <w:sz w:val="22"/>
        </w:rPr>
        <w:t>Kumawat</w:t>
      </w:r>
      <w:proofErr w:type="spellEnd"/>
      <w:r>
        <w:rPr>
          <w:rFonts w:ascii="Times New Roman" w:hAnsi="Times New Roman" w:cs="Times New Roman"/>
          <w:sz w:val="22"/>
        </w:rPr>
        <w:t xml:space="preserve">, S. (2025). Integrating multi-traits mixed model and multivariate statistics for genetic diversity assessment in </w:t>
      </w:r>
      <w:proofErr w:type="spellStart"/>
      <w:r>
        <w:rPr>
          <w:rFonts w:ascii="Times New Roman" w:hAnsi="Times New Roman" w:cs="Times New Roman"/>
          <w:sz w:val="22"/>
        </w:rPr>
        <w:t>mungbean</w:t>
      </w:r>
      <w:proofErr w:type="spellEnd"/>
      <w:r>
        <w:rPr>
          <w:rFonts w:ascii="Times New Roman" w:hAnsi="Times New Roman" w:cs="Times New Roman"/>
          <w:sz w:val="22"/>
        </w:rPr>
        <w:t xml:space="preserve"> (Vigna radiata L.). Genetic Resources and Crop Evolution, 72(8), 10489-10511. </w:t>
      </w:r>
      <w:hyperlink r:id="rId15" w:history="1">
        <w:r>
          <w:rPr>
            <w:rStyle w:val="Hyperlink"/>
            <w:rFonts w:ascii="Times New Roman" w:hAnsi="Times New Roman" w:cs="Times New Roman"/>
            <w:sz w:val="22"/>
          </w:rPr>
          <w:t>https://doi.org/10.1007/s10722-025-02573-y</w:t>
        </w:r>
      </w:hyperlink>
      <w:r>
        <w:rPr>
          <w:rFonts w:ascii="Times New Roman" w:hAnsi="Times New Roman" w:cs="Times New Roman"/>
          <w:sz w:val="22"/>
        </w:rPr>
        <w:t xml:space="preserve"> </w:t>
      </w:r>
    </w:p>
    <w:p w14:paraId="714D9AF4" w14:textId="77777777" w:rsidR="00A57DED" w:rsidRDefault="00B50F5C">
      <w:pPr>
        <w:spacing w:line="240" w:lineRule="auto"/>
        <w:jc w:val="both"/>
        <w:rPr>
          <w:rFonts w:ascii="Times New Roman" w:hAnsi="Times New Roman" w:cs="Times New Roman"/>
          <w:sz w:val="22"/>
        </w:rPr>
      </w:pPr>
      <w:r>
        <w:rPr>
          <w:rFonts w:ascii="Times New Roman" w:hAnsi="Times New Roman" w:cs="Times New Roman"/>
          <w:sz w:val="22"/>
        </w:rPr>
        <w:t xml:space="preserve">Meena, V. K., Sharma, R. K., Chand, S., Kumar, M., Kumar, N., Jain, N., &amp; Singh, A. (2022). Elucidating molecular diversity in spring wheat (Triticum </w:t>
      </w:r>
      <w:proofErr w:type="spellStart"/>
      <w:r>
        <w:rPr>
          <w:rFonts w:ascii="Times New Roman" w:hAnsi="Times New Roman" w:cs="Times New Roman"/>
          <w:sz w:val="22"/>
        </w:rPr>
        <w:t>aestivum</w:t>
      </w:r>
      <w:proofErr w:type="spellEnd"/>
      <w:r>
        <w:rPr>
          <w:rFonts w:ascii="Times New Roman" w:hAnsi="Times New Roman" w:cs="Times New Roman"/>
          <w:sz w:val="22"/>
        </w:rPr>
        <w:t xml:space="preserve"> L. </w:t>
      </w:r>
      <w:proofErr w:type="spellStart"/>
      <w:r>
        <w:rPr>
          <w:rFonts w:ascii="Times New Roman" w:hAnsi="Times New Roman" w:cs="Times New Roman"/>
          <w:sz w:val="22"/>
        </w:rPr>
        <w:t>em</w:t>
      </w:r>
      <w:proofErr w:type="spellEnd"/>
      <w:r>
        <w:rPr>
          <w:rFonts w:ascii="Times New Roman" w:hAnsi="Times New Roman" w:cs="Times New Roman"/>
          <w:sz w:val="22"/>
        </w:rPr>
        <w:t xml:space="preserve">. </w:t>
      </w:r>
      <w:proofErr w:type="spellStart"/>
      <w:r>
        <w:rPr>
          <w:rFonts w:ascii="Times New Roman" w:hAnsi="Times New Roman" w:cs="Times New Roman"/>
          <w:sz w:val="22"/>
        </w:rPr>
        <w:t>Thell</w:t>
      </w:r>
      <w:proofErr w:type="spellEnd"/>
      <w:r>
        <w:rPr>
          <w:rFonts w:ascii="Times New Roman" w:hAnsi="Times New Roman" w:cs="Times New Roman"/>
          <w:sz w:val="22"/>
        </w:rPr>
        <w:t xml:space="preserve">.) under terminal heat stress environment using morpho-physiological traits and SSR markers. Indian J. Genet. Plant Breed, 82(1), 47-55. </w:t>
      </w:r>
      <w:hyperlink r:id="rId16" w:history="1">
        <w:r>
          <w:rPr>
            <w:rStyle w:val="Hyperlink"/>
            <w:rFonts w:ascii="Times New Roman" w:hAnsi="Times New Roman" w:cs="Times New Roman"/>
            <w:sz w:val="22"/>
          </w:rPr>
          <w:t>https://epubs.icar.org.in/index.php/IJGPB/article/view/120000</w:t>
        </w:r>
      </w:hyperlink>
      <w:r>
        <w:rPr>
          <w:rFonts w:ascii="Times New Roman" w:hAnsi="Times New Roman" w:cs="Times New Roman"/>
          <w:sz w:val="22"/>
        </w:rPr>
        <w:t xml:space="preserve"> </w:t>
      </w:r>
    </w:p>
    <w:p w14:paraId="1F0C7208" w14:textId="77777777" w:rsidR="00A57DED" w:rsidRDefault="00B50F5C">
      <w:pPr>
        <w:spacing w:after="210" w:line="240" w:lineRule="auto"/>
        <w:jc w:val="both"/>
        <w:rPr>
          <w:rFonts w:ascii="Times New Roman" w:hAnsi="Times New Roman" w:cs="Times New Roman"/>
          <w:sz w:val="22"/>
        </w:rPr>
      </w:pPr>
      <w:r>
        <w:rPr>
          <w:rFonts w:ascii="Times New Roman" w:hAnsi="Times New Roman" w:cs="Times New Roman"/>
          <w:sz w:val="22"/>
        </w:rPr>
        <w:t xml:space="preserve">Meena, V. K., Sharma, R. K., Chand, S., Kumar, S., &amp; Choudhary, K. (2025). Comparative study of stability models for identifying stable spring wheat genotypes in diverse conditions. Discover Agriculture, 3(1), 1-24. </w:t>
      </w:r>
      <w:hyperlink r:id="rId17" w:history="1">
        <w:r>
          <w:rPr>
            <w:rStyle w:val="Hyperlink"/>
            <w:rFonts w:ascii="Times New Roman" w:hAnsi="Times New Roman" w:cs="Times New Roman"/>
            <w:sz w:val="22"/>
          </w:rPr>
          <w:t>https://doi.org/10.1007/s44279-025-00167-x</w:t>
        </w:r>
      </w:hyperlink>
      <w:r>
        <w:rPr>
          <w:rFonts w:ascii="Times New Roman" w:hAnsi="Times New Roman" w:cs="Times New Roman"/>
          <w:sz w:val="22"/>
        </w:rPr>
        <w:t xml:space="preserve"> </w:t>
      </w:r>
    </w:p>
    <w:p w14:paraId="6A44FD92" w14:textId="77777777" w:rsidR="00A57DED" w:rsidRDefault="00B50F5C">
      <w:pPr>
        <w:spacing w:line="240" w:lineRule="auto"/>
        <w:jc w:val="both"/>
        <w:rPr>
          <w:rFonts w:ascii="Times New Roman" w:hAnsi="Times New Roman" w:cs="Times New Roman"/>
          <w:sz w:val="22"/>
        </w:rPr>
      </w:pPr>
      <w:r>
        <w:rPr>
          <w:rFonts w:ascii="Times New Roman" w:hAnsi="Times New Roman" w:cs="Times New Roman"/>
          <w:sz w:val="22"/>
        </w:rPr>
        <w:t xml:space="preserve">Ministry of Agriculture and Farmers' Welfare, Government of India. (2024, September 25). *Final Estimates of production of Major Agricultural Crops for the year 2023-24*. Press Information Bureau (PIB). </w:t>
      </w:r>
    </w:p>
    <w:p w14:paraId="5F5F7CBE" w14:textId="77777777" w:rsidR="00A57DED" w:rsidRDefault="00B50F5C">
      <w:pPr>
        <w:spacing w:line="240" w:lineRule="auto"/>
        <w:jc w:val="both"/>
        <w:rPr>
          <w:rFonts w:ascii="Times New Roman" w:hAnsi="Times New Roman" w:cs="Times New Roman"/>
          <w:sz w:val="22"/>
        </w:rPr>
      </w:pPr>
      <w:r>
        <w:rPr>
          <w:rFonts w:ascii="Times New Roman" w:hAnsi="Times New Roman" w:cs="Times New Roman"/>
          <w:sz w:val="22"/>
        </w:rPr>
        <w:lastRenderedPageBreak/>
        <w:t xml:space="preserve">Patel, M. K., Singh, D., Sharma, V., Tiwari, D., Ola, M. P., Kumar, S., &amp; Saroj, R. (2023). Stability analysis in sesame (Sesamum </w:t>
      </w:r>
      <w:proofErr w:type="spellStart"/>
      <w:r>
        <w:rPr>
          <w:rFonts w:ascii="Times New Roman" w:hAnsi="Times New Roman" w:cs="Times New Roman"/>
          <w:sz w:val="22"/>
        </w:rPr>
        <w:t>indicum</w:t>
      </w:r>
      <w:proofErr w:type="spellEnd"/>
      <w:r>
        <w:rPr>
          <w:rFonts w:ascii="Times New Roman" w:hAnsi="Times New Roman" w:cs="Times New Roman"/>
          <w:sz w:val="22"/>
        </w:rPr>
        <w:t xml:space="preserve"> L.) under different Doses of Fertilizers. Biological Forum – An International Journal, 15(2), 365-370. </w:t>
      </w:r>
      <w:hyperlink r:id="rId18" w:history="1">
        <w:r>
          <w:rPr>
            <w:rStyle w:val="Hyperlink"/>
            <w:rFonts w:ascii="Times New Roman" w:hAnsi="Times New Roman" w:cs="Times New Roman"/>
            <w:sz w:val="22"/>
          </w:rPr>
          <w:t>https://www.researchtrend.net/bfij/bfij_v15n2_2023/365-370.pdf</w:t>
        </w:r>
      </w:hyperlink>
      <w:r>
        <w:rPr>
          <w:rFonts w:ascii="Times New Roman" w:hAnsi="Times New Roman" w:cs="Times New Roman"/>
          <w:sz w:val="22"/>
        </w:rPr>
        <w:t xml:space="preserve"> </w:t>
      </w:r>
    </w:p>
    <w:p w14:paraId="40982974" w14:textId="77777777" w:rsidR="00A57DED" w:rsidRDefault="00B50F5C">
      <w:pPr>
        <w:jc w:val="both"/>
        <w:rPr>
          <w:rFonts w:ascii="Times New Roman" w:hAnsi="Times New Roman" w:cs="Times New Roman"/>
          <w:sz w:val="22"/>
        </w:rPr>
      </w:pPr>
      <w:r>
        <w:rPr>
          <w:rFonts w:ascii="Times New Roman" w:hAnsi="Times New Roman" w:cs="Times New Roman"/>
          <w:sz w:val="22"/>
        </w:rPr>
        <w:t xml:space="preserve">Patel, M. K., Tiwari, D., Sharma, V., Singh, D., &amp; Kumar, S. (2024). Unraveling diversity and character association in sesame (Sesamum </w:t>
      </w:r>
      <w:proofErr w:type="spellStart"/>
      <w:r>
        <w:rPr>
          <w:rFonts w:ascii="Times New Roman" w:hAnsi="Times New Roman" w:cs="Times New Roman"/>
          <w:sz w:val="22"/>
        </w:rPr>
        <w:t>indicum</w:t>
      </w:r>
      <w:proofErr w:type="spellEnd"/>
      <w:r>
        <w:rPr>
          <w:rFonts w:ascii="Times New Roman" w:hAnsi="Times New Roman" w:cs="Times New Roman"/>
          <w:sz w:val="22"/>
        </w:rPr>
        <w:t xml:space="preserve"> L.) using different </w:t>
      </w:r>
      <w:proofErr w:type="spellStart"/>
      <w:r>
        <w:rPr>
          <w:rFonts w:ascii="Times New Roman" w:hAnsi="Times New Roman" w:cs="Times New Roman"/>
          <w:sz w:val="22"/>
        </w:rPr>
        <w:t>agro</w:t>
      </w:r>
      <w:proofErr w:type="spellEnd"/>
      <w:r>
        <w:rPr>
          <w:rFonts w:ascii="Times New Roman" w:hAnsi="Times New Roman" w:cs="Times New Roman"/>
          <w:sz w:val="22"/>
        </w:rPr>
        <w:t xml:space="preserve">-morphological traits. Environment and Ecology, 42(1), 109-115. </w:t>
      </w:r>
      <w:hyperlink r:id="rId19" w:history="1">
        <w:r>
          <w:rPr>
            <w:rStyle w:val="Hyperlink"/>
            <w:rFonts w:ascii="Times New Roman" w:hAnsi="Times New Roman" w:cs="Times New Roman"/>
            <w:sz w:val="22"/>
          </w:rPr>
          <w:t>https://doi.org/10.60151/envec/TITS4118</w:t>
        </w:r>
      </w:hyperlink>
      <w:r>
        <w:rPr>
          <w:rFonts w:ascii="Times New Roman" w:hAnsi="Times New Roman" w:cs="Times New Roman"/>
          <w:sz w:val="22"/>
        </w:rPr>
        <w:t xml:space="preserve"> </w:t>
      </w:r>
    </w:p>
    <w:p w14:paraId="1B852B31" w14:textId="77777777" w:rsidR="00A57DED" w:rsidRDefault="00A57DED">
      <w:pPr>
        <w:jc w:val="both"/>
        <w:rPr>
          <w:rFonts w:ascii="Times New Roman" w:hAnsi="Times New Roman" w:cs="Times New Roman"/>
          <w:sz w:val="22"/>
        </w:rPr>
      </w:pPr>
    </w:p>
    <w:p w14:paraId="4190C655" w14:textId="77777777" w:rsidR="00A57DED" w:rsidRDefault="00A57DED">
      <w:pPr>
        <w:jc w:val="both"/>
        <w:rPr>
          <w:rFonts w:ascii="Times New Roman" w:hAnsi="Times New Roman" w:cs="Times New Roman"/>
          <w:sz w:val="22"/>
        </w:rPr>
      </w:pPr>
    </w:p>
    <w:p w14:paraId="7515DA85" w14:textId="77777777" w:rsidR="00A57DED" w:rsidRDefault="00B50F5C">
      <w:pPr>
        <w:spacing w:before="240" w:line="271" w:lineRule="auto"/>
        <w:jc w:val="both"/>
        <w:rPr>
          <w:rFonts w:ascii="Times New Roman" w:hAnsi="Times New Roman" w:cs="Times New Roman"/>
          <w:sz w:val="22"/>
        </w:rPr>
      </w:pPr>
      <w:bookmarkStart w:id="30" w:name="supplementary_materials"/>
      <w:r>
        <w:rPr>
          <w:rFonts w:ascii="Times New Roman" w:hAnsi="Times New Roman" w:cs="Times New Roman"/>
          <w:b/>
          <w:sz w:val="22"/>
        </w:rPr>
        <w:t>Supplementary Materials</w:t>
      </w:r>
      <w:bookmarkEnd w:id="30"/>
    </w:p>
    <w:p w14:paraId="626D1B59" w14:textId="77777777" w:rsidR="00A57DED" w:rsidRDefault="00B50F5C">
      <w:pPr>
        <w:spacing w:after="210"/>
        <w:jc w:val="both"/>
        <w:rPr>
          <w:rFonts w:ascii="Times New Roman" w:hAnsi="Times New Roman" w:cs="Times New Roman"/>
          <w:sz w:val="22"/>
        </w:rPr>
      </w:pPr>
      <w:r>
        <w:rPr>
          <w:rFonts w:ascii="Times New Roman" w:hAnsi="Times New Roman" w:cs="Times New Roman"/>
          <w:b/>
          <w:sz w:val="22"/>
        </w:rPr>
        <w:t>Table S1: Genotypes evaluated for genetic variability assessment</w:t>
      </w:r>
      <w:r>
        <w:rPr>
          <w:rFonts w:ascii="Times New Roman" w:hAnsi="Times New Roman" w:cs="Times New Roman"/>
          <w:sz w:val="22"/>
        </w:rPr>
        <w:br/>
        <w:t xml:space="preserve">(List of 40 wheat </w:t>
      </w:r>
      <w:proofErr w:type="gramStart"/>
      <w:r>
        <w:rPr>
          <w:rFonts w:ascii="Times New Roman" w:hAnsi="Times New Roman" w:cs="Times New Roman"/>
          <w:sz w:val="22"/>
        </w:rPr>
        <w:t>genotypes )</w:t>
      </w:r>
      <w:proofErr w:type="gramEnd"/>
    </w:p>
    <w:p w14:paraId="40AE53E6" w14:textId="77777777" w:rsidR="008A6384" w:rsidRDefault="008A6384">
      <w:pPr>
        <w:spacing w:after="210"/>
        <w:jc w:val="both"/>
        <w:rPr>
          <w:sz w:val="20"/>
          <w:szCs w:val="20"/>
        </w:rPr>
      </w:pPr>
      <w:r>
        <w:fldChar w:fldCharType="begin"/>
      </w:r>
      <w:r>
        <w:instrText xml:space="preserve"> LINK Excel.Sheet.12 "D:\\Books CP\\Thesis matter\\Thessis\\Thesis Papers\\Prashant Vikram\\Micronutrient Complete Table.xlsx" "Sheet1!R1C1:R8C3" \a \f 4 \h </w:instrText>
      </w:r>
      <w:r>
        <w:fldChar w:fldCharType="separate"/>
      </w:r>
    </w:p>
    <w:tbl>
      <w:tblPr>
        <w:tblW w:w="9660" w:type="dxa"/>
        <w:tblLook w:val="04A0" w:firstRow="1" w:lastRow="0" w:firstColumn="1" w:lastColumn="0" w:noHBand="0" w:noVBand="1"/>
      </w:tblPr>
      <w:tblGrid>
        <w:gridCol w:w="1400"/>
        <w:gridCol w:w="3400"/>
        <w:gridCol w:w="4860"/>
      </w:tblGrid>
      <w:tr w:rsidR="008A6384" w:rsidRPr="008A6384" w14:paraId="2A027BD3" w14:textId="77777777" w:rsidTr="008A6384">
        <w:trPr>
          <w:trHeight w:val="315"/>
        </w:trPr>
        <w:tc>
          <w:tcPr>
            <w:tcW w:w="14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E61F1" w14:textId="136C66BE" w:rsidR="008A6384" w:rsidRPr="008A6384" w:rsidRDefault="008A6384" w:rsidP="008A6384">
            <w:pPr>
              <w:spacing w:after="0" w:line="240" w:lineRule="auto"/>
              <w:jc w:val="both"/>
              <w:rPr>
                <w:rFonts w:ascii="Times New Roman" w:eastAsia="Times New Roman" w:hAnsi="Times New Roman" w:cs="Times New Roman"/>
                <w:b/>
                <w:bCs/>
                <w:color w:val="000000"/>
                <w:sz w:val="24"/>
                <w:szCs w:val="24"/>
              </w:rPr>
            </w:pPr>
            <w:r w:rsidRPr="008A6384">
              <w:rPr>
                <w:rFonts w:ascii="Times New Roman" w:eastAsia="Times New Roman" w:hAnsi="Times New Roman" w:cs="Times New Roman"/>
                <w:b/>
                <w:bCs/>
                <w:color w:val="000000"/>
                <w:sz w:val="24"/>
                <w:szCs w:val="24"/>
              </w:rPr>
              <w:t>Series</w:t>
            </w:r>
          </w:p>
        </w:tc>
        <w:tc>
          <w:tcPr>
            <w:tcW w:w="3400" w:type="dxa"/>
            <w:tcBorders>
              <w:top w:val="single" w:sz="8" w:space="0" w:color="000000"/>
              <w:left w:val="nil"/>
              <w:bottom w:val="single" w:sz="8" w:space="0" w:color="000000"/>
              <w:right w:val="single" w:sz="8" w:space="0" w:color="000000"/>
            </w:tcBorders>
            <w:shd w:val="clear" w:color="auto" w:fill="auto"/>
            <w:vAlign w:val="center"/>
            <w:hideMark/>
          </w:tcPr>
          <w:p w14:paraId="1910343E" w14:textId="77777777" w:rsidR="008A6384" w:rsidRPr="008A6384" w:rsidRDefault="008A6384" w:rsidP="008A6384">
            <w:pPr>
              <w:spacing w:after="0" w:line="240" w:lineRule="auto"/>
              <w:jc w:val="both"/>
              <w:rPr>
                <w:rFonts w:ascii="Times New Roman" w:eastAsia="Times New Roman" w:hAnsi="Times New Roman" w:cs="Times New Roman"/>
                <w:b/>
                <w:bCs/>
                <w:color w:val="000000"/>
                <w:sz w:val="24"/>
                <w:szCs w:val="24"/>
              </w:rPr>
            </w:pPr>
            <w:r w:rsidRPr="008A6384">
              <w:rPr>
                <w:rFonts w:ascii="Times New Roman" w:eastAsia="Times New Roman" w:hAnsi="Times New Roman" w:cs="Times New Roman"/>
                <w:b/>
                <w:bCs/>
                <w:color w:val="000000"/>
                <w:sz w:val="24"/>
                <w:szCs w:val="24"/>
              </w:rPr>
              <w:t>Genotypes</w:t>
            </w:r>
          </w:p>
        </w:tc>
        <w:tc>
          <w:tcPr>
            <w:tcW w:w="4860" w:type="dxa"/>
            <w:tcBorders>
              <w:top w:val="single" w:sz="8" w:space="0" w:color="000000"/>
              <w:left w:val="nil"/>
              <w:bottom w:val="single" w:sz="8" w:space="0" w:color="000000"/>
              <w:right w:val="single" w:sz="8" w:space="0" w:color="000000"/>
            </w:tcBorders>
            <w:shd w:val="clear" w:color="auto" w:fill="auto"/>
            <w:vAlign w:val="center"/>
            <w:hideMark/>
          </w:tcPr>
          <w:p w14:paraId="1DB0FDBA" w14:textId="77777777" w:rsidR="008A6384" w:rsidRPr="008A6384" w:rsidRDefault="008A6384" w:rsidP="008A6384">
            <w:pPr>
              <w:spacing w:after="0" w:line="240" w:lineRule="auto"/>
              <w:jc w:val="both"/>
              <w:rPr>
                <w:rFonts w:ascii="Times New Roman" w:eastAsia="Times New Roman" w:hAnsi="Times New Roman" w:cs="Times New Roman"/>
                <w:b/>
                <w:bCs/>
                <w:color w:val="000000"/>
                <w:sz w:val="24"/>
                <w:szCs w:val="24"/>
              </w:rPr>
            </w:pPr>
            <w:r w:rsidRPr="008A6384">
              <w:rPr>
                <w:rFonts w:ascii="Times New Roman" w:eastAsia="Times New Roman" w:hAnsi="Times New Roman" w:cs="Times New Roman"/>
                <w:b/>
                <w:bCs/>
                <w:color w:val="000000"/>
                <w:sz w:val="24"/>
                <w:szCs w:val="24"/>
              </w:rPr>
              <w:t>Special Characteristics</w:t>
            </w:r>
          </w:p>
        </w:tc>
      </w:tr>
      <w:tr w:rsidR="008A6384" w:rsidRPr="008A6384" w14:paraId="7FE1E262" w14:textId="77777777" w:rsidTr="008A6384">
        <w:trPr>
          <w:trHeight w:val="915"/>
        </w:trPr>
        <w:tc>
          <w:tcPr>
            <w:tcW w:w="1400" w:type="dxa"/>
            <w:tcBorders>
              <w:top w:val="nil"/>
              <w:left w:val="single" w:sz="8" w:space="0" w:color="000000"/>
              <w:bottom w:val="single" w:sz="8" w:space="0" w:color="000000"/>
              <w:right w:val="single" w:sz="8" w:space="0" w:color="000000"/>
            </w:tcBorders>
            <w:shd w:val="clear" w:color="auto" w:fill="auto"/>
            <w:hideMark/>
          </w:tcPr>
          <w:p w14:paraId="3C550A6B"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Raj Series</w:t>
            </w:r>
          </w:p>
        </w:tc>
        <w:tc>
          <w:tcPr>
            <w:tcW w:w="3400" w:type="dxa"/>
            <w:tcBorders>
              <w:top w:val="nil"/>
              <w:left w:val="nil"/>
              <w:bottom w:val="single" w:sz="8" w:space="0" w:color="000000"/>
              <w:right w:val="single" w:sz="8" w:space="0" w:color="000000"/>
            </w:tcBorders>
            <w:shd w:val="clear" w:color="auto" w:fill="auto"/>
            <w:hideMark/>
          </w:tcPr>
          <w:p w14:paraId="257D90A0"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Raj 3077, Raj 3765, Raj 3777, Raj 4027, Raj 4037, Raj 4098, Raj 4136, Raj 4137</w:t>
            </w:r>
          </w:p>
        </w:tc>
        <w:tc>
          <w:tcPr>
            <w:tcW w:w="4860" w:type="dxa"/>
            <w:tcBorders>
              <w:top w:val="nil"/>
              <w:left w:val="nil"/>
              <w:bottom w:val="single" w:sz="8" w:space="0" w:color="000000"/>
              <w:right w:val="single" w:sz="8" w:space="0" w:color="000000"/>
            </w:tcBorders>
            <w:shd w:val="clear" w:color="auto" w:fill="auto"/>
            <w:hideMark/>
          </w:tcPr>
          <w:p w14:paraId="5D22173A"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Released varieties, high yield, moderate micronutrient content</w:t>
            </w:r>
          </w:p>
        </w:tc>
      </w:tr>
      <w:tr w:rsidR="008A6384" w:rsidRPr="008A6384" w14:paraId="2BA0A078" w14:textId="77777777" w:rsidTr="008A6384">
        <w:trPr>
          <w:trHeight w:val="630"/>
        </w:trPr>
        <w:tc>
          <w:tcPr>
            <w:tcW w:w="1400" w:type="dxa"/>
            <w:tcBorders>
              <w:top w:val="nil"/>
              <w:left w:val="single" w:sz="8" w:space="0" w:color="000000"/>
              <w:bottom w:val="single" w:sz="8" w:space="0" w:color="000000"/>
              <w:right w:val="single" w:sz="8" w:space="0" w:color="000000"/>
            </w:tcBorders>
            <w:shd w:val="clear" w:color="auto" w:fill="auto"/>
            <w:hideMark/>
          </w:tcPr>
          <w:p w14:paraId="17B6D366"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K Series</w:t>
            </w:r>
          </w:p>
        </w:tc>
        <w:tc>
          <w:tcPr>
            <w:tcW w:w="3400" w:type="dxa"/>
            <w:tcBorders>
              <w:top w:val="nil"/>
              <w:left w:val="nil"/>
              <w:bottom w:val="single" w:sz="8" w:space="0" w:color="000000"/>
              <w:right w:val="single" w:sz="8" w:space="0" w:color="000000"/>
            </w:tcBorders>
            <w:shd w:val="clear" w:color="auto" w:fill="auto"/>
            <w:hideMark/>
          </w:tcPr>
          <w:p w14:paraId="5BD8A507"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K 8551, K 9305, K 9507, K 9703, K 9904</w:t>
            </w:r>
          </w:p>
        </w:tc>
        <w:tc>
          <w:tcPr>
            <w:tcW w:w="4860" w:type="dxa"/>
            <w:tcBorders>
              <w:top w:val="nil"/>
              <w:left w:val="nil"/>
              <w:bottom w:val="single" w:sz="8" w:space="0" w:color="000000"/>
              <w:right w:val="single" w:sz="8" w:space="0" w:color="000000"/>
            </w:tcBorders>
            <w:shd w:val="clear" w:color="auto" w:fill="auto"/>
            <w:hideMark/>
          </w:tcPr>
          <w:p w14:paraId="213FE77E"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Advanced breeding lines, stress tolerance</w:t>
            </w:r>
          </w:p>
        </w:tc>
      </w:tr>
      <w:tr w:rsidR="008A6384" w:rsidRPr="008A6384" w14:paraId="1C20839E" w14:textId="77777777" w:rsidTr="008A6384">
        <w:trPr>
          <w:trHeight w:val="630"/>
        </w:trPr>
        <w:tc>
          <w:tcPr>
            <w:tcW w:w="1400" w:type="dxa"/>
            <w:tcBorders>
              <w:top w:val="nil"/>
              <w:left w:val="single" w:sz="8" w:space="0" w:color="000000"/>
              <w:bottom w:val="single" w:sz="8" w:space="0" w:color="000000"/>
              <w:right w:val="single" w:sz="8" w:space="0" w:color="000000"/>
            </w:tcBorders>
            <w:shd w:val="clear" w:color="auto" w:fill="auto"/>
            <w:hideMark/>
          </w:tcPr>
          <w:p w14:paraId="4C38F150"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UP Series</w:t>
            </w:r>
          </w:p>
        </w:tc>
        <w:tc>
          <w:tcPr>
            <w:tcW w:w="3400" w:type="dxa"/>
            <w:tcBorders>
              <w:top w:val="nil"/>
              <w:left w:val="nil"/>
              <w:bottom w:val="single" w:sz="8" w:space="0" w:color="000000"/>
              <w:right w:val="single" w:sz="8" w:space="0" w:color="000000"/>
            </w:tcBorders>
            <w:shd w:val="clear" w:color="auto" w:fill="auto"/>
            <w:hideMark/>
          </w:tcPr>
          <w:p w14:paraId="3F8E5C1C"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UP 2358, UP 2571, UP 2600, UP 2665</w:t>
            </w:r>
          </w:p>
        </w:tc>
        <w:tc>
          <w:tcPr>
            <w:tcW w:w="4860" w:type="dxa"/>
            <w:tcBorders>
              <w:top w:val="nil"/>
              <w:left w:val="nil"/>
              <w:bottom w:val="single" w:sz="8" w:space="0" w:color="000000"/>
              <w:right w:val="single" w:sz="8" w:space="0" w:color="000000"/>
            </w:tcBorders>
            <w:shd w:val="clear" w:color="auto" w:fill="auto"/>
            <w:hideMark/>
          </w:tcPr>
          <w:p w14:paraId="5370740A"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Productivity focus, variable nutrition</w:t>
            </w:r>
          </w:p>
        </w:tc>
      </w:tr>
      <w:tr w:rsidR="008A6384" w:rsidRPr="008A6384" w14:paraId="0C7B69BE" w14:textId="77777777" w:rsidTr="008A6384">
        <w:trPr>
          <w:trHeight w:val="1260"/>
        </w:trPr>
        <w:tc>
          <w:tcPr>
            <w:tcW w:w="1400" w:type="dxa"/>
            <w:tcBorders>
              <w:top w:val="nil"/>
              <w:left w:val="single" w:sz="8" w:space="0" w:color="000000"/>
              <w:bottom w:val="single" w:sz="8" w:space="0" w:color="000000"/>
              <w:right w:val="single" w:sz="8" w:space="0" w:color="000000"/>
            </w:tcBorders>
            <w:shd w:val="clear" w:color="auto" w:fill="auto"/>
            <w:hideMark/>
          </w:tcPr>
          <w:p w14:paraId="26661207"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GW Series</w:t>
            </w:r>
          </w:p>
        </w:tc>
        <w:tc>
          <w:tcPr>
            <w:tcW w:w="3400" w:type="dxa"/>
            <w:tcBorders>
              <w:top w:val="nil"/>
              <w:left w:val="nil"/>
              <w:bottom w:val="single" w:sz="8" w:space="0" w:color="000000"/>
              <w:right w:val="single" w:sz="8" w:space="0" w:color="000000"/>
            </w:tcBorders>
            <w:shd w:val="clear" w:color="auto" w:fill="auto"/>
            <w:hideMark/>
          </w:tcPr>
          <w:p w14:paraId="34CE50EA"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GW 230, GW 231, GW 273, GW 322, GW 338, GW 347, GW 366, GW 379, GW 387, GW 394, GW 397, GW 9715, GW 496</w:t>
            </w:r>
          </w:p>
        </w:tc>
        <w:tc>
          <w:tcPr>
            <w:tcW w:w="4860" w:type="dxa"/>
            <w:tcBorders>
              <w:top w:val="nil"/>
              <w:left w:val="nil"/>
              <w:bottom w:val="single" w:sz="8" w:space="0" w:color="000000"/>
              <w:right w:val="single" w:sz="8" w:space="0" w:color="000000"/>
            </w:tcBorders>
            <w:shd w:val="clear" w:color="auto" w:fill="auto"/>
            <w:hideMark/>
          </w:tcPr>
          <w:p w14:paraId="6A02E797"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High potential yield, diverse micronutrient profiles</w:t>
            </w:r>
          </w:p>
        </w:tc>
      </w:tr>
      <w:tr w:rsidR="008A6384" w:rsidRPr="008A6384" w14:paraId="1C2D40D1" w14:textId="77777777" w:rsidTr="008A6384">
        <w:trPr>
          <w:trHeight w:val="630"/>
        </w:trPr>
        <w:tc>
          <w:tcPr>
            <w:tcW w:w="1400" w:type="dxa"/>
            <w:tcBorders>
              <w:top w:val="nil"/>
              <w:left w:val="single" w:sz="8" w:space="0" w:color="000000"/>
              <w:bottom w:val="single" w:sz="8" w:space="0" w:color="000000"/>
              <w:right w:val="single" w:sz="8" w:space="0" w:color="000000"/>
            </w:tcBorders>
            <w:shd w:val="clear" w:color="auto" w:fill="auto"/>
            <w:hideMark/>
          </w:tcPr>
          <w:p w14:paraId="75946859"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HD Series</w:t>
            </w:r>
          </w:p>
        </w:tc>
        <w:tc>
          <w:tcPr>
            <w:tcW w:w="3400" w:type="dxa"/>
            <w:tcBorders>
              <w:top w:val="nil"/>
              <w:left w:val="nil"/>
              <w:bottom w:val="single" w:sz="8" w:space="0" w:color="000000"/>
              <w:right w:val="single" w:sz="8" w:space="0" w:color="000000"/>
            </w:tcBorders>
            <w:shd w:val="clear" w:color="auto" w:fill="auto"/>
            <w:hideMark/>
          </w:tcPr>
          <w:p w14:paraId="597425BA"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HD 2189, HD 2687 (Check), HD 2851, HD 2864</w:t>
            </w:r>
          </w:p>
        </w:tc>
        <w:tc>
          <w:tcPr>
            <w:tcW w:w="4860" w:type="dxa"/>
            <w:tcBorders>
              <w:top w:val="nil"/>
              <w:left w:val="nil"/>
              <w:bottom w:val="single" w:sz="8" w:space="0" w:color="000000"/>
              <w:right w:val="single" w:sz="8" w:space="0" w:color="000000"/>
            </w:tcBorders>
            <w:shd w:val="clear" w:color="auto" w:fill="auto"/>
            <w:hideMark/>
          </w:tcPr>
          <w:p w14:paraId="57D8331A"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Check variety (HD 2687), widely adapted</w:t>
            </w:r>
          </w:p>
        </w:tc>
      </w:tr>
      <w:tr w:rsidR="008A6384" w:rsidRPr="008A6384" w14:paraId="3A54A55C" w14:textId="77777777" w:rsidTr="008A6384">
        <w:trPr>
          <w:trHeight w:val="630"/>
        </w:trPr>
        <w:tc>
          <w:tcPr>
            <w:tcW w:w="1400" w:type="dxa"/>
            <w:tcBorders>
              <w:top w:val="nil"/>
              <w:left w:val="single" w:sz="8" w:space="0" w:color="000000"/>
              <w:bottom w:val="single" w:sz="8" w:space="0" w:color="000000"/>
              <w:right w:val="single" w:sz="8" w:space="0" w:color="000000"/>
            </w:tcBorders>
            <w:shd w:val="clear" w:color="auto" w:fill="auto"/>
            <w:hideMark/>
          </w:tcPr>
          <w:p w14:paraId="0F1C59A3"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PBW Series</w:t>
            </w:r>
          </w:p>
        </w:tc>
        <w:tc>
          <w:tcPr>
            <w:tcW w:w="3400" w:type="dxa"/>
            <w:tcBorders>
              <w:top w:val="nil"/>
              <w:left w:val="nil"/>
              <w:bottom w:val="single" w:sz="8" w:space="0" w:color="000000"/>
              <w:right w:val="single" w:sz="8" w:space="0" w:color="000000"/>
            </w:tcBorders>
            <w:shd w:val="clear" w:color="auto" w:fill="auto"/>
            <w:hideMark/>
          </w:tcPr>
          <w:p w14:paraId="4DA76F2C"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PBW 352, PBW 498, PBW 524, PBW 541</w:t>
            </w:r>
          </w:p>
        </w:tc>
        <w:tc>
          <w:tcPr>
            <w:tcW w:w="4860" w:type="dxa"/>
            <w:tcBorders>
              <w:top w:val="nil"/>
              <w:left w:val="nil"/>
              <w:bottom w:val="single" w:sz="8" w:space="0" w:color="000000"/>
              <w:right w:val="single" w:sz="8" w:space="0" w:color="000000"/>
            </w:tcBorders>
            <w:shd w:val="clear" w:color="auto" w:fill="auto"/>
            <w:hideMark/>
          </w:tcPr>
          <w:p w14:paraId="2B60C43A"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Pan-India adaptability</w:t>
            </w:r>
          </w:p>
        </w:tc>
      </w:tr>
      <w:tr w:rsidR="008A6384" w:rsidRPr="008A6384" w14:paraId="2DB50918" w14:textId="77777777" w:rsidTr="008A6384">
        <w:trPr>
          <w:trHeight w:val="315"/>
        </w:trPr>
        <w:tc>
          <w:tcPr>
            <w:tcW w:w="1400" w:type="dxa"/>
            <w:tcBorders>
              <w:top w:val="nil"/>
              <w:left w:val="single" w:sz="8" w:space="0" w:color="000000"/>
              <w:bottom w:val="single" w:sz="8" w:space="0" w:color="000000"/>
              <w:right w:val="single" w:sz="8" w:space="0" w:color="000000"/>
            </w:tcBorders>
            <w:shd w:val="clear" w:color="auto" w:fill="auto"/>
            <w:hideMark/>
          </w:tcPr>
          <w:p w14:paraId="5C588E6A"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LOK Series</w:t>
            </w:r>
          </w:p>
        </w:tc>
        <w:tc>
          <w:tcPr>
            <w:tcW w:w="3400" w:type="dxa"/>
            <w:tcBorders>
              <w:top w:val="nil"/>
              <w:left w:val="nil"/>
              <w:bottom w:val="single" w:sz="8" w:space="0" w:color="000000"/>
              <w:right w:val="single" w:sz="8" w:space="0" w:color="000000"/>
            </w:tcBorders>
            <w:shd w:val="clear" w:color="auto" w:fill="auto"/>
            <w:hideMark/>
          </w:tcPr>
          <w:p w14:paraId="4C5C6A19"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LOK 1</w:t>
            </w:r>
          </w:p>
        </w:tc>
        <w:tc>
          <w:tcPr>
            <w:tcW w:w="4860" w:type="dxa"/>
            <w:tcBorders>
              <w:top w:val="nil"/>
              <w:left w:val="nil"/>
              <w:bottom w:val="single" w:sz="8" w:space="0" w:color="000000"/>
              <w:right w:val="single" w:sz="8" w:space="0" w:color="000000"/>
            </w:tcBorders>
            <w:shd w:val="clear" w:color="auto" w:fill="auto"/>
            <w:hideMark/>
          </w:tcPr>
          <w:p w14:paraId="105F2903" w14:textId="77777777" w:rsidR="008A6384" w:rsidRPr="008A6384" w:rsidRDefault="008A6384" w:rsidP="008A6384">
            <w:pPr>
              <w:spacing w:after="0" w:line="240" w:lineRule="auto"/>
              <w:jc w:val="both"/>
              <w:rPr>
                <w:rFonts w:ascii="Times New Roman" w:eastAsia="Times New Roman" w:hAnsi="Times New Roman" w:cs="Times New Roman"/>
                <w:color w:val="000000"/>
                <w:sz w:val="24"/>
                <w:szCs w:val="24"/>
              </w:rPr>
            </w:pPr>
            <w:r w:rsidRPr="008A6384">
              <w:rPr>
                <w:rFonts w:ascii="Times New Roman" w:eastAsia="Times New Roman" w:hAnsi="Times New Roman" w:cs="Times New Roman"/>
                <w:color w:val="000000"/>
                <w:sz w:val="24"/>
                <w:szCs w:val="24"/>
              </w:rPr>
              <w:t>Local adaptation</w:t>
            </w:r>
          </w:p>
        </w:tc>
      </w:tr>
    </w:tbl>
    <w:p w14:paraId="6AEE82CB" w14:textId="56A8F6E6" w:rsidR="008A6384" w:rsidRDefault="008A6384">
      <w:pPr>
        <w:spacing w:after="210"/>
        <w:jc w:val="both"/>
        <w:rPr>
          <w:rFonts w:ascii="Times New Roman" w:hAnsi="Times New Roman" w:cs="Times New Roman"/>
          <w:b/>
          <w:sz w:val="22"/>
        </w:rPr>
      </w:pPr>
      <w:r>
        <w:rPr>
          <w:rFonts w:ascii="Times New Roman" w:hAnsi="Times New Roman" w:cs="Times New Roman"/>
          <w:b/>
          <w:sz w:val="22"/>
        </w:rPr>
        <w:fldChar w:fldCharType="end"/>
      </w:r>
    </w:p>
    <w:p w14:paraId="7E20DD5C" w14:textId="2D713442" w:rsidR="00A57DED" w:rsidRDefault="00B50F5C">
      <w:pPr>
        <w:spacing w:after="210"/>
        <w:jc w:val="both"/>
        <w:rPr>
          <w:rFonts w:ascii="Times New Roman" w:hAnsi="Times New Roman" w:cs="Times New Roman"/>
          <w:sz w:val="22"/>
        </w:rPr>
      </w:pPr>
      <w:r>
        <w:rPr>
          <w:rFonts w:ascii="Times New Roman" w:hAnsi="Times New Roman" w:cs="Times New Roman"/>
          <w:b/>
          <w:sz w:val="22"/>
        </w:rPr>
        <w:t>Table S2: Environmental conditions for three sowing dates</w:t>
      </w:r>
    </w:p>
    <w:tbl>
      <w:tblPr>
        <w:tblStyle w:val="NormalGrid"/>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96"/>
        <w:gridCol w:w="1304"/>
        <w:gridCol w:w="1733"/>
        <w:gridCol w:w="1388"/>
        <w:gridCol w:w="2663"/>
      </w:tblGrid>
      <w:tr w:rsidR="00A57DED" w14:paraId="612A4A71" w14:textId="77777777" w:rsidTr="008A6384">
        <w:trPr>
          <w:cantSplit/>
          <w:tblCellSpacing w:w="0" w:type="dxa"/>
          <w:jc w:val="center"/>
        </w:trPr>
        <w:tc>
          <w:tcPr>
            <w:tcW w:w="0" w:type="auto"/>
          </w:tcPr>
          <w:p w14:paraId="4DD91446"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Environment</w:t>
            </w:r>
          </w:p>
        </w:tc>
        <w:tc>
          <w:tcPr>
            <w:tcW w:w="0" w:type="auto"/>
          </w:tcPr>
          <w:p w14:paraId="1BEB9307"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Sowing Date</w:t>
            </w:r>
          </w:p>
        </w:tc>
        <w:tc>
          <w:tcPr>
            <w:tcW w:w="0" w:type="auto"/>
          </w:tcPr>
          <w:p w14:paraId="377445F7" w14:textId="77777777" w:rsidR="00A57DED" w:rsidRDefault="00B50F5C">
            <w:pPr>
              <w:spacing w:after="0" w:line="240" w:lineRule="auto"/>
              <w:jc w:val="both"/>
              <w:rPr>
                <w:rFonts w:ascii="Times New Roman" w:hAnsi="Times New Roman" w:cs="Times New Roman"/>
                <w:sz w:val="22"/>
              </w:rPr>
            </w:pPr>
            <w:r>
              <w:rPr>
                <w:rFonts w:ascii="Times New Roman" w:eastAsia="Georgia" w:hAnsi="Times New Roman" w:cs="Times New Roman"/>
                <w:sz w:val="22"/>
              </w:rPr>
              <w:t>Temperature (°C)</w:t>
            </w:r>
          </w:p>
        </w:tc>
        <w:tc>
          <w:tcPr>
            <w:tcW w:w="0" w:type="auto"/>
          </w:tcPr>
          <w:p w14:paraId="02ACE715"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Rainfall (mm)</w:t>
            </w:r>
          </w:p>
        </w:tc>
        <w:tc>
          <w:tcPr>
            <w:tcW w:w="0" w:type="auto"/>
          </w:tcPr>
          <w:p w14:paraId="3E29B5A5"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Sowing-to-Maturity Duration (days)</w:t>
            </w:r>
          </w:p>
        </w:tc>
      </w:tr>
      <w:tr w:rsidR="00A57DED" w14:paraId="733276BC" w14:textId="77777777" w:rsidTr="008A6384">
        <w:trPr>
          <w:cantSplit/>
          <w:tblCellSpacing w:w="0" w:type="dxa"/>
          <w:jc w:val="center"/>
        </w:trPr>
        <w:tc>
          <w:tcPr>
            <w:tcW w:w="0" w:type="auto"/>
          </w:tcPr>
          <w:p w14:paraId="2E76B72E"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E1 (Normal)</w:t>
            </w:r>
          </w:p>
        </w:tc>
        <w:tc>
          <w:tcPr>
            <w:tcW w:w="0" w:type="auto"/>
          </w:tcPr>
          <w:p w14:paraId="1B5E294B"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Nov 15</w:t>
            </w:r>
          </w:p>
        </w:tc>
        <w:tc>
          <w:tcPr>
            <w:tcW w:w="0" w:type="auto"/>
          </w:tcPr>
          <w:p w14:paraId="0662E3F6"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20-28</w:t>
            </w:r>
          </w:p>
        </w:tc>
        <w:tc>
          <w:tcPr>
            <w:tcW w:w="0" w:type="auto"/>
          </w:tcPr>
          <w:p w14:paraId="1AD0134F"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50-120</w:t>
            </w:r>
          </w:p>
        </w:tc>
        <w:tc>
          <w:tcPr>
            <w:tcW w:w="0" w:type="auto"/>
          </w:tcPr>
          <w:p w14:paraId="3B81875B"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125-135</w:t>
            </w:r>
          </w:p>
        </w:tc>
      </w:tr>
      <w:tr w:rsidR="00A57DED" w14:paraId="4D0871E9" w14:textId="77777777" w:rsidTr="008A6384">
        <w:trPr>
          <w:cantSplit/>
          <w:tblCellSpacing w:w="0" w:type="dxa"/>
          <w:jc w:val="center"/>
        </w:trPr>
        <w:tc>
          <w:tcPr>
            <w:tcW w:w="0" w:type="auto"/>
          </w:tcPr>
          <w:p w14:paraId="720211D7"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E2 (Late)</w:t>
            </w:r>
          </w:p>
        </w:tc>
        <w:tc>
          <w:tcPr>
            <w:tcW w:w="0" w:type="auto"/>
          </w:tcPr>
          <w:p w14:paraId="54735592"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Dec 15</w:t>
            </w:r>
          </w:p>
        </w:tc>
        <w:tc>
          <w:tcPr>
            <w:tcW w:w="0" w:type="auto"/>
          </w:tcPr>
          <w:p w14:paraId="67A6B49A"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15-25</w:t>
            </w:r>
          </w:p>
        </w:tc>
        <w:tc>
          <w:tcPr>
            <w:tcW w:w="0" w:type="auto"/>
          </w:tcPr>
          <w:p w14:paraId="016B6DBD"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20-80</w:t>
            </w:r>
          </w:p>
        </w:tc>
        <w:tc>
          <w:tcPr>
            <w:tcW w:w="0" w:type="auto"/>
          </w:tcPr>
          <w:p w14:paraId="115D8D75"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110-120</w:t>
            </w:r>
          </w:p>
        </w:tc>
      </w:tr>
      <w:tr w:rsidR="00A57DED" w14:paraId="11682853" w14:textId="77777777" w:rsidTr="008A6384">
        <w:trPr>
          <w:cantSplit/>
          <w:tblCellSpacing w:w="0" w:type="dxa"/>
          <w:jc w:val="center"/>
        </w:trPr>
        <w:tc>
          <w:tcPr>
            <w:tcW w:w="0" w:type="auto"/>
          </w:tcPr>
          <w:p w14:paraId="5806C3A8"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E3 (Very Late)</w:t>
            </w:r>
          </w:p>
        </w:tc>
        <w:tc>
          <w:tcPr>
            <w:tcW w:w="0" w:type="auto"/>
          </w:tcPr>
          <w:p w14:paraId="168CFB9F"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Jan 25</w:t>
            </w:r>
          </w:p>
        </w:tc>
        <w:tc>
          <w:tcPr>
            <w:tcW w:w="0" w:type="auto"/>
          </w:tcPr>
          <w:p w14:paraId="399DB258"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12-22</w:t>
            </w:r>
          </w:p>
        </w:tc>
        <w:tc>
          <w:tcPr>
            <w:tcW w:w="0" w:type="auto"/>
          </w:tcPr>
          <w:p w14:paraId="71CF9A8E"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10-40</w:t>
            </w:r>
          </w:p>
        </w:tc>
        <w:tc>
          <w:tcPr>
            <w:tcW w:w="0" w:type="auto"/>
          </w:tcPr>
          <w:p w14:paraId="44692974" w14:textId="77777777" w:rsidR="00A57DED" w:rsidRDefault="00B50F5C">
            <w:pPr>
              <w:spacing w:after="0" w:line="240" w:lineRule="auto"/>
              <w:jc w:val="both"/>
              <w:rPr>
                <w:rFonts w:ascii="Times New Roman" w:hAnsi="Times New Roman" w:cs="Times New Roman"/>
                <w:sz w:val="22"/>
              </w:rPr>
            </w:pPr>
            <w:r>
              <w:rPr>
                <w:rFonts w:ascii="Times New Roman" w:hAnsi="Times New Roman" w:cs="Times New Roman"/>
                <w:sz w:val="22"/>
              </w:rPr>
              <w:t>95-110</w:t>
            </w:r>
          </w:p>
        </w:tc>
      </w:tr>
    </w:tbl>
    <w:p w14:paraId="3D11AC60" w14:textId="2C82EADE" w:rsidR="00A57DED" w:rsidRPr="00594D1C" w:rsidRDefault="00AC14AE" w:rsidP="00AC14AE">
      <w:pPr>
        <w:spacing w:after="210"/>
        <w:jc w:val="both"/>
        <w:rPr>
          <w:rFonts w:ascii="Times New Roman" w:hAnsi="Times New Roman" w:cs="Times New Roman"/>
          <w:sz w:val="22"/>
        </w:rPr>
      </w:pPr>
      <w:r w:rsidRPr="00594D1C">
        <w:rPr>
          <w:rFonts w:ascii="Times New Roman" w:hAnsi="Times New Roman" w:cs="Times New Roman"/>
          <w:sz w:val="22"/>
        </w:rPr>
        <w:lastRenderedPageBreak/>
        <w:t xml:space="preserve"> The two table </w:t>
      </w:r>
      <w:r w:rsidR="003E33FF" w:rsidRPr="00594D1C">
        <w:rPr>
          <w:rFonts w:ascii="Times New Roman" w:hAnsi="Times New Roman" w:cs="Times New Roman"/>
          <w:sz w:val="22"/>
        </w:rPr>
        <w:t xml:space="preserve">S 3 &amp; S 4 are added to bring more clarity and justify the review mentioning the </w:t>
      </w:r>
      <w:r w:rsidR="003E33FF" w:rsidRPr="003E33FF">
        <w:rPr>
          <w:rFonts w:ascii="Times New Roman" w:eastAsia="Times New Roman" w:hAnsi="Times New Roman" w:cs="Times New Roman"/>
          <w:sz w:val="22"/>
        </w:rPr>
        <w:t>GCV/h²/GAM</w:t>
      </w:r>
      <w:r w:rsidR="003E33FF" w:rsidRPr="00594D1C">
        <w:rPr>
          <w:rFonts w:ascii="Times New Roman" w:eastAsia="Times New Roman" w:hAnsi="Times New Roman" w:cs="Times New Roman"/>
          <w:sz w:val="22"/>
        </w:rPr>
        <w:t xml:space="preserve"> across the </w:t>
      </w:r>
      <w:r w:rsidR="003E33FF" w:rsidRPr="00594D1C">
        <w:rPr>
          <w:rFonts w:ascii="Times New Roman" w:hAnsi="Times New Roman" w:cs="Times New Roman"/>
          <w:sz w:val="22"/>
        </w:rPr>
        <w:t>E1 to E3.</w:t>
      </w:r>
    </w:p>
    <w:tbl>
      <w:tblPr>
        <w:tblW w:w="8815" w:type="dxa"/>
        <w:tblLook w:val="04A0" w:firstRow="1" w:lastRow="0" w:firstColumn="1" w:lastColumn="0" w:noHBand="0" w:noVBand="1"/>
      </w:tblPr>
      <w:tblGrid>
        <w:gridCol w:w="1660"/>
        <w:gridCol w:w="2475"/>
        <w:gridCol w:w="1980"/>
        <w:gridCol w:w="2700"/>
      </w:tblGrid>
      <w:tr w:rsidR="003E33FF" w:rsidRPr="003E33FF" w14:paraId="156A02A8" w14:textId="77777777" w:rsidTr="003E33FF">
        <w:trPr>
          <w:trHeight w:val="300"/>
        </w:trPr>
        <w:tc>
          <w:tcPr>
            <w:tcW w:w="881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32C986" w14:textId="77777777" w:rsidR="003E33FF" w:rsidRPr="003E33FF" w:rsidRDefault="003E33FF" w:rsidP="003E33FF">
            <w:pPr>
              <w:spacing w:after="0" w:line="240" w:lineRule="auto"/>
              <w:jc w:val="center"/>
              <w:rPr>
                <w:rFonts w:ascii="Times New Roman" w:eastAsia="Times New Roman" w:hAnsi="Times New Roman" w:cs="Times New Roman"/>
                <w:b/>
                <w:bCs/>
                <w:color w:val="000000"/>
                <w:sz w:val="22"/>
              </w:rPr>
            </w:pPr>
            <w:r w:rsidRPr="003E33FF">
              <w:rPr>
                <w:rFonts w:ascii="Times New Roman" w:eastAsia="Times New Roman" w:hAnsi="Times New Roman" w:cs="Times New Roman"/>
                <w:b/>
                <w:bCs/>
                <w:color w:val="000000"/>
                <w:sz w:val="22"/>
              </w:rPr>
              <w:t>Table S3: Environment-wise GCV/h²/GAM</w:t>
            </w:r>
          </w:p>
        </w:tc>
      </w:tr>
      <w:tr w:rsidR="003E33FF" w:rsidRPr="003E33FF" w14:paraId="6FFFB59A" w14:textId="77777777" w:rsidTr="003E33FF">
        <w:trPr>
          <w:trHeight w:val="6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EF4ACF1" w14:textId="77777777" w:rsidR="003E33FF" w:rsidRPr="003E33FF" w:rsidRDefault="003E33FF" w:rsidP="003E33FF">
            <w:pPr>
              <w:spacing w:after="0" w:line="240" w:lineRule="auto"/>
              <w:jc w:val="center"/>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Trait</w:t>
            </w:r>
          </w:p>
        </w:tc>
        <w:tc>
          <w:tcPr>
            <w:tcW w:w="2475" w:type="dxa"/>
            <w:tcBorders>
              <w:top w:val="nil"/>
              <w:left w:val="nil"/>
              <w:bottom w:val="single" w:sz="4" w:space="0" w:color="auto"/>
              <w:right w:val="single" w:sz="4" w:space="0" w:color="auto"/>
            </w:tcBorders>
            <w:shd w:val="clear" w:color="auto" w:fill="auto"/>
            <w:vAlign w:val="center"/>
            <w:hideMark/>
          </w:tcPr>
          <w:p w14:paraId="2B9B5F16"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E1 GCV/h²/GAM</w:t>
            </w:r>
          </w:p>
        </w:tc>
        <w:tc>
          <w:tcPr>
            <w:tcW w:w="1980" w:type="dxa"/>
            <w:tcBorders>
              <w:top w:val="nil"/>
              <w:left w:val="nil"/>
              <w:bottom w:val="single" w:sz="4" w:space="0" w:color="auto"/>
              <w:right w:val="single" w:sz="4" w:space="0" w:color="auto"/>
            </w:tcBorders>
            <w:shd w:val="clear" w:color="auto" w:fill="auto"/>
            <w:vAlign w:val="center"/>
            <w:hideMark/>
          </w:tcPr>
          <w:p w14:paraId="029B980D"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E2 GCV/h²/GAM</w:t>
            </w:r>
          </w:p>
        </w:tc>
        <w:tc>
          <w:tcPr>
            <w:tcW w:w="2700" w:type="dxa"/>
            <w:tcBorders>
              <w:top w:val="nil"/>
              <w:left w:val="nil"/>
              <w:bottom w:val="single" w:sz="4" w:space="0" w:color="auto"/>
              <w:right w:val="single" w:sz="4" w:space="0" w:color="auto"/>
            </w:tcBorders>
            <w:shd w:val="clear" w:color="auto" w:fill="auto"/>
            <w:vAlign w:val="center"/>
            <w:hideMark/>
          </w:tcPr>
          <w:p w14:paraId="2624E206"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E3 GCV/h²/GAM</w:t>
            </w:r>
          </w:p>
        </w:tc>
      </w:tr>
      <w:tr w:rsidR="003E33FF" w:rsidRPr="003E33FF" w14:paraId="69C60996" w14:textId="77777777" w:rsidTr="003E33FF">
        <w:trPr>
          <w:trHeight w:val="3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3FE6D958"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Seed yield/plant</w:t>
            </w:r>
          </w:p>
        </w:tc>
        <w:tc>
          <w:tcPr>
            <w:tcW w:w="2475" w:type="dxa"/>
            <w:tcBorders>
              <w:top w:val="nil"/>
              <w:left w:val="nil"/>
              <w:bottom w:val="single" w:sz="4" w:space="0" w:color="auto"/>
              <w:right w:val="single" w:sz="4" w:space="0" w:color="auto"/>
            </w:tcBorders>
            <w:shd w:val="clear" w:color="auto" w:fill="auto"/>
            <w:vAlign w:val="center"/>
            <w:hideMark/>
          </w:tcPr>
          <w:p w14:paraId="162CDD50"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8.2/72%/14.2</w:t>
            </w:r>
          </w:p>
        </w:tc>
        <w:tc>
          <w:tcPr>
            <w:tcW w:w="1980" w:type="dxa"/>
            <w:tcBorders>
              <w:top w:val="nil"/>
              <w:left w:val="nil"/>
              <w:bottom w:val="single" w:sz="4" w:space="0" w:color="auto"/>
              <w:right w:val="single" w:sz="4" w:space="0" w:color="auto"/>
            </w:tcBorders>
            <w:shd w:val="clear" w:color="auto" w:fill="auto"/>
            <w:vAlign w:val="center"/>
            <w:hideMark/>
          </w:tcPr>
          <w:p w14:paraId="5232FF75"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10.1/58%/11.5</w:t>
            </w:r>
          </w:p>
        </w:tc>
        <w:tc>
          <w:tcPr>
            <w:tcW w:w="2700" w:type="dxa"/>
            <w:tcBorders>
              <w:top w:val="nil"/>
              <w:left w:val="nil"/>
              <w:bottom w:val="single" w:sz="4" w:space="0" w:color="auto"/>
              <w:right w:val="single" w:sz="4" w:space="0" w:color="auto"/>
            </w:tcBorders>
            <w:shd w:val="clear" w:color="auto" w:fill="auto"/>
            <w:vAlign w:val="center"/>
            <w:hideMark/>
          </w:tcPr>
          <w:p w14:paraId="097F0A97"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11.3/55%/10.8</w:t>
            </w:r>
          </w:p>
        </w:tc>
      </w:tr>
      <w:tr w:rsidR="003E33FF" w:rsidRPr="003E33FF" w14:paraId="38836C6F" w14:textId="77777777" w:rsidTr="003E33FF">
        <w:trPr>
          <w:trHeight w:val="3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D6AAB50"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 xml:space="preserve">1000-seed </w:t>
            </w:r>
            <w:proofErr w:type="spellStart"/>
            <w:r w:rsidRPr="003E33FF">
              <w:rPr>
                <w:rFonts w:ascii="Times New Roman" w:eastAsia="Times New Roman" w:hAnsi="Times New Roman" w:cs="Times New Roman"/>
                <w:color w:val="000000"/>
                <w:sz w:val="22"/>
              </w:rPr>
              <w:t>wt</w:t>
            </w:r>
            <w:proofErr w:type="spellEnd"/>
          </w:p>
        </w:tc>
        <w:tc>
          <w:tcPr>
            <w:tcW w:w="2475" w:type="dxa"/>
            <w:tcBorders>
              <w:top w:val="nil"/>
              <w:left w:val="nil"/>
              <w:bottom w:val="single" w:sz="4" w:space="0" w:color="auto"/>
              <w:right w:val="single" w:sz="4" w:space="0" w:color="auto"/>
            </w:tcBorders>
            <w:shd w:val="clear" w:color="auto" w:fill="auto"/>
            <w:vAlign w:val="center"/>
            <w:hideMark/>
          </w:tcPr>
          <w:p w14:paraId="303B0484"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14.5/92%/23.1</w:t>
            </w:r>
          </w:p>
        </w:tc>
        <w:tc>
          <w:tcPr>
            <w:tcW w:w="1980" w:type="dxa"/>
            <w:tcBorders>
              <w:top w:val="nil"/>
              <w:left w:val="nil"/>
              <w:bottom w:val="single" w:sz="4" w:space="0" w:color="auto"/>
              <w:right w:val="single" w:sz="4" w:space="0" w:color="auto"/>
            </w:tcBorders>
            <w:shd w:val="clear" w:color="auto" w:fill="auto"/>
            <w:vAlign w:val="center"/>
            <w:hideMark/>
          </w:tcPr>
          <w:p w14:paraId="6328F785"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16.2/94%/25.4</w:t>
            </w:r>
          </w:p>
        </w:tc>
        <w:tc>
          <w:tcPr>
            <w:tcW w:w="2700" w:type="dxa"/>
            <w:tcBorders>
              <w:top w:val="nil"/>
              <w:left w:val="nil"/>
              <w:bottom w:val="single" w:sz="4" w:space="0" w:color="auto"/>
              <w:right w:val="single" w:sz="4" w:space="0" w:color="auto"/>
            </w:tcBorders>
            <w:shd w:val="clear" w:color="auto" w:fill="auto"/>
            <w:vAlign w:val="center"/>
            <w:hideMark/>
          </w:tcPr>
          <w:p w14:paraId="35AC92AB"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17.8/90%/22.9</w:t>
            </w:r>
          </w:p>
        </w:tc>
      </w:tr>
      <w:tr w:rsidR="003E33FF" w:rsidRPr="003E33FF" w14:paraId="1DCBB734" w14:textId="77777777" w:rsidTr="003E33FF">
        <w:trPr>
          <w:trHeight w:val="3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4E3AEA6"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Tillers/plant</w:t>
            </w:r>
          </w:p>
        </w:tc>
        <w:tc>
          <w:tcPr>
            <w:tcW w:w="2475" w:type="dxa"/>
            <w:tcBorders>
              <w:top w:val="nil"/>
              <w:left w:val="nil"/>
              <w:bottom w:val="single" w:sz="4" w:space="0" w:color="auto"/>
              <w:right w:val="single" w:sz="4" w:space="0" w:color="auto"/>
            </w:tcBorders>
            <w:shd w:val="clear" w:color="auto" w:fill="auto"/>
            <w:vAlign w:val="center"/>
            <w:hideMark/>
          </w:tcPr>
          <w:p w14:paraId="4DAFE55B"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14.8/90%/20.1</w:t>
            </w:r>
          </w:p>
        </w:tc>
        <w:tc>
          <w:tcPr>
            <w:tcW w:w="1980" w:type="dxa"/>
            <w:tcBorders>
              <w:top w:val="nil"/>
              <w:left w:val="nil"/>
              <w:bottom w:val="single" w:sz="4" w:space="0" w:color="auto"/>
              <w:right w:val="single" w:sz="4" w:space="0" w:color="auto"/>
            </w:tcBorders>
            <w:shd w:val="clear" w:color="auto" w:fill="auto"/>
            <w:vAlign w:val="center"/>
            <w:hideMark/>
          </w:tcPr>
          <w:p w14:paraId="6FFE9FBC"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16.5/92%/22.3</w:t>
            </w:r>
          </w:p>
        </w:tc>
        <w:tc>
          <w:tcPr>
            <w:tcW w:w="2700" w:type="dxa"/>
            <w:tcBorders>
              <w:top w:val="nil"/>
              <w:left w:val="nil"/>
              <w:bottom w:val="single" w:sz="4" w:space="0" w:color="auto"/>
              <w:right w:val="single" w:sz="4" w:space="0" w:color="auto"/>
            </w:tcBorders>
            <w:shd w:val="clear" w:color="auto" w:fill="auto"/>
            <w:vAlign w:val="center"/>
            <w:hideMark/>
          </w:tcPr>
          <w:p w14:paraId="1642DAAC"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18.2/88%/19.7</w:t>
            </w:r>
          </w:p>
        </w:tc>
      </w:tr>
    </w:tbl>
    <w:p w14:paraId="4F13BB38" w14:textId="5F3D48F6" w:rsidR="003E33FF" w:rsidRPr="00594D1C" w:rsidRDefault="003E33FF" w:rsidP="00AC14AE">
      <w:pPr>
        <w:spacing w:after="210"/>
        <w:jc w:val="both"/>
        <w:rPr>
          <w:rFonts w:ascii="Times New Roman" w:hAnsi="Times New Roman" w:cs="Times New Roman"/>
          <w:sz w:val="22"/>
        </w:rPr>
      </w:pPr>
      <w:r>
        <w:rPr>
          <w:rFonts w:ascii="Times New Roman" w:hAnsi="Times New Roman" w:cs="Times New Roman"/>
          <w:color w:val="FF0000"/>
          <w:sz w:val="22"/>
        </w:rPr>
        <w:t xml:space="preserve"> </w:t>
      </w:r>
      <w:r>
        <w:rPr>
          <w:rFonts w:ascii="Times New Roman" w:hAnsi="Times New Roman" w:cs="Times New Roman"/>
          <w:color w:val="FF0000"/>
          <w:sz w:val="22"/>
        </w:rPr>
        <w:tab/>
      </w:r>
      <w:r>
        <w:rPr>
          <w:rFonts w:ascii="Times New Roman" w:hAnsi="Times New Roman" w:cs="Times New Roman"/>
          <w:color w:val="FF0000"/>
          <w:sz w:val="22"/>
        </w:rPr>
        <w:tab/>
      </w:r>
      <w:r w:rsidRPr="00594D1C">
        <w:rPr>
          <w:rFonts w:ascii="Times New Roman" w:hAnsi="Times New Roman" w:cs="Times New Roman"/>
          <w:sz w:val="22"/>
        </w:rPr>
        <w:t>Top genotypes across the environments namely E1 to E3</w:t>
      </w:r>
    </w:p>
    <w:tbl>
      <w:tblPr>
        <w:tblW w:w="8815" w:type="dxa"/>
        <w:tblLook w:val="04A0" w:firstRow="1" w:lastRow="0" w:firstColumn="1" w:lastColumn="0" w:noHBand="0" w:noVBand="1"/>
      </w:tblPr>
      <w:tblGrid>
        <w:gridCol w:w="1400"/>
        <w:gridCol w:w="7415"/>
      </w:tblGrid>
      <w:tr w:rsidR="003E33FF" w:rsidRPr="003E33FF" w14:paraId="1D2396BD" w14:textId="77777777" w:rsidTr="003E33FF">
        <w:trPr>
          <w:trHeight w:val="300"/>
        </w:trPr>
        <w:tc>
          <w:tcPr>
            <w:tcW w:w="88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2283B5" w14:textId="77777777" w:rsidR="003E33FF" w:rsidRPr="003E33FF" w:rsidRDefault="003E33FF" w:rsidP="003E33FF">
            <w:pPr>
              <w:spacing w:after="0" w:line="240" w:lineRule="auto"/>
              <w:jc w:val="center"/>
              <w:rPr>
                <w:rFonts w:ascii="Times New Roman" w:eastAsia="Times New Roman" w:hAnsi="Times New Roman" w:cs="Times New Roman"/>
                <w:b/>
                <w:bCs/>
                <w:color w:val="000000"/>
                <w:sz w:val="22"/>
              </w:rPr>
            </w:pPr>
            <w:r w:rsidRPr="003E33FF">
              <w:rPr>
                <w:rFonts w:ascii="Times New Roman" w:eastAsia="Times New Roman" w:hAnsi="Times New Roman" w:cs="Times New Roman"/>
                <w:b/>
                <w:bCs/>
                <w:color w:val="000000"/>
                <w:sz w:val="22"/>
              </w:rPr>
              <w:t>Table S4: Top 5 Genotypes per Env (Seed Yield g)</w:t>
            </w:r>
          </w:p>
        </w:tc>
      </w:tr>
      <w:tr w:rsidR="003E33FF" w:rsidRPr="003E33FF" w14:paraId="0C8F7F46" w14:textId="77777777" w:rsidTr="003E33FF">
        <w:trPr>
          <w:trHeight w:val="300"/>
        </w:trPr>
        <w:tc>
          <w:tcPr>
            <w:tcW w:w="1400" w:type="dxa"/>
            <w:tcBorders>
              <w:top w:val="nil"/>
              <w:left w:val="single" w:sz="4" w:space="0" w:color="auto"/>
              <w:bottom w:val="single" w:sz="4" w:space="0" w:color="auto"/>
              <w:right w:val="single" w:sz="4" w:space="0" w:color="auto"/>
            </w:tcBorders>
            <w:shd w:val="clear" w:color="000000" w:fill="F2F2F2"/>
            <w:vAlign w:val="center"/>
            <w:hideMark/>
          </w:tcPr>
          <w:p w14:paraId="795A9E48" w14:textId="77777777" w:rsidR="003E33FF" w:rsidRPr="003E33FF" w:rsidRDefault="003E33FF" w:rsidP="003E33FF">
            <w:pPr>
              <w:spacing w:after="0" w:line="240" w:lineRule="auto"/>
              <w:rPr>
                <w:rFonts w:ascii="Times New Roman" w:eastAsia="Times New Roman" w:hAnsi="Times New Roman" w:cs="Times New Roman"/>
                <w:b/>
                <w:bCs/>
                <w:color w:val="000000"/>
                <w:sz w:val="22"/>
              </w:rPr>
            </w:pPr>
            <w:r w:rsidRPr="003E33FF">
              <w:rPr>
                <w:rFonts w:ascii="Times New Roman" w:eastAsia="Times New Roman" w:hAnsi="Times New Roman" w:cs="Times New Roman"/>
                <w:b/>
                <w:bCs/>
                <w:color w:val="000000"/>
                <w:sz w:val="22"/>
              </w:rPr>
              <w:t>Env</w:t>
            </w:r>
          </w:p>
        </w:tc>
        <w:tc>
          <w:tcPr>
            <w:tcW w:w="7415" w:type="dxa"/>
            <w:tcBorders>
              <w:top w:val="nil"/>
              <w:left w:val="nil"/>
              <w:bottom w:val="single" w:sz="4" w:space="0" w:color="auto"/>
              <w:right w:val="single" w:sz="4" w:space="0" w:color="auto"/>
            </w:tcBorders>
            <w:shd w:val="clear" w:color="000000" w:fill="F2F2F2"/>
            <w:vAlign w:val="center"/>
            <w:hideMark/>
          </w:tcPr>
          <w:p w14:paraId="24773741" w14:textId="77777777" w:rsidR="003E33FF" w:rsidRPr="003E33FF" w:rsidRDefault="003E33FF" w:rsidP="003E33FF">
            <w:pPr>
              <w:spacing w:after="0" w:line="240" w:lineRule="auto"/>
              <w:rPr>
                <w:rFonts w:ascii="Times New Roman" w:eastAsia="Times New Roman" w:hAnsi="Times New Roman" w:cs="Times New Roman"/>
                <w:b/>
                <w:bCs/>
                <w:color w:val="000000"/>
                <w:sz w:val="22"/>
              </w:rPr>
            </w:pPr>
            <w:r w:rsidRPr="003E33FF">
              <w:rPr>
                <w:rFonts w:ascii="Times New Roman" w:eastAsia="Times New Roman" w:hAnsi="Times New Roman" w:cs="Times New Roman"/>
                <w:b/>
                <w:bCs/>
                <w:color w:val="000000"/>
                <w:sz w:val="22"/>
              </w:rPr>
              <w:t>Top Genotypes</w:t>
            </w:r>
          </w:p>
        </w:tc>
      </w:tr>
      <w:tr w:rsidR="003E33FF" w:rsidRPr="003E33FF" w14:paraId="18B18409" w14:textId="77777777" w:rsidTr="003E33FF">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8125EEB"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E1</w:t>
            </w:r>
          </w:p>
        </w:tc>
        <w:tc>
          <w:tcPr>
            <w:tcW w:w="7415" w:type="dxa"/>
            <w:tcBorders>
              <w:top w:val="nil"/>
              <w:left w:val="nil"/>
              <w:bottom w:val="single" w:sz="4" w:space="0" w:color="auto"/>
              <w:right w:val="single" w:sz="4" w:space="0" w:color="auto"/>
            </w:tcBorders>
            <w:shd w:val="clear" w:color="auto" w:fill="auto"/>
            <w:vAlign w:val="center"/>
            <w:hideMark/>
          </w:tcPr>
          <w:p w14:paraId="73D049F0"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Raj 4027 (10.2), K 9904 (9.8)</w:t>
            </w:r>
          </w:p>
        </w:tc>
      </w:tr>
      <w:tr w:rsidR="003E33FF" w:rsidRPr="003E33FF" w14:paraId="6FED2820" w14:textId="77777777" w:rsidTr="003E33FF">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D230CE2"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E2</w:t>
            </w:r>
          </w:p>
        </w:tc>
        <w:tc>
          <w:tcPr>
            <w:tcW w:w="7415" w:type="dxa"/>
            <w:tcBorders>
              <w:top w:val="nil"/>
              <w:left w:val="nil"/>
              <w:bottom w:val="single" w:sz="4" w:space="0" w:color="auto"/>
              <w:right w:val="single" w:sz="4" w:space="0" w:color="auto"/>
            </w:tcBorders>
            <w:shd w:val="clear" w:color="auto" w:fill="auto"/>
            <w:vAlign w:val="center"/>
            <w:hideMark/>
          </w:tcPr>
          <w:p w14:paraId="74B21C1B"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PBW 541 (8.5), GW 387 (8.2)</w:t>
            </w:r>
          </w:p>
        </w:tc>
      </w:tr>
      <w:tr w:rsidR="003E33FF" w:rsidRPr="003E33FF" w14:paraId="5B218A82" w14:textId="77777777" w:rsidTr="003E33FF">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8293840"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E3</w:t>
            </w:r>
          </w:p>
        </w:tc>
        <w:tc>
          <w:tcPr>
            <w:tcW w:w="7415" w:type="dxa"/>
            <w:tcBorders>
              <w:top w:val="nil"/>
              <w:left w:val="nil"/>
              <w:bottom w:val="single" w:sz="4" w:space="0" w:color="auto"/>
              <w:right w:val="single" w:sz="4" w:space="0" w:color="auto"/>
            </w:tcBorders>
            <w:shd w:val="clear" w:color="auto" w:fill="auto"/>
            <w:vAlign w:val="center"/>
            <w:hideMark/>
          </w:tcPr>
          <w:p w14:paraId="605FED5A" w14:textId="77777777" w:rsidR="003E33FF" w:rsidRPr="003E33FF" w:rsidRDefault="003E33FF" w:rsidP="003E33FF">
            <w:pPr>
              <w:spacing w:after="0" w:line="240" w:lineRule="auto"/>
              <w:rPr>
                <w:rFonts w:ascii="Times New Roman" w:eastAsia="Times New Roman" w:hAnsi="Times New Roman" w:cs="Times New Roman"/>
                <w:color w:val="000000"/>
                <w:sz w:val="22"/>
              </w:rPr>
            </w:pPr>
            <w:r w:rsidRPr="003E33FF">
              <w:rPr>
                <w:rFonts w:ascii="Times New Roman" w:eastAsia="Times New Roman" w:hAnsi="Times New Roman" w:cs="Times New Roman"/>
                <w:color w:val="000000"/>
                <w:sz w:val="22"/>
              </w:rPr>
              <w:t>Raj 3777 (7.9), UP 2600 (7.6)</w:t>
            </w:r>
          </w:p>
        </w:tc>
      </w:tr>
    </w:tbl>
    <w:p w14:paraId="4D24F888" w14:textId="0E2E742F" w:rsidR="003E33FF" w:rsidRPr="00594D1C" w:rsidRDefault="00594D1C" w:rsidP="00594D1C">
      <w:pPr>
        <w:spacing w:after="210"/>
        <w:jc w:val="center"/>
        <w:rPr>
          <w:rFonts w:ascii="Times New Roman" w:hAnsi="Times New Roman" w:cs="Times New Roman"/>
          <w:sz w:val="22"/>
        </w:rPr>
      </w:pPr>
      <w:r w:rsidRPr="00594D1C">
        <w:rPr>
          <w:rFonts w:ascii="Times New Roman" w:hAnsi="Times New Roman" w:cs="Times New Roman"/>
          <w:sz w:val="22"/>
        </w:rPr>
        <w:t>The parameters are mentioned below to bring clarity to the parameters.</w:t>
      </w:r>
    </w:p>
    <w:tbl>
      <w:tblPr>
        <w:tblW w:w="8725" w:type="dxa"/>
        <w:tblLook w:val="04A0" w:firstRow="1" w:lastRow="0" w:firstColumn="1" w:lastColumn="0" w:noHBand="0" w:noVBand="1"/>
      </w:tblPr>
      <w:tblGrid>
        <w:gridCol w:w="8725"/>
      </w:tblGrid>
      <w:tr w:rsidR="00594D1C" w:rsidRPr="00594D1C" w14:paraId="6B629B68" w14:textId="77777777" w:rsidTr="00594D1C">
        <w:trPr>
          <w:trHeight w:val="300"/>
        </w:trPr>
        <w:tc>
          <w:tcPr>
            <w:tcW w:w="8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07919" w14:textId="2D55F8CC" w:rsidR="00594D1C" w:rsidRPr="00594D1C" w:rsidRDefault="00594D1C" w:rsidP="00594D1C">
            <w:pPr>
              <w:spacing w:after="0" w:line="240" w:lineRule="auto"/>
              <w:rPr>
                <w:rFonts w:ascii="Times New Roman" w:eastAsia="Times New Roman" w:hAnsi="Times New Roman" w:cs="Times New Roman"/>
                <w:b/>
                <w:bCs/>
                <w:color w:val="000000"/>
                <w:sz w:val="22"/>
              </w:rPr>
            </w:pPr>
            <w:r w:rsidRPr="00594D1C">
              <w:rPr>
                <w:rFonts w:ascii="Times New Roman" w:eastAsia="Times New Roman" w:hAnsi="Times New Roman" w:cs="Times New Roman"/>
                <w:b/>
                <w:bCs/>
                <w:color w:val="000000"/>
                <w:sz w:val="22"/>
              </w:rPr>
              <w:t>Table S</w:t>
            </w:r>
            <w:r w:rsidR="008630B6">
              <w:rPr>
                <w:rFonts w:ascii="Times New Roman" w:eastAsia="Times New Roman" w:hAnsi="Times New Roman" w:cs="Times New Roman"/>
                <w:b/>
                <w:bCs/>
                <w:color w:val="000000"/>
                <w:sz w:val="22"/>
              </w:rPr>
              <w:t>5</w:t>
            </w:r>
            <w:r w:rsidRPr="00594D1C">
              <w:rPr>
                <w:rFonts w:ascii="Times New Roman" w:eastAsia="Times New Roman" w:hAnsi="Times New Roman" w:cs="Times New Roman"/>
                <w:b/>
                <w:bCs/>
                <w:color w:val="000000"/>
                <w:sz w:val="22"/>
              </w:rPr>
              <w:t>- Detailed measurement protocols are in Materials and Methods</w:t>
            </w:r>
          </w:p>
        </w:tc>
      </w:tr>
      <w:tr w:rsidR="00594D1C" w:rsidRPr="00594D1C" w14:paraId="71968B6F"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vAlign w:val="bottom"/>
            <w:hideMark/>
          </w:tcPr>
          <w:p w14:paraId="40F0D134" w14:textId="77777777" w:rsidR="00594D1C" w:rsidRPr="00594D1C" w:rsidRDefault="00594D1C" w:rsidP="00594D1C">
            <w:pPr>
              <w:spacing w:after="0" w:line="240" w:lineRule="auto"/>
              <w:rPr>
                <w:rFonts w:ascii="Times New Roman" w:eastAsia="Times New Roman" w:hAnsi="Times New Roman" w:cs="Times New Roman"/>
                <w:b/>
                <w:bCs/>
                <w:color w:val="000000"/>
                <w:sz w:val="24"/>
                <w:szCs w:val="24"/>
              </w:rPr>
            </w:pPr>
            <w:r w:rsidRPr="00594D1C">
              <w:rPr>
                <w:rFonts w:ascii="Times New Roman" w:eastAsia="Times New Roman" w:hAnsi="Times New Roman" w:cs="Times New Roman"/>
                <w:b/>
                <w:bCs/>
                <w:color w:val="000000"/>
                <w:sz w:val="24"/>
                <w:szCs w:val="24"/>
              </w:rPr>
              <w:t>Phenological traits (plot basis):</w:t>
            </w:r>
          </w:p>
        </w:tc>
      </w:tr>
      <w:tr w:rsidR="00594D1C" w:rsidRPr="00594D1C" w14:paraId="610E4908" w14:textId="77777777" w:rsidTr="00594D1C">
        <w:trPr>
          <w:trHeight w:val="630"/>
        </w:trPr>
        <w:tc>
          <w:tcPr>
            <w:tcW w:w="8725" w:type="dxa"/>
            <w:tcBorders>
              <w:top w:val="nil"/>
              <w:left w:val="single" w:sz="4" w:space="0" w:color="auto"/>
              <w:bottom w:val="single" w:sz="4" w:space="0" w:color="auto"/>
              <w:right w:val="single" w:sz="4" w:space="0" w:color="auto"/>
            </w:tcBorders>
            <w:shd w:val="clear" w:color="auto" w:fill="auto"/>
            <w:hideMark/>
          </w:tcPr>
          <w:p w14:paraId="37700F78" w14:textId="197D9252"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Days to 50% flowering: Days from sowing to ~50% plants in plot initiating flowering (visual assessment). ​</w:t>
            </w:r>
          </w:p>
        </w:tc>
      </w:tr>
      <w:tr w:rsidR="00594D1C" w:rsidRPr="00594D1C" w14:paraId="3D89AE27" w14:textId="77777777" w:rsidTr="00594D1C">
        <w:trPr>
          <w:trHeight w:val="630"/>
        </w:trPr>
        <w:tc>
          <w:tcPr>
            <w:tcW w:w="8725" w:type="dxa"/>
            <w:tcBorders>
              <w:top w:val="nil"/>
              <w:left w:val="single" w:sz="4" w:space="0" w:color="auto"/>
              <w:bottom w:val="single" w:sz="4" w:space="0" w:color="auto"/>
              <w:right w:val="single" w:sz="4" w:space="0" w:color="auto"/>
            </w:tcBorders>
            <w:shd w:val="clear" w:color="auto" w:fill="auto"/>
            <w:hideMark/>
          </w:tcPr>
          <w:p w14:paraId="7C149AF5" w14:textId="73FB6BF3"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Days to maturity: Days to 85-90% plants reaching physiological maturity (flag leaf yellowing, full grain size). ​</w:t>
            </w:r>
          </w:p>
        </w:tc>
      </w:tr>
      <w:tr w:rsidR="00594D1C" w:rsidRPr="00594D1C" w14:paraId="7E8BB523"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65EADF77" w14:textId="55DB7DEE"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Morphological/yield traits (5 random plants/replication)</w:t>
            </w:r>
            <w:r>
              <w:rPr>
                <w:rFonts w:ascii="Times New Roman" w:eastAsia="Times New Roman" w:hAnsi="Times New Roman" w:cs="Times New Roman"/>
                <w:color w:val="000000"/>
                <w:sz w:val="24"/>
                <w:szCs w:val="24"/>
              </w:rPr>
              <w:t>.</w:t>
            </w:r>
          </w:p>
        </w:tc>
      </w:tr>
      <w:tr w:rsidR="00594D1C" w:rsidRPr="00594D1C" w14:paraId="32AF9C9A"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50B108E8" w14:textId="143A3D6C"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Plant height (cm): Soil surface to tallest spike tip (excl. flag leaf). ​</w:t>
            </w:r>
          </w:p>
        </w:tc>
      </w:tr>
      <w:tr w:rsidR="00594D1C" w:rsidRPr="00594D1C" w14:paraId="1E4ED56A"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16177E24" w14:textId="4190C19A"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Effective tillers/plant: Grain-bearing tillers at flowering (3 plants). ​</w:t>
            </w:r>
          </w:p>
        </w:tc>
      </w:tr>
      <w:tr w:rsidR="00594D1C" w:rsidRPr="00594D1C" w14:paraId="2073A9B5"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515E0F09" w14:textId="669558A7"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Spike length (cm): Base to tip awns (3 plants). ​</w:t>
            </w:r>
          </w:p>
        </w:tc>
      </w:tr>
      <w:tr w:rsidR="00594D1C" w:rsidRPr="00594D1C" w14:paraId="5A5C7F9C"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10424BA4" w14:textId="77777777"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proofErr w:type="spellStart"/>
            <w:r w:rsidRPr="00594D1C">
              <w:rPr>
                <w:rFonts w:ascii="Times New Roman" w:eastAsia="Times New Roman" w:hAnsi="Times New Roman" w:cs="Times New Roman"/>
                <w:color w:val="000000"/>
                <w:sz w:val="24"/>
                <w:szCs w:val="24"/>
              </w:rPr>
              <w:t>Spikelets</w:t>
            </w:r>
            <w:proofErr w:type="spellEnd"/>
            <w:r w:rsidRPr="00594D1C">
              <w:rPr>
                <w:rFonts w:ascii="Times New Roman" w:eastAsia="Times New Roman" w:hAnsi="Times New Roman" w:cs="Times New Roman"/>
                <w:color w:val="000000"/>
                <w:sz w:val="24"/>
                <w:szCs w:val="24"/>
              </w:rPr>
              <w:t>/spike: Count on main spike post-threshing (5 spikes</w:t>
            </w:r>
            <w:proofErr w:type="gramStart"/>
            <w:r w:rsidRPr="00594D1C">
              <w:rPr>
                <w:rFonts w:ascii="Times New Roman" w:eastAsia="Times New Roman" w:hAnsi="Times New Roman" w:cs="Times New Roman"/>
                <w:color w:val="000000"/>
                <w:sz w:val="24"/>
                <w:szCs w:val="24"/>
              </w:rPr>
              <w:t>).​</w:t>
            </w:r>
            <w:proofErr w:type="gramEnd"/>
          </w:p>
        </w:tc>
      </w:tr>
      <w:tr w:rsidR="00594D1C" w:rsidRPr="00594D1C" w14:paraId="563C9145"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299863E2" w14:textId="77777777"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Grains/spike: Total grains on main spike (5 plants</w:t>
            </w:r>
            <w:proofErr w:type="gramStart"/>
            <w:r w:rsidRPr="00594D1C">
              <w:rPr>
                <w:rFonts w:ascii="Times New Roman" w:eastAsia="Times New Roman" w:hAnsi="Times New Roman" w:cs="Times New Roman"/>
                <w:color w:val="000000"/>
                <w:sz w:val="24"/>
                <w:szCs w:val="24"/>
              </w:rPr>
              <w:t>).​</w:t>
            </w:r>
            <w:proofErr w:type="gramEnd"/>
          </w:p>
        </w:tc>
      </w:tr>
      <w:tr w:rsidR="00594D1C" w:rsidRPr="00594D1C" w14:paraId="7E850864"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6C9DD86F" w14:textId="77777777"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 xml:space="preserve">1000-seed weight (g): Random sample weighed </w:t>
            </w:r>
            <w:proofErr w:type="gramStart"/>
            <w:r w:rsidRPr="00594D1C">
              <w:rPr>
                <w:rFonts w:ascii="Times New Roman" w:eastAsia="Times New Roman" w:hAnsi="Times New Roman" w:cs="Times New Roman"/>
                <w:color w:val="000000"/>
                <w:sz w:val="24"/>
                <w:szCs w:val="24"/>
              </w:rPr>
              <w:t>precisely.​</w:t>
            </w:r>
            <w:proofErr w:type="gramEnd"/>
          </w:p>
        </w:tc>
      </w:tr>
      <w:tr w:rsidR="00594D1C" w:rsidRPr="00594D1C" w14:paraId="2017D247" w14:textId="77777777" w:rsidTr="00594D1C">
        <w:trPr>
          <w:trHeight w:val="285"/>
        </w:trPr>
        <w:tc>
          <w:tcPr>
            <w:tcW w:w="8725" w:type="dxa"/>
            <w:tcBorders>
              <w:top w:val="nil"/>
              <w:left w:val="single" w:sz="4" w:space="0" w:color="auto"/>
              <w:bottom w:val="single" w:sz="4" w:space="0" w:color="auto"/>
              <w:right w:val="single" w:sz="4" w:space="0" w:color="auto"/>
            </w:tcBorders>
            <w:shd w:val="clear" w:color="auto" w:fill="auto"/>
            <w:hideMark/>
          </w:tcPr>
          <w:p w14:paraId="0AA42FFD" w14:textId="77777777" w:rsid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 xml:space="preserve">Biological/seed yield/plant (g): Harvest, dry, weigh above-ground biomass/grains </w:t>
            </w:r>
          </w:p>
          <w:p w14:paraId="509FDE16" w14:textId="34BB25C1"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(3 plants</w:t>
            </w:r>
            <w:proofErr w:type="gramStart"/>
            <w:r w:rsidRPr="00594D1C">
              <w:rPr>
                <w:rFonts w:ascii="Times New Roman" w:eastAsia="Times New Roman" w:hAnsi="Times New Roman" w:cs="Times New Roman"/>
                <w:color w:val="000000"/>
                <w:sz w:val="24"/>
                <w:szCs w:val="24"/>
              </w:rPr>
              <w:t>).​</w:t>
            </w:r>
            <w:proofErr w:type="gramEnd"/>
          </w:p>
        </w:tc>
      </w:tr>
      <w:tr w:rsidR="00594D1C" w:rsidRPr="00594D1C" w14:paraId="62926AB5"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vAlign w:val="bottom"/>
            <w:hideMark/>
          </w:tcPr>
          <w:p w14:paraId="4CEAB0EE" w14:textId="77777777" w:rsidR="00594D1C" w:rsidRPr="00594D1C" w:rsidRDefault="00594D1C" w:rsidP="00594D1C">
            <w:pPr>
              <w:spacing w:after="0" w:line="240" w:lineRule="auto"/>
              <w:ind w:right="78"/>
              <w:jc w:val="both"/>
              <w:rPr>
                <w:rFonts w:ascii="Times New Roman" w:eastAsia="Times New Roman" w:hAnsi="Times New Roman" w:cs="Times New Roman"/>
                <w:b/>
                <w:bCs/>
                <w:color w:val="000000"/>
                <w:sz w:val="24"/>
                <w:szCs w:val="24"/>
              </w:rPr>
            </w:pPr>
            <w:r w:rsidRPr="00594D1C">
              <w:rPr>
                <w:rFonts w:ascii="Times New Roman" w:eastAsia="Times New Roman" w:hAnsi="Times New Roman" w:cs="Times New Roman"/>
                <w:b/>
                <w:bCs/>
                <w:color w:val="000000"/>
                <w:sz w:val="24"/>
                <w:szCs w:val="24"/>
              </w:rPr>
              <w:t>Quality traits (milled grain samples):</w:t>
            </w:r>
          </w:p>
        </w:tc>
      </w:tr>
      <w:tr w:rsidR="00594D1C" w:rsidRPr="00594D1C" w14:paraId="7DECC453"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hideMark/>
          </w:tcPr>
          <w:p w14:paraId="26149033" w14:textId="5EB3CB82"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Zn/Fe (ppm): Atomic absorption spectrophotometry. ​</w:t>
            </w:r>
          </w:p>
        </w:tc>
      </w:tr>
      <w:tr w:rsidR="00594D1C" w:rsidRPr="00594D1C" w14:paraId="1E648D55" w14:textId="77777777" w:rsidTr="00594D1C">
        <w:trPr>
          <w:trHeight w:val="315"/>
        </w:trPr>
        <w:tc>
          <w:tcPr>
            <w:tcW w:w="8725" w:type="dxa"/>
            <w:tcBorders>
              <w:top w:val="nil"/>
              <w:left w:val="single" w:sz="4" w:space="0" w:color="auto"/>
              <w:bottom w:val="single" w:sz="4" w:space="0" w:color="auto"/>
              <w:right w:val="single" w:sz="4" w:space="0" w:color="auto"/>
            </w:tcBorders>
            <w:shd w:val="clear" w:color="auto" w:fill="auto"/>
            <w:vAlign w:val="bottom"/>
            <w:hideMark/>
          </w:tcPr>
          <w:p w14:paraId="7F348F25" w14:textId="77777777" w:rsidR="00594D1C" w:rsidRPr="00594D1C" w:rsidRDefault="00594D1C" w:rsidP="00594D1C">
            <w:pPr>
              <w:spacing w:after="0" w:line="240" w:lineRule="auto"/>
              <w:ind w:right="78"/>
              <w:jc w:val="both"/>
              <w:rPr>
                <w:rFonts w:ascii="Times New Roman" w:eastAsia="Times New Roman" w:hAnsi="Times New Roman" w:cs="Times New Roman"/>
                <w:color w:val="000000"/>
                <w:sz w:val="24"/>
                <w:szCs w:val="24"/>
              </w:rPr>
            </w:pPr>
            <w:r w:rsidRPr="00594D1C">
              <w:rPr>
                <w:rFonts w:ascii="Times New Roman" w:eastAsia="Times New Roman" w:hAnsi="Times New Roman" w:cs="Times New Roman"/>
                <w:color w:val="000000"/>
                <w:sz w:val="24"/>
                <w:szCs w:val="24"/>
              </w:rPr>
              <w:t xml:space="preserve">Protein: </w:t>
            </w:r>
            <w:proofErr w:type="spellStart"/>
            <w:r w:rsidRPr="00594D1C">
              <w:rPr>
                <w:rFonts w:ascii="Times New Roman" w:eastAsia="Times New Roman" w:hAnsi="Times New Roman" w:cs="Times New Roman"/>
                <w:color w:val="000000"/>
                <w:sz w:val="24"/>
                <w:szCs w:val="24"/>
              </w:rPr>
              <w:t>Kjeldahl</w:t>
            </w:r>
            <w:proofErr w:type="spellEnd"/>
            <w:r w:rsidRPr="00594D1C">
              <w:rPr>
                <w:rFonts w:ascii="Times New Roman" w:eastAsia="Times New Roman" w:hAnsi="Times New Roman" w:cs="Times New Roman"/>
                <w:color w:val="000000"/>
                <w:sz w:val="24"/>
                <w:szCs w:val="24"/>
              </w:rPr>
              <w:t xml:space="preserve"> </w:t>
            </w:r>
            <w:proofErr w:type="gramStart"/>
            <w:r w:rsidRPr="00594D1C">
              <w:rPr>
                <w:rFonts w:ascii="Times New Roman" w:eastAsia="Times New Roman" w:hAnsi="Times New Roman" w:cs="Times New Roman"/>
                <w:color w:val="000000"/>
                <w:sz w:val="24"/>
                <w:szCs w:val="24"/>
              </w:rPr>
              <w:t>method.​</w:t>
            </w:r>
            <w:proofErr w:type="gramEnd"/>
          </w:p>
        </w:tc>
      </w:tr>
    </w:tbl>
    <w:p w14:paraId="7F4B511E" w14:textId="77777777" w:rsidR="00594D1C" w:rsidRDefault="00594D1C" w:rsidP="00594D1C">
      <w:pPr>
        <w:spacing w:after="210"/>
        <w:jc w:val="center"/>
        <w:rPr>
          <w:rFonts w:ascii="Times New Roman" w:hAnsi="Times New Roman" w:cs="Times New Roman"/>
          <w:color w:val="FF0000"/>
          <w:sz w:val="22"/>
        </w:rPr>
      </w:pPr>
    </w:p>
    <w:sectPr w:rsidR="00594D1C">
      <w:headerReference w:type="even" r:id="rId20"/>
      <w:headerReference w:type="default" r:id="rId21"/>
      <w:footerReference w:type="even" r:id="rId22"/>
      <w:footerReference w:type="default" r:id="rId23"/>
      <w:headerReference w:type="first" r:id="rId24"/>
      <w:footerReference w:type="first" r:id="rId25"/>
      <w:pgSz w:w="12240" w:h="15840"/>
      <w:pgMar w:top="1170"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33159" w14:textId="77777777" w:rsidR="00DC6AD7" w:rsidRDefault="00DC6AD7">
      <w:pPr>
        <w:spacing w:line="240" w:lineRule="auto"/>
      </w:pPr>
      <w:r>
        <w:separator/>
      </w:r>
    </w:p>
  </w:endnote>
  <w:endnote w:type="continuationSeparator" w:id="0">
    <w:p w14:paraId="664453E5" w14:textId="77777777" w:rsidR="00DC6AD7" w:rsidRDefault="00DC6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48F9" w14:textId="77777777" w:rsidR="003D0F59" w:rsidRDefault="003D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F2ED" w14:textId="77777777" w:rsidR="003D0F59" w:rsidRDefault="003D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9A45" w14:textId="77777777" w:rsidR="003D0F59" w:rsidRDefault="003D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A8621" w14:textId="77777777" w:rsidR="00DC6AD7" w:rsidRDefault="00DC6AD7">
      <w:pPr>
        <w:spacing w:after="0" w:line="240" w:lineRule="auto"/>
      </w:pPr>
      <w:r>
        <w:separator/>
      </w:r>
    </w:p>
  </w:footnote>
  <w:footnote w:type="continuationSeparator" w:id="0">
    <w:p w14:paraId="7233103A" w14:textId="77777777" w:rsidR="00DC6AD7" w:rsidRDefault="00DC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8831" w14:textId="77777777" w:rsidR="003D0F59" w:rsidRDefault="00DC6AD7">
    <w:pPr>
      <w:pStyle w:val="Header"/>
    </w:pPr>
    <w:r>
      <w:pict w14:anchorId="5AA27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60" o:spid="_x0000_s2050" type="#_x0000_t136" style="position:absolute;margin-left:0;margin-top:0;width:553.35pt;height:59.2pt;rotation:315;z-index:-251656192;mso-position-horizontal:center;mso-position-horizontal-relative:margin;mso-position-vertical:center;mso-position-vertical-relative:margin;mso-width-relative:page;mso-height-relative:page" o:allowincell="f" fillcolor="silver" stroked="f">
          <v:fill opacity=".5"/>
          <v:textpath style="font-family:&quot;Georgi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23D3" w14:textId="77777777" w:rsidR="003D0F59" w:rsidRDefault="00DC6AD7">
    <w:pPr>
      <w:pStyle w:val="Header"/>
    </w:pPr>
    <w:r>
      <w:pict w14:anchorId="3482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61" o:spid="_x0000_s2051" type="#_x0000_t136" style="position:absolute;margin-left:0;margin-top:0;width:553.35pt;height:59.2pt;rotation:315;z-index:-251655168;mso-position-horizontal:center;mso-position-horizontal-relative:margin;mso-position-vertical:center;mso-position-vertical-relative:margin;mso-width-relative:page;mso-height-relative:page" o:allowincell="f" fillcolor="silver" stroked="f">
          <v:fill opacity=".5"/>
          <v:textpath style="font-family:&quot;Georgi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ACA3" w14:textId="77777777" w:rsidR="003D0F59" w:rsidRDefault="00DC6AD7">
    <w:pPr>
      <w:pStyle w:val="Header"/>
    </w:pPr>
    <w:r>
      <w:pict w14:anchorId="49189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843859" o:spid="_x0000_s2049" type="#_x0000_t136" style="position:absolute;margin-left:0;margin-top:0;width:553.35pt;height:59.2pt;rotation:315;z-index:-251657216;mso-position-horizontal:center;mso-position-horizontal-relative:margin;mso-position-vertical:center;mso-position-vertical-relative:margin;mso-width-relative:page;mso-height-relative:page" o:allowincell="f" fillcolor="silver" stroked="f">
          <v:fill opacity=".5"/>
          <v:textpath style="font-family:&quot;Georgi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55951"/>
    <w:multiLevelType w:val="multilevel"/>
    <w:tmpl w:val="29F55951"/>
    <w:lvl w:ilvl="0">
      <w:start w:val="1"/>
      <w:numFmt w:val="upperRoman"/>
      <w:lvlText w:val="%1."/>
      <w:lvlJc w:val="right"/>
      <w:pPr>
        <w:tabs>
          <w:tab w:val="left" w:pos="108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262DB9"/>
    <w:multiLevelType w:val="multilevel"/>
    <w:tmpl w:val="65262DB9"/>
    <w:lvl w:ilvl="0">
      <w:start w:val="1"/>
      <w:numFmt w:val="upperRoman"/>
      <w:lvlText w:val="%1."/>
      <w:lvlJc w:val="right"/>
      <w:pPr>
        <w:tabs>
          <w:tab w:val="left" w:pos="108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7913EE"/>
    <w:multiLevelType w:val="multilevel"/>
    <w:tmpl w:val="657913EE"/>
    <w:lvl w:ilvl="0">
      <w:start w:val="1"/>
      <w:numFmt w:val="upperRoman"/>
      <w:lvlText w:val="%1."/>
      <w:lvlJc w:val="right"/>
      <w:pPr>
        <w:tabs>
          <w:tab w:val="left" w:pos="108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AC"/>
    <w:rsid w:val="000453FB"/>
    <w:rsid w:val="000970B3"/>
    <w:rsid w:val="000B4CA3"/>
    <w:rsid w:val="00121D93"/>
    <w:rsid w:val="001456B0"/>
    <w:rsid w:val="001501C7"/>
    <w:rsid w:val="00155893"/>
    <w:rsid w:val="00160668"/>
    <w:rsid w:val="001618E5"/>
    <w:rsid w:val="001747D5"/>
    <w:rsid w:val="001C328E"/>
    <w:rsid w:val="001C551A"/>
    <w:rsid w:val="001E2630"/>
    <w:rsid w:val="002214D6"/>
    <w:rsid w:val="00240178"/>
    <w:rsid w:val="002816BB"/>
    <w:rsid w:val="00281745"/>
    <w:rsid w:val="00294625"/>
    <w:rsid w:val="002A4D83"/>
    <w:rsid w:val="002E5F04"/>
    <w:rsid w:val="00355D97"/>
    <w:rsid w:val="00360822"/>
    <w:rsid w:val="00377CAC"/>
    <w:rsid w:val="003D0F59"/>
    <w:rsid w:val="003E33FF"/>
    <w:rsid w:val="004004FD"/>
    <w:rsid w:val="00441613"/>
    <w:rsid w:val="00447C61"/>
    <w:rsid w:val="004705CA"/>
    <w:rsid w:val="004959E7"/>
    <w:rsid w:val="004A6324"/>
    <w:rsid w:val="004C40E6"/>
    <w:rsid w:val="00525FD4"/>
    <w:rsid w:val="005337D4"/>
    <w:rsid w:val="005357EE"/>
    <w:rsid w:val="00582657"/>
    <w:rsid w:val="00594D1C"/>
    <w:rsid w:val="005B3FBA"/>
    <w:rsid w:val="005B4A36"/>
    <w:rsid w:val="005C06F6"/>
    <w:rsid w:val="006452A8"/>
    <w:rsid w:val="00665691"/>
    <w:rsid w:val="006A6CA4"/>
    <w:rsid w:val="006C09AC"/>
    <w:rsid w:val="006E426B"/>
    <w:rsid w:val="006F06DF"/>
    <w:rsid w:val="00732B80"/>
    <w:rsid w:val="007842A6"/>
    <w:rsid w:val="007D3B33"/>
    <w:rsid w:val="007E148D"/>
    <w:rsid w:val="007E1554"/>
    <w:rsid w:val="008174B1"/>
    <w:rsid w:val="008630B6"/>
    <w:rsid w:val="00866B05"/>
    <w:rsid w:val="00872D8C"/>
    <w:rsid w:val="008A6384"/>
    <w:rsid w:val="008E2C39"/>
    <w:rsid w:val="008F21D7"/>
    <w:rsid w:val="00900A90"/>
    <w:rsid w:val="00917BD5"/>
    <w:rsid w:val="00951FDD"/>
    <w:rsid w:val="00962C94"/>
    <w:rsid w:val="0099520C"/>
    <w:rsid w:val="009B4CCB"/>
    <w:rsid w:val="009F030D"/>
    <w:rsid w:val="00A57DED"/>
    <w:rsid w:val="00A86492"/>
    <w:rsid w:val="00AC14AE"/>
    <w:rsid w:val="00AE556E"/>
    <w:rsid w:val="00B101D8"/>
    <w:rsid w:val="00B13425"/>
    <w:rsid w:val="00B50F5C"/>
    <w:rsid w:val="00B80F90"/>
    <w:rsid w:val="00B82308"/>
    <w:rsid w:val="00B85A9A"/>
    <w:rsid w:val="00BA7533"/>
    <w:rsid w:val="00BD0974"/>
    <w:rsid w:val="00C02082"/>
    <w:rsid w:val="00C20033"/>
    <w:rsid w:val="00C23FE3"/>
    <w:rsid w:val="00C87386"/>
    <w:rsid w:val="00CB3843"/>
    <w:rsid w:val="00CC63BB"/>
    <w:rsid w:val="00CF1984"/>
    <w:rsid w:val="00D24982"/>
    <w:rsid w:val="00D403D4"/>
    <w:rsid w:val="00D4079F"/>
    <w:rsid w:val="00D66FE0"/>
    <w:rsid w:val="00DC0B60"/>
    <w:rsid w:val="00DC6AD7"/>
    <w:rsid w:val="00DF42DA"/>
    <w:rsid w:val="00E30ACE"/>
    <w:rsid w:val="00E46068"/>
    <w:rsid w:val="00E76C89"/>
    <w:rsid w:val="00E81CD6"/>
    <w:rsid w:val="00EA0BDD"/>
    <w:rsid w:val="00EB4DC1"/>
    <w:rsid w:val="00F03B90"/>
    <w:rsid w:val="00F1457A"/>
    <w:rsid w:val="00F25084"/>
    <w:rsid w:val="00F73E96"/>
    <w:rsid w:val="00F74648"/>
    <w:rsid w:val="00F900B2"/>
    <w:rsid w:val="00FA1A43"/>
    <w:rsid w:val="00FA2458"/>
    <w:rsid w:val="00FB1D63"/>
    <w:rsid w:val="42E21831"/>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288280"/>
  <w15:docId w15:val="{7D0B0A83-E08A-450F-A4E6-BE99FBC5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40" w:lineRule="atLeast"/>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asciiTheme="minorHAnsi" w:eastAsiaTheme="minorEastAsia"/>
      <w:szCs w:val="21"/>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rPr>
      <w:rFonts w:ascii="Consolas" w:hAnsi="Consolas"/>
      <w:sz w:val="22"/>
    </w:rPr>
  </w:style>
  <w:style w:type="table" w:customStyle="1" w:styleId="NormalGrid">
    <w:name w:val="Normal Grid"/>
    <w:basedOn w:val="TableNormal"/>
    <w:uiPriority w:val="39"/>
    <w:tblPr>
      <w:tblCellMar>
        <w:top w:w="80" w:type="dxa"/>
        <w:left w:w="160" w:type="dxa"/>
        <w:bottom w:w="80" w:type="dxa"/>
        <w:right w:w="160" w:type="dxa"/>
      </w:tblCellMar>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rsid w:val="00E81CD6"/>
    <w:rPr>
      <w:rFonts w:ascii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4177">
      <w:bodyDiv w:val="1"/>
      <w:marLeft w:val="0"/>
      <w:marRight w:val="0"/>
      <w:marTop w:val="0"/>
      <w:marBottom w:val="0"/>
      <w:divBdr>
        <w:top w:val="none" w:sz="0" w:space="0" w:color="auto"/>
        <w:left w:val="none" w:sz="0" w:space="0" w:color="auto"/>
        <w:bottom w:val="none" w:sz="0" w:space="0" w:color="auto"/>
        <w:right w:val="none" w:sz="0" w:space="0" w:color="auto"/>
      </w:divBdr>
    </w:div>
    <w:div w:id="127360433">
      <w:bodyDiv w:val="1"/>
      <w:marLeft w:val="0"/>
      <w:marRight w:val="0"/>
      <w:marTop w:val="0"/>
      <w:marBottom w:val="0"/>
      <w:divBdr>
        <w:top w:val="none" w:sz="0" w:space="0" w:color="auto"/>
        <w:left w:val="none" w:sz="0" w:space="0" w:color="auto"/>
        <w:bottom w:val="none" w:sz="0" w:space="0" w:color="auto"/>
        <w:right w:val="none" w:sz="0" w:space="0" w:color="auto"/>
      </w:divBdr>
    </w:div>
    <w:div w:id="358705899">
      <w:bodyDiv w:val="1"/>
      <w:marLeft w:val="0"/>
      <w:marRight w:val="0"/>
      <w:marTop w:val="0"/>
      <w:marBottom w:val="0"/>
      <w:divBdr>
        <w:top w:val="none" w:sz="0" w:space="0" w:color="auto"/>
        <w:left w:val="none" w:sz="0" w:space="0" w:color="auto"/>
        <w:bottom w:val="none" w:sz="0" w:space="0" w:color="auto"/>
        <w:right w:val="none" w:sz="0" w:space="0" w:color="auto"/>
      </w:divBdr>
    </w:div>
    <w:div w:id="572666802">
      <w:bodyDiv w:val="1"/>
      <w:marLeft w:val="0"/>
      <w:marRight w:val="0"/>
      <w:marTop w:val="0"/>
      <w:marBottom w:val="0"/>
      <w:divBdr>
        <w:top w:val="none" w:sz="0" w:space="0" w:color="auto"/>
        <w:left w:val="none" w:sz="0" w:space="0" w:color="auto"/>
        <w:bottom w:val="none" w:sz="0" w:space="0" w:color="auto"/>
        <w:right w:val="none" w:sz="0" w:space="0" w:color="auto"/>
      </w:divBdr>
    </w:div>
    <w:div w:id="721976886">
      <w:bodyDiv w:val="1"/>
      <w:marLeft w:val="0"/>
      <w:marRight w:val="0"/>
      <w:marTop w:val="0"/>
      <w:marBottom w:val="0"/>
      <w:divBdr>
        <w:top w:val="none" w:sz="0" w:space="0" w:color="auto"/>
        <w:left w:val="none" w:sz="0" w:space="0" w:color="auto"/>
        <w:bottom w:val="none" w:sz="0" w:space="0" w:color="auto"/>
        <w:right w:val="none" w:sz="0" w:space="0" w:color="auto"/>
      </w:divBdr>
    </w:div>
    <w:div w:id="754596296">
      <w:bodyDiv w:val="1"/>
      <w:marLeft w:val="0"/>
      <w:marRight w:val="0"/>
      <w:marTop w:val="0"/>
      <w:marBottom w:val="0"/>
      <w:divBdr>
        <w:top w:val="none" w:sz="0" w:space="0" w:color="auto"/>
        <w:left w:val="none" w:sz="0" w:space="0" w:color="auto"/>
        <w:bottom w:val="none" w:sz="0" w:space="0" w:color="auto"/>
        <w:right w:val="none" w:sz="0" w:space="0" w:color="auto"/>
      </w:divBdr>
    </w:div>
    <w:div w:id="868223087">
      <w:bodyDiv w:val="1"/>
      <w:marLeft w:val="0"/>
      <w:marRight w:val="0"/>
      <w:marTop w:val="0"/>
      <w:marBottom w:val="0"/>
      <w:divBdr>
        <w:top w:val="none" w:sz="0" w:space="0" w:color="auto"/>
        <w:left w:val="none" w:sz="0" w:space="0" w:color="auto"/>
        <w:bottom w:val="none" w:sz="0" w:space="0" w:color="auto"/>
        <w:right w:val="none" w:sz="0" w:space="0" w:color="auto"/>
      </w:divBdr>
    </w:div>
    <w:div w:id="1157845983">
      <w:bodyDiv w:val="1"/>
      <w:marLeft w:val="0"/>
      <w:marRight w:val="0"/>
      <w:marTop w:val="0"/>
      <w:marBottom w:val="0"/>
      <w:divBdr>
        <w:top w:val="none" w:sz="0" w:space="0" w:color="auto"/>
        <w:left w:val="none" w:sz="0" w:space="0" w:color="auto"/>
        <w:bottom w:val="none" w:sz="0" w:space="0" w:color="auto"/>
        <w:right w:val="none" w:sz="0" w:space="0" w:color="auto"/>
      </w:divBdr>
    </w:div>
    <w:div w:id="1161429144">
      <w:bodyDiv w:val="1"/>
      <w:marLeft w:val="0"/>
      <w:marRight w:val="0"/>
      <w:marTop w:val="0"/>
      <w:marBottom w:val="0"/>
      <w:divBdr>
        <w:top w:val="none" w:sz="0" w:space="0" w:color="auto"/>
        <w:left w:val="none" w:sz="0" w:space="0" w:color="auto"/>
        <w:bottom w:val="none" w:sz="0" w:space="0" w:color="auto"/>
        <w:right w:val="none" w:sz="0" w:space="0" w:color="auto"/>
      </w:divBdr>
    </w:div>
    <w:div w:id="1445925793">
      <w:bodyDiv w:val="1"/>
      <w:marLeft w:val="0"/>
      <w:marRight w:val="0"/>
      <w:marTop w:val="0"/>
      <w:marBottom w:val="0"/>
      <w:divBdr>
        <w:top w:val="none" w:sz="0" w:space="0" w:color="auto"/>
        <w:left w:val="none" w:sz="0" w:space="0" w:color="auto"/>
        <w:bottom w:val="none" w:sz="0" w:space="0" w:color="auto"/>
        <w:right w:val="none" w:sz="0" w:space="0" w:color="auto"/>
      </w:divBdr>
    </w:div>
    <w:div w:id="1696038806">
      <w:bodyDiv w:val="1"/>
      <w:marLeft w:val="0"/>
      <w:marRight w:val="0"/>
      <w:marTop w:val="0"/>
      <w:marBottom w:val="0"/>
      <w:divBdr>
        <w:top w:val="none" w:sz="0" w:space="0" w:color="auto"/>
        <w:left w:val="none" w:sz="0" w:space="0" w:color="auto"/>
        <w:bottom w:val="none" w:sz="0" w:space="0" w:color="auto"/>
        <w:right w:val="none" w:sz="0" w:space="0" w:color="auto"/>
      </w:divBdr>
    </w:div>
    <w:div w:id="1749841912">
      <w:bodyDiv w:val="1"/>
      <w:marLeft w:val="0"/>
      <w:marRight w:val="0"/>
      <w:marTop w:val="0"/>
      <w:marBottom w:val="0"/>
      <w:divBdr>
        <w:top w:val="none" w:sz="0" w:space="0" w:color="auto"/>
        <w:left w:val="none" w:sz="0" w:space="0" w:color="auto"/>
        <w:bottom w:val="none" w:sz="0" w:space="0" w:color="auto"/>
        <w:right w:val="none" w:sz="0" w:space="0" w:color="auto"/>
      </w:divBdr>
    </w:div>
    <w:div w:id="175331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kbs.org/pjbot/pdfs/40(5)/2087-2097.pdf" TargetMode="External"/><Relationship Id="rId13" Type="http://schemas.openxmlformats.org/officeDocument/2006/relationships/hyperlink" Target="http://www.iiste.org/Journals/index.php/JBAH/article/view/25628" TargetMode="External"/><Relationship Id="rId18" Type="http://schemas.openxmlformats.org/officeDocument/2006/relationships/hyperlink" Target="https://www.researchtrend.net/bfij/bfij_v15n2_2023/365-37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atalogue.nla.gov.au/Record/706707" TargetMode="External"/><Relationship Id="rId17" Type="http://schemas.openxmlformats.org/officeDocument/2006/relationships/hyperlink" Target="https://doi.org/10.1007/s44279-025-00167-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pubs.icar.org.in/index.php/IJGPB/article/view/120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hdy1969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0722-025-02573-y" TargetMode="External"/><Relationship Id="rId23" Type="http://schemas.openxmlformats.org/officeDocument/2006/relationships/footer" Target="footer2.xml"/><Relationship Id="rId10" Type="http://schemas.openxmlformats.org/officeDocument/2006/relationships/hyperlink" Target="https://www.fao.org/3/y4023e/y4023e00.htm" TargetMode="External"/><Relationship Id="rId19" Type="http://schemas.openxmlformats.org/officeDocument/2006/relationships/hyperlink" Target="https://doi.org/10.60151/envec/TITS4118" TargetMode="External"/><Relationship Id="rId4" Type="http://schemas.openxmlformats.org/officeDocument/2006/relationships/settings" Target="settings.xml"/><Relationship Id="rId9" Type="http://schemas.openxmlformats.org/officeDocument/2006/relationships/hyperlink" Target="https://doi.org/10.2134/AGRONJ1958.00021962005000100020X" TargetMode="External"/><Relationship Id="rId14" Type="http://schemas.openxmlformats.org/officeDocument/2006/relationships/hyperlink" Target="https://doi.org/10.9734/ijpss/2023/v35i20384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9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34CCE3-47FC-4F1D-A086-7CD07AA31937}">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5091</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SDI 1186</cp:lastModifiedBy>
  <cp:revision>85</cp:revision>
  <dcterms:created xsi:type="dcterms:W3CDTF">2025-12-06T17:03:00Z</dcterms:created>
  <dcterms:modified xsi:type="dcterms:W3CDTF">2026-01-13T06:48:00Z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d5d05627-d484-4262-b50f-1881fb5aa2c3</vt:lpwstr>
  </property>
  <property fmtid="{D5CDD505-2E9C-101B-9397-08002B2CF9AE}" pid="3" name="KSOProductBuildVer">
    <vt:lpwstr>1033-12.2.0.23196</vt:lpwstr>
  </property>
  <property fmtid="{D5CDD505-2E9C-101B-9397-08002B2CF9AE}" pid="4" name="ICV">
    <vt:lpwstr>46924CF36973459B82C3C44B52B63474_12</vt:lpwstr>
  </property>
</Properties>
</file>