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4.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theme/themeOverride10.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C10DA" w14:textId="05545FF0" w:rsidR="00D634B7" w:rsidRDefault="00D634B7" w:rsidP="005D154B">
      <w:pPr>
        <w:spacing w:after="0"/>
        <w:rPr>
          <w:rFonts w:ascii="Arial Black" w:hAnsi="Arial Black"/>
          <w:sz w:val="22"/>
          <w:szCs w:val="22"/>
        </w:rPr>
      </w:pPr>
      <w:bookmarkStart w:id="0" w:name="_Hlk217930878"/>
      <w:proofErr w:type="spellStart"/>
      <w:r w:rsidRPr="00D634B7">
        <w:rPr>
          <w:rFonts w:ascii="Arial Black" w:hAnsi="Arial Black"/>
          <w:sz w:val="22"/>
          <w:szCs w:val="22"/>
        </w:rPr>
        <w:t>Spatio-Temporal</w:t>
      </w:r>
      <w:proofErr w:type="spellEnd"/>
      <w:r w:rsidRPr="00D634B7">
        <w:rPr>
          <w:rFonts w:ascii="Arial Black" w:hAnsi="Arial Black"/>
          <w:sz w:val="22"/>
          <w:szCs w:val="22"/>
        </w:rPr>
        <w:t xml:space="preserve"> </w:t>
      </w:r>
      <w:proofErr w:type="spellStart"/>
      <w:r w:rsidRPr="00D634B7">
        <w:rPr>
          <w:rFonts w:ascii="Arial Black" w:hAnsi="Arial Black"/>
          <w:sz w:val="22"/>
          <w:szCs w:val="22"/>
        </w:rPr>
        <w:t>Analysis</w:t>
      </w:r>
      <w:proofErr w:type="spellEnd"/>
      <w:r w:rsidRPr="00D634B7">
        <w:rPr>
          <w:rFonts w:ascii="Arial Black" w:hAnsi="Arial Black"/>
          <w:sz w:val="22"/>
          <w:szCs w:val="22"/>
        </w:rPr>
        <w:t xml:space="preserve"> of </w:t>
      </w:r>
      <w:proofErr w:type="spellStart"/>
      <w:r w:rsidRPr="00D634B7">
        <w:rPr>
          <w:rFonts w:ascii="Arial Black" w:hAnsi="Arial Black"/>
          <w:sz w:val="22"/>
          <w:szCs w:val="22"/>
        </w:rPr>
        <w:t>Rainfall</w:t>
      </w:r>
      <w:proofErr w:type="spellEnd"/>
      <w:r w:rsidRPr="00D634B7">
        <w:rPr>
          <w:rFonts w:ascii="Arial Black" w:hAnsi="Arial Black"/>
          <w:sz w:val="22"/>
          <w:szCs w:val="22"/>
        </w:rPr>
        <w:t xml:space="preserve"> </w:t>
      </w:r>
      <w:proofErr w:type="spellStart"/>
      <w:r w:rsidRPr="00D634B7">
        <w:rPr>
          <w:rFonts w:ascii="Arial Black" w:hAnsi="Arial Black"/>
          <w:sz w:val="22"/>
          <w:szCs w:val="22"/>
        </w:rPr>
        <w:t>Variability</w:t>
      </w:r>
      <w:proofErr w:type="spellEnd"/>
      <w:r w:rsidRPr="00D634B7">
        <w:rPr>
          <w:rFonts w:ascii="Arial Black" w:hAnsi="Arial Black"/>
          <w:sz w:val="22"/>
          <w:szCs w:val="22"/>
        </w:rPr>
        <w:t xml:space="preserve"> in </w:t>
      </w:r>
      <w:r w:rsidR="00614B1E" w:rsidRPr="00D634B7">
        <w:rPr>
          <w:rFonts w:ascii="Arial Black" w:hAnsi="Arial Black"/>
          <w:sz w:val="22"/>
          <w:szCs w:val="22"/>
        </w:rPr>
        <w:t>LOUMBILA</w:t>
      </w:r>
      <w:r w:rsidRPr="00D634B7">
        <w:rPr>
          <w:rFonts w:ascii="Arial Black" w:hAnsi="Arial Black"/>
          <w:sz w:val="22"/>
          <w:szCs w:val="22"/>
        </w:rPr>
        <w:t xml:space="preserve"> </w:t>
      </w:r>
      <w:proofErr w:type="spellStart"/>
      <w:r w:rsidRPr="00D634B7">
        <w:rPr>
          <w:rFonts w:ascii="Arial Black" w:hAnsi="Arial Black"/>
          <w:sz w:val="22"/>
          <w:szCs w:val="22"/>
        </w:rPr>
        <w:t>Municipality</w:t>
      </w:r>
      <w:proofErr w:type="spellEnd"/>
      <w:r w:rsidRPr="00D634B7">
        <w:rPr>
          <w:rFonts w:ascii="Arial Black" w:hAnsi="Arial Black"/>
          <w:sz w:val="22"/>
          <w:szCs w:val="22"/>
        </w:rPr>
        <w:t>, Central Plateau, Burkina Faso</w:t>
      </w:r>
    </w:p>
    <w:p w14:paraId="4D0374E3" w14:textId="77777777" w:rsidR="00485CB4" w:rsidRPr="00485CB4" w:rsidRDefault="00485CB4" w:rsidP="00DE7FCE">
      <w:pPr>
        <w:spacing w:after="0" w:line="360" w:lineRule="auto"/>
        <w:rPr>
          <w:rFonts w:ascii="Arial Black" w:hAnsi="Arial Black" w:cs="Times New Roman"/>
          <w:bCs/>
          <w:sz w:val="22"/>
          <w:szCs w:val="22"/>
        </w:rPr>
      </w:pPr>
      <w:bookmarkStart w:id="1" w:name="_Hlk217930638"/>
    </w:p>
    <w:p w14:paraId="4F116370" w14:textId="045F09B1" w:rsidR="004B5FFC" w:rsidRPr="00485CB4" w:rsidRDefault="004B5FFC" w:rsidP="00DE7FCE">
      <w:pPr>
        <w:spacing w:after="0" w:line="360" w:lineRule="auto"/>
        <w:rPr>
          <w:rFonts w:ascii="Arial Black" w:hAnsi="Arial Black" w:cs="Times New Roman"/>
          <w:bCs/>
          <w:sz w:val="22"/>
          <w:szCs w:val="22"/>
        </w:rPr>
      </w:pPr>
      <w:r w:rsidRPr="00485CB4">
        <w:rPr>
          <w:rFonts w:ascii="Arial Black" w:hAnsi="Arial Black" w:cs="Times New Roman"/>
          <w:bCs/>
          <w:sz w:val="22"/>
          <w:szCs w:val="22"/>
        </w:rPr>
        <w:t>ABSTRAT</w:t>
      </w:r>
    </w:p>
    <w:p w14:paraId="4296EB52" w14:textId="39089D43" w:rsidR="00D634B7" w:rsidRPr="00350192" w:rsidRDefault="00D634B7" w:rsidP="00D634B7">
      <w:pPr>
        <w:spacing w:after="0" w:line="360" w:lineRule="auto"/>
        <w:rPr>
          <w:rFonts w:ascii="Arial Black" w:hAnsi="Arial Black"/>
          <w:b/>
          <w:bCs/>
          <w:sz w:val="22"/>
          <w:szCs w:val="22"/>
        </w:rPr>
      </w:pPr>
      <w:r w:rsidRPr="00350192">
        <w:rPr>
          <w:rFonts w:ascii="Arial Black" w:hAnsi="Arial Black"/>
          <w:b/>
          <w:bCs/>
          <w:sz w:val="22"/>
          <w:szCs w:val="22"/>
        </w:rPr>
        <w:t xml:space="preserve">This </w:t>
      </w:r>
      <w:proofErr w:type="spellStart"/>
      <w:r w:rsidRPr="00350192">
        <w:rPr>
          <w:rFonts w:ascii="Arial Black" w:hAnsi="Arial Black"/>
          <w:b/>
          <w:bCs/>
          <w:sz w:val="22"/>
          <w:szCs w:val="22"/>
        </w:rPr>
        <w:t>study</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analyzes</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rainfall</w:t>
      </w:r>
      <w:proofErr w:type="spellEnd"/>
      <w:r w:rsidRPr="00350192">
        <w:rPr>
          <w:rFonts w:ascii="Arial Black" w:hAnsi="Arial Black"/>
          <w:b/>
          <w:bCs/>
          <w:sz w:val="22"/>
          <w:szCs w:val="22"/>
        </w:rPr>
        <w:t xml:space="preserve"> data </w:t>
      </w:r>
      <w:proofErr w:type="spellStart"/>
      <w:r w:rsidRPr="00350192">
        <w:rPr>
          <w:rFonts w:ascii="Arial Black" w:hAnsi="Arial Black"/>
          <w:b/>
          <w:bCs/>
          <w:sz w:val="22"/>
          <w:szCs w:val="22"/>
        </w:rPr>
        <w:t>collected</w:t>
      </w:r>
      <w:proofErr w:type="spellEnd"/>
      <w:r w:rsidRPr="00350192">
        <w:rPr>
          <w:rFonts w:ascii="Arial Black" w:hAnsi="Arial Black"/>
          <w:b/>
          <w:bCs/>
          <w:sz w:val="22"/>
          <w:szCs w:val="22"/>
        </w:rPr>
        <w:t xml:space="preserve"> in the </w:t>
      </w:r>
      <w:proofErr w:type="spellStart"/>
      <w:r w:rsidRPr="00350192">
        <w:rPr>
          <w:rFonts w:ascii="Arial Black" w:hAnsi="Arial Black"/>
          <w:b/>
          <w:bCs/>
          <w:sz w:val="22"/>
          <w:szCs w:val="22"/>
        </w:rPr>
        <w:t>Municipality</w:t>
      </w:r>
      <w:proofErr w:type="spellEnd"/>
      <w:r w:rsidRPr="00350192">
        <w:rPr>
          <w:rFonts w:ascii="Arial Black" w:hAnsi="Arial Black"/>
          <w:b/>
          <w:bCs/>
          <w:sz w:val="22"/>
          <w:szCs w:val="22"/>
        </w:rPr>
        <w:t xml:space="preserve"> of </w:t>
      </w:r>
      <w:r w:rsidR="00614B1E" w:rsidRPr="00350192">
        <w:rPr>
          <w:rFonts w:ascii="Arial Black" w:hAnsi="Arial Black"/>
          <w:b/>
          <w:bCs/>
          <w:sz w:val="22"/>
          <w:szCs w:val="22"/>
        </w:rPr>
        <w:t>Loumbila</w:t>
      </w:r>
      <w:r w:rsidRPr="00350192">
        <w:rPr>
          <w:rFonts w:ascii="Arial Black" w:hAnsi="Arial Black"/>
          <w:b/>
          <w:bCs/>
          <w:sz w:val="22"/>
          <w:szCs w:val="22"/>
        </w:rPr>
        <w:t xml:space="preserve">, </w:t>
      </w:r>
      <w:proofErr w:type="spellStart"/>
      <w:r w:rsidRPr="00350192">
        <w:rPr>
          <w:rFonts w:ascii="Arial Black" w:hAnsi="Arial Black"/>
          <w:b/>
          <w:bCs/>
          <w:sz w:val="22"/>
          <w:szCs w:val="22"/>
        </w:rPr>
        <w:t>located</w:t>
      </w:r>
      <w:proofErr w:type="spellEnd"/>
      <w:r w:rsidRPr="00350192">
        <w:rPr>
          <w:rFonts w:ascii="Arial Black" w:hAnsi="Arial Black"/>
          <w:b/>
          <w:bCs/>
          <w:sz w:val="22"/>
          <w:szCs w:val="22"/>
        </w:rPr>
        <w:t xml:space="preserve"> in Burkina </w:t>
      </w:r>
      <w:proofErr w:type="spellStart"/>
      <w:r w:rsidRPr="00350192">
        <w:rPr>
          <w:rFonts w:ascii="Arial Black" w:hAnsi="Arial Black"/>
          <w:b/>
          <w:bCs/>
          <w:sz w:val="22"/>
          <w:szCs w:val="22"/>
        </w:rPr>
        <w:t>Faso's</w:t>
      </w:r>
      <w:proofErr w:type="spellEnd"/>
      <w:r w:rsidRPr="00350192">
        <w:rPr>
          <w:rFonts w:ascii="Arial Black" w:hAnsi="Arial Black"/>
          <w:b/>
          <w:bCs/>
          <w:sz w:val="22"/>
          <w:szCs w:val="22"/>
        </w:rPr>
        <w:t xml:space="preserve"> Central Plateau, over a 30-year </w:t>
      </w:r>
      <w:proofErr w:type="spellStart"/>
      <w:r w:rsidRPr="00350192">
        <w:rPr>
          <w:rFonts w:ascii="Arial Black" w:hAnsi="Arial Black"/>
          <w:b/>
          <w:bCs/>
          <w:sz w:val="22"/>
          <w:szCs w:val="22"/>
        </w:rPr>
        <w:t>period</w:t>
      </w:r>
      <w:proofErr w:type="spellEnd"/>
      <w:r w:rsidRPr="00350192">
        <w:rPr>
          <w:rFonts w:ascii="Arial Black" w:hAnsi="Arial Black"/>
          <w:b/>
          <w:bCs/>
          <w:sz w:val="22"/>
          <w:szCs w:val="22"/>
        </w:rPr>
        <w:t xml:space="preserve"> (1992-2022). The </w:t>
      </w:r>
      <w:proofErr w:type="spellStart"/>
      <w:r w:rsidRPr="00350192">
        <w:rPr>
          <w:rFonts w:ascii="Arial Black" w:hAnsi="Arial Black"/>
          <w:b/>
          <w:bCs/>
          <w:sz w:val="22"/>
          <w:szCs w:val="22"/>
        </w:rPr>
        <w:t>analysis</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reveals</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significant</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precipitation</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variability</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characterized</w:t>
      </w:r>
      <w:proofErr w:type="spellEnd"/>
      <w:r w:rsidRPr="00350192">
        <w:rPr>
          <w:rFonts w:ascii="Arial Black" w:hAnsi="Arial Black"/>
          <w:b/>
          <w:bCs/>
          <w:sz w:val="22"/>
          <w:szCs w:val="22"/>
        </w:rPr>
        <w:t xml:space="preserve"> by </w:t>
      </w:r>
      <w:proofErr w:type="spellStart"/>
      <w:r w:rsidRPr="00350192">
        <w:rPr>
          <w:rFonts w:ascii="Arial Black" w:hAnsi="Arial Black"/>
          <w:b/>
          <w:bCs/>
          <w:sz w:val="22"/>
          <w:szCs w:val="22"/>
        </w:rPr>
        <w:t>alternating</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wet</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years</w:t>
      </w:r>
      <w:proofErr w:type="spellEnd"/>
      <w:r w:rsidRPr="00350192">
        <w:rPr>
          <w:rFonts w:ascii="Arial Black" w:hAnsi="Arial Black"/>
          <w:b/>
          <w:bCs/>
          <w:sz w:val="22"/>
          <w:szCs w:val="22"/>
        </w:rPr>
        <w:t xml:space="preserve"> and </w:t>
      </w:r>
      <w:proofErr w:type="spellStart"/>
      <w:r w:rsidRPr="00350192">
        <w:rPr>
          <w:rFonts w:ascii="Arial Black" w:hAnsi="Arial Black"/>
          <w:b/>
          <w:bCs/>
          <w:sz w:val="22"/>
          <w:szCs w:val="22"/>
        </w:rPr>
        <w:t>drought</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periods</w:t>
      </w:r>
      <w:proofErr w:type="spellEnd"/>
      <w:r w:rsidRPr="00350192">
        <w:rPr>
          <w:rFonts w:ascii="Arial Black" w:hAnsi="Arial Black"/>
          <w:b/>
          <w:bCs/>
          <w:sz w:val="22"/>
          <w:szCs w:val="22"/>
        </w:rPr>
        <w:t>.</w:t>
      </w:r>
    </w:p>
    <w:p w14:paraId="32CE87CD" w14:textId="77777777" w:rsidR="00D634B7" w:rsidRPr="00350192" w:rsidRDefault="00D634B7" w:rsidP="00D634B7">
      <w:pPr>
        <w:spacing w:after="0" w:line="360" w:lineRule="auto"/>
        <w:rPr>
          <w:rFonts w:ascii="Arial Black" w:hAnsi="Arial Black"/>
          <w:b/>
          <w:bCs/>
          <w:sz w:val="22"/>
          <w:szCs w:val="22"/>
        </w:rPr>
      </w:pPr>
      <w:r w:rsidRPr="00350192">
        <w:rPr>
          <w:rFonts w:ascii="Arial Black" w:hAnsi="Arial Black"/>
          <w:b/>
          <w:bCs/>
          <w:sz w:val="22"/>
          <w:szCs w:val="22"/>
        </w:rPr>
        <w:t xml:space="preserve">This </w:t>
      </w:r>
      <w:proofErr w:type="spellStart"/>
      <w:r w:rsidRPr="00350192">
        <w:rPr>
          <w:rFonts w:ascii="Arial Black" w:hAnsi="Arial Black"/>
          <w:b/>
          <w:bCs/>
          <w:sz w:val="22"/>
          <w:szCs w:val="22"/>
        </w:rPr>
        <w:t>irregularity</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manifests</w:t>
      </w:r>
      <w:proofErr w:type="spellEnd"/>
      <w:r w:rsidRPr="00350192">
        <w:rPr>
          <w:rFonts w:ascii="Arial Black" w:hAnsi="Arial Black"/>
          <w:b/>
          <w:bCs/>
          <w:sz w:val="22"/>
          <w:szCs w:val="22"/>
        </w:rPr>
        <w:t xml:space="preserve"> as </w:t>
      </w:r>
      <w:proofErr w:type="spellStart"/>
      <w:r w:rsidRPr="00350192">
        <w:rPr>
          <w:rFonts w:ascii="Arial Black" w:hAnsi="Arial Black"/>
          <w:b/>
          <w:bCs/>
          <w:sz w:val="22"/>
          <w:szCs w:val="22"/>
        </w:rPr>
        <w:t>highly</w:t>
      </w:r>
      <w:proofErr w:type="spellEnd"/>
      <w:r w:rsidRPr="00350192">
        <w:rPr>
          <w:rFonts w:ascii="Arial Black" w:hAnsi="Arial Black"/>
          <w:b/>
          <w:bCs/>
          <w:sz w:val="22"/>
          <w:szCs w:val="22"/>
        </w:rPr>
        <w:t xml:space="preserve"> variable </w:t>
      </w:r>
      <w:proofErr w:type="spellStart"/>
      <w:proofErr w:type="gramStart"/>
      <w:r w:rsidRPr="00350192">
        <w:rPr>
          <w:rFonts w:ascii="Arial Black" w:hAnsi="Arial Black"/>
          <w:b/>
          <w:bCs/>
          <w:sz w:val="22"/>
          <w:szCs w:val="22"/>
        </w:rPr>
        <w:t>rainfall</w:t>
      </w:r>
      <w:proofErr w:type="spellEnd"/>
      <w:r w:rsidRPr="00350192">
        <w:rPr>
          <w:rFonts w:ascii="Arial Black" w:hAnsi="Arial Black"/>
          <w:b/>
          <w:bCs/>
          <w:sz w:val="22"/>
          <w:szCs w:val="22"/>
        </w:rPr>
        <w:t>:</w:t>
      </w:r>
      <w:proofErr w:type="gramEnd"/>
      <w:r w:rsidRPr="00350192">
        <w:rPr>
          <w:rFonts w:ascii="Arial Black" w:hAnsi="Arial Black"/>
          <w:b/>
          <w:bCs/>
          <w:sz w:val="22"/>
          <w:szCs w:val="22"/>
        </w:rPr>
        <w:t xml:space="preserve"> </w:t>
      </w:r>
      <w:proofErr w:type="spellStart"/>
      <w:r w:rsidRPr="00350192">
        <w:rPr>
          <w:rFonts w:ascii="Arial Black" w:hAnsi="Arial Black"/>
          <w:b/>
          <w:bCs/>
          <w:sz w:val="22"/>
          <w:szCs w:val="22"/>
        </w:rPr>
        <w:t>annual</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totals</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dropping</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abruptly</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from</w:t>
      </w:r>
      <w:proofErr w:type="spellEnd"/>
      <w:r w:rsidRPr="00350192">
        <w:rPr>
          <w:rFonts w:ascii="Arial Black" w:hAnsi="Arial Black"/>
          <w:b/>
          <w:bCs/>
          <w:sz w:val="22"/>
          <w:szCs w:val="22"/>
        </w:rPr>
        <w:t xml:space="preserve"> over 800 mm to </w:t>
      </w:r>
      <w:proofErr w:type="spellStart"/>
      <w:r w:rsidRPr="00350192">
        <w:rPr>
          <w:rFonts w:ascii="Arial Black" w:hAnsi="Arial Black"/>
          <w:b/>
          <w:bCs/>
          <w:sz w:val="22"/>
          <w:szCs w:val="22"/>
        </w:rPr>
        <w:t>under</w:t>
      </w:r>
      <w:proofErr w:type="spellEnd"/>
      <w:r w:rsidRPr="00350192">
        <w:rPr>
          <w:rFonts w:ascii="Arial Black" w:hAnsi="Arial Black"/>
          <w:b/>
          <w:bCs/>
          <w:sz w:val="22"/>
          <w:szCs w:val="22"/>
        </w:rPr>
        <w:t xml:space="preserve"> 500 mm, </w:t>
      </w:r>
      <w:proofErr w:type="spellStart"/>
      <w:r w:rsidRPr="00350192">
        <w:rPr>
          <w:rFonts w:ascii="Arial Black" w:hAnsi="Arial Black"/>
          <w:b/>
          <w:bCs/>
          <w:sz w:val="22"/>
          <w:szCs w:val="22"/>
        </w:rPr>
        <w:t>with</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seasonal</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onsets</w:t>
      </w:r>
      <w:proofErr w:type="spellEnd"/>
      <w:r w:rsidRPr="00350192">
        <w:rPr>
          <w:rFonts w:ascii="Arial Black" w:hAnsi="Arial Black"/>
          <w:b/>
          <w:bCs/>
          <w:sz w:val="22"/>
          <w:szCs w:val="22"/>
        </w:rPr>
        <w:t xml:space="preserve"> and offsets </w:t>
      </w:r>
      <w:proofErr w:type="spellStart"/>
      <w:r w:rsidRPr="00350192">
        <w:rPr>
          <w:rFonts w:ascii="Arial Black" w:hAnsi="Arial Black"/>
          <w:b/>
          <w:bCs/>
          <w:sz w:val="22"/>
          <w:szCs w:val="22"/>
        </w:rPr>
        <w:t>delayed</w:t>
      </w:r>
      <w:proofErr w:type="spellEnd"/>
      <w:r w:rsidRPr="00350192">
        <w:rPr>
          <w:rFonts w:ascii="Arial Black" w:hAnsi="Arial Black"/>
          <w:b/>
          <w:bCs/>
          <w:sz w:val="22"/>
          <w:szCs w:val="22"/>
        </w:rPr>
        <w:t xml:space="preserve"> by 2-4 </w:t>
      </w:r>
      <w:proofErr w:type="spellStart"/>
      <w:r w:rsidRPr="00350192">
        <w:rPr>
          <w:rFonts w:ascii="Arial Black" w:hAnsi="Arial Black"/>
          <w:b/>
          <w:bCs/>
          <w:sz w:val="22"/>
          <w:szCs w:val="22"/>
        </w:rPr>
        <w:t>weeks</w:t>
      </w:r>
      <w:proofErr w:type="spellEnd"/>
      <w:r w:rsidRPr="00350192">
        <w:rPr>
          <w:rFonts w:ascii="Arial Black" w:hAnsi="Arial Black"/>
          <w:b/>
          <w:bCs/>
          <w:sz w:val="22"/>
          <w:szCs w:val="22"/>
        </w:rPr>
        <w:t>.</w:t>
      </w:r>
    </w:p>
    <w:p w14:paraId="383C833D" w14:textId="77777777" w:rsidR="00D634B7" w:rsidRPr="00350192" w:rsidRDefault="00D634B7" w:rsidP="00D634B7">
      <w:pPr>
        <w:spacing w:after="0" w:line="360" w:lineRule="auto"/>
        <w:rPr>
          <w:rFonts w:ascii="Arial Black" w:hAnsi="Arial Black"/>
          <w:b/>
          <w:bCs/>
          <w:sz w:val="22"/>
          <w:szCs w:val="22"/>
        </w:rPr>
      </w:pPr>
      <w:r w:rsidRPr="00350192">
        <w:rPr>
          <w:rFonts w:ascii="Arial Black" w:hAnsi="Arial Black"/>
          <w:b/>
          <w:bCs/>
          <w:sz w:val="22"/>
          <w:szCs w:val="22"/>
        </w:rPr>
        <w:t xml:space="preserve">It </w:t>
      </w:r>
      <w:proofErr w:type="spellStart"/>
      <w:r w:rsidRPr="00350192">
        <w:rPr>
          <w:rFonts w:ascii="Arial Black" w:hAnsi="Arial Black"/>
          <w:b/>
          <w:bCs/>
          <w:sz w:val="22"/>
          <w:szCs w:val="22"/>
        </w:rPr>
        <w:t>reflects</w:t>
      </w:r>
      <w:proofErr w:type="spellEnd"/>
      <w:r w:rsidRPr="00350192">
        <w:rPr>
          <w:rFonts w:ascii="Arial Black" w:hAnsi="Arial Black"/>
          <w:b/>
          <w:bCs/>
          <w:sz w:val="22"/>
          <w:szCs w:val="22"/>
        </w:rPr>
        <w:t xml:space="preserve"> the </w:t>
      </w:r>
      <w:proofErr w:type="spellStart"/>
      <w:r w:rsidRPr="00350192">
        <w:rPr>
          <w:rFonts w:ascii="Arial Black" w:hAnsi="Arial Black"/>
          <w:b/>
          <w:bCs/>
          <w:sz w:val="22"/>
          <w:szCs w:val="22"/>
        </w:rPr>
        <w:t>unstable</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rainfall</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regime</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typical</w:t>
      </w:r>
      <w:proofErr w:type="spellEnd"/>
      <w:r w:rsidRPr="00350192">
        <w:rPr>
          <w:rFonts w:ascii="Arial Black" w:hAnsi="Arial Black"/>
          <w:b/>
          <w:bCs/>
          <w:sz w:val="22"/>
          <w:szCs w:val="22"/>
        </w:rPr>
        <w:t xml:space="preserve"> of </w:t>
      </w:r>
      <w:proofErr w:type="spellStart"/>
      <w:r w:rsidRPr="00350192">
        <w:rPr>
          <w:rFonts w:ascii="Arial Black" w:hAnsi="Arial Black"/>
          <w:b/>
          <w:bCs/>
          <w:sz w:val="22"/>
          <w:szCs w:val="22"/>
        </w:rPr>
        <w:t>Sahelian</w:t>
      </w:r>
      <w:proofErr w:type="spellEnd"/>
      <w:r w:rsidRPr="00350192">
        <w:rPr>
          <w:rFonts w:ascii="Arial Black" w:hAnsi="Arial Black"/>
          <w:b/>
          <w:bCs/>
          <w:sz w:val="22"/>
          <w:szCs w:val="22"/>
        </w:rPr>
        <w:t xml:space="preserve"> zones </w:t>
      </w:r>
      <w:proofErr w:type="spellStart"/>
      <w:r w:rsidRPr="00350192">
        <w:rPr>
          <w:rFonts w:ascii="Arial Black" w:hAnsi="Arial Black"/>
          <w:b/>
          <w:bCs/>
          <w:sz w:val="22"/>
          <w:szCs w:val="22"/>
        </w:rPr>
        <w:t>under</w:t>
      </w:r>
      <w:proofErr w:type="spellEnd"/>
      <w:r w:rsidRPr="00350192">
        <w:rPr>
          <w:rFonts w:ascii="Arial Black" w:hAnsi="Arial Black"/>
          <w:b/>
          <w:bCs/>
          <w:sz w:val="22"/>
          <w:szCs w:val="22"/>
        </w:rPr>
        <w:t xml:space="preserve"> variable intertropical </w:t>
      </w:r>
      <w:proofErr w:type="spellStart"/>
      <w:r w:rsidRPr="00350192">
        <w:rPr>
          <w:rFonts w:ascii="Arial Black" w:hAnsi="Arial Black"/>
          <w:b/>
          <w:bCs/>
          <w:sz w:val="22"/>
          <w:szCs w:val="22"/>
        </w:rPr>
        <w:t>monsoon</w:t>
      </w:r>
      <w:proofErr w:type="spellEnd"/>
      <w:r w:rsidRPr="00350192">
        <w:rPr>
          <w:rFonts w:ascii="Arial Black" w:hAnsi="Arial Black"/>
          <w:b/>
          <w:bCs/>
          <w:sz w:val="22"/>
          <w:szCs w:val="22"/>
        </w:rPr>
        <w:t xml:space="preserve"> influence.</w:t>
      </w:r>
    </w:p>
    <w:p w14:paraId="048384BE" w14:textId="77777777" w:rsidR="00D634B7" w:rsidRPr="00350192" w:rsidRDefault="00D634B7" w:rsidP="00D634B7">
      <w:pPr>
        <w:spacing w:after="0" w:line="360" w:lineRule="auto"/>
        <w:rPr>
          <w:rFonts w:ascii="Arial Black" w:hAnsi="Arial Black"/>
          <w:b/>
          <w:bCs/>
          <w:sz w:val="22"/>
          <w:szCs w:val="22"/>
        </w:rPr>
      </w:pPr>
      <w:r w:rsidRPr="00350192">
        <w:rPr>
          <w:rFonts w:ascii="Arial Black" w:hAnsi="Arial Black"/>
          <w:b/>
          <w:bCs/>
          <w:sz w:val="22"/>
          <w:szCs w:val="22"/>
        </w:rPr>
        <w:t xml:space="preserve">The </w:t>
      </w:r>
      <w:proofErr w:type="spellStart"/>
      <w:r w:rsidRPr="00350192">
        <w:rPr>
          <w:rFonts w:ascii="Arial Black" w:hAnsi="Arial Black"/>
          <w:b/>
          <w:bCs/>
          <w:sz w:val="22"/>
          <w:szCs w:val="22"/>
        </w:rPr>
        <w:t>methodology</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employs</w:t>
      </w:r>
      <w:proofErr w:type="spellEnd"/>
      <w:r w:rsidRPr="00350192">
        <w:rPr>
          <w:rFonts w:ascii="Arial Black" w:hAnsi="Arial Black"/>
          <w:b/>
          <w:bCs/>
          <w:sz w:val="22"/>
          <w:szCs w:val="22"/>
        </w:rPr>
        <w:t xml:space="preserve"> a 30-year </w:t>
      </w:r>
      <w:proofErr w:type="spellStart"/>
      <w:r w:rsidRPr="00350192">
        <w:rPr>
          <w:rFonts w:ascii="Arial Black" w:hAnsi="Arial Black"/>
          <w:b/>
          <w:bCs/>
          <w:sz w:val="22"/>
          <w:szCs w:val="22"/>
        </w:rPr>
        <w:t>rainfall</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series</w:t>
      </w:r>
      <w:proofErr w:type="spellEnd"/>
      <w:r w:rsidRPr="00350192">
        <w:rPr>
          <w:rFonts w:ascii="Arial Black" w:hAnsi="Arial Black"/>
          <w:b/>
          <w:bCs/>
          <w:sz w:val="22"/>
          <w:szCs w:val="22"/>
        </w:rPr>
        <w:t xml:space="preserve"> (1992-2022) </w:t>
      </w:r>
      <w:proofErr w:type="spellStart"/>
      <w:r w:rsidRPr="00350192">
        <w:rPr>
          <w:rFonts w:ascii="Arial Black" w:hAnsi="Arial Black"/>
          <w:b/>
          <w:bCs/>
          <w:sz w:val="22"/>
          <w:szCs w:val="22"/>
        </w:rPr>
        <w:t>from</w:t>
      </w:r>
      <w:proofErr w:type="spellEnd"/>
      <w:r w:rsidRPr="00350192">
        <w:rPr>
          <w:rFonts w:ascii="Arial Black" w:hAnsi="Arial Black"/>
          <w:b/>
          <w:bCs/>
          <w:sz w:val="22"/>
          <w:szCs w:val="22"/>
        </w:rPr>
        <w:t xml:space="preserve"> ANAM, </w:t>
      </w:r>
      <w:proofErr w:type="spellStart"/>
      <w:r w:rsidRPr="00350192">
        <w:rPr>
          <w:rFonts w:ascii="Arial Black" w:hAnsi="Arial Black"/>
          <w:b/>
          <w:bCs/>
          <w:sz w:val="22"/>
          <w:szCs w:val="22"/>
        </w:rPr>
        <w:t>analyzed</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using</w:t>
      </w:r>
      <w:proofErr w:type="spellEnd"/>
      <w:r w:rsidRPr="00350192">
        <w:rPr>
          <w:rFonts w:ascii="Arial Black" w:hAnsi="Arial Black"/>
          <w:b/>
          <w:bCs/>
          <w:sz w:val="22"/>
          <w:szCs w:val="22"/>
        </w:rPr>
        <w:t xml:space="preserve"> non-</w:t>
      </w:r>
      <w:proofErr w:type="spellStart"/>
      <w:r w:rsidRPr="00350192">
        <w:rPr>
          <w:rFonts w:ascii="Arial Black" w:hAnsi="Arial Black"/>
          <w:b/>
          <w:bCs/>
          <w:sz w:val="22"/>
          <w:szCs w:val="22"/>
        </w:rPr>
        <w:t>parametric</w:t>
      </w:r>
      <w:proofErr w:type="spellEnd"/>
      <w:r w:rsidRPr="00350192">
        <w:rPr>
          <w:rFonts w:ascii="Arial Black" w:hAnsi="Arial Black"/>
          <w:b/>
          <w:bCs/>
          <w:sz w:val="22"/>
          <w:szCs w:val="22"/>
        </w:rPr>
        <w:t xml:space="preserve"> tests (Mann-Kendall for trends, </w:t>
      </w:r>
      <w:proofErr w:type="spellStart"/>
      <w:r w:rsidRPr="00350192">
        <w:rPr>
          <w:rFonts w:ascii="Arial Black" w:hAnsi="Arial Black"/>
          <w:b/>
          <w:bCs/>
          <w:sz w:val="22"/>
          <w:szCs w:val="22"/>
        </w:rPr>
        <w:t>Pettitt</w:t>
      </w:r>
      <w:proofErr w:type="spellEnd"/>
      <w:r w:rsidRPr="00350192">
        <w:rPr>
          <w:rFonts w:ascii="Arial Black" w:hAnsi="Arial Black"/>
          <w:b/>
          <w:bCs/>
          <w:sz w:val="22"/>
          <w:szCs w:val="22"/>
        </w:rPr>
        <w:t xml:space="preserve"> for breaks, Q-Q/P-P plots for </w:t>
      </w:r>
      <w:proofErr w:type="spellStart"/>
      <w:r w:rsidRPr="00350192">
        <w:rPr>
          <w:rFonts w:ascii="Arial Black" w:hAnsi="Arial Black"/>
          <w:b/>
          <w:bCs/>
          <w:sz w:val="22"/>
          <w:szCs w:val="22"/>
        </w:rPr>
        <w:t>normality</w:t>
      </w:r>
      <w:proofErr w:type="spellEnd"/>
      <w:r w:rsidRPr="00350192">
        <w:rPr>
          <w:rFonts w:ascii="Arial Black" w:hAnsi="Arial Black"/>
          <w:b/>
          <w:bCs/>
          <w:sz w:val="22"/>
          <w:szCs w:val="22"/>
        </w:rPr>
        <w:t xml:space="preserve">) and SPI to </w:t>
      </w:r>
      <w:proofErr w:type="spellStart"/>
      <w:r w:rsidRPr="00350192">
        <w:rPr>
          <w:rFonts w:ascii="Arial Black" w:hAnsi="Arial Black"/>
          <w:b/>
          <w:bCs/>
          <w:sz w:val="22"/>
          <w:szCs w:val="22"/>
        </w:rPr>
        <w:t>quantify</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droughts</w:t>
      </w:r>
      <w:proofErr w:type="spellEnd"/>
      <w:r w:rsidRPr="00350192">
        <w:rPr>
          <w:rFonts w:ascii="Arial Black" w:hAnsi="Arial Black"/>
          <w:b/>
          <w:bCs/>
          <w:sz w:val="22"/>
          <w:szCs w:val="22"/>
        </w:rPr>
        <w:t xml:space="preserve">. Application of the </w:t>
      </w:r>
      <w:proofErr w:type="spellStart"/>
      <w:r w:rsidRPr="00350192">
        <w:rPr>
          <w:rFonts w:ascii="Arial Black" w:hAnsi="Arial Black"/>
          <w:b/>
          <w:bCs/>
          <w:sz w:val="22"/>
          <w:szCs w:val="22"/>
        </w:rPr>
        <w:t>Standardized</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Precipitation</w:t>
      </w:r>
      <w:proofErr w:type="spellEnd"/>
      <w:r w:rsidRPr="00350192">
        <w:rPr>
          <w:rFonts w:ascii="Arial Black" w:hAnsi="Arial Black"/>
          <w:b/>
          <w:bCs/>
          <w:sz w:val="22"/>
          <w:szCs w:val="22"/>
        </w:rPr>
        <w:t xml:space="preserve"> Index (SPI) </w:t>
      </w:r>
      <w:proofErr w:type="spellStart"/>
      <w:r w:rsidRPr="00350192">
        <w:rPr>
          <w:rFonts w:ascii="Arial Black" w:hAnsi="Arial Black"/>
          <w:b/>
          <w:bCs/>
          <w:sz w:val="22"/>
          <w:szCs w:val="22"/>
        </w:rPr>
        <w:t>reveals</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increased</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frequency</w:t>
      </w:r>
      <w:proofErr w:type="spellEnd"/>
      <w:r w:rsidRPr="00350192">
        <w:rPr>
          <w:rFonts w:ascii="Arial Black" w:hAnsi="Arial Black"/>
          <w:b/>
          <w:bCs/>
          <w:sz w:val="22"/>
          <w:szCs w:val="22"/>
        </w:rPr>
        <w:t xml:space="preserve"> of </w:t>
      </w:r>
      <w:proofErr w:type="spellStart"/>
      <w:r w:rsidRPr="00350192">
        <w:rPr>
          <w:rFonts w:ascii="Arial Black" w:hAnsi="Arial Black"/>
          <w:b/>
          <w:bCs/>
          <w:sz w:val="22"/>
          <w:szCs w:val="22"/>
        </w:rPr>
        <w:t>prolonged</w:t>
      </w:r>
      <w:proofErr w:type="spellEnd"/>
      <w:r w:rsidRPr="00350192">
        <w:rPr>
          <w:rFonts w:ascii="Arial Black" w:hAnsi="Arial Black"/>
          <w:b/>
          <w:bCs/>
          <w:sz w:val="22"/>
          <w:szCs w:val="22"/>
        </w:rPr>
        <w:t xml:space="preserve"> dry </w:t>
      </w:r>
      <w:proofErr w:type="spellStart"/>
      <w:r w:rsidRPr="00350192">
        <w:rPr>
          <w:rFonts w:ascii="Arial Black" w:hAnsi="Arial Black"/>
          <w:b/>
          <w:bCs/>
          <w:sz w:val="22"/>
          <w:szCs w:val="22"/>
        </w:rPr>
        <w:t>spells</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impacting</w:t>
      </w:r>
      <w:proofErr w:type="spellEnd"/>
      <w:r w:rsidRPr="00350192">
        <w:rPr>
          <w:rFonts w:ascii="Arial Black" w:hAnsi="Arial Black"/>
          <w:b/>
          <w:bCs/>
          <w:sz w:val="22"/>
          <w:szCs w:val="22"/>
        </w:rPr>
        <w:t xml:space="preserve"> water </w:t>
      </w:r>
      <w:proofErr w:type="spellStart"/>
      <w:r w:rsidRPr="00350192">
        <w:rPr>
          <w:rFonts w:ascii="Arial Black" w:hAnsi="Arial Black"/>
          <w:b/>
          <w:bCs/>
          <w:sz w:val="22"/>
          <w:szCs w:val="22"/>
        </w:rPr>
        <w:t>availability</w:t>
      </w:r>
      <w:proofErr w:type="spellEnd"/>
      <w:r w:rsidRPr="00350192">
        <w:rPr>
          <w:rFonts w:ascii="Arial Black" w:hAnsi="Arial Black"/>
          <w:b/>
          <w:bCs/>
          <w:sz w:val="22"/>
          <w:szCs w:val="22"/>
        </w:rPr>
        <w:t xml:space="preserve"> and </w:t>
      </w:r>
      <w:proofErr w:type="spellStart"/>
      <w:r w:rsidRPr="00350192">
        <w:rPr>
          <w:rFonts w:ascii="Arial Black" w:hAnsi="Arial Black"/>
          <w:b/>
          <w:bCs/>
          <w:sz w:val="22"/>
          <w:szCs w:val="22"/>
        </w:rPr>
        <w:t>rain-fed</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vegetable</w:t>
      </w:r>
      <w:proofErr w:type="spellEnd"/>
      <w:r w:rsidRPr="00350192">
        <w:rPr>
          <w:rFonts w:ascii="Arial Black" w:hAnsi="Arial Black"/>
          <w:b/>
          <w:bCs/>
          <w:sz w:val="22"/>
          <w:szCs w:val="22"/>
        </w:rPr>
        <w:t xml:space="preserve"> production.</w:t>
      </w:r>
    </w:p>
    <w:p w14:paraId="44882EBC" w14:textId="73507684" w:rsidR="00D634B7" w:rsidRPr="00350192" w:rsidRDefault="00D634B7" w:rsidP="00D634B7">
      <w:pPr>
        <w:spacing w:after="0" w:line="360" w:lineRule="auto"/>
        <w:rPr>
          <w:b/>
          <w:bCs/>
        </w:rPr>
      </w:pPr>
      <w:proofErr w:type="spellStart"/>
      <w:r w:rsidRPr="00350192">
        <w:rPr>
          <w:rFonts w:ascii="Arial Black" w:hAnsi="Arial Black"/>
          <w:b/>
          <w:bCs/>
          <w:sz w:val="22"/>
          <w:szCs w:val="22"/>
        </w:rPr>
        <w:t>These</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rainfall</w:t>
      </w:r>
      <w:proofErr w:type="spellEnd"/>
      <w:r w:rsidRPr="00350192">
        <w:rPr>
          <w:rFonts w:ascii="Arial Black" w:hAnsi="Arial Black"/>
          <w:b/>
          <w:bCs/>
          <w:sz w:val="22"/>
          <w:szCs w:val="22"/>
        </w:rPr>
        <w:t xml:space="preserve"> fluctuations </w:t>
      </w:r>
      <w:proofErr w:type="spellStart"/>
      <w:r w:rsidRPr="00350192">
        <w:rPr>
          <w:rFonts w:ascii="Arial Black" w:hAnsi="Arial Black"/>
          <w:b/>
          <w:bCs/>
          <w:sz w:val="22"/>
          <w:szCs w:val="22"/>
        </w:rPr>
        <w:t>reduce</w:t>
      </w:r>
      <w:proofErr w:type="spellEnd"/>
      <w:r w:rsidRPr="00350192">
        <w:rPr>
          <w:rFonts w:ascii="Arial Black" w:hAnsi="Arial Black"/>
          <w:b/>
          <w:bCs/>
          <w:sz w:val="22"/>
          <w:szCs w:val="22"/>
        </w:rPr>
        <w:t xml:space="preserve"> agricultural </w:t>
      </w:r>
      <w:proofErr w:type="spellStart"/>
      <w:r w:rsidRPr="00350192">
        <w:rPr>
          <w:rFonts w:ascii="Arial Black" w:hAnsi="Arial Black"/>
          <w:b/>
          <w:bCs/>
          <w:sz w:val="22"/>
          <w:szCs w:val="22"/>
        </w:rPr>
        <w:t>productivity</w:t>
      </w:r>
      <w:proofErr w:type="spellEnd"/>
      <w:r w:rsidRPr="00350192">
        <w:rPr>
          <w:rFonts w:ascii="Arial Black" w:hAnsi="Arial Black"/>
          <w:b/>
          <w:bCs/>
          <w:sz w:val="22"/>
          <w:szCs w:val="22"/>
        </w:rPr>
        <w:t xml:space="preserve"> and </w:t>
      </w:r>
      <w:proofErr w:type="spellStart"/>
      <w:r w:rsidRPr="00350192">
        <w:rPr>
          <w:rFonts w:ascii="Arial Black" w:hAnsi="Arial Black"/>
          <w:b/>
          <w:bCs/>
          <w:sz w:val="22"/>
          <w:szCs w:val="22"/>
        </w:rPr>
        <w:t>heighten</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food</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vulnerability</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among</w:t>
      </w:r>
      <w:proofErr w:type="spellEnd"/>
      <w:r w:rsidRPr="00350192">
        <w:rPr>
          <w:rFonts w:ascii="Arial Black" w:hAnsi="Arial Black"/>
          <w:b/>
          <w:bCs/>
          <w:sz w:val="22"/>
          <w:szCs w:val="22"/>
        </w:rPr>
        <w:t xml:space="preserve"> rural </w:t>
      </w:r>
      <w:proofErr w:type="spellStart"/>
      <w:r w:rsidRPr="00350192">
        <w:rPr>
          <w:rFonts w:ascii="Arial Black" w:hAnsi="Arial Black"/>
          <w:b/>
          <w:bCs/>
          <w:sz w:val="22"/>
          <w:szCs w:val="22"/>
        </w:rPr>
        <w:t>households</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Consequently</w:t>
      </w:r>
      <w:proofErr w:type="spellEnd"/>
      <w:r w:rsidRPr="00350192">
        <w:rPr>
          <w:rFonts w:ascii="Arial Black" w:hAnsi="Arial Black"/>
          <w:b/>
          <w:bCs/>
          <w:sz w:val="22"/>
          <w:szCs w:val="22"/>
        </w:rPr>
        <w:t xml:space="preserve">, adaptation </w:t>
      </w:r>
      <w:proofErr w:type="spellStart"/>
      <w:r w:rsidRPr="00350192">
        <w:rPr>
          <w:rFonts w:ascii="Arial Black" w:hAnsi="Arial Black"/>
          <w:b/>
          <w:bCs/>
          <w:sz w:val="22"/>
          <w:szCs w:val="22"/>
        </w:rPr>
        <w:t>strategies</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emphasizing</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rainwater</w:t>
      </w:r>
      <w:proofErr w:type="spellEnd"/>
      <w:r w:rsidRPr="00350192">
        <w:rPr>
          <w:rFonts w:ascii="Arial Black" w:hAnsi="Arial Black"/>
          <w:b/>
          <w:bCs/>
          <w:sz w:val="22"/>
          <w:szCs w:val="22"/>
        </w:rPr>
        <w:t xml:space="preserve"> management and agricultural planning are essential to </w:t>
      </w:r>
      <w:proofErr w:type="spellStart"/>
      <w:r w:rsidRPr="00350192">
        <w:rPr>
          <w:rFonts w:ascii="Arial Black" w:hAnsi="Arial Black"/>
          <w:b/>
          <w:bCs/>
          <w:sz w:val="22"/>
          <w:szCs w:val="22"/>
        </w:rPr>
        <w:t>enhance</w:t>
      </w:r>
      <w:proofErr w:type="spellEnd"/>
      <w:r w:rsidR="00614B1E" w:rsidRPr="00350192">
        <w:rPr>
          <w:rFonts w:ascii="Arial Black" w:hAnsi="Arial Black"/>
          <w:b/>
          <w:bCs/>
          <w:sz w:val="22"/>
          <w:szCs w:val="22"/>
        </w:rPr>
        <w:t xml:space="preserve"> Loumbila </w:t>
      </w:r>
      <w:proofErr w:type="spellStart"/>
      <w:r w:rsidRPr="00350192">
        <w:rPr>
          <w:rFonts w:ascii="Arial Black" w:hAnsi="Arial Black"/>
          <w:b/>
          <w:bCs/>
          <w:sz w:val="22"/>
          <w:szCs w:val="22"/>
        </w:rPr>
        <w:t>Municipality's</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climate</w:t>
      </w:r>
      <w:proofErr w:type="spellEnd"/>
      <w:r w:rsidRPr="00350192">
        <w:rPr>
          <w:rFonts w:ascii="Arial Black" w:hAnsi="Arial Black"/>
          <w:b/>
          <w:bCs/>
          <w:sz w:val="22"/>
          <w:szCs w:val="22"/>
        </w:rPr>
        <w:t xml:space="preserve"> </w:t>
      </w:r>
      <w:proofErr w:type="spellStart"/>
      <w:r w:rsidRPr="00350192">
        <w:rPr>
          <w:rFonts w:ascii="Arial Black" w:hAnsi="Arial Black"/>
          <w:b/>
          <w:bCs/>
          <w:sz w:val="22"/>
          <w:szCs w:val="22"/>
        </w:rPr>
        <w:t>resilience</w:t>
      </w:r>
      <w:proofErr w:type="spellEnd"/>
      <w:r w:rsidRPr="00350192">
        <w:rPr>
          <w:rFonts w:ascii="Arial Black" w:hAnsi="Arial Black"/>
          <w:b/>
          <w:bCs/>
          <w:sz w:val="22"/>
          <w:szCs w:val="22"/>
        </w:rPr>
        <w:t>.</w:t>
      </w:r>
    </w:p>
    <w:bookmarkEnd w:id="1"/>
    <w:p w14:paraId="5C364E5D" w14:textId="4B7B065E" w:rsidR="00D634B7" w:rsidRPr="00D634B7" w:rsidRDefault="00D634B7" w:rsidP="004B5FFC">
      <w:pPr>
        <w:spacing w:after="0" w:line="360" w:lineRule="auto"/>
        <w:jc w:val="both"/>
        <w:rPr>
          <w:rFonts w:ascii="Arial" w:hAnsi="Arial" w:cs="Arial"/>
          <w:bCs/>
          <w:i/>
          <w:iCs/>
          <w:sz w:val="20"/>
          <w:szCs w:val="20"/>
        </w:rPr>
      </w:pPr>
      <w:proofErr w:type="gramStart"/>
      <w:r w:rsidRPr="00D634B7">
        <w:rPr>
          <w:rFonts w:ascii="Arial" w:hAnsi="Arial" w:cs="Arial"/>
          <w:bCs/>
          <w:i/>
          <w:iCs/>
          <w:sz w:val="20"/>
          <w:szCs w:val="20"/>
        </w:rPr>
        <w:t>Keywords:</w:t>
      </w:r>
      <w:proofErr w:type="gramEnd"/>
      <w:r w:rsidRPr="00D634B7">
        <w:rPr>
          <w:rFonts w:ascii="Arial" w:hAnsi="Arial" w:cs="Arial"/>
          <w:bCs/>
          <w:i/>
          <w:iCs/>
          <w:sz w:val="20"/>
          <w:szCs w:val="20"/>
        </w:rPr>
        <w:t> </w:t>
      </w:r>
      <w:proofErr w:type="spellStart"/>
      <w:r w:rsidRPr="00D634B7">
        <w:rPr>
          <w:rFonts w:ascii="Arial" w:hAnsi="Arial" w:cs="Arial"/>
          <w:bCs/>
          <w:i/>
          <w:iCs/>
          <w:sz w:val="20"/>
          <w:szCs w:val="20"/>
        </w:rPr>
        <w:t>Rainfall</w:t>
      </w:r>
      <w:proofErr w:type="spellEnd"/>
      <w:r w:rsidRPr="00D634B7">
        <w:rPr>
          <w:rFonts w:ascii="Arial" w:hAnsi="Arial" w:cs="Arial"/>
          <w:bCs/>
          <w:i/>
          <w:iCs/>
          <w:sz w:val="20"/>
          <w:szCs w:val="20"/>
        </w:rPr>
        <w:t xml:space="preserve"> </w:t>
      </w:r>
      <w:proofErr w:type="spellStart"/>
      <w:r w:rsidRPr="00D634B7">
        <w:rPr>
          <w:rFonts w:ascii="Arial" w:hAnsi="Arial" w:cs="Arial"/>
          <w:bCs/>
          <w:i/>
          <w:iCs/>
          <w:sz w:val="20"/>
          <w:szCs w:val="20"/>
        </w:rPr>
        <w:t>variability</w:t>
      </w:r>
      <w:proofErr w:type="spellEnd"/>
      <w:r w:rsidRPr="00D634B7">
        <w:rPr>
          <w:rFonts w:ascii="Arial" w:hAnsi="Arial" w:cs="Arial"/>
          <w:bCs/>
          <w:i/>
          <w:iCs/>
          <w:sz w:val="20"/>
          <w:szCs w:val="20"/>
        </w:rPr>
        <w:t xml:space="preserve">, </w:t>
      </w:r>
      <w:proofErr w:type="spellStart"/>
      <w:r w:rsidRPr="00D634B7">
        <w:rPr>
          <w:rFonts w:ascii="Arial" w:hAnsi="Arial" w:cs="Arial"/>
          <w:bCs/>
          <w:i/>
          <w:iCs/>
          <w:sz w:val="20"/>
          <w:szCs w:val="20"/>
        </w:rPr>
        <w:t>market</w:t>
      </w:r>
      <w:proofErr w:type="spellEnd"/>
      <w:r w:rsidRPr="00D634B7">
        <w:rPr>
          <w:rFonts w:ascii="Arial" w:hAnsi="Arial" w:cs="Arial"/>
          <w:bCs/>
          <w:i/>
          <w:iCs/>
          <w:sz w:val="20"/>
          <w:szCs w:val="20"/>
        </w:rPr>
        <w:t xml:space="preserve"> </w:t>
      </w:r>
      <w:proofErr w:type="spellStart"/>
      <w:r w:rsidRPr="00D634B7">
        <w:rPr>
          <w:rFonts w:ascii="Arial" w:hAnsi="Arial" w:cs="Arial"/>
          <w:bCs/>
          <w:i/>
          <w:iCs/>
          <w:sz w:val="20"/>
          <w:szCs w:val="20"/>
        </w:rPr>
        <w:t>gardening</w:t>
      </w:r>
      <w:proofErr w:type="spellEnd"/>
      <w:r w:rsidRPr="00D634B7">
        <w:rPr>
          <w:rFonts w:ascii="Arial" w:hAnsi="Arial" w:cs="Arial"/>
          <w:bCs/>
          <w:i/>
          <w:iCs/>
          <w:sz w:val="20"/>
          <w:szCs w:val="20"/>
        </w:rPr>
        <w:t xml:space="preserve">, </w:t>
      </w:r>
      <w:proofErr w:type="spellStart"/>
      <w:r w:rsidR="00614B1E" w:rsidRPr="00D634B7">
        <w:rPr>
          <w:rFonts w:ascii="Arial" w:hAnsi="Arial" w:cs="Arial"/>
          <w:bCs/>
          <w:i/>
          <w:iCs/>
          <w:sz w:val="20"/>
          <w:szCs w:val="20"/>
        </w:rPr>
        <w:t>LoumbilA</w:t>
      </w:r>
      <w:proofErr w:type="spellEnd"/>
      <w:r w:rsidRPr="00D634B7">
        <w:rPr>
          <w:rFonts w:ascii="Arial" w:hAnsi="Arial" w:cs="Arial"/>
          <w:bCs/>
          <w:i/>
          <w:iCs/>
          <w:sz w:val="20"/>
          <w:szCs w:val="20"/>
        </w:rPr>
        <w:t xml:space="preserve"> </w:t>
      </w:r>
      <w:proofErr w:type="spellStart"/>
      <w:r w:rsidRPr="00D634B7">
        <w:rPr>
          <w:rFonts w:ascii="Arial" w:hAnsi="Arial" w:cs="Arial"/>
          <w:bCs/>
          <w:i/>
          <w:iCs/>
          <w:sz w:val="20"/>
          <w:szCs w:val="20"/>
        </w:rPr>
        <w:t>Municipality</w:t>
      </w:r>
      <w:proofErr w:type="spellEnd"/>
      <w:r w:rsidRPr="00D634B7">
        <w:rPr>
          <w:rFonts w:ascii="Arial" w:hAnsi="Arial" w:cs="Arial"/>
          <w:bCs/>
          <w:i/>
          <w:iCs/>
          <w:sz w:val="20"/>
          <w:szCs w:val="20"/>
        </w:rPr>
        <w:t>, Burkina Faso</w:t>
      </w:r>
    </w:p>
    <w:p w14:paraId="25A251B0" w14:textId="1F3C0270" w:rsidR="00174761" w:rsidRDefault="00174761" w:rsidP="004B5FFC">
      <w:pPr>
        <w:spacing w:after="0" w:line="360" w:lineRule="auto"/>
        <w:jc w:val="both"/>
        <w:rPr>
          <w:rFonts w:ascii="Arial" w:hAnsi="Arial" w:cs="Arial"/>
          <w:b/>
          <w:sz w:val="22"/>
          <w:szCs w:val="22"/>
        </w:rPr>
      </w:pPr>
      <w:r w:rsidRPr="00174761">
        <w:rPr>
          <w:rFonts w:ascii="Arial" w:hAnsi="Arial" w:cs="Arial"/>
          <w:b/>
          <w:sz w:val="22"/>
          <w:szCs w:val="22"/>
        </w:rPr>
        <w:t>INTRODUCTION</w:t>
      </w:r>
    </w:p>
    <w:p w14:paraId="4112F584" w14:textId="76F0CF6C" w:rsidR="002917B1" w:rsidRPr="002917B1" w:rsidRDefault="002917B1" w:rsidP="002917B1">
      <w:pPr>
        <w:spacing w:after="0" w:line="360" w:lineRule="auto"/>
        <w:jc w:val="both"/>
        <w:rPr>
          <w:rFonts w:ascii="Arial Black" w:hAnsi="Arial Black" w:cs="Times New Roman"/>
          <w:sz w:val="20"/>
          <w:szCs w:val="20"/>
          <w:lang/>
        </w:rPr>
      </w:pPr>
      <w:r w:rsidRPr="002917B1">
        <w:rPr>
          <w:rFonts w:ascii="Arial Black" w:hAnsi="Arial Black" w:cs="Times New Roman"/>
          <w:sz w:val="20"/>
          <w:szCs w:val="20"/>
          <w:lang/>
        </w:rPr>
        <w:t xml:space="preserve">Sub-Saharan Africa is at the heart of global climate debates. It faces marked climate variability that directly influences the environmental and socio-economic conditions of vulnerable populations (Kaboré, 2025, p. 3). The climate of the region is largely dominated by the intertropical monsoon system which regulates water distribution. However, the precariousness of agricultural systems, weakly </w:t>
      </w:r>
      <w:r w:rsidRPr="002917B1">
        <w:rPr>
          <w:rFonts w:ascii="Arial Black" w:hAnsi="Arial Black" w:cs="Times New Roman"/>
          <w:sz w:val="20"/>
          <w:szCs w:val="20"/>
          <w:lang/>
        </w:rPr>
        <w:lastRenderedPageBreak/>
        <w:t>mechanized and dependent on rainfall withdrawals, aggravates their vulnerability (Mairi, 2019, p. 7</w:t>
      </w:r>
      <w:r w:rsidR="00AA2D12">
        <w:rPr>
          <w:rFonts w:ascii="Arial Black" w:hAnsi="Arial Black" w:cs="Times New Roman"/>
          <w:sz w:val="20"/>
          <w:szCs w:val="20"/>
          <w:lang/>
        </w:rPr>
        <w:t xml:space="preserve"> </w:t>
      </w:r>
      <w:r w:rsidRPr="002917B1">
        <w:rPr>
          <w:rFonts w:ascii="Arial Black" w:hAnsi="Arial Black" w:cs="Times New Roman"/>
          <w:sz w:val="20"/>
          <w:szCs w:val="20"/>
          <w:lang/>
        </w:rPr>
        <w:t>; Topeur, 2023, p. 45).</w:t>
      </w:r>
    </w:p>
    <w:p w14:paraId="0F619010" w14:textId="4D84B3C1" w:rsidR="002917B1" w:rsidRPr="002917B1" w:rsidRDefault="002917B1" w:rsidP="002917B1">
      <w:pPr>
        <w:spacing w:after="0" w:line="360" w:lineRule="auto"/>
        <w:jc w:val="both"/>
        <w:rPr>
          <w:rFonts w:ascii="Arial Black" w:hAnsi="Arial Black" w:cs="Times New Roman"/>
          <w:sz w:val="20"/>
          <w:szCs w:val="20"/>
          <w:lang/>
        </w:rPr>
      </w:pPr>
      <w:r w:rsidRPr="002917B1">
        <w:rPr>
          <w:rFonts w:ascii="Arial Black" w:hAnsi="Arial Black" w:cs="Times New Roman"/>
          <w:sz w:val="20"/>
          <w:szCs w:val="20"/>
          <w:lang/>
        </w:rPr>
        <w:t>This situation translates into an intensification of extreme events such as droughts and floods, amplifying environmental and social crises, particularly in Burkina Faso (Cangré et al., 2015, p. 89</w:t>
      </w:r>
      <w:r w:rsidR="00AA2D12">
        <w:rPr>
          <w:rFonts w:ascii="Arial Black" w:hAnsi="Arial Black" w:cs="Times New Roman"/>
          <w:sz w:val="20"/>
          <w:szCs w:val="20"/>
          <w:lang/>
        </w:rPr>
        <w:t xml:space="preserve"> </w:t>
      </w:r>
      <w:r w:rsidRPr="002917B1">
        <w:rPr>
          <w:rFonts w:ascii="Arial Black" w:hAnsi="Arial Black" w:cs="Times New Roman"/>
          <w:sz w:val="20"/>
          <w:szCs w:val="20"/>
          <w:lang/>
        </w:rPr>
        <w:t>; Kohnert, 2024, p. 12). During the second half of the 20th century, this region experienced an alternation of periods of high humidity and severe droughts, followed by a rainfall resumption testifying to strong climate variability (Sankara, 2010, p. 5). Recently in the Central Plateau area of Loumbila (2023-2025), no major catastrophe (drought or flood) has occurred, but late starts of the rainy season and moderate water deficits raise concerns for rainfed vegetable production. These fluctuations compromise food security and the livelihoods of rural communities largely dependent on natural resources (Zambo, 2021, p. 15).</w:t>
      </w:r>
    </w:p>
    <w:p w14:paraId="2CE077C0" w14:textId="77777777" w:rsidR="002917B1" w:rsidRPr="002917B1" w:rsidRDefault="002917B1" w:rsidP="002917B1">
      <w:pPr>
        <w:spacing w:after="0" w:line="360" w:lineRule="auto"/>
        <w:jc w:val="both"/>
        <w:rPr>
          <w:rFonts w:ascii="Arial Black" w:hAnsi="Arial Black" w:cs="Times New Roman"/>
          <w:sz w:val="20"/>
          <w:szCs w:val="20"/>
          <w:lang/>
        </w:rPr>
      </w:pPr>
      <w:r w:rsidRPr="002917B1">
        <w:rPr>
          <w:rFonts w:ascii="Arial Black" w:hAnsi="Arial Black" w:cs="Times New Roman"/>
          <w:sz w:val="20"/>
          <w:szCs w:val="20"/>
          <w:lang/>
        </w:rPr>
        <w:t>In Burkina Faso, this variability—characterized by wet years (&gt;800 mm) abruptly alternating with drought years (&lt;500 mm) and seasonal shifts of 2-4 weeks—is confirmed by scientific studies and the perceptions of local populations (Cangré &amp; Evelyne, 2015, p. 83). The Loumbila commune, located in the Central Plateau, perfectly illustrates this vulnerability, its economy mainly resting on rainfed market gardening sensitive to variations in climate parameters, particularly rainfall (Kaboré, 2025, p. 6).</w:t>
      </w:r>
    </w:p>
    <w:p w14:paraId="3A5ED498" w14:textId="77777777" w:rsidR="002917B1" w:rsidRPr="002917B1" w:rsidRDefault="002917B1" w:rsidP="002917B1">
      <w:pPr>
        <w:spacing w:after="0" w:line="360" w:lineRule="auto"/>
        <w:jc w:val="both"/>
        <w:rPr>
          <w:rFonts w:ascii="Arial Black" w:hAnsi="Arial Black" w:cs="Times New Roman"/>
          <w:sz w:val="20"/>
          <w:szCs w:val="20"/>
          <w:lang/>
        </w:rPr>
      </w:pPr>
      <w:r w:rsidRPr="002917B1">
        <w:rPr>
          <w:rFonts w:ascii="Arial Black" w:hAnsi="Arial Black" w:cs="Times New Roman"/>
          <w:sz w:val="20"/>
          <w:szCs w:val="20"/>
          <w:lang/>
        </w:rPr>
        <w:t>Periods of water deficit often lead to significant yield decreases, accentuating food insecurity and weakening the incomes of rural households. Furthermore, the absence of effective irrigation infrastructures and appropriate meteorological alert systems limits the producers' capacity to anticipate or mitigate the impacts of climate hazards. These constraints are corroborated by St-Hilaire et al. (2016, p. 52), who analyze adaptation strategies to climate change in water resource management in West Africa, and by Ilboudou et al. (2023, p. 395), who document peasant perceptions of extreme climate risks affecting rainfed crops in the Massili watershed at Loumbila.</w:t>
      </w:r>
    </w:p>
    <w:p w14:paraId="28A31B61" w14:textId="085A255E" w:rsidR="00174761" w:rsidRPr="002917B1" w:rsidRDefault="002917B1" w:rsidP="002917B1">
      <w:pPr>
        <w:spacing w:after="0" w:line="360" w:lineRule="auto"/>
        <w:jc w:val="both"/>
        <w:rPr>
          <w:rFonts w:ascii="Arial Black" w:hAnsi="Arial Black" w:cs="Times New Roman"/>
          <w:sz w:val="20"/>
          <w:szCs w:val="20"/>
          <w:lang/>
        </w:rPr>
      </w:pPr>
      <w:r w:rsidRPr="002917B1">
        <w:rPr>
          <w:rFonts w:ascii="Arial Black" w:hAnsi="Arial Black" w:cs="Times New Roman"/>
          <w:sz w:val="20"/>
          <w:szCs w:val="20"/>
          <w:lang/>
        </w:rPr>
        <w:t xml:space="preserve">This study stands out by its continuous quantitative analysis of 30 years of data from the National Meteorology Agency (ANAM) (1992-2022) specific to Loumbila. Unlike regional approaches (St-Hilaire et al., 2016) or qualitative ones (Ilboudou et al., 2023), it integrates SPI, Mann-Kendall and Pettitt with statistical validation </w:t>
      </w:r>
      <w:r w:rsidRPr="002917B1">
        <w:rPr>
          <w:rFonts w:ascii="Arial Black" w:hAnsi="Arial Black" w:cs="Times New Roman"/>
          <w:sz w:val="20"/>
          <w:szCs w:val="20"/>
          <w:lang/>
        </w:rPr>
        <w:lastRenderedPageBreak/>
        <w:t>(QQ/PP plots). It proposes adaptation strategies adapted to Loumbila's specific conditions.</w:t>
      </w:r>
      <w:r>
        <w:rPr>
          <w:rFonts w:ascii="Arial Black" w:hAnsi="Arial Black" w:cs="Times New Roman"/>
          <w:sz w:val="20"/>
          <w:szCs w:val="20"/>
          <w:lang/>
        </w:rPr>
        <w:t xml:space="preserve"> </w:t>
      </w:r>
      <w:r w:rsidRPr="002917B1">
        <w:rPr>
          <w:rFonts w:ascii="Arial Black" w:hAnsi="Arial Black" w:cs="Times New Roman"/>
          <w:sz w:val="20"/>
          <w:szCs w:val="20"/>
          <w:lang/>
        </w:rPr>
        <w:t>Better knowledge of local climate trends, combined with adapted technical solutions, therefore constitutes an essential lever to strengthen community resilience.</w:t>
      </w:r>
      <w:r>
        <w:rPr>
          <w:rFonts w:ascii="Arial Black" w:hAnsi="Arial Black" w:cs="Times New Roman"/>
          <w:sz w:val="20"/>
          <w:szCs w:val="20"/>
          <w:lang/>
        </w:rPr>
        <w:t xml:space="preserve"> </w:t>
      </w:r>
      <w:r w:rsidRPr="002917B1">
        <w:rPr>
          <w:rFonts w:ascii="Arial Black" w:hAnsi="Arial Black" w:cs="Times New Roman"/>
          <w:sz w:val="20"/>
          <w:szCs w:val="20"/>
          <w:lang/>
        </w:rPr>
        <w:t>This study aims to characterize the spatio-temporal aspects of rainfall variability in the commune. The objective is to provide updated knowledge to better guide local adaptation strategies in the face of climate risks, while ensuring the resilience of agricultural systems.</w:t>
      </w:r>
    </w:p>
    <w:p w14:paraId="1AFCC8C3" w14:textId="790A6899" w:rsidR="00174761" w:rsidRPr="002D507D" w:rsidRDefault="00174761" w:rsidP="002D507D">
      <w:pPr>
        <w:pStyle w:val="ListParagraph"/>
        <w:numPr>
          <w:ilvl w:val="0"/>
          <w:numId w:val="5"/>
        </w:numPr>
        <w:spacing w:after="0" w:line="360" w:lineRule="auto"/>
        <w:jc w:val="both"/>
        <w:rPr>
          <w:rFonts w:ascii="Arial" w:hAnsi="Arial" w:cs="Arial"/>
          <w:b/>
          <w:bCs/>
          <w:sz w:val="22"/>
          <w:szCs w:val="22"/>
        </w:rPr>
      </w:pPr>
      <w:r w:rsidRPr="002D507D">
        <w:rPr>
          <w:rFonts w:ascii="Arial" w:hAnsi="Arial" w:cs="Arial"/>
          <w:b/>
          <w:bCs/>
          <w:sz w:val="22"/>
          <w:szCs w:val="22"/>
        </w:rPr>
        <w:t>PRESENTATION OF THE STUDY AREA</w:t>
      </w:r>
    </w:p>
    <w:p w14:paraId="30995C17" w14:textId="77777777" w:rsidR="00611549" w:rsidRPr="00611549" w:rsidRDefault="00611549" w:rsidP="008B2AE6">
      <w:pPr>
        <w:spacing w:after="0" w:line="360" w:lineRule="auto"/>
        <w:jc w:val="both"/>
        <w:rPr>
          <w:rFonts w:ascii="Arial Black" w:hAnsi="Arial Black" w:cs="Times New Roman"/>
          <w:sz w:val="20"/>
          <w:szCs w:val="20"/>
          <w:lang/>
        </w:rPr>
      </w:pPr>
      <w:bookmarkStart w:id="2" w:name="_Toc210156908"/>
      <w:bookmarkStart w:id="3" w:name="_Toc210159545"/>
      <w:r w:rsidRPr="00611549">
        <w:rPr>
          <w:rFonts w:ascii="Arial Black" w:hAnsi="Arial Black" w:cs="Times New Roman"/>
          <w:sz w:val="20"/>
          <w:szCs w:val="20"/>
          <w:lang/>
        </w:rPr>
        <w:t>The municipality of Loumbila (Map 1) is located in Oubritenga Province, in the Central Plateau region. It is one of seven (7) municipalities in the province and lies twenty-five (25) km from the capital Ouagadougou along National Road No. 3 (Ouagadougou-Dori), and thirteen (13) km from Ziniaré, the provincial capital. It covers 177 km² (6.16% of Oubritenga Province's total area) and comprises thirty-one (31) villages. In accordance with Law No. 030-99/AN establishing municipal administrative boundaries in Burkina Faso, it is bordered:</w:t>
      </w:r>
    </w:p>
    <w:p w14:paraId="066EBAE5" w14:textId="19FE3360" w:rsidR="00611549" w:rsidRPr="00611549" w:rsidRDefault="008B2AE6" w:rsidP="00611549">
      <w:pPr>
        <w:spacing w:after="0" w:line="360" w:lineRule="auto"/>
        <w:jc w:val="both"/>
        <w:rPr>
          <w:rFonts w:ascii="Arial Black" w:hAnsi="Arial Black" w:cs="Times New Roman"/>
          <w:sz w:val="20"/>
          <w:szCs w:val="20"/>
          <w:lang/>
        </w:rPr>
      </w:pPr>
      <w:r>
        <w:rPr>
          <w:rFonts w:ascii="Arial Black" w:hAnsi="Arial Black" w:cs="Times New Roman"/>
          <w:sz w:val="20"/>
          <w:szCs w:val="20"/>
          <w:lang/>
        </w:rPr>
        <w:t xml:space="preserve">. </w:t>
      </w:r>
      <w:r w:rsidR="00611549" w:rsidRPr="00611549">
        <w:rPr>
          <w:rFonts w:ascii="Arial Black" w:hAnsi="Arial Black" w:cs="Times New Roman"/>
          <w:sz w:val="20"/>
          <w:szCs w:val="20"/>
          <w:lang/>
        </w:rPr>
        <w:t>To the west by Pabré Municipality and Nongr-masson District (Ouagadougou, Kadiogo Province);</w:t>
      </w:r>
    </w:p>
    <w:p w14:paraId="6104A32E" w14:textId="42C851FD" w:rsidR="00611549" w:rsidRPr="00611549" w:rsidRDefault="008B2AE6" w:rsidP="00611549">
      <w:pPr>
        <w:spacing w:after="0" w:line="360" w:lineRule="auto"/>
        <w:jc w:val="both"/>
        <w:rPr>
          <w:rFonts w:ascii="Arial Black" w:hAnsi="Arial Black" w:cs="Times New Roman"/>
          <w:sz w:val="20"/>
          <w:szCs w:val="20"/>
          <w:lang/>
        </w:rPr>
      </w:pPr>
      <w:r>
        <w:rPr>
          <w:rFonts w:ascii="Arial Black" w:hAnsi="Arial Black" w:cs="Times New Roman"/>
          <w:sz w:val="20"/>
          <w:szCs w:val="20"/>
          <w:lang/>
        </w:rPr>
        <w:t xml:space="preserve">. </w:t>
      </w:r>
      <w:r w:rsidR="00611549" w:rsidRPr="00611549">
        <w:rPr>
          <w:rFonts w:ascii="Arial Black" w:hAnsi="Arial Black" w:cs="Times New Roman"/>
          <w:sz w:val="20"/>
          <w:szCs w:val="20"/>
          <w:lang/>
        </w:rPr>
        <w:t>To the north by Dapelgo Municipality (Oubritenga Province);</w:t>
      </w:r>
    </w:p>
    <w:p w14:paraId="09F4FA33" w14:textId="1B470DCD" w:rsidR="00611549" w:rsidRPr="00611549" w:rsidRDefault="008B2AE6" w:rsidP="00611549">
      <w:pPr>
        <w:spacing w:after="0" w:line="360" w:lineRule="auto"/>
        <w:jc w:val="both"/>
        <w:rPr>
          <w:rFonts w:ascii="Arial Black" w:hAnsi="Arial Black" w:cs="Times New Roman"/>
          <w:sz w:val="20"/>
          <w:szCs w:val="20"/>
          <w:lang/>
        </w:rPr>
      </w:pPr>
      <w:r>
        <w:rPr>
          <w:rFonts w:ascii="Arial Black" w:hAnsi="Arial Black" w:cs="Times New Roman"/>
          <w:sz w:val="20"/>
          <w:szCs w:val="20"/>
          <w:lang/>
        </w:rPr>
        <w:t xml:space="preserve">. </w:t>
      </w:r>
      <w:r w:rsidR="00611549" w:rsidRPr="00611549">
        <w:rPr>
          <w:rFonts w:ascii="Arial Black" w:hAnsi="Arial Black" w:cs="Times New Roman"/>
          <w:sz w:val="20"/>
          <w:szCs w:val="20"/>
          <w:lang/>
        </w:rPr>
        <w:t>To the south by Saaba Municipality (Kadiogo Province).</w:t>
      </w:r>
    </w:p>
    <w:p w14:paraId="162F2BE1" w14:textId="77777777" w:rsidR="00611549" w:rsidRPr="00611549" w:rsidRDefault="00611549" w:rsidP="00611549">
      <w:pPr>
        <w:spacing w:after="0" w:line="360" w:lineRule="auto"/>
        <w:jc w:val="both"/>
        <w:rPr>
          <w:rFonts w:ascii="Arial Black" w:hAnsi="Arial Black" w:cs="Times New Roman"/>
          <w:sz w:val="20"/>
          <w:szCs w:val="20"/>
          <w:lang/>
        </w:rPr>
      </w:pPr>
      <w:r w:rsidRPr="00611549">
        <w:rPr>
          <w:rFonts w:ascii="Arial Black" w:hAnsi="Arial Black" w:cs="Times New Roman"/>
          <w:sz w:val="20"/>
          <w:szCs w:val="20"/>
          <w:lang/>
        </w:rPr>
        <w:t>Map 1 shows the municipality of Loumbila.</w:t>
      </w:r>
    </w:p>
    <w:p w14:paraId="21EE180E" w14:textId="473FF072" w:rsidR="004B5FFC" w:rsidRPr="00A257B9" w:rsidRDefault="00174761" w:rsidP="004B5FFC">
      <w:pPr>
        <w:jc w:val="center"/>
        <w:rPr>
          <w:rFonts w:ascii="Arial Black" w:hAnsi="Arial Black" w:cs="Times New Roman"/>
          <w:i/>
          <w:iCs/>
          <w:noProof/>
          <w:sz w:val="20"/>
          <w:szCs w:val="20"/>
          <w:lang w:eastAsia="fr-FR"/>
        </w:rPr>
      </w:pPr>
      <w:r w:rsidRPr="00A257B9">
        <w:rPr>
          <w:rFonts w:ascii="Arial Black" w:eastAsia="Calibri" w:hAnsi="Arial Black" w:cs="Times New Roman"/>
          <w:noProof/>
          <w:kern w:val="0"/>
          <w:sz w:val="20"/>
          <w:szCs w:val="20"/>
          <w:lang w:eastAsia="fr-FR"/>
          <w14:ligatures w14:val="none"/>
        </w:rPr>
        <w:lastRenderedPageBreak/>
        <w:drawing>
          <wp:anchor distT="0" distB="0" distL="114300" distR="114300" simplePos="0" relativeHeight="251662336" behindDoc="1" locked="0" layoutInCell="1" allowOverlap="1" wp14:anchorId="375AE295" wp14:editId="0A901275">
            <wp:simplePos x="0" y="0"/>
            <wp:positionH relativeFrom="margin">
              <wp:posOffset>-690245</wp:posOffset>
            </wp:positionH>
            <wp:positionV relativeFrom="paragraph">
              <wp:posOffset>0</wp:posOffset>
            </wp:positionV>
            <wp:extent cx="7242175" cy="5644515"/>
            <wp:effectExtent l="0" t="0" r="0" b="0"/>
            <wp:wrapTight wrapText="bothSides">
              <wp:wrapPolygon edited="0">
                <wp:start x="0" y="0"/>
                <wp:lineTo x="0" y="21505"/>
                <wp:lineTo x="21534" y="21505"/>
                <wp:lineTo x="21534" y="0"/>
                <wp:lineTo x="0" y="0"/>
              </wp:wrapPolygon>
            </wp:wrapTight>
            <wp:docPr id="22337523"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42175" cy="5644515"/>
                    </a:xfrm>
                    <a:prstGeom prst="rect">
                      <a:avLst/>
                    </a:prstGeom>
                    <a:noFill/>
                  </pic:spPr>
                </pic:pic>
              </a:graphicData>
            </a:graphic>
            <wp14:sizeRelH relativeFrom="margin">
              <wp14:pctWidth>0</wp14:pctWidth>
            </wp14:sizeRelH>
            <wp14:sizeRelV relativeFrom="margin">
              <wp14:pctHeight>0</wp14:pctHeight>
            </wp14:sizeRelV>
          </wp:anchor>
        </w:drawing>
      </w:r>
      <w:r w:rsidR="004B5FFC" w:rsidRPr="00A257B9">
        <w:rPr>
          <w:rFonts w:ascii="Arial Black" w:hAnsi="Arial Black" w:cs="Times New Roman"/>
          <w:b/>
          <w:bCs/>
          <w:sz w:val="20"/>
          <w:szCs w:val="20"/>
        </w:rPr>
        <w:t>Carte 1 :</w:t>
      </w:r>
      <w:r w:rsidR="004B5FFC" w:rsidRPr="00A257B9">
        <w:rPr>
          <w:rFonts w:ascii="Arial Black" w:hAnsi="Arial Black" w:cs="Times New Roman"/>
          <w:sz w:val="20"/>
          <w:szCs w:val="20"/>
        </w:rPr>
        <w:t xml:space="preserve"> </w:t>
      </w:r>
      <w:bookmarkEnd w:id="2"/>
      <w:bookmarkEnd w:id="3"/>
      <w:r w:rsidR="008B2AE6" w:rsidRPr="008B2AE6">
        <w:rPr>
          <w:rFonts w:ascii="Arial Black" w:hAnsi="Arial Black" w:cs="Times New Roman"/>
          <w:sz w:val="20"/>
          <w:szCs w:val="20"/>
        </w:rPr>
        <w:t xml:space="preserve">Location of Loumbila </w:t>
      </w:r>
      <w:proofErr w:type="spellStart"/>
      <w:r w:rsidR="008B2AE6" w:rsidRPr="008B2AE6">
        <w:rPr>
          <w:rFonts w:ascii="Arial Black" w:hAnsi="Arial Black" w:cs="Times New Roman"/>
          <w:sz w:val="20"/>
          <w:szCs w:val="20"/>
        </w:rPr>
        <w:t>Municipality</w:t>
      </w:r>
      <w:proofErr w:type="spellEnd"/>
    </w:p>
    <w:p w14:paraId="60FC771B" w14:textId="50722644" w:rsidR="00174761" w:rsidRPr="00174761" w:rsidRDefault="00174761" w:rsidP="00174761">
      <w:pPr>
        <w:pStyle w:val="ListParagraph"/>
        <w:numPr>
          <w:ilvl w:val="1"/>
          <w:numId w:val="4"/>
        </w:numPr>
        <w:spacing w:after="0" w:line="360" w:lineRule="auto"/>
        <w:jc w:val="both"/>
        <w:rPr>
          <w:rFonts w:ascii="Arial" w:hAnsi="Arial" w:cs="Arial"/>
          <w:b/>
          <w:bCs/>
          <w:sz w:val="22"/>
          <w:szCs w:val="22"/>
        </w:rPr>
      </w:pPr>
      <w:proofErr w:type="spellStart"/>
      <w:r w:rsidRPr="00174761">
        <w:rPr>
          <w:rFonts w:ascii="Arial" w:hAnsi="Arial" w:cs="Arial"/>
          <w:b/>
          <w:bCs/>
          <w:sz w:val="22"/>
          <w:szCs w:val="22"/>
        </w:rPr>
        <w:t>Methodology</w:t>
      </w:r>
      <w:proofErr w:type="spellEnd"/>
    </w:p>
    <w:p w14:paraId="71033479" w14:textId="77777777" w:rsidR="008B2AE6" w:rsidRPr="008B2AE6" w:rsidRDefault="008B2AE6" w:rsidP="008B2AE6">
      <w:pPr>
        <w:spacing w:after="0" w:line="360" w:lineRule="auto"/>
        <w:jc w:val="both"/>
        <w:rPr>
          <w:rFonts w:ascii="Arial Black" w:hAnsi="Arial Black" w:cs="Times New Roman"/>
          <w:sz w:val="20"/>
          <w:szCs w:val="20"/>
        </w:rPr>
      </w:pPr>
      <w:r w:rsidRPr="008B2AE6">
        <w:rPr>
          <w:rFonts w:ascii="Arial Black" w:hAnsi="Arial Black" w:cs="Times New Roman"/>
          <w:sz w:val="20"/>
          <w:szCs w:val="20"/>
        </w:rPr>
        <w:t xml:space="preserve">The </w:t>
      </w:r>
      <w:proofErr w:type="spellStart"/>
      <w:r w:rsidRPr="008B2AE6">
        <w:rPr>
          <w:rFonts w:ascii="Arial Black" w:hAnsi="Arial Black" w:cs="Times New Roman"/>
          <w:sz w:val="20"/>
          <w:szCs w:val="20"/>
        </w:rPr>
        <w:t>study</w:t>
      </w:r>
      <w:proofErr w:type="spellEnd"/>
      <w:r w:rsidRPr="008B2AE6">
        <w:rPr>
          <w:rFonts w:ascii="Arial Black" w:hAnsi="Arial Black" w:cs="Times New Roman"/>
          <w:sz w:val="20"/>
          <w:szCs w:val="20"/>
        </w:rPr>
        <w:t xml:space="preserve"> of </w:t>
      </w:r>
      <w:proofErr w:type="spellStart"/>
      <w:r w:rsidRPr="008B2AE6">
        <w:rPr>
          <w:rFonts w:ascii="Arial Black" w:hAnsi="Arial Black" w:cs="Times New Roman"/>
          <w:sz w:val="20"/>
          <w:szCs w:val="20"/>
        </w:rPr>
        <w:t>climate</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variability</w:t>
      </w:r>
      <w:proofErr w:type="spellEnd"/>
      <w:r w:rsidRPr="008B2AE6">
        <w:rPr>
          <w:rFonts w:ascii="Arial Black" w:hAnsi="Arial Black" w:cs="Times New Roman"/>
          <w:sz w:val="20"/>
          <w:szCs w:val="20"/>
        </w:rPr>
        <w:t xml:space="preserve"> in Loumbila </w:t>
      </w:r>
      <w:proofErr w:type="spellStart"/>
      <w:r w:rsidRPr="008B2AE6">
        <w:rPr>
          <w:rFonts w:ascii="Arial Black" w:hAnsi="Arial Black" w:cs="Times New Roman"/>
          <w:sz w:val="20"/>
          <w:szCs w:val="20"/>
        </w:rPr>
        <w:t>Municipality</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focused</w:t>
      </w:r>
      <w:proofErr w:type="spellEnd"/>
      <w:r w:rsidRPr="008B2AE6">
        <w:rPr>
          <w:rFonts w:ascii="Arial Black" w:hAnsi="Arial Black" w:cs="Times New Roman"/>
          <w:sz w:val="20"/>
          <w:szCs w:val="20"/>
        </w:rPr>
        <w:t xml:space="preserve"> on </w:t>
      </w:r>
      <w:proofErr w:type="spellStart"/>
      <w:r w:rsidRPr="008B2AE6">
        <w:rPr>
          <w:rFonts w:ascii="Arial Black" w:hAnsi="Arial Black" w:cs="Times New Roman"/>
          <w:sz w:val="20"/>
          <w:szCs w:val="20"/>
        </w:rPr>
        <w:t>rainfall</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analysis</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a</w:t>
      </w:r>
      <w:proofErr w:type="spellEnd"/>
      <w:r w:rsidRPr="008B2AE6">
        <w:rPr>
          <w:rFonts w:ascii="Arial Black" w:hAnsi="Arial Black" w:cs="Times New Roman"/>
          <w:sz w:val="20"/>
          <w:szCs w:val="20"/>
        </w:rPr>
        <w:t xml:space="preserve"> key variable for </w:t>
      </w:r>
      <w:proofErr w:type="spellStart"/>
      <w:r w:rsidRPr="008B2AE6">
        <w:rPr>
          <w:rFonts w:ascii="Arial Black" w:hAnsi="Arial Black" w:cs="Times New Roman"/>
          <w:sz w:val="20"/>
          <w:szCs w:val="20"/>
        </w:rPr>
        <w:t>understanding</w:t>
      </w:r>
      <w:proofErr w:type="spellEnd"/>
      <w:r w:rsidRPr="008B2AE6">
        <w:rPr>
          <w:rFonts w:ascii="Arial Black" w:hAnsi="Arial Black" w:cs="Times New Roman"/>
          <w:sz w:val="20"/>
          <w:szCs w:val="20"/>
        </w:rPr>
        <w:t xml:space="preserve"> local water </w:t>
      </w:r>
      <w:proofErr w:type="spellStart"/>
      <w:r w:rsidRPr="008B2AE6">
        <w:rPr>
          <w:rFonts w:ascii="Arial Black" w:hAnsi="Arial Black" w:cs="Times New Roman"/>
          <w:sz w:val="20"/>
          <w:szCs w:val="20"/>
        </w:rPr>
        <w:t>regimes</w:t>
      </w:r>
      <w:proofErr w:type="spellEnd"/>
      <w:r w:rsidRPr="008B2AE6">
        <w:rPr>
          <w:rFonts w:ascii="Arial Black" w:hAnsi="Arial Black" w:cs="Times New Roman"/>
          <w:sz w:val="20"/>
          <w:szCs w:val="20"/>
        </w:rPr>
        <w:t xml:space="preserve"> and </w:t>
      </w:r>
      <w:proofErr w:type="spellStart"/>
      <w:r w:rsidRPr="008B2AE6">
        <w:rPr>
          <w:rFonts w:ascii="Arial Black" w:hAnsi="Arial Black" w:cs="Times New Roman"/>
          <w:sz w:val="20"/>
          <w:szCs w:val="20"/>
        </w:rPr>
        <w:t>agro-environmental</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dynamics</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Rainfall</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was</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selected</w:t>
      </w:r>
      <w:proofErr w:type="spellEnd"/>
      <w:r w:rsidRPr="008B2AE6">
        <w:rPr>
          <w:rFonts w:ascii="Arial Black" w:hAnsi="Arial Black" w:cs="Times New Roman"/>
          <w:sz w:val="20"/>
          <w:szCs w:val="20"/>
        </w:rPr>
        <w:t xml:space="preserve"> due to </w:t>
      </w:r>
      <w:proofErr w:type="spellStart"/>
      <w:r w:rsidRPr="008B2AE6">
        <w:rPr>
          <w:rFonts w:ascii="Arial Black" w:hAnsi="Arial Black" w:cs="Times New Roman"/>
          <w:sz w:val="20"/>
          <w:szCs w:val="20"/>
        </w:rPr>
        <w:t>its</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scientific</w:t>
      </w:r>
      <w:proofErr w:type="spellEnd"/>
      <w:r w:rsidRPr="008B2AE6">
        <w:rPr>
          <w:rFonts w:ascii="Arial Black" w:hAnsi="Arial Black" w:cs="Times New Roman"/>
          <w:sz w:val="20"/>
          <w:szCs w:val="20"/>
        </w:rPr>
        <w:t xml:space="preserve"> relevance and </w:t>
      </w:r>
      <w:proofErr w:type="spellStart"/>
      <w:r w:rsidRPr="008B2AE6">
        <w:rPr>
          <w:rFonts w:ascii="Arial Black" w:hAnsi="Arial Black" w:cs="Times New Roman"/>
          <w:sz w:val="20"/>
          <w:szCs w:val="20"/>
        </w:rPr>
        <w:t>critical</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role</w:t>
      </w:r>
      <w:proofErr w:type="spellEnd"/>
      <w:r w:rsidRPr="008B2AE6">
        <w:rPr>
          <w:rFonts w:ascii="Arial Black" w:hAnsi="Arial Black" w:cs="Times New Roman"/>
          <w:sz w:val="20"/>
          <w:szCs w:val="20"/>
        </w:rPr>
        <w:t xml:space="preserve"> in </w:t>
      </w:r>
      <w:proofErr w:type="spellStart"/>
      <w:r w:rsidRPr="008B2AE6">
        <w:rPr>
          <w:rFonts w:ascii="Arial Black" w:hAnsi="Arial Black" w:cs="Times New Roman"/>
          <w:sz w:val="20"/>
          <w:szCs w:val="20"/>
        </w:rPr>
        <w:t>regional</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climate</w:t>
      </w:r>
      <w:proofErr w:type="spellEnd"/>
      <w:r w:rsidRPr="008B2AE6">
        <w:rPr>
          <w:rFonts w:ascii="Arial Black" w:hAnsi="Arial Black" w:cs="Times New Roman"/>
          <w:sz w:val="20"/>
          <w:szCs w:val="20"/>
        </w:rPr>
        <w:t xml:space="preserve"> change </w:t>
      </w:r>
      <w:proofErr w:type="spellStart"/>
      <w:r w:rsidRPr="008B2AE6">
        <w:rPr>
          <w:rFonts w:ascii="Arial Black" w:hAnsi="Arial Black" w:cs="Times New Roman"/>
          <w:sz w:val="20"/>
          <w:szCs w:val="20"/>
        </w:rPr>
        <w:t>assessment</w:t>
      </w:r>
      <w:proofErr w:type="spellEnd"/>
      <w:r w:rsidRPr="008B2AE6">
        <w:rPr>
          <w:rFonts w:ascii="Arial Black" w:hAnsi="Arial Black" w:cs="Times New Roman"/>
          <w:sz w:val="20"/>
          <w:szCs w:val="20"/>
        </w:rPr>
        <w:t xml:space="preserve">. Data </w:t>
      </w:r>
      <w:proofErr w:type="spellStart"/>
      <w:r w:rsidRPr="008B2AE6">
        <w:rPr>
          <w:rFonts w:ascii="Arial Black" w:hAnsi="Arial Black" w:cs="Times New Roman"/>
          <w:sz w:val="20"/>
          <w:szCs w:val="20"/>
        </w:rPr>
        <w:t>were</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obtained</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from</w:t>
      </w:r>
      <w:proofErr w:type="spellEnd"/>
      <w:r w:rsidRPr="008B2AE6">
        <w:rPr>
          <w:rFonts w:ascii="Arial Black" w:hAnsi="Arial Black" w:cs="Times New Roman"/>
          <w:sz w:val="20"/>
          <w:szCs w:val="20"/>
        </w:rPr>
        <w:t xml:space="preserve"> Burkina </w:t>
      </w:r>
      <w:proofErr w:type="spellStart"/>
      <w:r w:rsidRPr="008B2AE6">
        <w:rPr>
          <w:rFonts w:ascii="Arial Black" w:hAnsi="Arial Black" w:cs="Times New Roman"/>
          <w:sz w:val="20"/>
          <w:szCs w:val="20"/>
        </w:rPr>
        <w:t>Faso's</w:t>
      </w:r>
      <w:proofErr w:type="spellEnd"/>
      <w:r w:rsidRPr="008B2AE6">
        <w:rPr>
          <w:rFonts w:ascii="Arial Black" w:hAnsi="Arial Black" w:cs="Times New Roman"/>
          <w:sz w:val="20"/>
          <w:szCs w:val="20"/>
        </w:rPr>
        <w:t xml:space="preserve"> National </w:t>
      </w:r>
      <w:proofErr w:type="spellStart"/>
      <w:r w:rsidRPr="008B2AE6">
        <w:rPr>
          <w:rFonts w:ascii="Arial Black" w:hAnsi="Arial Black" w:cs="Times New Roman"/>
          <w:sz w:val="20"/>
          <w:szCs w:val="20"/>
        </w:rPr>
        <w:t>Meteorological</w:t>
      </w:r>
      <w:proofErr w:type="spellEnd"/>
      <w:r w:rsidRPr="008B2AE6">
        <w:rPr>
          <w:rFonts w:ascii="Arial Black" w:hAnsi="Arial Black" w:cs="Times New Roman"/>
          <w:sz w:val="20"/>
          <w:szCs w:val="20"/>
        </w:rPr>
        <w:t xml:space="preserve"> Agency (ANAM) station in Loumbila, </w:t>
      </w:r>
      <w:proofErr w:type="spellStart"/>
      <w:r w:rsidRPr="008B2AE6">
        <w:rPr>
          <w:rFonts w:ascii="Arial Black" w:hAnsi="Arial Black" w:cs="Times New Roman"/>
          <w:sz w:val="20"/>
          <w:szCs w:val="20"/>
        </w:rPr>
        <w:t>spanning</w:t>
      </w:r>
      <w:proofErr w:type="spellEnd"/>
      <w:r w:rsidRPr="008B2AE6">
        <w:rPr>
          <w:rFonts w:ascii="Arial Black" w:hAnsi="Arial Black" w:cs="Times New Roman"/>
          <w:sz w:val="20"/>
          <w:szCs w:val="20"/>
        </w:rPr>
        <w:t xml:space="preserve"> a 30-year </w:t>
      </w:r>
      <w:proofErr w:type="spellStart"/>
      <w:r w:rsidRPr="008B2AE6">
        <w:rPr>
          <w:rFonts w:ascii="Arial Black" w:hAnsi="Arial Black" w:cs="Times New Roman"/>
          <w:sz w:val="20"/>
          <w:szCs w:val="20"/>
        </w:rPr>
        <w:t>period</w:t>
      </w:r>
      <w:proofErr w:type="spellEnd"/>
      <w:r w:rsidRPr="008B2AE6">
        <w:rPr>
          <w:rFonts w:ascii="Arial Black" w:hAnsi="Arial Black" w:cs="Times New Roman"/>
          <w:sz w:val="20"/>
          <w:szCs w:val="20"/>
        </w:rPr>
        <w:t xml:space="preserve"> (1992–2022), consistent </w:t>
      </w:r>
      <w:proofErr w:type="spellStart"/>
      <w:r w:rsidRPr="008B2AE6">
        <w:rPr>
          <w:rFonts w:ascii="Arial Black" w:hAnsi="Arial Black" w:cs="Times New Roman"/>
          <w:sz w:val="20"/>
          <w:szCs w:val="20"/>
        </w:rPr>
        <w:t>with</w:t>
      </w:r>
      <w:proofErr w:type="spellEnd"/>
      <w:r w:rsidRPr="008B2AE6">
        <w:rPr>
          <w:rFonts w:ascii="Arial Black" w:hAnsi="Arial Black" w:cs="Times New Roman"/>
          <w:sz w:val="20"/>
          <w:szCs w:val="20"/>
        </w:rPr>
        <w:t xml:space="preserve"> World </w:t>
      </w:r>
      <w:proofErr w:type="spellStart"/>
      <w:r w:rsidRPr="008B2AE6">
        <w:rPr>
          <w:rFonts w:ascii="Arial Black" w:hAnsi="Arial Black" w:cs="Times New Roman"/>
          <w:sz w:val="20"/>
          <w:szCs w:val="20"/>
        </w:rPr>
        <w:t>Meteorological</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Organization</w:t>
      </w:r>
      <w:proofErr w:type="spellEnd"/>
      <w:r w:rsidRPr="008B2AE6">
        <w:rPr>
          <w:rFonts w:ascii="Arial Black" w:hAnsi="Arial Black" w:cs="Times New Roman"/>
          <w:sz w:val="20"/>
          <w:szCs w:val="20"/>
        </w:rPr>
        <w:t xml:space="preserve"> (WMO) </w:t>
      </w:r>
      <w:proofErr w:type="spellStart"/>
      <w:r w:rsidRPr="008B2AE6">
        <w:rPr>
          <w:rFonts w:ascii="Arial Black" w:hAnsi="Arial Black" w:cs="Times New Roman"/>
          <w:sz w:val="20"/>
          <w:szCs w:val="20"/>
        </w:rPr>
        <w:t>recommendations</w:t>
      </w:r>
      <w:proofErr w:type="spellEnd"/>
      <w:r w:rsidRPr="008B2AE6">
        <w:rPr>
          <w:rFonts w:ascii="Arial Black" w:hAnsi="Arial Black" w:cs="Times New Roman"/>
          <w:sz w:val="20"/>
          <w:szCs w:val="20"/>
        </w:rPr>
        <w:t xml:space="preserve"> for </w:t>
      </w:r>
      <w:proofErr w:type="spellStart"/>
      <w:r w:rsidRPr="008B2AE6">
        <w:rPr>
          <w:rFonts w:ascii="Arial Black" w:hAnsi="Arial Black" w:cs="Times New Roman"/>
          <w:sz w:val="20"/>
          <w:szCs w:val="20"/>
        </w:rPr>
        <w:t>robust</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climatological</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analysis</w:t>
      </w:r>
      <w:proofErr w:type="spellEnd"/>
      <w:r w:rsidRPr="008B2AE6">
        <w:rPr>
          <w:rFonts w:ascii="Arial Black" w:hAnsi="Arial Black" w:cs="Times New Roman"/>
          <w:sz w:val="20"/>
          <w:szCs w:val="20"/>
        </w:rPr>
        <w:t xml:space="preserve">. This </w:t>
      </w:r>
      <w:proofErr w:type="spellStart"/>
      <w:r w:rsidRPr="008B2AE6">
        <w:rPr>
          <w:rFonts w:ascii="Arial Black" w:hAnsi="Arial Black" w:cs="Times New Roman"/>
          <w:sz w:val="20"/>
          <w:szCs w:val="20"/>
        </w:rPr>
        <w:t>timeframe</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ensures</w:t>
      </w:r>
      <w:proofErr w:type="spellEnd"/>
      <w:r w:rsidRPr="008B2AE6">
        <w:rPr>
          <w:rFonts w:ascii="Arial Black" w:hAnsi="Arial Black" w:cs="Times New Roman"/>
          <w:sz w:val="20"/>
          <w:szCs w:val="20"/>
        </w:rPr>
        <w:t xml:space="preserve"> data </w:t>
      </w:r>
      <w:proofErr w:type="spellStart"/>
      <w:r w:rsidRPr="008B2AE6">
        <w:rPr>
          <w:rFonts w:ascii="Arial Black" w:hAnsi="Arial Black" w:cs="Times New Roman"/>
          <w:sz w:val="20"/>
          <w:szCs w:val="20"/>
        </w:rPr>
        <w:t>quality</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homogeneity</w:t>
      </w:r>
      <w:proofErr w:type="spellEnd"/>
      <w:r w:rsidRPr="008B2AE6">
        <w:rPr>
          <w:rFonts w:ascii="Arial Black" w:hAnsi="Arial Black" w:cs="Times New Roman"/>
          <w:sz w:val="20"/>
          <w:szCs w:val="20"/>
        </w:rPr>
        <w:t xml:space="preserve">, and </w:t>
      </w:r>
      <w:proofErr w:type="spellStart"/>
      <w:r w:rsidRPr="008B2AE6">
        <w:rPr>
          <w:rFonts w:ascii="Arial Black" w:hAnsi="Arial Black" w:cs="Times New Roman"/>
          <w:sz w:val="20"/>
          <w:szCs w:val="20"/>
        </w:rPr>
        <w:t>statistical</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reliability</w:t>
      </w:r>
      <w:proofErr w:type="spellEnd"/>
      <w:r w:rsidRPr="008B2AE6">
        <w:rPr>
          <w:rFonts w:ascii="Arial Black" w:hAnsi="Arial Black" w:cs="Times New Roman"/>
          <w:sz w:val="20"/>
          <w:szCs w:val="20"/>
        </w:rPr>
        <w:t>.</w:t>
      </w:r>
    </w:p>
    <w:p w14:paraId="2300F6BA" w14:textId="77777777" w:rsidR="008B2AE6" w:rsidRPr="008B2AE6" w:rsidRDefault="008B2AE6" w:rsidP="008B2AE6">
      <w:pPr>
        <w:spacing w:after="0" w:line="360" w:lineRule="auto"/>
        <w:jc w:val="both"/>
        <w:rPr>
          <w:rFonts w:ascii="Arial Black" w:hAnsi="Arial Black" w:cs="Times New Roman"/>
          <w:sz w:val="20"/>
          <w:szCs w:val="20"/>
        </w:rPr>
      </w:pPr>
    </w:p>
    <w:p w14:paraId="7705FF48" w14:textId="77777777" w:rsidR="008B2AE6" w:rsidRPr="008B2AE6" w:rsidRDefault="008B2AE6" w:rsidP="008B2AE6">
      <w:pPr>
        <w:spacing w:after="0" w:line="360" w:lineRule="auto"/>
        <w:jc w:val="both"/>
        <w:rPr>
          <w:rFonts w:ascii="Arial Black" w:hAnsi="Arial Black" w:cs="Times New Roman"/>
          <w:sz w:val="20"/>
          <w:szCs w:val="20"/>
        </w:rPr>
      </w:pPr>
      <w:r w:rsidRPr="008B2AE6">
        <w:rPr>
          <w:rFonts w:ascii="Arial Black" w:hAnsi="Arial Black" w:cs="Times New Roman"/>
          <w:sz w:val="20"/>
          <w:szCs w:val="20"/>
        </w:rPr>
        <w:lastRenderedPageBreak/>
        <w:t xml:space="preserve">Record </w:t>
      </w:r>
      <w:proofErr w:type="spellStart"/>
      <w:r w:rsidRPr="008B2AE6">
        <w:rPr>
          <w:rFonts w:ascii="Arial Black" w:hAnsi="Arial Black" w:cs="Times New Roman"/>
          <w:sz w:val="20"/>
          <w:szCs w:val="20"/>
        </w:rPr>
        <w:t>reliability</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was</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verified</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following</w:t>
      </w:r>
      <w:proofErr w:type="spellEnd"/>
      <w:r w:rsidRPr="008B2AE6">
        <w:rPr>
          <w:rFonts w:ascii="Arial Black" w:hAnsi="Arial Black" w:cs="Times New Roman"/>
          <w:sz w:val="20"/>
          <w:szCs w:val="20"/>
        </w:rPr>
        <w:t xml:space="preserve"> Bambara et al. (2019, p. 2), </w:t>
      </w:r>
      <w:proofErr w:type="spellStart"/>
      <w:r w:rsidRPr="008B2AE6">
        <w:rPr>
          <w:rFonts w:ascii="Arial Black" w:hAnsi="Arial Black" w:cs="Times New Roman"/>
          <w:sz w:val="20"/>
          <w:szCs w:val="20"/>
        </w:rPr>
        <w:t>applying</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breakpoint</w:t>
      </w:r>
      <w:proofErr w:type="spellEnd"/>
      <w:r w:rsidRPr="008B2AE6">
        <w:rPr>
          <w:rFonts w:ascii="Arial Black" w:hAnsi="Arial Black" w:cs="Times New Roman"/>
          <w:sz w:val="20"/>
          <w:szCs w:val="20"/>
        </w:rPr>
        <w:t xml:space="preserve"> and </w:t>
      </w:r>
      <w:proofErr w:type="spellStart"/>
      <w:r w:rsidRPr="008B2AE6">
        <w:rPr>
          <w:rFonts w:ascii="Arial Black" w:hAnsi="Arial Black" w:cs="Times New Roman"/>
          <w:sz w:val="20"/>
          <w:szCs w:val="20"/>
        </w:rPr>
        <w:t>normality</w:t>
      </w:r>
      <w:proofErr w:type="spellEnd"/>
      <w:r w:rsidRPr="008B2AE6">
        <w:rPr>
          <w:rFonts w:ascii="Arial Black" w:hAnsi="Arial Black" w:cs="Times New Roman"/>
          <w:sz w:val="20"/>
          <w:szCs w:val="20"/>
        </w:rPr>
        <w:t xml:space="preserve"> tests to </w:t>
      </w:r>
      <w:proofErr w:type="spellStart"/>
      <w:r w:rsidRPr="008B2AE6">
        <w:rPr>
          <w:rFonts w:ascii="Arial Black" w:hAnsi="Arial Black" w:cs="Times New Roman"/>
          <w:sz w:val="20"/>
          <w:szCs w:val="20"/>
        </w:rPr>
        <w:t>detect</w:t>
      </w:r>
      <w:proofErr w:type="spellEnd"/>
      <w:r w:rsidRPr="008B2AE6">
        <w:rPr>
          <w:rFonts w:ascii="Arial Black" w:hAnsi="Arial Black" w:cs="Times New Roman"/>
          <w:sz w:val="20"/>
          <w:szCs w:val="20"/>
        </w:rPr>
        <w:t xml:space="preserve"> anomalies or </w:t>
      </w:r>
      <w:proofErr w:type="spellStart"/>
      <w:r w:rsidRPr="008B2AE6">
        <w:rPr>
          <w:rFonts w:ascii="Arial Black" w:hAnsi="Arial Black" w:cs="Times New Roman"/>
          <w:sz w:val="20"/>
          <w:szCs w:val="20"/>
        </w:rPr>
        <w:t>discontinuities</w:t>
      </w:r>
      <w:proofErr w:type="spellEnd"/>
      <w:r w:rsidRPr="008B2AE6">
        <w:rPr>
          <w:rFonts w:ascii="Arial Black" w:hAnsi="Arial Black" w:cs="Times New Roman"/>
          <w:sz w:val="20"/>
          <w:szCs w:val="20"/>
        </w:rPr>
        <w:t xml:space="preserve"> in the </w:t>
      </w:r>
      <w:proofErr w:type="spellStart"/>
      <w:r w:rsidRPr="008B2AE6">
        <w:rPr>
          <w:rFonts w:ascii="Arial Black" w:hAnsi="Arial Black" w:cs="Times New Roman"/>
          <w:sz w:val="20"/>
          <w:szCs w:val="20"/>
        </w:rPr>
        <w:t>rainfall</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series</w:t>
      </w:r>
      <w:proofErr w:type="spellEnd"/>
      <w:r w:rsidRPr="008B2AE6">
        <w:rPr>
          <w:rFonts w:ascii="Arial Black" w:hAnsi="Arial Black" w:cs="Times New Roman"/>
          <w:sz w:val="20"/>
          <w:szCs w:val="20"/>
        </w:rPr>
        <w:t xml:space="preserve">. Temporal </w:t>
      </w:r>
      <w:proofErr w:type="spellStart"/>
      <w:r w:rsidRPr="008B2AE6">
        <w:rPr>
          <w:rFonts w:ascii="Arial Black" w:hAnsi="Arial Black" w:cs="Times New Roman"/>
          <w:sz w:val="20"/>
          <w:szCs w:val="20"/>
        </w:rPr>
        <w:t>analysis</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included</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graphical</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examination</w:t>
      </w:r>
      <w:proofErr w:type="spellEnd"/>
      <w:r w:rsidRPr="008B2AE6">
        <w:rPr>
          <w:rFonts w:ascii="Arial Black" w:hAnsi="Arial Black" w:cs="Times New Roman"/>
          <w:sz w:val="20"/>
          <w:szCs w:val="20"/>
        </w:rPr>
        <w:t xml:space="preserve"> of </w:t>
      </w:r>
      <w:proofErr w:type="spellStart"/>
      <w:r w:rsidRPr="008B2AE6">
        <w:rPr>
          <w:rFonts w:ascii="Arial Black" w:hAnsi="Arial Black" w:cs="Times New Roman"/>
          <w:sz w:val="20"/>
          <w:szCs w:val="20"/>
        </w:rPr>
        <w:t>annual</w:t>
      </w:r>
      <w:proofErr w:type="spellEnd"/>
      <w:r w:rsidRPr="008B2AE6">
        <w:rPr>
          <w:rFonts w:ascii="Arial Black" w:hAnsi="Arial Black" w:cs="Times New Roman"/>
          <w:sz w:val="20"/>
          <w:szCs w:val="20"/>
        </w:rPr>
        <w:t xml:space="preserve"> trends via </w:t>
      </w:r>
      <w:proofErr w:type="spellStart"/>
      <w:r w:rsidRPr="008B2AE6">
        <w:rPr>
          <w:rFonts w:ascii="Arial Black" w:hAnsi="Arial Black" w:cs="Times New Roman"/>
          <w:sz w:val="20"/>
          <w:szCs w:val="20"/>
        </w:rPr>
        <w:t>linear</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regression</w:t>
      </w:r>
      <w:proofErr w:type="spellEnd"/>
      <w:r w:rsidRPr="008B2AE6">
        <w:rPr>
          <w:rFonts w:ascii="Arial Black" w:hAnsi="Arial Black" w:cs="Times New Roman"/>
          <w:sz w:val="20"/>
          <w:szCs w:val="20"/>
        </w:rPr>
        <w:t xml:space="preserve"> and </w:t>
      </w:r>
      <w:proofErr w:type="spellStart"/>
      <w:r w:rsidRPr="008B2AE6">
        <w:rPr>
          <w:rFonts w:ascii="Arial Black" w:hAnsi="Arial Black" w:cs="Times New Roman"/>
          <w:sz w:val="20"/>
          <w:szCs w:val="20"/>
        </w:rPr>
        <w:t>interannual</w:t>
      </w:r>
      <w:proofErr w:type="spellEnd"/>
      <w:r w:rsidRPr="008B2AE6">
        <w:rPr>
          <w:rFonts w:ascii="Arial Black" w:hAnsi="Arial Black" w:cs="Times New Roman"/>
          <w:sz w:val="20"/>
          <w:szCs w:val="20"/>
        </w:rPr>
        <w:t xml:space="preserve"> variations to </w:t>
      </w:r>
      <w:proofErr w:type="spellStart"/>
      <w:r w:rsidRPr="008B2AE6">
        <w:rPr>
          <w:rFonts w:ascii="Arial Black" w:hAnsi="Arial Black" w:cs="Times New Roman"/>
          <w:sz w:val="20"/>
          <w:szCs w:val="20"/>
        </w:rPr>
        <w:t>characterize</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wet</w:t>
      </w:r>
      <w:proofErr w:type="spellEnd"/>
      <w:r w:rsidRPr="008B2AE6">
        <w:rPr>
          <w:rFonts w:ascii="Arial Black" w:hAnsi="Arial Black" w:cs="Times New Roman"/>
          <w:sz w:val="20"/>
          <w:szCs w:val="20"/>
        </w:rPr>
        <w:t xml:space="preserve"> and dry cycles.</w:t>
      </w:r>
    </w:p>
    <w:p w14:paraId="6309C59A" w14:textId="4901369D" w:rsidR="008B2AE6" w:rsidRDefault="008B2AE6" w:rsidP="008B2AE6">
      <w:pPr>
        <w:spacing w:after="0" w:line="360" w:lineRule="auto"/>
        <w:jc w:val="both"/>
        <w:rPr>
          <w:rFonts w:ascii="Arial Black" w:hAnsi="Arial Black" w:cs="Times New Roman"/>
          <w:sz w:val="20"/>
          <w:szCs w:val="20"/>
        </w:rPr>
      </w:pPr>
      <w:r w:rsidRPr="008B2AE6">
        <w:rPr>
          <w:rFonts w:ascii="Arial Black" w:hAnsi="Arial Black" w:cs="Times New Roman"/>
          <w:sz w:val="20"/>
          <w:szCs w:val="20"/>
        </w:rPr>
        <w:t>Non-</w:t>
      </w:r>
      <w:proofErr w:type="spellStart"/>
      <w:r w:rsidRPr="008B2AE6">
        <w:rPr>
          <w:rFonts w:ascii="Arial Black" w:hAnsi="Arial Black" w:cs="Times New Roman"/>
          <w:sz w:val="20"/>
          <w:szCs w:val="20"/>
        </w:rPr>
        <w:t>parametric</w:t>
      </w:r>
      <w:proofErr w:type="spellEnd"/>
      <w:r w:rsidRPr="008B2AE6">
        <w:rPr>
          <w:rFonts w:ascii="Arial Black" w:hAnsi="Arial Black" w:cs="Times New Roman"/>
          <w:sz w:val="20"/>
          <w:szCs w:val="20"/>
        </w:rPr>
        <w:t xml:space="preserve"> tests—the Mann-Kendall test and </w:t>
      </w:r>
      <w:proofErr w:type="spellStart"/>
      <w:r w:rsidRPr="008B2AE6">
        <w:rPr>
          <w:rFonts w:ascii="Arial Black" w:hAnsi="Arial Black" w:cs="Times New Roman"/>
          <w:sz w:val="20"/>
          <w:szCs w:val="20"/>
        </w:rPr>
        <w:t>Sen's</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slope</w:t>
      </w:r>
      <w:proofErr w:type="spellEnd"/>
      <w:r w:rsidRPr="008B2AE6">
        <w:rPr>
          <w:rFonts w:ascii="Arial Black" w:hAnsi="Arial Black" w:cs="Times New Roman"/>
          <w:sz w:val="20"/>
          <w:szCs w:val="20"/>
        </w:rPr>
        <w:t>—</w:t>
      </w:r>
      <w:proofErr w:type="spellStart"/>
      <w:r w:rsidRPr="008B2AE6">
        <w:rPr>
          <w:rFonts w:ascii="Arial Black" w:hAnsi="Arial Black" w:cs="Times New Roman"/>
          <w:sz w:val="20"/>
          <w:szCs w:val="20"/>
        </w:rPr>
        <w:t>quantified</w:t>
      </w:r>
      <w:proofErr w:type="spellEnd"/>
      <w:r w:rsidRPr="008B2AE6">
        <w:rPr>
          <w:rFonts w:ascii="Arial Black" w:hAnsi="Arial Black" w:cs="Times New Roman"/>
          <w:sz w:val="20"/>
          <w:szCs w:val="20"/>
        </w:rPr>
        <w:t xml:space="preserve"> trend direction and magnitude, </w:t>
      </w:r>
      <w:proofErr w:type="spellStart"/>
      <w:r w:rsidRPr="008B2AE6">
        <w:rPr>
          <w:rFonts w:ascii="Arial Black" w:hAnsi="Arial Black" w:cs="Times New Roman"/>
          <w:sz w:val="20"/>
          <w:szCs w:val="20"/>
        </w:rPr>
        <w:t>identifying</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significant</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monotonic</w:t>
      </w:r>
      <w:proofErr w:type="spellEnd"/>
      <w:r w:rsidRPr="008B2AE6">
        <w:rPr>
          <w:rFonts w:ascii="Arial Black" w:hAnsi="Arial Black" w:cs="Times New Roman"/>
          <w:sz w:val="20"/>
          <w:szCs w:val="20"/>
        </w:rPr>
        <w:t xml:space="preserve"> changes. The </w:t>
      </w:r>
      <w:proofErr w:type="spellStart"/>
      <w:r w:rsidRPr="008B2AE6">
        <w:rPr>
          <w:rFonts w:ascii="Arial Black" w:hAnsi="Arial Black" w:cs="Times New Roman"/>
          <w:sz w:val="20"/>
          <w:szCs w:val="20"/>
        </w:rPr>
        <w:t>Standardized</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Precipitation</w:t>
      </w:r>
      <w:proofErr w:type="spellEnd"/>
      <w:r w:rsidRPr="008B2AE6">
        <w:rPr>
          <w:rFonts w:ascii="Arial Black" w:hAnsi="Arial Black" w:cs="Times New Roman"/>
          <w:sz w:val="20"/>
          <w:szCs w:val="20"/>
        </w:rPr>
        <w:t xml:space="preserve"> Index (SPI</w:t>
      </w:r>
      <w:r w:rsidR="00B8268A">
        <w:rPr>
          <w:rFonts w:ascii="Arial Black" w:hAnsi="Arial Black" w:cs="Times New Roman"/>
          <w:sz w:val="20"/>
          <w:szCs w:val="20"/>
        </w:rPr>
        <w:t xml:space="preserve"> </w:t>
      </w:r>
      <w:r w:rsidRPr="008B2AE6">
        <w:rPr>
          <w:rFonts w:ascii="Arial Black" w:hAnsi="Arial Black" w:cs="Times New Roman"/>
          <w:sz w:val="20"/>
          <w:szCs w:val="20"/>
        </w:rPr>
        <w:t xml:space="preserve">; McKee et al., 1993) </w:t>
      </w:r>
      <w:proofErr w:type="spellStart"/>
      <w:r w:rsidRPr="008B2AE6">
        <w:rPr>
          <w:rFonts w:ascii="Arial Black" w:hAnsi="Arial Black" w:cs="Times New Roman"/>
          <w:sz w:val="20"/>
          <w:szCs w:val="20"/>
        </w:rPr>
        <w:t>assessed</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drought</w:t>
      </w:r>
      <w:proofErr w:type="spellEnd"/>
      <w:r w:rsidRPr="008B2AE6">
        <w:rPr>
          <w:rFonts w:ascii="Arial Black" w:hAnsi="Arial Black" w:cs="Times New Roman"/>
          <w:sz w:val="20"/>
          <w:szCs w:val="20"/>
        </w:rPr>
        <w:t xml:space="preserve"> and </w:t>
      </w:r>
      <w:proofErr w:type="spellStart"/>
      <w:r w:rsidRPr="008B2AE6">
        <w:rPr>
          <w:rFonts w:ascii="Arial Black" w:hAnsi="Arial Black" w:cs="Times New Roman"/>
          <w:sz w:val="20"/>
          <w:szCs w:val="20"/>
        </w:rPr>
        <w:t>wet</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period</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intensity</w:t>
      </w:r>
      <w:proofErr w:type="spellEnd"/>
      <w:r w:rsidRPr="008B2AE6">
        <w:rPr>
          <w:rFonts w:ascii="Arial Black" w:hAnsi="Arial Black" w:cs="Times New Roman"/>
          <w:sz w:val="20"/>
          <w:szCs w:val="20"/>
        </w:rPr>
        <w:t>/</w:t>
      </w:r>
      <w:proofErr w:type="spellStart"/>
      <w:r w:rsidRPr="008B2AE6">
        <w:rPr>
          <w:rFonts w:ascii="Arial Black" w:hAnsi="Arial Black" w:cs="Times New Roman"/>
          <w:sz w:val="20"/>
          <w:szCs w:val="20"/>
        </w:rPr>
        <w:t>frequency</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Results</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validity</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was</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confirmed</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through</w:t>
      </w:r>
      <w:proofErr w:type="spellEnd"/>
      <w:r w:rsidRPr="008B2AE6">
        <w:rPr>
          <w:rFonts w:ascii="Arial Black" w:hAnsi="Arial Black" w:cs="Times New Roman"/>
          <w:sz w:val="20"/>
          <w:szCs w:val="20"/>
        </w:rPr>
        <w:t xml:space="preserve"> QQ and PP plots, </w:t>
      </w:r>
      <w:proofErr w:type="spellStart"/>
      <w:r w:rsidRPr="008B2AE6">
        <w:rPr>
          <w:rFonts w:ascii="Arial Black" w:hAnsi="Arial Black" w:cs="Times New Roman"/>
          <w:sz w:val="20"/>
          <w:szCs w:val="20"/>
        </w:rPr>
        <w:t>verifying</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distributional</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conformity</w:t>
      </w:r>
      <w:proofErr w:type="spellEnd"/>
      <w:r w:rsidRPr="008B2AE6">
        <w:rPr>
          <w:rFonts w:ascii="Arial Black" w:hAnsi="Arial Black" w:cs="Times New Roman"/>
          <w:sz w:val="20"/>
          <w:szCs w:val="20"/>
        </w:rPr>
        <w:t xml:space="preserve"> to </w:t>
      </w:r>
      <w:proofErr w:type="spellStart"/>
      <w:r w:rsidRPr="008B2AE6">
        <w:rPr>
          <w:rFonts w:ascii="Arial Black" w:hAnsi="Arial Black" w:cs="Times New Roman"/>
          <w:sz w:val="20"/>
          <w:szCs w:val="20"/>
        </w:rPr>
        <w:t>statistical</w:t>
      </w:r>
      <w:proofErr w:type="spellEnd"/>
      <w:r w:rsidRPr="008B2AE6">
        <w:rPr>
          <w:rFonts w:ascii="Arial Black" w:hAnsi="Arial Black" w:cs="Times New Roman"/>
          <w:sz w:val="20"/>
          <w:szCs w:val="20"/>
        </w:rPr>
        <w:t xml:space="preserve"> </w:t>
      </w:r>
      <w:proofErr w:type="spellStart"/>
      <w:r w:rsidRPr="008B2AE6">
        <w:rPr>
          <w:rFonts w:ascii="Arial Black" w:hAnsi="Arial Black" w:cs="Times New Roman"/>
          <w:sz w:val="20"/>
          <w:szCs w:val="20"/>
        </w:rPr>
        <w:t>assumptions</w:t>
      </w:r>
      <w:proofErr w:type="spellEnd"/>
    </w:p>
    <w:p w14:paraId="7F67F256" w14:textId="7D23D75B" w:rsidR="00174761" w:rsidRPr="00174761" w:rsidRDefault="00174761" w:rsidP="008B2AE6">
      <w:pPr>
        <w:spacing w:after="0" w:line="360" w:lineRule="auto"/>
        <w:jc w:val="both"/>
        <w:rPr>
          <w:rFonts w:ascii="Arial Black" w:hAnsi="Arial Black" w:cs="Times New Roman"/>
          <w:sz w:val="20"/>
          <w:szCs w:val="20"/>
        </w:rPr>
      </w:pPr>
      <w:r w:rsidRPr="00174761">
        <w:rPr>
          <w:rFonts w:ascii="Arial Black" w:hAnsi="Arial Black" w:cs="Times New Roman"/>
          <w:sz w:val="20"/>
          <w:szCs w:val="20"/>
        </w:rPr>
        <w:t xml:space="preserve">1.2. </w:t>
      </w:r>
      <w:proofErr w:type="spellStart"/>
      <w:r w:rsidRPr="00174761">
        <w:rPr>
          <w:rFonts w:ascii="Arial Black" w:hAnsi="Arial Black" w:cs="Times New Roman"/>
          <w:sz w:val="20"/>
          <w:szCs w:val="20"/>
        </w:rPr>
        <w:t>Statistical</w:t>
      </w:r>
      <w:proofErr w:type="spellEnd"/>
      <w:r w:rsidRPr="00174761">
        <w:rPr>
          <w:rFonts w:ascii="Arial Black" w:hAnsi="Arial Black" w:cs="Times New Roman"/>
          <w:sz w:val="20"/>
          <w:szCs w:val="20"/>
        </w:rPr>
        <w:t xml:space="preserve"> </w:t>
      </w:r>
      <w:proofErr w:type="spellStart"/>
      <w:r w:rsidRPr="00174761">
        <w:rPr>
          <w:rFonts w:ascii="Arial Black" w:hAnsi="Arial Black" w:cs="Times New Roman"/>
          <w:sz w:val="20"/>
          <w:szCs w:val="20"/>
        </w:rPr>
        <w:t>study</w:t>
      </w:r>
      <w:proofErr w:type="spellEnd"/>
      <w:r w:rsidRPr="00174761">
        <w:rPr>
          <w:rFonts w:ascii="Arial Black" w:hAnsi="Arial Black" w:cs="Times New Roman"/>
          <w:sz w:val="20"/>
          <w:szCs w:val="20"/>
        </w:rPr>
        <w:t xml:space="preserve"> of </w:t>
      </w:r>
      <w:proofErr w:type="spellStart"/>
      <w:r w:rsidRPr="00174761">
        <w:rPr>
          <w:rFonts w:ascii="Arial Black" w:hAnsi="Arial Black" w:cs="Times New Roman"/>
          <w:sz w:val="20"/>
          <w:szCs w:val="20"/>
        </w:rPr>
        <w:t>rainfall</w:t>
      </w:r>
      <w:proofErr w:type="spellEnd"/>
      <w:r w:rsidRPr="00174761">
        <w:rPr>
          <w:rFonts w:ascii="Arial Black" w:hAnsi="Arial Black" w:cs="Times New Roman"/>
          <w:sz w:val="20"/>
          <w:szCs w:val="20"/>
        </w:rPr>
        <w:t xml:space="preserve"> </w:t>
      </w:r>
      <w:proofErr w:type="spellStart"/>
      <w:r w:rsidRPr="00174761">
        <w:rPr>
          <w:rFonts w:ascii="Arial Black" w:hAnsi="Arial Black" w:cs="Times New Roman"/>
          <w:sz w:val="20"/>
          <w:szCs w:val="20"/>
        </w:rPr>
        <w:t>variability</w:t>
      </w:r>
      <w:proofErr w:type="spellEnd"/>
    </w:p>
    <w:p w14:paraId="406F3461" w14:textId="77777777" w:rsidR="00174761" w:rsidRDefault="00174761" w:rsidP="00174761">
      <w:pPr>
        <w:spacing w:after="0" w:line="360" w:lineRule="auto"/>
        <w:jc w:val="both"/>
        <w:rPr>
          <w:rFonts w:ascii="Arial Black" w:hAnsi="Arial Black" w:cs="Times New Roman"/>
          <w:sz w:val="20"/>
          <w:szCs w:val="20"/>
        </w:rPr>
      </w:pPr>
      <w:r w:rsidRPr="00174761">
        <w:rPr>
          <w:rFonts w:ascii="Arial Black" w:hAnsi="Arial Black" w:cs="Times New Roman"/>
          <w:sz w:val="20"/>
          <w:szCs w:val="20"/>
        </w:rPr>
        <w:t xml:space="preserve">1.2.1 </w:t>
      </w:r>
      <w:proofErr w:type="spellStart"/>
      <w:r w:rsidRPr="00174761">
        <w:rPr>
          <w:rFonts w:ascii="Arial Black" w:hAnsi="Arial Black" w:cs="Times New Roman"/>
          <w:sz w:val="20"/>
          <w:szCs w:val="20"/>
        </w:rPr>
        <w:t>Normality</w:t>
      </w:r>
      <w:proofErr w:type="spellEnd"/>
      <w:r w:rsidRPr="00174761">
        <w:rPr>
          <w:rFonts w:ascii="Arial Black" w:hAnsi="Arial Black" w:cs="Times New Roman"/>
          <w:sz w:val="20"/>
          <w:szCs w:val="20"/>
        </w:rPr>
        <w:t xml:space="preserve"> tests (Q-Q plot and P-P plot)</w:t>
      </w:r>
    </w:p>
    <w:p w14:paraId="26C85EB4" w14:textId="77777777" w:rsidR="00456558" w:rsidRPr="00456558" w:rsidRDefault="00456558" w:rsidP="00456558">
      <w:pPr>
        <w:spacing w:after="0" w:line="360" w:lineRule="auto"/>
        <w:jc w:val="both"/>
        <w:rPr>
          <w:rFonts w:ascii="Arial Black" w:hAnsi="Arial Black" w:cs="Times New Roman"/>
          <w:sz w:val="20"/>
          <w:szCs w:val="20"/>
          <w:lang/>
        </w:rPr>
      </w:pPr>
      <w:r w:rsidRPr="00456558">
        <w:rPr>
          <w:rFonts w:ascii="Arial Black" w:hAnsi="Arial Black" w:cs="Times New Roman"/>
          <w:sz w:val="20"/>
          <w:szCs w:val="20"/>
          <w:lang/>
        </w:rPr>
        <w:t>Q-Q plots assess whether annual rainfall follows a normal distribution by comparing observed quantiles against theoretical normal quantiles. In Burkina Faso, characteristic deviations at Q-Q plot extremes reflect extreme rainfall events and data asymmetry, indicating pronounced interannual precipitation variability often linked to irregular rainy seasons.</w:t>
      </w:r>
    </w:p>
    <w:p w14:paraId="6FE5E5BF" w14:textId="4E990684" w:rsidR="00456558" w:rsidRPr="00456558" w:rsidRDefault="00456558" w:rsidP="00456558">
      <w:pPr>
        <w:spacing w:after="0" w:line="360" w:lineRule="auto"/>
        <w:jc w:val="both"/>
        <w:rPr>
          <w:rFonts w:ascii="Arial Black" w:hAnsi="Arial Black" w:cs="Times New Roman"/>
          <w:sz w:val="20"/>
          <w:szCs w:val="20"/>
          <w:lang/>
        </w:rPr>
      </w:pPr>
      <w:r w:rsidRPr="00456558">
        <w:rPr>
          <w:rFonts w:ascii="Arial Black" w:hAnsi="Arial Black" w:cs="Times New Roman"/>
          <w:sz w:val="20"/>
          <w:szCs w:val="20"/>
          <w:lang/>
        </w:rPr>
        <w:t>P-P plots compare observed cumulative probabilities of the rainfall series against theoretical normal probabilities. Deviations from the 1</w:t>
      </w:r>
      <w:r w:rsidR="00B8268A">
        <w:rPr>
          <w:rFonts w:ascii="Arial Black" w:hAnsi="Arial Black" w:cs="Times New Roman"/>
          <w:sz w:val="20"/>
          <w:szCs w:val="20"/>
          <w:lang/>
        </w:rPr>
        <w:t xml:space="preserve"> </w:t>
      </w:r>
      <w:r w:rsidRPr="00456558">
        <w:rPr>
          <w:rFonts w:ascii="Arial Black" w:hAnsi="Arial Black" w:cs="Times New Roman"/>
          <w:sz w:val="20"/>
          <w:szCs w:val="20"/>
          <w:lang/>
        </w:rPr>
        <w:t>:1 diagonal line—particularly in central or extreme regions—reveal non-normality, highlighting frequent extreme events and the irregular rainfall regime characteristic of Loumbila.</w:t>
      </w:r>
    </w:p>
    <w:p w14:paraId="61ABBFBA" w14:textId="6C0C0BD0" w:rsidR="00456558" w:rsidRPr="00456558" w:rsidRDefault="003155D7" w:rsidP="00456558">
      <w:pPr>
        <w:spacing w:after="0" w:line="360" w:lineRule="auto"/>
        <w:jc w:val="both"/>
        <w:rPr>
          <w:rFonts w:ascii="Arial Black" w:hAnsi="Arial Black" w:cs="Times New Roman"/>
          <w:sz w:val="20"/>
          <w:szCs w:val="20"/>
          <w:lang/>
        </w:rPr>
      </w:pPr>
      <w:r w:rsidRPr="0062398A">
        <w:rPr>
          <w:rFonts w:ascii="Times New Roman" w:hAnsi="Times New Roman" w:cs="Times New Roman"/>
          <w:noProof/>
          <w:highlight w:val="yellow"/>
          <w:lang w:eastAsia="fr-FR"/>
        </w:rPr>
        <mc:AlternateContent>
          <mc:Choice Requires="wps">
            <w:drawing>
              <wp:anchor distT="0" distB="0" distL="114300" distR="114300" simplePos="0" relativeHeight="251665408" behindDoc="1" locked="0" layoutInCell="1" allowOverlap="1" wp14:anchorId="5DDF7B20" wp14:editId="252E0873">
                <wp:simplePos x="0" y="0"/>
                <wp:positionH relativeFrom="margin">
                  <wp:align>left</wp:align>
                </wp:positionH>
                <wp:positionV relativeFrom="paragraph">
                  <wp:posOffset>459740</wp:posOffset>
                </wp:positionV>
                <wp:extent cx="6090285" cy="2409190"/>
                <wp:effectExtent l="0" t="0" r="24765" b="10160"/>
                <wp:wrapTight wrapText="bothSides">
                  <wp:wrapPolygon edited="0">
                    <wp:start x="0" y="0"/>
                    <wp:lineTo x="0" y="21520"/>
                    <wp:lineTo x="21620" y="21520"/>
                    <wp:lineTo x="21620" y="0"/>
                    <wp:lineTo x="0" y="0"/>
                  </wp:wrapPolygon>
                </wp:wrapTight>
                <wp:docPr id="1" name="Zone de texte 1"/>
                <wp:cNvGraphicFramePr/>
                <a:graphic xmlns:a="http://schemas.openxmlformats.org/drawingml/2006/main">
                  <a:graphicData uri="http://schemas.microsoft.com/office/word/2010/wordprocessingShape">
                    <wps:wsp>
                      <wps:cNvSpPr txBox="1"/>
                      <wps:spPr>
                        <a:xfrm>
                          <a:off x="0" y="0"/>
                          <a:ext cx="6090285" cy="24091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3885FA" w14:textId="0C11BA72" w:rsidR="004B5FFC" w:rsidRDefault="00E0097E" w:rsidP="004B5FFC">
                            <w:r>
                              <w:rPr>
                                <w:noProof/>
                              </w:rPr>
                              <w:drawing>
                                <wp:inline distT="0" distB="0" distL="0" distR="0" wp14:anchorId="1F2A6BD3" wp14:editId="39775146">
                                  <wp:extent cx="2933700" cy="2069465"/>
                                  <wp:effectExtent l="0" t="0" r="0" b="6985"/>
                                  <wp:docPr id="1384536567" name="Graphique 1">
                                    <a:extLst xmlns:a="http://schemas.openxmlformats.org/drawingml/2006/main">
                                      <a:ext uri="{FF2B5EF4-FFF2-40B4-BE49-F238E27FC236}">
                                        <a16:creationId xmlns:a16="http://schemas.microsoft.com/office/drawing/2014/main" id="{F640F237-7D79-0566-9ADC-E30AEF27A0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DF7B20" id="_x0000_t202" coordsize="21600,21600" o:spt="202" path="m,l,21600r21600,l21600,xe">
                <v:stroke joinstyle="miter"/>
                <v:path gradientshapeok="t" o:connecttype="rect"/>
              </v:shapetype>
              <v:shape id="Zone de texte 1" o:spid="_x0000_s1026" type="#_x0000_t202" style="position:absolute;left:0;text-align:left;margin-left:0;margin-top:36.2pt;width:479.55pt;height:189.7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" fillcolor="white [3201]" strokeweight=".5pt">
                <v:textbox>
                  <w:txbxContent>
                    <w:p w14:paraId="753885FA" w14:textId="0C11BA72" w:rsidR="004B5FFC" w:rsidRDefault="00E0097E" w:rsidP="004B5FFC">
                      <w:r>
                        <w:rPr>
                          <w:noProof/>
                        </w:rPr>
                        <w:drawing>
                          <wp:inline distT="0" distB="0" distL="0" distR="0" wp14:anchorId="1F2A6BD3" wp14:editId="39775146">
                            <wp:extent cx="2933700" cy="2069465"/>
                            <wp:effectExtent l="0" t="0" r="0" b="6985"/>
                            <wp:docPr id="1384536567" name="Graphique 1">
                              <a:extLst xmlns:a="http://schemas.openxmlformats.org/drawingml/2006/main">
                                <a:ext uri="{FF2B5EF4-FFF2-40B4-BE49-F238E27FC236}">
                                  <a16:creationId xmlns:a16="http://schemas.microsoft.com/office/drawing/2014/main" id="{F640F237-7D79-0566-9ADC-E30AEF27A0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w10:wrap type="tight" anchorx="margin"/>
              </v:shape>
            </w:pict>
          </mc:Fallback>
        </mc:AlternateContent>
      </w:r>
      <w:r w:rsidR="00456558" w:rsidRPr="00456558">
        <w:rPr>
          <w:rFonts w:ascii="Arial Black" w:hAnsi="Arial Black" w:cs="Times New Roman"/>
          <w:sz w:val="20"/>
          <w:szCs w:val="20"/>
          <w:lang/>
        </w:rPr>
        <w:t>These QQ and PP plots constitute the normality tests for the rainfall series.</w:t>
      </w:r>
    </w:p>
    <w:p w14:paraId="3B04D555" w14:textId="5CEC3076" w:rsidR="004B5FFC" w:rsidRPr="003A04EF" w:rsidRDefault="00E0097E" w:rsidP="00BD067F">
      <w:pPr>
        <w:spacing w:after="0" w:line="360" w:lineRule="auto"/>
        <w:jc w:val="both"/>
        <w:rPr>
          <w:rFonts w:ascii="Times New Roman" w:hAnsi="Times New Roman" w:cs="Times New Roman"/>
          <w:highlight w:val="yellow"/>
        </w:rPr>
      </w:pPr>
      <w:r w:rsidRPr="00E45D2C">
        <w:rPr>
          <w:rFonts w:eastAsia="Calibri" w:cs="Times New Roman"/>
          <w:noProof/>
          <w:sz w:val="20"/>
          <w:szCs w:val="20"/>
          <w:lang w:eastAsia="fr-FR"/>
        </w:rPr>
        <w:drawing>
          <wp:anchor distT="0" distB="0" distL="114300" distR="114300" simplePos="0" relativeHeight="251668480" behindDoc="1" locked="0" layoutInCell="1" allowOverlap="1" wp14:anchorId="4334918F" wp14:editId="29E22FDB">
            <wp:simplePos x="0" y="0"/>
            <wp:positionH relativeFrom="margin">
              <wp:posOffset>3035935</wp:posOffset>
            </wp:positionH>
            <wp:positionV relativeFrom="paragraph">
              <wp:posOffset>507365</wp:posOffset>
            </wp:positionV>
            <wp:extent cx="2834640" cy="2077085"/>
            <wp:effectExtent l="0" t="0" r="3810" b="18415"/>
            <wp:wrapTight wrapText="bothSides">
              <wp:wrapPolygon edited="0">
                <wp:start x="0" y="0"/>
                <wp:lineTo x="0" y="21593"/>
                <wp:lineTo x="21484" y="21593"/>
                <wp:lineTo x="21484" y="0"/>
                <wp:lineTo x="0" y="0"/>
              </wp:wrapPolygon>
            </wp:wrapTight>
            <wp:docPr id="1954963070" name="Graphique 1">
              <a:extLst xmlns:a="http://schemas.openxmlformats.org/drawingml/2006/main">
                <a:ext uri="{FF2B5EF4-FFF2-40B4-BE49-F238E27FC236}">
                  <a16:creationId xmlns:a16="http://schemas.microsoft.com/office/drawing/2014/main" id="{724286D6-471B-CEB5-4E3D-5B54AED546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34FDEE10" w14:textId="76E4337B" w:rsidR="00BD067F" w:rsidRPr="00BD067F" w:rsidRDefault="00614B1E" w:rsidP="00BD067F">
      <w:pPr>
        <w:spacing w:after="0" w:line="360" w:lineRule="auto"/>
        <w:jc w:val="both"/>
        <w:rPr>
          <w:rFonts w:ascii="Arial Black" w:hAnsi="Arial Black" w:cs="Times New Roman"/>
          <w:b/>
          <w:bCs/>
          <w:sz w:val="20"/>
          <w:szCs w:val="20"/>
        </w:rPr>
      </w:pPr>
      <w:r>
        <w:rPr>
          <w:rFonts w:ascii="Arial Black" w:hAnsi="Arial Black" w:cs="Times New Roman"/>
          <w:b/>
          <w:bCs/>
          <w:sz w:val="20"/>
          <w:szCs w:val="20"/>
        </w:rPr>
        <w:t>Figure</w:t>
      </w:r>
      <w:r w:rsidR="00BD067F" w:rsidRPr="00BD067F">
        <w:rPr>
          <w:rFonts w:ascii="Arial Black" w:hAnsi="Arial Black" w:cs="Times New Roman"/>
          <w:b/>
          <w:bCs/>
          <w:sz w:val="20"/>
          <w:szCs w:val="20"/>
        </w:rPr>
        <w:t xml:space="preserve"> 1</w:t>
      </w:r>
      <w:r w:rsidR="0020270A">
        <w:rPr>
          <w:rFonts w:ascii="Arial Black" w:hAnsi="Arial Black" w:cs="Times New Roman"/>
          <w:b/>
          <w:bCs/>
          <w:sz w:val="20"/>
          <w:szCs w:val="20"/>
        </w:rPr>
        <w:t xml:space="preserve"> </w:t>
      </w:r>
      <w:r w:rsidR="00BD067F" w:rsidRPr="00BD067F">
        <w:rPr>
          <w:rFonts w:ascii="Arial Black" w:hAnsi="Arial Black" w:cs="Times New Roman"/>
          <w:b/>
          <w:bCs/>
          <w:sz w:val="20"/>
          <w:szCs w:val="20"/>
        </w:rPr>
        <w:t xml:space="preserve">: </w:t>
      </w:r>
      <w:proofErr w:type="spellStart"/>
      <w:r w:rsidR="00BD067F" w:rsidRPr="00BD067F">
        <w:rPr>
          <w:rFonts w:ascii="Arial Black" w:hAnsi="Arial Black" w:cs="Times New Roman"/>
          <w:b/>
          <w:bCs/>
          <w:sz w:val="20"/>
          <w:szCs w:val="20"/>
        </w:rPr>
        <w:t>Normality</w:t>
      </w:r>
      <w:proofErr w:type="spellEnd"/>
      <w:r w:rsidR="00BD067F" w:rsidRPr="00BD067F">
        <w:rPr>
          <w:rFonts w:ascii="Arial Black" w:hAnsi="Arial Black" w:cs="Times New Roman"/>
          <w:b/>
          <w:bCs/>
          <w:sz w:val="20"/>
          <w:szCs w:val="20"/>
        </w:rPr>
        <w:t xml:space="preserve"> tests of the </w:t>
      </w:r>
      <w:proofErr w:type="spellStart"/>
      <w:r w:rsidR="00BD067F" w:rsidRPr="00BD067F">
        <w:rPr>
          <w:rFonts w:ascii="Arial Black" w:hAnsi="Arial Black" w:cs="Times New Roman"/>
          <w:b/>
          <w:bCs/>
          <w:sz w:val="20"/>
          <w:szCs w:val="20"/>
        </w:rPr>
        <w:t>rainfall</w:t>
      </w:r>
      <w:proofErr w:type="spellEnd"/>
      <w:r w:rsidR="00BD067F" w:rsidRPr="00BD067F">
        <w:rPr>
          <w:rFonts w:ascii="Arial Black" w:hAnsi="Arial Black" w:cs="Times New Roman"/>
          <w:b/>
          <w:bCs/>
          <w:sz w:val="20"/>
          <w:szCs w:val="20"/>
        </w:rPr>
        <w:t xml:space="preserve"> </w:t>
      </w:r>
      <w:proofErr w:type="spellStart"/>
      <w:r w:rsidR="00BD067F" w:rsidRPr="00BD067F">
        <w:rPr>
          <w:rFonts w:ascii="Arial Black" w:hAnsi="Arial Black" w:cs="Times New Roman"/>
          <w:b/>
          <w:bCs/>
          <w:sz w:val="20"/>
          <w:szCs w:val="20"/>
        </w:rPr>
        <w:t>series</w:t>
      </w:r>
      <w:proofErr w:type="spellEnd"/>
      <w:r w:rsidR="00BD067F" w:rsidRPr="00BD067F">
        <w:rPr>
          <w:rFonts w:ascii="Arial Black" w:hAnsi="Arial Black" w:cs="Times New Roman"/>
          <w:b/>
          <w:bCs/>
          <w:sz w:val="20"/>
          <w:szCs w:val="20"/>
        </w:rPr>
        <w:t xml:space="preserve"> </w:t>
      </w:r>
      <w:proofErr w:type="spellStart"/>
      <w:r w:rsidR="00BD067F" w:rsidRPr="00BD067F">
        <w:rPr>
          <w:rFonts w:ascii="Arial Black" w:hAnsi="Arial Black" w:cs="Times New Roman"/>
          <w:b/>
          <w:bCs/>
          <w:sz w:val="20"/>
          <w:szCs w:val="20"/>
        </w:rPr>
        <w:t>using</w:t>
      </w:r>
      <w:proofErr w:type="spellEnd"/>
      <w:r w:rsidR="00BD067F" w:rsidRPr="00BD067F">
        <w:rPr>
          <w:rFonts w:ascii="Arial Black" w:hAnsi="Arial Black" w:cs="Times New Roman"/>
          <w:b/>
          <w:bCs/>
          <w:sz w:val="20"/>
          <w:szCs w:val="20"/>
        </w:rPr>
        <w:t xml:space="preserve"> Q-Q and P-P plots</w:t>
      </w:r>
    </w:p>
    <w:p w14:paraId="5B8453EB" w14:textId="33917243" w:rsidR="00BD067F" w:rsidRDefault="00BD067F" w:rsidP="00BD067F">
      <w:pPr>
        <w:spacing w:after="0" w:line="360" w:lineRule="auto"/>
        <w:jc w:val="both"/>
        <w:rPr>
          <w:rFonts w:ascii="Arial Black" w:hAnsi="Arial Black" w:cs="Times New Roman"/>
          <w:b/>
          <w:bCs/>
          <w:sz w:val="20"/>
          <w:szCs w:val="20"/>
        </w:rPr>
      </w:pPr>
      <w:r w:rsidRPr="00BD067F">
        <w:rPr>
          <w:rFonts w:ascii="Arial Black" w:hAnsi="Arial Black" w:cs="Times New Roman"/>
          <w:b/>
          <w:bCs/>
          <w:sz w:val="20"/>
          <w:szCs w:val="20"/>
        </w:rPr>
        <w:t>Sources : ANAM data (1992 to 2022)</w:t>
      </w:r>
    </w:p>
    <w:p w14:paraId="1F6E71C1" w14:textId="77777777" w:rsidR="00BD067F" w:rsidRPr="00BD067F" w:rsidRDefault="00BD067F" w:rsidP="00BD067F">
      <w:pPr>
        <w:spacing w:after="0" w:line="360" w:lineRule="auto"/>
        <w:jc w:val="both"/>
        <w:rPr>
          <w:rFonts w:ascii="Arial Black" w:hAnsi="Arial Black" w:cs="Times New Roman"/>
          <w:sz w:val="20"/>
          <w:szCs w:val="20"/>
        </w:rPr>
      </w:pPr>
      <w:r w:rsidRPr="00BD067F">
        <w:rPr>
          <w:rFonts w:ascii="Arial Black" w:hAnsi="Arial Black" w:cs="Times New Roman"/>
          <w:sz w:val="20"/>
          <w:szCs w:val="20"/>
        </w:rPr>
        <w:lastRenderedPageBreak/>
        <w:t xml:space="preserve">Analysis of QQ and PP graphs </w:t>
      </w:r>
      <w:proofErr w:type="spellStart"/>
      <w:r w:rsidRPr="00BD067F">
        <w:rPr>
          <w:rFonts w:ascii="Arial Black" w:hAnsi="Arial Black" w:cs="Times New Roman"/>
          <w:sz w:val="20"/>
          <w:szCs w:val="20"/>
        </w:rPr>
        <w:t>based</w:t>
      </w:r>
      <w:proofErr w:type="spellEnd"/>
      <w:r w:rsidRPr="00BD067F">
        <w:rPr>
          <w:rFonts w:ascii="Arial Black" w:hAnsi="Arial Black" w:cs="Times New Roman"/>
          <w:sz w:val="20"/>
          <w:szCs w:val="20"/>
        </w:rPr>
        <w:t xml:space="preserve"> on </w:t>
      </w:r>
      <w:proofErr w:type="spellStart"/>
      <w:r w:rsidRPr="00BD067F">
        <w:rPr>
          <w:rFonts w:ascii="Arial Black" w:hAnsi="Arial Black" w:cs="Times New Roman"/>
          <w:sz w:val="20"/>
          <w:szCs w:val="20"/>
        </w:rPr>
        <w:t>thirty</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years</w:t>
      </w:r>
      <w:proofErr w:type="spellEnd"/>
      <w:r w:rsidRPr="00BD067F">
        <w:rPr>
          <w:rFonts w:ascii="Arial Black" w:hAnsi="Arial Black" w:cs="Times New Roman"/>
          <w:sz w:val="20"/>
          <w:szCs w:val="20"/>
        </w:rPr>
        <w:t xml:space="preserve"> of </w:t>
      </w:r>
      <w:proofErr w:type="spellStart"/>
      <w:r w:rsidRPr="00BD067F">
        <w:rPr>
          <w:rFonts w:ascii="Arial Black" w:hAnsi="Arial Black" w:cs="Times New Roman"/>
          <w:sz w:val="20"/>
          <w:szCs w:val="20"/>
        </w:rPr>
        <w:t>rainfall</w:t>
      </w:r>
      <w:proofErr w:type="spellEnd"/>
      <w:r w:rsidRPr="00BD067F">
        <w:rPr>
          <w:rFonts w:ascii="Arial Black" w:hAnsi="Arial Black" w:cs="Times New Roman"/>
          <w:sz w:val="20"/>
          <w:szCs w:val="20"/>
        </w:rPr>
        <w:t xml:space="preserve"> data in Loumbila </w:t>
      </w:r>
      <w:proofErr w:type="spellStart"/>
      <w:r w:rsidRPr="00BD067F">
        <w:rPr>
          <w:rFonts w:ascii="Arial Black" w:hAnsi="Arial Black" w:cs="Times New Roman"/>
          <w:sz w:val="20"/>
          <w:szCs w:val="20"/>
        </w:rPr>
        <w:t>reveals</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remarkable</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stability</w:t>
      </w:r>
      <w:proofErr w:type="spellEnd"/>
      <w:r w:rsidRPr="00BD067F">
        <w:rPr>
          <w:rFonts w:ascii="Arial Black" w:hAnsi="Arial Black" w:cs="Times New Roman"/>
          <w:sz w:val="20"/>
          <w:szCs w:val="20"/>
        </w:rPr>
        <w:t xml:space="preserve"> in the </w:t>
      </w:r>
      <w:proofErr w:type="spellStart"/>
      <w:r w:rsidRPr="00BD067F">
        <w:rPr>
          <w:rFonts w:ascii="Arial Black" w:hAnsi="Arial Black" w:cs="Times New Roman"/>
          <w:sz w:val="20"/>
          <w:szCs w:val="20"/>
        </w:rPr>
        <w:t>withdrawal</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regime</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According</w:t>
      </w:r>
      <w:proofErr w:type="spellEnd"/>
      <w:r w:rsidRPr="00BD067F">
        <w:rPr>
          <w:rFonts w:ascii="Arial Black" w:hAnsi="Arial Black" w:cs="Times New Roman"/>
          <w:sz w:val="20"/>
          <w:szCs w:val="20"/>
        </w:rPr>
        <w:t xml:space="preserve"> to Montane, C. (2024, p. 26), </w:t>
      </w:r>
      <w:proofErr w:type="spellStart"/>
      <w:r w:rsidRPr="00BD067F">
        <w:rPr>
          <w:rFonts w:ascii="Arial Black" w:hAnsi="Arial Black" w:cs="Times New Roman"/>
          <w:sz w:val="20"/>
          <w:szCs w:val="20"/>
        </w:rPr>
        <w:t>this</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stability</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reflects</w:t>
      </w:r>
      <w:proofErr w:type="spellEnd"/>
      <w:r w:rsidRPr="00BD067F">
        <w:rPr>
          <w:rFonts w:ascii="Arial Black" w:hAnsi="Arial Black" w:cs="Times New Roman"/>
          <w:sz w:val="20"/>
          <w:szCs w:val="20"/>
        </w:rPr>
        <w:t xml:space="preserve"> a </w:t>
      </w:r>
      <w:proofErr w:type="spellStart"/>
      <w:r w:rsidRPr="00BD067F">
        <w:rPr>
          <w:rFonts w:ascii="Arial Black" w:hAnsi="Arial Black" w:cs="Times New Roman"/>
          <w:sz w:val="20"/>
          <w:szCs w:val="20"/>
        </w:rPr>
        <w:t>solid</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statistical</w:t>
      </w:r>
      <w:proofErr w:type="spellEnd"/>
      <w:r w:rsidRPr="00BD067F">
        <w:rPr>
          <w:rFonts w:ascii="Arial Black" w:hAnsi="Arial Black" w:cs="Times New Roman"/>
          <w:sz w:val="20"/>
          <w:szCs w:val="20"/>
        </w:rPr>
        <w:t xml:space="preserve"> structure, </w:t>
      </w:r>
      <w:proofErr w:type="spellStart"/>
      <w:r w:rsidRPr="00BD067F">
        <w:rPr>
          <w:rFonts w:ascii="Arial Black" w:hAnsi="Arial Black" w:cs="Times New Roman"/>
          <w:sz w:val="20"/>
          <w:szCs w:val="20"/>
        </w:rPr>
        <w:t>with</w:t>
      </w:r>
      <w:proofErr w:type="spellEnd"/>
      <w:r w:rsidRPr="00BD067F">
        <w:rPr>
          <w:rFonts w:ascii="Arial Black" w:hAnsi="Arial Black" w:cs="Times New Roman"/>
          <w:sz w:val="20"/>
          <w:szCs w:val="20"/>
        </w:rPr>
        <w:t xml:space="preserve"> no major changes in </w:t>
      </w:r>
      <w:proofErr w:type="spellStart"/>
      <w:r w:rsidRPr="00BD067F">
        <w:rPr>
          <w:rFonts w:ascii="Arial Black" w:hAnsi="Arial Black" w:cs="Times New Roman"/>
          <w:sz w:val="20"/>
          <w:szCs w:val="20"/>
        </w:rPr>
        <w:t>rainfall</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However</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slight</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deviations</w:t>
      </w:r>
      <w:proofErr w:type="spellEnd"/>
      <w:r w:rsidRPr="00BD067F">
        <w:rPr>
          <w:rFonts w:ascii="Arial Black" w:hAnsi="Arial Black" w:cs="Times New Roman"/>
          <w:sz w:val="20"/>
          <w:szCs w:val="20"/>
        </w:rPr>
        <w:t xml:space="preserve"> at the ends of the </w:t>
      </w:r>
      <w:proofErr w:type="spellStart"/>
      <w:r w:rsidRPr="00BD067F">
        <w:rPr>
          <w:rFonts w:ascii="Arial Black" w:hAnsi="Arial Black" w:cs="Times New Roman"/>
          <w:sz w:val="20"/>
          <w:szCs w:val="20"/>
        </w:rPr>
        <w:t>curves</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indicate</w:t>
      </w:r>
      <w:proofErr w:type="spellEnd"/>
      <w:r w:rsidRPr="00BD067F">
        <w:rPr>
          <w:rFonts w:ascii="Arial Black" w:hAnsi="Arial Black" w:cs="Times New Roman"/>
          <w:sz w:val="20"/>
          <w:szCs w:val="20"/>
        </w:rPr>
        <w:t xml:space="preserve"> the </w:t>
      </w:r>
      <w:proofErr w:type="spellStart"/>
      <w:r w:rsidRPr="00BD067F">
        <w:rPr>
          <w:rFonts w:ascii="Arial Black" w:hAnsi="Arial Black" w:cs="Times New Roman"/>
          <w:sz w:val="20"/>
          <w:szCs w:val="20"/>
        </w:rPr>
        <w:t>presence</w:t>
      </w:r>
      <w:proofErr w:type="spellEnd"/>
      <w:r w:rsidRPr="00BD067F">
        <w:rPr>
          <w:rFonts w:ascii="Arial Black" w:hAnsi="Arial Black" w:cs="Times New Roman"/>
          <w:sz w:val="20"/>
          <w:szCs w:val="20"/>
        </w:rPr>
        <w:t xml:space="preserve"> of </w:t>
      </w:r>
      <w:proofErr w:type="spellStart"/>
      <w:r w:rsidRPr="00BD067F">
        <w:rPr>
          <w:rFonts w:ascii="Arial Black" w:hAnsi="Arial Black" w:cs="Times New Roman"/>
          <w:sz w:val="20"/>
          <w:szCs w:val="20"/>
        </w:rPr>
        <w:t>extreme</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rainfall</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events</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considered</w:t>
      </w:r>
      <w:proofErr w:type="spellEnd"/>
      <w:r w:rsidRPr="00BD067F">
        <w:rPr>
          <w:rFonts w:ascii="Arial Black" w:hAnsi="Arial Black" w:cs="Times New Roman"/>
          <w:sz w:val="20"/>
          <w:szCs w:val="20"/>
        </w:rPr>
        <w:t xml:space="preserve"> to </w:t>
      </w:r>
      <w:proofErr w:type="spellStart"/>
      <w:r w:rsidRPr="00BD067F">
        <w:rPr>
          <w:rFonts w:ascii="Arial Black" w:hAnsi="Arial Black" w:cs="Times New Roman"/>
          <w:sz w:val="20"/>
          <w:szCs w:val="20"/>
        </w:rPr>
        <w:t>be</w:t>
      </w:r>
      <w:proofErr w:type="spellEnd"/>
      <w:r w:rsidRPr="00BD067F">
        <w:rPr>
          <w:rFonts w:ascii="Arial Black" w:hAnsi="Arial Black" w:cs="Times New Roman"/>
          <w:sz w:val="20"/>
          <w:szCs w:val="20"/>
        </w:rPr>
        <w:t xml:space="preserve"> the first </w:t>
      </w:r>
      <w:proofErr w:type="spellStart"/>
      <w:r w:rsidRPr="00BD067F">
        <w:rPr>
          <w:rFonts w:ascii="Arial Black" w:hAnsi="Arial Black" w:cs="Times New Roman"/>
          <w:sz w:val="20"/>
          <w:szCs w:val="20"/>
        </w:rPr>
        <w:t>signs</w:t>
      </w:r>
      <w:proofErr w:type="spellEnd"/>
      <w:r w:rsidRPr="00BD067F">
        <w:rPr>
          <w:rFonts w:ascii="Arial Black" w:hAnsi="Arial Black" w:cs="Times New Roman"/>
          <w:sz w:val="20"/>
          <w:szCs w:val="20"/>
        </w:rPr>
        <w:t xml:space="preserve"> of </w:t>
      </w:r>
      <w:proofErr w:type="spellStart"/>
      <w:r w:rsidRPr="00BD067F">
        <w:rPr>
          <w:rFonts w:ascii="Arial Black" w:hAnsi="Arial Black" w:cs="Times New Roman"/>
          <w:sz w:val="20"/>
          <w:szCs w:val="20"/>
        </w:rPr>
        <w:t>significant</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hydrological</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deviations</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Descroix</w:t>
      </w:r>
      <w:proofErr w:type="spellEnd"/>
      <w:r w:rsidRPr="00BD067F">
        <w:rPr>
          <w:rFonts w:ascii="Arial Black" w:hAnsi="Arial Black" w:cs="Times New Roman"/>
          <w:sz w:val="20"/>
          <w:szCs w:val="20"/>
        </w:rPr>
        <w:t>, L., et al., 2015, p. 33).</w:t>
      </w:r>
    </w:p>
    <w:p w14:paraId="43E0D999" w14:textId="00BAD14D" w:rsidR="004B5FFC" w:rsidRDefault="00BD067F" w:rsidP="00BD067F">
      <w:pPr>
        <w:spacing w:after="0" w:line="360" w:lineRule="auto"/>
        <w:jc w:val="both"/>
        <w:rPr>
          <w:rFonts w:ascii="Times New Roman" w:hAnsi="Times New Roman" w:cs="Times New Roman"/>
        </w:rPr>
      </w:pPr>
      <w:r w:rsidRPr="00BD067F">
        <w:rPr>
          <w:rFonts w:ascii="Arial Black" w:hAnsi="Arial Black" w:cs="Times New Roman"/>
          <w:sz w:val="20"/>
          <w:szCs w:val="20"/>
        </w:rPr>
        <w:t xml:space="preserve">Kaboré, P. N., et al. (2017, p. 85) </w:t>
      </w:r>
      <w:proofErr w:type="spellStart"/>
      <w:r w:rsidRPr="00BD067F">
        <w:rPr>
          <w:rFonts w:ascii="Arial Black" w:hAnsi="Arial Black" w:cs="Times New Roman"/>
          <w:sz w:val="20"/>
          <w:szCs w:val="20"/>
        </w:rPr>
        <w:t>emphasize</w:t>
      </w:r>
      <w:proofErr w:type="spellEnd"/>
      <w:r w:rsidRPr="00BD067F">
        <w:rPr>
          <w:rFonts w:ascii="Arial Black" w:hAnsi="Arial Black" w:cs="Times New Roman"/>
          <w:sz w:val="20"/>
          <w:szCs w:val="20"/>
        </w:rPr>
        <w:t xml:space="preserve"> the importance of monitoring the accumulation of </w:t>
      </w:r>
      <w:proofErr w:type="spellStart"/>
      <w:r w:rsidRPr="00BD067F">
        <w:rPr>
          <w:rFonts w:ascii="Arial Black" w:hAnsi="Arial Black" w:cs="Times New Roman"/>
          <w:sz w:val="20"/>
          <w:szCs w:val="20"/>
        </w:rPr>
        <w:t>these</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deviations</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which</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may</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reflect</w:t>
      </w:r>
      <w:proofErr w:type="spellEnd"/>
      <w:r w:rsidRPr="00BD067F">
        <w:rPr>
          <w:rFonts w:ascii="Arial Black" w:hAnsi="Arial Black" w:cs="Times New Roman"/>
          <w:sz w:val="20"/>
          <w:szCs w:val="20"/>
        </w:rPr>
        <w:t xml:space="preserve"> the </w:t>
      </w:r>
      <w:proofErr w:type="spellStart"/>
      <w:r w:rsidRPr="00BD067F">
        <w:rPr>
          <w:rFonts w:ascii="Arial Black" w:hAnsi="Arial Black" w:cs="Times New Roman"/>
          <w:sz w:val="20"/>
          <w:szCs w:val="20"/>
        </w:rPr>
        <w:t>emergence</w:t>
      </w:r>
      <w:proofErr w:type="spellEnd"/>
      <w:r w:rsidRPr="00BD067F">
        <w:rPr>
          <w:rFonts w:ascii="Arial Black" w:hAnsi="Arial Black" w:cs="Times New Roman"/>
          <w:sz w:val="20"/>
          <w:szCs w:val="20"/>
        </w:rPr>
        <w:t xml:space="preserve"> of a new </w:t>
      </w:r>
      <w:proofErr w:type="spellStart"/>
      <w:r w:rsidRPr="00BD067F">
        <w:rPr>
          <w:rFonts w:ascii="Arial Black" w:hAnsi="Arial Black" w:cs="Times New Roman"/>
          <w:sz w:val="20"/>
          <w:szCs w:val="20"/>
        </w:rPr>
        <w:t>rainfall</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regime</w:t>
      </w:r>
      <w:proofErr w:type="spellEnd"/>
      <w:r w:rsidRPr="00BD067F">
        <w:rPr>
          <w:rFonts w:ascii="Arial Black" w:hAnsi="Arial Black" w:cs="Times New Roman"/>
          <w:sz w:val="20"/>
          <w:szCs w:val="20"/>
        </w:rPr>
        <w:t xml:space="preserve">. In agriculture, </w:t>
      </w:r>
      <w:proofErr w:type="spellStart"/>
      <w:r w:rsidRPr="00BD067F">
        <w:rPr>
          <w:rFonts w:ascii="Arial Black" w:hAnsi="Arial Black" w:cs="Times New Roman"/>
          <w:sz w:val="20"/>
          <w:szCs w:val="20"/>
        </w:rPr>
        <w:t>these</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diagrams</w:t>
      </w:r>
      <w:proofErr w:type="spellEnd"/>
      <w:r w:rsidRPr="00BD067F">
        <w:rPr>
          <w:rFonts w:ascii="Arial Black" w:hAnsi="Arial Black" w:cs="Times New Roman"/>
          <w:sz w:val="20"/>
          <w:szCs w:val="20"/>
        </w:rPr>
        <w:t xml:space="preserve"> serve as an </w:t>
      </w:r>
      <w:proofErr w:type="spellStart"/>
      <w:r w:rsidRPr="00BD067F">
        <w:rPr>
          <w:rFonts w:ascii="Arial Black" w:hAnsi="Arial Black" w:cs="Times New Roman"/>
          <w:sz w:val="20"/>
          <w:szCs w:val="20"/>
        </w:rPr>
        <w:t>early</w:t>
      </w:r>
      <w:proofErr w:type="spellEnd"/>
      <w:r w:rsidRPr="00BD067F">
        <w:rPr>
          <w:rFonts w:ascii="Arial Black" w:hAnsi="Arial Black" w:cs="Times New Roman"/>
          <w:sz w:val="20"/>
          <w:szCs w:val="20"/>
        </w:rPr>
        <w:t xml:space="preserve"> warning </w:t>
      </w:r>
      <w:proofErr w:type="spellStart"/>
      <w:r w:rsidRPr="00BD067F">
        <w:rPr>
          <w:rFonts w:ascii="Arial Black" w:hAnsi="Arial Black" w:cs="Times New Roman"/>
          <w:sz w:val="20"/>
          <w:szCs w:val="20"/>
        </w:rPr>
        <w:t>tool</w:t>
      </w:r>
      <w:proofErr w:type="spellEnd"/>
      <w:r w:rsidRPr="00BD067F">
        <w:rPr>
          <w:rFonts w:ascii="Arial Black" w:hAnsi="Arial Black" w:cs="Times New Roman"/>
          <w:sz w:val="20"/>
          <w:szCs w:val="20"/>
        </w:rPr>
        <w:t xml:space="preserve"> for </w:t>
      </w:r>
      <w:proofErr w:type="spellStart"/>
      <w:r w:rsidRPr="00BD067F">
        <w:rPr>
          <w:rFonts w:ascii="Arial Black" w:hAnsi="Arial Black" w:cs="Times New Roman"/>
          <w:sz w:val="20"/>
          <w:szCs w:val="20"/>
        </w:rPr>
        <w:t>climate</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risk</w:t>
      </w:r>
      <w:proofErr w:type="spellEnd"/>
      <w:r w:rsidRPr="00BD067F">
        <w:rPr>
          <w:rFonts w:ascii="Arial Black" w:hAnsi="Arial Black" w:cs="Times New Roman"/>
          <w:sz w:val="20"/>
          <w:szCs w:val="20"/>
        </w:rPr>
        <w:t xml:space="preserve"> management and </w:t>
      </w:r>
      <w:proofErr w:type="spellStart"/>
      <w:r w:rsidRPr="00BD067F">
        <w:rPr>
          <w:rFonts w:ascii="Arial Black" w:hAnsi="Arial Black" w:cs="Times New Roman"/>
          <w:sz w:val="20"/>
          <w:szCs w:val="20"/>
        </w:rPr>
        <w:t>food</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security</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Taïbi</w:t>
      </w:r>
      <w:proofErr w:type="spellEnd"/>
      <w:r w:rsidRPr="00BD067F">
        <w:rPr>
          <w:rFonts w:ascii="Arial Black" w:hAnsi="Arial Black" w:cs="Times New Roman"/>
          <w:sz w:val="20"/>
          <w:szCs w:val="20"/>
        </w:rPr>
        <w:t>, S., 2021, p. 215</w:t>
      </w:r>
      <w:r w:rsidR="007D5A0A">
        <w:rPr>
          <w:rFonts w:ascii="Arial Black" w:hAnsi="Arial Black" w:cs="Times New Roman"/>
          <w:sz w:val="20"/>
          <w:szCs w:val="20"/>
        </w:rPr>
        <w:t xml:space="preserve"> </w:t>
      </w:r>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Ater</w:t>
      </w:r>
      <w:proofErr w:type="spellEnd"/>
      <w:r w:rsidRPr="00BD067F">
        <w:rPr>
          <w:rFonts w:ascii="Arial Black" w:hAnsi="Arial Black" w:cs="Times New Roman"/>
          <w:sz w:val="20"/>
          <w:szCs w:val="20"/>
        </w:rPr>
        <w:t xml:space="preserve">, M., &amp; </w:t>
      </w:r>
      <w:proofErr w:type="spellStart"/>
      <w:r w:rsidRPr="00BD067F">
        <w:rPr>
          <w:rFonts w:ascii="Arial Black" w:hAnsi="Arial Black" w:cs="Times New Roman"/>
          <w:sz w:val="20"/>
          <w:szCs w:val="20"/>
        </w:rPr>
        <w:t>Hmimsa</w:t>
      </w:r>
      <w:proofErr w:type="spellEnd"/>
      <w:r w:rsidRPr="00BD067F">
        <w:rPr>
          <w:rFonts w:ascii="Arial Black" w:hAnsi="Arial Black" w:cs="Times New Roman"/>
          <w:sz w:val="20"/>
          <w:szCs w:val="20"/>
        </w:rPr>
        <w:t xml:space="preserve">, Y., 2008, p. 107). The distinction </w:t>
      </w:r>
      <w:proofErr w:type="spellStart"/>
      <w:r w:rsidRPr="00BD067F">
        <w:rPr>
          <w:rFonts w:ascii="Arial Black" w:hAnsi="Arial Black" w:cs="Times New Roman"/>
          <w:sz w:val="20"/>
          <w:szCs w:val="20"/>
        </w:rPr>
        <w:t>between</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natural</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rainfall</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variability</w:t>
      </w:r>
      <w:proofErr w:type="spellEnd"/>
      <w:r w:rsidRPr="00BD067F">
        <w:rPr>
          <w:rFonts w:ascii="Arial Black" w:hAnsi="Arial Black" w:cs="Times New Roman"/>
          <w:sz w:val="20"/>
          <w:szCs w:val="20"/>
        </w:rPr>
        <w:t xml:space="preserve"> and </w:t>
      </w:r>
      <w:proofErr w:type="spellStart"/>
      <w:r w:rsidRPr="00BD067F">
        <w:rPr>
          <w:rFonts w:ascii="Arial Black" w:hAnsi="Arial Black" w:cs="Times New Roman"/>
          <w:sz w:val="20"/>
          <w:szCs w:val="20"/>
        </w:rPr>
        <w:t>climate</w:t>
      </w:r>
      <w:proofErr w:type="spellEnd"/>
      <w:r w:rsidRPr="00BD067F">
        <w:rPr>
          <w:rFonts w:ascii="Arial Black" w:hAnsi="Arial Black" w:cs="Times New Roman"/>
          <w:sz w:val="20"/>
          <w:szCs w:val="20"/>
        </w:rPr>
        <w:t xml:space="preserve"> change </w:t>
      </w:r>
      <w:proofErr w:type="spellStart"/>
      <w:r w:rsidRPr="00BD067F">
        <w:rPr>
          <w:rFonts w:ascii="Arial Black" w:hAnsi="Arial Black" w:cs="Times New Roman"/>
          <w:sz w:val="20"/>
          <w:szCs w:val="20"/>
        </w:rPr>
        <w:t>also</w:t>
      </w:r>
      <w:proofErr w:type="spellEnd"/>
      <w:r w:rsidRPr="00BD067F">
        <w:rPr>
          <w:rFonts w:ascii="Arial Black" w:hAnsi="Arial Black" w:cs="Times New Roman"/>
          <w:sz w:val="20"/>
          <w:szCs w:val="20"/>
        </w:rPr>
        <w:t xml:space="preserve"> guides agricultural </w:t>
      </w:r>
      <w:proofErr w:type="spellStart"/>
      <w:r w:rsidRPr="00BD067F">
        <w:rPr>
          <w:rFonts w:ascii="Arial Black" w:hAnsi="Arial Black" w:cs="Times New Roman"/>
          <w:sz w:val="20"/>
          <w:szCs w:val="20"/>
        </w:rPr>
        <w:t>policies</w:t>
      </w:r>
      <w:proofErr w:type="spellEnd"/>
      <w:r w:rsidRPr="00BD067F">
        <w:rPr>
          <w:rFonts w:ascii="Arial Black" w:hAnsi="Arial Black" w:cs="Times New Roman"/>
          <w:sz w:val="20"/>
          <w:szCs w:val="20"/>
        </w:rPr>
        <w:t xml:space="preserve"> in </w:t>
      </w:r>
      <w:proofErr w:type="spellStart"/>
      <w:r w:rsidRPr="00BD067F">
        <w:rPr>
          <w:rFonts w:ascii="Arial Black" w:hAnsi="Arial Black" w:cs="Times New Roman"/>
          <w:sz w:val="20"/>
          <w:szCs w:val="20"/>
        </w:rPr>
        <w:t>Sahelian</w:t>
      </w:r>
      <w:proofErr w:type="spellEnd"/>
      <w:r w:rsidRPr="00BD067F">
        <w:rPr>
          <w:rFonts w:ascii="Arial Black" w:hAnsi="Arial Black" w:cs="Times New Roman"/>
          <w:sz w:val="20"/>
          <w:szCs w:val="20"/>
        </w:rPr>
        <w:t xml:space="preserve"> areas (Fluet, M.-J., 2006, p. 57). </w:t>
      </w:r>
      <w:proofErr w:type="spellStart"/>
      <w:r w:rsidRPr="00BD067F">
        <w:rPr>
          <w:rFonts w:ascii="Arial Black" w:hAnsi="Arial Black" w:cs="Times New Roman"/>
          <w:sz w:val="20"/>
          <w:szCs w:val="20"/>
        </w:rPr>
        <w:t>Finally</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Röhrig</w:t>
      </w:r>
      <w:proofErr w:type="spellEnd"/>
      <w:r w:rsidRPr="00BD067F">
        <w:rPr>
          <w:rFonts w:ascii="Arial Black" w:hAnsi="Arial Black" w:cs="Times New Roman"/>
          <w:sz w:val="20"/>
          <w:szCs w:val="20"/>
        </w:rPr>
        <w:t xml:space="preserve">, F., et al. (2021, p. 10) </w:t>
      </w:r>
      <w:proofErr w:type="spellStart"/>
      <w:r w:rsidRPr="00BD067F">
        <w:rPr>
          <w:rFonts w:ascii="Arial Black" w:hAnsi="Arial Black" w:cs="Times New Roman"/>
          <w:sz w:val="20"/>
          <w:szCs w:val="20"/>
        </w:rPr>
        <w:t>recommend</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combining</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graphical</w:t>
      </w:r>
      <w:proofErr w:type="spellEnd"/>
      <w:r w:rsidRPr="00BD067F">
        <w:rPr>
          <w:rFonts w:ascii="Arial Black" w:hAnsi="Arial Black" w:cs="Times New Roman"/>
          <w:sz w:val="20"/>
          <w:szCs w:val="20"/>
        </w:rPr>
        <w:t xml:space="preserve"> analyses and </w:t>
      </w:r>
      <w:proofErr w:type="spellStart"/>
      <w:r w:rsidRPr="00BD067F">
        <w:rPr>
          <w:rFonts w:ascii="Arial Black" w:hAnsi="Arial Black" w:cs="Times New Roman"/>
          <w:sz w:val="20"/>
          <w:szCs w:val="20"/>
        </w:rPr>
        <w:t>mobilizing</w:t>
      </w:r>
      <w:proofErr w:type="spellEnd"/>
      <w:r w:rsidRPr="00BD067F">
        <w:rPr>
          <w:rFonts w:ascii="Arial Black" w:hAnsi="Arial Black" w:cs="Times New Roman"/>
          <w:sz w:val="20"/>
          <w:szCs w:val="20"/>
        </w:rPr>
        <w:t xml:space="preserve"> local </w:t>
      </w:r>
      <w:proofErr w:type="spellStart"/>
      <w:r w:rsidRPr="00BD067F">
        <w:rPr>
          <w:rFonts w:ascii="Arial Black" w:hAnsi="Arial Black" w:cs="Times New Roman"/>
          <w:sz w:val="20"/>
          <w:szCs w:val="20"/>
        </w:rPr>
        <w:t>knowledge</w:t>
      </w:r>
      <w:proofErr w:type="spellEnd"/>
      <w:r w:rsidRPr="00BD067F">
        <w:rPr>
          <w:rFonts w:ascii="Arial Black" w:hAnsi="Arial Black" w:cs="Times New Roman"/>
          <w:sz w:val="20"/>
          <w:szCs w:val="20"/>
        </w:rPr>
        <w:t xml:space="preserve"> to </w:t>
      </w:r>
      <w:proofErr w:type="spellStart"/>
      <w:r w:rsidRPr="00BD067F">
        <w:rPr>
          <w:rFonts w:ascii="Arial Black" w:hAnsi="Arial Black" w:cs="Times New Roman"/>
          <w:sz w:val="20"/>
          <w:szCs w:val="20"/>
        </w:rPr>
        <w:t>strengthen</w:t>
      </w:r>
      <w:proofErr w:type="spellEnd"/>
      <w:r w:rsidRPr="00BD067F">
        <w:rPr>
          <w:rFonts w:ascii="Arial Black" w:hAnsi="Arial Black" w:cs="Times New Roman"/>
          <w:sz w:val="20"/>
          <w:szCs w:val="20"/>
        </w:rPr>
        <w:t xml:space="preserve"> the adaptation of agricultural practices to </w:t>
      </w:r>
      <w:proofErr w:type="spellStart"/>
      <w:r w:rsidRPr="00BD067F">
        <w:rPr>
          <w:rFonts w:ascii="Arial Black" w:hAnsi="Arial Black" w:cs="Times New Roman"/>
          <w:sz w:val="20"/>
          <w:szCs w:val="20"/>
        </w:rPr>
        <w:t>rainfall</w:t>
      </w:r>
      <w:proofErr w:type="spellEnd"/>
      <w:r w:rsidRPr="00BD067F">
        <w:rPr>
          <w:rFonts w:ascii="Arial Black" w:hAnsi="Arial Black" w:cs="Times New Roman"/>
          <w:sz w:val="20"/>
          <w:szCs w:val="20"/>
        </w:rPr>
        <w:t xml:space="preserve"> </w:t>
      </w:r>
      <w:proofErr w:type="spellStart"/>
      <w:r w:rsidRPr="00BD067F">
        <w:rPr>
          <w:rFonts w:ascii="Arial Black" w:hAnsi="Arial Black" w:cs="Times New Roman"/>
          <w:sz w:val="20"/>
          <w:szCs w:val="20"/>
        </w:rPr>
        <w:t>variability</w:t>
      </w:r>
      <w:proofErr w:type="spellEnd"/>
      <w:r w:rsidRPr="00BD067F">
        <w:rPr>
          <w:rFonts w:ascii="Arial Black" w:hAnsi="Arial Black" w:cs="Times New Roman"/>
          <w:sz w:val="20"/>
          <w:szCs w:val="20"/>
        </w:rPr>
        <w:t>.</w:t>
      </w:r>
    </w:p>
    <w:p w14:paraId="5244FB8D" w14:textId="10AE5E18" w:rsidR="00BD067F" w:rsidRPr="004973F0" w:rsidRDefault="00BD067F" w:rsidP="004B5FFC">
      <w:pPr>
        <w:spacing w:after="0" w:line="360" w:lineRule="auto"/>
        <w:jc w:val="both"/>
        <w:rPr>
          <w:rFonts w:ascii="Arial" w:hAnsi="Arial" w:cs="Arial"/>
          <w:b/>
          <w:bCs/>
          <w:i/>
          <w:iCs/>
          <w:sz w:val="20"/>
          <w:szCs w:val="20"/>
          <w:lang/>
        </w:rPr>
      </w:pPr>
      <w:r w:rsidRPr="00BD067F">
        <w:rPr>
          <w:rFonts w:ascii="Arial" w:hAnsi="Arial" w:cs="Arial"/>
          <w:b/>
          <w:i/>
          <w:iCs/>
          <w:sz w:val="20"/>
          <w:szCs w:val="20"/>
        </w:rPr>
        <w:t xml:space="preserve">1.2.2 </w:t>
      </w:r>
      <w:r w:rsidR="004973F0" w:rsidRPr="004973F0">
        <w:rPr>
          <w:rFonts w:ascii="Arial" w:hAnsi="Arial" w:cs="Arial"/>
          <w:b/>
          <w:bCs/>
          <w:i/>
          <w:iCs/>
          <w:sz w:val="20"/>
          <w:szCs w:val="20"/>
          <w:lang/>
        </w:rPr>
        <w:t>Mann-Kendall Test for Trend Detection</w:t>
      </w:r>
    </w:p>
    <w:p w14:paraId="543D481F" w14:textId="77777777" w:rsidR="004973F0" w:rsidRPr="004973F0" w:rsidRDefault="004973F0" w:rsidP="004973F0">
      <w:pPr>
        <w:spacing w:after="0" w:line="360" w:lineRule="auto"/>
        <w:jc w:val="both"/>
        <w:rPr>
          <w:rFonts w:ascii="Arial Black" w:hAnsi="Arial Black" w:cs="Times New Roman"/>
          <w:sz w:val="20"/>
          <w:szCs w:val="20"/>
          <w:lang/>
        </w:rPr>
      </w:pPr>
      <w:r w:rsidRPr="004973F0">
        <w:rPr>
          <w:rFonts w:ascii="Arial Black" w:hAnsi="Arial Black" w:cs="Times New Roman"/>
          <w:sz w:val="20"/>
          <w:szCs w:val="20"/>
          <w:lang/>
        </w:rPr>
        <w:t>The Mann-Kendall test, a rank-based nonparametric method, detects monotonic trends in hydroclimatic time series. It is robust to outliers and requires no distributional assumptions.</w:t>
      </w:r>
    </w:p>
    <w:p w14:paraId="4E04A9DF" w14:textId="77777777" w:rsidR="004973F0" w:rsidRPr="004973F0" w:rsidRDefault="004973F0" w:rsidP="004973F0">
      <w:pPr>
        <w:spacing w:after="0" w:line="360" w:lineRule="auto"/>
        <w:jc w:val="both"/>
        <w:rPr>
          <w:rFonts w:ascii="Arial Black" w:hAnsi="Arial Black" w:cs="Times New Roman"/>
          <w:sz w:val="20"/>
          <w:szCs w:val="20"/>
          <w:lang/>
        </w:rPr>
      </w:pPr>
      <w:r w:rsidRPr="004973F0">
        <w:rPr>
          <w:rFonts w:ascii="Arial Black" w:hAnsi="Arial Black" w:cs="Times New Roman"/>
          <w:sz w:val="20"/>
          <w:szCs w:val="20"/>
          <w:lang/>
        </w:rPr>
        <w:t>Figure 2 shows the temporal evolution of mean annual rainfall in Loumbila, with Sen's slope indicating trend magnitude.</w:t>
      </w:r>
    </w:p>
    <w:p w14:paraId="7C4E1573" w14:textId="1D47C779" w:rsidR="004B5FFC" w:rsidRDefault="004973F0" w:rsidP="004B5FFC">
      <w:pPr>
        <w:spacing w:after="0" w:line="360" w:lineRule="auto"/>
        <w:jc w:val="both"/>
        <w:rPr>
          <w:rFonts w:ascii="Times New Roman" w:hAnsi="Times New Roman" w:cs="Times New Roman"/>
        </w:rPr>
      </w:pPr>
      <w:r>
        <w:rPr>
          <w:rFonts w:eastAsia="Calibri" w:cs="Times New Roman"/>
          <w:noProof/>
          <w:lang w:eastAsia="fr-FR"/>
        </w:rPr>
        <mc:AlternateContent>
          <mc:Choice Requires="wps">
            <w:drawing>
              <wp:anchor distT="0" distB="0" distL="114300" distR="114300" simplePos="0" relativeHeight="251671552" behindDoc="0" locked="0" layoutInCell="1" allowOverlap="1" wp14:anchorId="65BC1F9B" wp14:editId="7F1F117F">
                <wp:simplePos x="0" y="0"/>
                <wp:positionH relativeFrom="column">
                  <wp:posOffset>205105</wp:posOffset>
                </wp:positionH>
                <wp:positionV relativeFrom="paragraph">
                  <wp:posOffset>33020</wp:posOffset>
                </wp:positionV>
                <wp:extent cx="4343400" cy="2238375"/>
                <wp:effectExtent l="0" t="0" r="19050" b="28575"/>
                <wp:wrapNone/>
                <wp:docPr id="1775720024" name="Rectangle 2"/>
                <wp:cNvGraphicFramePr/>
                <a:graphic xmlns:a="http://schemas.openxmlformats.org/drawingml/2006/main">
                  <a:graphicData uri="http://schemas.microsoft.com/office/word/2010/wordprocessingShape">
                    <wps:wsp>
                      <wps:cNvSpPr/>
                      <wps:spPr>
                        <a:xfrm>
                          <a:off x="0" y="0"/>
                          <a:ext cx="4343400" cy="2238375"/>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595CF2" id="Rectangle 2" o:spid="_x0000_s1026" style="position:absolute;margin-left:16.15pt;margin-top:2.6pt;width:342pt;height:176.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" filled="f" strokecolor="#44546a [3215]" strokeweight="1pt"/>
            </w:pict>
          </mc:Fallback>
        </mc:AlternateContent>
      </w:r>
      <w:r w:rsidRPr="00D70EC4">
        <w:rPr>
          <w:rFonts w:eastAsia="Calibri" w:cs="Times New Roman"/>
          <w:noProof/>
          <w:lang w:eastAsia="fr-FR"/>
        </w:rPr>
        <w:drawing>
          <wp:anchor distT="0" distB="0" distL="114300" distR="114300" simplePos="0" relativeHeight="251670528" behindDoc="1" locked="0" layoutInCell="1" allowOverlap="1" wp14:anchorId="2A1FF27D" wp14:editId="6426774C">
            <wp:simplePos x="0" y="0"/>
            <wp:positionH relativeFrom="column">
              <wp:posOffset>653415</wp:posOffset>
            </wp:positionH>
            <wp:positionV relativeFrom="paragraph">
              <wp:posOffset>56515</wp:posOffset>
            </wp:positionV>
            <wp:extent cx="3561715" cy="2146300"/>
            <wp:effectExtent l="0" t="0" r="635" b="6350"/>
            <wp:wrapTight wrapText="bothSides">
              <wp:wrapPolygon edited="0">
                <wp:start x="0" y="0"/>
                <wp:lineTo x="0" y="21472"/>
                <wp:lineTo x="21488" y="21472"/>
                <wp:lineTo x="21488" y="0"/>
                <wp:lineTo x="0" y="0"/>
              </wp:wrapPolygon>
            </wp:wrapTight>
            <wp:docPr id="996091668" name="Graphique 1">
              <a:extLst xmlns:a="http://schemas.openxmlformats.org/drawingml/2006/main">
                <a:ext uri="{FF2B5EF4-FFF2-40B4-BE49-F238E27FC236}">
                  <a16:creationId xmlns:a16="http://schemas.microsoft.com/office/drawing/2014/main" id="{82A84DD5-3176-8838-A492-67D8E1545D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5A99CC1F" w14:textId="4098F8E6" w:rsidR="004B5FFC" w:rsidRDefault="004B5FFC" w:rsidP="004B5FFC">
      <w:pPr>
        <w:spacing w:after="0" w:line="360" w:lineRule="auto"/>
        <w:jc w:val="both"/>
        <w:rPr>
          <w:rFonts w:ascii="Times New Roman" w:hAnsi="Times New Roman" w:cs="Times New Roman"/>
        </w:rPr>
      </w:pPr>
    </w:p>
    <w:p w14:paraId="5938981A" w14:textId="34E29148" w:rsidR="004B5FFC" w:rsidRDefault="004B5FFC" w:rsidP="004B5FFC">
      <w:pPr>
        <w:spacing w:after="0" w:line="360" w:lineRule="auto"/>
        <w:jc w:val="both"/>
        <w:rPr>
          <w:rFonts w:ascii="Times New Roman" w:hAnsi="Times New Roman" w:cs="Times New Roman"/>
        </w:rPr>
      </w:pPr>
    </w:p>
    <w:p w14:paraId="6B300B4A" w14:textId="136B53AC" w:rsidR="004B5FFC" w:rsidRDefault="004B5FFC" w:rsidP="004B5FFC">
      <w:pPr>
        <w:spacing w:after="0" w:line="360" w:lineRule="auto"/>
        <w:jc w:val="both"/>
        <w:rPr>
          <w:rFonts w:ascii="Times New Roman" w:hAnsi="Times New Roman" w:cs="Times New Roman"/>
        </w:rPr>
      </w:pPr>
    </w:p>
    <w:p w14:paraId="2D2DFAAA" w14:textId="56AE5E47" w:rsidR="004B5FFC" w:rsidRDefault="004B5FFC" w:rsidP="004B5FFC">
      <w:pPr>
        <w:spacing w:after="0" w:line="360" w:lineRule="auto"/>
        <w:jc w:val="both"/>
        <w:rPr>
          <w:rFonts w:ascii="Times New Roman" w:hAnsi="Times New Roman" w:cs="Times New Roman"/>
        </w:rPr>
      </w:pPr>
    </w:p>
    <w:p w14:paraId="57F60B12" w14:textId="1597A043" w:rsidR="004B5FFC" w:rsidRDefault="004B5FFC" w:rsidP="004B5FFC">
      <w:pPr>
        <w:spacing w:after="0" w:line="360" w:lineRule="auto"/>
        <w:jc w:val="both"/>
        <w:rPr>
          <w:rFonts w:ascii="Times New Roman" w:hAnsi="Times New Roman" w:cs="Times New Roman"/>
        </w:rPr>
      </w:pPr>
    </w:p>
    <w:p w14:paraId="15139E0A" w14:textId="77777777" w:rsidR="004B5FFC" w:rsidRDefault="004B5FFC" w:rsidP="004B5FFC">
      <w:pPr>
        <w:spacing w:after="0" w:line="360" w:lineRule="auto"/>
        <w:jc w:val="both"/>
        <w:rPr>
          <w:rFonts w:ascii="Times New Roman" w:hAnsi="Times New Roman" w:cs="Times New Roman"/>
        </w:rPr>
      </w:pPr>
    </w:p>
    <w:p w14:paraId="2CA299B6" w14:textId="77777777" w:rsidR="004B5FFC" w:rsidRDefault="004B5FFC" w:rsidP="004B5FFC">
      <w:pPr>
        <w:spacing w:after="0" w:line="360" w:lineRule="auto"/>
        <w:jc w:val="both"/>
        <w:rPr>
          <w:rFonts w:ascii="Times New Roman" w:hAnsi="Times New Roman" w:cs="Times New Roman"/>
        </w:rPr>
      </w:pPr>
    </w:p>
    <w:p w14:paraId="596E9AD8" w14:textId="77777777" w:rsidR="004B5FFC" w:rsidRDefault="004B5FFC" w:rsidP="004B5FFC">
      <w:pPr>
        <w:spacing w:after="0" w:line="360" w:lineRule="auto"/>
        <w:jc w:val="both"/>
        <w:rPr>
          <w:rFonts w:ascii="Times New Roman" w:hAnsi="Times New Roman" w:cs="Times New Roman"/>
        </w:rPr>
      </w:pPr>
    </w:p>
    <w:p w14:paraId="694E76DA" w14:textId="630030AE" w:rsidR="00BD067F" w:rsidRPr="00BD067F" w:rsidRDefault="00BD067F" w:rsidP="00BD067F">
      <w:pPr>
        <w:spacing w:after="0" w:line="360" w:lineRule="auto"/>
        <w:jc w:val="both"/>
        <w:rPr>
          <w:rFonts w:ascii="Arial Black" w:hAnsi="Arial Black" w:cs="Times New Roman"/>
          <w:sz w:val="20"/>
          <w:szCs w:val="20"/>
        </w:rPr>
      </w:pPr>
      <w:r w:rsidRPr="00BD067F">
        <w:rPr>
          <w:rFonts w:ascii="Arial Black" w:hAnsi="Arial Black" w:cs="Times New Roman"/>
          <w:sz w:val="20"/>
          <w:szCs w:val="20"/>
        </w:rPr>
        <w:t xml:space="preserve">Figure 2 : Identification of </w:t>
      </w:r>
      <w:proofErr w:type="spellStart"/>
      <w:r w:rsidRPr="00BD067F">
        <w:rPr>
          <w:rFonts w:ascii="Arial Black" w:hAnsi="Arial Black" w:cs="Times New Roman"/>
          <w:sz w:val="20"/>
          <w:szCs w:val="20"/>
        </w:rPr>
        <w:t>significant</w:t>
      </w:r>
      <w:proofErr w:type="spellEnd"/>
      <w:r w:rsidRPr="00BD067F">
        <w:rPr>
          <w:rFonts w:ascii="Arial Black" w:hAnsi="Arial Black" w:cs="Times New Roman"/>
          <w:sz w:val="20"/>
          <w:szCs w:val="20"/>
        </w:rPr>
        <w:t xml:space="preserve"> trends</w:t>
      </w:r>
    </w:p>
    <w:p w14:paraId="6A881922" w14:textId="47E94306" w:rsidR="00BD067F" w:rsidRDefault="00BD067F" w:rsidP="00BD067F">
      <w:pPr>
        <w:spacing w:after="0" w:line="360" w:lineRule="auto"/>
        <w:jc w:val="both"/>
        <w:rPr>
          <w:rFonts w:ascii="Arial Black" w:hAnsi="Arial Black" w:cs="Times New Roman"/>
          <w:sz w:val="20"/>
          <w:szCs w:val="20"/>
        </w:rPr>
      </w:pPr>
      <w:r w:rsidRPr="00BD067F">
        <w:rPr>
          <w:rFonts w:ascii="Arial Black" w:hAnsi="Arial Black" w:cs="Times New Roman"/>
          <w:sz w:val="20"/>
          <w:szCs w:val="20"/>
        </w:rPr>
        <w:t>Source : ANAM data (1992–2022)</w:t>
      </w:r>
    </w:p>
    <w:p w14:paraId="3CB06711" w14:textId="19FC2428" w:rsidR="00E63495" w:rsidRPr="00E63495" w:rsidRDefault="00E63495" w:rsidP="00E63495">
      <w:pPr>
        <w:spacing w:after="0" w:line="360" w:lineRule="auto"/>
        <w:jc w:val="both"/>
        <w:rPr>
          <w:rFonts w:ascii="Arial Black" w:hAnsi="Arial Black" w:cs="Times New Roman"/>
          <w:sz w:val="20"/>
          <w:szCs w:val="20"/>
          <w:lang/>
        </w:rPr>
      </w:pPr>
      <w:r w:rsidRPr="00E63495">
        <w:rPr>
          <w:rFonts w:ascii="Arial Black" w:hAnsi="Arial Black" w:cs="Times New Roman"/>
          <w:sz w:val="20"/>
          <w:szCs w:val="20"/>
          <w:lang/>
        </w:rPr>
        <w:lastRenderedPageBreak/>
        <w:t>The 30-year rainfall record in Loumbila underscores the challenges facing Sahelian market gardening, where precipitation variability demands substantial adaptive capacity from producers (Bationo, 2013, p. 12). The Mann-Kendall test (Mann, 1945</w:t>
      </w:r>
      <w:r w:rsidR="007D5A0A">
        <w:rPr>
          <w:rFonts w:ascii="Arial Black" w:hAnsi="Arial Black" w:cs="Times New Roman"/>
          <w:sz w:val="20"/>
          <w:szCs w:val="20"/>
          <w:lang/>
        </w:rPr>
        <w:t xml:space="preserve"> </w:t>
      </w:r>
      <w:r w:rsidRPr="00E63495">
        <w:rPr>
          <w:rFonts w:ascii="Arial Black" w:hAnsi="Arial Black" w:cs="Times New Roman"/>
          <w:sz w:val="20"/>
          <w:szCs w:val="20"/>
          <w:lang/>
        </w:rPr>
        <w:t>; Kendall, 1975), as applied by Benjamin et al. (2013, p. 18), detects long-term rainfall trends while remaining insensitive to interannual fluctuations.</w:t>
      </w:r>
    </w:p>
    <w:p w14:paraId="754C8D00" w14:textId="7903DA50" w:rsidR="00E63495" w:rsidRPr="00E63495" w:rsidRDefault="00E63495" w:rsidP="00E63495">
      <w:pPr>
        <w:spacing w:after="0" w:line="360" w:lineRule="auto"/>
        <w:jc w:val="both"/>
        <w:rPr>
          <w:rFonts w:ascii="Arial Black" w:hAnsi="Arial Black" w:cs="Times New Roman"/>
          <w:sz w:val="20"/>
          <w:szCs w:val="20"/>
          <w:lang/>
        </w:rPr>
      </w:pPr>
      <w:r w:rsidRPr="00E63495">
        <w:rPr>
          <w:rFonts w:ascii="Arial Black" w:hAnsi="Arial Black" w:cs="Times New Roman"/>
          <w:sz w:val="20"/>
          <w:szCs w:val="20"/>
          <w:lang/>
        </w:rPr>
        <w:t>Results reveal apparent precipitation stability punctuated by deficit and surplus years, reflecting persistent rainfall regime irregularity. This variability complicates agricultural planning and heightens dependence on seasonal rains. Graphical analyses indicate fragile equilibrium frequently disrupted by delayed or poorly distributed rainfall—locally termed "phantom years" yielding low harvests (Drias, 2020, p. 14). Market gardeners have developed local adaptations, including adjusted sowing schedules (Sebego, 2016, p. 41), though diminishing rainfall regularity constrains options, elevating production costs and economic risks (FAO, 2022, p. 45</w:t>
      </w:r>
      <w:r w:rsidR="007D5A0A">
        <w:rPr>
          <w:rFonts w:ascii="Arial Black" w:hAnsi="Arial Black" w:cs="Times New Roman"/>
          <w:sz w:val="20"/>
          <w:szCs w:val="20"/>
          <w:lang/>
        </w:rPr>
        <w:t xml:space="preserve"> </w:t>
      </w:r>
      <w:r w:rsidRPr="00E63495">
        <w:rPr>
          <w:rFonts w:ascii="Arial Black" w:hAnsi="Arial Black" w:cs="Times New Roman"/>
          <w:sz w:val="20"/>
          <w:szCs w:val="20"/>
          <w:lang/>
        </w:rPr>
        <w:t>; Climate Action Network, 2017, p. 22).</w:t>
      </w:r>
      <w:r>
        <w:rPr>
          <w:rFonts w:ascii="Arial Black" w:hAnsi="Arial Black" w:cs="Times New Roman"/>
          <w:sz w:val="20"/>
          <w:szCs w:val="20"/>
          <w:lang/>
        </w:rPr>
        <w:t xml:space="preserve"> </w:t>
      </w:r>
      <w:r w:rsidRPr="00E63495">
        <w:rPr>
          <w:rFonts w:ascii="Arial Black" w:hAnsi="Arial Black" w:cs="Times New Roman"/>
          <w:sz w:val="20"/>
          <w:szCs w:val="20"/>
          <w:lang/>
        </w:rPr>
        <w:t>Anticipating rainfall pattern shifts thus emerges as critical for agricultural resilience (Fluet, 2006, p. 89). Ultimately, market gardening sustainability hinges on collective adaptation to intensifying rainfall variability (Bognini, 2023, p. 28).</w:t>
      </w:r>
    </w:p>
    <w:p w14:paraId="09A85360" w14:textId="77777777" w:rsidR="003F1292" w:rsidRDefault="003F1292" w:rsidP="004B5FFC">
      <w:pPr>
        <w:spacing w:after="0" w:line="360" w:lineRule="auto"/>
        <w:jc w:val="both"/>
        <w:rPr>
          <w:rFonts w:ascii="Arial" w:hAnsi="Arial" w:cs="Arial"/>
          <w:b/>
          <w:bCs/>
          <w:sz w:val="20"/>
          <w:szCs w:val="20"/>
        </w:rPr>
      </w:pPr>
      <w:r w:rsidRPr="003F1292">
        <w:rPr>
          <w:rFonts w:ascii="Arial" w:hAnsi="Arial" w:cs="Arial"/>
          <w:b/>
          <w:bCs/>
          <w:sz w:val="20"/>
          <w:szCs w:val="20"/>
        </w:rPr>
        <w:t xml:space="preserve">1.2.3    Time </w:t>
      </w:r>
      <w:proofErr w:type="spellStart"/>
      <w:r w:rsidRPr="003F1292">
        <w:rPr>
          <w:rFonts w:ascii="Arial" w:hAnsi="Arial" w:cs="Arial"/>
          <w:b/>
          <w:bCs/>
          <w:sz w:val="20"/>
          <w:szCs w:val="20"/>
        </w:rPr>
        <w:t>series</w:t>
      </w:r>
      <w:proofErr w:type="spellEnd"/>
      <w:r w:rsidRPr="003F1292">
        <w:rPr>
          <w:rFonts w:ascii="Arial" w:hAnsi="Arial" w:cs="Arial"/>
          <w:b/>
          <w:bCs/>
          <w:sz w:val="20"/>
          <w:szCs w:val="20"/>
        </w:rPr>
        <w:t xml:space="preserve"> break </w:t>
      </w:r>
      <w:proofErr w:type="spellStart"/>
      <w:r w:rsidRPr="003F1292">
        <w:rPr>
          <w:rFonts w:ascii="Arial" w:hAnsi="Arial" w:cs="Arial"/>
          <w:b/>
          <w:bCs/>
          <w:sz w:val="20"/>
          <w:szCs w:val="20"/>
        </w:rPr>
        <w:t>analysis</w:t>
      </w:r>
      <w:proofErr w:type="spellEnd"/>
    </w:p>
    <w:p w14:paraId="548C880A" w14:textId="69064EDD" w:rsidR="004B5FFC" w:rsidRPr="00AD4028" w:rsidRDefault="00C57A9B" w:rsidP="003F1292">
      <w:pPr>
        <w:spacing w:after="0" w:line="360" w:lineRule="auto"/>
        <w:rPr>
          <w:rFonts w:ascii="Times New Roman" w:hAnsi="Times New Roman" w:cs="Times New Roman"/>
        </w:rPr>
      </w:pPr>
      <w:r w:rsidRPr="00C57A9B">
        <w:rPr>
          <w:rFonts w:ascii="Arial Black" w:hAnsi="Arial Black" w:cs="Times New Roman"/>
          <w:sz w:val="20"/>
          <w:szCs w:val="20"/>
        </w:rPr>
        <w:t xml:space="preserve">This </w:t>
      </w:r>
      <w:proofErr w:type="spellStart"/>
      <w:r w:rsidRPr="00C57A9B">
        <w:rPr>
          <w:rFonts w:ascii="Arial Black" w:hAnsi="Arial Black" w:cs="Times New Roman"/>
          <w:sz w:val="20"/>
          <w:szCs w:val="20"/>
        </w:rPr>
        <w:t>analysis</w:t>
      </w:r>
      <w:proofErr w:type="spellEnd"/>
      <w:r w:rsidRPr="00C57A9B">
        <w:rPr>
          <w:rFonts w:ascii="Arial Black" w:hAnsi="Arial Black" w:cs="Times New Roman"/>
          <w:sz w:val="20"/>
          <w:szCs w:val="20"/>
        </w:rPr>
        <w:t xml:space="preserve"> </w:t>
      </w:r>
      <w:proofErr w:type="spellStart"/>
      <w:r w:rsidRPr="00C57A9B">
        <w:rPr>
          <w:rFonts w:ascii="Arial Black" w:hAnsi="Arial Black" w:cs="Times New Roman"/>
          <w:sz w:val="20"/>
          <w:szCs w:val="20"/>
        </w:rPr>
        <w:t>utilized</w:t>
      </w:r>
      <w:proofErr w:type="spellEnd"/>
      <w:r w:rsidRPr="00C57A9B">
        <w:rPr>
          <w:rFonts w:ascii="Arial Black" w:hAnsi="Arial Black" w:cs="Times New Roman"/>
          <w:sz w:val="20"/>
          <w:szCs w:val="20"/>
        </w:rPr>
        <w:t xml:space="preserve"> a time </w:t>
      </w:r>
      <w:proofErr w:type="spellStart"/>
      <w:r w:rsidRPr="00C57A9B">
        <w:rPr>
          <w:rFonts w:ascii="Arial Black" w:hAnsi="Arial Black" w:cs="Times New Roman"/>
          <w:sz w:val="20"/>
          <w:szCs w:val="20"/>
        </w:rPr>
        <w:t>series</w:t>
      </w:r>
      <w:proofErr w:type="spellEnd"/>
      <w:r w:rsidRPr="00C57A9B">
        <w:rPr>
          <w:rFonts w:ascii="Arial Black" w:hAnsi="Arial Black" w:cs="Times New Roman"/>
          <w:sz w:val="20"/>
          <w:szCs w:val="20"/>
        </w:rPr>
        <w:t xml:space="preserve"> of </w:t>
      </w:r>
      <w:proofErr w:type="spellStart"/>
      <w:r w:rsidRPr="00C57A9B">
        <w:rPr>
          <w:rFonts w:ascii="Arial Black" w:hAnsi="Arial Black" w:cs="Times New Roman"/>
          <w:sz w:val="20"/>
          <w:szCs w:val="20"/>
        </w:rPr>
        <w:t>mean</w:t>
      </w:r>
      <w:proofErr w:type="spellEnd"/>
      <w:r w:rsidRPr="00C57A9B">
        <w:rPr>
          <w:rFonts w:ascii="Arial Black" w:hAnsi="Arial Black" w:cs="Times New Roman"/>
          <w:sz w:val="20"/>
          <w:szCs w:val="20"/>
        </w:rPr>
        <w:t xml:space="preserve"> </w:t>
      </w:r>
      <w:proofErr w:type="spellStart"/>
      <w:r w:rsidRPr="00C57A9B">
        <w:rPr>
          <w:rFonts w:ascii="Arial Black" w:hAnsi="Arial Black" w:cs="Times New Roman"/>
          <w:sz w:val="20"/>
          <w:szCs w:val="20"/>
        </w:rPr>
        <w:t>annual</w:t>
      </w:r>
      <w:proofErr w:type="spellEnd"/>
      <w:r w:rsidRPr="00C57A9B">
        <w:rPr>
          <w:rFonts w:ascii="Arial Black" w:hAnsi="Arial Black" w:cs="Times New Roman"/>
          <w:sz w:val="20"/>
          <w:szCs w:val="20"/>
        </w:rPr>
        <w:t xml:space="preserve"> </w:t>
      </w:r>
      <w:proofErr w:type="spellStart"/>
      <w:r w:rsidRPr="00C57A9B">
        <w:rPr>
          <w:rFonts w:ascii="Arial Black" w:hAnsi="Arial Black" w:cs="Times New Roman"/>
          <w:sz w:val="20"/>
          <w:szCs w:val="20"/>
        </w:rPr>
        <w:t>precipitation</w:t>
      </w:r>
      <w:proofErr w:type="spellEnd"/>
      <w:r w:rsidRPr="00C57A9B">
        <w:rPr>
          <w:rFonts w:ascii="Arial Black" w:hAnsi="Arial Black" w:cs="Times New Roman"/>
          <w:sz w:val="20"/>
          <w:szCs w:val="20"/>
        </w:rPr>
        <w:t xml:space="preserve"> </w:t>
      </w:r>
      <w:proofErr w:type="spellStart"/>
      <w:r w:rsidRPr="00C57A9B">
        <w:rPr>
          <w:rFonts w:ascii="Arial Black" w:hAnsi="Arial Black" w:cs="Times New Roman"/>
          <w:sz w:val="20"/>
          <w:szCs w:val="20"/>
        </w:rPr>
        <w:t>subjected</w:t>
      </w:r>
      <w:proofErr w:type="spellEnd"/>
      <w:r w:rsidRPr="00C57A9B">
        <w:rPr>
          <w:rFonts w:ascii="Arial Black" w:hAnsi="Arial Black" w:cs="Times New Roman"/>
          <w:sz w:val="20"/>
          <w:szCs w:val="20"/>
        </w:rPr>
        <w:t xml:space="preserve"> to multiple </w:t>
      </w:r>
      <w:proofErr w:type="spellStart"/>
      <w:r w:rsidRPr="00C57A9B">
        <w:rPr>
          <w:rFonts w:ascii="Arial Black" w:hAnsi="Arial Black" w:cs="Times New Roman"/>
          <w:sz w:val="20"/>
          <w:szCs w:val="20"/>
        </w:rPr>
        <w:t>nonparametric</w:t>
      </w:r>
      <w:proofErr w:type="spellEnd"/>
      <w:r w:rsidRPr="00C57A9B">
        <w:rPr>
          <w:rFonts w:ascii="Arial Black" w:hAnsi="Arial Black" w:cs="Times New Roman"/>
          <w:sz w:val="20"/>
          <w:szCs w:val="20"/>
        </w:rPr>
        <w:t xml:space="preserve"> tests. The </w:t>
      </w:r>
      <w:proofErr w:type="spellStart"/>
      <w:r w:rsidRPr="00C57A9B">
        <w:rPr>
          <w:rFonts w:ascii="Arial Black" w:hAnsi="Arial Black" w:cs="Times New Roman"/>
          <w:sz w:val="20"/>
          <w:szCs w:val="20"/>
        </w:rPr>
        <w:t>Pettitt</w:t>
      </w:r>
      <w:proofErr w:type="spellEnd"/>
      <w:r w:rsidRPr="00C57A9B">
        <w:rPr>
          <w:rFonts w:ascii="Arial Black" w:hAnsi="Arial Black" w:cs="Times New Roman"/>
          <w:sz w:val="20"/>
          <w:szCs w:val="20"/>
        </w:rPr>
        <w:t xml:space="preserve"> test (p &lt; 0.001) </w:t>
      </w:r>
      <w:proofErr w:type="spellStart"/>
      <w:r w:rsidRPr="00C57A9B">
        <w:rPr>
          <w:rFonts w:ascii="Arial Black" w:hAnsi="Arial Black" w:cs="Times New Roman"/>
          <w:sz w:val="20"/>
          <w:szCs w:val="20"/>
        </w:rPr>
        <w:t>identified</w:t>
      </w:r>
      <w:proofErr w:type="spellEnd"/>
      <w:r w:rsidRPr="00C57A9B">
        <w:rPr>
          <w:rFonts w:ascii="Arial Black" w:hAnsi="Arial Black" w:cs="Times New Roman"/>
          <w:sz w:val="20"/>
          <w:szCs w:val="20"/>
        </w:rPr>
        <w:t xml:space="preserve"> a </w:t>
      </w:r>
      <w:proofErr w:type="spellStart"/>
      <w:r w:rsidRPr="00C57A9B">
        <w:rPr>
          <w:rFonts w:ascii="Arial Black" w:hAnsi="Arial Black" w:cs="Times New Roman"/>
          <w:sz w:val="20"/>
          <w:szCs w:val="20"/>
        </w:rPr>
        <w:t>significant</w:t>
      </w:r>
      <w:proofErr w:type="spellEnd"/>
      <w:r w:rsidRPr="00C57A9B">
        <w:rPr>
          <w:rFonts w:ascii="Arial Black" w:hAnsi="Arial Black" w:cs="Times New Roman"/>
          <w:sz w:val="20"/>
          <w:szCs w:val="20"/>
        </w:rPr>
        <w:t xml:space="preserve"> </w:t>
      </w:r>
      <w:proofErr w:type="spellStart"/>
      <w:r w:rsidRPr="00C57A9B">
        <w:rPr>
          <w:rFonts w:ascii="Arial Black" w:hAnsi="Arial Black" w:cs="Times New Roman"/>
          <w:sz w:val="20"/>
          <w:szCs w:val="20"/>
        </w:rPr>
        <w:t>breakpoint</w:t>
      </w:r>
      <w:proofErr w:type="spellEnd"/>
      <w:r w:rsidRPr="00C57A9B">
        <w:rPr>
          <w:rFonts w:ascii="Arial Black" w:hAnsi="Arial Black" w:cs="Times New Roman"/>
          <w:sz w:val="20"/>
          <w:szCs w:val="20"/>
        </w:rPr>
        <w:t xml:space="preserve"> in the </w:t>
      </w:r>
      <w:proofErr w:type="spellStart"/>
      <w:r w:rsidRPr="00C57A9B">
        <w:rPr>
          <w:rFonts w:ascii="Arial Black" w:hAnsi="Arial Black" w:cs="Times New Roman"/>
          <w:sz w:val="20"/>
          <w:szCs w:val="20"/>
        </w:rPr>
        <w:t>precipitation</w:t>
      </w:r>
      <w:proofErr w:type="spellEnd"/>
      <w:r w:rsidRPr="00C57A9B">
        <w:rPr>
          <w:rFonts w:ascii="Arial Black" w:hAnsi="Arial Black" w:cs="Times New Roman"/>
          <w:sz w:val="20"/>
          <w:szCs w:val="20"/>
        </w:rPr>
        <w:t xml:space="preserve"> </w:t>
      </w:r>
      <w:proofErr w:type="spellStart"/>
      <w:r w:rsidRPr="00C57A9B">
        <w:rPr>
          <w:rFonts w:ascii="Arial Black" w:hAnsi="Arial Black" w:cs="Times New Roman"/>
          <w:sz w:val="20"/>
          <w:szCs w:val="20"/>
        </w:rPr>
        <w:t>regime</w:t>
      </w:r>
      <w:proofErr w:type="spellEnd"/>
      <w:r w:rsidRPr="00C57A9B">
        <w:rPr>
          <w:rFonts w:ascii="Arial Black" w:hAnsi="Arial Black" w:cs="Times New Roman"/>
          <w:sz w:val="20"/>
          <w:szCs w:val="20"/>
        </w:rPr>
        <w:t xml:space="preserve">, </w:t>
      </w:r>
      <w:proofErr w:type="spellStart"/>
      <w:r w:rsidRPr="00C57A9B">
        <w:rPr>
          <w:rFonts w:ascii="Arial Black" w:hAnsi="Arial Black" w:cs="Times New Roman"/>
          <w:sz w:val="20"/>
          <w:szCs w:val="20"/>
        </w:rPr>
        <w:t>corroborated</w:t>
      </w:r>
      <w:proofErr w:type="spellEnd"/>
      <w:r w:rsidRPr="00C57A9B">
        <w:rPr>
          <w:rFonts w:ascii="Arial Black" w:hAnsi="Arial Black" w:cs="Times New Roman"/>
          <w:sz w:val="20"/>
          <w:szCs w:val="20"/>
        </w:rPr>
        <w:t xml:space="preserve"> by Von Neumann and Mann-</w:t>
      </w:r>
      <w:r w:rsidRPr="00C57A9B">
        <w:rPr>
          <w:rFonts w:ascii="Arial Black" w:hAnsi="Arial Black" w:cs="Times New Roman"/>
          <w:sz w:val="20"/>
          <w:szCs w:val="20"/>
        </w:rPr>
        <w:lastRenderedPageBreak/>
        <w:t xml:space="preserve">Kendall tests, </w:t>
      </w:r>
      <w:proofErr w:type="spellStart"/>
      <w:r w:rsidRPr="00C57A9B">
        <w:rPr>
          <w:rFonts w:ascii="Arial Black" w:hAnsi="Arial Black" w:cs="Times New Roman"/>
          <w:sz w:val="20"/>
          <w:szCs w:val="20"/>
        </w:rPr>
        <w:t>indicating</w:t>
      </w:r>
      <w:proofErr w:type="spellEnd"/>
      <w:r w:rsidRPr="00C57A9B">
        <w:rPr>
          <w:rFonts w:ascii="Arial Black" w:hAnsi="Arial Black" w:cs="Times New Roman"/>
          <w:sz w:val="20"/>
          <w:szCs w:val="20"/>
        </w:rPr>
        <w:t xml:space="preserve"> a </w:t>
      </w:r>
      <w:proofErr w:type="spellStart"/>
      <w:r w:rsidRPr="00C57A9B">
        <w:rPr>
          <w:rFonts w:ascii="Arial Black" w:hAnsi="Arial Black" w:cs="Times New Roman"/>
          <w:sz w:val="20"/>
          <w:szCs w:val="20"/>
        </w:rPr>
        <w:t>marked</w:t>
      </w:r>
      <w:proofErr w:type="spellEnd"/>
      <w:r w:rsidRPr="00C57A9B">
        <w:rPr>
          <w:rFonts w:ascii="Arial Black" w:hAnsi="Arial Black" w:cs="Times New Roman"/>
          <w:sz w:val="20"/>
          <w:szCs w:val="20"/>
        </w:rPr>
        <w:t xml:space="preserve"> shift in temporal </w:t>
      </w:r>
      <w:proofErr w:type="spellStart"/>
      <w:r w:rsidRPr="00C57A9B">
        <w:rPr>
          <w:rFonts w:ascii="Arial Black" w:hAnsi="Arial Black" w:cs="Times New Roman"/>
          <w:sz w:val="20"/>
          <w:szCs w:val="20"/>
        </w:rPr>
        <w:t>dynamics</w:t>
      </w:r>
      <w:proofErr w:type="spellEnd"/>
      <w:r w:rsidRPr="00C57A9B">
        <w:rPr>
          <w:rFonts w:ascii="Arial Black" w:hAnsi="Arial Black" w:cs="Times New Roman"/>
          <w:sz w:val="20"/>
          <w:szCs w:val="20"/>
        </w:rPr>
        <w:t xml:space="preserve">. </w:t>
      </w:r>
      <w:proofErr w:type="spellStart"/>
      <w:r w:rsidRPr="00C57A9B">
        <w:rPr>
          <w:rFonts w:ascii="Arial Black" w:hAnsi="Arial Black" w:cs="Times New Roman"/>
          <w:sz w:val="20"/>
          <w:szCs w:val="20"/>
        </w:rPr>
        <w:t>These</w:t>
      </w:r>
      <w:proofErr w:type="spellEnd"/>
      <w:r w:rsidRPr="00C57A9B">
        <w:rPr>
          <w:rFonts w:ascii="Arial Black" w:hAnsi="Arial Black" w:cs="Times New Roman"/>
          <w:sz w:val="20"/>
          <w:szCs w:val="20"/>
        </w:rPr>
        <w:t xml:space="preserve"> </w:t>
      </w:r>
      <w:proofErr w:type="spellStart"/>
      <w:r w:rsidRPr="00C57A9B">
        <w:rPr>
          <w:rFonts w:ascii="Arial Black" w:hAnsi="Arial Black" w:cs="Times New Roman"/>
          <w:sz w:val="20"/>
          <w:szCs w:val="20"/>
        </w:rPr>
        <w:t>robust</w:t>
      </w:r>
      <w:proofErr w:type="spellEnd"/>
      <w:r w:rsidRPr="00C57A9B">
        <w:rPr>
          <w:rFonts w:ascii="Arial Black" w:hAnsi="Arial Black" w:cs="Times New Roman"/>
          <w:sz w:val="20"/>
          <w:szCs w:val="20"/>
        </w:rPr>
        <w:t xml:space="preserve"> </w:t>
      </w:r>
      <w:proofErr w:type="spellStart"/>
      <w:r w:rsidRPr="00C57A9B">
        <w:rPr>
          <w:rFonts w:ascii="Arial Black" w:hAnsi="Arial Black" w:cs="Times New Roman"/>
          <w:sz w:val="20"/>
          <w:szCs w:val="20"/>
        </w:rPr>
        <w:t>findings</w:t>
      </w:r>
      <w:proofErr w:type="spellEnd"/>
      <w:r w:rsidRPr="00C57A9B">
        <w:rPr>
          <w:rFonts w:ascii="Arial Black" w:hAnsi="Arial Black" w:cs="Times New Roman"/>
          <w:sz w:val="20"/>
          <w:szCs w:val="20"/>
        </w:rPr>
        <w:t xml:space="preserve"> </w:t>
      </w:r>
      <w:proofErr w:type="spellStart"/>
      <w:r w:rsidRPr="00C57A9B">
        <w:rPr>
          <w:rFonts w:ascii="Arial Black" w:hAnsi="Arial Black" w:cs="Times New Roman"/>
          <w:sz w:val="20"/>
          <w:szCs w:val="20"/>
        </w:rPr>
        <w:t>necessitate</w:t>
      </w:r>
      <w:proofErr w:type="spellEnd"/>
      <w:r w:rsidRPr="00C57A9B">
        <w:rPr>
          <w:rFonts w:ascii="Arial Black" w:hAnsi="Arial Black" w:cs="Times New Roman"/>
          <w:sz w:val="20"/>
          <w:szCs w:val="20"/>
        </w:rPr>
        <w:t xml:space="preserve"> </w:t>
      </w:r>
      <w:proofErr w:type="spellStart"/>
      <w:r w:rsidRPr="00C57A9B">
        <w:rPr>
          <w:rFonts w:ascii="Arial Black" w:hAnsi="Arial Black" w:cs="Times New Roman"/>
          <w:sz w:val="20"/>
          <w:szCs w:val="20"/>
        </w:rPr>
        <w:t>further</w:t>
      </w:r>
      <w:proofErr w:type="spellEnd"/>
      <w:r w:rsidRPr="00C57A9B">
        <w:rPr>
          <w:rFonts w:ascii="Arial Black" w:hAnsi="Arial Black" w:cs="Times New Roman"/>
          <w:sz w:val="20"/>
          <w:szCs w:val="20"/>
        </w:rPr>
        <w:t xml:space="preserve"> investigation </w:t>
      </w:r>
      <w:proofErr w:type="spellStart"/>
      <w:r w:rsidRPr="00C57A9B">
        <w:rPr>
          <w:rFonts w:ascii="Arial Black" w:hAnsi="Arial Black" w:cs="Times New Roman"/>
          <w:sz w:val="20"/>
          <w:szCs w:val="20"/>
        </w:rPr>
        <w:t>into</w:t>
      </w:r>
      <w:proofErr w:type="spellEnd"/>
      <w:r w:rsidRPr="00C57A9B">
        <w:rPr>
          <w:rFonts w:ascii="Arial Black" w:hAnsi="Arial Black" w:cs="Times New Roman"/>
          <w:sz w:val="20"/>
          <w:szCs w:val="20"/>
        </w:rPr>
        <w:t xml:space="preserve"> </w:t>
      </w:r>
      <w:proofErr w:type="spellStart"/>
      <w:r w:rsidRPr="00C57A9B">
        <w:rPr>
          <w:rFonts w:ascii="Arial Black" w:hAnsi="Arial Black" w:cs="Times New Roman"/>
          <w:sz w:val="20"/>
          <w:szCs w:val="20"/>
        </w:rPr>
        <w:t>underlying</w:t>
      </w:r>
      <w:proofErr w:type="spellEnd"/>
      <w:r w:rsidRPr="00C57A9B">
        <w:rPr>
          <w:rFonts w:ascii="Arial Black" w:hAnsi="Arial Black" w:cs="Times New Roman"/>
          <w:sz w:val="20"/>
          <w:szCs w:val="20"/>
        </w:rPr>
        <w:t xml:space="preserve"> causes and </w:t>
      </w:r>
      <w:r>
        <w:rPr>
          <w:noProof/>
          <w:lang w:eastAsia="fr-FR"/>
        </w:rPr>
        <w:drawing>
          <wp:anchor distT="0" distB="0" distL="114300" distR="114300" simplePos="0" relativeHeight="251666432" behindDoc="1" locked="0" layoutInCell="1" allowOverlap="1" wp14:anchorId="175D67D5" wp14:editId="163771D0">
            <wp:simplePos x="0" y="0"/>
            <wp:positionH relativeFrom="margin">
              <wp:align>center</wp:align>
            </wp:positionH>
            <wp:positionV relativeFrom="paragraph">
              <wp:posOffset>535940</wp:posOffset>
            </wp:positionV>
            <wp:extent cx="5283835" cy="3101975"/>
            <wp:effectExtent l="0" t="0" r="12065" b="3175"/>
            <wp:wrapTight wrapText="bothSides">
              <wp:wrapPolygon edited="0">
                <wp:start x="0" y="0"/>
                <wp:lineTo x="0" y="21489"/>
                <wp:lineTo x="21571" y="21489"/>
                <wp:lineTo x="21571" y="0"/>
                <wp:lineTo x="0" y="0"/>
              </wp:wrapPolygon>
            </wp:wrapTight>
            <wp:docPr id="689312583" name="Graphique 1">
              <a:extLst xmlns:a="http://schemas.openxmlformats.org/drawingml/2006/main">
                <a:ext uri="{FF2B5EF4-FFF2-40B4-BE49-F238E27FC236}">
                  <a16:creationId xmlns:a16="http://schemas.microsoft.com/office/drawing/2014/main" id="{89269F4F-6581-48E0-0153-751E435F50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C57A9B">
        <w:rPr>
          <w:rFonts w:ascii="Arial Black" w:hAnsi="Arial Black" w:cs="Times New Roman"/>
          <w:sz w:val="20"/>
          <w:szCs w:val="20"/>
        </w:rPr>
        <w:t>implications.</w:t>
      </w:r>
    </w:p>
    <w:p w14:paraId="5FC84B87" w14:textId="77777777" w:rsidR="00D11FB4" w:rsidRDefault="00D11FB4" w:rsidP="003F1292">
      <w:pPr>
        <w:spacing w:line="360" w:lineRule="auto"/>
        <w:jc w:val="both"/>
        <w:rPr>
          <w:rFonts w:ascii="Arial Black" w:hAnsi="Arial Black" w:cs="Times New Roman"/>
          <w:b/>
          <w:bCs/>
          <w:sz w:val="20"/>
          <w:szCs w:val="20"/>
        </w:rPr>
      </w:pPr>
      <w:r w:rsidRPr="00D11FB4">
        <w:rPr>
          <w:rFonts w:ascii="Arial Black" w:hAnsi="Arial Black" w:cs="Times New Roman"/>
          <w:b/>
          <w:bCs/>
          <w:sz w:val="20"/>
          <w:szCs w:val="20"/>
        </w:rPr>
        <w:t xml:space="preserve">Figure 3. </w:t>
      </w:r>
      <w:proofErr w:type="spellStart"/>
      <w:r w:rsidRPr="00D11FB4">
        <w:rPr>
          <w:rFonts w:ascii="Arial Black" w:hAnsi="Arial Black" w:cs="Times New Roman"/>
          <w:b/>
          <w:bCs/>
          <w:sz w:val="20"/>
          <w:szCs w:val="20"/>
        </w:rPr>
        <w:t>Breakpoint</w:t>
      </w:r>
      <w:proofErr w:type="spellEnd"/>
      <w:r w:rsidRPr="00D11FB4">
        <w:rPr>
          <w:rFonts w:ascii="Arial Black" w:hAnsi="Arial Black" w:cs="Times New Roman"/>
          <w:b/>
          <w:bCs/>
          <w:sz w:val="20"/>
          <w:szCs w:val="20"/>
        </w:rPr>
        <w:t xml:space="preserve"> in the time </w:t>
      </w:r>
      <w:proofErr w:type="spellStart"/>
      <w:r w:rsidRPr="00D11FB4">
        <w:rPr>
          <w:rFonts w:ascii="Arial Black" w:hAnsi="Arial Black" w:cs="Times New Roman"/>
          <w:b/>
          <w:bCs/>
          <w:sz w:val="20"/>
          <w:szCs w:val="20"/>
        </w:rPr>
        <w:t>period</w:t>
      </w:r>
      <w:proofErr w:type="spellEnd"/>
      <w:r w:rsidRPr="00D11FB4">
        <w:rPr>
          <w:rFonts w:ascii="Arial Black" w:hAnsi="Arial Black" w:cs="Times New Roman"/>
          <w:b/>
          <w:bCs/>
          <w:sz w:val="20"/>
          <w:szCs w:val="20"/>
        </w:rPr>
        <w:t xml:space="preserve"> </w:t>
      </w:r>
      <w:proofErr w:type="spellStart"/>
      <w:r w:rsidRPr="00D11FB4">
        <w:rPr>
          <w:rFonts w:ascii="Arial Black" w:hAnsi="Arial Black" w:cs="Times New Roman"/>
          <w:b/>
          <w:bCs/>
          <w:sz w:val="20"/>
          <w:szCs w:val="20"/>
        </w:rPr>
        <w:t>series</w:t>
      </w:r>
      <w:proofErr w:type="spellEnd"/>
      <w:r w:rsidRPr="00D11FB4">
        <w:rPr>
          <w:rFonts w:ascii="Arial Black" w:hAnsi="Arial Black" w:cs="Times New Roman"/>
          <w:b/>
          <w:bCs/>
          <w:sz w:val="20"/>
          <w:szCs w:val="20"/>
        </w:rPr>
        <w:t xml:space="preserve"> </w:t>
      </w:r>
    </w:p>
    <w:p w14:paraId="3C6C582A" w14:textId="23DB14DB" w:rsidR="00D11FB4" w:rsidRDefault="00D11FB4" w:rsidP="003F1292">
      <w:pPr>
        <w:spacing w:line="360" w:lineRule="auto"/>
        <w:jc w:val="both"/>
        <w:rPr>
          <w:rFonts w:ascii="Arial Black" w:hAnsi="Arial Black" w:cs="Times New Roman"/>
          <w:b/>
          <w:bCs/>
          <w:sz w:val="20"/>
          <w:szCs w:val="20"/>
        </w:rPr>
      </w:pPr>
      <w:r w:rsidRPr="00D11FB4">
        <w:rPr>
          <w:rFonts w:ascii="Arial Black" w:hAnsi="Arial Black" w:cs="Times New Roman"/>
          <w:b/>
          <w:bCs/>
          <w:sz w:val="20"/>
          <w:szCs w:val="20"/>
        </w:rPr>
        <w:t>Source</w:t>
      </w:r>
      <w:r w:rsidR="007D5A0A">
        <w:rPr>
          <w:rFonts w:ascii="Arial Black" w:hAnsi="Arial Black" w:cs="Times New Roman"/>
          <w:b/>
          <w:bCs/>
          <w:sz w:val="20"/>
          <w:szCs w:val="20"/>
        </w:rPr>
        <w:t xml:space="preserve"> </w:t>
      </w:r>
      <w:r w:rsidRPr="00D11FB4">
        <w:rPr>
          <w:rFonts w:ascii="Arial Black" w:hAnsi="Arial Black" w:cs="Times New Roman"/>
          <w:b/>
          <w:bCs/>
          <w:sz w:val="20"/>
          <w:szCs w:val="20"/>
        </w:rPr>
        <w:t xml:space="preserve">: ANAM data </w:t>
      </w:r>
      <w:proofErr w:type="spellStart"/>
      <w:r w:rsidRPr="00D11FB4">
        <w:rPr>
          <w:rFonts w:ascii="Arial Black" w:hAnsi="Arial Black" w:cs="Times New Roman"/>
          <w:b/>
          <w:bCs/>
          <w:sz w:val="20"/>
          <w:szCs w:val="20"/>
        </w:rPr>
        <w:t>processing</w:t>
      </w:r>
      <w:proofErr w:type="spellEnd"/>
      <w:r w:rsidRPr="00D11FB4">
        <w:rPr>
          <w:rFonts w:ascii="Arial Black" w:hAnsi="Arial Black" w:cs="Times New Roman"/>
          <w:b/>
          <w:bCs/>
          <w:sz w:val="20"/>
          <w:szCs w:val="20"/>
        </w:rPr>
        <w:t xml:space="preserve"> (1992–2022)</w:t>
      </w:r>
    </w:p>
    <w:p w14:paraId="7BFF0A06" w14:textId="77777777" w:rsidR="00D11FB4" w:rsidRPr="00D11FB4" w:rsidRDefault="00D11FB4" w:rsidP="00D11FB4">
      <w:pPr>
        <w:spacing w:after="0" w:line="360" w:lineRule="auto"/>
        <w:jc w:val="both"/>
        <w:rPr>
          <w:rFonts w:ascii="Arial Black" w:hAnsi="Arial Black" w:cs="Times New Roman"/>
          <w:sz w:val="20"/>
          <w:szCs w:val="20"/>
          <w:lang/>
        </w:rPr>
      </w:pPr>
      <w:r w:rsidRPr="00D11FB4">
        <w:rPr>
          <w:rFonts w:ascii="Arial Black" w:hAnsi="Arial Black" w:cs="Times New Roman"/>
          <w:sz w:val="20"/>
          <w:szCs w:val="20"/>
          <w:lang/>
        </w:rPr>
        <w:t>Statistical analysis reveals a major rainfall breakpoint around 2016 in Loumbila, characterized by significantly increased mean precipitation volumes (Kiki, 2019, p. 65). This shift aligns with regional patterns observed in Niger, featuring shortened rainy seasons and heightened variability (National Adaptation Plan, Niger, 2022, p. 99). Such instability complicates agricultural planning, particularly water access and crop rotation (Siégnounou, 2023, p. 28).</w:t>
      </w:r>
    </w:p>
    <w:p w14:paraId="023077C1" w14:textId="77777777" w:rsidR="00D11FB4" w:rsidRPr="00D11FB4" w:rsidRDefault="00D11FB4" w:rsidP="00D11FB4">
      <w:pPr>
        <w:spacing w:after="0" w:line="360" w:lineRule="auto"/>
        <w:jc w:val="both"/>
        <w:rPr>
          <w:rFonts w:ascii="Arial Black" w:hAnsi="Arial Black" w:cs="Times New Roman"/>
          <w:sz w:val="20"/>
          <w:szCs w:val="20"/>
          <w:lang/>
        </w:rPr>
      </w:pPr>
      <w:r w:rsidRPr="00D11FB4">
        <w:rPr>
          <w:rFonts w:ascii="Arial Black" w:hAnsi="Arial Black" w:cs="Times New Roman"/>
          <w:sz w:val="20"/>
          <w:szCs w:val="20"/>
          <w:lang/>
        </w:rPr>
        <w:t>Market gardeners are adapting through diversified cropping systems and optimized irrigation practices (Kempay et al., 2024, p. 89). The Saclay Plateau exemplifies rising climate-driven irrigation demands, underscoring agroecological techniques' importance (Nguyen Vien, 2023, p. 36). Climate-market linkages strongly influence crop selection and economic strategies (Lothoré &amp; Delmas, 2009, p. 29).</w:t>
      </w:r>
    </w:p>
    <w:p w14:paraId="186EC610" w14:textId="26BBD314" w:rsidR="00D11FB4" w:rsidRPr="00D11FB4" w:rsidRDefault="00D11FB4" w:rsidP="00D11FB4">
      <w:pPr>
        <w:spacing w:after="0" w:line="360" w:lineRule="auto"/>
        <w:jc w:val="both"/>
        <w:rPr>
          <w:rFonts w:ascii="Arial Black" w:hAnsi="Arial Black" w:cs="Times New Roman"/>
          <w:sz w:val="20"/>
          <w:szCs w:val="20"/>
          <w:lang/>
        </w:rPr>
      </w:pPr>
      <w:r w:rsidRPr="00D11FB4">
        <w:rPr>
          <w:rFonts w:ascii="Arial Black" w:hAnsi="Arial Black" w:cs="Times New Roman"/>
          <w:sz w:val="20"/>
          <w:szCs w:val="20"/>
          <w:lang/>
        </w:rPr>
        <w:t>In Burkina Faso, water management poses persistent challenges, with innovations like crop associations enhancing resource efficiency (IRD Éditions, 2008, p. 229</w:t>
      </w:r>
      <w:r w:rsidR="007D5A0A">
        <w:rPr>
          <w:rFonts w:ascii="Arial Black" w:hAnsi="Arial Black" w:cs="Times New Roman"/>
          <w:sz w:val="20"/>
          <w:szCs w:val="20"/>
          <w:lang/>
        </w:rPr>
        <w:t xml:space="preserve"> </w:t>
      </w:r>
      <w:r w:rsidRPr="00D11FB4">
        <w:rPr>
          <w:rFonts w:ascii="Arial Black" w:hAnsi="Arial Black" w:cs="Times New Roman"/>
          <w:sz w:val="20"/>
          <w:szCs w:val="20"/>
          <w:lang/>
        </w:rPr>
        <w:t xml:space="preserve">; Perrin &amp; Lefevre, 2019, pp. 59, 68). Local rainfall knowledge mastery proves essential for market gardening sustainability (UNDP, 2014, p. 19). These dynamics </w:t>
      </w:r>
      <w:r w:rsidRPr="00D11FB4">
        <w:rPr>
          <w:rFonts w:ascii="Arial Black" w:hAnsi="Arial Black" w:cs="Times New Roman"/>
          <w:sz w:val="20"/>
          <w:szCs w:val="20"/>
          <w:lang/>
        </w:rPr>
        <w:lastRenderedPageBreak/>
        <w:t>confirm the need for integrated, collective climate-resilient agricultural approaches.</w:t>
      </w:r>
    </w:p>
    <w:p w14:paraId="798A7FB3" w14:textId="77777777" w:rsidR="003F1292" w:rsidRPr="003F1292" w:rsidRDefault="003F1292" w:rsidP="003F1292">
      <w:pPr>
        <w:spacing w:after="0" w:line="360" w:lineRule="auto"/>
        <w:jc w:val="both"/>
        <w:rPr>
          <w:rFonts w:ascii="Arial" w:hAnsi="Arial" w:cs="Arial"/>
          <w:b/>
          <w:bCs/>
        </w:rPr>
      </w:pPr>
      <w:r w:rsidRPr="003F1292">
        <w:rPr>
          <w:rFonts w:ascii="Arial" w:hAnsi="Arial" w:cs="Arial"/>
          <w:b/>
          <w:bCs/>
        </w:rPr>
        <w:t>2. RESULTS AND DISCUSSION</w:t>
      </w:r>
    </w:p>
    <w:p w14:paraId="5151F70E" w14:textId="77777777" w:rsidR="003F1292" w:rsidRPr="003F1292" w:rsidRDefault="003F1292" w:rsidP="003F1292">
      <w:pPr>
        <w:spacing w:after="0" w:line="360" w:lineRule="auto"/>
        <w:jc w:val="both"/>
        <w:rPr>
          <w:rFonts w:ascii="Arial" w:hAnsi="Arial" w:cs="Arial"/>
          <w:b/>
          <w:bCs/>
        </w:rPr>
      </w:pPr>
      <w:r w:rsidRPr="003F1292">
        <w:rPr>
          <w:rFonts w:ascii="Arial" w:hAnsi="Arial" w:cs="Arial"/>
          <w:b/>
          <w:bCs/>
        </w:rPr>
        <w:t xml:space="preserve">2.1 </w:t>
      </w:r>
      <w:proofErr w:type="spellStart"/>
      <w:r w:rsidRPr="003F1292">
        <w:rPr>
          <w:rFonts w:ascii="Arial" w:hAnsi="Arial" w:cs="Arial"/>
          <w:b/>
          <w:bCs/>
        </w:rPr>
        <w:t>Results</w:t>
      </w:r>
      <w:proofErr w:type="spellEnd"/>
    </w:p>
    <w:p w14:paraId="2C9A68C4" w14:textId="77777777" w:rsidR="003F1292" w:rsidRDefault="003F1292" w:rsidP="003F1292">
      <w:pPr>
        <w:spacing w:after="0" w:line="360" w:lineRule="auto"/>
        <w:jc w:val="both"/>
        <w:rPr>
          <w:rFonts w:ascii="Arial" w:hAnsi="Arial" w:cs="Arial"/>
          <w:b/>
          <w:bCs/>
        </w:rPr>
      </w:pPr>
      <w:r w:rsidRPr="003F1292">
        <w:rPr>
          <w:rFonts w:ascii="Arial" w:hAnsi="Arial" w:cs="Arial"/>
          <w:b/>
          <w:bCs/>
        </w:rPr>
        <w:t xml:space="preserve">2.1.1 </w:t>
      </w:r>
      <w:proofErr w:type="spellStart"/>
      <w:r w:rsidRPr="003F1292">
        <w:rPr>
          <w:rFonts w:ascii="Arial" w:hAnsi="Arial" w:cs="Arial"/>
          <w:b/>
          <w:bCs/>
        </w:rPr>
        <w:t>Rainfall</w:t>
      </w:r>
      <w:proofErr w:type="spellEnd"/>
      <w:r w:rsidRPr="003F1292">
        <w:rPr>
          <w:rFonts w:ascii="Arial" w:hAnsi="Arial" w:cs="Arial"/>
          <w:b/>
          <w:bCs/>
        </w:rPr>
        <w:t xml:space="preserve"> </w:t>
      </w:r>
      <w:proofErr w:type="spellStart"/>
      <w:r w:rsidRPr="003F1292">
        <w:rPr>
          <w:rFonts w:ascii="Arial" w:hAnsi="Arial" w:cs="Arial"/>
          <w:b/>
          <w:bCs/>
        </w:rPr>
        <w:t>variability</w:t>
      </w:r>
      <w:proofErr w:type="spellEnd"/>
    </w:p>
    <w:p w14:paraId="53961527" w14:textId="77777777" w:rsidR="00287EE1" w:rsidRPr="00287EE1" w:rsidRDefault="00287EE1" w:rsidP="00287EE1">
      <w:pPr>
        <w:spacing w:after="0" w:line="360" w:lineRule="auto"/>
        <w:jc w:val="both"/>
        <w:rPr>
          <w:rFonts w:ascii="Arial Black" w:hAnsi="Arial Black" w:cs="Times New Roman"/>
          <w:sz w:val="20"/>
          <w:szCs w:val="20"/>
          <w:lang/>
        </w:rPr>
      </w:pPr>
      <w:r w:rsidRPr="00287EE1">
        <w:rPr>
          <w:rFonts w:ascii="Arial Black" w:hAnsi="Arial Black" w:cs="Times New Roman"/>
          <w:sz w:val="20"/>
          <w:szCs w:val="20"/>
          <w:lang/>
        </w:rPr>
        <w:t>From October to April extends the dry season, characterized by near-zero precipitation and high temperatures causing severe water stress for vegetation. The rainy season (May to September) concentrates most precipitation within 3-4 critical months—June, July, August, and sometimes early September—making market gardening production entirely dependent on this very narrow rainfall window. This stark seasonal alternation structures all local agricultural activity between periods of abundance and severe water scarcity.</w:t>
      </w:r>
    </w:p>
    <w:p w14:paraId="3FB6528F" w14:textId="77777777" w:rsidR="00287EE1" w:rsidRPr="00287EE1" w:rsidRDefault="00287EE1" w:rsidP="00287EE1">
      <w:pPr>
        <w:spacing w:after="0" w:line="360" w:lineRule="auto"/>
        <w:jc w:val="both"/>
        <w:rPr>
          <w:rFonts w:ascii="Arial Black" w:hAnsi="Arial Black" w:cs="Times New Roman"/>
          <w:sz w:val="20"/>
          <w:szCs w:val="20"/>
          <w:lang/>
        </w:rPr>
      </w:pPr>
      <w:r w:rsidRPr="00287EE1">
        <w:rPr>
          <w:rFonts w:ascii="Arial Black" w:hAnsi="Arial Black" w:cs="Times New Roman"/>
          <w:sz w:val="20"/>
          <w:szCs w:val="20"/>
          <w:lang/>
        </w:rPr>
        <w:t>Between 1992 and 2022, annual precipitation in Loumbila fluctuated markedly: 587.8 mm in 1997 (major drought year) versus 1,010.3 mm in 2021 (exceptionally wet year). Linear regression (y = mx + b) quantifies the average annual rainfall trend, with its positive slope (m) indicating a slight volume increase over 30 years. Figure 4 perfectly illustrates this variability and overall trend across the three decades.</w:t>
      </w:r>
    </w:p>
    <w:p w14:paraId="65C9AF91" w14:textId="43384B1B" w:rsidR="004B5FFC" w:rsidRPr="00287EE1" w:rsidRDefault="00287EE1" w:rsidP="004B5FFC">
      <w:pPr>
        <w:spacing w:after="0" w:line="360" w:lineRule="auto"/>
        <w:jc w:val="both"/>
        <w:rPr>
          <w:rFonts w:ascii="Arial Black" w:hAnsi="Arial Black" w:cs="Times New Roman"/>
          <w:sz w:val="20"/>
          <w:szCs w:val="20"/>
          <w:lang/>
        </w:rPr>
      </w:pPr>
      <w:r w:rsidRPr="00D72A49">
        <w:rPr>
          <w:rFonts w:ascii="Arial Black" w:eastAsia="Calibri" w:hAnsi="Arial Black" w:cs="Times New Roman"/>
          <w:noProof/>
          <w:sz w:val="20"/>
          <w:szCs w:val="20"/>
          <w:lang w:eastAsia="fr-FR"/>
        </w:rPr>
        <w:drawing>
          <wp:anchor distT="0" distB="0" distL="114300" distR="114300" simplePos="0" relativeHeight="251659264" behindDoc="1" locked="0" layoutInCell="1" allowOverlap="1" wp14:anchorId="41519B8F" wp14:editId="12F0A605">
            <wp:simplePos x="0" y="0"/>
            <wp:positionH relativeFrom="margin">
              <wp:posOffset>172720</wp:posOffset>
            </wp:positionH>
            <wp:positionV relativeFrom="paragraph">
              <wp:posOffset>681990</wp:posOffset>
            </wp:positionV>
            <wp:extent cx="5293995" cy="2514600"/>
            <wp:effectExtent l="0" t="0" r="1905" b="0"/>
            <wp:wrapTight wrapText="bothSides">
              <wp:wrapPolygon edited="0">
                <wp:start x="0" y="0"/>
                <wp:lineTo x="0" y="21436"/>
                <wp:lineTo x="21530" y="21436"/>
                <wp:lineTo x="21530" y="0"/>
                <wp:lineTo x="0" y="0"/>
              </wp:wrapPolygon>
            </wp:wrapTight>
            <wp:docPr id="1488328917" name="Graphique 1">
              <a:extLst xmlns:a="http://schemas.openxmlformats.org/drawingml/2006/main">
                <a:ext uri="{FF2B5EF4-FFF2-40B4-BE49-F238E27FC236}">
                  <a16:creationId xmlns:a16="http://schemas.microsoft.com/office/drawing/2014/main" id="{C36A7117-11CC-AD99-1A7F-DDCB8E7C10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287EE1">
        <w:rPr>
          <w:rFonts w:ascii="Arial Black" w:hAnsi="Arial Black" w:cs="Times New Roman"/>
          <w:sz w:val="20"/>
          <w:szCs w:val="20"/>
          <w:lang/>
        </w:rPr>
        <w:t>Figure 4 presents the annual evolution of precipitation in Loumbila (1992–2022) with the linear regression line revealing the long-term cumulative rainfall trend.</w:t>
      </w:r>
    </w:p>
    <w:p w14:paraId="591B5F60" w14:textId="407B937E" w:rsidR="005D76DA" w:rsidRPr="005D76DA" w:rsidRDefault="005D76DA" w:rsidP="005D76DA">
      <w:pPr>
        <w:spacing w:after="0" w:line="360" w:lineRule="auto"/>
        <w:jc w:val="both"/>
        <w:rPr>
          <w:rFonts w:ascii="Arial Black" w:hAnsi="Arial Black" w:cs="Times New Roman"/>
          <w:sz w:val="20"/>
          <w:szCs w:val="20"/>
          <w:lang/>
        </w:rPr>
      </w:pPr>
      <w:r w:rsidRPr="005D76DA">
        <w:rPr>
          <w:rFonts w:ascii="Arial Black" w:hAnsi="Arial Black" w:cs="Times New Roman"/>
          <w:sz w:val="20"/>
          <w:szCs w:val="20"/>
          <w:lang/>
        </w:rPr>
        <w:t>Figure 4</w:t>
      </w:r>
      <w:r w:rsidR="00836732">
        <w:rPr>
          <w:rFonts w:ascii="Arial Black" w:hAnsi="Arial Black" w:cs="Times New Roman"/>
          <w:sz w:val="20"/>
          <w:szCs w:val="20"/>
          <w:lang/>
        </w:rPr>
        <w:t xml:space="preserve"> </w:t>
      </w:r>
      <w:r w:rsidRPr="005D76DA">
        <w:rPr>
          <w:rFonts w:ascii="Arial Black" w:hAnsi="Arial Black" w:cs="Times New Roman"/>
          <w:sz w:val="20"/>
          <w:szCs w:val="20"/>
          <w:lang/>
        </w:rPr>
        <w:t xml:space="preserve">: Precipitation trends </w:t>
      </w:r>
    </w:p>
    <w:p w14:paraId="0A26CF3A" w14:textId="5E5A1244" w:rsidR="005D76DA" w:rsidRPr="005D76DA" w:rsidRDefault="005D76DA" w:rsidP="005D76DA">
      <w:pPr>
        <w:spacing w:after="0" w:line="360" w:lineRule="auto"/>
        <w:jc w:val="both"/>
        <w:rPr>
          <w:rFonts w:ascii="Arial Black" w:hAnsi="Arial Black" w:cs="Times New Roman"/>
          <w:sz w:val="20"/>
          <w:szCs w:val="20"/>
          <w:lang/>
        </w:rPr>
      </w:pPr>
      <w:r w:rsidRPr="005D76DA">
        <w:rPr>
          <w:rFonts w:ascii="Arial Black" w:hAnsi="Arial Black" w:cs="Times New Roman"/>
          <w:sz w:val="20"/>
          <w:szCs w:val="20"/>
          <w:lang/>
        </w:rPr>
        <w:t>Source</w:t>
      </w:r>
      <w:r w:rsidR="00836732">
        <w:rPr>
          <w:rFonts w:ascii="Arial Black" w:hAnsi="Arial Black" w:cs="Times New Roman"/>
          <w:sz w:val="20"/>
          <w:szCs w:val="20"/>
          <w:lang/>
        </w:rPr>
        <w:t xml:space="preserve"> </w:t>
      </w:r>
      <w:r w:rsidRPr="005D76DA">
        <w:rPr>
          <w:rFonts w:ascii="Arial Black" w:hAnsi="Arial Black" w:cs="Times New Roman"/>
          <w:sz w:val="20"/>
          <w:szCs w:val="20"/>
          <w:lang/>
        </w:rPr>
        <w:t>: ANAM data processing (2022)</w:t>
      </w:r>
    </w:p>
    <w:p w14:paraId="0DE8A663" w14:textId="77777777" w:rsidR="005D76DA" w:rsidRPr="005D76DA" w:rsidRDefault="005D76DA" w:rsidP="005D76DA">
      <w:pPr>
        <w:spacing w:after="0" w:line="360" w:lineRule="auto"/>
        <w:jc w:val="both"/>
        <w:rPr>
          <w:rFonts w:ascii="Arial Black" w:hAnsi="Arial Black" w:cs="Times New Roman"/>
          <w:sz w:val="20"/>
          <w:szCs w:val="20"/>
          <w:lang/>
        </w:rPr>
      </w:pPr>
      <w:r w:rsidRPr="005D76DA">
        <w:rPr>
          <w:rFonts w:ascii="Arial Black" w:hAnsi="Arial Black" w:cs="Times New Roman"/>
          <w:sz w:val="20"/>
          <w:szCs w:val="20"/>
          <w:lang/>
        </w:rPr>
        <w:t>2.1.2 Standardized Precipitation Index (SPI)</w:t>
      </w:r>
    </w:p>
    <w:p w14:paraId="3143CDED" w14:textId="77777777" w:rsidR="005D76DA" w:rsidRPr="005D76DA" w:rsidRDefault="005D76DA" w:rsidP="005D76DA">
      <w:pPr>
        <w:spacing w:after="0" w:line="360" w:lineRule="auto"/>
        <w:jc w:val="both"/>
        <w:rPr>
          <w:rFonts w:ascii="Arial Black" w:hAnsi="Arial Black" w:cs="Times New Roman"/>
          <w:sz w:val="20"/>
          <w:szCs w:val="20"/>
          <w:lang/>
        </w:rPr>
      </w:pPr>
    </w:p>
    <w:p w14:paraId="05A8CD99" w14:textId="7237EEC1" w:rsidR="00836732" w:rsidRPr="00836732" w:rsidRDefault="005D76DA" w:rsidP="00836732">
      <w:pPr>
        <w:spacing w:after="0" w:line="360" w:lineRule="auto"/>
        <w:jc w:val="both"/>
        <w:rPr>
          <w:rFonts w:ascii="Arial Black" w:hAnsi="Arial Black"/>
          <w:noProof/>
          <w:sz w:val="20"/>
          <w:szCs w:val="20"/>
          <w:lang w:eastAsia="fr-FR"/>
        </w:rPr>
      </w:pPr>
      <w:r w:rsidRPr="005D76DA">
        <w:rPr>
          <w:rFonts w:ascii="Times New Roman" w:eastAsia="Times New Roman" w:hAnsi="Times New Roman" w:cs="Times New Roman"/>
          <w:kern w:val="0"/>
          <w:lang/>
          <w14:ligatures w14:val="none"/>
        </w:rPr>
        <w:lastRenderedPageBreak/>
        <w:t xml:space="preserve"> </w:t>
      </w:r>
      <w:r w:rsidR="00836732" w:rsidRPr="00836732">
        <w:rPr>
          <w:rFonts w:ascii="Arial Black" w:hAnsi="Arial Black"/>
          <w:noProof/>
          <w:sz w:val="20"/>
          <w:szCs w:val="20"/>
          <w:lang w:eastAsia="fr-FR"/>
        </w:rPr>
        <w:t>In Loumbila, the SPI trend over three decades reveals marked alternation between wet and dry years. During this period, 15 years experienced wet conditions (6 very wet years and 9 moderately wet years), while the other 15 years were characterized by drought (moderate, severe, or extreme). Classification thresholds (very wet, moderately wet, moderate/severe/extreme drought) are detailed in Table 1 according to international SPI standards. This high water instability renders agriculture vulnerable to rainfall fluctuations, as illustrated by Figure 5 showing SPI oscillations over 1992–2022.</w:t>
      </w:r>
    </w:p>
    <w:p w14:paraId="37E42B24" w14:textId="66CF5EE8" w:rsidR="00836732" w:rsidRPr="00836732" w:rsidRDefault="00836732" w:rsidP="00836732">
      <w:pPr>
        <w:spacing w:after="0" w:line="360" w:lineRule="auto"/>
        <w:jc w:val="both"/>
        <w:rPr>
          <w:rFonts w:ascii="Arial Black" w:hAnsi="Arial Black"/>
          <w:noProof/>
          <w:sz w:val="20"/>
          <w:szCs w:val="20"/>
          <w:lang w:eastAsia="fr-FR"/>
        </w:rPr>
      </w:pPr>
      <w:r w:rsidRPr="00965203">
        <w:rPr>
          <w:rFonts w:ascii="Arial Black" w:hAnsi="Arial Black"/>
          <w:noProof/>
          <w:sz w:val="20"/>
          <w:szCs w:val="20"/>
          <w:lang w:eastAsia="fr-FR"/>
        </w:rPr>
        <w:drawing>
          <wp:anchor distT="0" distB="0" distL="114300" distR="114300" simplePos="0" relativeHeight="251661312" behindDoc="1" locked="0" layoutInCell="1" allowOverlap="1" wp14:anchorId="44284553" wp14:editId="3C78C505">
            <wp:simplePos x="0" y="0"/>
            <wp:positionH relativeFrom="margin">
              <wp:align>center</wp:align>
            </wp:positionH>
            <wp:positionV relativeFrom="paragraph">
              <wp:posOffset>224790</wp:posOffset>
            </wp:positionV>
            <wp:extent cx="5673725" cy="2701290"/>
            <wp:effectExtent l="0" t="0" r="3175" b="3810"/>
            <wp:wrapTight wrapText="bothSides">
              <wp:wrapPolygon edited="0">
                <wp:start x="0" y="0"/>
                <wp:lineTo x="0" y="21478"/>
                <wp:lineTo x="21540" y="21478"/>
                <wp:lineTo x="21540" y="0"/>
                <wp:lineTo x="0" y="0"/>
              </wp:wrapPolygon>
            </wp:wrapTight>
            <wp:docPr id="1028630864" name="Graphique 1">
              <a:extLst xmlns:a="http://schemas.openxmlformats.org/drawingml/2006/main">
                <a:ext uri="{FF2B5EF4-FFF2-40B4-BE49-F238E27FC236}">
                  <a16:creationId xmlns:a16="http://schemas.microsoft.com/office/drawing/2014/main" id="{6C5C3E9F-9E27-910F-778B-D5D19A3EA0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836732">
        <w:rPr>
          <w:rFonts w:ascii="Arial Black" w:hAnsi="Arial Black"/>
          <w:noProof/>
          <w:sz w:val="20"/>
          <w:szCs w:val="20"/>
          <w:lang w:eastAsia="fr-FR"/>
        </w:rPr>
        <w:t>Figure 5 illustrates SPI evolution in Loumbila (1992–2022)</w:t>
      </w:r>
    </w:p>
    <w:p w14:paraId="6EDBB387" w14:textId="4757E5A2" w:rsidR="004B5FFC" w:rsidRPr="0053608E" w:rsidRDefault="004B5FFC" w:rsidP="0053608E">
      <w:pPr>
        <w:spacing w:after="0" w:line="360" w:lineRule="auto"/>
        <w:jc w:val="both"/>
        <w:rPr>
          <w:rFonts w:ascii="Arial Black" w:hAnsi="Arial Black" w:cs="Times New Roman"/>
          <w:sz w:val="20"/>
          <w:szCs w:val="20"/>
        </w:rPr>
      </w:pPr>
    </w:p>
    <w:p w14:paraId="06526149" w14:textId="6AD09110" w:rsidR="005D76DA" w:rsidRDefault="00836732" w:rsidP="005D76DA">
      <w:pPr>
        <w:pStyle w:val="Caption"/>
        <w:keepNext/>
        <w:rPr>
          <w:rFonts w:ascii="Arial Black" w:hAnsi="Arial Black" w:cs="Times New Roman"/>
          <w:b/>
          <w:i w:val="0"/>
          <w:color w:val="auto"/>
          <w:kern w:val="2"/>
          <w:sz w:val="20"/>
          <w:szCs w:val="20"/>
          <w14:ligatures w14:val="standardContextual"/>
        </w:rPr>
      </w:pPr>
      <w:r>
        <w:rPr>
          <w:rFonts w:ascii="Arial Black" w:hAnsi="Arial Black" w:cs="Times New Roman"/>
          <w:b/>
          <w:i w:val="0"/>
          <w:color w:val="auto"/>
          <w:kern w:val="2"/>
          <w:sz w:val="20"/>
          <w:szCs w:val="20"/>
          <w14:ligatures w14:val="standardContextual"/>
        </w:rPr>
        <w:t>Figure</w:t>
      </w:r>
      <w:r w:rsidR="005D76DA" w:rsidRPr="005D76DA">
        <w:rPr>
          <w:rFonts w:ascii="Arial Black" w:hAnsi="Arial Black" w:cs="Times New Roman"/>
          <w:b/>
          <w:i w:val="0"/>
          <w:color w:val="auto"/>
          <w:kern w:val="2"/>
          <w:sz w:val="20"/>
          <w:szCs w:val="20"/>
          <w14:ligatures w14:val="standardContextual"/>
        </w:rPr>
        <w:t xml:space="preserve"> 5</w:t>
      </w:r>
      <w:r>
        <w:rPr>
          <w:rFonts w:ascii="Arial Black" w:hAnsi="Arial Black" w:cs="Times New Roman"/>
          <w:b/>
          <w:i w:val="0"/>
          <w:color w:val="auto"/>
          <w:kern w:val="2"/>
          <w:sz w:val="20"/>
          <w:szCs w:val="20"/>
          <w14:ligatures w14:val="standardContextual"/>
        </w:rPr>
        <w:t xml:space="preserve"> </w:t>
      </w:r>
      <w:r w:rsidR="005D76DA" w:rsidRPr="005D76DA">
        <w:rPr>
          <w:rFonts w:ascii="Arial Black" w:hAnsi="Arial Black" w:cs="Times New Roman"/>
          <w:b/>
          <w:i w:val="0"/>
          <w:color w:val="auto"/>
          <w:kern w:val="2"/>
          <w:sz w:val="20"/>
          <w:szCs w:val="20"/>
          <w14:ligatures w14:val="standardContextual"/>
        </w:rPr>
        <w:t xml:space="preserve">: </w:t>
      </w:r>
      <w:proofErr w:type="spellStart"/>
      <w:r w:rsidR="005D76DA" w:rsidRPr="005D76DA">
        <w:rPr>
          <w:rFonts w:ascii="Arial Black" w:hAnsi="Arial Black" w:cs="Times New Roman"/>
          <w:b/>
          <w:i w:val="0"/>
          <w:color w:val="auto"/>
          <w:kern w:val="2"/>
          <w:sz w:val="20"/>
          <w:szCs w:val="20"/>
          <w14:ligatures w14:val="standardContextual"/>
        </w:rPr>
        <w:t>Standardized</w:t>
      </w:r>
      <w:proofErr w:type="spellEnd"/>
      <w:r w:rsidR="005D76DA" w:rsidRPr="005D76DA">
        <w:rPr>
          <w:rFonts w:ascii="Arial Black" w:hAnsi="Arial Black" w:cs="Times New Roman"/>
          <w:b/>
          <w:i w:val="0"/>
          <w:color w:val="auto"/>
          <w:kern w:val="2"/>
          <w:sz w:val="20"/>
          <w:szCs w:val="20"/>
          <w14:ligatures w14:val="standardContextual"/>
        </w:rPr>
        <w:t xml:space="preserve"> </w:t>
      </w:r>
      <w:proofErr w:type="spellStart"/>
      <w:r w:rsidR="005D76DA" w:rsidRPr="005D76DA">
        <w:rPr>
          <w:rFonts w:ascii="Arial Black" w:hAnsi="Arial Black" w:cs="Times New Roman"/>
          <w:b/>
          <w:i w:val="0"/>
          <w:color w:val="auto"/>
          <w:kern w:val="2"/>
          <w:sz w:val="20"/>
          <w:szCs w:val="20"/>
          <w14:ligatures w14:val="standardContextual"/>
        </w:rPr>
        <w:t>Precipitation</w:t>
      </w:r>
      <w:proofErr w:type="spellEnd"/>
      <w:r w:rsidR="005D76DA" w:rsidRPr="005D76DA">
        <w:rPr>
          <w:rFonts w:ascii="Arial Black" w:hAnsi="Arial Black" w:cs="Times New Roman"/>
          <w:b/>
          <w:i w:val="0"/>
          <w:color w:val="auto"/>
          <w:kern w:val="2"/>
          <w:sz w:val="20"/>
          <w:szCs w:val="20"/>
          <w14:ligatures w14:val="standardContextual"/>
        </w:rPr>
        <w:t xml:space="preserve"> Index (SPI)</w:t>
      </w:r>
    </w:p>
    <w:p w14:paraId="444CFBA1" w14:textId="1B0469B7" w:rsidR="005D76DA" w:rsidRPr="005D76DA" w:rsidRDefault="005D76DA" w:rsidP="005D76DA">
      <w:pPr>
        <w:pStyle w:val="Caption"/>
        <w:keepNext/>
        <w:rPr>
          <w:rFonts w:ascii="Arial Black" w:hAnsi="Arial Black" w:cs="Times New Roman"/>
          <w:b/>
          <w:i w:val="0"/>
          <w:color w:val="auto"/>
          <w:kern w:val="2"/>
          <w:sz w:val="20"/>
          <w:szCs w:val="20"/>
          <w14:ligatures w14:val="standardContextual"/>
        </w:rPr>
      </w:pPr>
      <w:r w:rsidRPr="005D76DA">
        <w:rPr>
          <w:rFonts w:ascii="Arial Black" w:hAnsi="Arial Black" w:cs="Times New Roman"/>
          <w:b/>
          <w:i w:val="0"/>
          <w:color w:val="auto"/>
          <w:kern w:val="2"/>
          <w:sz w:val="20"/>
          <w:szCs w:val="20"/>
          <w14:ligatures w14:val="standardContextual"/>
        </w:rPr>
        <w:t>Source</w:t>
      </w:r>
      <w:r w:rsidR="00836732">
        <w:rPr>
          <w:rFonts w:ascii="Arial Black" w:hAnsi="Arial Black" w:cs="Times New Roman"/>
          <w:b/>
          <w:i w:val="0"/>
          <w:color w:val="auto"/>
          <w:kern w:val="2"/>
          <w:sz w:val="20"/>
          <w:szCs w:val="20"/>
          <w14:ligatures w14:val="standardContextual"/>
        </w:rPr>
        <w:t xml:space="preserve"> </w:t>
      </w:r>
      <w:r w:rsidRPr="005D76DA">
        <w:rPr>
          <w:rFonts w:ascii="Arial Black" w:hAnsi="Arial Black" w:cs="Times New Roman"/>
          <w:b/>
          <w:i w:val="0"/>
          <w:color w:val="auto"/>
          <w:kern w:val="2"/>
          <w:sz w:val="20"/>
          <w:szCs w:val="20"/>
          <w14:ligatures w14:val="standardContextual"/>
        </w:rPr>
        <w:t>: ANAM (2022)</w:t>
      </w:r>
    </w:p>
    <w:p w14:paraId="5246CC6E" w14:textId="63BB143E" w:rsidR="004B5FFC" w:rsidRPr="00965203" w:rsidRDefault="005D76DA" w:rsidP="005D76DA">
      <w:pPr>
        <w:pStyle w:val="Caption"/>
        <w:keepNext/>
        <w:rPr>
          <w:rFonts w:ascii="Arial Black" w:hAnsi="Arial Black"/>
          <w:i w:val="0"/>
          <w:iCs w:val="0"/>
          <w:color w:val="auto"/>
          <w:sz w:val="20"/>
          <w:szCs w:val="20"/>
        </w:rPr>
      </w:pPr>
      <w:r w:rsidRPr="005D76DA">
        <w:rPr>
          <w:rFonts w:ascii="Arial Black" w:hAnsi="Arial Black" w:cs="Times New Roman"/>
          <w:b/>
          <w:i w:val="0"/>
          <w:color w:val="auto"/>
          <w:kern w:val="2"/>
          <w:sz w:val="20"/>
          <w:szCs w:val="20"/>
          <w14:ligatures w14:val="standardContextual"/>
        </w:rPr>
        <w:t>Table 1</w:t>
      </w:r>
      <w:r w:rsidR="00836732">
        <w:rPr>
          <w:rFonts w:ascii="Arial Black" w:hAnsi="Arial Black" w:cs="Times New Roman"/>
          <w:b/>
          <w:i w:val="0"/>
          <w:color w:val="auto"/>
          <w:kern w:val="2"/>
          <w:sz w:val="20"/>
          <w:szCs w:val="20"/>
          <w14:ligatures w14:val="standardContextual"/>
        </w:rPr>
        <w:t xml:space="preserve"> </w:t>
      </w:r>
      <w:r w:rsidRPr="005D76DA">
        <w:rPr>
          <w:rFonts w:ascii="Arial Black" w:hAnsi="Arial Black" w:cs="Times New Roman"/>
          <w:b/>
          <w:i w:val="0"/>
          <w:color w:val="auto"/>
          <w:kern w:val="2"/>
          <w:sz w:val="20"/>
          <w:szCs w:val="20"/>
          <w14:ligatures w14:val="standardContextual"/>
        </w:rPr>
        <w:t xml:space="preserve">: SPI </w:t>
      </w:r>
      <w:proofErr w:type="spellStart"/>
      <w:r w:rsidRPr="005D76DA">
        <w:rPr>
          <w:rFonts w:ascii="Arial Black" w:hAnsi="Arial Black" w:cs="Times New Roman"/>
          <w:b/>
          <w:i w:val="0"/>
          <w:color w:val="auto"/>
          <w:kern w:val="2"/>
          <w:sz w:val="20"/>
          <w:szCs w:val="20"/>
          <w14:ligatures w14:val="standardContextual"/>
        </w:rPr>
        <w:t>categorization</w:t>
      </w:r>
      <w:proofErr w:type="spellEnd"/>
      <w:r w:rsidRPr="005D76DA">
        <w:rPr>
          <w:rFonts w:ascii="Arial Black" w:hAnsi="Arial Black" w:cs="Times New Roman"/>
          <w:b/>
          <w:i w:val="0"/>
          <w:color w:val="auto"/>
          <w:kern w:val="2"/>
          <w:sz w:val="20"/>
          <w:szCs w:val="20"/>
          <w14:ligatures w14:val="standardContextual"/>
        </w:rPr>
        <w:t xml:space="preserve"> </w:t>
      </w:r>
      <w:proofErr w:type="spellStart"/>
      <w:r w:rsidRPr="005D76DA">
        <w:rPr>
          <w:rFonts w:ascii="Arial Black" w:hAnsi="Arial Black" w:cs="Times New Roman"/>
          <w:b/>
          <w:i w:val="0"/>
          <w:color w:val="auto"/>
          <w:kern w:val="2"/>
          <w:sz w:val="20"/>
          <w:szCs w:val="20"/>
          <w14:ligatures w14:val="standardContextual"/>
        </w:rPr>
        <w:t>from</w:t>
      </w:r>
      <w:proofErr w:type="spellEnd"/>
      <w:r w:rsidRPr="005D76DA">
        <w:rPr>
          <w:rFonts w:ascii="Arial Black" w:hAnsi="Arial Black" w:cs="Times New Roman"/>
          <w:b/>
          <w:i w:val="0"/>
          <w:color w:val="auto"/>
          <w:kern w:val="2"/>
          <w:sz w:val="20"/>
          <w:szCs w:val="20"/>
          <w14:ligatures w14:val="standardContextual"/>
        </w:rPr>
        <w:t xml:space="preserve"> 1992 to 2022</w:t>
      </w:r>
    </w:p>
    <w:tbl>
      <w:tblPr>
        <w:tblStyle w:val="TableGrid"/>
        <w:tblW w:w="9634" w:type="dxa"/>
        <w:tblLook w:val="04A0" w:firstRow="1" w:lastRow="0" w:firstColumn="1" w:lastColumn="0" w:noHBand="0" w:noVBand="1"/>
      </w:tblPr>
      <w:tblGrid>
        <w:gridCol w:w="1363"/>
        <w:gridCol w:w="1327"/>
        <w:gridCol w:w="1184"/>
        <w:gridCol w:w="1439"/>
        <w:gridCol w:w="1439"/>
        <w:gridCol w:w="1236"/>
        <w:gridCol w:w="1646"/>
      </w:tblGrid>
      <w:tr w:rsidR="004B5FFC" w:rsidRPr="00965203" w14:paraId="3D0F01FC" w14:textId="77777777" w:rsidTr="002C0272">
        <w:tc>
          <w:tcPr>
            <w:tcW w:w="1510" w:type="dxa"/>
          </w:tcPr>
          <w:p w14:paraId="011D7088" w14:textId="77777777" w:rsidR="004B5FFC" w:rsidRPr="00965203" w:rsidRDefault="004B5FFC" w:rsidP="002C0272">
            <w:pPr>
              <w:jc w:val="both"/>
              <w:rPr>
                <w:rFonts w:ascii="Arial Black" w:hAnsi="Arial Black" w:cs="Times New Roman"/>
                <w:b/>
                <w:bCs/>
                <w:sz w:val="20"/>
                <w:szCs w:val="20"/>
              </w:rPr>
            </w:pPr>
            <w:r w:rsidRPr="00965203">
              <w:rPr>
                <w:rFonts w:ascii="Arial Black" w:hAnsi="Arial Black" w:cs="Times New Roman"/>
                <w:b/>
                <w:bCs/>
                <w:sz w:val="20"/>
                <w:szCs w:val="20"/>
              </w:rPr>
              <w:t>SPI</w:t>
            </w:r>
          </w:p>
        </w:tc>
        <w:tc>
          <w:tcPr>
            <w:tcW w:w="1231" w:type="dxa"/>
          </w:tcPr>
          <w:p w14:paraId="6172B957" w14:textId="77777777" w:rsidR="004B5FFC" w:rsidRPr="00965203" w:rsidRDefault="004B5FFC" w:rsidP="002C0272">
            <w:pPr>
              <w:jc w:val="both"/>
              <w:rPr>
                <w:rFonts w:ascii="Arial Black" w:hAnsi="Arial Black" w:cs="Times New Roman"/>
                <w:sz w:val="20"/>
                <w:szCs w:val="20"/>
              </w:rPr>
            </w:pPr>
            <w:r w:rsidRPr="00965203">
              <w:rPr>
                <w:rFonts w:ascii="Arial Black" w:hAnsi="Arial Black" w:cs="Times New Roman"/>
                <w:sz w:val="20"/>
                <w:szCs w:val="20"/>
              </w:rPr>
              <w:t>&gt;2</w:t>
            </w:r>
          </w:p>
        </w:tc>
        <w:tc>
          <w:tcPr>
            <w:tcW w:w="1231" w:type="dxa"/>
          </w:tcPr>
          <w:p w14:paraId="093D37B2" w14:textId="77777777" w:rsidR="004B5FFC" w:rsidRPr="00965203" w:rsidRDefault="004B5FFC" w:rsidP="002C0272">
            <w:pPr>
              <w:jc w:val="both"/>
              <w:rPr>
                <w:rFonts w:ascii="Arial Black" w:hAnsi="Arial Black" w:cs="Times New Roman"/>
                <w:sz w:val="20"/>
                <w:szCs w:val="20"/>
              </w:rPr>
            </w:pPr>
            <w:r w:rsidRPr="00965203">
              <w:rPr>
                <w:rFonts w:ascii="Arial Black" w:hAnsi="Arial Black" w:cs="Times New Roman"/>
                <w:sz w:val="20"/>
                <w:szCs w:val="20"/>
              </w:rPr>
              <w:t>1&lt;SPI&lt;2</w:t>
            </w:r>
          </w:p>
        </w:tc>
        <w:tc>
          <w:tcPr>
            <w:tcW w:w="1232" w:type="dxa"/>
          </w:tcPr>
          <w:p w14:paraId="0C8E54A0" w14:textId="77777777" w:rsidR="004B5FFC" w:rsidRPr="00965203" w:rsidRDefault="004B5FFC" w:rsidP="002C0272">
            <w:pPr>
              <w:jc w:val="both"/>
              <w:rPr>
                <w:rFonts w:ascii="Arial Black" w:hAnsi="Arial Black" w:cs="Times New Roman"/>
                <w:sz w:val="20"/>
                <w:szCs w:val="20"/>
              </w:rPr>
            </w:pPr>
            <w:r w:rsidRPr="00965203">
              <w:rPr>
                <w:rFonts w:ascii="Arial Black" w:hAnsi="Arial Black" w:cs="Times New Roman"/>
                <w:sz w:val="20"/>
                <w:szCs w:val="20"/>
              </w:rPr>
              <w:t>0&lt;SPI&lt;1</w:t>
            </w:r>
          </w:p>
        </w:tc>
        <w:tc>
          <w:tcPr>
            <w:tcW w:w="1286" w:type="dxa"/>
          </w:tcPr>
          <w:p w14:paraId="4B513100" w14:textId="77777777" w:rsidR="004B5FFC" w:rsidRPr="00965203" w:rsidRDefault="004B5FFC" w:rsidP="002C0272">
            <w:pPr>
              <w:jc w:val="both"/>
              <w:rPr>
                <w:rFonts w:ascii="Arial Black" w:hAnsi="Arial Black" w:cs="Times New Roman"/>
                <w:sz w:val="20"/>
                <w:szCs w:val="20"/>
              </w:rPr>
            </w:pPr>
            <w:r w:rsidRPr="00965203">
              <w:rPr>
                <w:rFonts w:ascii="Arial Black" w:hAnsi="Arial Black" w:cs="Times New Roman"/>
                <w:sz w:val="20"/>
                <w:szCs w:val="20"/>
              </w:rPr>
              <w:t>-1&lt;SPI&lt;0</w:t>
            </w:r>
          </w:p>
        </w:tc>
        <w:tc>
          <w:tcPr>
            <w:tcW w:w="1286" w:type="dxa"/>
          </w:tcPr>
          <w:p w14:paraId="04D1B3A8" w14:textId="77777777" w:rsidR="004B5FFC" w:rsidRPr="00965203" w:rsidRDefault="004B5FFC" w:rsidP="002C0272">
            <w:pPr>
              <w:jc w:val="both"/>
              <w:rPr>
                <w:rFonts w:ascii="Arial Black" w:hAnsi="Arial Black" w:cs="Times New Roman"/>
                <w:sz w:val="20"/>
                <w:szCs w:val="20"/>
              </w:rPr>
            </w:pPr>
            <w:r w:rsidRPr="00965203">
              <w:rPr>
                <w:rFonts w:ascii="Arial Black" w:hAnsi="Arial Black" w:cs="Times New Roman"/>
                <w:sz w:val="20"/>
                <w:szCs w:val="20"/>
              </w:rPr>
              <w:t>-2&lt; SPI&lt;-1</w:t>
            </w:r>
          </w:p>
        </w:tc>
        <w:tc>
          <w:tcPr>
            <w:tcW w:w="1858" w:type="dxa"/>
          </w:tcPr>
          <w:p w14:paraId="7BE5E1A9" w14:textId="77777777" w:rsidR="004B5FFC" w:rsidRPr="00965203" w:rsidRDefault="004B5FFC" w:rsidP="002C0272">
            <w:pPr>
              <w:jc w:val="both"/>
              <w:rPr>
                <w:rFonts w:ascii="Arial Black" w:hAnsi="Arial Black" w:cs="Times New Roman"/>
                <w:sz w:val="20"/>
                <w:szCs w:val="20"/>
              </w:rPr>
            </w:pPr>
            <w:r w:rsidRPr="00965203">
              <w:rPr>
                <w:rFonts w:ascii="Arial Black" w:hAnsi="Arial Black" w:cs="Times New Roman"/>
                <w:sz w:val="20"/>
                <w:szCs w:val="20"/>
              </w:rPr>
              <w:t>SPI&lt;-2</w:t>
            </w:r>
          </w:p>
        </w:tc>
      </w:tr>
      <w:tr w:rsidR="004B5FFC" w:rsidRPr="00965203" w14:paraId="47F901D0" w14:textId="77777777" w:rsidTr="002C0272">
        <w:tc>
          <w:tcPr>
            <w:tcW w:w="1510" w:type="dxa"/>
          </w:tcPr>
          <w:p w14:paraId="03CC087A" w14:textId="71866E78" w:rsidR="004B5FFC" w:rsidRPr="00965203" w:rsidRDefault="00836732" w:rsidP="002C0272">
            <w:pPr>
              <w:jc w:val="both"/>
              <w:rPr>
                <w:rFonts w:ascii="Arial Black" w:hAnsi="Arial Black" w:cs="Times New Roman"/>
                <w:b/>
                <w:bCs/>
                <w:sz w:val="20"/>
                <w:szCs w:val="20"/>
              </w:rPr>
            </w:pPr>
            <w:proofErr w:type="spellStart"/>
            <w:r w:rsidRPr="00836732">
              <w:rPr>
                <w:rFonts w:ascii="Arial Black" w:hAnsi="Arial Black" w:cs="Times New Roman"/>
                <w:b/>
                <w:bCs/>
                <w:sz w:val="20"/>
                <w:szCs w:val="20"/>
              </w:rPr>
              <w:t>Number</w:t>
            </w:r>
            <w:proofErr w:type="spellEnd"/>
            <w:r w:rsidRPr="00836732">
              <w:rPr>
                <w:rFonts w:ascii="Arial Black" w:hAnsi="Arial Black" w:cs="Times New Roman"/>
                <w:b/>
                <w:bCs/>
                <w:sz w:val="20"/>
                <w:szCs w:val="20"/>
              </w:rPr>
              <w:t xml:space="preserve"> of </w:t>
            </w:r>
            <w:proofErr w:type="spellStart"/>
            <w:r w:rsidRPr="00836732">
              <w:rPr>
                <w:rFonts w:ascii="Arial Black" w:hAnsi="Arial Black" w:cs="Times New Roman"/>
                <w:b/>
                <w:bCs/>
                <w:sz w:val="20"/>
                <w:szCs w:val="20"/>
              </w:rPr>
              <w:t>years</w:t>
            </w:r>
            <w:proofErr w:type="spellEnd"/>
          </w:p>
        </w:tc>
        <w:tc>
          <w:tcPr>
            <w:tcW w:w="1231" w:type="dxa"/>
          </w:tcPr>
          <w:p w14:paraId="456DE153" w14:textId="77777777" w:rsidR="004B5FFC" w:rsidRPr="00965203" w:rsidRDefault="004B5FFC" w:rsidP="002C0272">
            <w:pPr>
              <w:jc w:val="both"/>
              <w:rPr>
                <w:rFonts w:ascii="Arial Black" w:hAnsi="Arial Black" w:cs="Times New Roman"/>
                <w:sz w:val="20"/>
                <w:szCs w:val="20"/>
              </w:rPr>
            </w:pPr>
            <w:r w:rsidRPr="00965203">
              <w:rPr>
                <w:rFonts w:ascii="Arial Black" w:hAnsi="Arial Black" w:cs="Times New Roman"/>
                <w:sz w:val="20"/>
                <w:szCs w:val="20"/>
              </w:rPr>
              <w:t>0</w:t>
            </w:r>
          </w:p>
        </w:tc>
        <w:tc>
          <w:tcPr>
            <w:tcW w:w="1231" w:type="dxa"/>
          </w:tcPr>
          <w:p w14:paraId="2369FF0D" w14:textId="77777777" w:rsidR="004B5FFC" w:rsidRPr="00965203" w:rsidRDefault="004B5FFC" w:rsidP="002C0272">
            <w:pPr>
              <w:jc w:val="both"/>
              <w:rPr>
                <w:rFonts w:ascii="Arial Black" w:hAnsi="Arial Black" w:cs="Times New Roman"/>
                <w:sz w:val="20"/>
                <w:szCs w:val="20"/>
              </w:rPr>
            </w:pPr>
            <w:r w:rsidRPr="00965203">
              <w:rPr>
                <w:rFonts w:ascii="Arial Black" w:hAnsi="Arial Black" w:cs="Times New Roman"/>
                <w:sz w:val="20"/>
                <w:szCs w:val="20"/>
              </w:rPr>
              <w:t>6</w:t>
            </w:r>
          </w:p>
        </w:tc>
        <w:tc>
          <w:tcPr>
            <w:tcW w:w="1232" w:type="dxa"/>
          </w:tcPr>
          <w:p w14:paraId="346A5DA8" w14:textId="77777777" w:rsidR="004B5FFC" w:rsidRPr="00965203" w:rsidRDefault="004B5FFC" w:rsidP="002C0272">
            <w:pPr>
              <w:jc w:val="both"/>
              <w:rPr>
                <w:rFonts w:ascii="Arial Black" w:hAnsi="Arial Black" w:cs="Times New Roman"/>
                <w:sz w:val="20"/>
                <w:szCs w:val="20"/>
              </w:rPr>
            </w:pPr>
            <w:r w:rsidRPr="00965203">
              <w:rPr>
                <w:rFonts w:ascii="Arial Black" w:hAnsi="Arial Black" w:cs="Times New Roman"/>
                <w:sz w:val="20"/>
                <w:szCs w:val="20"/>
              </w:rPr>
              <w:t>9</w:t>
            </w:r>
          </w:p>
        </w:tc>
        <w:tc>
          <w:tcPr>
            <w:tcW w:w="1286" w:type="dxa"/>
          </w:tcPr>
          <w:p w14:paraId="6F97B7E4" w14:textId="77777777" w:rsidR="004B5FFC" w:rsidRPr="00965203" w:rsidRDefault="004B5FFC" w:rsidP="002C0272">
            <w:pPr>
              <w:jc w:val="both"/>
              <w:rPr>
                <w:rFonts w:ascii="Arial Black" w:hAnsi="Arial Black" w:cs="Times New Roman"/>
                <w:sz w:val="20"/>
                <w:szCs w:val="20"/>
              </w:rPr>
            </w:pPr>
            <w:r w:rsidRPr="00965203">
              <w:rPr>
                <w:rFonts w:ascii="Arial Black" w:hAnsi="Arial Black" w:cs="Times New Roman"/>
                <w:sz w:val="20"/>
                <w:szCs w:val="20"/>
              </w:rPr>
              <w:t>6</w:t>
            </w:r>
          </w:p>
        </w:tc>
        <w:tc>
          <w:tcPr>
            <w:tcW w:w="1286" w:type="dxa"/>
          </w:tcPr>
          <w:p w14:paraId="2A769912" w14:textId="77777777" w:rsidR="004B5FFC" w:rsidRPr="00965203" w:rsidRDefault="004B5FFC" w:rsidP="002C0272">
            <w:pPr>
              <w:jc w:val="both"/>
              <w:rPr>
                <w:rFonts w:ascii="Arial Black" w:hAnsi="Arial Black" w:cs="Times New Roman"/>
                <w:sz w:val="20"/>
                <w:szCs w:val="20"/>
              </w:rPr>
            </w:pPr>
            <w:r w:rsidRPr="00965203">
              <w:rPr>
                <w:rFonts w:ascii="Arial Black" w:hAnsi="Arial Black" w:cs="Times New Roman"/>
                <w:sz w:val="20"/>
                <w:szCs w:val="20"/>
              </w:rPr>
              <w:t>5</w:t>
            </w:r>
          </w:p>
        </w:tc>
        <w:tc>
          <w:tcPr>
            <w:tcW w:w="1858" w:type="dxa"/>
          </w:tcPr>
          <w:p w14:paraId="22DB091A" w14:textId="77777777" w:rsidR="004B5FFC" w:rsidRPr="00965203" w:rsidRDefault="004B5FFC" w:rsidP="002C0272">
            <w:pPr>
              <w:jc w:val="both"/>
              <w:rPr>
                <w:rFonts w:ascii="Arial Black" w:hAnsi="Arial Black" w:cs="Times New Roman"/>
                <w:sz w:val="20"/>
                <w:szCs w:val="20"/>
              </w:rPr>
            </w:pPr>
            <w:r w:rsidRPr="00965203">
              <w:rPr>
                <w:rFonts w:ascii="Arial Black" w:hAnsi="Arial Black" w:cs="Times New Roman"/>
                <w:sz w:val="20"/>
                <w:szCs w:val="20"/>
              </w:rPr>
              <w:t>4</w:t>
            </w:r>
          </w:p>
        </w:tc>
      </w:tr>
      <w:tr w:rsidR="004B5FFC" w:rsidRPr="00965203" w14:paraId="7DAB6F01" w14:textId="77777777" w:rsidTr="002C0272">
        <w:tc>
          <w:tcPr>
            <w:tcW w:w="1510" w:type="dxa"/>
          </w:tcPr>
          <w:p w14:paraId="36C75A76" w14:textId="5E60EDDE" w:rsidR="004B5FFC" w:rsidRPr="00965203" w:rsidRDefault="00DB0A17" w:rsidP="002C0272">
            <w:pPr>
              <w:jc w:val="both"/>
              <w:rPr>
                <w:rFonts w:ascii="Arial Black" w:hAnsi="Arial Black" w:cs="Times New Roman"/>
                <w:b/>
                <w:bCs/>
                <w:sz w:val="20"/>
                <w:szCs w:val="20"/>
              </w:rPr>
            </w:pPr>
            <w:proofErr w:type="spellStart"/>
            <w:r w:rsidRPr="00DB0A17">
              <w:rPr>
                <w:rFonts w:ascii="Arial Black" w:hAnsi="Arial Black" w:cs="Times New Roman"/>
                <w:b/>
                <w:bCs/>
                <w:sz w:val="20"/>
                <w:szCs w:val="20"/>
              </w:rPr>
              <w:t>Meaning</w:t>
            </w:r>
            <w:proofErr w:type="spellEnd"/>
          </w:p>
        </w:tc>
        <w:tc>
          <w:tcPr>
            <w:tcW w:w="1231" w:type="dxa"/>
          </w:tcPr>
          <w:p w14:paraId="18E628CD" w14:textId="6FEC81C1" w:rsidR="004B5FFC" w:rsidRPr="00965203" w:rsidRDefault="00DB0A17" w:rsidP="002C0272">
            <w:pPr>
              <w:jc w:val="both"/>
              <w:rPr>
                <w:rFonts w:ascii="Arial Black" w:hAnsi="Arial Black" w:cs="Times New Roman"/>
                <w:sz w:val="20"/>
                <w:szCs w:val="20"/>
              </w:rPr>
            </w:pPr>
            <w:proofErr w:type="spellStart"/>
            <w:r w:rsidRPr="00DB0A17">
              <w:rPr>
                <w:rFonts w:ascii="Arial Black" w:hAnsi="Arial Black" w:cs="Times New Roman"/>
                <w:sz w:val="20"/>
                <w:szCs w:val="20"/>
              </w:rPr>
              <w:t>Extremely</w:t>
            </w:r>
            <w:proofErr w:type="spellEnd"/>
            <w:r w:rsidRPr="00DB0A17">
              <w:rPr>
                <w:rFonts w:ascii="Arial Black" w:hAnsi="Arial Black" w:cs="Times New Roman"/>
                <w:sz w:val="20"/>
                <w:szCs w:val="20"/>
              </w:rPr>
              <w:t xml:space="preserve"> </w:t>
            </w:r>
            <w:proofErr w:type="spellStart"/>
            <w:r w:rsidRPr="00DB0A17">
              <w:rPr>
                <w:rFonts w:ascii="Arial Black" w:hAnsi="Arial Black" w:cs="Times New Roman"/>
                <w:sz w:val="20"/>
                <w:szCs w:val="20"/>
              </w:rPr>
              <w:t>wet</w:t>
            </w:r>
            <w:proofErr w:type="spellEnd"/>
          </w:p>
        </w:tc>
        <w:tc>
          <w:tcPr>
            <w:tcW w:w="1231" w:type="dxa"/>
          </w:tcPr>
          <w:p w14:paraId="50B80255" w14:textId="3BC3816D" w:rsidR="004B5FFC" w:rsidRPr="00965203" w:rsidRDefault="00DB0A17" w:rsidP="002C0272">
            <w:pPr>
              <w:jc w:val="both"/>
              <w:rPr>
                <w:rFonts w:ascii="Arial Black" w:hAnsi="Arial Black" w:cs="Times New Roman"/>
                <w:sz w:val="20"/>
                <w:szCs w:val="20"/>
              </w:rPr>
            </w:pPr>
            <w:r w:rsidRPr="00DB0A17">
              <w:rPr>
                <w:rFonts w:ascii="Arial Black" w:hAnsi="Arial Black" w:cs="Times New Roman"/>
                <w:sz w:val="20"/>
                <w:szCs w:val="20"/>
              </w:rPr>
              <w:t xml:space="preserve">Very </w:t>
            </w:r>
            <w:proofErr w:type="spellStart"/>
            <w:r w:rsidRPr="00DB0A17">
              <w:rPr>
                <w:rFonts w:ascii="Arial Black" w:hAnsi="Arial Black" w:cs="Times New Roman"/>
                <w:sz w:val="20"/>
                <w:szCs w:val="20"/>
              </w:rPr>
              <w:t>wet</w:t>
            </w:r>
            <w:proofErr w:type="spellEnd"/>
          </w:p>
        </w:tc>
        <w:tc>
          <w:tcPr>
            <w:tcW w:w="1232" w:type="dxa"/>
          </w:tcPr>
          <w:p w14:paraId="3E3E6A1E" w14:textId="6D5E42C6" w:rsidR="004B5FFC" w:rsidRPr="00965203" w:rsidRDefault="00DB0A17" w:rsidP="002C0272">
            <w:pPr>
              <w:jc w:val="both"/>
              <w:rPr>
                <w:rFonts w:ascii="Arial Black" w:hAnsi="Arial Black" w:cs="Times New Roman"/>
                <w:sz w:val="20"/>
                <w:szCs w:val="20"/>
              </w:rPr>
            </w:pPr>
            <w:proofErr w:type="spellStart"/>
            <w:r w:rsidRPr="00DB0A17">
              <w:rPr>
                <w:rFonts w:ascii="Arial Black" w:hAnsi="Arial Black" w:cs="Times New Roman"/>
                <w:sz w:val="20"/>
                <w:szCs w:val="20"/>
              </w:rPr>
              <w:t>Moderately</w:t>
            </w:r>
            <w:proofErr w:type="spellEnd"/>
            <w:r w:rsidRPr="00DB0A17">
              <w:rPr>
                <w:rFonts w:ascii="Arial Black" w:hAnsi="Arial Black" w:cs="Times New Roman"/>
                <w:sz w:val="20"/>
                <w:szCs w:val="20"/>
              </w:rPr>
              <w:t xml:space="preserve"> </w:t>
            </w:r>
            <w:proofErr w:type="spellStart"/>
            <w:r w:rsidRPr="00DB0A17">
              <w:rPr>
                <w:rFonts w:ascii="Arial Black" w:hAnsi="Arial Black" w:cs="Times New Roman"/>
                <w:sz w:val="20"/>
                <w:szCs w:val="20"/>
              </w:rPr>
              <w:t>wet</w:t>
            </w:r>
            <w:proofErr w:type="spellEnd"/>
          </w:p>
        </w:tc>
        <w:tc>
          <w:tcPr>
            <w:tcW w:w="1286" w:type="dxa"/>
          </w:tcPr>
          <w:p w14:paraId="7B79E8AC" w14:textId="75CD7D4F" w:rsidR="004B5FFC" w:rsidRPr="00965203" w:rsidRDefault="00DB0A17" w:rsidP="002C0272">
            <w:pPr>
              <w:jc w:val="both"/>
              <w:rPr>
                <w:rFonts w:ascii="Arial Black" w:hAnsi="Arial Black" w:cs="Times New Roman"/>
                <w:sz w:val="20"/>
                <w:szCs w:val="20"/>
              </w:rPr>
            </w:pPr>
            <w:proofErr w:type="spellStart"/>
            <w:r w:rsidRPr="00DB0A17">
              <w:rPr>
                <w:rFonts w:ascii="Arial Black" w:hAnsi="Arial Black" w:cs="Times New Roman"/>
                <w:sz w:val="20"/>
                <w:szCs w:val="20"/>
              </w:rPr>
              <w:t>Moderately</w:t>
            </w:r>
            <w:proofErr w:type="spellEnd"/>
            <w:r w:rsidRPr="00DB0A17">
              <w:rPr>
                <w:rFonts w:ascii="Arial Black" w:hAnsi="Arial Black" w:cs="Times New Roman"/>
                <w:sz w:val="20"/>
                <w:szCs w:val="20"/>
              </w:rPr>
              <w:t xml:space="preserve"> dry</w:t>
            </w:r>
          </w:p>
        </w:tc>
        <w:tc>
          <w:tcPr>
            <w:tcW w:w="1286" w:type="dxa"/>
          </w:tcPr>
          <w:p w14:paraId="0EDFFE48" w14:textId="4953E4B8" w:rsidR="004B5FFC" w:rsidRPr="00965203" w:rsidRDefault="00DB0A17" w:rsidP="002C0272">
            <w:pPr>
              <w:jc w:val="both"/>
              <w:rPr>
                <w:rFonts w:ascii="Arial Black" w:hAnsi="Arial Black" w:cs="Times New Roman"/>
                <w:sz w:val="20"/>
                <w:szCs w:val="20"/>
              </w:rPr>
            </w:pPr>
            <w:proofErr w:type="spellStart"/>
            <w:r w:rsidRPr="00DB0A17">
              <w:rPr>
                <w:rFonts w:ascii="Arial Black" w:hAnsi="Arial Black" w:cs="Times New Roman"/>
                <w:sz w:val="20"/>
                <w:szCs w:val="20"/>
              </w:rPr>
              <w:t>Severely</w:t>
            </w:r>
            <w:proofErr w:type="spellEnd"/>
            <w:r w:rsidRPr="00DB0A17">
              <w:rPr>
                <w:rFonts w:ascii="Arial Black" w:hAnsi="Arial Black" w:cs="Times New Roman"/>
                <w:sz w:val="20"/>
                <w:szCs w:val="20"/>
              </w:rPr>
              <w:t xml:space="preserve"> dry</w:t>
            </w:r>
          </w:p>
        </w:tc>
        <w:tc>
          <w:tcPr>
            <w:tcW w:w="1858" w:type="dxa"/>
          </w:tcPr>
          <w:p w14:paraId="422AC3EF" w14:textId="6EE205E7" w:rsidR="004B5FFC" w:rsidRPr="00965203" w:rsidRDefault="00DB0A17" w:rsidP="002C0272">
            <w:pPr>
              <w:jc w:val="both"/>
              <w:rPr>
                <w:rFonts w:ascii="Arial Black" w:hAnsi="Arial Black" w:cs="Times New Roman"/>
                <w:sz w:val="20"/>
                <w:szCs w:val="20"/>
              </w:rPr>
            </w:pPr>
            <w:proofErr w:type="spellStart"/>
            <w:r w:rsidRPr="00DB0A17">
              <w:rPr>
                <w:rFonts w:ascii="Arial Black" w:hAnsi="Arial Black" w:cs="Times New Roman"/>
                <w:sz w:val="20"/>
                <w:szCs w:val="20"/>
              </w:rPr>
              <w:t>Extremely</w:t>
            </w:r>
            <w:proofErr w:type="spellEnd"/>
            <w:r w:rsidRPr="00DB0A17">
              <w:rPr>
                <w:rFonts w:ascii="Arial Black" w:hAnsi="Arial Black" w:cs="Times New Roman"/>
                <w:sz w:val="20"/>
                <w:szCs w:val="20"/>
              </w:rPr>
              <w:t xml:space="preserve"> dry</w:t>
            </w:r>
          </w:p>
        </w:tc>
      </w:tr>
    </w:tbl>
    <w:p w14:paraId="34CE68A2" w14:textId="77777777" w:rsidR="004B5FFC" w:rsidRPr="00965203" w:rsidRDefault="004B5FFC" w:rsidP="004B5FFC">
      <w:pPr>
        <w:jc w:val="both"/>
        <w:rPr>
          <w:rFonts w:ascii="Arial Black" w:hAnsi="Arial Black" w:cs="Times New Roman"/>
          <w:sz w:val="20"/>
          <w:szCs w:val="20"/>
        </w:rPr>
      </w:pPr>
      <w:r w:rsidRPr="00965203">
        <w:rPr>
          <w:rFonts w:ascii="Arial Black" w:hAnsi="Arial Black" w:cs="Times New Roman"/>
          <w:sz w:val="20"/>
          <w:szCs w:val="20"/>
        </w:rPr>
        <w:t>Source : ANAM (2023)</w:t>
      </w:r>
    </w:p>
    <w:p w14:paraId="6D90DEA6" w14:textId="77777777" w:rsidR="004B5FFC" w:rsidRPr="00522E16" w:rsidRDefault="004B5FFC" w:rsidP="004B5FFC">
      <w:pPr>
        <w:pStyle w:val="ListParagraph"/>
        <w:numPr>
          <w:ilvl w:val="1"/>
          <w:numId w:val="3"/>
        </w:numPr>
        <w:tabs>
          <w:tab w:val="left" w:pos="3770"/>
        </w:tabs>
        <w:rPr>
          <w:rFonts w:ascii="Arial" w:hAnsi="Arial" w:cs="Arial"/>
          <w:b/>
          <w:bCs/>
          <w:sz w:val="22"/>
          <w:szCs w:val="22"/>
        </w:rPr>
      </w:pPr>
      <w:r w:rsidRPr="00522E16">
        <w:rPr>
          <w:rFonts w:ascii="Arial" w:hAnsi="Arial" w:cs="Arial"/>
          <w:b/>
          <w:bCs/>
          <w:sz w:val="22"/>
          <w:szCs w:val="22"/>
        </w:rPr>
        <w:t xml:space="preserve">Discussion </w:t>
      </w:r>
    </w:p>
    <w:p w14:paraId="3538842B" w14:textId="66694907" w:rsidR="00173A5B" w:rsidRPr="00173A5B" w:rsidRDefault="00173A5B" w:rsidP="00173A5B">
      <w:pPr>
        <w:tabs>
          <w:tab w:val="left" w:pos="3770"/>
        </w:tabs>
        <w:spacing w:after="0" w:line="360" w:lineRule="auto"/>
        <w:rPr>
          <w:rFonts w:ascii="Arial Black" w:hAnsi="Arial Black" w:cs="Times New Roman"/>
          <w:sz w:val="20"/>
          <w:szCs w:val="20"/>
        </w:rPr>
      </w:pPr>
      <w:proofErr w:type="spellStart"/>
      <w:r w:rsidRPr="00173A5B">
        <w:rPr>
          <w:rFonts w:ascii="Arial Black" w:hAnsi="Arial Black" w:cs="Times New Roman"/>
          <w:sz w:val="20"/>
          <w:szCs w:val="20"/>
        </w:rPr>
        <w:t>Rainfall</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variability</w:t>
      </w:r>
      <w:proofErr w:type="spellEnd"/>
      <w:r w:rsidRPr="00173A5B">
        <w:rPr>
          <w:rFonts w:ascii="Arial Black" w:hAnsi="Arial Black" w:cs="Times New Roman"/>
          <w:sz w:val="20"/>
          <w:szCs w:val="20"/>
        </w:rPr>
        <w:t xml:space="preserve"> in Loumbila </w:t>
      </w:r>
      <w:proofErr w:type="spellStart"/>
      <w:r w:rsidRPr="00173A5B">
        <w:rPr>
          <w:rFonts w:ascii="Arial Black" w:hAnsi="Arial Black" w:cs="Times New Roman"/>
          <w:sz w:val="20"/>
          <w:szCs w:val="20"/>
        </w:rPr>
        <w:t>Municipality</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reveals</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complex</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dynamics</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directly</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affecting</w:t>
      </w:r>
      <w:proofErr w:type="spellEnd"/>
      <w:r w:rsidRPr="00173A5B">
        <w:rPr>
          <w:rFonts w:ascii="Arial Black" w:hAnsi="Arial Black" w:cs="Times New Roman"/>
          <w:sz w:val="20"/>
          <w:szCs w:val="20"/>
        </w:rPr>
        <w:t xml:space="preserve"> agricultural practices and local </w:t>
      </w:r>
      <w:proofErr w:type="spellStart"/>
      <w:r w:rsidRPr="00173A5B">
        <w:rPr>
          <w:rFonts w:ascii="Arial Black" w:hAnsi="Arial Black" w:cs="Times New Roman"/>
          <w:sz w:val="20"/>
          <w:szCs w:val="20"/>
        </w:rPr>
        <w:t>food</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security</w:t>
      </w:r>
      <w:proofErr w:type="spellEnd"/>
      <w:r w:rsidRPr="00173A5B">
        <w:rPr>
          <w:rFonts w:ascii="Arial Black" w:hAnsi="Arial Black" w:cs="Times New Roman"/>
          <w:sz w:val="20"/>
          <w:szCs w:val="20"/>
        </w:rPr>
        <w:t xml:space="preserve"> (Kaboré, 2025, p. 3). </w:t>
      </w:r>
      <w:proofErr w:type="spellStart"/>
      <w:r w:rsidRPr="00173A5B">
        <w:rPr>
          <w:rFonts w:ascii="Arial Black" w:hAnsi="Arial Black" w:cs="Times New Roman"/>
          <w:sz w:val="20"/>
          <w:szCs w:val="20"/>
        </w:rPr>
        <w:t>Located</w:t>
      </w:r>
      <w:proofErr w:type="spellEnd"/>
      <w:r w:rsidRPr="00173A5B">
        <w:rPr>
          <w:rFonts w:ascii="Arial Black" w:hAnsi="Arial Black" w:cs="Times New Roman"/>
          <w:sz w:val="20"/>
          <w:szCs w:val="20"/>
        </w:rPr>
        <w:t xml:space="preserve"> in Burkina </w:t>
      </w:r>
      <w:proofErr w:type="spellStart"/>
      <w:r w:rsidRPr="00173A5B">
        <w:rPr>
          <w:rFonts w:ascii="Arial Black" w:hAnsi="Arial Black" w:cs="Times New Roman"/>
          <w:sz w:val="20"/>
          <w:szCs w:val="20"/>
        </w:rPr>
        <w:t>Faso's</w:t>
      </w:r>
      <w:proofErr w:type="spellEnd"/>
      <w:r w:rsidRPr="00173A5B">
        <w:rPr>
          <w:rFonts w:ascii="Arial Black" w:hAnsi="Arial Black" w:cs="Times New Roman"/>
          <w:sz w:val="20"/>
          <w:szCs w:val="20"/>
        </w:rPr>
        <w:t xml:space="preserve"> Central Plateau, </w:t>
      </w:r>
      <w:proofErr w:type="spellStart"/>
      <w:r w:rsidRPr="00173A5B">
        <w:rPr>
          <w:rFonts w:ascii="Arial Black" w:hAnsi="Arial Black" w:cs="Times New Roman"/>
          <w:sz w:val="20"/>
          <w:szCs w:val="20"/>
        </w:rPr>
        <w:t>this</w:t>
      </w:r>
      <w:proofErr w:type="spellEnd"/>
      <w:r w:rsidRPr="00173A5B">
        <w:rPr>
          <w:rFonts w:ascii="Arial Black" w:hAnsi="Arial Black" w:cs="Times New Roman"/>
          <w:sz w:val="20"/>
          <w:szCs w:val="20"/>
        </w:rPr>
        <w:t xml:space="preserve"> area </w:t>
      </w:r>
      <w:proofErr w:type="spellStart"/>
      <w:r w:rsidRPr="00173A5B">
        <w:rPr>
          <w:rFonts w:ascii="Arial Black" w:hAnsi="Arial Black" w:cs="Times New Roman"/>
          <w:sz w:val="20"/>
          <w:szCs w:val="20"/>
        </w:rPr>
        <w:t>experiences</w:t>
      </w:r>
      <w:proofErr w:type="spellEnd"/>
      <w:r w:rsidRPr="00173A5B">
        <w:rPr>
          <w:rFonts w:ascii="Arial Black" w:hAnsi="Arial Black" w:cs="Times New Roman"/>
          <w:sz w:val="20"/>
          <w:szCs w:val="20"/>
        </w:rPr>
        <w:t xml:space="preserve"> an intertropical </w:t>
      </w:r>
      <w:proofErr w:type="spellStart"/>
      <w:r w:rsidRPr="00173A5B">
        <w:rPr>
          <w:rFonts w:ascii="Arial Black" w:hAnsi="Arial Black" w:cs="Times New Roman"/>
          <w:sz w:val="20"/>
          <w:szCs w:val="20"/>
        </w:rPr>
        <w:lastRenderedPageBreak/>
        <w:t>monsoon</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regime</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characterized</w:t>
      </w:r>
      <w:proofErr w:type="spellEnd"/>
      <w:r w:rsidRPr="00173A5B">
        <w:rPr>
          <w:rFonts w:ascii="Arial Black" w:hAnsi="Arial Black" w:cs="Times New Roman"/>
          <w:sz w:val="20"/>
          <w:szCs w:val="20"/>
        </w:rPr>
        <w:t xml:space="preserve"> by </w:t>
      </w:r>
      <w:proofErr w:type="spellStart"/>
      <w:r w:rsidRPr="00173A5B">
        <w:rPr>
          <w:rFonts w:ascii="Arial Black" w:hAnsi="Arial Black" w:cs="Times New Roman"/>
          <w:sz w:val="20"/>
          <w:szCs w:val="20"/>
        </w:rPr>
        <w:t>pronounced</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precipitation</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irregularity</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Mairi</w:t>
      </w:r>
      <w:proofErr w:type="spellEnd"/>
      <w:r w:rsidRPr="00173A5B">
        <w:rPr>
          <w:rFonts w:ascii="Arial Black" w:hAnsi="Arial Black" w:cs="Times New Roman"/>
          <w:sz w:val="20"/>
          <w:szCs w:val="20"/>
        </w:rPr>
        <w:t xml:space="preserve">, 2019, p. </w:t>
      </w:r>
      <w:proofErr w:type="gramStart"/>
      <w:r w:rsidRPr="00173A5B">
        <w:rPr>
          <w:rFonts w:ascii="Arial Black" w:hAnsi="Arial Black" w:cs="Times New Roman"/>
          <w:sz w:val="20"/>
          <w:szCs w:val="20"/>
        </w:rPr>
        <w:t>7;</w:t>
      </w:r>
      <w:proofErr w:type="gramEnd"/>
      <w:r w:rsidRPr="00173A5B">
        <w:rPr>
          <w:rFonts w:ascii="Arial Black" w:hAnsi="Arial Black" w:cs="Times New Roman"/>
          <w:sz w:val="20"/>
          <w:szCs w:val="20"/>
        </w:rPr>
        <w:t xml:space="preserve"> Topeur, 2023, p. 45). </w:t>
      </w:r>
      <w:proofErr w:type="spellStart"/>
      <w:r w:rsidRPr="00173A5B">
        <w:rPr>
          <w:rFonts w:ascii="Arial Black" w:hAnsi="Arial Black" w:cs="Times New Roman"/>
          <w:sz w:val="20"/>
          <w:szCs w:val="20"/>
        </w:rPr>
        <w:t>Interannual</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rainfall</w:t>
      </w:r>
      <w:proofErr w:type="spellEnd"/>
      <w:r w:rsidRPr="00173A5B">
        <w:rPr>
          <w:rFonts w:ascii="Arial Black" w:hAnsi="Arial Black" w:cs="Times New Roman"/>
          <w:sz w:val="20"/>
          <w:szCs w:val="20"/>
        </w:rPr>
        <w:t xml:space="preserve"> fluctuations </w:t>
      </w:r>
      <w:proofErr w:type="spellStart"/>
      <w:r w:rsidRPr="00173A5B">
        <w:rPr>
          <w:rFonts w:ascii="Arial Black" w:hAnsi="Arial Black" w:cs="Times New Roman"/>
          <w:sz w:val="20"/>
          <w:szCs w:val="20"/>
        </w:rPr>
        <w:t>exhibit</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random</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behavior</w:t>
      </w:r>
      <w:proofErr w:type="spellEnd"/>
      <w:r w:rsidRPr="00173A5B">
        <w:rPr>
          <w:rFonts w:ascii="Arial Black" w:hAnsi="Arial Black" w:cs="Times New Roman"/>
          <w:sz w:val="20"/>
          <w:szCs w:val="20"/>
        </w:rPr>
        <w:t xml:space="preserve">, consistent </w:t>
      </w:r>
      <w:proofErr w:type="spellStart"/>
      <w:r w:rsidRPr="00173A5B">
        <w:rPr>
          <w:rFonts w:ascii="Arial Black" w:hAnsi="Arial Black" w:cs="Times New Roman"/>
          <w:sz w:val="20"/>
          <w:szCs w:val="20"/>
        </w:rPr>
        <w:t>with</w:t>
      </w:r>
      <w:proofErr w:type="spellEnd"/>
      <w:r w:rsidRPr="00173A5B">
        <w:rPr>
          <w:rFonts w:ascii="Arial Black" w:hAnsi="Arial Black" w:cs="Times New Roman"/>
          <w:sz w:val="20"/>
          <w:szCs w:val="20"/>
        </w:rPr>
        <w:t xml:space="preserve"> patterns </w:t>
      </w:r>
      <w:proofErr w:type="spellStart"/>
      <w:r w:rsidRPr="00173A5B">
        <w:rPr>
          <w:rFonts w:ascii="Arial Black" w:hAnsi="Arial Black" w:cs="Times New Roman"/>
          <w:sz w:val="20"/>
          <w:szCs w:val="20"/>
        </w:rPr>
        <w:t>observed</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across</w:t>
      </w:r>
      <w:proofErr w:type="spellEnd"/>
      <w:r w:rsidRPr="00173A5B">
        <w:rPr>
          <w:rFonts w:ascii="Arial Black" w:hAnsi="Arial Black" w:cs="Times New Roman"/>
          <w:sz w:val="20"/>
          <w:szCs w:val="20"/>
        </w:rPr>
        <w:t xml:space="preserve"> the Burkinabè Sahel (Le Barbé &amp; Tapsoba, 1994, p. 10). </w:t>
      </w:r>
      <w:proofErr w:type="spellStart"/>
      <w:r w:rsidRPr="00173A5B">
        <w:rPr>
          <w:rFonts w:ascii="Arial Black" w:hAnsi="Arial Black" w:cs="Times New Roman"/>
          <w:sz w:val="20"/>
          <w:szCs w:val="20"/>
        </w:rPr>
        <w:t>Three</w:t>
      </w:r>
      <w:proofErr w:type="spellEnd"/>
      <w:r w:rsidRPr="00173A5B">
        <w:rPr>
          <w:rFonts w:ascii="Arial Black" w:hAnsi="Arial Black" w:cs="Times New Roman"/>
          <w:sz w:val="20"/>
          <w:szCs w:val="20"/>
        </w:rPr>
        <w:t xml:space="preserve"> distinct </w:t>
      </w:r>
      <w:proofErr w:type="spellStart"/>
      <w:r w:rsidRPr="00173A5B">
        <w:rPr>
          <w:rFonts w:ascii="Arial Black" w:hAnsi="Arial Black" w:cs="Times New Roman"/>
          <w:sz w:val="20"/>
          <w:szCs w:val="20"/>
        </w:rPr>
        <w:t>climatic</w:t>
      </w:r>
      <w:proofErr w:type="spellEnd"/>
      <w:r w:rsidRPr="00173A5B">
        <w:rPr>
          <w:rFonts w:ascii="Arial Black" w:hAnsi="Arial Black" w:cs="Times New Roman"/>
          <w:sz w:val="20"/>
          <w:szCs w:val="20"/>
        </w:rPr>
        <w:t xml:space="preserve"> phases </w:t>
      </w:r>
      <w:proofErr w:type="spellStart"/>
      <w:proofErr w:type="gramStart"/>
      <w:r w:rsidRPr="00173A5B">
        <w:rPr>
          <w:rFonts w:ascii="Arial Black" w:hAnsi="Arial Black" w:cs="Times New Roman"/>
          <w:sz w:val="20"/>
          <w:szCs w:val="20"/>
        </w:rPr>
        <w:t>emerge</w:t>
      </w:r>
      <w:proofErr w:type="spellEnd"/>
      <w:r w:rsidRPr="00173A5B">
        <w:rPr>
          <w:rFonts w:ascii="Arial Black" w:hAnsi="Arial Black" w:cs="Times New Roman"/>
          <w:sz w:val="20"/>
          <w:szCs w:val="20"/>
        </w:rPr>
        <w:t>:</w:t>
      </w:r>
      <w:proofErr w:type="gram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moderate</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drought</w:t>
      </w:r>
      <w:proofErr w:type="spellEnd"/>
      <w:r w:rsidRPr="00173A5B">
        <w:rPr>
          <w:rFonts w:ascii="Arial Black" w:hAnsi="Arial Black" w:cs="Times New Roman"/>
          <w:sz w:val="20"/>
          <w:szCs w:val="20"/>
        </w:rPr>
        <w:t xml:space="preserve"> (1991-2006), </w:t>
      </w:r>
      <w:proofErr w:type="spellStart"/>
      <w:r w:rsidRPr="00173A5B">
        <w:rPr>
          <w:rFonts w:ascii="Arial Black" w:hAnsi="Arial Black" w:cs="Times New Roman"/>
          <w:sz w:val="20"/>
          <w:szCs w:val="20"/>
        </w:rPr>
        <w:t>alternating</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wet</w:t>
      </w:r>
      <w:proofErr w:type="spellEnd"/>
      <w:r w:rsidRPr="00173A5B">
        <w:rPr>
          <w:rFonts w:ascii="Arial Black" w:hAnsi="Arial Black" w:cs="Times New Roman"/>
          <w:sz w:val="20"/>
          <w:szCs w:val="20"/>
        </w:rPr>
        <w:t xml:space="preserve">/dry </w:t>
      </w:r>
      <w:proofErr w:type="spellStart"/>
      <w:r w:rsidRPr="00173A5B">
        <w:rPr>
          <w:rFonts w:ascii="Arial Black" w:hAnsi="Arial Black" w:cs="Times New Roman"/>
          <w:sz w:val="20"/>
          <w:szCs w:val="20"/>
        </w:rPr>
        <w:t>periods</w:t>
      </w:r>
      <w:proofErr w:type="spellEnd"/>
      <w:r w:rsidRPr="00173A5B">
        <w:rPr>
          <w:rFonts w:ascii="Arial Black" w:hAnsi="Arial Black" w:cs="Times New Roman"/>
          <w:sz w:val="20"/>
          <w:szCs w:val="20"/>
        </w:rPr>
        <w:t xml:space="preserve"> (2007-2015), and a </w:t>
      </w:r>
      <w:proofErr w:type="spellStart"/>
      <w:r w:rsidRPr="00173A5B">
        <w:rPr>
          <w:rFonts w:ascii="Arial Black" w:hAnsi="Arial Black" w:cs="Times New Roman"/>
          <w:sz w:val="20"/>
          <w:szCs w:val="20"/>
        </w:rPr>
        <w:t>recent</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wet</w:t>
      </w:r>
      <w:proofErr w:type="spellEnd"/>
      <w:r w:rsidRPr="00173A5B">
        <w:rPr>
          <w:rFonts w:ascii="Arial Black" w:hAnsi="Arial Black" w:cs="Times New Roman"/>
          <w:sz w:val="20"/>
          <w:szCs w:val="20"/>
        </w:rPr>
        <w:t xml:space="preserve"> phase (2016-2020), </w:t>
      </w:r>
      <w:proofErr w:type="spellStart"/>
      <w:r w:rsidRPr="00173A5B">
        <w:rPr>
          <w:rFonts w:ascii="Arial Black" w:hAnsi="Arial Black" w:cs="Times New Roman"/>
          <w:sz w:val="20"/>
          <w:szCs w:val="20"/>
        </w:rPr>
        <w:t>confirming</w:t>
      </w:r>
      <w:proofErr w:type="spellEnd"/>
      <w:r w:rsidRPr="00173A5B">
        <w:rPr>
          <w:rFonts w:ascii="Arial Black" w:hAnsi="Arial Black" w:cs="Times New Roman"/>
          <w:sz w:val="20"/>
          <w:szCs w:val="20"/>
        </w:rPr>
        <w:t xml:space="preserve"> high </w:t>
      </w:r>
      <w:proofErr w:type="spellStart"/>
      <w:r w:rsidRPr="00173A5B">
        <w:rPr>
          <w:rFonts w:ascii="Arial Black" w:hAnsi="Arial Black" w:cs="Times New Roman"/>
          <w:sz w:val="20"/>
          <w:szCs w:val="20"/>
        </w:rPr>
        <w:t>rainfall</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regime</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instability</w:t>
      </w:r>
      <w:proofErr w:type="spellEnd"/>
      <w:r w:rsidRPr="00173A5B">
        <w:rPr>
          <w:rFonts w:ascii="Arial Black" w:hAnsi="Arial Black" w:cs="Times New Roman"/>
          <w:sz w:val="20"/>
          <w:szCs w:val="20"/>
        </w:rPr>
        <w:t xml:space="preserve"> (Sultan &amp; Janicot, 2004, p. 321).</w:t>
      </w:r>
      <w:r>
        <w:rPr>
          <w:rFonts w:ascii="Arial Black" w:hAnsi="Arial Black" w:cs="Times New Roman"/>
          <w:sz w:val="20"/>
          <w:szCs w:val="20"/>
        </w:rPr>
        <w:t xml:space="preserve"> </w:t>
      </w:r>
      <w:r w:rsidRPr="00173A5B">
        <w:rPr>
          <w:rFonts w:ascii="Arial Black" w:hAnsi="Arial Black" w:cs="Times New Roman"/>
          <w:sz w:val="20"/>
          <w:szCs w:val="20"/>
        </w:rPr>
        <w:t xml:space="preserve">Mann-Kendall and SPI </w:t>
      </w:r>
      <w:proofErr w:type="spellStart"/>
      <w:r w:rsidRPr="00173A5B">
        <w:rPr>
          <w:rFonts w:ascii="Arial Black" w:hAnsi="Arial Black" w:cs="Times New Roman"/>
          <w:sz w:val="20"/>
          <w:szCs w:val="20"/>
        </w:rPr>
        <w:t>results</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demonstrate</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statistical</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robustness</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supported</w:t>
      </w:r>
      <w:proofErr w:type="spellEnd"/>
      <w:r w:rsidRPr="00173A5B">
        <w:rPr>
          <w:rFonts w:ascii="Arial Black" w:hAnsi="Arial Black" w:cs="Times New Roman"/>
          <w:sz w:val="20"/>
          <w:szCs w:val="20"/>
        </w:rPr>
        <w:t xml:space="preserve"> by the </w:t>
      </w:r>
      <w:proofErr w:type="spellStart"/>
      <w:r w:rsidRPr="00173A5B">
        <w:rPr>
          <w:rFonts w:ascii="Arial Black" w:hAnsi="Arial Black" w:cs="Times New Roman"/>
          <w:sz w:val="20"/>
          <w:szCs w:val="20"/>
        </w:rPr>
        <w:t>superior</w:t>
      </w:r>
      <w:proofErr w:type="spellEnd"/>
      <w:r w:rsidRPr="00173A5B">
        <w:rPr>
          <w:rFonts w:ascii="Arial Black" w:hAnsi="Arial Black" w:cs="Times New Roman"/>
          <w:sz w:val="20"/>
          <w:szCs w:val="20"/>
        </w:rPr>
        <w:t xml:space="preserve"> power of </w:t>
      </w:r>
      <w:proofErr w:type="spellStart"/>
      <w:r w:rsidRPr="00173A5B">
        <w:rPr>
          <w:rFonts w:ascii="Arial Black" w:hAnsi="Arial Black" w:cs="Times New Roman"/>
          <w:sz w:val="20"/>
          <w:szCs w:val="20"/>
        </w:rPr>
        <w:t>these</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nonparametric</w:t>
      </w:r>
      <w:proofErr w:type="spellEnd"/>
      <w:r w:rsidRPr="00173A5B">
        <w:rPr>
          <w:rFonts w:ascii="Arial Black" w:hAnsi="Arial Black" w:cs="Times New Roman"/>
          <w:sz w:val="20"/>
          <w:szCs w:val="20"/>
        </w:rPr>
        <w:t xml:space="preserve"> tests (Yue &amp; Pilon, 2004, p. 27) and </w:t>
      </w:r>
      <w:proofErr w:type="spellStart"/>
      <w:r w:rsidRPr="00173A5B">
        <w:rPr>
          <w:rFonts w:ascii="Arial Black" w:hAnsi="Arial Black" w:cs="Times New Roman"/>
          <w:sz w:val="20"/>
          <w:szCs w:val="20"/>
        </w:rPr>
        <w:t>their</w:t>
      </w:r>
      <w:proofErr w:type="spellEnd"/>
      <w:r w:rsidRPr="00173A5B">
        <w:rPr>
          <w:rFonts w:ascii="Arial Black" w:hAnsi="Arial Black" w:cs="Times New Roman"/>
          <w:sz w:val="20"/>
          <w:szCs w:val="20"/>
        </w:rPr>
        <w:t xml:space="preserve"> reliable R </w:t>
      </w:r>
      <w:proofErr w:type="spellStart"/>
      <w:r w:rsidRPr="00173A5B">
        <w:rPr>
          <w:rFonts w:ascii="Arial Black" w:hAnsi="Arial Black" w:cs="Times New Roman"/>
          <w:sz w:val="20"/>
          <w:szCs w:val="20"/>
        </w:rPr>
        <w:t>implementation</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McLeod</w:t>
      </w:r>
      <w:proofErr w:type="spellEnd"/>
      <w:r w:rsidRPr="00173A5B">
        <w:rPr>
          <w:rFonts w:ascii="Arial Black" w:hAnsi="Arial Black" w:cs="Times New Roman"/>
          <w:sz w:val="20"/>
          <w:szCs w:val="20"/>
        </w:rPr>
        <w:t xml:space="preserve">, 2005, p. 4). The SPI </w:t>
      </w:r>
      <w:proofErr w:type="spellStart"/>
      <w:r w:rsidRPr="00173A5B">
        <w:rPr>
          <w:rFonts w:ascii="Arial Black" w:hAnsi="Arial Black" w:cs="Times New Roman"/>
          <w:sz w:val="20"/>
          <w:szCs w:val="20"/>
        </w:rPr>
        <w:t>approach</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finds</w:t>
      </w:r>
      <w:proofErr w:type="spellEnd"/>
      <w:r w:rsidRPr="00173A5B">
        <w:rPr>
          <w:rFonts w:ascii="Arial Black" w:hAnsi="Arial Black" w:cs="Times New Roman"/>
          <w:sz w:val="20"/>
          <w:szCs w:val="20"/>
        </w:rPr>
        <w:t xml:space="preserve"> validation in </w:t>
      </w:r>
      <w:proofErr w:type="spellStart"/>
      <w:r w:rsidRPr="00173A5B">
        <w:rPr>
          <w:rFonts w:ascii="Arial Black" w:hAnsi="Arial Black" w:cs="Times New Roman"/>
          <w:sz w:val="20"/>
          <w:szCs w:val="20"/>
        </w:rPr>
        <w:t>other</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Sahelian</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contexts</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Guenouche</w:t>
      </w:r>
      <w:proofErr w:type="spellEnd"/>
      <w:r w:rsidRPr="00173A5B">
        <w:rPr>
          <w:rFonts w:ascii="Arial Black" w:hAnsi="Arial Black" w:cs="Times New Roman"/>
          <w:sz w:val="20"/>
          <w:szCs w:val="20"/>
        </w:rPr>
        <w:t xml:space="preserve"> &amp; </w:t>
      </w:r>
      <w:proofErr w:type="spellStart"/>
      <w:r w:rsidRPr="00173A5B">
        <w:rPr>
          <w:rFonts w:ascii="Arial Black" w:hAnsi="Arial Black" w:cs="Times New Roman"/>
          <w:sz w:val="20"/>
          <w:szCs w:val="20"/>
        </w:rPr>
        <w:t>Bourtal</w:t>
      </w:r>
      <w:proofErr w:type="spellEnd"/>
      <w:r w:rsidRPr="00173A5B">
        <w:rPr>
          <w:rFonts w:ascii="Arial Black" w:hAnsi="Arial Black" w:cs="Times New Roman"/>
          <w:sz w:val="20"/>
          <w:szCs w:val="20"/>
        </w:rPr>
        <w:t xml:space="preserve">, 2023, p. 45). This </w:t>
      </w:r>
      <w:proofErr w:type="spellStart"/>
      <w:r w:rsidRPr="00173A5B">
        <w:rPr>
          <w:rFonts w:ascii="Arial Black" w:hAnsi="Arial Black" w:cs="Times New Roman"/>
          <w:sz w:val="20"/>
          <w:szCs w:val="20"/>
        </w:rPr>
        <w:t>variability</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severely</w:t>
      </w:r>
      <w:proofErr w:type="spellEnd"/>
      <w:r w:rsidRPr="00173A5B">
        <w:rPr>
          <w:rFonts w:ascii="Arial Black" w:hAnsi="Arial Black" w:cs="Times New Roman"/>
          <w:sz w:val="20"/>
          <w:szCs w:val="20"/>
        </w:rPr>
        <w:t xml:space="preserve"> impacts </w:t>
      </w:r>
      <w:proofErr w:type="spellStart"/>
      <w:r w:rsidRPr="00173A5B">
        <w:rPr>
          <w:rFonts w:ascii="Arial Black" w:hAnsi="Arial Black" w:cs="Times New Roman"/>
          <w:sz w:val="20"/>
          <w:szCs w:val="20"/>
        </w:rPr>
        <w:t>market</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gardening</w:t>
      </w:r>
      <w:proofErr w:type="spellEnd"/>
      <w:r w:rsidRPr="00173A5B">
        <w:rPr>
          <w:rFonts w:ascii="Arial Black" w:hAnsi="Arial Black" w:cs="Times New Roman"/>
          <w:sz w:val="20"/>
          <w:szCs w:val="20"/>
        </w:rPr>
        <w:t xml:space="preserve"> production </w:t>
      </w:r>
      <w:proofErr w:type="spellStart"/>
      <w:r w:rsidRPr="00173A5B">
        <w:rPr>
          <w:rFonts w:ascii="Arial Black" w:hAnsi="Arial Black" w:cs="Times New Roman"/>
          <w:sz w:val="20"/>
          <w:szCs w:val="20"/>
        </w:rPr>
        <w:t>during</w:t>
      </w:r>
      <w:proofErr w:type="spellEnd"/>
      <w:r w:rsidRPr="00173A5B">
        <w:rPr>
          <w:rFonts w:ascii="Arial Black" w:hAnsi="Arial Black" w:cs="Times New Roman"/>
          <w:sz w:val="20"/>
          <w:szCs w:val="20"/>
        </w:rPr>
        <w:t xml:space="preserve"> water </w:t>
      </w:r>
      <w:proofErr w:type="spellStart"/>
      <w:r w:rsidRPr="00173A5B">
        <w:rPr>
          <w:rFonts w:ascii="Arial Black" w:hAnsi="Arial Black" w:cs="Times New Roman"/>
          <w:sz w:val="20"/>
          <w:szCs w:val="20"/>
        </w:rPr>
        <w:t>deficits</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threatening</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regional</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food</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security</w:t>
      </w:r>
      <w:proofErr w:type="spellEnd"/>
      <w:r w:rsidRPr="00173A5B">
        <w:rPr>
          <w:rFonts w:ascii="Arial Black" w:hAnsi="Arial Black" w:cs="Times New Roman"/>
          <w:sz w:val="20"/>
          <w:szCs w:val="20"/>
        </w:rPr>
        <w:t xml:space="preserve"> (Sultan et al., 2005, p. 331).</w:t>
      </w:r>
    </w:p>
    <w:p w14:paraId="4A02C6F9" w14:textId="0E28C0E3" w:rsidR="00173A5B" w:rsidRPr="00173A5B" w:rsidRDefault="00173A5B" w:rsidP="00173A5B">
      <w:pPr>
        <w:tabs>
          <w:tab w:val="left" w:pos="3770"/>
        </w:tabs>
        <w:spacing w:after="0" w:line="360" w:lineRule="auto"/>
        <w:rPr>
          <w:rFonts w:ascii="Arial Black" w:hAnsi="Arial Black" w:cs="Times New Roman"/>
          <w:sz w:val="20"/>
          <w:szCs w:val="20"/>
        </w:rPr>
      </w:pPr>
      <w:r w:rsidRPr="00173A5B">
        <w:rPr>
          <w:rFonts w:ascii="Arial Black" w:hAnsi="Arial Black" w:cs="Times New Roman"/>
          <w:sz w:val="20"/>
          <w:szCs w:val="20"/>
        </w:rPr>
        <w:t xml:space="preserve">Loumbila Dam, central to local irrigation, faces </w:t>
      </w:r>
      <w:proofErr w:type="spellStart"/>
      <w:r w:rsidRPr="00173A5B">
        <w:rPr>
          <w:rFonts w:ascii="Arial Black" w:hAnsi="Arial Black" w:cs="Times New Roman"/>
          <w:sz w:val="20"/>
          <w:szCs w:val="20"/>
        </w:rPr>
        <w:t>mounting</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climatic</w:t>
      </w:r>
      <w:proofErr w:type="spellEnd"/>
      <w:r w:rsidRPr="00173A5B">
        <w:rPr>
          <w:rFonts w:ascii="Arial Black" w:hAnsi="Arial Black" w:cs="Times New Roman"/>
          <w:sz w:val="20"/>
          <w:szCs w:val="20"/>
        </w:rPr>
        <w:t xml:space="preserve"> and </w:t>
      </w:r>
      <w:proofErr w:type="spellStart"/>
      <w:r w:rsidRPr="00173A5B">
        <w:rPr>
          <w:rFonts w:ascii="Arial Black" w:hAnsi="Arial Black" w:cs="Times New Roman"/>
          <w:sz w:val="20"/>
          <w:szCs w:val="20"/>
        </w:rPr>
        <w:t>anthropogenic</w:t>
      </w:r>
      <w:proofErr w:type="spellEnd"/>
      <w:r w:rsidRPr="00173A5B">
        <w:rPr>
          <w:rFonts w:ascii="Arial Black" w:hAnsi="Arial Black" w:cs="Times New Roman"/>
          <w:sz w:val="20"/>
          <w:szCs w:val="20"/>
        </w:rPr>
        <w:t xml:space="preserve"> pressures (</w:t>
      </w:r>
      <w:proofErr w:type="spellStart"/>
      <w:r w:rsidRPr="00173A5B">
        <w:rPr>
          <w:rFonts w:ascii="Arial Black" w:hAnsi="Arial Black" w:cs="Times New Roman"/>
          <w:sz w:val="20"/>
          <w:szCs w:val="20"/>
        </w:rPr>
        <w:t>Botongho</w:t>
      </w:r>
      <w:proofErr w:type="spellEnd"/>
      <w:r w:rsidRPr="00173A5B">
        <w:rPr>
          <w:rFonts w:ascii="Arial Black" w:hAnsi="Arial Black" w:cs="Times New Roman"/>
          <w:sz w:val="20"/>
          <w:szCs w:val="20"/>
        </w:rPr>
        <w:t xml:space="preserve"> &amp; Emma, 2015, p. 88), </w:t>
      </w:r>
      <w:proofErr w:type="spellStart"/>
      <w:r w:rsidRPr="00173A5B">
        <w:rPr>
          <w:rFonts w:ascii="Arial Black" w:hAnsi="Arial Black" w:cs="Times New Roman"/>
          <w:sz w:val="20"/>
          <w:szCs w:val="20"/>
        </w:rPr>
        <w:t>while</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its</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ecological</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degradation</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further</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limits</w:t>
      </w:r>
      <w:proofErr w:type="spellEnd"/>
      <w:r w:rsidRPr="00173A5B">
        <w:rPr>
          <w:rFonts w:ascii="Arial Black" w:hAnsi="Arial Black" w:cs="Times New Roman"/>
          <w:sz w:val="20"/>
          <w:szCs w:val="20"/>
        </w:rPr>
        <w:t xml:space="preserve"> agricultural support </w:t>
      </w:r>
      <w:proofErr w:type="spellStart"/>
      <w:r w:rsidRPr="00173A5B">
        <w:rPr>
          <w:rFonts w:ascii="Arial Black" w:hAnsi="Arial Black" w:cs="Times New Roman"/>
          <w:sz w:val="20"/>
          <w:szCs w:val="20"/>
        </w:rPr>
        <w:t>capacity</w:t>
      </w:r>
      <w:proofErr w:type="spellEnd"/>
      <w:r w:rsidRPr="00173A5B">
        <w:rPr>
          <w:rFonts w:ascii="Arial Black" w:hAnsi="Arial Black" w:cs="Times New Roman"/>
          <w:sz w:val="20"/>
          <w:szCs w:val="20"/>
        </w:rPr>
        <w:t xml:space="preserve"> (Ouattara et al., 2025, p. 582). Burkinabè </w:t>
      </w:r>
      <w:proofErr w:type="spellStart"/>
      <w:r w:rsidRPr="00173A5B">
        <w:rPr>
          <w:rFonts w:ascii="Arial Black" w:hAnsi="Arial Black" w:cs="Times New Roman"/>
          <w:sz w:val="20"/>
          <w:szCs w:val="20"/>
        </w:rPr>
        <w:t>farmers</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accurately</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perceive</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these</w:t>
      </w:r>
      <w:proofErr w:type="spellEnd"/>
      <w:r w:rsidRPr="00173A5B">
        <w:rPr>
          <w:rFonts w:ascii="Arial Black" w:hAnsi="Arial Black" w:cs="Times New Roman"/>
          <w:sz w:val="20"/>
          <w:szCs w:val="20"/>
        </w:rPr>
        <w:t xml:space="preserve"> changes and </w:t>
      </w:r>
      <w:proofErr w:type="spellStart"/>
      <w:r w:rsidRPr="00173A5B">
        <w:rPr>
          <w:rFonts w:ascii="Arial Black" w:hAnsi="Arial Black" w:cs="Times New Roman"/>
          <w:sz w:val="20"/>
          <w:szCs w:val="20"/>
        </w:rPr>
        <w:t>adapt</w:t>
      </w:r>
      <w:proofErr w:type="spellEnd"/>
      <w:r w:rsidRPr="00173A5B">
        <w:rPr>
          <w:rFonts w:ascii="Arial Black" w:hAnsi="Arial Black" w:cs="Times New Roman"/>
          <w:sz w:val="20"/>
          <w:szCs w:val="20"/>
        </w:rPr>
        <w:t xml:space="preserve"> practices to </w:t>
      </w:r>
      <w:proofErr w:type="spellStart"/>
      <w:r w:rsidRPr="00173A5B">
        <w:rPr>
          <w:rFonts w:ascii="Arial Black" w:hAnsi="Arial Black" w:cs="Times New Roman"/>
          <w:sz w:val="20"/>
          <w:szCs w:val="20"/>
        </w:rPr>
        <w:t>hydrological</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uncertainty</w:t>
      </w:r>
      <w:proofErr w:type="spellEnd"/>
      <w:r w:rsidRPr="00173A5B">
        <w:rPr>
          <w:rFonts w:ascii="Arial Black" w:hAnsi="Arial Black" w:cs="Times New Roman"/>
          <w:sz w:val="20"/>
          <w:szCs w:val="20"/>
        </w:rPr>
        <w:t xml:space="preserve"> (Ouédraogo et al., 2010, p. 91). </w:t>
      </w:r>
      <w:proofErr w:type="spellStart"/>
      <w:r w:rsidRPr="00173A5B">
        <w:rPr>
          <w:rFonts w:ascii="Arial Black" w:hAnsi="Arial Black" w:cs="Times New Roman"/>
          <w:sz w:val="20"/>
          <w:szCs w:val="20"/>
        </w:rPr>
        <w:t>However</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frequent</w:t>
      </w:r>
      <w:proofErr w:type="spellEnd"/>
      <w:r w:rsidRPr="00173A5B">
        <w:rPr>
          <w:rFonts w:ascii="Arial Black" w:hAnsi="Arial Black" w:cs="Times New Roman"/>
          <w:sz w:val="20"/>
          <w:szCs w:val="20"/>
        </w:rPr>
        <w:t xml:space="preserve"> SPI </w:t>
      </w:r>
      <w:proofErr w:type="spellStart"/>
      <w:r w:rsidRPr="00173A5B">
        <w:rPr>
          <w:rFonts w:ascii="Arial Black" w:hAnsi="Arial Black" w:cs="Times New Roman"/>
          <w:sz w:val="20"/>
          <w:szCs w:val="20"/>
        </w:rPr>
        <w:t>droughts</w:t>
      </w:r>
      <w:proofErr w:type="spellEnd"/>
      <w:r w:rsidRPr="00173A5B">
        <w:rPr>
          <w:rFonts w:ascii="Arial Black" w:hAnsi="Arial Black" w:cs="Times New Roman"/>
          <w:sz w:val="20"/>
          <w:szCs w:val="20"/>
        </w:rPr>
        <w:t xml:space="preserve"> and </w:t>
      </w:r>
      <w:proofErr w:type="spellStart"/>
      <w:r w:rsidRPr="00173A5B">
        <w:rPr>
          <w:rFonts w:ascii="Arial Black" w:hAnsi="Arial Black" w:cs="Times New Roman"/>
          <w:sz w:val="20"/>
          <w:szCs w:val="20"/>
        </w:rPr>
        <w:t>deteriorating</w:t>
      </w:r>
      <w:proofErr w:type="spellEnd"/>
      <w:r w:rsidRPr="00173A5B">
        <w:rPr>
          <w:rFonts w:ascii="Arial Black" w:hAnsi="Arial Black" w:cs="Times New Roman"/>
          <w:sz w:val="20"/>
          <w:szCs w:val="20"/>
        </w:rPr>
        <w:t xml:space="preserve"> water </w:t>
      </w:r>
      <w:proofErr w:type="spellStart"/>
      <w:r w:rsidRPr="00173A5B">
        <w:rPr>
          <w:rFonts w:ascii="Arial Black" w:hAnsi="Arial Black" w:cs="Times New Roman"/>
          <w:sz w:val="20"/>
          <w:szCs w:val="20"/>
        </w:rPr>
        <w:t>resources</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severely</w:t>
      </w:r>
      <w:proofErr w:type="spellEnd"/>
      <w:r w:rsidRPr="00173A5B">
        <w:rPr>
          <w:rFonts w:ascii="Arial Black" w:hAnsi="Arial Black" w:cs="Times New Roman"/>
          <w:sz w:val="20"/>
          <w:szCs w:val="20"/>
        </w:rPr>
        <w:t xml:space="preserve"> </w:t>
      </w:r>
      <w:proofErr w:type="spellStart"/>
      <w:r w:rsidRPr="00173A5B">
        <w:rPr>
          <w:rFonts w:ascii="Arial Black" w:hAnsi="Arial Black" w:cs="Times New Roman"/>
          <w:sz w:val="20"/>
          <w:szCs w:val="20"/>
        </w:rPr>
        <w:t>constrain</w:t>
      </w:r>
      <w:proofErr w:type="spellEnd"/>
      <w:r w:rsidRPr="00173A5B">
        <w:rPr>
          <w:rFonts w:ascii="Arial Black" w:hAnsi="Arial Black" w:cs="Times New Roman"/>
          <w:sz w:val="20"/>
          <w:szCs w:val="20"/>
        </w:rPr>
        <w:t xml:space="preserve"> adaptation options (</w:t>
      </w:r>
      <w:proofErr w:type="spellStart"/>
      <w:r w:rsidRPr="00173A5B">
        <w:rPr>
          <w:rFonts w:ascii="Arial Black" w:hAnsi="Arial Black" w:cs="Times New Roman"/>
          <w:sz w:val="20"/>
          <w:szCs w:val="20"/>
        </w:rPr>
        <w:t>Guenouche</w:t>
      </w:r>
      <w:proofErr w:type="spellEnd"/>
      <w:r w:rsidRPr="00173A5B">
        <w:rPr>
          <w:rFonts w:ascii="Arial Black" w:hAnsi="Arial Black" w:cs="Times New Roman"/>
          <w:sz w:val="20"/>
          <w:szCs w:val="20"/>
        </w:rPr>
        <w:t xml:space="preserve"> &amp; </w:t>
      </w:r>
      <w:proofErr w:type="spellStart"/>
      <w:r w:rsidRPr="00173A5B">
        <w:rPr>
          <w:rFonts w:ascii="Arial Black" w:hAnsi="Arial Black" w:cs="Times New Roman"/>
          <w:sz w:val="20"/>
          <w:szCs w:val="20"/>
        </w:rPr>
        <w:t>Bourtal</w:t>
      </w:r>
      <w:proofErr w:type="spellEnd"/>
      <w:r w:rsidRPr="00173A5B">
        <w:rPr>
          <w:rFonts w:ascii="Arial Black" w:hAnsi="Arial Black" w:cs="Times New Roman"/>
          <w:sz w:val="20"/>
          <w:szCs w:val="20"/>
        </w:rPr>
        <w:t>, 2023, p. 78).</w:t>
      </w:r>
    </w:p>
    <w:p w14:paraId="1E4D14EE" w14:textId="77777777" w:rsidR="00173A5B" w:rsidRDefault="00173A5B" w:rsidP="00173A5B">
      <w:pPr>
        <w:tabs>
          <w:tab w:val="left" w:pos="3770"/>
        </w:tabs>
        <w:spacing w:after="0" w:line="360" w:lineRule="auto"/>
        <w:rPr>
          <w:rFonts w:ascii="Arial Black" w:hAnsi="Arial Black" w:cs="Times New Roman"/>
          <w:sz w:val="20"/>
          <w:szCs w:val="20"/>
        </w:rPr>
      </w:pPr>
      <w:r w:rsidRPr="00173A5B">
        <w:rPr>
          <w:rFonts w:ascii="Arial Black" w:hAnsi="Arial Black" w:cs="Times New Roman"/>
          <w:sz w:val="20"/>
          <w:szCs w:val="20"/>
        </w:rPr>
        <w:t xml:space="preserve">Integrated water management and practice diversification </w:t>
      </w:r>
      <w:proofErr w:type="spellStart"/>
      <w:r w:rsidRPr="00173A5B">
        <w:rPr>
          <w:rFonts w:ascii="Arial Black" w:hAnsi="Arial Black" w:cs="Times New Roman"/>
          <w:sz w:val="20"/>
          <w:szCs w:val="20"/>
        </w:rPr>
        <w:t>emerge</w:t>
      </w:r>
      <w:proofErr w:type="spellEnd"/>
      <w:r w:rsidRPr="00173A5B">
        <w:rPr>
          <w:rFonts w:ascii="Arial Black" w:hAnsi="Arial Black" w:cs="Times New Roman"/>
          <w:sz w:val="20"/>
          <w:szCs w:val="20"/>
        </w:rPr>
        <w:t xml:space="preserve"> as essential levers for </w:t>
      </w:r>
      <w:proofErr w:type="spellStart"/>
      <w:r w:rsidRPr="00173A5B">
        <w:rPr>
          <w:rFonts w:ascii="Arial Black" w:hAnsi="Arial Black" w:cs="Times New Roman"/>
          <w:sz w:val="20"/>
          <w:szCs w:val="20"/>
        </w:rPr>
        <w:t>enhancing</w:t>
      </w:r>
      <w:proofErr w:type="spellEnd"/>
      <w:r w:rsidRPr="00173A5B">
        <w:rPr>
          <w:rFonts w:ascii="Arial Black" w:hAnsi="Arial Black" w:cs="Times New Roman"/>
          <w:sz w:val="20"/>
          <w:szCs w:val="20"/>
        </w:rPr>
        <w:t xml:space="preserve"> agricultural </w:t>
      </w:r>
      <w:proofErr w:type="spellStart"/>
      <w:r w:rsidRPr="00173A5B">
        <w:rPr>
          <w:rFonts w:ascii="Arial Black" w:hAnsi="Arial Black" w:cs="Times New Roman"/>
          <w:sz w:val="20"/>
          <w:szCs w:val="20"/>
        </w:rPr>
        <w:t>resilience</w:t>
      </w:r>
      <w:proofErr w:type="spellEnd"/>
      <w:r w:rsidRPr="00173A5B">
        <w:rPr>
          <w:rFonts w:ascii="Arial Black" w:hAnsi="Arial Black" w:cs="Times New Roman"/>
          <w:sz w:val="20"/>
          <w:szCs w:val="20"/>
        </w:rPr>
        <w:t xml:space="preserve"> in Loumbila (Eugène, Albert, &amp; Issiaka, 2005, p. 31).</w:t>
      </w:r>
    </w:p>
    <w:p w14:paraId="6FB0C2C1" w14:textId="5355D159" w:rsidR="004B5FFC" w:rsidRPr="00522E16" w:rsidRDefault="004B5FFC" w:rsidP="00173A5B">
      <w:pPr>
        <w:tabs>
          <w:tab w:val="left" w:pos="3770"/>
        </w:tabs>
        <w:spacing w:after="0" w:line="360" w:lineRule="auto"/>
        <w:rPr>
          <w:rFonts w:ascii="Arial" w:hAnsi="Arial" w:cs="Arial"/>
          <w:b/>
          <w:bCs/>
        </w:rPr>
      </w:pPr>
      <w:r w:rsidRPr="00522E16">
        <w:rPr>
          <w:rFonts w:ascii="Arial" w:hAnsi="Arial" w:cs="Arial"/>
          <w:b/>
          <w:bCs/>
        </w:rPr>
        <w:t>CONCLUSION</w:t>
      </w:r>
    </w:p>
    <w:p w14:paraId="4F277FC5" w14:textId="77777777" w:rsidR="00173A5B" w:rsidRPr="00173A5B" w:rsidRDefault="00173A5B" w:rsidP="00173A5B">
      <w:pPr>
        <w:tabs>
          <w:tab w:val="left" w:pos="3770"/>
        </w:tabs>
        <w:spacing w:after="0" w:line="360" w:lineRule="auto"/>
        <w:rPr>
          <w:rFonts w:ascii="Arial Black" w:hAnsi="Arial Black" w:cs="Times New Roman"/>
          <w:sz w:val="20"/>
          <w:szCs w:val="20"/>
          <w:lang/>
        </w:rPr>
      </w:pPr>
      <w:r w:rsidRPr="00173A5B">
        <w:rPr>
          <w:rFonts w:ascii="Arial Black" w:hAnsi="Arial Black" w:cs="Times New Roman"/>
          <w:sz w:val="20"/>
          <w:szCs w:val="20"/>
          <w:lang/>
        </w:rPr>
        <w:t>The study demonstrates that Loumbila Municipality, consistent with broader Sahelian contexts, exhibits pronounced rainfall variability. Analysis of thirty-year rainfall records reveals substantial interannual fluctuations, characterized by alternating dry and wet phases that underscore persistent hydrological imbalances and climatic instability typical of irregularly precipitating regions.</w:t>
      </w:r>
    </w:p>
    <w:p w14:paraId="395D75D1" w14:textId="77777777" w:rsidR="00173A5B" w:rsidRPr="00173A5B" w:rsidRDefault="00173A5B" w:rsidP="00173A5B">
      <w:pPr>
        <w:tabs>
          <w:tab w:val="left" w:pos="3770"/>
        </w:tabs>
        <w:spacing w:after="0" w:line="360" w:lineRule="auto"/>
        <w:rPr>
          <w:rFonts w:ascii="Arial Black" w:hAnsi="Arial Black" w:cs="Times New Roman"/>
          <w:sz w:val="20"/>
          <w:szCs w:val="20"/>
          <w:lang/>
        </w:rPr>
      </w:pPr>
      <w:r w:rsidRPr="00173A5B">
        <w:rPr>
          <w:rFonts w:ascii="Arial Black" w:hAnsi="Arial Black" w:cs="Times New Roman"/>
          <w:sz w:val="20"/>
          <w:szCs w:val="20"/>
          <w:lang/>
        </w:rPr>
        <w:t>The Standardized Precipitation Index (SPI) corroborates this pattern, evidencing an elevated frequency of dry years alongside moderate to extreme drought episodes. These precipitation anomalies directly impair rainfed vegetable production, reducing yields and exacerbating rural household vulnerability.</w:t>
      </w:r>
    </w:p>
    <w:p w14:paraId="517DB72E" w14:textId="0BDB99F3" w:rsidR="00173A5B" w:rsidRDefault="00173A5B" w:rsidP="00173A5B">
      <w:pPr>
        <w:tabs>
          <w:tab w:val="left" w:pos="3770"/>
        </w:tabs>
        <w:spacing w:after="0" w:line="360" w:lineRule="auto"/>
        <w:rPr>
          <w:rFonts w:ascii="Arial Black" w:hAnsi="Arial Black" w:cs="Times New Roman"/>
          <w:sz w:val="20"/>
          <w:szCs w:val="20"/>
          <w:lang/>
        </w:rPr>
      </w:pPr>
      <w:r w:rsidRPr="00173A5B">
        <w:rPr>
          <w:rFonts w:ascii="Arial Black" w:hAnsi="Arial Black" w:cs="Times New Roman"/>
          <w:sz w:val="20"/>
          <w:szCs w:val="20"/>
          <w:lang/>
        </w:rPr>
        <w:lastRenderedPageBreak/>
        <w:t>Consequently, enhancing local resilience demands targeted adaptation measures, including improved rainwater harvesting, crop diversification, and sustainable farming practices. Such interventions are critical to mitigating rainfall variability impacts and securing long-term agricultural productivity in Loumbila.</w:t>
      </w:r>
    </w:p>
    <w:p w14:paraId="1EC604A0" w14:textId="77777777" w:rsidR="00D0098F" w:rsidRPr="007A4135" w:rsidRDefault="00D0098F" w:rsidP="00D0098F">
      <w:pPr>
        <w:rPr>
          <w:highlight w:val="yellow"/>
        </w:rPr>
      </w:pPr>
      <w:r w:rsidRPr="007A4135">
        <w:rPr>
          <w:highlight w:val="yellow"/>
        </w:rPr>
        <w:t>Disclaimer (</w:t>
      </w:r>
      <w:proofErr w:type="spellStart"/>
      <w:r w:rsidRPr="007A4135">
        <w:rPr>
          <w:highlight w:val="yellow"/>
        </w:rPr>
        <w:t>Artificial</w:t>
      </w:r>
      <w:proofErr w:type="spellEnd"/>
      <w:r w:rsidRPr="007A4135">
        <w:rPr>
          <w:highlight w:val="yellow"/>
        </w:rPr>
        <w:t xml:space="preserve"> intelligence)</w:t>
      </w:r>
    </w:p>
    <w:p w14:paraId="2DAC3B01" w14:textId="77777777" w:rsidR="00D0098F" w:rsidRPr="007A4135" w:rsidRDefault="00D0098F" w:rsidP="00D0098F">
      <w:pPr>
        <w:rPr>
          <w:highlight w:val="yellow"/>
        </w:rPr>
      </w:pPr>
      <w:r w:rsidRPr="007A4135">
        <w:rPr>
          <w:highlight w:val="yellow"/>
        </w:rPr>
        <w:t xml:space="preserve">Option </w:t>
      </w:r>
      <w:proofErr w:type="gramStart"/>
      <w:r w:rsidRPr="007A4135">
        <w:rPr>
          <w:highlight w:val="yellow"/>
        </w:rPr>
        <w:t>1:</w:t>
      </w:r>
      <w:proofErr w:type="gramEnd"/>
      <w:r w:rsidRPr="007A4135">
        <w:rPr>
          <w:highlight w:val="yellow"/>
        </w:rPr>
        <w:t xml:space="preserve"> </w:t>
      </w:r>
    </w:p>
    <w:p w14:paraId="436056C7" w14:textId="77777777" w:rsidR="00D0098F" w:rsidRPr="007A4135" w:rsidRDefault="00D0098F" w:rsidP="00D0098F">
      <w:pPr>
        <w:rPr>
          <w:highlight w:val="yellow"/>
        </w:rPr>
      </w:pPr>
      <w:proofErr w:type="spellStart"/>
      <w:r w:rsidRPr="007A4135">
        <w:rPr>
          <w:highlight w:val="yellow"/>
        </w:rPr>
        <w:t>Author</w:t>
      </w:r>
      <w:proofErr w:type="spellEnd"/>
      <w:r w:rsidRPr="007A4135">
        <w:rPr>
          <w:highlight w:val="yellow"/>
        </w:rPr>
        <w:t xml:space="preserve">(s) </w:t>
      </w:r>
      <w:proofErr w:type="spellStart"/>
      <w:r w:rsidRPr="007A4135">
        <w:rPr>
          <w:highlight w:val="yellow"/>
        </w:rPr>
        <w:t>hereby</w:t>
      </w:r>
      <w:proofErr w:type="spellEnd"/>
      <w:r w:rsidRPr="007A4135">
        <w:rPr>
          <w:highlight w:val="yellow"/>
        </w:rPr>
        <w:t xml:space="preserve"> </w:t>
      </w:r>
      <w:proofErr w:type="spellStart"/>
      <w:r w:rsidRPr="007A4135">
        <w:rPr>
          <w:highlight w:val="yellow"/>
        </w:rPr>
        <w:t>declare</w:t>
      </w:r>
      <w:proofErr w:type="spellEnd"/>
      <w:r w:rsidRPr="007A4135">
        <w:rPr>
          <w:highlight w:val="yellow"/>
        </w:rPr>
        <w:t xml:space="preserve"> </w:t>
      </w:r>
      <w:proofErr w:type="spellStart"/>
      <w:r w:rsidRPr="007A4135">
        <w:rPr>
          <w:highlight w:val="yellow"/>
        </w:rPr>
        <w:t>that</w:t>
      </w:r>
      <w:proofErr w:type="spellEnd"/>
      <w:r w:rsidRPr="007A4135">
        <w:rPr>
          <w:highlight w:val="yellow"/>
        </w:rPr>
        <w:t xml:space="preserve"> NO </w:t>
      </w:r>
      <w:proofErr w:type="spellStart"/>
      <w:r w:rsidRPr="007A4135">
        <w:rPr>
          <w:highlight w:val="yellow"/>
        </w:rPr>
        <w:t>generative</w:t>
      </w:r>
      <w:proofErr w:type="spellEnd"/>
      <w:r w:rsidRPr="007A4135">
        <w:rPr>
          <w:highlight w:val="yellow"/>
        </w:rPr>
        <w:t xml:space="preserve"> AI technologies </w:t>
      </w:r>
      <w:proofErr w:type="spellStart"/>
      <w:r w:rsidRPr="007A4135">
        <w:rPr>
          <w:highlight w:val="yellow"/>
        </w:rPr>
        <w:t>such</w:t>
      </w:r>
      <w:proofErr w:type="spellEnd"/>
      <w:r w:rsidRPr="007A4135">
        <w:rPr>
          <w:highlight w:val="yellow"/>
        </w:rPr>
        <w:t xml:space="preserve"> as Large </w:t>
      </w:r>
      <w:proofErr w:type="spellStart"/>
      <w:r w:rsidRPr="007A4135">
        <w:rPr>
          <w:highlight w:val="yellow"/>
        </w:rPr>
        <w:t>Language</w:t>
      </w:r>
      <w:proofErr w:type="spellEnd"/>
      <w:r w:rsidRPr="007A4135">
        <w:rPr>
          <w:highlight w:val="yellow"/>
        </w:rPr>
        <w:t xml:space="preserve"> </w:t>
      </w:r>
      <w:proofErr w:type="spellStart"/>
      <w:r w:rsidRPr="007A4135">
        <w:rPr>
          <w:highlight w:val="yellow"/>
        </w:rPr>
        <w:t>Models</w:t>
      </w:r>
      <w:proofErr w:type="spellEnd"/>
      <w:r w:rsidRPr="007A4135">
        <w:rPr>
          <w:highlight w:val="yellow"/>
        </w:rPr>
        <w:t xml:space="preserve"> (</w:t>
      </w:r>
      <w:proofErr w:type="spellStart"/>
      <w:r w:rsidRPr="007A4135">
        <w:rPr>
          <w:highlight w:val="yellow"/>
        </w:rPr>
        <w:t>ChatGPT</w:t>
      </w:r>
      <w:proofErr w:type="spellEnd"/>
      <w:r w:rsidRPr="007A4135">
        <w:rPr>
          <w:highlight w:val="yellow"/>
        </w:rPr>
        <w:t xml:space="preserve">, COPILOT, etc.) and </w:t>
      </w:r>
      <w:proofErr w:type="spellStart"/>
      <w:r w:rsidRPr="007A4135">
        <w:rPr>
          <w:highlight w:val="yellow"/>
        </w:rPr>
        <w:t>text</w:t>
      </w:r>
      <w:proofErr w:type="spellEnd"/>
      <w:r w:rsidRPr="007A4135">
        <w:rPr>
          <w:highlight w:val="yellow"/>
        </w:rPr>
        <w:t xml:space="preserve">-to-image </w:t>
      </w:r>
      <w:proofErr w:type="spellStart"/>
      <w:r w:rsidRPr="007A4135">
        <w:rPr>
          <w:highlight w:val="yellow"/>
        </w:rPr>
        <w:t>generators</w:t>
      </w:r>
      <w:proofErr w:type="spellEnd"/>
      <w:r w:rsidRPr="007A4135">
        <w:rPr>
          <w:highlight w:val="yellow"/>
        </w:rPr>
        <w:t xml:space="preserve"> have been </w:t>
      </w:r>
      <w:proofErr w:type="spellStart"/>
      <w:r w:rsidRPr="007A4135">
        <w:rPr>
          <w:highlight w:val="yellow"/>
        </w:rPr>
        <w:t>used</w:t>
      </w:r>
      <w:proofErr w:type="spellEnd"/>
      <w:r w:rsidRPr="007A4135">
        <w:rPr>
          <w:highlight w:val="yellow"/>
        </w:rPr>
        <w:t xml:space="preserve"> </w:t>
      </w:r>
      <w:proofErr w:type="spellStart"/>
      <w:r w:rsidRPr="007A4135">
        <w:rPr>
          <w:highlight w:val="yellow"/>
        </w:rPr>
        <w:t>during</w:t>
      </w:r>
      <w:proofErr w:type="spellEnd"/>
      <w:r w:rsidRPr="007A4135">
        <w:rPr>
          <w:highlight w:val="yellow"/>
        </w:rPr>
        <w:t xml:space="preserve"> the </w:t>
      </w:r>
      <w:proofErr w:type="spellStart"/>
      <w:r w:rsidRPr="007A4135">
        <w:rPr>
          <w:highlight w:val="yellow"/>
        </w:rPr>
        <w:t>writing</w:t>
      </w:r>
      <w:proofErr w:type="spellEnd"/>
      <w:r w:rsidRPr="007A4135">
        <w:rPr>
          <w:highlight w:val="yellow"/>
        </w:rPr>
        <w:t xml:space="preserve"> or </w:t>
      </w:r>
      <w:proofErr w:type="spellStart"/>
      <w:r w:rsidRPr="007A4135">
        <w:rPr>
          <w:highlight w:val="yellow"/>
        </w:rPr>
        <w:t>editing</w:t>
      </w:r>
      <w:proofErr w:type="spellEnd"/>
      <w:r w:rsidRPr="007A4135">
        <w:rPr>
          <w:highlight w:val="yellow"/>
        </w:rPr>
        <w:t xml:space="preserve"> of </w:t>
      </w:r>
      <w:proofErr w:type="spellStart"/>
      <w:r w:rsidRPr="007A4135">
        <w:rPr>
          <w:highlight w:val="yellow"/>
        </w:rPr>
        <w:t>this</w:t>
      </w:r>
      <w:proofErr w:type="spellEnd"/>
      <w:r w:rsidRPr="007A4135">
        <w:rPr>
          <w:highlight w:val="yellow"/>
        </w:rPr>
        <w:t xml:space="preserve"> </w:t>
      </w:r>
      <w:proofErr w:type="spellStart"/>
      <w:r w:rsidRPr="007A4135">
        <w:rPr>
          <w:highlight w:val="yellow"/>
        </w:rPr>
        <w:t>manuscript</w:t>
      </w:r>
      <w:proofErr w:type="spellEnd"/>
      <w:r w:rsidRPr="007A4135">
        <w:rPr>
          <w:highlight w:val="yellow"/>
        </w:rPr>
        <w:t xml:space="preserve">. </w:t>
      </w:r>
    </w:p>
    <w:p w14:paraId="61EDD9B9" w14:textId="77777777" w:rsidR="00D0098F" w:rsidRPr="007A4135" w:rsidRDefault="00D0098F" w:rsidP="00D0098F">
      <w:pPr>
        <w:rPr>
          <w:highlight w:val="yellow"/>
        </w:rPr>
      </w:pPr>
      <w:r w:rsidRPr="007A4135">
        <w:rPr>
          <w:highlight w:val="yellow"/>
        </w:rPr>
        <w:t xml:space="preserve">Option </w:t>
      </w:r>
      <w:proofErr w:type="gramStart"/>
      <w:r w:rsidRPr="007A4135">
        <w:rPr>
          <w:highlight w:val="yellow"/>
        </w:rPr>
        <w:t>2:</w:t>
      </w:r>
      <w:proofErr w:type="gramEnd"/>
      <w:r w:rsidRPr="007A4135">
        <w:rPr>
          <w:highlight w:val="yellow"/>
        </w:rPr>
        <w:t xml:space="preserve"> </w:t>
      </w:r>
    </w:p>
    <w:p w14:paraId="7CC66858" w14:textId="77777777" w:rsidR="00D0098F" w:rsidRPr="007A4135" w:rsidRDefault="00D0098F" w:rsidP="00D0098F">
      <w:pPr>
        <w:rPr>
          <w:highlight w:val="yellow"/>
        </w:rPr>
      </w:pPr>
      <w:proofErr w:type="spellStart"/>
      <w:r w:rsidRPr="007A4135">
        <w:rPr>
          <w:highlight w:val="yellow"/>
        </w:rPr>
        <w:t>Author</w:t>
      </w:r>
      <w:proofErr w:type="spellEnd"/>
      <w:r w:rsidRPr="007A4135">
        <w:rPr>
          <w:highlight w:val="yellow"/>
        </w:rPr>
        <w:t xml:space="preserve">(s) </w:t>
      </w:r>
      <w:proofErr w:type="spellStart"/>
      <w:r w:rsidRPr="007A4135">
        <w:rPr>
          <w:highlight w:val="yellow"/>
        </w:rPr>
        <w:t>hereby</w:t>
      </w:r>
      <w:proofErr w:type="spellEnd"/>
      <w:r w:rsidRPr="007A4135">
        <w:rPr>
          <w:highlight w:val="yellow"/>
        </w:rPr>
        <w:t xml:space="preserve"> </w:t>
      </w:r>
      <w:proofErr w:type="spellStart"/>
      <w:r w:rsidRPr="007A4135">
        <w:rPr>
          <w:highlight w:val="yellow"/>
        </w:rPr>
        <w:t>declare</w:t>
      </w:r>
      <w:proofErr w:type="spellEnd"/>
      <w:r w:rsidRPr="007A4135">
        <w:rPr>
          <w:highlight w:val="yellow"/>
        </w:rPr>
        <w:t xml:space="preserve"> </w:t>
      </w:r>
      <w:proofErr w:type="spellStart"/>
      <w:r w:rsidRPr="007A4135">
        <w:rPr>
          <w:highlight w:val="yellow"/>
        </w:rPr>
        <w:t>that</w:t>
      </w:r>
      <w:proofErr w:type="spellEnd"/>
      <w:r w:rsidRPr="007A4135">
        <w:rPr>
          <w:highlight w:val="yellow"/>
        </w:rPr>
        <w:t xml:space="preserve"> </w:t>
      </w:r>
      <w:proofErr w:type="spellStart"/>
      <w:r w:rsidRPr="007A4135">
        <w:rPr>
          <w:highlight w:val="yellow"/>
        </w:rPr>
        <w:t>generative</w:t>
      </w:r>
      <w:proofErr w:type="spellEnd"/>
      <w:r w:rsidRPr="007A4135">
        <w:rPr>
          <w:highlight w:val="yellow"/>
        </w:rPr>
        <w:t xml:space="preserve"> AI technologies </w:t>
      </w:r>
      <w:proofErr w:type="spellStart"/>
      <w:r w:rsidRPr="007A4135">
        <w:rPr>
          <w:highlight w:val="yellow"/>
        </w:rPr>
        <w:t>such</w:t>
      </w:r>
      <w:proofErr w:type="spellEnd"/>
      <w:r w:rsidRPr="007A4135">
        <w:rPr>
          <w:highlight w:val="yellow"/>
        </w:rPr>
        <w:t xml:space="preserve"> as Large </w:t>
      </w:r>
      <w:proofErr w:type="spellStart"/>
      <w:r w:rsidRPr="007A4135">
        <w:rPr>
          <w:highlight w:val="yellow"/>
        </w:rPr>
        <w:t>Language</w:t>
      </w:r>
      <w:proofErr w:type="spellEnd"/>
      <w:r w:rsidRPr="007A4135">
        <w:rPr>
          <w:highlight w:val="yellow"/>
        </w:rPr>
        <w:t xml:space="preserve"> </w:t>
      </w:r>
      <w:proofErr w:type="spellStart"/>
      <w:r w:rsidRPr="007A4135">
        <w:rPr>
          <w:highlight w:val="yellow"/>
        </w:rPr>
        <w:t>Models</w:t>
      </w:r>
      <w:proofErr w:type="spellEnd"/>
      <w:r w:rsidRPr="007A4135">
        <w:rPr>
          <w:highlight w:val="yellow"/>
        </w:rPr>
        <w:t xml:space="preserve">, etc. have been </w:t>
      </w:r>
      <w:proofErr w:type="spellStart"/>
      <w:r w:rsidRPr="007A4135">
        <w:rPr>
          <w:highlight w:val="yellow"/>
        </w:rPr>
        <w:t>used</w:t>
      </w:r>
      <w:proofErr w:type="spellEnd"/>
      <w:r w:rsidRPr="007A4135">
        <w:rPr>
          <w:highlight w:val="yellow"/>
        </w:rPr>
        <w:t xml:space="preserve"> </w:t>
      </w:r>
      <w:proofErr w:type="spellStart"/>
      <w:r w:rsidRPr="007A4135">
        <w:rPr>
          <w:highlight w:val="yellow"/>
        </w:rPr>
        <w:t>during</w:t>
      </w:r>
      <w:proofErr w:type="spellEnd"/>
      <w:r w:rsidRPr="007A4135">
        <w:rPr>
          <w:highlight w:val="yellow"/>
        </w:rPr>
        <w:t xml:space="preserve"> the </w:t>
      </w:r>
      <w:proofErr w:type="spellStart"/>
      <w:r w:rsidRPr="007A4135">
        <w:rPr>
          <w:highlight w:val="yellow"/>
        </w:rPr>
        <w:t>writing</w:t>
      </w:r>
      <w:proofErr w:type="spellEnd"/>
      <w:r w:rsidRPr="007A4135">
        <w:rPr>
          <w:highlight w:val="yellow"/>
        </w:rPr>
        <w:t xml:space="preserve"> or </w:t>
      </w:r>
      <w:proofErr w:type="spellStart"/>
      <w:r w:rsidRPr="007A4135">
        <w:rPr>
          <w:highlight w:val="yellow"/>
        </w:rPr>
        <w:t>editing</w:t>
      </w:r>
      <w:proofErr w:type="spellEnd"/>
      <w:r w:rsidRPr="007A4135">
        <w:rPr>
          <w:highlight w:val="yellow"/>
        </w:rPr>
        <w:t xml:space="preserve"> of </w:t>
      </w:r>
      <w:proofErr w:type="spellStart"/>
      <w:r w:rsidRPr="007A4135">
        <w:rPr>
          <w:highlight w:val="yellow"/>
        </w:rPr>
        <w:t>manuscripts</w:t>
      </w:r>
      <w:proofErr w:type="spellEnd"/>
      <w:r w:rsidRPr="007A4135">
        <w:rPr>
          <w:highlight w:val="yellow"/>
        </w:rPr>
        <w:t xml:space="preserve">. This </w:t>
      </w:r>
      <w:proofErr w:type="spellStart"/>
      <w:r w:rsidRPr="007A4135">
        <w:rPr>
          <w:highlight w:val="yellow"/>
        </w:rPr>
        <w:t>explanation</w:t>
      </w:r>
      <w:proofErr w:type="spellEnd"/>
      <w:r w:rsidRPr="007A4135">
        <w:rPr>
          <w:highlight w:val="yellow"/>
        </w:rPr>
        <w:t xml:space="preserve"> </w:t>
      </w:r>
      <w:proofErr w:type="spellStart"/>
      <w:r w:rsidRPr="007A4135">
        <w:rPr>
          <w:highlight w:val="yellow"/>
        </w:rPr>
        <w:t>will</w:t>
      </w:r>
      <w:proofErr w:type="spellEnd"/>
      <w:r w:rsidRPr="007A4135">
        <w:rPr>
          <w:highlight w:val="yellow"/>
        </w:rPr>
        <w:t xml:space="preserve"> </w:t>
      </w:r>
      <w:proofErr w:type="spellStart"/>
      <w:r w:rsidRPr="007A4135">
        <w:rPr>
          <w:highlight w:val="yellow"/>
        </w:rPr>
        <w:t>include</w:t>
      </w:r>
      <w:proofErr w:type="spellEnd"/>
      <w:r w:rsidRPr="007A4135">
        <w:rPr>
          <w:highlight w:val="yellow"/>
        </w:rPr>
        <w:t xml:space="preserve"> the </w:t>
      </w:r>
      <w:proofErr w:type="spellStart"/>
      <w:r w:rsidRPr="007A4135">
        <w:rPr>
          <w:highlight w:val="yellow"/>
        </w:rPr>
        <w:t>name</w:t>
      </w:r>
      <w:proofErr w:type="spellEnd"/>
      <w:r w:rsidRPr="007A4135">
        <w:rPr>
          <w:highlight w:val="yellow"/>
        </w:rPr>
        <w:t xml:space="preserve">, version, model, and source of the </w:t>
      </w:r>
      <w:proofErr w:type="spellStart"/>
      <w:r w:rsidRPr="007A4135">
        <w:rPr>
          <w:highlight w:val="yellow"/>
        </w:rPr>
        <w:t>generative</w:t>
      </w:r>
      <w:proofErr w:type="spellEnd"/>
      <w:r w:rsidRPr="007A4135">
        <w:rPr>
          <w:highlight w:val="yellow"/>
        </w:rPr>
        <w:t xml:space="preserve"> AI </w:t>
      </w:r>
      <w:proofErr w:type="spellStart"/>
      <w:r w:rsidRPr="007A4135">
        <w:rPr>
          <w:highlight w:val="yellow"/>
        </w:rPr>
        <w:t>technology</w:t>
      </w:r>
      <w:proofErr w:type="spellEnd"/>
      <w:r w:rsidRPr="007A4135">
        <w:rPr>
          <w:highlight w:val="yellow"/>
        </w:rPr>
        <w:t xml:space="preserve"> and as </w:t>
      </w:r>
      <w:proofErr w:type="spellStart"/>
      <w:r w:rsidRPr="007A4135">
        <w:rPr>
          <w:highlight w:val="yellow"/>
        </w:rPr>
        <w:t>well</w:t>
      </w:r>
      <w:proofErr w:type="spellEnd"/>
      <w:r w:rsidRPr="007A4135">
        <w:rPr>
          <w:highlight w:val="yellow"/>
        </w:rPr>
        <w:t xml:space="preserve"> as all input prompts </w:t>
      </w:r>
      <w:proofErr w:type="spellStart"/>
      <w:r w:rsidRPr="007A4135">
        <w:rPr>
          <w:highlight w:val="yellow"/>
        </w:rPr>
        <w:t>provided</w:t>
      </w:r>
      <w:proofErr w:type="spellEnd"/>
      <w:r w:rsidRPr="007A4135">
        <w:rPr>
          <w:highlight w:val="yellow"/>
        </w:rPr>
        <w:t xml:space="preserve"> to the </w:t>
      </w:r>
      <w:proofErr w:type="spellStart"/>
      <w:r w:rsidRPr="007A4135">
        <w:rPr>
          <w:highlight w:val="yellow"/>
        </w:rPr>
        <w:t>generative</w:t>
      </w:r>
      <w:proofErr w:type="spellEnd"/>
      <w:r w:rsidRPr="007A4135">
        <w:rPr>
          <w:highlight w:val="yellow"/>
        </w:rPr>
        <w:t xml:space="preserve"> AI </w:t>
      </w:r>
      <w:proofErr w:type="spellStart"/>
      <w:r w:rsidRPr="007A4135">
        <w:rPr>
          <w:highlight w:val="yellow"/>
        </w:rPr>
        <w:t>technology</w:t>
      </w:r>
      <w:proofErr w:type="spellEnd"/>
    </w:p>
    <w:p w14:paraId="629DE583" w14:textId="77777777" w:rsidR="00D0098F" w:rsidRPr="007A4135" w:rsidRDefault="00D0098F" w:rsidP="00D0098F">
      <w:pPr>
        <w:rPr>
          <w:highlight w:val="yellow"/>
        </w:rPr>
      </w:pPr>
      <w:r w:rsidRPr="007A4135">
        <w:rPr>
          <w:highlight w:val="yellow"/>
        </w:rPr>
        <w:t xml:space="preserve">Details of the AI usage are </w:t>
      </w:r>
      <w:proofErr w:type="spellStart"/>
      <w:r w:rsidRPr="007A4135">
        <w:rPr>
          <w:highlight w:val="yellow"/>
        </w:rPr>
        <w:t>given</w:t>
      </w:r>
      <w:proofErr w:type="spellEnd"/>
      <w:r w:rsidRPr="007A4135">
        <w:rPr>
          <w:highlight w:val="yellow"/>
        </w:rPr>
        <w:t xml:space="preserve"> </w:t>
      </w:r>
      <w:proofErr w:type="spellStart"/>
      <w:proofErr w:type="gramStart"/>
      <w:r w:rsidRPr="007A4135">
        <w:rPr>
          <w:highlight w:val="yellow"/>
        </w:rPr>
        <w:t>below</w:t>
      </w:r>
      <w:proofErr w:type="spellEnd"/>
      <w:r w:rsidRPr="007A4135">
        <w:rPr>
          <w:highlight w:val="yellow"/>
        </w:rPr>
        <w:t>:</w:t>
      </w:r>
      <w:proofErr w:type="gramEnd"/>
    </w:p>
    <w:p w14:paraId="5E7AC202" w14:textId="77777777" w:rsidR="00D0098F" w:rsidRPr="007A4135" w:rsidRDefault="00D0098F" w:rsidP="00D0098F">
      <w:pPr>
        <w:rPr>
          <w:highlight w:val="yellow"/>
        </w:rPr>
      </w:pPr>
      <w:r w:rsidRPr="007A4135">
        <w:rPr>
          <w:highlight w:val="yellow"/>
        </w:rPr>
        <w:t>1.</w:t>
      </w:r>
    </w:p>
    <w:p w14:paraId="2671A464" w14:textId="77777777" w:rsidR="00D0098F" w:rsidRPr="007A4135" w:rsidRDefault="00D0098F" w:rsidP="00D0098F">
      <w:pPr>
        <w:rPr>
          <w:highlight w:val="yellow"/>
        </w:rPr>
      </w:pPr>
      <w:r w:rsidRPr="007A4135">
        <w:rPr>
          <w:highlight w:val="yellow"/>
        </w:rPr>
        <w:t>2.</w:t>
      </w:r>
    </w:p>
    <w:p w14:paraId="70BC45C0" w14:textId="77777777" w:rsidR="00D0098F" w:rsidRPr="00D047BB" w:rsidRDefault="00D0098F" w:rsidP="00D0098F">
      <w:r w:rsidRPr="007A4135">
        <w:rPr>
          <w:highlight w:val="yellow"/>
        </w:rPr>
        <w:t>3.</w:t>
      </w:r>
    </w:p>
    <w:p w14:paraId="02ADACD6" w14:textId="77777777" w:rsidR="00D0098F" w:rsidRPr="00173A5B" w:rsidRDefault="00D0098F" w:rsidP="00173A5B">
      <w:pPr>
        <w:tabs>
          <w:tab w:val="left" w:pos="3770"/>
        </w:tabs>
        <w:spacing w:after="0" w:line="360" w:lineRule="auto"/>
        <w:rPr>
          <w:rFonts w:ascii="Arial Black" w:hAnsi="Arial Black" w:cs="Times New Roman"/>
          <w:sz w:val="20"/>
          <w:szCs w:val="20"/>
          <w:lang/>
        </w:rPr>
      </w:pPr>
      <w:bookmarkStart w:id="4" w:name="_GoBack"/>
      <w:bookmarkEnd w:id="4"/>
    </w:p>
    <w:p w14:paraId="3FC4E1CF" w14:textId="77777777" w:rsidR="00A96C2E" w:rsidRDefault="00A96C2E" w:rsidP="000A490B">
      <w:pPr>
        <w:tabs>
          <w:tab w:val="left" w:pos="3770"/>
        </w:tabs>
        <w:spacing w:after="0" w:line="360" w:lineRule="auto"/>
        <w:rPr>
          <w:rFonts w:ascii="Arial" w:hAnsi="Arial" w:cs="Arial"/>
          <w:b/>
          <w:bCs/>
        </w:rPr>
      </w:pPr>
    </w:p>
    <w:p w14:paraId="1E4DE5E4" w14:textId="77777777" w:rsidR="005D76DA" w:rsidRDefault="005D76DA" w:rsidP="00CE64D2">
      <w:pPr>
        <w:spacing w:after="0" w:line="360" w:lineRule="auto"/>
        <w:rPr>
          <w:rFonts w:ascii="Arial" w:hAnsi="Arial" w:cs="Arial"/>
          <w:b/>
          <w:bCs/>
        </w:rPr>
      </w:pPr>
      <w:r w:rsidRPr="005D76DA">
        <w:rPr>
          <w:rFonts w:ascii="Arial" w:hAnsi="Arial" w:cs="Arial"/>
          <w:b/>
          <w:bCs/>
        </w:rPr>
        <w:t>BIBLIOGRAPHICAL REFERENCES</w:t>
      </w:r>
    </w:p>
    <w:bookmarkEnd w:id="0"/>
    <w:p w14:paraId="364545DE"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proofErr w:type="spellStart"/>
      <w:r w:rsidRPr="00485CB4">
        <w:rPr>
          <w:rFonts w:ascii="Arial Black" w:hAnsi="Arial Black"/>
          <w:sz w:val="20"/>
          <w:szCs w:val="20"/>
        </w:rPr>
        <w:t>Ater</w:t>
      </w:r>
      <w:proofErr w:type="spellEnd"/>
      <w:r w:rsidRPr="00485CB4">
        <w:rPr>
          <w:rFonts w:ascii="Arial Black" w:hAnsi="Arial Black"/>
          <w:sz w:val="20"/>
          <w:szCs w:val="20"/>
        </w:rPr>
        <w:t xml:space="preserve">, M., &amp; </w:t>
      </w:r>
      <w:proofErr w:type="spellStart"/>
      <w:r w:rsidRPr="00485CB4">
        <w:rPr>
          <w:rFonts w:ascii="Arial Black" w:hAnsi="Arial Black"/>
          <w:sz w:val="20"/>
          <w:szCs w:val="20"/>
        </w:rPr>
        <w:t>Hmimsa</w:t>
      </w:r>
      <w:proofErr w:type="spellEnd"/>
      <w:r w:rsidRPr="00485CB4">
        <w:rPr>
          <w:rFonts w:ascii="Arial Black" w:hAnsi="Arial Black"/>
          <w:sz w:val="20"/>
          <w:szCs w:val="20"/>
        </w:rPr>
        <w:t xml:space="preserve">, Y. (2008). </w:t>
      </w:r>
      <w:proofErr w:type="spellStart"/>
      <w:r w:rsidRPr="00485CB4">
        <w:rPr>
          <w:rFonts w:ascii="Arial Black" w:hAnsi="Arial Black"/>
          <w:sz w:val="20"/>
          <w:szCs w:val="20"/>
        </w:rPr>
        <w:t>Traditional</w:t>
      </w:r>
      <w:proofErr w:type="spellEnd"/>
      <w:r w:rsidRPr="00485CB4">
        <w:rPr>
          <w:rFonts w:ascii="Arial Black" w:hAnsi="Arial Black"/>
          <w:sz w:val="20"/>
          <w:szCs w:val="20"/>
        </w:rPr>
        <w:t xml:space="preserve"> agriculture and </w:t>
      </w:r>
      <w:proofErr w:type="spellStart"/>
      <w:r w:rsidRPr="00485CB4">
        <w:rPr>
          <w:rFonts w:ascii="Arial Black" w:hAnsi="Arial Black"/>
          <w:sz w:val="20"/>
          <w:szCs w:val="20"/>
        </w:rPr>
        <w:t>agrodiversity</w:t>
      </w:r>
      <w:proofErr w:type="spellEnd"/>
      <w:r w:rsidRPr="00485CB4">
        <w:rPr>
          <w:rFonts w:ascii="Arial Black" w:hAnsi="Arial Black"/>
          <w:sz w:val="20"/>
          <w:szCs w:val="20"/>
        </w:rPr>
        <w:t xml:space="preserve"> in the Oued </w:t>
      </w:r>
      <w:proofErr w:type="spellStart"/>
      <w:r w:rsidRPr="00485CB4">
        <w:rPr>
          <w:rFonts w:ascii="Arial Black" w:hAnsi="Arial Black"/>
          <w:sz w:val="20"/>
          <w:szCs w:val="20"/>
        </w:rPr>
        <w:t>Laou</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watershed</w:t>
      </w:r>
      <w:proofErr w:type="spellEnd"/>
      <w:r w:rsidRPr="00485CB4">
        <w:rPr>
          <w:rFonts w:ascii="Arial Black" w:hAnsi="Arial Black"/>
          <w:sz w:val="20"/>
          <w:szCs w:val="20"/>
        </w:rPr>
        <w:t>. </w:t>
      </w:r>
      <w:proofErr w:type="spellStart"/>
      <w:r w:rsidRPr="00485CB4">
        <w:rPr>
          <w:rFonts w:ascii="Arial Black" w:hAnsi="Arial Black"/>
          <w:i/>
          <w:iCs/>
          <w:sz w:val="20"/>
          <w:szCs w:val="20"/>
        </w:rPr>
        <w:t>From</w:t>
      </w:r>
      <w:proofErr w:type="spellEnd"/>
      <w:r w:rsidRPr="00485CB4">
        <w:rPr>
          <w:rFonts w:ascii="Arial Black" w:hAnsi="Arial Black"/>
          <w:i/>
          <w:iCs/>
          <w:sz w:val="20"/>
          <w:szCs w:val="20"/>
        </w:rPr>
        <w:t xml:space="preserve"> the </w:t>
      </w:r>
      <w:proofErr w:type="spellStart"/>
      <w:r w:rsidRPr="00485CB4">
        <w:rPr>
          <w:rFonts w:ascii="Arial Black" w:hAnsi="Arial Black"/>
          <w:i/>
          <w:iCs/>
          <w:sz w:val="20"/>
          <w:szCs w:val="20"/>
        </w:rPr>
        <w:t>watershed</w:t>
      </w:r>
      <w:proofErr w:type="spellEnd"/>
      <w:r w:rsidRPr="00485CB4">
        <w:rPr>
          <w:rFonts w:ascii="Arial Black" w:hAnsi="Arial Black"/>
          <w:i/>
          <w:iCs/>
          <w:sz w:val="20"/>
          <w:szCs w:val="20"/>
        </w:rPr>
        <w:t xml:space="preserve"> to</w:t>
      </w:r>
      <w:r w:rsidRPr="00485CB4">
        <w:rPr>
          <w:rFonts w:ascii="Arial Black" w:hAnsi="Arial Black"/>
          <w:sz w:val="20"/>
          <w:szCs w:val="20"/>
        </w:rPr>
        <w:t>.</w:t>
      </w:r>
    </w:p>
    <w:p w14:paraId="1A963662"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 xml:space="preserve">Bambara, D., Sawadogo, J., Kaboré, O., &amp; Bilgo, A. (2019). </w:t>
      </w:r>
      <w:proofErr w:type="spellStart"/>
      <w:r w:rsidRPr="00485CB4">
        <w:rPr>
          <w:rFonts w:ascii="Arial Black" w:hAnsi="Arial Black"/>
          <w:sz w:val="20"/>
          <w:szCs w:val="20"/>
        </w:rPr>
        <w:t>Variability</w:t>
      </w:r>
      <w:proofErr w:type="spellEnd"/>
      <w:r w:rsidRPr="00485CB4">
        <w:rPr>
          <w:rFonts w:ascii="Arial Black" w:hAnsi="Arial Black"/>
          <w:sz w:val="20"/>
          <w:szCs w:val="20"/>
        </w:rPr>
        <w:t xml:space="preserve"> of certain </w:t>
      </w:r>
      <w:proofErr w:type="spellStart"/>
      <w:r w:rsidRPr="00485CB4">
        <w:rPr>
          <w:rFonts w:ascii="Arial Black" w:hAnsi="Arial Black"/>
          <w:sz w:val="20"/>
          <w:szCs w:val="20"/>
        </w:rPr>
        <w:t>climatic</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parameters</w:t>
      </w:r>
      <w:proofErr w:type="spellEnd"/>
      <w:r w:rsidRPr="00485CB4">
        <w:rPr>
          <w:rFonts w:ascii="Arial Black" w:hAnsi="Arial Black"/>
          <w:sz w:val="20"/>
          <w:szCs w:val="20"/>
        </w:rPr>
        <w:t xml:space="preserve"> and impacts on the duration of </w:t>
      </w:r>
      <w:proofErr w:type="spellStart"/>
      <w:r w:rsidRPr="00485CB4">
        <w:rPr>
          <w:rFonts w:ascii="Arial Black" w:hAnsi="Arial Black"/>
          <w:sz w:val="20"/>
          <w:szCs w:val="20"/>
        </w:rPr>
        <w:t>wet</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periods</w:t>
      </w:r>
      <w:proofErr w:type="spellEnd"/>
      <w:r w:rsidRPr="00485CB4">
        <w:rPr>
          <w:rFonts w:ascii="Arial Black" w:hAnsi="Arial Black"/>
          <w:sz w:val="20"/>
          <w:szCs w:val="20"/>
        </w:rPr>
        <w:t xml:space="preserve"> of plant </w:t>
      </w:r>
      <w:proofErr w:type="spellStart"/>
      <w:r w:rsidRPr="00485CB4">
        <w:rPr>
          <w:rFonts w:ascii="Arial Black" w:hAnsi="Arial Black"/>
          <w:sz w:val="20"/>
          <w:szCs w:val="20"/>
        </w:rPr>
        <w:t>development</w:t>
      </w:r>
      <w:proofErr w:type="spellEnd"/>
      <w:r w:rsidRPr="00485CB4">
        <w:rPr>
          <w:rFonts w:ascii="Arial Black" w:hAnsi="Arial Black"/>
          <w:sz w:val="20"/>
          <w:szCs w:val="20"/>
        </w:rPr>
        <w:t xml:space="preserve"> at one station in central Burkina Faso and </w:t>
      </w:r>
      <w:proofErr w:type="spellStart"/>
      <w:r w:rsidRPr="00485CB4">
        <w:rPr>
          <w:rFonts w:ascii="Arial Black" w:hAnsi="Arial Black"/>
          <w:sz w:val="20"/>
          <w:szCs w:val="20"/>
        </w:rPr>
        <w:t>another</w:t>
      </w:r>
      <w:proofErr w:type="spellEnd"/>
      <w:r w:rsidRPr="00485CB4">
        <w:rPr>
          <w:rFonts w:ascii="Arial Black" w:hAnsi="Arial Black"/>
          <w:sz w:val="20"/>
          <w:szCs w:val="20"/>
        </w:rPr>
        <w:t xml:space="preserve"> in </w:t>
      </w:r>
      <w:proofErr w:type="spellStart"/>
      <w:r w:rsidRPr="00485CB4">
        <w:rPr>
          <w:rFonts w:ascii="Arial Black" w:hAnsi="Arial Black"/>
          <w:sz w:val="20"/>
          <w:szCs w:val="20"/>
        </w:rPr>
        <w:t>northern</w:t>
      </w:r>
      <w:proofErr w:type="spellEnd"/>
      <w:r w:rsidRPr="00485CB4">
        <w:rPr>
          <w:rFonts w:ascii="Arial Black" w:hAnsi="Arial Black"/>
          <w:sz w:val="20"/>
          <w:szCs w:val="20"/>
        </w:rPr>
        <w:t xml:space="preserve"> Burkina Faso. </w:t>
      </w:r>
      <w:proofErr w:type="spellStart"/>
      <w:r w:rsidRPr="00485CB4">
        <w:rPr>
          <w:rFonts w:ascii="Arial Black" w:hAnsi="Arial Black"/>
          <w:i/>
          <w:iCs/>
          <w:sz w:val="20"/>
          <w:szCs w:val="20"/>
        </w:rPr>
        <w:t>VertigO</w:t>
      </w:r>
      <w:proofErr w:type="spellEnd"/>
      <w:r w:rsidRPr="00485CB4">
        <w:rPr>
          <w:rFonts w:ascii="Arial Black" w:hAnsi="Arial Black"/>
          <w:sz w:val="20"/>
          <w:szCs w:val="20"/>
        </w:rPr>
        <w:t>, </w:t>
      </w:r>
      <w:r w:rsidRPr="00485CB4">
        <w:rPr>
          <w:rFonts w:ascii="Arial Black" w:hAnsi="Arial Black"/>
          <w:i/>
          <w:iCs/>
          <w:sz w:val="20"/>
          <w:szCs w:val="20"/>
        </w:rPr>
        <w:t>19</w:t>
      </w:r>
      <w:r w:rsidRPr="00485CB4">
        <w:rPr>
          <w:rFonts w:ascii="Arial Black" w:hAnsi="Arial Black"/>
          <w:sz w:val="20"/>
          <w:szCs w:val="20"/>
        </w:rPr>
        <w:t>(1).</w:t>
      </w:r>
    </w:p>
    <w:p w14:paraId="0FB11430"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proofErr w:type="spellStart"/>
      <w:r w:rsidRPr="00485CB4">
        <w:rPr>
          <w:rFonts w:ascii="Arial Black" w:hAnsi="Arial Black"/>
          <w:sz w:val="20"/>
          <w:szCs w:val="20"/>
        </w:rPr>
        <w:t>Bognini</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Siégnounou</w:t>
      </w:r>
      <w:proofErr w:type="spellEnd"/>
      <w:r w:rsidRPr="00485CB4">
        <w:rPr>
          <w:rFonts w:ascii="Arial Black" w:hAnsi="Arial Black"/>
          <w:sz w:val="20"/>
          <w:szCs w:val="20"/>
        </w:rPr>
        <w:t>. (2023). </w:t>
      </w:r>
      <w:r w:rsidRPr="00485CB4">
        <w:rPr>
          <w:rFonts w:ascii="Arial Black" w:hAnsi="Arial Black"/>
          <w:i/>
          <w:iCs/>
          <w:sz w:val="20"/>
          <w:szCs w:val="20"/>
        </w:rPr>
        <w:t xml:space="preserve">Impacts of </w:t>
      </w:r>
      <w:proofErr w:type="spellStart"/>
      <w:r w:rsidRPr="00485CB4">
        <w:rPr>
          <w:rFonts w:ascii="Arial Black" w:hAnsi="Arial Black"/>
          <w:i/>
          <w:iCs/>
          <w:sz w:val="20"/>
          <w:szCs w:val="20"/>
        </w:rPr>
        <w:t>climate</w:t>
      </w:r>
      <w:proofErr w:type="spellEnd"/>
      <w:r w:rsidRPr="00485CB4">
        <w:rPr>
          <w:rFonts w:ascii="Arial Black" w:hAnsi="Arial Black"/>
          <w:i/>
          <w:iCs/>
          <w:sz w:val="20"/>
          <w:szCs w:val="20"/>
        </w:rPr>
        <w:t xml:space="preserve"> change on </w:t>
      </w:r>
      <w:proofErr w:type="spellStart"/>
      <w:r w:rsidRPr="00485CB4">
        <w:rPr>
          <w:rFonts w:ascii="Arial Black" w:hAnsi="Arial Black"/>
          <w:i/>
          <w:iCs/>
          <w:sz w:val="20"/>
          <w:szCs w:val="20"/>
        </w:rPr>
        <w:t>vegetable</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crops</w:t>
      </w:r>
      <w:proofErr w:type="spellEnd"/>
      <w:r w:rsidRPr="00485CB4">
        <w:rPr>
          <w:rFonts w:ascii="Arial Black" w:hAnsi="Arial Black"/>
          <w:i/>
          <w:iCs/>
          <w:sz w:val="20"/>
          <w:szCs w:val="20"/>
        </w:rPr>
        <w:t xml:space="preserve"> in </w:t>
      </w:r>
      <w:proofErr w:type="spellStart"/>
      <w:r w:rsidRPr="00485CB4">
        <w:rPr>
          <w:rFonts w:ascii="Arial Black" w:hAnsi="Arial Black"/>
          <w:i/>
          <w:iCs/>
          <w:sz w:val="20"/>
          <w:szCs w:val="20"/>
        </w:rPr>
        <w:t>northern</w:t>
      </w:r>
      <w:proofErr w:type="spellEnd"/>
      <w:r w:rsidRPr="00485CB4">
        <w:rPr>
          <w:rFonts w:ascii="Arial Black" w:hAnsi="Arial Black"/>
          <w:i/>
          <w:iCs/>
          <w:sz w:val="20"/>
          <w:szCs w:val="20"/>
        </w:rPr>
        <w:t xml:space="preserve"> Burkina </w:t>
      </w:r>
      <w:proofErr w:type="gramStart"/>
      <w:r w:rsidRPr="00485CB4">
        <w:rPr>
          <w:rFonts w:ascii="Arial Black" w:hAnsi="Arial Black"/>
          <w:i/>
          <w:iCs/>
          <w:sz w:val="20"/>
          <w:szCs w:val="20"/>
        </w:rPr>
        <w:t>Faso:</w:t>
      </w:r>
      <w:proofErr w:type="gramEnd"/>
      <w:r w:rsidRPr="00485CB4">
        <w:rPr>
          <w:rFonts w:ascii="Arial Black" w:hAnsi="Arial Black"/>
          <w:i/>
          <w:iCs/>
          <w:sz w:val="20"/>
          <w:szCs w:val="20"/>
        </w:rPr>
        <w:t xml:space="preserve"> The case of Ouahigouya</w:t>
      </w:r>
      <w:r w:rsidRPr="00485CB4">
        <w:rPr>
          <w:rFonts w:ascii="Arial Black" w:hAnsi="Arial Black"/>
          <w:sz w:val="20"/>
          <w:szCs w:val="20"/>
        </w:rPr>
        <w:t> [Report]. </w:t>
      </w:r>
      <w:hyperlink r:id="rId17" w:tgtFrame="_blank" w:history="1">
        <w:r w:rsidRPr="00485CB4">
          <w:rPr>
            <w:rStyle w:val="Hyperlink"/>
            <w:rFonts w:ascii="Arial Black" w:hAnsi="Arial Black"/>
            <w:b/>
            <w:bCs/>
            <w:sz w:val="20"/>
            <w:szCs w:val="20"/>
          </w:rPr>
          <w:t>https://weadapt.org/wp-content/uploads/2023/05/4f736de8d6aecbognini-draft-final-cc-projectplace-132140-.pdf</w:t>
        </w:r>
      </w:hyperlink>
    </w:p>
    <w:p w14:paraId="17602CF6"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proofErr w:type="spellStart"/>
      <w:r w:rsidRPr="00485CB4">
        <w:rPr>
          <w:rFonts w:ascii="Arial Black" w:hAnsi="Arial Black"/>
          <w:sz w:val="20"/>
          <w:szCs w:val="20"/>
        </w:rPr>
        <w:lastRenderedPageBreak/>
        <w:t>Botongho</w:t>
      </w:r>
      <w:proofErr w:type="spellEnd"/>
      <w:r w:rsidRPr="00485CB4">
        <w:rPr>
          <w:rFonts w:ascii="Arial Black" w:hAnsi="Arial Black"/>
          <w:sz w:val="20"/>
          <w:szCs w:val="20"/>
        </w:rPr>
        <w:t>, K., &amp; Emma, T. N. P. (2015). </w:t>
      </w:r>
      <w:r w:rsidRPr="00485CB4">
        <w:rPr>
          <w:rFonts w:ascii="Arial Black" w:hAnsi="Arial Black"/>
          <w:i/>
          <w:iCs/>
          <w:sz w:val="20"/>
          <w:szCs w:val="20"/>
        </w:rPr>
        <w:t xml:space="preserve">Modeling a </w:t>
      </w:r>
      <w:proofErr w:type="spellStart"/>
      <w:r w:rsidRPr="00485CB4">
        <w:rPr>
          <w:rFonts w:ascii="Arial Black" w:hAnsi="Arial Black"/>
          <w:i/>
          <w:iCs/>
          <w:sz w:val="20"/>
          <w:szCs w:val="20"/>
        </w:rPr>
        <w:t>Sahelian</w:t>
      </w:r>
      <w:proofErr w:type="spellEnd"/>
      <w:r w:rsidRPr="00485CB4">
        <w:rPr>
          <w:rFonts w:ascii="Arial Black" w:hAnsi="Arial Black"/>
          <w:i/>
          <w:iCs/>
          <w:sz w:val="20"/>
          <w:szCs w:val="20"/>
        </w:rPr>
        <w:t xml:space="preserve"> water </w:t>
      </w:r>
      <w:proofErr w:type="spellStart"/>
      <w:r w:rsidRPr="00485CB4">
        <w:rPr>
          <w:rFonts w:ascii="Arial Black" w:hAnsi="Arial Black"/>
          <w:i/>
          <w:iCs/>
          <w:sz w:val="20"/>
          <w:szCs w:val="20"/>
        </w:rPr>
        <w:t>resource</w:t>
      </w:r>
      <w:proofErr w:type="spellEnd"/>
      <w:r w:rsidRPr="00485CB4">
        <w:rPr>
          <w:rFonts w:ascii="Arial Black" w:hAnsi="Arial Black"/>
          <w:i/>
          <w:iCs/>
          <w:sz w:val="20"/>
          <w:szCs w:val="20"/>
        </w:rPr>
        <w:t xml:space="preserve"> allocation </w:t>
      </w:r>
      <w:proofErr w:type="spellStart"/>
      <w:r w:rsidRPr="00485CB4">
        <w:rPr>
          <w:rFonts w:ascii="Arial Black" w:hAnsi="Arial Black"/>
          <w:i/>
          <w:iCs/>
          <w:sz w:val="20"/>
          <w:szCs w:val="20"/>
        </w:rPr>
        <w:t>under</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climate</w:t>
      </w:r>
      <w:proofErr w:type="spellEnd"/>
      <w:r w:rsidRPr="00485CB4">
        <w:rPr>
          <w:rFonts w:ascii="Arial Black" w:hAnsi="Arial Black"/>
          <w:i/>
          <w:iCs/>
          <w:sz w:val="20"/>
          <w:szCs w:val="20"/>
        </w:rPr>
        <w:t xml:space="preserve"> change and </w:t>
      </w:r>
      <w:proofErr w:type="spellStart"/>
      <w:r w:rsidRPr="00485CB4">
        <w:rPr>
          <w:rFonts w:ascii="Arial Black" w:hAnsi="Arial Black"/>
          <w:i/>
          <w:iCs/>
          <w:sz w:val="20"/>
          <w:szCs w:val="20"/>
        </w:rPr>
        <w:t>human</w:t>
      </w:r>
      <w:proofErr w:type="spellEnd"/>
      <w:r w:rsidRPr="00485CB4">
        <w:rPr>
          <w:rFonts w:ascii="Arial Black" w:hAnsi="Arial Black"/>
          <w:i/>
          <w:iCs/>
          <w:sz w:val="20"/>
          <w:szCs w:val="20"/>
        </w:rPr>
        <w:t xml:space="preserve"> </w:t>
      </w:r>
      <w:proofErr w:type="gramStart"/>
      <w:r w:rsidRPr="00485CB4">
        <w:rPr>
          <w:rFonts w:ascii="Arial Black" w:hAnsi="Arial Black"/>
          <w:i/>
          <w:iCs/>
          <w:sz w:val="20"/>
          <w:szCs w:val="20"/>
        </w:rPr>
        <w:t>pressure:</w:t>
      </w:r>
      <w:proofErr w:type="gramEnd"/>
      <w:r w:rsidRPr="00485CB4">
        <w:rPr>
          <w:rFonts w:ascii="Arial Black" w:hAnsi="Arial Black"/>
          <w:i/>
          <w:iCs/>
          <w:sz w:val="20"/>
          <w:szCs w:val="20"/>
        </w:rPr>
        <w:t xml:space="preserve"> Case of Loumbila dam in Burkina Faso</w:t>
      </w:r>
      <w:r w:rsidRPr="00485CB4">
        <w:rPr>
          <w:rFonts w:ascii="Arial Black" w:hAnsi="Arial Black"/>
          <w:sz w:val="20"/>
          <w:szCs w:val="20"/>
        </w:rPr>
        <w:t> [Doctoral dissertation, WASCAL].</w:t>
      </w:r>
    </w:p>
    <w:p w14:paraId="5FA9A3B2"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proofErr w:type="spellStart"/>
      <w:r w:rsidRPr="00485CB4">
        <w:rPr>
          <w:rFonts w:ascii="Arial Black" w:hAnsi="Arial Black"/>
          <w:sz w:val="20"/>
          <w:szCs w:val="20"/>
        </w:rPr>
        <w:t>Cangré</w:t>
      </w:r>
      <w:proofErr w:type="spellEnd"/>
      <w:r w:rsidRPr="00485CB4">
        <w:rPr>
          <w:rFonts w:ascii="Arial Black" w:hAnsi="Arial Black"/>
          <w:sz w:val="20"/>
          <w:szCs w:val="20"/>
        </w:rPr>
        <w:t xml:space="preserve">, M. C. E. D. M., &amp; Paré, E. (2015). Farmers' perceptions of </w:t>
      </w:r>
      <w:proofErr w:type="spellStart"/>
      <w:r w:rsidRPr="00485CB4">
        <w:rPr>
          <w:rFonts w:ascii="Arial Black" w:hAnsi="Arial Black"/>
          <w:sz w:val="20"/>
          <w:szCs w:val="20"/>
        </w:rPr>
        <w:t>climate</w:t>
      </w:r>
      <w:proofErr w:type="spellEnd"/>
      <w:r w:rsidRPr="00485CB4">
        <w:rPr>
          <w:rFonts w:ascii="Arial Black" w:hAnsi="Arial Black"/>
          <w:sz w:val="20"/>
          <w:szCs w:val="20"/>
        </w:rPr>
        <w:t xml:space="preserve"> change </w:t>
      </w:r>
      <w:proofErr w:type="spellStart"/>
      <w:r w:rsidRPr="00485CB4">
        <w:rPr>
          <w:rFonts w:ascii="Arial Black" w:hAnsi="Arial Black"/>
          <w:sz w:val="20"/>
          <w:szCs w:val="20"/>
        </w:rPr>
        <w:t>effects</w:t>
      </w:r>
      <w:proofErr w:type="spellEnd"/>
      <w:r w:rsidRPr="00485CB4">
        <w:rPr>
          <w:rFonts w:ascii="Arial Black" w:hAnsi="Arial Black"/>
          <w:sz w:val="20"/>
          <w:szCs w:val="20"/>
        </w:rPr>
        <w:t xml:space="preserve"> on </w:t>
      </w:r>
      <w:proofErr w:type="spellStart"/>
      <w:r w:rsidRPr="00485CB4">
        <w:rPr>
          <w:rFonts w:ascii="Arial Black" w:hAnsi="Arial Black"/>
          <w:sz w:val="20"/>
          <w:szCs w:val="20"/>
        </w:rPr>
        <w:t>shea</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trees</w:t>
      </w:r>
      <w:proofErr w:type="spellEnd"/>
      <w:r w:rsidRPr="00485CB4">
        <w:rPr>
          <w:rFonts w:ascii="Arial Black" w:hAnsi="Arial Black"/>
          <w:sz w:val="20"/>
          <w:szCs w:val="20"/>
        </w:rPr>
        <w:t xml:space="preserve"> and adaptation </w:t>
      </w:r>
      <w:proofErr w:type="spellStart"/>
      <w:r w:rsidRPr="00485CB4">
        <w:rPr>
          <w:rFonts w:ascii="Arial Black" w:hAnsi="Arial Black"/>
          <w:sz w:val="20"/>
          <w:szCs w:val="20"/>
        </w:rPr>
        <w:t>strategies</w:t>
      </w:r>
      <w:proofErr w:type="spellEnd"/>
      <w:r w:rsidRPr="00485CB4">
        <w:rPr>
          <w:rFonts w:ascii="Arial Black" w:hAnsi="Arial Black"/>
          <w:sz w:val="20"/>
          <w:szCs w:val="20"/>
        </w:rPr>
        <w:t xml:space="preserve"> in Burkina Faso. </w:t>
      </w:r>
      <w:r w:rsidRPr="00485CB4">
        <w:rPr>
          <w:rFonts w:ascii="Arial Black" w:hAnsi="Arial Black"/>
          <w:i/>
          <w:iCs/>
          <w:sz w:val="20"/>
          <w:szCs w:val="20"/>
        </w:rPr>
        <w:t xml:space="preserve">Natural and </w:t>
      </w:r>
      <w:proofErr w:type="spellStart"/>
      <w:r w:rsidRPr="00485CB4">
        <w:rPr>
          <w:rFonts w:ascii="Arial Black" w:hAnsi="Arial Black"/>
          <w:i/>
          <w:iCs/>
          <w:sz w:val="20"/>
          <w:szCs w:val="20"/>
        </w:rPr>
        <w:t>Applied</w:t>
      </w:r>
      <w:proofErr w:type="spellEnd"/>
      <w:r w:rsidRPr="00485CB4">
        <w:rPr>
          <w:rFonts w:ascii="Arial Black" w:hAnsi="Arial Black"/>
          <w:i/>
          <w:iCs/>
          <w:sz w:val="20"/>
          <w:szCs w:val="20"/>
        </w:rPr>
        <w:t xml:space="preserve"> Sciences</w:t>
      </w:r>
      <w:r w:rsidRPr="00485CB4">
        <w:rPr>
          <w:rFonts w:ascii="Arial Black" w:hAnsi="Arial Black"/>
          <w:sz w:val="20"/>
          <w:szCs w:val="20"/>
        </w:rPr>
        <w:t>, </w:t>
      </w:r>
      <w:r w:rsidRPr="00485CB4">
        <w:rPr>
          <w:rFonts w:ascii="Arial Black" w:hAnsi="Arial Black"/>
          <w:i/>
          <w:iCs/>
          <w:sz w:val="20"/>
          <w:szCs w:val="20"/>
        </w:rPr>
        <w:t>34</w:t>
      </w:r>
      <w:r w:rsidRPr="00485CB4">
        <w:rPr>
          <w:rFonts w:ascii="Arial Black" w:hAnsi="Arial Black"/>
          <w:sz w:val="20"/>
          <w:szCs w:val="20"/>
        </w:rPr>
        <w:t>, 81-92.</w:t>
      </w:r>
    </w:p>
    <w:p w14:paraId="09F9C4B3"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proofErr w:type="spellStart"/>
      <w:r w:rsidRPr="00485CB4">
        <w:rPr>
          <w:rFonts w:ascii="Arial Black" w:hAnsi="Arial Black"/>
          <w:sz w:val="20"/>
          <w:szCs w:val="20"/>
        </w:rPr>
        <w:t>Climate</w:t>
      </w:r>
      <w:proofErr w:type="spellEnd"/>
      <w:r w:rsidRPr="00485CB4">
        <w:rPr>
          <w:rFonts w:ascii="Arial Black" w:hAnsi="Arial Black"/>
          <w:sz w:val="20"/>
          <w:szCs w:val="20"/>
        </w:rPr>
        <w:t xml:space="preserve"> Action Network. (2017). </w:t>
      </w:r>
      <w:proofErr w:type="spellStart"/>
      <w:r w:rsidRPr="00485CB4">
        <w:rPr>
          <w:rFonts w:ascii="Arial Black" w:hAnsi="Arial Black"/>
          <w:i/>
          <w:iCs/>
          <w:sz w:val="20"/>
          <w:szCs w:val="20"/>
        </w:rPr>
        <w:t>Adapting</w:t>
      </w:r>
      <w:proofErr w:type="spellEnd"/>
      <w:r w:rsidRPr="00485CB4">
        <w:rPr>
          <w:rFonts w:ascii="Arial Black" w:hAnsi="Arial Black"/>
          <w:i/>
          <w:iCs/>
          <w:sz w:val="20"/>
          <w:szCs w:val="20"/>
        </w:rPr>
        <w:t xml:space="preserve"> agriculture to </w:t>
      </w:r>
      <w:proofErr w:type="spellStart"/>
      <w:r w:rsidRPr="00485CB4">
        <w:rPr>
          <w:rFonts w:ascii="Arial Black" w:hAnsi="Arial Black"/>
          <w:i/>
          <w:iCs/>
          <w:sz w:val="20"/>
          <w:szCs w:val="20"/>
        </w:rPr>
        <w:t>climate</w:t>
      </w:r>
      <w:proofErr w:type="spellEnd"/>
      <w:r w:rsidRPr="00485CB4">
        <w:rPr>
          <w:rFonts w:ascii="Arial Black" w:hAnsi="Arial Black"/>
          <w:i/>
          <w:iCs/>
          <w:sz w:val="20"/>
          <w:szCs w:val="20"/>
        </w:rPr>
        <w:t xml:space="preserve"> </w:t>
      </w:r>
      <w:proofErr w:type="gramStart"/>
      <w:r w:rsidRPr="00485CB4">
        <w:rPr>
          <w:rFonts w:ascii="Arial Black" w:hAnsi="Arial Black"/>
          <w:i/>
          <w:iCs/>
          <w:sz w:val="20"/>
          <w:szCs w:val="20"/>
        </w:rPr>
        <w:t>change:</w:t>
      </w:r>
      <w:proofErr w:type="gramEnd"/>
      <w:r w:rsidRPr="00485CB4">
        <w:rPr>
          <w:rFonts w:ascii="Arial Black" w:hAnsi="Arial Black"/>
          <w:i/>
          <w:iCs/>
          <w:sz w:val="20"/>
          <w:szCs w:val="20"/>
        </w:rPr>
        <w:t xml:space="preserve"> A collection of </w:t>
      </w:r>
      <w:proofErr w:type="spellStart"/>
      <w:r w:rsidRPr="00485CB4">
        <w:rPr>
          <w:rFonts w:ascii="Arial Black" w:hAnsi="Arial Black"/>
          <w:i/>
          <w:iCs/>
          <w:sz w:val="20"/>
          <w:szCs w:val="20"/>
        </w:rPr>
        <w:t>regional</w:t>
      </w:r>
      <w:proofErr w:type="spellEnd"/>
      <w:r w:rsidRPr="00485CB4">
        <w:rPr>
          <w:rFonts w:ascii="Arial Black" w:hAnsi="Arial Black"/>
          <w:i/>
          <w:iCs/>
          <w:sz w:val="20"/>
          <w:szCs w:val="20"/>
        </w:rPr>
        <w:t xml:space="preserve"> experiences</w:t>
      </w:r>
      <w:r w:rsidRPr="00485CB4">
        <w:rPr>
          <w:rFonts w:ascii="Arial Black" w:hAnsi="Arial Black"/>
          <w:sz w:val="20"/>
          <w:szCs w:val="20"/>
        </w:rPr>
        <w:t>. </w:t>
      </w:r>
      <w:hyperlink r:id="rId18" w:tgtFrame="_blank" w:history="1">
        <w:r w:rsidRPr="00485CB4">
          <w:rPr>
            <w:rStyle w:val="Hyperlink"/>
            <w:rFonts w:ascii="Arial Black" w:hAnsi="Arial Black"/>
            <w:b/>
            <w:bCs/>
            <w:sz w:val="20"/>
            <w:szCs w:val="20"/>
          </w:rPr>
          <w:t>https://reseauactionclimat.org/wp-content/uploads/2017/06/Adaptation-de-l’agriculture-aux-changements-climatiques-–-Recueil-d’expériences-territoriales.pdf</w:t>
        </w:r>
      </w:hyperlink>
    </w:p>
    <w:p w14:paraId="4DFBC31F"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proofErr w:type="spellStart"/>
      <w:r w:rsidRPr="00485CB4">
        <w:rPr>
          <w:rFonts w:ascii="Arial Black" w:hAnsi="Arial Black"/>
          <w:sz w:val="20"/>
          <w:szCs w:val="20"/>
        </w:rPr>
        <w:t>Descroix</w:t>
      </w:r>
      <w:proofErr w:type="spellEnd"/>
      <w:r w:rsidRPr="00485CB4">
        <w:rPr>
          <w:rFonts w:ascii="Arial Black" w:hAnsi="Arial Black"/>
          <w:sz w:val="20"/>
          <w:szCs w:val="20"/>
        </w:rPr>
        <w:t xml:space="preserve">, L., Niang, A. D., </w:t>
      </w:r>
      <w:proofErr w:type="spellStart"/>
      <w:r w:rsidRPr="00485CB4">
        <w:rPr>
          <w:rFonts w:ascii="Arial Black" w:hAnsi="Arial Black"/>
          <w:sz w:val="20"/>
          <w:szCs w:val="20"/>
        </w:rPr>
        <w:t>Panthou</w:t>
      </w:r>
      <w:proofErr w:type="spellEnd"/>
      <w:r w:rsidRPr="00485CB4">
        <w:rPr>
          <w:rFonts w:ascii="Arial Black" w:hAnsi="Arial Black"/>
          <w:sz w:val="20"/>
          <w:szCs w:val="20"/>
        </w:rPr>
        <w:t xml:space="preserve">, G., Bodian, A., </w:t>
      </w:r>
      <w:proofErr w:type="spellStart"/>
      <w:r w:rsidRPr="00485CB4">
        <w:rPr>
          <w:rFonts w:ascii="Arial Black" w:hAnsi="Arial Black"/>
          <w:sz w:val="20"/>
          <w:szCs w:val="20"/>
        </w:rPr>
        <w:t>Sane</w:t>
      </w:r>
      <w:proofErr w:type="spellEnd"/>
      <w:r w:rsidRPr="00485CB4">
        <w:rPr>
          <w:rFonts w:ascii="Arial Black" w:hAnsi="Arial Black"/>
          <w:sz w:val="20"/>
          <w:szCs w:val="20"/>
        </w:rPr>
        <w:t xml:space="preserve">, Y., </w:t>
      </w:r>
      <w:proofErr w:type="spellStart"/>
      <w:r w:rsidRPr="00485CB4">
        <w:rPr>
          <w:rFonts w:ascii="Arial Black" w:hAnsi="Arial Black"/>
          <w:sz w:val="20"/>
          <w:szCs w:val="20"/>
        </w:rPr>
        <w:t>Dacosta</w:t>
      </w:r>
      <w:proofErr w:type="spellEnd"/>
      <w:r w:rsidRPr="00485CB4">
        <w:rPr>
          <w:rFonts w:ascii="Arial Black" w:hAnsi="Arial Black"/>
          <w:sz w:val="20"/>
          <w:szCs w:val="20"/>
        </w:rPr>
        <w:t xml:space="preserve">, H., ... &amp; </w:t>
      </w:r>
      <w:proofErr w:type="spellStart"/>
      <w:r w:rsidRPr="00485CB4">
        <w:rPr>
          <w:rFonts w:ascii="Arial Black" w:hAnsi="Arial Black"/>
          <w:sz w:val="20"/>
          <w:szCs w:val="20"/>
        </w:rPr>
        <w:t>Quantin</w:t>
      </w:r>
      <w:proofErr w:type="spellEnd"/>
      <w:r w:rsidRPr="00485CB4">
        <w:rPr>
          <w:rFonts w:ascii="Arial Black" w:hAnsi="Arial Black"/>
          <w:sz w:val="20"/>
          <w:szCs w:val="20"/>
        </w:rPr>
        <w:t xml:space="preserve">, G. (2015). </w:t>
      </w:r>
      <w:proofErr w:type="spellStart"/>
      <w:r w:rsidRPr="00485CB4">
        <w:rPr>
          <w:rFonts w:ascii="Arial Black" w:hAnsi="Arial Black"/>
          <w:sz w:val="20"/>
          <w:szCs w:val="20"/>
        </w:rPr>
        <w:t>Recent</w:t>
      </w:r>
      <w:proofErr w:type="spellEnd"/>
      <w:r w:rsidRPr="00485CB4">
        <w:rPr>
          <w:rFonts w:ascii="Arial Black" w:hAnsi="Arial Black"/>
          <w:sz w:val="20"/>
          <w:szCs w:val="20"/>
        </w:rPr>
        <w:t xml:space="preserve"> changes in </w:t>
      </w:r>
      <w:proofErr w:type="spellStart"/>
      <w:r w:rsidRPr="00485CB4">
        <w:rPr>
          <w:rFonts w:ascii="Arial Black" w:hAnsi="Arial Black"/>
          <w:sz w:val="20"/>
          <w:szCs w:val="20"/>
        </w:rPr>
        <w:t>rainfall</w:t>
      </w:r>
      <w:proofErr w:type="spellEnd"/>
      <w:r w:rsidRPr="00485CB4">
        <w:rPr>
          <w:rFonts w:ascii="Arial Black" w:hAnsi="Arial Black"/>
          <w:sz w:val="20"/>
          <w:szCs w:val="20"/>
        </w:rPr>
        <w:t xml:space="preserve"> in West </w:t>
      </w:r>
      <w:proofErr w:type="spellStart"/>
      <w:r w:rsidRPr="00485CB4">
        <w:rPr>
          <w:rFonts w:ascii="Arial Black" w:hAnsi="Arial Black"/>
          <w:sz w:val="20"/>
          <w:szCs w:val="20"/>
        </w:rPr>
        <w:t>Africa</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across</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two</w:t>
      </w:r>
      <w:proofErr w:type="spellEnd"/>
      <w:r w:rsidRPr="00485CB4">
        <w:rPr>
          <w:rFonts w:ascii="Arial Black" w:hAnsi="Arial Black"/>
          <w:sz w:val="20"/>
          <w:szCs w:val="20"/>
        </w:rPr>
        <w:t xml:space="preserve"> </w:t>
      </w:r>
      <w:proofErr w:type="spellStart"/>
      <w:proofErr w:type="gramStart"/>
      <w:r w:rsidRPr="00485CB4">
        <w:rPr>
          <w:rFonts w:ascii="Arial Black" w:hAnsi="Arial Black"/>
          <w:sz w:val="20"/>
          <w:szCs w:val="20"/>
        </w:rPr>
        <w:t>regions</w:t>
      </w:r>
      <w:proofErr w:type="spellEnd"/>
      <w:r w:rsidRPr="00485CB4">
        <w:rPr>
          <w:rFonts w:ascii="Arial Black" w:hAnsi="Arial Black"/>
          <w:sz w:val="20"/>
          <w:szCs w:val="20"/>
        </w:rPr>
        <w:t>:</w:t>
      </w:r>
      <w:proofErr w:type="gramEnd"/>
      <w:r w:rsidRPr="00485CB4">
        <w:rPr>
          <w:rFonts w:ascii="Arial Black" w:hAnsi="Arial Black"/>
          <w:sz w:val="20"/>
          <w:szCs w:val="20"/>
        </w:rPr>
        <w:t xml:space="preserve"> </w:t>
      </w:r>
      <w:proofErr w:type="spellStart"/>
      <w:r w:rsidRPr="00485CB4">
        <w:rPr>
          <w:rFonts w:ascii="Arial Black" w:hAnsi="Arial Black"/>
          <w:sz w:val="20"/>
          <w:szCs w:val="20"/>
        </w:rPr>
        <w:t>Senegambia</w:t>
      </w:r>
      <w:proofErr w:type="spellEnd"/>
      <w:r w:rsidRPr="00485CB4">
        <w:rPr>
          <w:rFonts w:ascii="Arial Black" w:hAnsi="Arial Black"/>
          <w:sz w:val="20"/>
          <w:szCs w:val="20"/>
        </w:rPr>
        <w:t xml:space="preserve"> and the Middle Niger Basin. </w:t>
      </w:r>
      <w:proofErr w:type="spellStart"/>
      <w:r w:rsidRPr="00485CB4">
        <w:rPr>
          <w:rFonts w:ascii="Arial Black" w:hAnsi="Arial Black"/>
          <w:i/>
          <w:iCs/>
          <w:sz w:val="20"/>
          <w:szCs w:val="20"/>
        </w:rPr>
        <w:t>Climatology</w:t>
      </w:r>
      <w:proofErr w:type="spellEnd"/>
      <w:r w:rsidRPr="00485CB4">
        <w:rPr>
          <w:rFonts w:ascii="Arial Black" w:hAnsi="Arial Black"/>
          <w:sz w:val="20"/>
          <w:szCs w:val="20"/>
        </w:rPr>
        <w:t>, </w:t>
      </w:r>
      <w:r w:rsidRPr="00485CB4">
        <w:rPr>
          <w:rFonts w:ascii="Arial Black" w:hAnsi="Arial Black"/>
          <w:i/>
          <w:iCs/>
          <w:sz w:val="20"/>
          <w:szCs w:val="20"/>
        </w:rPr>
        <w:t>12</w:t>
      </w:r>
      <w:r w:rsidRPr="00485CB4">
        <w:rPr>
          <w:rFonts w:ascii="Arial Black" w:hAnsi="Arial Black"/>
          <w:sz w:val="20"/>
          <w:szCs w:val="20"/>
        </w:rPr>
        <w:t>, 25-43.</w:t>
      </w:r>
    </w:p>
    <w:p w14:paraId="4E7949A9"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DRIAS. (2020). </w:t>
      </w:r>
      <w:r w:rsidRPr="00485CB4">
        <w:rPr>
          <w:rFonts w:ascii="Arial Black" w:hAnsi="Arial Black"/>
          <w:i/>
          <w:iCs/>
          <w:sz w:val="20"/>
          <w:szCs w:val="20"/>
        </w:rPr>
        <w:t xml:space="preserve">The new DRIAS 2020 </w:t>
      </w:r>
      <w:proofErr w:type="spellStart"/>
      <w:r w:rsidRPr="00485CB4">
        <w:rPr>
          <w:rFonts w:ascii="Arial Black" w:hAnsi="Arial Black"/>
          <w:i/>
          <w:iCs/>
          <w:sz w:val="20"/>
          <w:szCs w:val="20"/>
        </w:rPr>
        <w:t>reference</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climate</w:t>
      </w:r>
      <w:proofErr w:type="spellEnd"/>
      <w:r w:rsidRPr="00485CB4">
        <w:rPr>
          <w:rFonts w:ascii="Arial Black" w:hAnsi="Arial Black"/>
          <w:i/>
          <w:iCs/>
          <w:sz w:val="20"/>
          <w:szCs w:val="20"/>
        </w:rPr>
        <w:t xml:space="preserve"> projections for </w:t>
      </w:r>
      <w:proofErr w:type="spellStart"/>
      <w:r w:rsidRPr="00485CB4">
        <w:rPr>
          <w:rFonts w:ascii="Arial Black" w:hAnsi="Arial Black"/>
          <w:i/>
          <w:iCs/>
          <w:sz w:val="20"/>
          <w:szCs w:val="20"/>
        </w:rPr>
        <w:t>mainland</w:t>
      </w:r>
      <w:proofErr w:type="spellEnd"/>
      <w:r w:rsidRPr="00485CB4">
        <w:rPr>
          <w:rFonts w:ascii="Arial Black" w:hAnsi="Arial Black"/>
          <w:i/>
          <w:iCs/>
          <w:sz w:val="20"/>
          <w:szCs w:val="20"/>
        </w:rPr>
        <w:t xml:space="preserve"> France</w:t>
      </w:r>
      <w:r w:rsidRPr="00485CB4">
        <w:rPr>
          <w:rFonts w:ascii="Arial Black" w:hAnsi="Arial Black"/>
          <w:sz w:val="20"/>
          <w:szCs w:val="20"/>
        </w:rPr>
        <w:t xml:space="preserve">. Ministry for </w:t>
      </w:r>
      <w:proofErr w:type="spellStart"/>
      <w:r w:rsidRPr="00485CB4">
        <w:rPr>
          <w:rFonts w:ascii="Arial Black" w:hAnsi="Arial Black"/>
          <w:sz w:val="20"/>
          <w:szCs w:val="20"/>
        </w:rPr>
        <w:t>Ecological</w:t>
      </w:r>
      <w:proofErr w:type="spellEnd"/>
      <w:r w:rsidRPr="00485CB4">
        <w:rPr>
          <w:rFonts w:ascii="Arial Black" w:hAnsi="Arial Black"/>
          <w:sz w:val="20"/>
          <w:szCs w:val="20"/>
        </w:rPr>
        <w:t xml:space="preserve"> and </w:t>
      </w:r>
      <w:proofErr w:type="spellStart"/>
      <w:r w:rsidRPr="00485CB4">
        <w:rPr>
          <w:rFonts w:ascii="Arial Black" w:hAnsi="Arial Black"/>
          <w:sz w:val="20"/>
          <w:szCs w:val="20"/>
        </w:rPr>
        <w:t>Solidarity</w:t>
      </w:r>
      <w:proofErr w:type="spellEnd"/>
      <w:r w:rsidRPr="00485CB4">
        <w:rPr>
          <w:rFonts w:ascii="Arial Black" w:hAnsi="Arial Black"/>
          <w:sz w:val="20"/>
          <w:szCs w:val="20"/>
        </w:rPr>
        <w:t xml:space="preserve"> Transition. </w:t>
      </w:r>
      <w:hyperlink r:id="rId19" w:tgtFrame="_blank" w:history="1">
        <w:r w:rsidRPr="00485CB4">
          <w:rPr>
            <w:rStyle w:val="Hyperlink"/>
            <w:rFonts w:ascii="Arial Black" w:hAnsi="Arial Black"/>
            <w:b/>
            <w:bCs/>
            <w:sz w:val="20"/>
            <w:szCs w:val="20"/>
          </w:rPr>
          <w:t>https://www.drias-climat.fr/document/rapport-DRIAS-2020-red3-2.pdf</w:t>
        </w:r>
      </w:hyperlink>
    </w:p>
    <w:p w14:paraId="1E0BCA96"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 xml:space="preserve">Eugène, K. K., Albert, G. B. T., &amp; Issiaka, S. (2005). Impacts of </w:t>
      </w:r>
      <w:proofErr w:type="spellStart"/>
      <w:r w:rsidRPr="00485CB4">
        <w:rPr>
          <w:rFonts w:ascii="Arial Black" w:hAnsi="Arial Black"/>
          <w:sz w:val="20"/>
          <w:szCs w:val="20"/>
        </w:rPr>
        <w:t>climate</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variability</w:t>
      </w:r>
      <w:proofErr w:type="spellEnd"/>
      <w:r w:rsidRPr="00485CB4">
        <w:rPr>
          <w:rFonts w:ascii="Arial Black" w:hAnsi="Arial Black"/>
          <w:sz w:val="20"/>
          <w:szCs w:val="20"/>
        </w:rPr>
        <w:t xml:space="preserve"> on surface water </w:t>
      </w:r>
      <w:proofErr w:type="spellStart"/>
      <w:r w:rsidRPr="00485CB4">
        <w:rPr>
          <w:rFonts w:ascii="Arial Black" w:hAnsi="Arial Black"/>
          <w:sz w:val="20"/>
          <w:szCs w:val="20"/>
        </w:rPr>
        <w:t>resources</w:t>
      </w:r>
      <w:proofErr w:type="spellEnd"/>
      <w:r w:rsidRPr="00485CB4">
        <w:rPr>
          <w:rFonts w:ascii="Arial Black" w:hAnsi="Arial Black"/>
          <w:sz w:val="20"/>
          <w:szCs w:val="20"/>
        </w:rPr>
        <w:t xml:space="preserve"> in </w:t>
      </w:r>
      <w:proofErr w:type="spellStart"/>
      <w:r w:rsidRPr="00485CB4">
        <w:rPr>
          <w:rFonts w:ascii="Arial Black" w:hAnsi="Arial Black"/>
          <w:sz w:val="20"/>
          <w:szCs w:val="20"/>
        </w:rPr>
        <w:t>humid</w:t>
      </w:r>
      <w:proofErr w:type="spellEnd"/>
      <w:r w:rsidRPr="00485CB4">
        <w:rPr>
          <w:rFonts w:ascii="Arial Black" w:hAnsi="Arial Black"/>
          <w:sz w:val="20"/>
          <w:szCs w:val="20"/>
        </w:rPr>
        <w:t xml:space="preserve"> tropical </w:t>
      </w:r>
      <w:proofErr w:type="gramStart"/>
      <w:r w:rsidRPr="00485CB4">
        <w:rPr>
          <w:rFonts w:ascii="Arial Black" w:hAnsi="Arial Black"/>
          <w:sz w:val="20"/>
          <w:szCs w:val="20"/>
        </w:rPr>
        <w:t>areas:</w:t>
      </w:r>
      <w:proofErr w:type="gramEnd"/>
      <w:r w:rsidRPr="00485CB4">
        <w:rPr>
          <w:rFonts w:ascii="Arial Black" w:hAnsi="Arial Black"/>
          <w:sz w:val="20"/>
          <w:szCs w:val="20"/>
        </w:rPr>
        <w:t xml:space="preserve"> The case of the Comoé </w:t>
      </w:r>
      <w:proofErr w:type="spellStart"/>
      <w:r w:rsidRPr="00485CB4">
        <w:rPr>
          <w:rFonts w:ascii="Arial Black" w:hAnsi="Arial Black"/>
          <w:sz w:val="20"/>
          <w:szCs w:val="20"/>
        </w:rPr>
        <w:t>transboundary</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watershed</w:t>
      </w:r>
      <w:proofErr w:type="spellEnd"/>
      <w:r w:rsidRPr="00485CB4">
        <w:rPr>
          <w:rFonts w:ascii="Arial Black" w:hAnsi="Arial Black"/>
          <w:sz w:val="20"/>
          <w:szCs w:val="20"/>
        </w:rPr>
        <w:t xml:space="preserve"> (Côte d'Ivoire-Burkina Faso). </w:t>
      </w:r>
      <w:proofErr w:type="spellStart"/>
      <w:r w:rsidRPr="00485CB4">
        <w:rPr>
          <w:rFonts w:ascii="Arial Black" w:hAnsi="Arial Black"/>
          <w:i/>
          <w:iCs/>
          <w:sz w:val="20"/>
          <w:szCs w:val="20"/>
        </w:rPr>
        <w:t>Physics</w:t>
      </w:r>
      <w:proofErr w:type="spellEnd"/>
      <w:r w:rsidRPr="00485CB4">
        <w:rPr>
          <w:rFonts w:ascii="Arial Black" w:hAnsi="Arial Black"/>
          <w:i/>
          <w:iCs/>
          <w:sz w:val="20"/>
          <w:szCs w:val="20"/>
        </w:rPr>
        <w:t xml:space="preserve"> and Chemistry of the </w:t>
      </w:r>
      <w:proofErr w:type="spellStart"/>
      <w:r w:rsidRPr="00485CB4">
        <w:rPr>
          <w:rFonts w:ascii="Arial Black" w:hAnsi="Arial Black"/>
          <w:i/>
          <w:iCs/>
          <w:sz w:val="20"/>
          <w:szCs w:val="20"/>
        </w:rPr>
        <w:t>Earth</w:t>
      </w:r>
      <w:proofErr w:type="spellEnd"/>
      <w:r w:rsidRPr="00485CB4">
        <w:rPr>
          <w:rFonts w:ascii="Arial Black" w:hAnsi="Arial Black"/>
          <w:sz w:val="20"/>
          <w:szCs w:val="20"/>
        </w:rPr>
        <w:t>, </w:t>
      </w:r>
      <w:r w:rsidRPr="00485CB4">
        <w:rPr>
          <w:rFonts w:ascii="Arial Black" w:hAnsi="Arial Black"/>
          <w:i/>
          <w:iCs/>
          <w:sz w:val="20"/>
          <w:szCs w:val="20"/>
        </w:rPr>
        <w:t>16</w:t>
      </w:r>
      <w:r w:rsidRPr="00485CB4">
        <w:rPr>
          <w:rFonts w:ascii="Arial Black" w:hAnsi="Arial Black"/>
          <w:sz w:val="20"/>
          <w:szCs w:val="20"/>
        </w:rPr>
        <w:t>(1), 31-43.</w:t>
      </w:r>
    </w:p>
    <w:p w14:paraId="4567AF70"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FAO. (2022). </w:t>
      </w:r>
      <w:r w:rsidRPr="00485CB4">
        <w:rPr>
          <w:rFonts w:ascii="Arial Black" w:hAnsi="Arial Black"/>
          <w:i/>
          <w:iCs/>
          <w:sz w:val="20"/>
          <w:szCs w:val="20"/>
        </w:rPr>
        <w:t xml:space="preserve">FAO </w:t>
      </w:r>
      <w:proofErr w:type="spellStart"/>
      <w:r w:rsidRPr="00485CB4">
        <w:rPr>
          <w:rFonts w:ascii="Arial Black" w:hAnsi="Arial Black"/>
          <w:i/>
          <w:iCs/>
          <w:sz w:val="20"/>
          <w:szCs w:val="20"/>
        </w:rPr>
        <w:t>Climate</w:t>
      </w:r>
      <w:proofErr w:type="spellEnd"/>
      <w:r w:rsidRPr="00485CB4">
        <w:rPr>
          <w:rFonts w:ascii="Arial Black" w:hAnsi="Arial Black"/>
          <w:i/>
          <w:iCs/>
          <w:sz w:val="20"/>
          <w:szCs w:val="20"/>
        </w:rPr>
        <w:t xml:space="preserve"> Change </w:t>
      </w:r>
      <w:proofErr w:type="spellStart"/>
      <w:r w:rsidRPr="00485CB4">
        <w:rPr>
          <w:rFonts w:ascii="Arial Black" w:hAnsi="Arial Black"/>
          <w:i/>
          <w:iCs/>
          <w:sz w:val="20"/>
          <w:szCs w:val="20"/>
        </w:rPr>
        <w:t>Strategy</w:t>
      </w:r>
      <w:proofErr w:type="spellEnd"/>
      <w:r w:rsidRPr="00485CB4">
        <w:rPr>
          <w:rFonts w:ascii="Arial Black" w:hAnsi="Arial Black"/>
          <w:i/>
          <w:iCs/>
          <w:sz w:val="20"/>
          <w:szCs w:val="20"/>
        </w:rPr>
        <w:t xml:space="preserve"> 2022–2031</w:t>
      </w:r>
      <w:r w:rsidRPr="00485CB4">
        <w:rPr>
          <w:rFonts w:ascii="Arial Black" w:hAnsi="Arial Black"/>
          <w:sz w:val="20"/>
          <w:szCs w:val="20"/>
        </w:rPr>
        <w:t xml:space="preserve">. Food and Agriculture </w:t>
      </w:r>
      <w:proofErr w:type="spellStart"/>
      <w:r w:rsidRPr="00485CB4">
        <w:rPr>
          <w:rFonts w:ascii="Arial Black" w:hAnsi="Arial Black"/>
          <w:sz w:val="20"/>
          <w:szCs w:val="20"/>
        </w:rPr>
        <w:t>Organization</w:t>
      </w:r>
      <w:proofErr w:type="spellEnd"/>
      <w:r w:rsidRPr="00485CB4">
        <w:rPr>
          <w:rFonts w:ascii="Arial Black" w:hAnsi="Arial Black"/>
          <w:sz w:val="20"/>
          <w:szCs w:val="20"/>
        </w:rPr>
        <w:t xml:space="preserve"> of the United Nations. </w:t>
      </w:r>
      <w:hyperlink r:id="rId20" w:tgtFrame="_blank" w:history="1">
        <w:r w:rsidRPr="00485CB4">
          <w:rPr>
            <w:rStyle w:val="Hyperlink"/>
            <w:rFonts w:ascii="Arial Black" w:hAnsi="Arial Black"/>
            <w:b/>
            <w:bCs/>
            <w:sz w:val="20"/>
            <w:szCs w:val="20"/>
          </w:rPr>
          <w:t>https://openknowledge.fao.org/server/api/core/bitstreams/bfbf662f-f500-436c-862d-36318194a981/content</w:t>
        </w:r>
      </w:hyperlink>
    </w:p>
    <w:p w14:paraId="35C23873"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Fluet, M.-J. (2006). </w:t>
      </w:r>
      <w:r w:rsidRPr="00485CB4">
        <w:rPr>
          <w:rFonts w:ascii="Arial Black" w:hAnsi="Arial Black"/>
          <w:i/>
          <w:iCs/>
          <w:sz w:val="20"/>
          <w:szCs w:val="20"/>
        </w:rPr>
        <w:t xml:space="preserve">Impacts of </w:t>
      </w:r>
      <w:proofErr w:type="spellStart"/>
      <w:r w:rsidRPr="00485CB4">
        <w:rPr>
          <w:rFonts w:ascii="Arial Black" w:hAnsi="Arial Black"/>
          <w:i/>
          <w:iCs/>
          <w:sz w:val="20"/>
          <w:szCs w:val="20"/>
        </w:rPr>
        <w:t>climate</w:t>
      </w:r>
      <w:proofErr w:type="spellEnd"/>
      <w:r w:rsidRPr="00485CB4">
        <w:rPr>
          <w:rFonts w:ascii="Arial Black" w:hAnsi="Arial Black"/>
          <w:i/>
          <w:iCs/>
          <w:sz w:val="20"/>
          <w:szCs w:val="20"/>
        </w:rPr>
        <w:t xml:space="preserve"> change on </w:t>
      </w:r>
      <w:proofErr w:type="spellStart"/>
      <w:r w:rsidRPr="00485CB4">
        <w:rPr>
          <w:rFonts w:ascii="Arial Black" w:hAnsi="Arial Black"/>
          <w:i/>
          <w:iCs/>
          <w:sz w:val="20"/>
          <w:szCs w:val="20"/>
        </w:rPr>
        <w:t>farmers</w:t>
      </w:r>
      <w:proofErr w:type="spellEnd"/>
      <w:r w:rsidRPr="00485CB4">
        <w:rPr>
          <w:rFonts w:ascii="Arial Black" w:hAnsi="Arial Black"/>
          <w:i/>
          <w:iCs/>
          <w:sz w:val="20"/>
          <w:szCs w:val="20"/>
        </w:rPr>
        <w:t xml:space="preserve"> in the province of </w:t>
      </w:r>
      <w:proofErr w:type="spellStart"/>
      <w:r w:rsidRPr="00485CB4">
        <w:rPr>
          <w:rFonts w:ascii="Arial Black" w:hAnsi="Arial Black"/>
          <w:i/>
          <w:iCs/>
          <w:sz w:val="20"/>
          <w:szCs w:val="20"/>
        </w:rPr>
        <w:t>Zondoma</w:t>
      </w:r>
      <w:proofErr w:type="spellEnd"/>
      <w:r w:rsidRPr="00485CB4">
        <w:rPr>
          <w:rFonts w:ascii="Arial Black" w:hAnsi="Arial Black"/>
          <w:i/>
          <w:iCs/>
          <w:sz w:val="20"/>
          <w:szCs w:val="20"/>
        </w:rPr>
        <w:t xml:space="preserve"> in Burkina </w:t>
      </w:r>
      <w:proofErr w:type="gramStart"/>
      <w:r w:rsidRPr="00485CB4">
        <w:rPr>
          <w:rFonts w:ascii="Arial Black" w:hAnsi="Arial Black"/>
          <w:i/>
          <w:iCs/>
          <w:sz w:val="20"/>
          <w:szCs w:val="20"/>
        </w:rPr>
        <w:t>Faso:</w:t>
      </w:r>
      <w:proofErr w:type="gramEnd"/>
      <w:r w:rsidRPr="00485CB4">
        <w:rPr>
          <w:rFonts w:ascii="Arial Black" w:hAnsi="Arial Black"/>
          <w:i/>
          <w:iCs/>
          <w:sz w:val="20"/>
          <w:szCs w:val="20"/>
        </w:rPr>
        <w:t xml:space="preserve"> Adaptation, </w:t>
      </w:r>
      <w:proofErr w:type="spellStart"/>
      <w:r w:rsidRPr="00485CB4">
        <w:rPr>
          <w:rFonts w:ascii="Arial Black" w:hAnsi="Arial Black"/>
          <w:i/>
          <w:iCs/>
          <w:sz w:val="20"/>
          <w:szCs w:val="20"/>
        </w:rPr>
        <w:t>knowledge</w:t>
      </w:r>
      <w:proofErr w:type="spellEnd"/>
      <w:r w:rsidRPr="00485CB4">
        <w:rPr>
          <w:rFonts w:ascii="Arial Black" w:hAnsi="Arial Black"/>
          <w:i/>
          <w:iCs/>
          <w:sz w:val="20"/>
          <w:szCs w:val="20"/>
        </w:rPr>
        <w:t xml:space="preserve">, and </w:t>
      </w:r>
      <w:proofErr w:type="spellStart"/>
      <w:r w:rsidRPr="00485CB4">
        <w:rPr>
          <w:rFonts w:ascii="Arial Black" w:hAnsi="Arial Black"/>
          <w:i/>
          <w:iCs/>
          <w:sz w:val="20"/>
          <w:szCs w:val="20"/>
        </w:rPr>
        <w:t>vulnerability</w:t>
      </w:r>
      <w:proofErr w:type="spellEnd"/>
      <w:r w:rsidRPr="00485CB4">
        <w:rPr>
          <w:rFonts w:ascii="Arial Black" w:hAnsi="Arial Black"/>
          <w:sz w:val="20"/>
          <w:szCs w:val="20"/>
        </w:rPr>
        <w:t> [</w:t>
      </w:r>
      <w:proofErr w:type="spellStart"/>
      <w:r w:rsidRPr="00485CB4">
        <w:rPr>
          <w:rFonts w:ascii="Arial Black" w:hAnsi="Arial Black"/>
          <w:sz w:val="20"/>
          <w:szCs w:val="20"/>
        </w:rPr>
        <w:t>Master's</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thesis</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University</w:t>
      </w:r>
      <w:proofErr w:type="spellEnd"/>
      <w:r w:rsidRPr="00485CB4">
        <w:rPr>
          <w:rFonts w:ascii="Arial Black" w:hAnsi="Arial Black"/>
          <w:sz w:val="20"/>
          <w:szCs w:val="20"/>
        </w:rPr>
        <w:t xml:space="preserve"> of </w:t>
      </w:r>
      <w:proofErr w:type="spellStart"/>
      <w:r w:rsidRPr="00485CB4">
        <w:rPr>
          <w:rFonts w:ascii="Arial Black" w:hAnsi="Arial Black"/>
          <w:sz w:val="20"/>
          <w:szCs w:val="20"/>
        </w:rPr>
        <w:t>Quebec</w:t>
      </w:r>
      <w:proofErr w:type="spellEnd"/>
      <w:r w:rsidRPr="00485CB4">
        <w:rPr>
          <w:rFonts w:ascii="Arial Black" w:hAnsi="Arial Black"/>
          <w:sz w:val="20"/>
          <w:szCs w:val="20"/>
        </w:rPr>
        <w:t xml:space="preserve"> in </w:t>
      </w:r>
      <w:proofErr w:type="spellStart"/>
      <w:r w:rsidRPr="00485CB4">
        <w:rPr>
          <w:rFonts w:ascii="Arial Black" w:hAnsi="Arial Black"/>
          <w:sz w:val="20"/>
          <w:szCs w:val="20"/>
        </w:rPr>
        <w:t>Montreal</w:t>
      </w:r>
      <w:proofErr w:type="spellEnd"/>
      <w:r w:rsidRPr="00485CB4">
        <w:rPr>
          <w:rFonts w:ascii="Arial Black" w:hAnsi="Arial Black"/>
          <w:sz w:val="20"/>
          <w:szCs w:val="20"/>
        </w:rPr>
        <w:t>]. </w:t>
      </w:r>
      <w:hyperlink r:id="rId21" w:tgtFrame="_blank" w:history="1">
        <w:r w:rsidRPr="00485CB4">
          <w:rPr>
            <w:rStyle w:val="Hyperlink"/>
            <w:rFonts w:ascii="Arial Black" w:hAnsi="Arial Black"/>
            <w:b/>
            <w:bCs/>
            <w:sz w:val="20"/>
            <w:szCs w:val="20"/>
          </w:rPr>
          <w:t>https://archipel.uqam.ca/3513/1/M9543.pdf</w:t>
        </w:r>
      </w:hyperlink>
    </w:p>
    <w:p w14:paraId="76FC68AB"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proofErr w:type="spellStart"/>
      <w:r w:rsidRPr="00485CB4">
        <w:rPr>
          <w:rFonts w:ascii="Arial Black" w:hAnsi="Arial Black"/>
          <w:sz w:val="20"/>
          <w:szCs w:val="20"/>
        </w:rPr>
        <w:t>Guenouche</w:t>
      </w:r>
      <w:proofErr w:type="spellEnd"/>
      <w:r w:rsidRPr="00485CB4">
        <w:rPr>
          <w:rFonts w:ascii="Arial Black" w:hAnsi="Arial Black"/>
          <w:sz w:val="20"/>
          <w:szCs w:val="20"/>
        </w:rPr>
        <w:t xml:space="preserve">, M. A., &amp; </w:t>
      </w:r>
      <w:proofErr w:type="spellStart"/>
      <w:r w:rsidRPr="00485CB4">
        <w:rPr>
          <w:rFonts w:ascii="Arial Black" w:hAnsi="Arial Black"/>
          <w:sz w:val="20"/>
          <w:szCs w:val="20"/>
        </w:rPr>
        <w:t>Bourtal</w:t>
      </w:r>
      <w:proofErr w:type="spellEnd"/>
      <w:r w:rsidRPr="00485CB4">
        <w:rPr>
          <w:rFonts w:ascii="Arial Black" w:hAnsi="Arial Black"/>
          <w:sz w:val="20"/>
          <w:szCs w:val="20"/>
        </w:rPr>
        <w:t>, B. H. (2023). </w:t>
      </w:r>
      <w:proofErr w:type="spellStart"/>
      <w:r w:rsidRPr="00485CB4">
        <w:rPr>
          <w:rFonts w:ascii="Arial Black" w:hAnsi="Arial Black"/>
          <w:i/>
          <w:iCs/>
          <w:sz w:val="20"/>
          <w:szCs w:val="20"/>
        </w:rPr>
        <w:t>Comparison</w:t>
      </w:r>
      <w:proofErr w:type="spellEnd"/>
      <w:r w:rsidRPr="00485CB4">
        <w:rPr>
          <w:rFonts w:ascii="Arial Black" w:hAnsi="Arial Black"/>
          <w:i/>
          <w:iCs/>
          <w:sz w:val="20"/>
          <w:szCs w:val="20"/>
        </w:rPr>
        <w:t xml:space="preserve"> of the </w:t>
      </w:r>
      <w:proofErr w:type="spellStart"/>
      <w:r w:rsidRPr="00485CB4">
        <w:rPr>
          <w:rFonts w:ascii="Arial Black" w:hAnsi="Arial Black"/>
          <w:i/>
          <w:iCs/>
          <w:sz w:val="20"/>
          <w:szCs w:val="20"/>
        </w:rPr>
        <w:t>similarity</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between</w:t>
      </w:r>
      <w:proofErr w:type="spellEnd"/>
      <w:r w:rsidRPr="00485CB4">
        <w:rPr>
          <w:rFonts w:ascii="Arial Black" w:hAnsi="Arial Black"/>
          <w:i/>
          <w:iCs/>
          <w:sz w:val="20"/>
          <w:szCs w:val="20"/>
        </w:rPr>
        <w:t xml:space="preserve"> the SPI and SPEI indices as </w:t>
      </w:r>
      <w:proofErr w:type="spellStart"/>
      <w:r w:rsidRPr="00485CB4">
        <w:rPr>
          <w:rFonts w:ascii="Arial Black" w:hAnsi="Arial Black"/>
          <w:i/>
          <w:iCs/>
          <w:sz w:val="20"/>
          <w:szCs w:val="20"/>
        </w:rPr>
        <w:t>tools</w:t>
      </w:r>
      <w:proofErr w:type="spellEnd"/>
      <w:r w:rsidRPr="00485CB4">
        <w:rPr>
          <w:rFonts w:ascii="Arial Black" w:hAnsi="Arial Black"/>
          <w:i/>
          <w:iCs/>
          <w:sz w:val="20"/>
          <w:szCs w:val="20"/>
        </w:rPr>
        <w:t xml:space="preserve"> for </w:t>
      </w:r>
      <w:proofErr w:type="spellStart"/>
      <w:r w:rsidRPr="00485CB4">
        <w:rPr>
          <w:rFonts w:ascii="Arial Black" w:hAnsi="Arial Black"/>
          <w:i/>
          <w:iCs/>
          <w:sz w:val="20"/>
          <w:szCs w:val="20"/>
        </w:rPr>
        <w:t>drought</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assessment</w:t>
      </w:r>
      <w:proofErr w:type="spellEnd"/>
      <w:r w:rsidRPr="00485CB4">
        <w:rPr>
          <w:rFonts w:ascii="Arial Black" w:hAnsi="Arial Black"/>
          <w:i/>
          <w:iCs/>
          <w:sz w:val="20"/>
          <w:szCs w:val="20"/>
        </w:rPr>
        <w:t xml:space="preserve"> in </w:t>
      </w:r>
      <w:proofErr w:type="spellStart"/>
      <w:r w:rsidRPr="00485CB4">
        <w:rPr>
          <w:rFonts w:ascii="Arial Black" w:hAnsi="Arial Black"/>
          <w:i/>
          <w:iCs/>
          <w:sz w:val="20"/>
          <w:szCs w:val="20"/>
        </w:rPr>
        <w:t>Northeast</w:t>
      </w:r>
      <w:proofErr w:type="spellEnd"/>
      <w:r w:rsidRPr="00485CB4">
        <w:rPr>
          <w:rFonts w:ascii="Arial Black" w:hAnsi="Arial Black"/>
          <w:i/>
          <w:iCs/>
          <w:sz w:val="20"/>
          <w:szCs w:val="20"/>
        </w:rPr>
        <w:t xml:space="preserve"> Algeria</w:t>
      </w:r>
      <w:r w:rsidRPr="00485CB4">
        <w:rPr>
          <w:rFonts w:ascii="Arial Black" w:hAnsi="Arial Black"/>
          <w:sz w:val="20"/>
          <w:szCs w:val="20"/>
        </w:rPr>
        <w:t xml:space="preserve"> [Doctoral dissertation, </w:t>
      </w:r>
      <w:proofErr w:type="spellStart"/>
      <w:r w:rsidRPr="00485CB4">
        <w:rPr>
          <w:rFonts w:ascii="Arial Black" w:hAnsi="Arial Black"/>
          <w:sz w:val="20"/>
          <w:szCs w:val="20"/>
        </w:rPr>
        <w:t>University</w:t>
      </w:r>
      <w:proofErr w:type="spellEnd"/>
      <w:r w:rsidRPr="00485CB4">
        <w:rPr>
          <w:rFonts w:ascii="Arial Black" w:hAnsi="Arial Black"/>
          <w:sz w:val="20"/>
          <w:szCs w:val="20"/>
        </w:rPr>
        <w:t xml:space="preserve"> Center of </w:t>
      </w:r>
      <w:proofErr w:type="spellStart"/>
      <w:r w:rsidRPr="00485CB4">
        <w:rPr>
          <w:rFonts w:ascii="Arial Black" w:hAnsi="Arial Black"/>
          <w:sz w:val="20"/>
          <w:szCs w:val="20"/>
        </w:rPr>
        <w:t>Abdalhafid</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Boussouf</w:t>
      </w:r>
      <w:proofErr w:type="spellEnd"/>
      <w:r w:rsidRPr="00485CB4">
        <w:rPr>
          <w:rFonts w:ascii="Arial Black" w:hAnsi="Arial Black"/>
          <w:sz w:val="20"/>
          <w:szCs w:val="20"/>
        </w:rPr>
        <w:t>-MILA].</w:t>
      </w:r>
    </w:p>
    <w:p w14:paraId="4C48609B"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lastRenderedPageBreak/>
        <w:t xml:space="preserve">IRD Éditions. (2008). </w:t>
      </w:r>
      <w:proofErr w:type="spellStart"/>
      <w:r w:rsidRPr="00485CB4">
        <w:rPr>
          <w:rFonts w:ascii="Arial Black" w:hAnsi="Arial Black"/>
          <w:sz w:val="20"/>
          <w:szCs w:val="20"/>
        </w:rPr>
        <w:t>Chapter</w:t>
      </w:r>
      <w:proofErr w:type="spellEnd"/>
      <w:r w:rsidRPr="00485CB4">
        <w:rPr>
          <w:rFonts w:ascii="Arial Black" w:hAnsi="Arial Black"/>
          <w:sz w:val="20"/>
          <w:szCs w:val="20"/>
        </w:rPr>
        <w:t xml:space="preserve"> </w:t>
      </w:r>
      <w:proofErr w:type="gramStart"/>
      <w:r w:rsidRPr="00485CB4">
        <w:rPr>
          <w:rFonts w:ascii="Arial Black" w:hAnsi="Arial Black"/>
          <w:sz w:val="20"/>
          <w:szCs w:val="20"/>
        </w:rPr>
        <w:t>9:</w:t>
      </w:r>
      <w:proofErr w:type="gramEnd"/>
      <w:r w:rsidRPr="00485CB4">
        <w:rPr>
          <w:rFonts w:ascii="Arial Black" w:hAnsi="Arial Black"/>
          <w:sz w:val="20"/>
          <w:szCs w:val="20"/>
        </w:rPr>
        <w:t xml:space="preserve"> Irrigation and </w:t>
      </w:r>
      <w:proofErr w:type="spellStart"/>
      <w:r w:rsidRPr="00485CB4">
        <w:rPr>
          <w:rFonts w:ascii="Arial Black" w:hAnsi="Arial Black"/>
          <w:sz w:val="20"/>
          <w:szCs w:val="20"/>
        </w:rPr>
        <w:t>its</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ancillary</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functions</w:t>
      </w:r>
      <w:proofErr w:type="spellEnd"/>
      <w:r w:rsidRPr="00485CB4">
        <w:rPr>
          <w:rFonts w:ascii="Arial Black" w:hAnsi="Arial Black"/>
          <w:sz w:val="20"/>
          <w:szCs w:val="20"/>
        </w:rPr>
        <w:t>. In </w:t>
      </w:r>
      <w:proofErr w:type="spellStart"/>
      <w:r w:rsidRPr="00485CB4">
        <w:rPr>
          <w:rFonts w:ascii="Arial Black" w:hAnsi="Arial Black"/>
          <w:i/>
          <w:iCs/>
          <w:sz w:val="20"/>
          <w:szCs w:val="20"/>
        </w:rPr>
        <w:t>Irrigated</w:t>
      </w:r>
      <w:proofErr w:type="spellEnd"/>
      <w:r w:rsidRPr="00485CB4">
        <w:rPr>
          <w:rFonts w:ascii="Arial Black" w:hAnsi="Arial Black"/>
          <w:i/>
          <w:iCs/>
          <w:sz w:val="20"/>
          <w:szCs w:val="20"/>
        </w:rPr>
        <w:t xml:space="preserve"> agriculture in the West </w:t>
      </w:r>
      <w:proofErr w:type="spellStart"/>
      <w:r w:rsidRPr="00485CB4">
        <w:rPr>
          <w:rFonts w:ascii="Arial Black" w:hAnsi="Arial Black"/>
          <w:i/>
          <w:iCs/>
          <w:sz w:val="20"/>
          <w:szCs w:val="20"/>
        </w:rPr>
        <w:t>African</w:t>
      </w:r>
      <w:proofErr w:type="spellEnd"/>
      <w:r w:rsidRPr="00485CB4">
        <w:rPr>
          <w:rFonts w:ascii="Arial Black" w:hAnsi="Arial Black"/>
          <w:i/>
          <w:iCs/>
          <w:sz w:val="20"/>
          <w:szCs w:val="20"/>
        </w:rPr>
        <w:t xml:space="preserve"> </w:t>
      </w:r>
      <w:proofErr w:type="gramStart"/>
      <w:r w:rsidRPr="00485CB4">
        <w:rPr>
          <w:rFonts w:ascii="Arial Black" w:hAnsi="Arial Black"/>
          <w:i/>
          <w:iCs/>
          <w:sz w:val="20"/>
          <w:szCs w:val="20"/>
        </w:rPr>
        <w:t>Sahel:</w:t>
      </w:r>
      <w:proofErr w:type="gramEnd"/>
      <w:r w:rsidRPr="00485CB4">
        <w:rPr>
          <w:rFonts w:ascii="Arial Black" w:hAnsi="Arial Black"/>
          <w:i/>
          <w:iCs/>
          <w:sz w:val="20"/>
          <w:szCs w:val="20"/>
        </w:rPr>
        <w:t xml:space="preserve"> Diversity of practices and performance</w:t>
      </w:r>
      <w:r w:rsidRPr="00485CB4">
        <w:rPr>
          <w:rFonts w:ascii="Arial Black" w:hAnsi="Arial Black"/>
          <w:sz w:val="20"/>
          <w:szCs w:val="20"/>
        </w:rPr>
        <w:t>. </w:t>
      </w:r>
      <w:hyperlink r:id="rId22" w:tgtFrame="_blank" w:history="1">
        <w:r w:rsidRPr="00485CB4">
          <w:rPr>
            <w:rStyle w:val="Hyperlink"/>
            <w:rFonts w:ascii="Arial Black" w:hAnsi="Arial Black"/>
            <w:b/>
            <w:bCs/>
            <w:sz w:val="20"/>
            <w:szCs w:val="20"/>
          </w:rPr>
          <w:t>https://books.openedition.org/irdeditions/2869?lang=fr</w:t>
        </w:r>
      </w:hyperlink>
    </w:p>
    <w:p w14:paraId="0FAEF726" w14:textId="2B87AB9B"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 xml:space="preserve">Kaboré, A. (2025). </w:t>
      </w:r>
      <w:proofErr w:type="spellStart"/>
      <w:r w:rsidRPr="00485CB4">
        <w:rPr>
          <w:rFonts w:ascii="Arial Black" w:hAnsi="Arial Black"/>
          <w:sz w:val="20"/>
          <w:szCs w:val="20"/>
        </w:rPr>
        <w:t>Climate</w:t>
      </w:r>
      <w:proofErr w:type="spellEnd"/>
      <w:r w:rsidRPr="00485CB4">
        <w:rPr>
          <w:rFonts w:ascii="Arial Black" w:hAnsi="Arial Black"/>
          <w:sz w:val="20"/>
          <w:szCs w:val="20"/>
        </w:rPr>
        <w:t xml:space="preserve"> change in </w:t>
      </w:r>
      <w:proofErr w:type="spellStart"/>
      <w:r w:rsidRPr="00485CB4">
        <w:rPr>
          <w:rFonts w:ascii="Arial Black" w:hAnsi="Arial Black"/>
          <w:sz w:val="20"/>
          <w:szCs w:val="20"/>
        </w:rPr>
        <w:t>Sub-Saharan</w:t>
      </w:r>
      <w:proofErr w:type="spellEnd"/>
      <w:r w:rsidRPr="00485CB4">
        <w:rPr>
          <w:rFonts w:ascii="Arial Black" w:hAnsi="Arial Black"/>
          <w:sz w:val="20"/>
          <w:szCs w:val="20"/>
        </w:rPr>
        <w:t xml:space="preserve"> </w:t>
      </w:r>
      <w:proofErr w:type="spellStart"/>
      <w:proofErr w:type="gramStart"/>
      <w:r w:rsidRPr="00485CB4">
        <w:rPr>
          <w:rFonts w:ascii="Arial Black" w:hAnsi="Arial Black"/>
          <w:sz w:val="20"/>
          <w:szCs w:val="20"/>
        </w:rPr>
        <w:t>Africa</w:t>
      </w:r>
      <w:proofErr w:type="spellEnd"/>
      <w:r w:rsidRPr="00485CB4">
        <w:rPr>
          <w:rFonts w:ascii="Arial Black" w:hAnsi="Arial Black"/>
          <w:sz w:val="20"/>
          <w:szCs w:val="20"/>
        </w:rPr>
        <w:t>:</w:t>
      </w:r>
      <w:proofErr w:type="gramEnd"/>
      <w:r w:rsidRPr="00485CB4">
        <w:rPr>
          <w:rFonts w:ascii="Arial Black" w:hAnsi="Arial Black"/>
          <w:sz w:val="20"/>
          <w:szCs w:val="20"/>
        </w:rPr>
        <w:t xml:space="preserve"> Challenges, multiple impacts, and prospects for </w:t>
      </w:r>
      <w:proofErr w:type="spellStart"/>
      <w:r w:rsidRPr="00485CB4">
        <w:rPr>
          <w:rFonts w:ascii="Arial Black" w:hAnsi="Arial Black"/>
          <w:sz w:val="20"/>
          <w:szCs w:val="20"/>
        </w:rPr>
        <w:t>sustainable</w:t>
      </w:r>
      <w:proofErr w:type="spellEnd"/>
      <w:r w:rsidRPr="00485CB4">
        <w:rPr>
          <w:rFonts w:ascii="Arial Black" w:hAnsi="Arial Black"/>
          <w:sz w:val="20"/>
          <w:szCs w:val="20"/>
        </w:rPr>
        <w:t xml:space="preserve"> adaptation. </w:t>
      </w:r>
      <w:r w:rsidRPr="00485CB4">
        <w:rPr>
          <w:rFonts w:ascii="Arial Black" w:hAnsi="Arial Black"/>
          <w:i/>
          <w:iCs/>
          <w:sz w:val="20"/>
          <w:szCs w:val="20"/>
        </w:rPr>
        <w:t xml:space="preserve">Journal of Scientific </w:t>
      </w:r>
      <w:proofErr w:type="spellStart"/>
      <w:r w:rsidRPr="00485CB4">
        <w:rPr>
          <w:rFonts w:ascii="Arial Black" w:hAnsi="Arial Black"/>
          <w:i/>
          <w:iCs/>
          <w:sz w:val="20"/>
          <w:szCs w:val="20"/>
        </w:rPr>
        <w:t>Research</w:t>
      </w:r>
      <w:proofErr w:type="spellEnd"/>
      <w:r w:rsidRPr="00485CB4">
        <w:rPr>
          <w:rFonts w:ascii="Arial Black" w:hAnsi="Arial Black"/>
          <w:i/>
          <w:iCs/>
          <w:sz w:val="20"/>
          <w:szCs w:val="20"/>
        </w:rPr>
        <w:t xml:space="preserve"> (Revue-RS)</w:t>
      </w:r>
      <w:r w:rsidRPr="00485CB4">
        <w:rPr>
          <w:rFonts w:ascii="Arial Black" w:hAnsi="Arial Black"/>
          <w:sz w:val="20"/>
          <w:szCs w:val="20"/>
        </w:rPr>
        <w:t>, </w:t>
      </w:r>
      <w:r w:rsidRPr="00485CB4">
        <w:rPr>
          <w:rFonts w:ascii="Arial Black" w:hAnsi="Arial Black"/>
          <w:i/>
          <w:iCs/>
          <w:sz w:val="20"/>
          <w:szCs w:val="20"/>
        </w:rPr>
        <w:t>1</w:t>
      </w:r>
      <w:r w:rsidRPr="00485CB4">
        <w:rPr>
          <w:rFonts w:ascii="Arial Black" w:hAnsi="Arial Black"/>
          <w:sz w:val="20"/>
          <w:szCs w:val="20"/>
        </w:rPr>
        <w:t>(1), 1-8.</w:t>
      </w:r>
    </w:p>
    <w:p w14:paraId="464C224E"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 xml:space="preserve">Kabore, P. N., Ouedraogo, A., Sanon, M., </w:t>
      </w:r>
      <w:proofErr w:type="spellStart"/>
      <w:r w:rsidRPr="00485CB4">
        <w:rPr>
          <w:rFonts w:ascii="Arial Black" w:hAnsi="Arial Black"/>
          <w:sz w:val="20"/>
          <w:szCs w:val="20"/>
        </w:rPr>
        <w:t>Yaka</w:t>
      </w:r>
      <w:proofErr w:type="spellEnd"/>
      <w:r w:rsidRPr="00485CB4">
        <w:rPr>
          <w:rFonts w:ascii="Arial Black" w:hAnsi="Arial Black"/>
          <w:sz w:val="20"/>
          <w:szCs w:val="20"/>
        </w:rPr>
        <w:t xml:space="preserve">, P., &amp; </w:t>
      </w:r>
      <w:proofErr w:type="spellStart"/>
      <w:r w:rsidRPr="00485CB4">
        <w:rPr>
          <w:rFonts w:ascii="Arial Black" w:hAnsi="Arial Black"/>
          <w:sz w:val="20"/>
          <w:szCs w:val="20"/>
        </w:rPr>
        <w:t>Some</w:t>
      </w:r>
      <w:proofErr w:type="spellEnd"/>
      <w:r w:rsidRPr="00485CB4">
        <w:rPr>
          <w:rFonts w:ascii="Arial Black" w:hAnsi="Arial Black"/>
          <w:sz w:val="20"/>
          <w:szCs w:val="20"/>
        </w:rPr>
        <w:t xml:space="preserve">, L. (2017). </w:t>
      </w:r>
      <w:proofErr w:type="spellStart"/>
      <w:r w:rsidRPr="00485CB4">
        <w:rPr>
          <w:rFonts w:ascii="Arial Black" w:hAnsi="Arial Black"/>
          <w:sz w:val="20"/>
          <w:szCs w:val="20"/>
        </w:rPr>
        <w:t>Characterization</w:t>
      </w:r>
      <w:proofErr w:type="spellEnd"/>
      <w:r w:rsidRPr="00485CB4">
        <w:rPr>
          <w:rFonts w:ascii="Arial Black" w:hAnsi="Arial Black"/>
          <w:sz w:val="20"/>
          <w:szCs w:val="20"/>
        </w:rPr>
        <w:t xml:space="preserve"> of </w:t>
      </w:r>
      <w:proofErr w:type="spellStart"/>
      <w:r w:rsidRPr="00485CB4">
        <w:rPr>
          <w:rFonts w:ascii="Arial Black" w:hAnsi="Arial Black"/>
          <w:sz w:val="20"/>
          <w:szCs w:val="20"/>
        </w:rPr>
        <w:t>climate</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variability</w:t>
      </w:r>
      <w:proofErr w:type="spellEnd"/>
      <w:r w:rsidRPr="00485CB4">
        <w:rPr>
          <w:rFonts w:ascii="Arial Black" w:hAnsi="Arial Black"/>
          <w:sz w:val="20"/>
          <w:szCs w:val="20"/>
        </w:rPr>
        <w:t xml:space="preserve"> in the Center-North </w:t>
      </w:r>
      <w:proofErr w:type="spellStart"/>
      <w:r w:rsidRPr="00485CB4">
        <w:rPr>
          <w:rFonts w:ascii="Arial Black" w:hAnsi="Arial Black"/>
          <w:sz w:val="20"/>
          <w:szCs w:val="20"/>
        </w:rPr>
        <w:t>region</w:t>
      </w:r>
      <w:proofErr w:type="spellEnd"/>
      <w:r w:rsidRPr="00485CB4">
        <w:rPr>
          <w:rFonts w:ascii="Arial Black" w:hAnsi="Arial Black"/>
          <w:sz w:val="20"/>
          <w:szCs w:val="20"/>
        </w:rPr>
        <w:t xml:space="preserve"> of Burkina Faso </w:t>
      </w:r>
      <w:proofErr w:type="spellStart"/>
      <w:r w:rsidRPr="00485CB4">
        <w:rPr>
          <w:rFonts w:ascii="Arial Black" w:hAnsi="Arial Black"/>
          <w:sz w:val="20"/>
          <w:szCs w:val="20"/>
        </w:rPr>
        <w:t>between</w:t>
      </w:r>
      <w:proofErr w:type="spellEnd"/>
      <w:r w:rsidRPr="00485CB4">
        <w:rPr>
          <w:rFonts w:ascii="Arial Black" w:hAnsi="Arial Black"/>
          <w:sz w:val="20"/>
          <w:szCs w:val="20"/>
        </w:rPr>
        <w:t xml:space="preserve"> 1961 and 2015. </w:t>
      </w:r>
      <w:proofErr w:type="spellStart"/>
      <w:r w:rsidRPr="00485CB4">
        <w:rPr>
          <w:rFonts w:ascii="Arial Black" w:hAnsi="Arial Black"/>
          <w:i/>
          <w:iCs/>
          <w:sz w:val="20"/>
          <w:szCs w:val="20"/>
        </w:rPr>
        <w:t>Climatology</w:t>
      </w:r>
      <w:proofErr w:type="spellEnd"/>
      <w:r w:rsidRPr="00485CB4">
        <w:rPr>
          <w:rFonts w:ascii="Arial Black" w:hAnsi="Arial Black"/>
          <w:sz w:val="20"/>
          <w:szCs w:val="20"/>
        </w:rPr>
        <w:t>, </w:t>
      </w:r>
      <w:r w:rsidRPr="00485CB4">
        <w:rPr>
          <w:rFonts w:ascii="Arial Black" w:hAnsi="Arial Black"/>
          <w:i/>
          <w:iCs/>
          <w:sz w:val="20"/>
          <w:szCs w:val="20"/>
        </w:rPr>
        <w:t>14</w:t>
      </w:r>
      <w:r w:rsidRPr="00485CB4">
        <w:rPr>
          <w:rFonts w:ascii="Arial Black" w:hAnsi="Arial Black"/>
          <w:sz w:val="20"/>
          <w:szCs w:val="20"/>
        </w:rPr>
        <w:t>, 82-95.</w:t>
      </w:r>
    </w:p>
    <w:p w14:paraId="71CCD855"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proofErr w:type="spellStart"/>
      <w:r w:rsidRPr="00485CB4">
        <w:rPr>
          <w:rFonts w:ascii="Arial Black" w:hAnsi="Arial Black"/>
          <w:sz w:val="20"/>
          <w:szCs w:val="20"/>
        </w:rPr>
        <w:t>Kempay</w:t>
      </w:r>
      <w:proofErr w:type="spellEnd"/>
      <w:r w:rsidRPr="00485CB4">
        <w:rPr>
          <w:rFonts w:ascii="Arial Black" w:hAnsi="Arial Black"/>
          <w:sz w:val="20"/>
          <w:szCs w:val="20"/>
        </w:rPr>
        <w:t xml:space="preserve">, O. F., </w:t>
      </w:r>
      <w:proofErr w:type="spellStart"/>
      <w:r w:rsidRPr="00485CB4">
        <w:rPr>
          <w:rFonts w:ascii="Arial Black" w:hAnsi="Arial Black"/>
          <w:sz w:val="20"/>
          <w:szCs w:val="20"/>
        </w:rPr>
        <w:t>Enambumbi</w:t>
      </w:r>
      <w:proofErr w:type="spellEnd"/>
      <w:r w:rsidRPr="00485CB4">
        <w:rPr>
          <w:rFonts w:ascii="Arial Black" w:hAnsi="Arial Black"/>
          <w:sz w:val="20"/>
          <w:szCs w:val="20"/>
        </w:rPr>
        <w:t xml:space="preserve">, B. G., </w:t>
      </w:r>
      <w:proofErr w:type="spellStart"/>
      <w:r w:rsidRPr="00485CB4">
        <w:rPr>
          <w:rFonts w:ascii="Arial Black" w:hAnsi="Arial Black"/>
          <w:sz w:val="20"/>
          <w:szCs w:val="20"/>
        </w:rPr>
        <w:t>Ngoy</w:t>
      </w:r>
      <w:proofErr w:type="spellEnd"/>
      <w:r w:rsidRPr="00485CB4">
        <w:rPr>
          <w:rFonts w:ascii="Arial Black" w:hAnsi="Arial Black"/>
          <w:sz w:val="20"/>
          <w:szCs w:val="20"/>
        </w:rPr>
        <w:t xml:space="preserve"> Ilunga, N. J., &amp; Kamara </w:t>
      </w:r>
      <w:proofErr w:type="spellStart"/>
      <w:r w:rsidRPr="00485CB4">
        <w:rPr>
          <w:rFonts w:ascii="Arial Black" w:hAnsi="Arial Black"/>
          <w:sz w:val="20"/>
          <w:szCs w:val="20"/>
        </w:rPr>
        <w:t>Bahwere</w:t>
      </w:r>
      <w:proofErr w:type="spellEnd"/>
      <w:r w:rsidRPr="00485CB4">
        <w:rPr>
          <w:rFonts w:ascii="Arial Black" w:hAnsi="Arial Black"/>
          <w:sz w:val="20"/>
          <w:szCs w:val="20"/>
        </w:rPr>
        <w:t xml:space="preserve">, M. (2024). Perceptions and adaptation </w:t>
      </w:r>
      <w:proofErr w:type="spellStart"/>
      <w:r w:rsidRPr="00485CB4">
        <w:rPr>
          <w:rFonts w:ascii="Arial Black" w:hAnsi="Arial Black"/>
          <w:sz w:val="20"/>
          <w:szCs w:val="20"/>
        </w:rPr>
        <w:t>strategies</w:t>
      </w:r>
      <w:proofErr w:type="spellEnd"/>
      <w:r w:rsidRPr="00485CB4">
        <w:rPr>
          <w:rFonts w:ascii="Arial Black" w:hAnsi="Arial Black"/>
          <w:sz w:val="20"/>
          <w:szCs w:val="20"/>
        </w:rPr>
        <w:t xml:space="preserve"> of </w:t>
      </w:r>
      <w:proofErr w:type="spellStart"/>
      <w:r w:rsidRPr="00485CB4">
        <w:rPr>
          <w:rFonts w:ascii="Arial Black" w:hAnsi="Arial Black"/>
          <w:sz w:val="20"/>
          <w:szCs w:val="20"/>
        </w:rPr>
        <w:t>market</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gardeners</w:t>
      </w:r>
      <w:proofErr w:type="spellEnd"/>
      <w:r w:rsidRPr="00485CB4">
        <w:rPr>
          <w:rFonts w:ascii="Arial Black" w:hAnsi="Arial Black"/>
          <w:sz w:val="20"/>
          <w:szCs w:val="20"/>
        </w:rPr>
        <w:t xml:space="preserve"> to </w:t>
      </w:r>
      <w:proofErr w:type="spellStart"/>
      <w:r w:rsidRPr="00485CB4">
        <w:rPr>
          <w:rFonts w:ascii="Arial Black" w:hAnsi="Arial Black"/>
          <w:sz w:val="20"/>
          <w:szCs w:val="20"/>
        </w:rPr>
        <w:t>climate</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disturbances</w:t>
      </w:r>
      <w:proofErr w:type="spellEnd"/>
      <w:r w:rsidRPr="00485CB4">
        <w:rPr>
          <w:rFonts w:ascii="Arial Black" w:hAnsi="Arial Black"/>
          <w:sz w:val="20"/>
          <w:szCs w:val="20"/>
        </w:rPr>
        <w:t xml:space="preserve"> in the city of Kisangani, DR Congo. </w:t>
      </w:r>
      <w:proofErr w:type="spellStart"/>
      <w:r w:rsidRPr="00485CB4">
        <w:rPr>
          <w:rFonts w:ascii="Arial Black" w:hAnsi="Arial Black"/>
          <w:i/>
          <w:iCs/>
          <w:sz w:val="20"/>
          <w:szCs w:val="20"/>
        </w:rPr>
        <w:t>Moroccan</w:t>
      </w:r>
      <w:proofErr w:type="spellEnd"/>
      <w:r w:rsidRPr="00485CB4">
        <w:rPr>
          <w:rFonts w:ascii="Arial Black" w:hAnsi="Arial Black"/>
          <w:i/>
          <w:iCs/>
          <w:sz w:val="20"/>
          <w:szCs w:val="20"/>
        </w:rPr>
        <w:t xml:space="preserve"> Journal of </w:t>
      </w:r>
      <w:proofErr w:type="spellStart"/>
      <w:r w:rsidRPr="00485CB4">
        <w:rPr>
          <w:rFonts w:ascii="Arial Black" w:hAnsi="Arial Black"/>
          <w:i/>
          <w:iCs/>
          <w:sz w:val="20"/>
          <w:szCs w:val="20"/>
        </w:rPr>
        <w:t>Agronomic</w:t>
      </w:r>
      <w:proofErr w:type="spellEnd"/>
      <w:r w:rsidRPr="00485CB4">
        <w:rPr>
          <w:rFonts w:ascii="Arial Black" w:hAnsi="Arial Black"/>
          <w:i/>
          <w:iCs/>
          <w:sz w:val="20"/>
          <w:szCs w:val="20"/>
        </w:rPr>
        <w:t xml:space="preserve"> and </w:t>
      </w:r>
      <w:proofErr w:type="spellStart"/>
      <w:r w:rsidRPr="00485CB4">
        <w:rPr>
          <w:rFonts w:ascii="Arial Black" w:hAnsi="Arial Black"/>
          <w:i/>
          <w:iCs/>
          <w:sz w:val="20"/>
          <w:szCs w:val="20"/>
        </w:rPr>
        <w:t>Veterinary</w:t>
      </w:r>
      <w:proofErr w:type="spellEnd"/>
      <w:r w:rsidRPr="00485CB4">
        <w:rPr>
          <w:rFonts w:ascii="Arial Black" w:hAnsi="Arial Black"/>
          <w:i/>
          <w:iCs/>
          <w:sz w:val="20"/>
          <w:szCs w:val="20"/>
        </w:rPr>
        <w:t xml:space="preserve"> Sciences</w:t>
      </w:r>
      <w:r w:rsidRPr="00485CB4">
        <w:rPr>
          <w:rFonts w:ascii="Arial Black" w:hAnsi="Arial Black"/>
          <w:sz w:val="20"/>
          <w:szCs w:val="20"/>
        </w:rPr>
        <w:t>, </w:t>
      </w:r>
      <w:r w:rsidRPr="00485CB4">
        <w:rPr>
          <w:rFonts w:ascii="Arial Black" w:hAnsi="Arial Black"/>
          <w:i/>
          <w:iCs/>
          <w:sz w:val="20"/>
          <w:szCs w:val="20"/>
        </w:rPr>
        <w:t>12</w:t>
      </w:r>
      <w:r w:rsidRPr="00485CB4">
        <w:rPr>
          <w:rFonts w:ascii="Arial Black" w:hAnsi="Arial Black"/>
          <w:sz w:val="20"/>
          <w:szCs w:val="20"/>
        </w:rPr>
        <w:t>(2), 85-90. </w:t>
      </w:r>
      <w:hyperlink r:id="rId23" w:tgtFrame="_blank" w:history="1">
        <w:r w:rsidRPr="00485CB4">
          <w:rPr>
            <w:rStyle w:val="Hyperlink"/>
            <w:rFonts w:ascii="Arial Black" w:hAnsi="Arial Black"/>
            <w:b/>
            <w:bCs/>
            <w:sz w:val="20"/>
            <w:szCs w:val="20"/>
          </w:rPr>
          <w:t>https://doi.org/10.5281/zenodo.11443775</w:t>
        </w:r>
      </w:hyperlink>
    </w:p>
    <w:p w14:paraId="5A943874"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Kiki, G. R. (2019). </w:t>
      </w:r>
      <w:proofErr w:type="spellStart"/>
      <w:r w:rsidRPr="00485CB4">
        <w:rPr>
          <w:rFonts w:ascii="Arial Black" w:hAnsi="Arial Black"/>
          <w:i/>
          <w:iCs/>
          <w:sz w:val="20"/>
          <w:szCs w:val="20"/>
        </w:rPr>
        <w:t>Statistical</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diagnosis</w:t>
      </w:r>
      <w:proofErr w:type="spellEnd"/>
      <w:r w:rsidRPr="00485CB4">
        <w:rPr>
          <w:rFonts w:ascii="Arial Black" w:hAnsi="Arial Black"/>
          <w:i/>
          <w:iCs/>
          <w:sz w:val="20"/>
          <w:szCs w:val="20"/>
        </w:rPr>
        <w:t xml:space="preserve"> of the </w:t>
      </w:r>
      <w:proofErr w:type="spellStart"/>
      <w:r w:rsidRPr="00485CB4">
        <w:rPr>
          <w:rFonts w:ascii="Arial Black" w:hAnsi="Arial Black"/>
          <w:i/>
          <w:iCs/>
          <w:sz w:val="20"/>
          <w:szCs w:val="20"/>
        </w:rPr>
        <w:t>spatio-temporal</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variability</w:t>
      </w:r>
      <w:proofErr w:type="spellEnd"/>
      <w:r w:rsidRPr="00485CB4">
        <w:rPr>
          <w:rFonts w:ascii="Arial Black" w:hAnsi="Arial Black"/>
          <w:i/>
          <w:iCs/>
          <w:sz w:val="20"/>
          <w:szCs w:val="20"/>
        </w:rPr>
        <w:t xml:space="preserve"> of </w:t>
      </w:r>
      <w:proofErr w:type="spellStart"/>
      <w:r w:rsidRPr="00485CB4">
        <w:rPr>
          <w:rFonts w:ascii="Arial Black" w:hAnsi="Arial Black"/>
          <w:i/>
          <w:iCs/>
          <w:sz w:val="20"/>
          <w:szCs w:val="20"/>
        </w:rPr>
        <w:t>climate</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extremes</w:t>
      </w:r>
      <w:proofErr w:type="spellEnd"/>
      <w:r w:rsidRPr="00485CB4">
        <w:rPr>
          <w:rFonts w:ascii="Arial Black" w:hAnsi="Arial Black"/>
          <w:i/>
          <w:iCs/>
          <w:sz w:val="20"/>
          <w:szCs w:val="20"/>
        </w:rPr>
        <w:t xml:space="preserve"> in Benin</w:t>
      </w:r>
      <w:r w:rsidRPr="00485CB4">
        <w:rPr>
          <w:rFonts w:ascii="Arial Black" w:hAnsi="Arial Black"/>
          <w:sz w:val="20"/>
          <w:szCs w:val="20"/>
        </w:rPr>
        <w:t> [</w:t>
      </w:r>
      <w:proofErr w:type="spellStart"/>
      <w:r w:rsidRPr="00485CB4">
        <w:rPr>
          <w:rFonts w:ascii="Arial Black" w:hAnsi="Arial Black"/>
          <w:sz w:val="20"/>
          <w:szCs w:val="20"/>
        </w:rPr>
        <w:t>Master's</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thesis</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University</w:t>
      </w:r>
      <w:proofErr w:type="spellEnd"/>
      <w:r w:rsidRPr="00485CB4">
        <w:rPr>
          <w:rFonts w:ascii="Arial Black" w:hAnsi="Arial Black"/>
          <w:sz w:val="20"/>
          <w:szCs w:val="20"/>
        </w:rPr>
        <w:t xml:space="preserve"> of Abomey-Calavi].</w:t>
      </w:r>
    </w:p>
    <w:p w14:paraId="0346927C"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proofErr w:type="spellStart"/>
      <w:r w:rsidRPr="00485CB4">
        <w:rPr>
          <w:rFonts w:ascii="Arial Black" w:hAnsi="Arial Black"/>
          <w:sz w:val="20"/>
          <w:szCs w:val="20"/>
        </w:rPr>
        <w:t>Kohnert</w:t>
      </w:r>
      <w:proofErr w:type="spellEnd"/>
      <w:r w:rsidRPr="00485CB4">
        <w:rPr>
          <w:rFonts w:ascii="Arial Black" w:hAnsi="Arial Black"/>
          <w:sz w:val="20"/>
          <w:szCs w:val="20"/>
        </w:rPr>
        <w:t>, D. (2024). </w:t>
      </w:r>
      <w:r w:rsidRPr="00485CB4">
        <w:rPr>
          <w:rFonts w:ascii="Arial Black" w:hAnsi="Arial Black"/>
          <w:i/>
          <w:iCs/>
          <w:sz w:val="20"/>
          <w:szCs w:val="20"/>
        </w:rPr>
        <w:t xml:space="preserve">The impact of CO2 </w:t>
      </w:r>
      <w:proofErr w:type="spellStart"/>
      <w:r w:rsidRPr="00485CB4">
        <w:rPr>
          <w:rFonts w:ascii="Arial Black" w:hAnsi="Arial Black"/>
          <w:i/>
          <w:iCs/>
          <w:sz w:val="20"/>
          <w:szCs w:val="20"/>
        </w:rPr>
        <w:t>emissions</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from</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industrialized</w:t>
      </w:r>
      <w:proofErr w:type="spellEnd"/>
      <w:r w:rsidRPr="00485CB4">
        <w:rPr>
          <w:rFonts w:ascii="Arial Black" w:hAnsi="Arial Black"/>
          <w:i/>
          <w:iCs/>
          <w:sz w:val="20"/>
          <w:szCs w:val="20"/>
        </w:rPr>
        <w:t xml:space="preserve"> countries on </w:t>
      </w:r>
      <w:proofErr w:type="spellStart"/>
      <w:r w:rsidRPr="00485CB4">
        <w:rPr>
          <w:rFonts w:ascii="Arial Black" w:hAnsi="Arial Black"/>
          <w:i/>
          <w:iCs/>
          <w:sz w:val="20"/>
          <w:szCs w:val="20"/>
        </w:rPr>
        <w:t>climate</w:t>
      </w:r>
      <w:proofErr w:type="spellEnd"/>
      <w:r w:rsidRPr="00485CB4">
        <w:rPr>
          <w:rFonts w:ascii="Arial Black" w:hAnsi="Arial Black"/>
          <w:i/>
          <w:iCs/>
          <w:sz w:val="20"/>
          <w:szCs w:val="20"/>
        </w:rPr>
        <w:t xml:space="preserve"> change in </w:t>
      </w:r>
      <w:proofErr w:type="spellStart"/>
      <w:r w:rsidRPr="00485CB4">
        <w:rPr>
          <w:rFonts w:ascii="Arial Black" w:hAnsi="Arial Black"/>
          <w:i/>
          <w:iCs/>
          <w:sz w:val="20"/>
          <w:szCs w:val="20"/>
        </w:rPr>
        <w:t>sub-Saharan</w:t>
      </w:r>
      <w:proofErr w:type="spellEnd"/>
      <w:r w:rsidRPr="00485CB4">
        <w:rPr>
          <w:rFonts w:ascii="Arial Black" w:hAnsi="Arial Black"/>
          <w:i/>
          <w:iCs/>
          <w:sz w:val="20"/>
          <w:szCs w:val="20"/>
        </w:rPr>
        <w:t xml:space="preserve"> </w:t>
      </w:r>
      <w:proofErr w:type="spellStart"/>
      <w:proofErr w:type="gramStart"/>
      <w:r w:rsidRPr="00485CB4">
        <w:rPr>
          <w:rFonts w:ascii="Arial Black" w:hAnsi="Arial Black"/>
          <w:i/>
          <w:iCs/>
          <w:sz w:val="20"/>
          <w:szCs w:val="20"/>
        </w:rPr>
        <w:t>Africa</w:t>
      </w:r>
      <w:proofErr w:type="spellEnd"/>
      <w:r w:rsidRPr="00485CB4">
        <w:rPr>
          <w:rFonts w:ascii="Arial Black" w:hAnsi="Arial Black"/>
          <w:i/>
          <w:iCs/>
          <w:sz w:val="20"/>
          <w:szCs w:val="20"/>
        </w:rPr>
        <w:t>:</w:t>
      </w:r>
      <w:proofErr w:type="gramEnd"/>
      <w:r w:rsidRPr="00485CB4">
        <w:rPr>
          <w:rFonts w:ascii="Arial Black" w:hAnsi="Arial Black"/>
          <w:i/>
          <w:iCs/>
          <w:sz w:val="20"/>
          <w:szCs w:val="20"/>
        </w:rPr>
        <w:t xml:space="preserve"> Case </w:t>
      </w:r>
      <w:proofErr w:type="spellStart"/>
      <w:r w:rsidRPr="00485CB4">
        <w:rPr>
          <w:rFonts w:ascii="Arial Black" w:hAnsi="Arial Black"/>
          <w:i/>
          <w:iCs/>
          <w:sz w:val="20"/>
          <w:szCs w:val="20"/>
        </w:rPr>
        <w:t>studies</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from</w:t>
      </w:r>
      <w:proofErr w:type="spellEnd"/>
      <w:r w:rsidRPr="00485CB4">
        <w:rPr>
          <w:rFonts w:ascii="Arial Black" w:hAnsi="Arial Black"/>
          <w:i/>
          <w:iCs/>
          <w:sz w:val="20"/>
          <w:szCs w:val="20"/>
        </w:rPr>
        <w:t xml:space="preserve"> South </w:t>
      </w:r>
      <w:proofErr w:type="spellStart"/>
      <w:r w:rsidRPr="00485CB4">
        <w:rPr>
          <w:rFonts w:ascii="Arial Black" w:hAnsi="Arial Black"/>
          <w:i/>
          <w:iCs/>
          <w:sz w:val="20"/>
          <w:szCs w:val="20"/>
        </w:rPr>
        <w:t>Africa</w:t>
      </w:r>
      <w:proofErr w:type="spellEnd"/>
      <w:r w:rsidRPr="00485CB4">
        <w:rPr>
          <w:rFonts w:ascii="Arial Black" w:hAnsi="Arial Black"/>
          <w:i/>
          <w:iCs/>
          <w:sz w:val="20"/>
          <w:szCs w:val="20"/>
        </w:rPr>
        <w:t>, Nigeria, and the Democratic Republic of Congo</w:t>
      </w:r>
      <w:r w:rsidRPr="00485CB4">
        <w:rPr>
          <w:rFonts w:ascii="Arial Black" w:hAnsi="Arial Black"/>
          <w:sz w:val="20"/>
          <w:szCs w:val="20"/>
        </w:rPr>
        <w:t>.</w:t>
      </w:r>
    </w:p>
    <w:p w14:paraId="456E5871" w14:textId="2FA6D05D"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 xml:space="preserve">Le Barbé, L., &amp; Tapsoba, D. (1994). A </w:t>
      </w:r>
      <w:proofErr w:type="spellStart"/>
      <w:r w:rsidRPr="00485CB4">
        <w:rPr>
          <w:rFonts w:ascii="Arial Black" w:hAnsi="Arial Black"/>
          <w:sz w:val="20"/>
          <w:szCs w:val="20"/>
        </w:rPr>
        <w:t>method</w:t>
      </w:r>
      <w:proofErr w:type="spellEnd"/>
      <w:r w:rsidRPr="00485CB4">
        <w:rPr>
          <w:rFonts w:ascii="Arial Black" w:hAnsi="Arial Black"/>
          <w:sz w:val="20"/>
          <w:szCs w:val="20"/>
        </w:rPr>
        <w:t xml:space="preserve"> for </w:t>
      </w:r>
      <w:proofErr w:type="spellStart"/>
      <w:r w:rsidRPr="00485CB4">
        <w:rPr>
          <w:rFonts w:ascii="Arial Black" w:hAnsi="Arial Black"/>
          <w:sz w:val="20"/>
          <w:szCs w:val="20"/>
        </w:rPr>
        <w:t>characterizing</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interannual</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rainfall</w:t>
      </w:r>
      <w:proofErr w:type="spellEnd"/>
      <w:r w:rsidRPr="00485CB4">
        <w:rPr>
          <w:rFonts w:ascii="Arial Black" w:hAnsi="Arial Black"/>
          <w:sz w:val="20"/>
          <w:szCs w:val="20"/>
        </w:rPr>
        <w:t xml:space="preserve"> fluctuations in the </w:t>
      </w:r>
      <w:proofErr w:type="gramStart"/>
      <w:r w:rsidRPr="00485CB4">
        <w:rPr>
          <w:rFonts w:ascii="Arial Black" w:hAnsi="Arial Black"/>
          <w:sz w:val="20"/>
          <w:szCs w:val="20"/>
        </w:rPr>
        <w:t>Sahel:</w:t>
      </w:r>
      <w:proofErr w:type="gramEnd"/>
      <w:r w:rsidRPr="00485CB4">
        <w:rPr>
          <w:rFonts w:ascii="Arial Black" w:hAnsi="Arial Black"/>
          <w:sz w:val="20"/>
          <w:szCs w:val="20"/>
        </w:rPr>
        <w:t xml:space="preserve"> The </w:t>
      </w:r>
      <w:proofErr w:type="spellStart"/>
      <w:r w:rsidRPr="00485CB4">
        <w:rPr>
          <w:rFonts w:ascii="Arial Black" w:hAnsi="Arial Black"/>
          <w:sz w:val="20"/>
          <w:szCs w:val="20"/>
        </w:rPr>
        <w:t>example</w:t>
      </w:r>
      <w:proofErr w:type="spellEnd"/>
      <w:r w:rsidRPr="00485CB4">
        <w:rPr>
          <w:rFonts w:ascii="Arial Black" w:hAnsi="Arial Black"/>
          <w:sz w:val="20"/>
          <w:szCs w:val="20"/>
        </w:rPr>
        <w:t xml:space="preserve"> of Burkina Faso. In </w:t>
      </w:r>
      <w:r w:rsidRPr="00485CB4">
        <w:rPr>
          <w:rFonts w:ascii="Arial Black" w:hAnsi="Arial Black"/>
          <w:i/>
          <w:iCs/>
          <w:sz w:val="20"/>
          <w:szCs w:val="20"/>
        </w:rPr>
        <w:t>Continental surface/</w:t>
      </w:r>
      <w:proofErr w:type="spellStart"/>
      <w:r w:rsidRPr="00485CB4">
        <w:rPr>
          <w:rFonts w:ascii="Arial Black" w:hAnsi="Arial Black"/>
          <w:i/>
          <w:iCs/>
          <w:sz w:val="20"/>
          <w:szCs w:val="20"/>
        </w:rPr>
        <w:t>atmosphere</w:t>
      </w:r>
      <w:proofErr w:type="spellEnd"/>
      <w:r w:rsidRPr="00485CB4">
        <w:rPr>
          <w:rFonts w:ascii="Arial Black" w:hAnsi="Arial Black"/>
          <w:i/>
          <w:iCs/>
          <w:sz w:val="20"/>
          <w:szCs w:val="20"/>
        </w:rPr>
        <w:t xml:space="preserve"> interactions</w:t>
      </w:r>
      <w:r w:rsidR="00205784" w:rsidRPr="00485CB4">
        <w:rPr>
          <w:rFonts w:ascii="Arial Black" w:hAnsi="Arial Black"/>
          <w:i/>
          <w:iCs/>
          <w:sz w:val="20"/>
          <w:szCs w:val="20"/>
        </w:rPr>
        <w:t xml:space="preserve"> </w:t>
      </w:r>
      <w:r w:rsidRPr="00485CB4">
        <w:rPr>
          <w:rFonts w:ascii="Arial Black" w:hAnsi="Arial Black"/>
          <w:i/>
          <w:iCs/>
          <w:sz w:val="20"/>
          <w:szCs w:val="20"/>
        </w:rPr>
        <w:t xml:space="preserve">: The HAPEX-Sahel-10 </w:t>
      </w:r>
      <w:proofErr w:type="spellStart"/>
      <w:r w:rsidRPr="00485CB4">
        <w:rPr>
          <w:rFonts w:ascii="Arial Black" w:hAnsi="Arial Black"/>
          <w:i/>
          <w:iCs/>
          <w:sz w:val="20"/>
          <w:szCs w:val="20"/>
        </w:rPr>
        <w:t>experiment</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Hydrology</w:t>
      </w:r>
      <w:proofErr w:type="spellEnd"/>
      <w:r w:rsidRPr="00485CB4">
        <w:rPr>
          <w:rFonts w:ascii="Arial Black" w:hAnsi="Arial Black"/>
          <w:i/>
          <w:iCs/>
          <w:sz w:val="20"/>
          <w:szCs w:val="20"/>
        </w:rPr>
        <w:t xml:space="preserve"> Days</w:t>
      </w:r>
      <w:r w:rsidRPr="00485CB4">
        <w:rPr>
          <w:rFonts w:ascii="Arial Black" w:hAnsi="Arial Black"/>
          <w:sz w:val="20"/>
          <w:szCs w:val="20"/>
        </w:rPr>
        <w:t>, 13-14.</w:t>
      </w:r>
    </w:p>
    <w:p w14:paraId="3543C623"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 xml:space="preserve">Lopez, B., Croiset, N., </w:t>
      </w:r>
      <w:proofErr w:type="spellStart"/>
      <w:r w:rsidRPr="00485CB4">
        <w:rPr>
          <w:rFonts w:ascii="Arial Black" w:hAnsi="Arial Black"/>
          <w:sz w:val="20"/>
          <w:szCs w:val="20"/>
        </w:rPr>
        <w:t>Surdyk</w:t>
      </w:r>
      <w:proofErr w:type="spellEnd"/>
      <w:r w:rsidRPr="00485CB4">
        <w:rPr>
          <w:rFonts w:ascii="Arial Black" w:hAnsi="Arial Black"/>
          <w:sz w:val="20"/>
          <w:szCs w:val="20"/>
        </w:rPr>
        <w:t xml:space="preserve">, N., &amp; </w:t>
      </w:r>
      <w:proofErr w:type="spellStart"/>
      <w:r w:rsidRPr="00485CB4">
        <w:rPr>
          <w:rFonts w:ascii="Arial Black" w:hAnsi="Arial Black"/>
          <w:sz w:val="20"/>
          <w:szCs w:val="20"/>
        </w:rPr>
        <w:t>Brugeron</w:t>
      </w:r>
      <w:proofErr w:type="spellEnd"/>
      <w:r w:rsidRPr="00485CB4">
        <w:rPr>
          <w:rFonts w:ascii="Arial Black" w:hAnsi="Arial Black"/>
          <w:sz w:val="20"/>
          <w:szCs w:val="20"/>
        </w:rPr>
        <w:t>, A. (2013). </w:t>
      </w:r>
      <w:proofErr w:type="spellStart"/>
      <w:r w:rsidRPr="00485CB4">
        <w:rPr>
          <w:rFonts w:ascii="Arial Black" w:hAnsi="Arial Black"/>
          <w:i/>
          <w:iCs/>
          <w:sz w:val="20"/>
          <w:szCs w:val="20"/>
        </w:rPr>
        <w:t>Development</w:t>
      </w:r>
      <w:proofErr w:type="spellEnd"/>
      <w:r w:rsidRPr="00485CB4">
        <w:rPr>
          <w:rFonts w:ascii="Arial Black" w:hAnsi="Arial Black"/>
          <w:i/>
          <w:iCs/>
          <w:sz w:val="20"/>
          <w:szCs w:val="20"/>
        </w:rPr>
        <w:t xml:space="preserve"> of </w:t>
      </w:r>
      <w:proofErr w:type="spellStart"/>
      <w:r w:rsidRPr="00485CB4">
        <w:rPr>
          <w:rFonts w:ascii="Arial Black" w:hAnsi="Arial Black"/>
          <w:i/>
          <w:iCs/>
          <w:sz w:val="20"/>
          <w:szCs w:val="20"/>
        </w:rPr>
        <w:t>tools</w:t>
      </w:r>
      <w:proofErr w:type="spellEnd"/>
      <w:r w:rsidRPr="00485CB4">
        <w:rPr>
          <w:rFonts w:ascii="Arial Black" w:hAnsi="Arial Black"/>
          <w:i/>
          <w:iCs/>
          <w:sz w:val="20"/>
          <w:szCs w:val="20"/>
        </w:rPr>
        <w:t xml:space="preserve"> to assist in the </w:t>
      </w:r>
      <w:proofErr w:type="spellStart"/>
      <w:r w:rsidRPr="00485CB4">
        <w:rPr>
          <w:rFonts w:ascii="Arial Black" w:hAnsi="Arial Black"/>
          <w:i/>
          <w:iCs/>
          <w:sz w:val="20"/>
          <w:szCs w:val="20"/>
        </w:rPr>
        <w:t>assessment</w:t>
      </w:r>
      <w:proofErr w:type="spellEnd"/>
      <w:r w:rsidRPr="00485CB4">
        <w:rPr>
          <w:rFonts w:ascii="Arial Black" w:hAnsi="Arial Black"/>
          <w:i/>
          <w:iCs/>
          <w:sz w:val="20"/>
          <w:szCs w:val="20"/>
        </w:rPr>
        <w:t xml:space="preserve"> of </w:t>
      </w:r>
      <w:proofErr w:type="spellStart"/>
      <w:r w:rsidRPr="00485CB4">
        <w:rPr>
          <w:rFonts w:ascii="Arial Black" w:hAnsi="Arial Black"/>
          <w:i/>
          <w:iCs/>
          <w:sz w:val="20"/>
          <w:szCs w:val="20"/>
        </w:rPr>
        <w:t>groundwater</w:t>
      </w:r>
      <w:proofErr w:type="spellEnd"/>
      <w:r w:rsidRPr="00485CB4">
        <w:rPr>
          <w:rFonts w:ascii="Arial Black" w:hAnsi="Arial Black"/>
          <w:i/>
          <w:iCs/>
          <w:sz w:val="20"/>
          <w:szCs w:val="20"/>
        </w:rPr>
        <w:t xml:space="preserve"> trends </w:t>
      </w:r>
      <w:proofErr w:type="spellStart"/>
      <w:r w:rsidRPr="00485CB4">
        <w:rPr>
          <w:rFonts w:ascii="Arial Black" w:hAnsi="Arial Black"/>
          <w:i/>
          <w:iCs/>
          <w:sz w:val="20"/>
          <w:szCs w:val="20"/>
        </w:rPr>
        <w:t>under</w:t>
      </w:r>
      <w:proofErr w:type="spellEnd"/>
      <w:r w:rsidRPr="00485CB4">
        <w:rPr>
          <w:rFonts w:ascii="Arial Black" w:hAnsi="Arial Black"/>
          <w:i/>
          <w:iCs/>
          <w:sz w:val="20"/>
          <w:szCs w:val="20"/>
        </w:rPr>
        <w:t xml:space="preserve"> the Water Framework Directive</w:t>
      </w:r>
      <w:r w:rsidRPr="00485CB4">
        <w:rPr>
          <w:rFonts w:ascii="Arial Black" w:hAnsi="Arial Black"/>
          <w:sz w:val="20"/>
          <w:szCs w:val="20"/>
        </w:rPr>
        <w:t>. Bureau de Recherches Géologiques et Minières. </w:t>
      </w:r>
      <w:hyperlink r:id="rId24" w:tgtFrame="_blank" w:history="1">
        <w:r w:rsidRPr="00485CB4">
          <w:rPr>
            <w:rStyle w:val="Hyperlink"/>
            <w:rFonts w:ascii="Arial Black" w:hAnsi="Arial Black"/>
            <w:b/>
            <w:bCs/>
            <w:sz w:val="20"/>
            <w:szCs w:val="20"/>
          </w:rPr>
          <w:t>http://infoterre.brgm.fr/rapports/RP-61855-FR.pdf</w:t>
        </w:r>
      </w:hyperlink>
    </w:p>
    <w:p w14:paraId="04150A74"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proofErr w:type="spellStart"/>
      <w:r w:rsidRPr="00485CB4">
        <w:rPr>
          <w:rFonts w:ascii="Arial Black" w:hAnsi="Arial Black"/>
          <w:sz w:val="20"/>
          <w:szCs w:val="20"/>
        </w:rPr>
        <w:t>Lothoré</w:t>
      </w:r>
      <w:proofErr w:type="spellEnd"/>
      <w:r w:rsidRPr="00485CB4">
        <w:rPr>
          <w:rFonts w:ascii="Arial Black" w:hAnsi="Arial Black"/>
          <w:sz w:val="20"/>
          <w:szCs w:val="20"/>
        </w:rPr>
        <w:t>, A., &amp; Delmas, P. (2009). </w:t>
      </w:r>
      <w:proofErr w:type="spellStart"/>
      <w:r w:rsidRPr="00485CB4">
        <w:rPr>
          <w:rFonts w:ascii="Arial Black" w:hAnsi="Arial Black"/>
          <w:i/>
          <w:iCs/>
          <w:sz w:val="20"/>
          <w:szCs w:val="20"/>
        </w:rPr>
        <w:t>Market</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access</w:t>
      </w:r>
      <w:proofErr w:type="spellEnd"/>
      <w:r w:rsidRPr="00485CB4">
        <w:rPr>
          <w:rFonts w:ascii="Arial Black" w:hAnsi="Arial Black"/>
          <w:i/>
          <w:iCs/>
          <w:sz w:val="20"/>
          <w:szCs w:val="20"/>
        </w:rPr>
        <w:t xml:space="preserve"> and marketing of agricultural </w:t>
      </w:r>
      <w:proofErr w:type="spellStart"/>
      <w:r w:rsidRPr="00485CB4">
        <w:rPr>
          <w:rFonts w:ascii="Arial Black" w:hAnsi="Arial Black"/>
          <w:i/>
          <w:iCs/>
          <w:sz w:val="20"/>
          <w:szCs w:val="20"/>
        </w:rPr>
        <w:t>products</w:t>
      </w:r>
      <w:proofErr w:type="spellEnd"/>
      <w:r w:rsidRPr="00485CB4">
        <w:rPr>
          <w:rFonts w:ascii="Arial Black" w:hAnsi="Arial Black"/>
          <w:sz w:val="20"/>
          <w:szCs w:val="20"/>
        </w:rPr>
        <w:t>. Inter-réseaux, CTA, AFD. </w:t>
      </w:r>
      <w:hyperlink r:id="rId25" w:tgtFrame="_blank" w:history="1">
        <w:r w:rsidRPr="00485CB4">
          <w:rPr>
            <w:rStyle w:val="Hyperlink"/>
            <w:rFonts w:ascii="Arial Black" w:hAnsi="Arial Black"/>
            <w:b/>
            <w:bCs/>
            <w:sz w:val="20"/>
            <w:szCs w:val="20"/>
          </w:rPr>
          <w:t>https://www.inter-reseaux.org/wp-content/uploads/pdf_version_complet.pdf</w:t>
        </w:r>
      </w:hyperlink>
    </w:p>
    <w:p w14:paraId="363EC089"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Mairi, D. (2019). </w:t>
      </w:r>
      <w:r w:rsidRPr="00485CB4">
        <w:rPr>
          <w:rFonts w:ascii="Arial Black" w:hAnsi="Arial Black"/>
          <w:i/>
          <w:iCs/>
          <w:sz w:val="20"/>
          <w:szCs w:val="20"/>
        </w:rPr>
        <w:t xml:space="preserve">IPCC </w:t>
      </w:r>
      <w:proofErr w:type="spellStart"/>
      <w:r w:rsidRPr="00485CB4">
        <w:rPr>
          <w:rFonts w:ascii="Arial Black" w:hAnsi="Arial Black"/>
          <w:i/>
          <w:iCs/>
          <w:sz w:val="20"/>
          <w:szCs w:val="20"/>
        </w:rPr>
        <w:t>Special</w:t>
      </w:r>
      <w:proofErr w:type="spellEnd"/>
      <w:r w:rsidRPr="00485CB4">
        <w:rPr>
          <w:rFonts w:ascii="Arial Black" w:hAnsi="Arial Black"/>
          <w:i/>
          <w:iCs/>
          <w:sz w:val="20"/>
          <w:szCs w:val="20"/>
        </w:rPr>
        <w:t xml:space="preserve"> Report on </w:t>
      </w:r>
      <w:proofErr w:type="spellStart"/>
      <w:r w:rsidRPr="00485CB4">
        <w:rPr>
          <w:rFonts w:ascii="Arial Black" w:hAnsi="Arial Black"/>
          <w:i/>
          <w:iCs/>
          <w:sz w:val="20"/>
          <w:szCs w:val="20"/>
        </w:rPr>
        <w:t>Climate</w:t>
      </w:r>
      <w:proofErr w:type="spellEnd"/>
      <w:r w:rsidRPr="00485CB4">
        <w:rPr>
          <w:rFonts w:ascii="Arial Black" w:hAnsi="Arial Black"/>
          <w:i/>
          <w:iCs/>
          <w:sz w:val="20"/>
          <w:szCs w:val="20"/>
        </w:rPr>
        <w:t xml:space="preserve"> Change and </w:t>
      </w:r>
      <w:proofErr w:type="gramStart"/>
      <w:r w:rsidRPr="00485CB4">
        <w:rPr>
          <w:rFonts w:ascii="Arial Black" w:hAnsi="Arial Black"/>
          <w:i/>
          <w:iCs/>
          <w:sz w:val="20"/>
          <w:szCs w:val="20"/>
        </w:rPr>
        <w:t>Land:</w:t>
      </w:r>
      <w:proofErr w:type="gramEnd"/>
      <w:r w:rsidRPr="00485CB4">
        <w:rPr>
          <w:rFonts w:ascii="Arial Black" w:hAnsi="Arial Black"/>
          <w:i/>
          <w:iCs/>
          <w:sz w:val="20"/>
          <w:szCs w:val="20"/>
        </w:rPr>
        <w:t xml:space="preserve"> </w:t>
      </w:r>
      <w:proofErr w:type="spellStart"/>
      <w:r w:rsidRPr="00485CB4">
        <w:rPr>
          <w:rFonts w:ascii="Arial Black" w:hAnsi="Arial Black"/>
          <w:i/>
          <w:iCs/>
          <w:sz w:val="20"/>
          <w:szCs w:val="20"/>
        </w:rPr>
        <w:t>What</w:t>
      </w:r>
      <w:proofErr w:type="spellEnd"/>
      <w:r w:rsidRPr="00485CB4">
        <w:rPr>
          <w:rFonts w:ascii="Arial Black" w:hAnsi="Arial Black"/>
          <w:i/>
          <w:iCs/>
          <w:sz w:val="20"/>
          <w:szCs w:val="20"/>
        </w:rPr>
        <w:t xml:space="preserve"> are the impacts for </w:t>
      </w:r>
      <w:proofErr w:type="spellStart"/>
      <w:r w:rsidRPr="00485CB4">
        <w:rPr>
          <w:rFonts w:ascii="Arial Black" w:hAnsi="Arial Black"/>
          <w:i/>
          <w:iCs/>
          <w:sz w:val="20"/>
          <w:szCs w:val="20"/>
        </w:rPr>
        <w:t>Africa</w:t>
      </w:r>
      <w:proofErr w:type="spellEnd"/>
      <w:r w:rsidRPr="00485CB4">
        <w:rPr>
          <w:rFonts w:ascii="Arial Black" w:hAnsi="Arial Black"/>
          <w:i/>
          <w:iCs/>
          <w:sz w:val="20"/>
          <w:szCs w:val="20"/>
        </w:rPr>
        <w:t>?</w:t>
      </w:r>
    </w:p>
    <w:p w14:paraId="206D0AAF"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proofErr w:type="spellStart"/>
      <w:r w:rsidRPr="00485CB4">
        <w:rPr>
          <w:rFonts w:ascii="Arial Black" w:hAnsi="Arial Black"/>
          <w:sz w:val="20"/>
          <w:szCs w:val="20"/>
        </w:rPr>
        <w:lastRenderedPageBreak/>
        <w:t>McLeod</w:t>
      </w:r>
      <w:proofErr w:type="spellEnd"/>
      <w:r w:rsidRPr="00485CB4">
        <w:rPr>
          <w:rFonts w:ascii="Arial Black" w:hAnsi="Arial Black"/>
          <w:sz w:val="20"/>
          <w:szCs w:val="20"/>
        </w:rPr>
        <w:t xml:space="preserve">, A. I. (2005). Kendall </w:t>
      </w:r>
      <w:proofErr w:type="spellStart"/>
      <w:r w:rsidRPr="00485CB4">
        <w:rPr>
          <w:rFonts w:ascii="Arial Black" w:hAnsi="Arial Black"/>
          <w:sz w:val="20"/>
          <w:szCs w:val="20"/>
        </w:rPr>
        <w:t>rank</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correlation</w:t>
      </w:r>
      <w:proofErr w:type="spellEnd"/>
      <w:r w:rsidRPr="00485CB4">
        <w:rPr>
          <w:rFonts w:ascii="Arial Black" w:hAnsi="Arial Black"/>
          <w:sz w:val="20"/>
          <w:szCs w:val="20"/>
        </w:rPr>
        <w:t xml:space="preserve"> and Mann-Kendall trend test. </w:t>
      </w:r>
      <w:r w:rsidRPr="00485CB4">
        <w:rPr>
          <w:rFonts w:ascii="Arial Black" w:hAnsi="Arial Black"/>
          <w:i/>
          <w:iCs/>
          <w:sz w:val="20"/>
          <w:szCs w:val="20"/>
        </w:rPr>
        <w:t>R package Kendall</w:t>
      </w:r>
      <w:r w:rsidRPr="00485CB4">
        <w:rPr>
          <w:rFonts w:ascii="Arial Black" w:hAnsi="Arial Black"/>
          <w:sz w:val="20"/>
          <w:szCs w:val="20"/>
        </w:rPr>
        <w:t>, </w:t>
      </w:r>
      <w:r w:rsidRPr="00485CB4">
        <w:rPr>
          <w:rFonts w:ascii="Arial Black" w:hAnsi="Arial Black"/>
          <w:i/>
          <w:iCs/>
          <w:sz w:val="20"/>
          <w:szCs w:val="20"/>
        </w:rPr>
        <w:t>602</w:t>
      </w:r>
      <w:r w:rsidRPr="00485CB4">
        <w:rPr>
          <w:rFonts w:ascii="Arial Black" w:hAnsi="Arial Black"/>
          <w:sz w:val="20"/>
          <w:szCs w:val="20"/>
        </w:rPr>
        <w:t>, 1-10.</w:t>
      </w:r>
    </w:p>
    <w:p w14:paraId="123F96EC" w14:textId="4091AD01"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Montane, C. (2024). </w:t>
      </w:r>
      <w:proofErr w:type="spellStart"/>
      <w:r w:rsidRPr="00485CB4">
        <w:rPr>
          <w:rFonts w:ascii="Arial Black" w:hAnsi="Arial Black"/>
          <w:i/>
          <w:iCs/>
          <w:sz w:val="20"/>
          <w:szCs w:val="20"/>
        </w:rPr>
        <w:t>Optimization</w:t>
      </w:r>
      <w:proofErr w:type="spellEnd"/>
      <w:r w:rsidRPr="00485CB4">
        <w:rPr>
          <w:rFonts w:ascii="Arial Black" w:hAnsi="Arial Black"/>
          <w:i/>
          <w:iCs/>
          <w:sz w:val="20"/>
          <w:szCs w:val="20"/>
        </w:rPr>
        <w:t xml:space="preserve"> of </w:t>
      </w:r>
      <w:proofErr w:type="spellStart"/>
      <w:r w:rsidRPr="00485CB4">
        <w:rPr>
          <w:rFonts w:ascii="Arial Black" w:hAnsi="Arial Black"/>
          <w:i/>
          <w:iCs/>
          <w:sz w:val="20"/>
          <w:szCs w:val="20"/>
        </w:rPr>
        <w:t>fertilization</w:t>
      </w:r>
      <w:proofErr w:type="spellEnd"/>
      <w:r w:rsidRPr="00485CB4">
        <w:rPr>
          <w:rFonts w:ascii="Arial Black" w:hAnsi="Arial Black"/>
          <w:i/>
          <w:iCs/>
          <w:sz w:val="20"/>
          <w:szCs w:val="20"/>
        </w:rPr>
        <w:t xml:space="preserve"> in </w:t>
      </w:r>
      <w:proofErr w:type="spellStart"/>
      <w:r w:rsidRPr="00485CB4">
        <w:rPr>
          <w:rFonts w:ascii="Arial Black" w:hAnsi="Arial Black"/>
          <w:i/>
          <w:iCs/>
          <w:sz w:val="20"/>
          <w:szCs w:val="20"/>
        </w:rPr>
        <w:t>market</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gardening</w:t>
      </w:r>
      <w:proofErr w:type="spellEnd"/>
      <w:r w:rsidRPr="00485CB4">
        <w:rPr>
          <w:rFonts w:ascii="Arial Black" w:hAnsi="Arial Black"/>
          <w:i/>
          <w:iCs/>
          <w:sz w:val="20"/>
          <w:szCs w:val="20"/>
        </w:rPr>
        <w:t xml:space="preserve"> in Réunion</w:t>
      </w:r>
      <w:r w:rsidR="00205784" w:rsidRPr="00485CB4">
        <w:rPr>
          <w:rFonts w:ascii="Arial Black" w:hAnsi="Arial Black"/>
          <w:i/>
          <w:iCs/>
          <w:sz w:val="20"/>
          <w:szCs w:val="20"/>
        </w:rPr>
        <w:t xml:space="preserve"> </w:t>
      </w:r>
      <w:r w:rsidRPr="00485CB4">
        <w:rPr>
          <w:rFonts w:ascii="Arial Black" w:hAnsi="Arial Black"/>
          <w:i/>
          <w:iCs/>
          <w:sz w:val="20"/>
          <w:szCs w:val="20"/>
        </w:rPr>
        <w:t xml:space="preserve">: Impact of </w:t>
      </w:r>
      <w:proofErr w:type="spellStart"/>
      <w:r w:rsidRPr="00485CB4">
        <w:rPr>
          <w:rFonts w:ascii="Arial Black" w:hAnsi="Arial Black"/>
          <w:i/>
          <w:iCs/>
          <w:sz w:val="20"/>
          <w:szCs w:val="20"/>
        </w:rPr>
        <w:t>climate</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yield</w:t>
      </w:r>
      <w:proofErr w:type="spellEnd"/>
      <w:r w:rsidRPr="00485CB4">
        <w:rPr>
          <w:rFonts w:ascii="Arial Black" w:hAnsi="Arial Black"/>
          <w:i/>
          <w:iCs/>
          <w:sz w:val="20"/>
          <w:szCs w:val="20"/>
        </w:rPr>
        <w:t xml:space="preserve">, and </w:t>
      </w:r>
      <w:proofErr w:type="spellStart"/>
      <w:r w:rsidRPr="00485CB4">
        <w:rPr>
          <w:rFonts w:ascii="Arial Black" w:hAnsi="Arial Black"/>
          <w:i/>
          <w:iCs/>
          <w:sz w:val="20"/>
          <w:szCs w:val="20"/>
        </w:rPr>
        <w:t>fertilization</w:t>
      </w:r>
      <w:proofErr w:type="spellEnd"/>
      <w:r w:rsidRPr="00485CB4">
        <w:rPr>
          <w:rFonts w:ascii="Arial Black" w:hAnsi="Arial Black"/>
          <w:i/>
          <w:iCs/>
          <w:sz w:val="20"/>
          <w:szCs w:val="20"/>
        </w:rPr>
        <w:t xml:space="preserve"> on the composition and </w:t>
      </w:r>
      <w:proofErr w:type="spellStart"/>
      <w:r w:rsidRPr="00485CB4">
        <w:rPr>
          <w:rFonts w:ascii="Arial Black" w:hAnsi="Arial Black"/>
          <w:i/>
          <w:iCs/>
          <w:sz w:val="20"/>
          <w:szCs w:val="20"/>
        </w:rPr>
        <w:t>uptake</w:t>
      </w:r>
      <w:proofErr w:type="spellEnd"/>
      <w:r w:rsidRPr="00485CB4">
        <w:rPr>
          <w:rFonts w:ascii="Arial Black" w:hAnsi="Arial Black"/>
          <w:i/>
          <w:iCs/>
          <w:sz w:val="20"/>
          <w:szCs w:val="20"/>
        </w:rPr>
        <w:t xml:space="preserve"> of </w:t>
      </w:r>
      <w:proofErr w:type="spellStart"/>
      <w:r w:rsidRPr="00485CB4">
        <w:rPr>
          <w:rFonts w:ascii="Arial Black" w:hAnsi="Arial Black"/>
          <w:i/>
          <w:iCs/>
          <w:sz w:val="20"/>
          <w:szCs w:val="20"/>
        </w:rPr>
        <w:t>nitrogen</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phosphorus</w:t>
      </w:r>
      <w:proofErr w:type="spellEnd"/>
      <w:r w:rsidRPr="00485CB4">
        <w:rPr>
          <w:rFonts w:ascii="Arial Black" w:hAnsi="Arial Black"/>
          <w:i/>
          <w:iCs/>
          <w:sz w:val="20"/>
          <w:szCs w:val="20"/>
        </w:rPr>
        <w:t xml:space="preserve">, and potassium in </w:t>
      </w:r>
      <w:proofErr w:type="spellStart"/>
      <w:r w:rsidRPr="00485CB4">
        <w:rPr>
          <w:rFonts w:ascii="Arial Black" w:hAnsi="Arial Black"/>
          <w:i/>
          <w:iCs/>
          <w:sz w:val="20"/>
          <w:szCs w:val="20"/>
        </w:rPr>
        <w:t>market</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garden</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crops</w:t>
      </w:r>
      <w:proofErr w:type="spellEnd"/>
      <w:r w:rsidRPr="00485CB4">
        <w:rPr>
          <w:rFonts w:ascii="Arial Black" w:hAnsi="Arial Black"/>
          <w:sz w:val="20"/>
          <w:szCs w:val="20"/>
        </w:rPr>
        <w:t> [Doctoral dissertation, ISTOM].</w:t>
      </w:r>
    </w:p>
    <w:p w14:paraId="2C8D89D1"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Nguyen Vien, S. (2023). </w:t>
      </w:r>
      <w:proofErr w:type="spellStart"/>
      <w:r w:rsidRPr="00485CB4">
        <w:rPr>
          <w:rFonts w:ascii="Arial Black" w:hAnsi="Arial Black"/>
          <w:i/>
          <w:iCs/>
          <w:sz w:val="20"/>
          <w:szCs w:val="20"/>
        </w:rPr>
        <w:t>Maintaining</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market</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gardening</w:t>
      </w:r>
      <w:proofErr w:type="spellEnd"/>
      <w:r w:rsidRPr="00485CB4">
        <w:rPr>
          <w:rFonts w:ascii="Arial Black" w:hAnsi="Arial Black"/>
          <w:i/>
          <w:iCs/>
          <w:sz w:val="20"/>
          <w:szCs w:val="20"/>
        </w:rPr>
        <w:t xml:space="preserve"> in a </w:t>
      </w:r>
      <w:proofErr w:type="spellStart"/>
      <w:r w:rsidRPr="00485CB4">
        <w:rPr>
          <w:rFonts w:ascii="Arial Black" w:hAnsi="Arial Black"/>
          <w:i/>
          <w:iCs/>
          <w:sz w:val="20"/>
          <w:szCs w:val="20"/>
        </w:rPr>
        <w:t>context</w:t>
      </w:r>
      <w:proofErr w:type="spellEnd"/>
      <w:r w:rsidRPr="00485CB4">
        <w:rPr>
          <w:rFonts w:ascii="Arial Black" w:hAnsi="Arial Black"/>
          <w:i/>
          <w:iCs/>
          <w:sz w:val="20"/>
          <w:szCs w:val="20"/>
        </w:rPr>
        <w:t xml:space="preserve"> of water </w:t>
      </w:r>
      <w:proofErr w:type="spellStart"/>
      <w:proofErr w:type="gramStart"/>
      <w:r w:rsidRPr="00485CB4">
        <w:rPr>
          <w:rFonts w:ascii="Arial Black" w:hAnsi="Arial Black"/>
          <w:i/>
          <w:iCs/>
          <w:sz w:val="20"/>
          <w:szCs w:val="20"/>
        </w:rPr>
        <w:t>scarcity</w:t>
      </w:r>
      <w:proofErr w:type="spellEnd"/>
      <w:r w:rsidRPr="00485CB4">
        <w:rPr>
          <w:rFonts w:ascii="Arial Black" w:hAnsi="Arial Black"/>
          <w:i/>
          <w:iCs/>
          <w:sz w:val="20"/>
          <w:szCs w:val="20"/>
        </w:rPr>
        <w:t>:</w:t>
      </w:r>
      <w:proofErr w:type="gramEnd"/>
      <w:r w:rsidRPr="00485CB4">
        <w:rPr>
          <w:rFonts w:ascii="Arial Black" w:hAnsi="Arial Black"/>
          <w:i/>
          <w:iCs/>
          <w:sz w:val="20"/>
          <w:szCs w:val="20"/>
        </w:rPr>
        <w:t xml:space="preserve"> </w:t>
      </w:r>
      <w:proofErr w:type="spellStart"/>
      <w:r w:rsidRPr="00485CB4">
        <w:rPr>
          <w:rFonts w:ascii="Arial Black" w:hAnsi="Arial Black"/>
          <w:i/>
          <w:iCs/>
          <w:sz w:val="20"/>
          <w:szCs w:val="20"/>
        </w:rPr>
        <w:t>Study</w:t>
      </w:r>
      <w:proofErr w:type="spellEnd"/>
      <w:r w:rsidRPr="00485CB4">
        <w:rPr>
          <w:rFonts w:ascii="Arial Black" w:hAnsi="Arial Black"/>
          <w:i/>
          <w:iCs/>
          <w:sz w:val="20"/>
          <w:szCs w:val="20"/>
        </w:rPr>
        <w:t xml:space="preserve"> of the impact of </w:t>
      </w:r>
      <w:proofErr w:type="spellStart"/>
      <w:r w:rsidRPr="00485CB4">
        <w:rPr>
          <w:rFonts w:ascii="Arial Black" w:hAnsi="Arial Black"/>
          <w:i/>
          <w:iCs/>
          <w:sz w:val="20"/>
          <w:szCs w:val="20"/>
        </w:rPr>
        <w:t>climate</w:t>
      </w:r>
      <w:proofErr w:type="spellEnd"/>
      <w:r w:rsidRPr="00485CB4">
        <w:rPr>
          <w:rFonts w:ascii="Arial Black" w:hAnsi="Arial Black"/>
          <w:i/>
          <w:iCs/>
          <w:sz w:val="20"/>
          <w:szCs w:val="20"/>
        </w:rPr>
        <w:t xml:space="preserve"> change on irrigation </w:t>
      </w:r>
      <w:proofErr w:type="spellStart"/>
      <w:r w:rsidRPr="00485CB4">
        <w:rPr>
          <w:rFonts w:ascii="Arial Black" w:hAnsi="Arial Black"/>
          <w:i/>
          <w:iCs/>
          <w:sz w:val="20"/>
          <w:szCs w:val="20"/>
        </w:rPr>
        <w:t>needs</w:t>
      </w:r>
      <w:proofErr w:type="spellEnd"/>
      <w:r w:rsidRPr="00485CB4">
        <w:rPr>
          <w:rFonts w:ascii="Arial Black" w:hAnsi="Arial Black"/>
          <w:i/>
          <w:iCs/>
          <w:sz w:val="20"/>
          <w:szCs w:val="20"/>
        </w:rPr>
        <w:t xml:space="preserve"> on the Saclay plateau</w:t>
      </w:r>
      <w:r w:rsidRPr="00485CB4">
        <w:rPr>
          <w:rFonts w:ascii="Arial Black" w:hAnsi="Arial Black"/>
          <w:sz w:val="20"/>
          <w:szCs w:val="20"/>
        </w:rPr>
        <w:t> [</w:t>
      </w:r>
      <w:proofErr w:type="spellStart"/>
      <w:r w:rsidRPr="00485CB4">
        <w:rPr>
          <w:rFonts w:ascii="Arial Black" w:hAnsi="Arial Black"/>
          <w:sz w:val="20"/>
          <w:szCs w:val="20"/>
        </w:rPr>
        <w:t>Master's</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thesis</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University</w:t>
      </w:r>
      <w:proofErr w:type="spellEnd"/>
      <w:r w:rsidRPr="00485CB4">
        <w:rPr>
          <w:rFonts w:ascii="Arial Black" w:hAnsi="Arial Black"/>
          <w:sz w:val="20"/>
          <w:szCs w:val="20"/>
        </w:rPr>
        <w:t xml:space="preserve"> of Liège]. </w:t>
      </w:r>
      <w:hyperlink r:id="rId26" w:tgtFrame="_blank" w:history="1">
        <w:r w:rsidRPr="00485CB4">
          <w:rPr>
            <w:rStyle w:val="Hyperlink"/>
            <w:rFonts w:ascii="Arial Black" w:hAnsi="Arial Black"/>
            <w:b/>
            <w:bCs/>
            <w:sz w:val="20"/>
            <w:szCs w:val="20"/>
          </w:rPr>
          <w:t>https://matheo.uliege.be/handle/2268.2/17492</w:t>
        </w:r>
      </w:hyperlink>
    </w:p>
    <w:p w14:paraId="4CECE59A"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 xml:space="preserve">Ouattara, M., Zongo, B., </w:t>
      </w:r>
      <w:proofErr w:type="spellStart"/>
      <w:r w:rsidRPr="00485CB4">
        <w:rPr>
          <w:rFonts w:ascii="Arial Black" w:hAnsi="Arial Black"/>
          <w:sz w:val="20"/>
          <w:szCs w:val="20"/>
        </w:rPr>
        <w:t>Bance</w:t>
      </w:r>
      <w:proofErr w:type="spellEnd"/>
      <w:r w:rsidRPr="00485CB4">
        <w:rPr>
          <w:rFonts w:ascii="Arial Black" w:hAnsi="Arial Black"/>
          <w:sz w:val="20"/>
          <w:szCs w:val="20"/>
        </w:rPr>
        <w:t xml:space="preserve">, V., &amp; Zongo, F. (2025). </w:t>
      </w:r>
      <w:proofErr w:type="spellStart"/>
      <w:r w:rsidRPr="00485CB4">
        <w:rPr>
          <w:rFonts w:ascii="Arial Black" w:hAnsi="Arial Black"/>
          <w:sz w:val="20"/>
          <w:szCs w:val="20"/>
        </w:rPr>
        <w:t>Assessment</w:t>
      </w:r>
      <w:proofErr w:type="spellEnd"/>
      <w:r w:rsidRPr="00485CB4">
        <w:rPr>
          <w:rFonts w:ascii="Arial Black" w:hAnsi="Arial Black"/>
          <w:sz w:val="20"/>
          <w:szCs w:val="20"/>
        </w:rPr>
        <w:t xml:space="preserve"> of the </w:t>
      </w:r>
      <w:proofErr w:type="spellStart"/>
      <w:r w:rsidRPr="00485CB4">
        <w:rPr>
          <w:rFonts w:ascii="Arial Black" w:hAnsi="Arial Black"/>
          <w:sz w:val="20"/>
          <w:szCs w:val="20"/>
        </w:rPr>
        <w:t>ecological</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quality</w:t>
      </w:r>
      <w:proofErr w:type="spellEnd"/>
      <w:r w:rsidRPr="00485CB4">
        <w:rPr>
          <w:rFonts w:ascii="Arial Black" w:hAnsi="Arial Black"/>
          <w:sz w:val="20"/>
          <w:szCs w:val="20"/>
        </w:rPr>
        <w:t xml:space="preserve"> of Loumbila </w:t>
      </w:r>
      <w:proofErr w:type="spellStart"/>
      <w:r w:rsidRPr="00485CB4">
        <w:rPr>
          <w:rFonts w:ascii="Arial Black" w:hAnsi="Arial Black"/>
          <w:sz w:val="20"/>
          <w:szCs w:val="20"/>
        </w:rPr>
        <w:t>reservoir</w:t>
      </w:r>
      <w:proofErr w:type="spellEnd"/>
      <w:r w:rsidRPr="00485CB4">
        <w:rPr>
          <w:rFonts w:ascii="Arial Black" w:hAnsi="Arial Black"/>
          <w:sz w:val="20"/>
          <w:szCs w:val="20"/>
        </w:rPr>
        <w:t xml:space="preserve"> waters in Burkina Faso. </w:t>
      </w:r>
      <w:r w:rsidRPr="00485CB4">
        <w:rPr>
          <w:rFonts w:ascii="Arial Black" w:hAnsi="Arial Black"/>
          <w:i/>
          <w:iCs/>
          <w:sz w:val="20"/>
          <w:szCs w:val="20"/>
        </w:rPr>
        <w:t>International Journal of Biological and Chemical Sciences</w:t>
      </w:r>
      <w:r w:rsidRPr="00485CB4">
        <w:rPr>
          <w:rFonts w:ascii="Arial Black" w:hAnsi="Arial Black"/>
          <w:sz w:val="20"/>
          <w:szCs w:val="20"/>
        </w:rPr>
        <w:t>, </w:t>
      </w:r>
      <w:r w:rsidRPr="00485CB4">
        <w:rPr>
          <w:rFonts w:ascii="Arial Black" w:hAnsi="Arial Black"/>
          <w:i/>
          <w:iCs/>
          <w:sz w:val="20"/>
          <w:szCs w:val="20"/>
        </w:rPr>
        <w:t>19</w:t>
      </w:r>
      <w:r w:rsidRPr="00485CB4">
        <w:rPr>
          <w:rFonts w:ascii="Arial Black" w:hAnsi="Arial Black"/>
          <w:sz w:val="20"/>
          <w:szCs w:val="20"/>
        </w:rPr>
        <w:t>(2), 577-587.</w:t>
      </w:r>
    </w:p>
    <w:p w14:paraId="37311425" w14:textId="0BD9E0CC"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 xml:space="preserve">Ouédraogo, M., Dembélé, Y., &amp; </w:t>
      </w:r>
      <w:proofErr w:type="spellStart"/>
      <w:r w:rsidRPr="00485CB4">
        <w:rPr>
          <w:rFonts w:ascii="Arial Black" w:hAnsi="Arial Black"/>
          <w:sz w:val="20"/>
          <w:szCs w:val="20"/>
        </w:rPr>
        <w:t>Somé</w:t>
      </w:r>
      <w:proofErr w:type="spellEnd"/>
      <w:r w:rsidRPr="00485CB4">
        <w:rPr>
          <w:rFonts w:ascii="Arial Black" w:hAnsi="Arial Black"/>
          <w:sz w:val="20"/>
          <w:szCs w:val="20"/>
        </w:rPr>
        <w:t xml:space="preserve">, L. (2010). Farmers' perceptions and adaptation </w:t>
      </w:r>
      <w:proofErr w:type="spellStart"/>
      <w:r w:rsidRPr="00485CB4">
        <w:rPr>
          <w:rFonts w:ascii="Arial Black" w:hAnsi="Arial Black"/>
          <w:sz w:val="20"/>
          <w:szCs w:val="20"/>
        </w:rPr>
        <w:t>strategies</w:t>
      </w:r>
      <w:proofErr w:type="spellEnd"/>
      <w:r w:rsidRPr="00485CB4">
        <w:rPr>
          <w:rFonts w:ascii="Arial Black" w:hAnsi="Arial Black"/>
          <w:sz w:val="20"/>
          <w:szCs w:val="20"/>
        </w:rPr>
        <w:t xml:space="preserve"> to </w:t>
      </w:r>
      <w:proofErr w:type="spellStart"/>
      <w:r w:rsidRPr="00485CB4">
        <w:rPr>
          <w:rFonts w:ascii="Arial Black" w:hAnsi="Arial Black"/>
          <w:sz w:val="20"/>
          <w:szCs w:val="20"/>
        </w:rPr>
        <w:t>precipitation</w:t>
      </w:r>
      <w:proofErr w:type="spellEnd"/>
      <w:r w:rsidRPr="00485CB4">
        <w:rPr>
          <w:rFonts w:ascii="Arial Black" w:hAnsi="Arial Black"/>
          <w:sz w:val="20"/>
          <w:szCs w:val="20"/>
        </w:rPr>
        <w:t xml:space="preserve"> changes</w:t>
      </w:r>
      <w:r w:rsidR="00205784" w:rsidRPr="00485CB4">
        <w:rPr>
          <w:rFonts w:ascii="Arial Black" w:hAnsi="Arial Black"/>
          <w:sz w:val="20"/>
          <w:szCs w:val="20"/>
        </w:rPr>
        <w:t xml:space="preserve"> </w:t>
      </w:r>
      <w:r w:rsidRPr="00485CB4">
        <w:rPr>
          <w:rFonts w:ascii="Arial Black" w:hAnsi="Arial Black"/>
          <w:sz w:val="20"/>
          <w:szCs w:val="20"/>
        </w:rPr>
        <w:t xml:space="preserve">: The case of Burkina Faso </w:t>
      </w:r>
      <w:proofErr w:type="spellStart"/>
      <w:r w:rsidRPr="00485CB4">
        <w:rPr>
          <w:rFonts w:ascii="Arial Black" w:hAnsi="Arial Black"/>
          <w:sz w:val="20"/>
          <w:szCs w:val="20"/>
        </w:rPr>
        <w:t>farmers</w:t>
      </w:r>
      <w:proofErr w:type="spellEnd"/>
      <w:r w:rsidRPr="00485CB4">
        <w:rPr>
          <w:rFonts w:ascii="Arial Black" w:hAnsi="Arial Black"/>
          <w:sz w:val="20"/>
          <w:szCs w:val="20"/>
        </w:rPr>
        <w:t>. </w:t>
      </w:r>
      <w:r w:rsidRPr="00485CB4">
        <w:rPr>
          <w:rFonts w:ascii="Arial Black" w:hAnsi="Arial Black"/>
          <w:i/>
          <w:iCs/>
          <w:sz w:val="20"/>
          <w:szCs w:val="20"/>
        </w:rPr>
        <w:t>Sécheresse</w:t>
      </w:r>
      <w:r w:rsidRPr="00485CB4">
        <w:rPr>
          <w:rFonts w:ascii="Arial Black" w:hAnsi="Arial Black"/>
          <w:sz w:val="20"/>
          <w:szCs w:val="20"/>
        </w:rPr>
        <w:t>, </w:t>
      </w:r>
      <w:r w:rsidRPr="00485CB4">
        <w:rPr>
          <w:rFonts w:ascii="Arial Black" w:hAnsi="Arial Black"/>
          <w:i/>
          <w:iCs/>
          <w:sz w:val="20"/>
          <w:szCs w:val="20"/>
        </w:rPr>
        <w:t>21</w:t>
      </w:r>
      <w:r w:rsidRPr="00485CB4">
        <w:rPr>
          <w:rFonts w:ascii="Arial Black" w:hAnsi="Arial Black"/>
          <w:sz w:val="20"/>
          <w:szCs w:val="20"/>
        </w:rPr>
        <w:t>(2), 87-96.</w:t>
      </w:r>
    </w:p>
    <w:p w14:paraId="70DEA90E"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 xml:space="preserve">Perrin, B., &amp; Lefèvre, A. (2019). </w:t>
      </w:r>
      <w:proofErr w:type="spellStart"/>
      <w:r w:rsidRPr="00485CB4">
        <w:rPr>
          <w:rFonts w:ascii="Arial Black" w:hAnsi="Arial Black"/>
          <w:sz w:val="20"/>
          <w:szCs w:val="20"/>
        </w:rPr>
        <w:t>Crop</w:t>
      </w:r>
      <w:proofErr w:type="spellEnd"/>
      <w:r w:rsidRPr="00485CB4">
        <w:rPr>
          <w:rFonts w:ascii="Arial Black" w:hAnsi="Arial Black"/>
          <w:sz w:val="20"/>
          <w:szCs w:val="20"/>
        </w:rPr>
        <w:t xml:space="preserve"> </w:t>
      </w:r>
      <w:proofErr w:type="gramStart"/>
      <w:r w:rsidRPr="00485CB4">
        <w:rPr>
          <w:rFonts w:ascii="Arial Black" w:hAnsi="Arial Black"/>
          <w:sz w:val="20"/>
          <w:szCs w:val="20"/>
        </w:rPr>
        <w:t>association:</w:t>
      </w:r>
      <w:proofErr w:type="gramEnd"/>
      <w:r w:rsidRPr="00485CB4">
        <w:rPr>
          <w:rFonts w:ascii="Arial Black" w:hAnsi="Arial Black"/>
          <w:sz w:val="20"/>
          <w:szCs w:val="20"/>
        </w:rPr>
        <w:t xml:space="preserve"> A </w:t>
      </w:r>
      <w:proofErr w:type="spellStart"/>
      <w:r w:rsidRPr="00485CB4">
        <w:rPr>
          <w:rFonts w:ascii="Arial Black" w:hAnsi="Arial Black"/>
          <w:sz w:val="20"/>
          <w:szCs w:val="20"/>
        </w:rPr>
        <w:t>multi-purpose</w:t>
      </w:r>
      <w:proofErr w:type="spellEnd"/>
      <w:r w:rsidRPr="00485CB4">
        <w:rPr>
          <w:rFonts w:ascii="Arial Black" w:hAnsi="Arial Black"/>
          <w:sz w:val="20"/>
          <w:szCs w:val="20"/>
        </w:rPr>
        <w:t xml:space="preserve"> lever in </w:t>
      </w:r>
      <w:proofErr w:type="spellStart"/>
      <w:r w:rsidRPr="00485CB4">
        <w:rPr>
          <w:rFonts w:ascii="Arial Black" w:hAnsi="Arial Black"/>
          <w:sz w:val="20"/>
          <w:szCs w:val="20"/>
        </w:rPr>
        <w:t>diversified</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vegetable</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farming</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systems</w:t>
      </w:r>
      <w:proofErr w:type="spellEnd"/>
      <w:r w:rsidRPr="00485CB4">
        <w:rPr>
          <w:rFonts w:ascii="Arial Black" w:hAnsi="Arial Black"/>
          <w:sz w:val="20"/>
          <w:szCs w:val="20"/>
        </w:rPr>
        <w:t>? </w:t>
      </w:r>
      <w:r w:rsidRPr="00485CB4">
        <w:rPr>
          <w:rFonts w:ascii="Arial Black" w:hAnsi="Arial Black"/>
          <w:i/>
          <w:iCs/>
          <w:sz w:val="20"/>
          <w:szCs w:val="20"/>
        </w:rPr>
        <w:t>Innovations Agronomiques</w:t>
      </w:r>
      <w:r w:rsidRPr="00485CB4">
        <w:rPr>
          <w:rFonts w:ascii="Arial Black" w:hAnsi="Arial Black"/>
          <w:sz w:val="20"/>
          <w:szCs w:val="20"/>
        </w:rPr>
        <w:t>, </w:t>
      </w:r>
      <w:r w:rsidRPr="00485CB4">
        <w:rPr>
          <w:rFonts w:ascii="Arial Black" w:hAnsi="Arial Black"/>
          <w:i/>
          <w:iCs/>
          <w:sz w:val="20"/>
          <w:szCs w:val="20"/>
        </w:rPr>
        <w:t>76</w:t>
      </w:r>
      <w:r w:rsidRPr="00485CB4">
        <w:rPr>
          <w:rFonts w:ascii="Arial Black" w:hAnsi="Arial Black"/>
          <w:sz w:val="20"/>
          <w:szCs w:val="20"/>
        </w:rPr>
        <w:t>, 51-70. </w:t>
      </w:r>
      <w:hyperlink r:id="rId27" w:tgtFrame="_blank" w:history="1">
        <w:r w:rsidRPr="00485CB4">
          <w:rPr>
            <w:rStyle w:val="Hyperlink"/>
            <w:rFonts w:ascii="Arial Black" w:hAnsi="Arial Black"/>
            <w:b/>
            <w:bCs/>
            <w:sz w:val="20"/>
            <w:szCs w:val="20"/>
          </w:rPr>
          <w:t>https://ecophytopic.fr/sites/default/files/2021-04/Vol76-7-Perrin%20et%20Lefèvre.pdf</w:t>
        </w:r>
      </w:hyperlink>
    </w:p>
    <w:p w14:paraId="29086138"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 xml:space="preserve">Röhrig, F., </w:t>
      </w:r>
      <w:proofErr w:type="spellStart"/>
      <w:r w:rsidRPr="00485CB4">
        <w:rPr>
          <w:rFonts w:ascii="Arial Black" w:hAnsi="Arial Black"/>
          <w:sz w:val="20"/>
          <w:szCs w:val="20"/>
        </w:rPr>
        <w:t>Gloy</w:t>
      </w:r>
      <w:proofErr w:type="spellEnd"/>
      <w:r w:rsidRPr="00485CB4">
        <w:rPr>
          <w:rFonts w:ascii="Arial Black" w:hAnsi="Arial Black"/>
          <w:sz w:val="20"/>
          <w:szCs w:val="20"/>
        </w:rPr>
        <w:t xml:space="preserve">, N., von </w:t>
      </w:r>
      <w:proofErr w:type="spellStart"/>
      <w:r w:rsidRPr="00485CB4">
        <w:rPr>
          <w:rFonts w:ascii="Arial Black" w:hAnsi="Arial Black"/>
          <w:sz w:val="20"/>
          <w:szCs w:val="20"/>
        </w:rPr>
        <w:t>Loeben</w:t>
      </w:r>
      <w:proofErr w:type="spellEnd"/>
      <w:r w:rsidRPr="00485CB4">
        <w:rPr>
          <w:rFonts w:ascii="Arial Black" w:hAnsi="Arial Black"/>
          <w:sz w:val="20"/>
          <w:szCs w:val="20"/>
        </w:rPr>
        <w:t xml:space="preserve">, S. C., </w:t>
      </w:r>
      <w:proofErr w:type="spellStart"/>
      <w:r w:rsidRPr="00485CB4">
        <w:rPr>
          <w:rFonts w:ascii="Arial Black" w:hAnsi="Arial Black"/>
          <w:sz w:val="20"/>
          <w:szCs w:val="20"/>
        </w:rPr>
        <w:t>Gornott</w:t>
      </w:r>
      <w:proofErr w:type="spellEnd"/>
      <w:r w:rsidRPr="00485CB4">
        <w:rPr>
          <w:rFonts w:ascii="Arial Black" w:hAnsi="Arial Black"/>
          <w:sz w:val="20"/>
          <w:szCs w:val="20"/>
        </w:rPr>
        <w:t xml:space="preserve">, C., </w:t>
      </w:r>
      <w:proofErr w:type="spellStart"/>
      <w:r w:rsidRPr="00485CB4">
        <w:rPr>
          <w:rFonts w:ascii="Arial Black" w:hAnsi="Arial Black"/>
          <w:sz w:val="20"/>
          <w:szCs w:val="20"/>
        </w:rPr>
        <w:t>Arumugam</w:t>
      </w:r>
      <w:proofErr w:type="spellEnd"/>
      <w:r w:rsidRPr="00485CB4">
        <w:rPr>
          <w:rFonts w:ascii="Arial Black" w:hAnsi="Arial Black"/>
          <w:sz w:val="20"/>
          <w:szCs w:val="20"/>
        </w:rPr>
        <w:t xml:space="preserve">, P., </w:t>
      </w:r>
      <w:proofErr w:type="spellStart"/>
      <w:r w:rsidRPr="00485CB4">
        <w:rPr>
          <w:rFonts w:ascii="Arial Black" w:hAnsi="Arial Black"/>
          <w:sz w:val="20"/>
          <w:szCs w:val="20"/>
        </w:rPr>
        <w:t>Aschenbrenner</w:t>
      </w:r>
      <w:proofErr w:type="spellEnd"/>
      <w:r w:rsidRPr="00485CB4">
        <w:rPr>
          <w:rFonts w:ascii="Arial Black" w:hAnsi="Arial Black"/>
          <w:sz w:val="20"/>
          <w:szCs w:val="20"/>
        </w:rPr>
        <w:t xml:space="preserve">, P., ... &amp; </w:t>
      </w:r>
      <w:proofErr w:type="spellStart"/>
      <w:r w:rsidRPr="00485CB4">
        <w:rPr>
          <w:rFonts w:ascii="Arial Black" w:hAnsi="Arial Black"/>
          <w:sz w:val="20"/>
          <w:szCs w:val="20"/>
        </w:rPr>
        <w:t>Wortmann</w:t>
      </w:r>
      <w:proofErr w:type="spellEnd"/>
      <w:r w:rsidRPr="00485CB4">
        <w:rPr>
          <w:rFonts w:ascii="Arial Black" w:hAnsi="Arial Black"/>
          <w:sz w:val="20"/>
          <w:szCs w:val="20"/>
        </w:rPr>
        <w:t>, M. (2021). </w:t>
      </w:r>
      <w:proofErr w:type="spellStart"/>
      <w:r w:rsidRPr="00485CB4">
        <w:rPr>
          <w:rFonts w:ascii="Arial Black" w:hAnsi="Arial Black"/>
          <w:i/>
          <w:iCs/>
          <w:sz w:val="20"/>
          <w:szCs w:val="20"/>
        </w:rPr>
        <w:t>Climate</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risk</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analysis</w:t>
      </w:r>
      <w:proofErr w:type="spellEnd"/>
      <w:r w:rsidRPr="00485CB4">
        <w:rPr>
          <w:rFonts w:ascii="Arial Black" w:hAnsi="Arial Black"/>
          <w:i/>
          <w:iCs/>
          <w:sz w:val="20"/>
          <w:szCs w:val="20"/>
        </w:rPr>
        <w:t xml:space="preserve"> for </w:t>
      </w:r>
      <w:proofErr w:type="spellStart"/>
      <w:r w:rsidRPr="00485CB4">
        <w:rPr>
          <w:rFonts w:ascii="Arial Black" w:hAnsi="Arial Black"/>
          <w:i/>
          <w:iCs/>
          <w:sz w:val="20"/>
          <w:szCs w:val="20"/>
        </w:rPr>
        <w:t>identifying</w:t>
      </w:r>
      <w:proofErr w:type="spellEnd"/>
      <w:r w:rsidRPr="00485CB4">
        <w:rPr>
          <w:rFonts w:ascii="Arial Black" w:hAnsi="Arial Black"/>
          <w:i/>
          <w:iCs/>
          <w:sz w:val="20"/>
          <w:szCs w:val="20"/>
        </w:rPr>
        <w:t xml:space="preserve"> and </w:t>
      </w:r>
      <w:proofErr w:type="spellStart"/>
      <w:r w:rsidRPr="00485CB4">
        <w:rPr>
          <w:rFonts w:ascii="Arial Black" w:hAnsi="Arial Black"/>
          <w:i/>
          <w:iCs/>
          <w:sz w:val="20"/>
          <w:szCs w:val="20"/>
        </w:rPr>
        <w:t>weighing</w:t>
      </w:r>
      <w:proofErr w:type="spellEnd"/>
      <w:r w:rsidRPr="00485CB4">
        <w:rPr>
          <w:rFonts w:ascii="Arial Black" w:hAnsi="Arial Black"/>
          <w:i/>
          <w:iCs/>
          <w:sz w:val="20"/>
          <w:szCs w:val="20"/>
        </w:rPr>
        <w:t xml:space="preserve"> adaptation </w:t>
      </w:r>
      <w:proofErr w:type="spellStart"/>
      <w:r w:rsidRPr="00485CB4">
        <w:rPr>
          <w:rFonts w:ascii="Arial Black" w:hAnsi="Arial Black"/>
          <w:i/>
          <w:iCs/>
          <w:sz w:val="20"/>
          <w:szCs w:val="20"/>
        </w:rPr>
        <w:t>strategies</w:t>
      </w:r>
      <w:proofErr w:type="spellEnd"/>
      <w:r w:rsidRPr="00485CB4">
        <w:rPr>
          <w:rFonts w:ascii="Arial Black" w:hAnsi="Arial Black"/>
          <w:i/>
          <w:iCs/>
          <w:sz w:val="20"/>
          <w:szCs w:val="20"/>
        </w:rPr>
        <w:t xml:space="preserve"> in </w:t>
      </w:r>
      <w:proofErr w:type="spellStart"/>
      <w:r w:rsidRPr="00485CB4">
        <w:rPr>
          <w:rFonts w:ascii="Arial Black" w:hAnsi="Arial Black"/>
          <w:i/>
          <w:iCs/>
          <w:sz w:val="20"/>
          <w:szCs w:val="20"/>
        </w:rPr>
        <w:t>Niger's</w:t>
      </w:r>
      <w:proofErr w:type="spellEnd"/>
      <w:r w:rsidRPr="00485CB4">
        <w:rPr>
          <w:rFonts w:ascii="Arial Black" w:hAnsi="Arial Black"/>
          <w:i/>
          <w:iCs/>
          <w:sz w:val="20"/>
          <w:szCs w:val="20"/>
        </w:rPr>
        <w:t xml:space="preserve"> agricultural </w:t>
      </w:r>
      <w:proofErr w:type="spellStart"/>
      <w:r w:rsidRPr="00485CB4">
        <w:rPr>
          <w:rFonts w:ascii="Arial Black" w:hAnsi="Arial Black"/>
          <w:i/>
          <w:iCs/>
          <w:sz w:val="20"/>
          <w:szCs w:val="20"/>
        </w:rPr>
        <w:t>sector</w:t>
      </w:r>
      <w:proofErr w:type="spellEnd"/>
      <w:r w:rsidRPr="00485CB4">
        <w:rPr>
          <w:rFonts w:ascii="Arial Black" w:hAnsi="Arial Black"/>
          <w:sz w:val="20"/>
          <w:szCs w:val="20"/>
        </w:rPr>
        <w:t>.</w:t>
      </w:r>
    </w:p>
    <w:p w14:paraId="418660CF"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proofErr w:type="spellStart"/>
      <w:r w:rsidRPr="00485CB4">
        <w:rPr>
          <w:rFonts w:ascii="Arial Black" w:hAnsi="Arial Black"/>
          <w:sz w:val="20"/>
          <w:szCs w:val="20"/>
        </w:rPr>
        <w:t>Sebego</w:t>
      </w:r>
      <w:proofErr w:type="spellEnd"/>
      <w:r w:rsidRPr="00485CB4">
        <w:rPr>
          <w:rFonts w:ascii="Arial Black" w:hAnsi="Arial Black"/>
          <w:sz w:val="20"/>
          <w:szCs w:val="20"/>
        </w:rPr>
        <w:t>, R. C. (2016). </w:t>
      </w:r>
      <w:proofErr w:type="spellStart"/>
      <w:r w:rsidRPr="00485CB4">
        <w:rPr>
          <w:rFonts w:ascii="Arial Black" w:hAnsi="Arial Black"/>
          <w:i/>
          <w:iCs/>
          <w:sz w:val="20"/>
          <w:szCs w:val="20"/>
        </w:rPr>
        <w:t>Study</w:t>
      </w:r>
      <w:proofErr w:type="spellEnd"/>
      <w:r w:rsidRPr="00485CB4">
        <w:rPr>
          <w:rFonts w:ascii="Arial Black" w:hAnsi="Arial Black"/>
          <w:i/>
          <w:iCs/>
          <w:sz w:val="20"/>
          <w:szCs w:val="20"/>
        </w:rPr>
        <w:t xml:space="preserve"> of </w:t>
      </w:r>
      <w:proofErr w:type="spellStart"/>
      <w:r w:rsidRPr="00485CB4">
        <w:rPr>
          <w:rFonts w:ascii="Arial Black" w:hAnsi="Arial Black"/>
          <w:i/>
          <w:iCs/>
          <w:sz w:val="20"/>
          <w:szCs w:val="20"/>
        </w:rPr>
        <w:t>market</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gardeners</w:t>
      </w:r>
      <w:proofErr w:type="spellEnd"/>
      <w:r w:rsidRPr="00485CB4">
        <w:rPr>
          <w:rFonts w:ascii="Arial Black" w:hAnsi="Arial Black"/>
          <w:i/>
          <w:iCs/>
          <w:sz w:val="20"/>
          <w:szCs w:val="20"/>
        </w:rPr>
        <w:t xml:space="preserve">' adaptation </w:t>
      </w:r>
      <w:proofErr w:type="spellStart"/>
      <w:r w:rsidRPr="00485CB4">
        <w:rPr>
          <w:rFonts w:ascii="Arial Black" w:hAnsi="Arial Black"/>
          <w:i/>
          <w:iCs/>
          <w:sz w:val="20"/>
          <w:szCs w:val="20"/>
        </w:rPr>
        <w:t>strategies</w:t>
      </w:r>
      <w:proofErr w:type="spellEnd"/>
      <w:r w:rsidRPr="00485CB4">
        <w:rPr>
          <w:rFonts w:ascii="Arial Black" w:hAnsi="Arial Black"/>
          <w:i/>
          <w:iCs/>
          <w:sz w:val="20"/>
          <w:szCs w:val="20"/>
        </w:rPr>
        <w:t xml:space="preserve"> to </w:t>
      </w:r>
      <w:proofErr w:type="spellStart"/>
      <w:r w:rsidRPr="00485CB4">
        <w:rPr>
          <w:rFonts w:ascii="Arial Black" w:hAnsi="Arial Black"/>
          <w:i/>
          <w:iCs/>
          <w:sz w:val="20"/>
          <w:szCs w:val="20"/>
        </w:rPr>
        <w:t>climate</w:t>
      </w:r>
      <w:proofErr w:type="spellEnd"/>
      <w:r w:rsidRPr="00485CB4">
        <w:rPr>
          <w:rFonts w:ascii="Arial Black" w:hAnsi="Arial Black"/>
          <w:i/>
          <w:iCs/>
          <w:sz w:val="20"/>
          <w:szCs w:val="20"/>
        </w:rPr>
        <w:t xml:space="preserve"> change in Burkina </w:t>
      </w:r>
      <w:proofErr w:type="gramStart"/>
      <w:r w:rsidRPr="00485CB4">
        <w:rPr>
          <w:rFonts w:ascii="Arial Black" w:hAnsi="Arial Black"/>
          <w:i/>
          <w:iCs/>
          <w:sz w:val="20"/>
          <w:szCs w:val="20"/>
        </w:rPr>
        <w:t>Faso:</w:t>
      </w:r>
      <w:proofErr w:type="gramEnd"/>
      <w:r w:rsidRPr="00485CB4">
        <w:rPr>
          <w:rFonts w:ascii="Arial Black" w:hAnsi="Arial Black"/>
          <w:i/>
          <w:iCs/>
          <w:sz w:val="20"/>
          <w:szCs w:val="20"/>
        </w:rPr>
        <w:t xml:space="preserve"> The cases of Bobo-Dioulasso, </w:t>
      </w:r>
      <w:proofErr w:type="spellStart"/>
      <w:r w:rsidRPr="00485CB4">
        <w:rPr>
          <w:rFonts w:ascii="Arial Black" w:hAnsi="Arial Black"/>
          <w:i/>
          <w:iCs/>
          <w:sz w:val="20"/>
          <w:szCs w:val="20"/>
        </w:rPr>
        <w:t>Ouagadougo</w:t>
      </w:r>
      <w:proofErr w:type="spellEnd"/>
      <w:r w:rsidRPr="00485CB4">
        <w:rPr>
          <w:rFonts w:ascii="Arial Black" w:hAnsi="Arial Black"/>
          <w:i/>
          <w:iCs/>
          <w:sz w:val="20"/>
          <w:szCs w:val="20"/>
        </w:rPr>
        <w:t>, and Ouahigouya</w:t>
      </w:r>
      <w:r w:rsidRPr="00485CB4">
        <w:rPr>
          <w:rFonts w:ascii="Arial Black" w:hAnsi="Arial Black"/>
          <w:sz w:val="20"/>
          <w:szCs w:val="20"/>
        </w:rPr>
        <w:t xml:space="preserve"> [Engineering </w:t>
      </w:r>
      <w:proofErr w:type="spellStart"/>
      <w:r w:rsidRPr="00485CB4">
        <w:rPr>
          <w:rFonts w:ascii="Arial Black" w:hAnsi="Arial Black"/>
          <w:sz w:val="20"/>
          <w:szCs w:val="20"/>
        </w:rPr>
        <w:t>thesis</w:t>
      </w:r>
      <w:proofErr w:type="spellEnd"/>
      <w:r w:rsidRPr="00485CB4">
        <w:rPr>
          <w:rFonts w:ascii="Arial Black" w:hAnsi="Arial Black"/>
          <w:sz w:val="20"/>
          <w:szCs w:val="20"/>
        </w:rPr>
        <w:t xml:space="preserve">, Institute of Rural </w:t>
      </w:r>
      <w:proofErr w:type="spellStart"/>
      <w:r w:rsidRPr="00485CB4">
        <w:rPr>
          <w:rFonts w:ascii="Arial Black" w:hAnsi="Arial Black"/>
          <w:sz w:val="20"/>
          <w:szCs w:val="20"/>
        </w:rPr>
        <w:t>Development</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Polytechnic</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University</w:t>
      </w:r>
      <w:proofErr w:type="spellEnd"/>
      <w:r w:rsidRPr="00485CB4">
        <w:rPr>
          <w:rFonts w:ascii="Arial Black" w:hAnsi="Arial Black"/>
          <w:sz w:val="20"/>
          <w:szCs w:val="20"/>
        </w:rPr>
        <w:t xml:space="preserve"> of Bobo-Dioulasso].</w:t>
      </w:r>
    </w:p>
    <w:p w14:paraId="5B3CB944"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 xml:space="preserve">Sultan, B., &amp; Janicot, S. (2004). </w:t>
      </w:r>
      <w:proofErr w:type="spellStart"/>
      <w:r w:rsidRPr="00485CB4">
        <w:rPr>
          <w:rFonts w:ascii="Arial Black" w:hAnsi="Arial Black"/>
          <w:sz w:val="20"/>
          <w:szCs w:val="20"/>
        </w:rPr>
        <w:t>Climate</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variability</w:t>
      </w:r>
      <w:proofErr w:type="spellEnd"/>
      <w:r w:rsidRPr="00485CB4">
        <w:rPr>
          <w:rFonts w:ascii="Arial Black" w:hAnsi="Arial Black"/>
          <w:sz w:val="20"/>
          <w:szCs w:val="20"/>
        </w:rPr>
        <w:t xml:space="preserve"> in West </w:t>
      </w:r>
      <w:proofErr w:type="spellStart"/>
      <w:r w:rsidRPr="00485CB4">
        <w:rPr>
          <w:rFonts w:ascii="Arial Black" w:hAnsi="Arial Black"/>
          <w:sz w:val="20"/>
          <w:szCs w:val="20"/>
        </w:rPr>
        <w:t>Africa</w:t>
      </w:r>
      <w:proofErr w:type="spellEnd"/>
      <w:r w:rsidRPr="00485CB4">
        <w:rPr>
          <w:rFonts w:ascii="Arial Black" w:hAnsi="Arial Black"/>
          <w:sz w:val="20"/>
          <w:szCs w:val="20"/>
        </w:rPr>
        <w:t xml:space="preserve"> at </w:t>
      </w:r>
      <w:proofErr w:type="spellStart"/>
      <w:r w:rsidRPr="00485CB4">
        <w:rPr>
          <w:rFonts w:ascii="Arial Black" w:hAnsi="Arial Black"/>
          <w:sz w:val="20"/>
          <w:szCs w:val="20"/>
        </w:rPr>
        <w:t>seasonal</w:t>
      </w:r>
      <w:proofErr w:type="spellEnd"/>
      <w:r w:rsidRPr="00485CB4">
        <w:rPr>
          <w:rFonts w:ascii="Arial Black" w:hAnsi="Arial Black"/>
          <w:sz w:val="20"/>
          <w:szCs w:val="20"/>
        </w:rPr>
        <w:t xml:space="preserve"> and </w:t>
      </w:r>
      <w:proofErr w:type="spellStart"/>
      <w:r w:rsidRPr="00485CB4">
        <w:rPr>
          <w:rFonts w:ascii="Arial Black" w:hAnsi="Arial Black"/>
          <w:sz w:val="20"/>
          <w:szCs w:val="20"/>
        </w:rPr>
        <w:t>interseasonal</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scales</w:t>
      </w:r>
      <w:proofErr w:type="spellEnd"/>
      <w:r w:rsidRPr="00485CB4">
        <w:rPr>
          <w:rFonts w:ascii="Arial Black" w:hAnsi="Arial Black"/>
          <w:sz w:val="20"/>
          <w:szCs w:val="20"/>
        </w:rPr>
        <w:t xml:space="preserve"> </w:t>
      </w:r>
      <w:proofErr w:type="gramStart"/>
      <w:r w:rsidRPr="00485CB4">
        <w:rPr>
          <w:rFonts w:ascii="Arial Black" w:hAnsi="Arial Black"/>
          <w:sz w:val="20"/>
          <w:szCs w:val="20"/>
        </w:rPr>
        <w:t>I:</w:t>
      </w:r>
      <w:proofErr w:type="gramEnd"/>
      <w:r w:rsidRPr="00485CB4">
        <w:rPr>
          <w:rFonts w:ascii="Arial Black" w:hAnsi="Arial Black"/>
          <w:sz w:val="20"/>
          <w:szCs w:val="20"/>
        </w:rPr>
        <w:t xml:space="preserve"> </w:t>
      </w:r>
      <w:proofErr w:type="spellStart"/>
      <w:r w:rsidRPr="00485CB4">
        <w:rPr>
          <w:rFonts w:ascii="Arial Black" w:hAnsi="Arial Black"/>
          <w:sz w:val="20"/>
          <w:szCs w:val="20"/>
        </w:rPr>
        <w:t>Monsoon</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onset</w:t>
      </w:r>
      <w:proofErr w:type="spellEnd"/>
      <w:r w:rsidRPr="00485CB4">
        <w:rPr>
          <w:rFonts w:ascii="Arial Black" w:hAnsi="Arial Black"/>
          <w:sz w:val="20"/>
          <w:szCs w:val="20"/>
        </w:rPr>
        <w:t xml:space="preserve"> and </w:t>
      </w:r>
      <w:proofErr w:type="spellStart"/>
      <w:r w:rsidRPr="00485CB4">
        <w:rPr>
          <w:rFonts w:ascii="Arial Black" w:hAnsi="Arial Black"/>
          <w:sz w:val="20"/>
          <w:szCs w:val="20"/>
        </w:rPr>
        <w:t>interseasonal</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variability</w:t>
      </w:r>
      <w:proofErr w:type="spellEnd"/>
      <w:r w:rsidRPr="00485CB4">
        <w:rPr>
          <w:rFonts w:ascii="Arial Black" w:hAnsi="Arial Black"/>
          <w:sz w:val="20"/>
          <w:szCs w:val="20"/>
        </w:rPr>
        <w:t xml:space="preserve"> of convection. </w:t>
      </w:r>
      <w:r w:rsidRPr="00485CB4">
        <w:rPr>
          <w:rFonts w:ascii="Arial Black" w:hAnsi="Arial Black"/>
          <w:i/>
          <w:iCs/>
          <w:sz w:val="20"/>
          <w:szCs w:val="20"/>
        </w:rPr>
        <w:t>Science and Global Change/</w:t>
      </w:r>
      <w:proofErr w:type="spellStart"/>
      <w:r w:rsidRPr="00485CB4">
        <w:rPr>
          <w:rFonts w:ascii="Arial Black" w:hAnsi="Arial Black"/>
          <w:i/>
          <w:iCs/>
          <w:sz w:val="20"/>
          <w:szCs w:val="20"/>
        </w:rPr>
        <w:t>Drought</w:t>
      </w:r>
      <w:proofErr w:type="spellEnd"/>
      <w:r w:rsidRPr="00485CB4">
        <w:rPr>
          <w:rFonts w:ascii="Arial Black" w:hAnsi="Arial Black"/>
          <w:sz w:val="20"/>
          <w:szCs w:val="20"/>
        </w:rPr>
        <w:t>, </w:t>
      </w:r>
      <w:r w:rsidRPr="00485CB4">
        <w:rPr>
          <w:rFonts w:ascii="Arial Black" w:hAnsi="Arial Black"/>
          <w:i/>
          <w:iCs/>
          <w:sz w:val="20"/>
          <w:szCs w:val="20"/>
        </w:rPr>
        <w:t>15</w:t>
      </w:r>
      <w:r w:rsidRPr="00485CB4">
        <w:rPr>
          <w:rFonts w:ascii="Arial Black" w:hAnsi="Arial Black"/>
          <w:sz w:val="20"/>
          <w:szCs w:val="20"/>
        </w:rPr>
        <w:t>(4), 321-330.</w:t>
      </w:r>
    </w:p>
    <w:p w14:paraId="439C5E43" w14:textId="3DC00DB0"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lastRenderedPageBreak/>
        <w:t xml:space="preserve">Sultan, B., Baron, C., </w:t>
      </w:r>
      <w:proofErr w:type="spellStart"/>
      <w:r w:rsidRPr="00485CB4">
        <w:rPr>
          <w:rFonts w:ascii="Arial Black" w:hAnsi="Arial Black"/>
          <w:sz w:val="20"/>
          <w:szCs w:val="20"/>
        </w:rPr>
        <w:t>Dingkuhn</w:t>
      </w:r>
      <w:proofErr w:type="spellEnd"/>
      <w:r w:rsidRPr="00485CB4">
        <w:rPr>
          <w:rFonts w:ascii="Arial Black" w:hAnsi="Arial Black"/>
          <w:sz w:val="20"/>
          <w:szCs w:val="20"/>
        </w:rPr>
        <w:t xml:space="preserve">, M., </w:t>
      </w:r>
      <w:proofErr w:type="spellStart"/>
      <w:r w:rsidRPr="00485CB4">
        <w:rPr>
          <w:rFonts w:ascii="Arial Black" w:hAnsi="Arial Black"/>
          <w:sz w:val="20"/>
          <w:szCs w:val="20"/>
        </w:rPr>
        <w:t>Sarr</w:t>
      </w:r>
      <w:proofErr w:type="spellEnd"/>
      <w:r w:rsidRPr="00485CB4">
        <w:rPr>
          <w:rFonts w:ascii="Arial Black" w:hAnsi="Arial Black"/>
          <w:sz w:val="20"/>
          <w:szCs w:val="20"/>
        </w:rPr>
        <w:t xml:space="preserve">, B., &amp; Janicot, S. (2005). </w:t>
      </w:r>
      <w:proofErr w:type="spellStart"/>
      <w:r w:rsidRPr="00485CB4">
        <w:rPr>
          <w:rFonts w:ascii="Arial Black" w:hAnsi="Arial Black"/>
          <w:sz w:val="20"/>
          <w:szCs w:val="20"/>
        </w:rPr>
        <w:t>Climate</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variability</w:t>
      </w:r>
      <w:proofErr w:type="spellEnd"/>
      <w:r w:rsidRPr="00485CB4">
        <w:rPr>
          <w:rFonts w:ascii="Arial Black" w:hAnsi="Arial Black"/>
          <w:sz w:val="20"/>
          <w:szCs w:val="20"/>
        </w:rPr>
        <w:t xml:space="preserve"> in West </w:t>
      </w:r>
      <w:proofErr w:type="spellStart"/>
      <w:r w:rsidRPr="00485CB4">
        <w:rPr>
          <w:rFonts w:ascii="Arial Black" w:hAnsi="Arial Black"/>
          <w:sz w:val="20"/>
          <w:szCs w:val="20"/>
        </w:rPr>
        <w:t>Africa</w:t>
      </w:r>
      <w:proofErr w:type="spellEnd"/>
      <w:r w:rsidRPr="00485CB4">
        <w:rPr>
          <w:rFonts w:ascii="Arial Black" w:hAnsi="Arial Black"/>
          <w:sz w:val="20"/>
          <w:szCs w:val="20"/>
        </w:rPr>
        <w:t xml:space="preserve"> at </w:t>
      </w:r>
      <w:proofErr w:type="spellStart"/>
      <w:r w:rsidRPr="00485CB4">
        <w:rPr>
          <w:rFonts w:ascii="Arial Black" w:hAnsi="Arial Black"/>
          <w:sz w:val="20"/>
          <w:szCs w:val="20"/>
        </w:rPr>
        <w:t>seasonal</w:t>
      </w:r>
      <w:proofErr w:type="spellEnd"/>
      <w:r w:rsidRPr="00485CB4">
        <w:rPr>
          <w:rFonts w:ascii="Arial Black" w:hAnsi="Arial Black"/>
          <w:sz w:val="20"/>
          <w:szCs w:val="20"/>
        </w:rPr>
        <w:t xml:space="preserve"> and </w:t>
      </w:r>
      <w:proofErr w:type="spellStart"/>
      <w:r w:rsidRPr="00485CB4">
        <w:rPr>
          <w:rFonts w:ascii="Arial Black" w:hAnsi="Arial Black"/>
          <w:sz w:val="20"/>
          <w:szCs w:val="20"/>
        </w:rPr>
        <w:t>interseasonal</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scales</w:t>
      </w:r>
      <w:proofErr w:type="spellEnd"/>
      <w:r w:rsidRPr="00485CB4">
        <w:rPr>
          <w:rFonts w:ascii="Arial Black" w:hAnsi="Arial Black"/>
          <w:sz w:val="20"/>
          <w:szCs w:val="20"/>
        </w:rPr>
        <w:t xml:space="preserve"> II</w:t>
      </w:r>
      <w:r w:rsidR="00205784" w:rsidRPr="00485CB4">
        <w:rPr>
          <w:rFonts w:ascii="Arial Black" w:hAnsi="Arial Black"/>
          <w:sz w:val="20"/>
          <w:szCs w:val="20"/>
        </w:rPr>
        <w:t xml:space="preserve"> </w:t>
      </w:r>
      <w:r w:rsidRPr="00485CB4">
        <w:rPr>
          <w:rFonts w:ascii="Arial Black" w:hAnsi="Arial Black"/>
          <w:sz w:val="20"/>
          <w:szCs w:val="20"/>
        </w:rPr>
        <w:t xml:space="preserve">: Applications to the </w:t>
      </w:r>
      <w:proofErr w:type="spellStart"/>
      <w:r w:rsidRPr="00485CB4">
        <w:rPr>
          <w:rFonts w:ascii="Arial Black" w:hAnsi="Arial Black"/>
          <w:sz w:val="20"/>
          <w:szCs w:val="20"/>
        </w:rPr>
        <w:t>sensitivity</w:t>
      </w:r>
      <w:proofErr w:type="spellEnd"/>
      <w:r w:rsidRPr="00485CB4">
        <w:rPr>
          <w:rFonts w:ascii="Arial Black" w:hAnsi="Arial Black"/>
          <w:sz w:val="20"/>
          <w:szCs w:val="20"/>
        </w:rPr>
        <w:t xml:space="preserve"> of agricultural </w:t>
      </w:r>
      <w:proofErr w:type="spellStart"/>
      <w:r w:rsidRPr="00485CB4">
        <w:rPr>
          <w:rFonts w:ascii="Arial Black" w:hAnsi="Arial Black"/>
          <w:sz w:val="20"/>
          <w:szCs w:val="20"/>
        </w:rPr>
        <w:t>yields</w:t>
      </w:r>
      <w:proofErr w:type="spellEnd"/>
      <w:r w:rsidRPr="00485CB4">
        <w:rPr>
          <w:rFonts w:ascii="Arial Black" w:hAnsi="Arial Black"/>
          <w:sz w:val="20"/>
          <w:szCs w:val="20"/>
        </w:rPr>
        <w:t xml:space="preserve"> in the Sahel.</w:t>
      </w:r>
    </w:p>
    <w:p w14:paraId="60D91425"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proofErr w:type="spellStart"/>
      <w:r w:rsidRPr="00485CB4">
        <w:rPr>
          <w:rFonts w:ascii="Arial Black" w:hAnsi="Arial Black"/>
          <w:sz w:val="20"/>
          <w:szCs w:val="20"/>
        </w:rPr>
        <w:t>Taïbi</w:t>
      </w:r>
      <w:proofErr w:type="spellEnd"/>
      <w:r w:rsidRPr="00485CB4">
        <w:rPr>
          <w:rFonts w:ascii="Arial Black" w:hAnsi="Arial Black"/>
          <w:sz w:val="20"/>
          <w:szCs w:val="20"/>
        </w:rPr>
        <w:t xml:space="preserve">, S., Zeroual, A., &amp; </w:t>
      </w:r>
      <w:proofErr w:type="spellStart"/>
      <w:r w:rsidRPr="00485CB4">
        <w:rPr>
          <w:rFonts w:ascii="Arial Black" w:hAnsi="Arial Black"/>
          <w:sz w:val="20"/>
          <w:szCs w:val="20"/>
        </w:rPr>
        <w:t>Melhani</w:t>
      </w:r>
      <w:proofErr w:type="spellEnd"/>
      <w:r w:rsidRPr="00485CB4">
        <w:rPr>
          <w:rFonts w:ascii="Arial Black" w:hAnsi="Arial Black"/>
          <w:sz w:val="20"/>
          <w:szCs w:val="20"/>
        </w:rPr>
        <w:t xml:space="preserve">, N. (2021). Evaluation of </w:t>
      </w:r>
      <w:proofErr w:type="spellStart"/>
      <w:r w:rsidRPr="00485CB4">
        <w:rPr>
          <w:rFonts w:ascii="Arial Black" w:hAnsi="Arial Black"/>
          <w:sz w:val="20"/>
          <w:szCs w:val="20"/>
        </w:rPr>
        <w:t>two</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methods</w:t>
      </w:r>
      <w:proofErr w:type="spellEnd"/>
      <w:r w:rsidRPr="00485CB4">
        <w:rPr>
          <w:rFonts w:ascii="Arial Black" w:hAnsi="Arial Black"/>
          <w:sz w:val="20"/>
          <w:szCs w:val="20"/>
        </w:rPr>
        <w:t xml:space="preserve"> for </w:t>
      </w:r>
      <w:proofErr w:type="spellStart"/>
      <w:r w:rsidRPr="00485CB4">
        <w:rPr>
          <w:rFonts w:ascii="Arial Black" w:hAnsi="Arial Black"/>
          <w:sz w:val="20"/>
          <w:szCs w:val="20"/>
        </w:rPr>
        <w:t>correcting</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bias</w:t>
      </w:r>
      <w:proofErr w:type="spellEnd"/>
      <w:r w:rsidRPr="00485CB4">
        <w:rPr>
          <w:rFonts w:ascii="Arial Black" w:hAnsi="Arial Black"/>
          <w:sz w:val="20"/>
          <w:szCs w:val="20"/>
        </w:rPr>
        <w:t xml:space="preserve"> in </w:t>
      </w:r>
      <w:proofErr w:type="spellStart"/>
      <w:r w:rsidRPr="00485CB4">
        <w:rPr>
          <w:rFonts w:ascii="Arial Black" w:hAnsi="Arial Black"/>
          <w:sz w:val="20"/>
          <w:szCs w:val="20"/>
        </w:rPr>
        <w:t>Cordex-Africa</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regional</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climate</w:t>
      </w:r>
      <w:proofErr w:type="spellEnd"/>
      <w:r w:rsidRPr="00485CB4">
        <w:rPr>
          <w:rFonts w:ascii="Arial Black" w:hAnsi="Arial Black"/>
          <w:sz w:val="20"/>
          <w:szCs w:val="20"/>
        </w:rPr>
        <w:t xml:space="preserve"> model outputs for </w:t>
      </w:r>
      <w:proofErr w:type="spellStart"/>
      <w:r w:rsidRPr="00485CB4">
        <w:rPr>
          <w:rFonts w:ascii="Arial Black" w:hAnsi="Arial Black"/>
          <w:sz w:val="20"/>
          <w:szCs w:val="20"/>
        </w:rPr>
        <w:t>rainfall</w:t>
      </w:r>
      <w:proofErr w:type="spellEnd"/>
      <w:r w:rsidRPr="00485CB4">
        <w:rPr>
          <w:rFonts w:ascii="Arial Black" w:hAnsi="Arial Black"/>
          <w:sz w:val="20"/>
          <w:szCs w:val="20"/>
        </w:rPr>
        <w:t xml:space="preserve"> </w:t>
      </w:r>
      <w:proofErr w:type="spellStart"/>
      <w:proofErr w:type="gramStart"/>
      <w:r w:rsidRPr="00485CB4">
        <w:rPr>
          <w:rFonts w:ascii="Arial Black" w:hAnsi="Arial Black"/>
          <w:sz w:val="20"/>
          <w:szCs w:val="20"/>
        </w:rPr>
        <w:t>prediction</w:t>
      </w:r>
      <w:proofErr w:type="spellEnd"/>
      <w:r w:rsidRPr="00485CB4">
        <w:rPr>
          <w:rFonts w:ascii="Arial Black" w:hAnsi="Arial Black"/>
          <w:sz w:val="20"/>
          <w:szCs w:val="20"/>
        </w:rPr>
        <w:t>:</w:t>
      </w:r>
      <w:proofErr w:type="gramEnd"/>
      <w:r w:rsidRPr="00485CB4">
        <w:rPr>
          <w:rFonts w:ascii="Arial Black" w:hAnsi="Arial Black"/>
          <w:sz w:val="20"/>
          <w:szCs w:val="20"/>
        </w:rPr>
        <w:t xml:space="preserve"> The case of the Oran </w:t>
      </w:r>
      <w:proofErr w:type="spellStart"/>
      <w:r w:rsidRPr="00485CB4">
        <w:rPr>
          <w:rFonts w:ascii="Arial Black" w:hAnsi="Arial Black"/>
          <w:sz w:val="20"/>
          <w:szCs w:val="20"/>
        </w:rPr>
        <w:t>coastal</w:t>
      </w:r>
      <w:proofErr w:type="spellEnd"/>
      <w:r w:rsidRPr="00485CB4">
        <w:rPr>
          <w:rFonts w:ascii="Arial Black" w:hAnsi="Arial Black"/>
          <w:sz w:val="20"/>
          <w:szCs w:val="20"/>
        </w:rPr>
        <w:t xml:space="preserve"> basin. </w:t>
      </w:r>
      <w:proofErr w:type="spellStart"/>
      <w:r w:rsidRPr="00485CB4">
        <w:rPr>
          <w:rFonts w:ascii="Arial Black" w:hAnsi="Arial Black"/>
          <w:i/>
          <w:iCs/>
          <w:sz w:val="20"/>
          <w:szCs w:val="20"/>
        </w:rPr>
        <w:t>Proceedings</w:t>
      </w:r>
      <w:proofErr w:type="spellEnd"/>
      <w:r w:rsidRPr="00485CB4">
        <w:rPr>
          <w:rFonts w:ascii="Arial Black" w:hAnsi="Arial Black"/>
          <w:i/>
          <w:iCs/>
          <w:sz w:val="20"/>
          <w:szCs w:val="20"/>
        </w:rPr>
        <w:t xml:space="preserve"> of the International Association of </w:t>
      </w:r>
      <w:proofErr w:type="spellStart"/>
      <w:r w:rsidRPr="00485CB4">
        <w:rPr>
          <w:rFonts w:ascii="Arial Black" w:hAnsi="Arial Black"/>
          <w:i/>
          <w:iCs/>
          <w:sz w:val="20"/>
          <w:szCs w:val="20"/>
        </w:rPr>
        <w:t>Hydrological</w:t>
      </w:r>
      <w:proofErr w:type="spellEnd"/>
      <w:r w:rsidRPr="00485CB4">
        <w:rPr>
          <w:rFonts w:ascii="Arial Black" w:hAnsi="Arial Black"/>
          <w:i/>
          <w:iCs/>
          <w:sz w:val="20"/>
          <w:szCs w:val="20"/>
        </w:rPr>
        <w:t xml:space="preserve"> Sciences</w:t>
      </w:r>
      <w:r w:rsidRPr="00485CB4">
        <w:rPr>
          <w:rFonts w:ascii="Arial Black" w:hAnsi="Arial Black"/>
          <w:sz w:val="20"/>
          <w:szCs w:val="20"/>
        </w:rPr>
        <w:t>, </w:t>
      </w:r>
      <w:r w:rsidRPr="00485CB4">
        <w:rPr>
          <w:rFonts w:ascii="Arial Black" w:hAnsi="Arial Black"/>
          <w:i/>
          <w:iCs/>
          <w:sz w:val="20"/>
          <w:szCs w:val="20"/>
        </w:rPr>
        <w:t>384</w:t>
      </w:r>
      <w:r w:rsidRPr="00485CB4">
        <w:rPr>
          <w:rFonts w:ascii="Arial Black" w:hAnsi="Arial Black"/>
          <w:sz w:val="20"/>
          <w:szCs w:val="20"/>
        </w:rPr>
        <w:t>, 213-218.</w:t>
      </w:r>
    </w:p>
    <w:p w14:paraId="02E6A730"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Topeur, B. (2023). </w:t>
      </w:r>
      <w:proofErr w:type="spellStart"/>
      <w:r w:rsidRPr="00485CB4">
        <w:rPr>
          <w:rFonts w:ascii="Arial Black" w:hAnsi="Arial Black"/>
          <w:i/>
          <w:iCs/>
          <w:sz w:val="20"/>
          <w:szCs w:val="20"/>
        </w:rPr>
        <w:t>Three</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essays</w:t>
      </w:r>
      <w:proofErr w:type="spellEnd"/>
      <w:r w:rsidRPr="00485CB4">
        <w:rPr>
          <w:rFonts w:ascii="Arial Black" w:hAnsi="Arial Black"/>
          <w:i/>
          <w:iCs/>
          <w:sz w:val="20"/>
          <w:szCs w:val="20"/>
        </w:rPr>
        <w:t xml:space="preserve"> on the </w:t>
      </w:r>
      <w:proofErr w:type="spellStart"/>
      <w:r w:rsidRPr="00485CB4">
        <w:rPr>
          <w:rFonts w:ascii="Arial Black" w:hAnsi="Arial Black"/>
          <w:i/>
          <w:iCs/>
          <w:sz w:val="20"/>
          <w:szCs w:val="20"/>
        </w:rPr>
        <w:t>socioeconomic</w:t>
      </w:r>
      <w:proofErr w:type="spellEnd"/>
      <w:r w:rsidRPr="00485CB4">
        <w:rPr>
          <w:rFonts w:ascii="Arial Black" w:hAnsi="Arial Black"/>
          <w:i/>
          <w:iCs/>
          <w:sz w:val="20"/>
          <w:szCs w:val="20"/>
        </w:rPr>
        <w:t xml:space="preserve"> impact of </w:t>
      </w:r>
      <w:proofErr w:type="spellStart"/>
      <w:r w:rsidRPr="00485CB4">
        <w:rPr>
          <w:rFonts w:ascii="Arial Black" w:hAnsi="Arial Black"/>
          <w:i/>
          <w:iCs/>
          <w:sz w:val="20"/>
          <w:szCs w:val="20"/>
        </w:rPr>
        <w:t>climate</w:t>
      </w:r>
      <w:proofErr w:type="spellEnd"/>
      <w:r w:rsidRPr="00485CB4">
        <w:rPr>
          <w:rFonts w:ascii="Arial Black" w:hAnsi="Arial Black"/>
          <w:i/>
          <w:iCs/>
          <w:sz w:val="20"/>
          <w:szCs w:val="20"/>
        </w:rPr>
        <w:t xml:space="preserve"> change in </w:t>
      </w:r>
      <w:proofErr w:type="spellStart"/>
      <w:r w:rsidRPr="00485CB4">
        <w:rPr>
          <w:rFonts w:ascii="Arial Black" w:hAnsi="Arial Black"/>
          <w:i/>
          <w:iCs/>
          <w:sz w:val="20"/>
          <w:szCs w:val="20"/>
        </w:rPr>
        <w:t>sub-Saharan</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Africa</w:t>
      </w:r>
      <w:proofErr w:type="spellEnd"/>
      <w:r w:rsidRPr="00485CB4">
        <w:rPr>
          <w:rFonts w:ascii="Arial Black" w:hAnsi="Arial Black"/>
          <w:sz w:val="20"/>
          <w:szCs w:val="20"/>
        </w:rPr>
        <w:t xml:space="preserve"> [Doctoral dissertation, Clermont Auvergne </w:t>
      </w:r>
      <w:proofErr w:type="spellStart"/>
      <w:r w:rsidRPr="00485CB4">
        <w:rPr>
          <w:rFonts w:ascii="Arial Black" w:hAnsi="Arial Black"/>
          <w:sz w:val="20"/>
          <w:szCs w:val="20"/>
        </w:rPr>
        <w:t>University</w:t>
      </w:r>
      <w:proofErr w:type="spellEnd"/>
      <w:r w:rsidRPr="00485CB4">
        <w:rPr>
          <w:rFonts w:ascii="Arial Black" w:hAnsi="Arial Black"/>
          <w:sz w:val="20"/>
          <w:szCs w:val="20"/>
        </w:rPr>
        <w:t>].</w:t>
      </w:r>
    </w:p>
    <w:p w14:paraId="65A88472"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 xml:space="preserve">United Nations </w:t>
      </w:r>
      <w:proofErr w:type="spellStart"/>
      <w:r w:rsidRPr="00485CB4">
        <w:rPr>
          <w:rFonts w:ascii="Arial Black" w:hAnsi="Arial Black"/>
          <w:sz w:val="20"/>
          <w:szCs w:val="20"/>
        </w:rPr>
        <w:t>Development</w:t>
      </w:r>
      <w:proofErr w:type="spellEnd"/>
      <w:r w:rsidRPr="00485CB4">
        <w:rPr>
          <w:rFonts w:ascii="Arial Black" w:hAnsi="Arial Black"/>
          <w:sz w:val="20"/>
          <w:szCs w:val="20"/>
        </w:rPr>
        <w:t xml:space="preserve"> Program (UNDP). (2014). </w:t>
      </w:r>
      <w:proofErr w:type="spellStart"/>
      <w:r w:rsidRPr="00485CB4">
        <w:rPr>
          <w:rFonts w:ascii="Arial Black" w:hAnsi="Arial Black"/>
          <w:i/>
          <w:iCs/>
          <w:sz w:val="20"/>
          <w:szCs w:val="20"/>
        </w:rPr>
        <w:t>Choosing</w:t>
      </w:r>
      <w:proofErr w:type="spellEnd"/>
      <w:r w:rsidRPr="00485CB4">
        <w:rPr>
          <w:rFonts w:ascii="Arial Black" w:hAnsi="Arial Black"/>
          <w:i/>
          <w:iCs/>
          <w:sz w:val="20"/>
          <w:szCs w:val="20"/>
        </w:rPr>
        <w:t xml:space="preserve"> agricultural technologies for </w:t>
      </w:r>
      <w:proofErr w:type="spellStart"/>
      <w:r w:rsidRPr="00485CB4">
        <w:rPr>
          <w:rFonts w:ascii="Arial Black" w:hAnsi="Arial Black"/>
          <w:i/>
          <w:iCs/>
          <w:sz w:val="20"/>
          <w:szCs w:val="20"/>
        </w:rPr>
        <w:t>climate</w:t>
      </w:r>
      <w:proofErr w:type="spellEnd"/>
      <w:r w:rsidRPr="00485CB4">
        <w:rPr>
          <w:rFonts w:ascii="Arial Black" w:hAnsi="Arial Black"/>
          <w:i/>
          <w:iCs/>
          <w:sz w:val="20"/>
          <w:szCs w:val="20"/>
        </w:rPr>
        <w:t xml:space="preserve"> change adaptation in PANA1 intervention </w:t>
      </w:r>
      <w:proofErr w:type="spellStart"/>
      <w:r w:rsidRPr="00485CB4">
        <w:rPr>
          <w:rFonts w:ascii="Arial Black" w:hAnsi="Arial Black"/>
          <w:i/>
          <w:iCs/>
          <w:sz w:val="20"/>
          <w:szCs w:val="20"/>
        </w:rPr>
        <w:t>municipalities</w:t>
      </w:r>
      <w:proofErr w:type="spellEnd"/>
      <w:r w:rsidRPr="00485CB4">
        <w:rPr>
          <w:rFonts w:ascii="Arial Black" w:hAnsi="Arial Black"/>
          <w:sz w:val="20"/>
          <w:szCs w:val="20"/>
        </w:rPr>
        <w:t>. Republic of Benin. </w:t>
      </w:r>
      <w:hyperlink r:id="rId28" w:history="1">
        <w:r w:rsidRPr="00485CB4">
          <w:rPr>
            <w:rStyle w:val="Hyperlink"/>
            <w:rFonts w:ascii="Arial Black" w:hAnsi="Arial Black"/>
            <w:b/>
            <w:bCs/>
            <w:sz w:val="20"/>
            <w:szCs w:val="20"/>
          </w:rPr>
          <w:t>https://www.adaptationundp.org/sites/default/files/resources/choix_des_technologies_agricoles_pour_ladaptation_aux_._du_pana_1.pdf</w:t>
        </w:r>
      </w:hyperlink>
    </w:p>
    <w:p w14:paraId="0CEE0979"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 xml:space="preserve">Yue, S., &amp; Pilon, P. (2004). A </w:t>
      </w:r>
      <w:proofErr w:type="spellStart"/>
      <w:r w:rsidRPr="00485CB4">
        <w:rPr>
          <w:rFonts w:ascii="Arial Black" w:hAnsi="Arial Black"/>
          <w:sz w:val="20"/>
          <w:szCs w:val="20"/>
        </w:rPr>
        <w:t>comparison</w:t>
      </w:r>
      <w:proofErr w:type="spellEnd"/>
      <w:r w:rsidRPr="00485CB4">
        <w:rPr>
          <w:rFonts w:ascii="Arial Black" w:hAnsi="Arial Black"/>
          <w:sz w:val="20"/>
          <w:szCs w:val="20"/>
        </w:rPr>
        <w:t xml:space="preserve"> of the power of the t test, Mann-Kendall and </w:t>
      </w:r>
      <w:proofErr w:type="spellStart"/>
      <w:r w:rsidRPr="00485CB4">
        <w:rPr>
          <w:rFonts w:ascii="Arial Black" w:hAnsi="Arial Black"/>
          <w:sz w:val="20"/>
          <w:szCs w:val="20"/>
        </w:rPr>
        <w:t>bootstrap</w:t>
      </w:r>
      <w:proofErr w:type="spellEnd"/>
      <w:r w:rsidRPr="00485CB4">
        <w:rPr>
          <w:rFonts w:ascii="Arial Black" w:hAnsi="Arial Black"/>
          <w:sz w:val="20"/>
          <w:szCs w:val="20"/>
        </w:rPr>
        <w:t xml:space="preserve"> tests for trend </w:t>
      </w:r>
      <w:proofErr w:type="spellStart"/>
      <w:r w:rsidRPr="00485CB4">
        <w:rPr>
          <w:rFonts w:ascii="Arial Black" w:hAnsi="Arial Black"/>
          <w:sz w:val="20"/>
          <w:szCs w:val="20"/>
        </w:rPr>
        <w:t>detection</w:t>
      </w:r>
      <w:proofErr w:type="spellEnd"/>
      <w:r w:rsidRPr="00485CB4">
        <w:rPr>
          <w:rFonts w:ascii="Arial Black" w:hAnsi="Arial Black"/>
          <w:sz w:val="20"/>
          <w:szCs w:val="20"/>
        </w:rPr>
        <w:t>. </w:t>
      </w:r>
      <w:proofErr w:type="spellStart"/>
      <w:r w:rsidRPr="00485CB4">
        <w:rPr>
          <w:rFonts w:ascii="Arial Black" w:hAnsi="Arial Black"/>
          <w:i/>
          <w:iCs/>
          <w:sz w:val="20"/>
          <w:szCs w:val="20"/>
        </w:rPr>
        <w:t>Hydrological</w:t>
      </w:r>
      <w:proofErr w:type="spellEnd"/>
      <w:r w:rsidRPr="00485CB4">
        <w:rPr>
          <w:rFonts w:ascii="Arial Black" w:hAnsi="Arial Black"/>
          <w:i/>
          <w:iCs/>
          <w:sz w:val="20"/>
          <w:szCs w:val="20"/>
        </w:rPr>
        <w:t xml:space="preserve"> Sciences Journal</w:t>
      </w:r>
      <w:r w:rsidRPr="00485CB4">
        <w:rPr>
          <w:rFonts w:ascii="Arial Black" w:hAnsi="Arial Black"/>
          <w:sz w:val="20"/>
          <w:szCs w:val="20"/>
        </w:rPr>
        <w:t>, </w:t>
      </w:r>
      <w:r w:rsidRPr="00485CB4">
        <w:rPr>
          <w:rFonts w:ascii="Arial Black" w:hAnsi="Arial Black"/>
          <w:i/>
          <w:iCs/>
          <w:sz w:val="20"/>
          <w:szCs w:val="20"/>
        </w:rPr>
        <w:t>49</w:t>
      </w:r>
      <w:r w:rsidRPr="00485CB4">
        <w:rPr>
          <w:rFonts w:ascii="Arial Black" w:hAnsi="Arial Black"/>
          <w:sz w:val="20"/>
          <w:szCs w:val="20"/>
        </w:rPr>
        <w:t>(1), 21-37.</w:t>
      </w:r>
    </w:p>
    <w:p w14:paraId="22EE1B56" w14:textId="77777777" w:rsidR="003526C1" w:rsidRPr="00485CB4" w:rsidRDefault="003526C1" w:rsidP="00485CB4">
      <w:pPr>
        <w:pStyle w:val="ListParagraph"/>
        <w:numPr>
          <w:ilvl w:val="0"/>
          <w:numId w:val="7"/>
        </w:numPr>
        <w:spacing w:after="0" w:line="360" w:lineRule="auto"/>
        <w:rPr>
          <w:rFonts w:ascii="Arial Black" w:hAnsi="Arial Black"/>
          <w:sz w:val="20"/>
          <w:szCs w:val="20"/>
        </w:rPr>
      </w:pPr>
      <w:r w:rsidRPr="00485CB4">
        <w:rPr>
          <w:rFonts w:ascii="Arial Black" w:hAnsi="Arial Black"/>
          <w:sz w:val="20"/>
          <w:szCs w:val="20"/>
        </w:rPr>
        <w:t xml:space="preserve">Zambo, Y. H. (2021). Perceptions of </w:t>
      </w:r>
      <w:proofErr w:type="spellStart"/>
      <w:r w:rsidRPr="00485CB4">
        <w:rPr>
          <w:rFonts w:ascii="Arial Black" w:hAnsi="Arial Black"/>
          <w:sz w:val="20"/>
          <w:szCs w:val="20"/>
        </w:rPr>
        <w:t>climate</w:t>
      </w:r>
      <w:proofErr w:type="spellEnd"/>
      <w:r w:rsidRPr="00485CB4">
        <w:rPr>
          <w:rFonts w:ascii="Arial Black" w:hAnsi="Arial Black"/>
          <w:sz w:val="20"/>
          <w:szCs w:val="20"/>
        </w:rPr>
        <w:t xml:space="preserve"> justice in the </w:t>
      </w:r>
      <w:proofErr w:type="spellStart"/>
      <w:r w:rsidRPr="00485CB4">
        <w:rPr>
          <w:rFonts w:ascii="Arial Black" w:hAnsi="Arial Black"/>
          <w:sz w:val="20"/>
          <w:szCs w:val="20"/>
        </w:rPr>
        <w:t>most</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vulnerable</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regions</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with</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low</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capacity</w:t>
      </w:r>
      <w:proofErr w:type="spellEnd"/>
      <w:r w:rsidRPr="00485CB4">
        <w:rPr>
          <w:rFonts w:ascii="Arial Black" w:hAnsi="Arial Black"/>
          <w:sz w:val="20"/>
          <w:szCs w:val="20"/>
        </w:rPr>
        <w:t xml:space="preserve"> to </w:t>
      </w:r>
      <w:proofErr w:type="spellStart"/>
      <w:r w:rsidRPr="00485CB4">
        <w:rPr>
          <w:rFonts w:ascii="Arial Black" w:hAnsi="Arial Black"/>
          <w:sz w:val="20"/>
          <w:szCs w:val="20"/>
        </w:rPr>
        <w:t>adapt</w:t>
      </w:r>
      <w:proofErr w:type="spellEnd"/>
      <w:r w:rsidRPr="00485CB4">
        <w:rPr>
          <w:rFonts w:ascii="Arial Black" w:hAnsi="Arial Black"/>
          <w:sz w:val="20"/>
          <w:szCs w:val="20"/>
        </w:rPr>
        <w:t xml:space="preserve"> to </w:t>
      </w:r>
      <w:proofErr w:type="spellStart"/>
      <w:r w:rsidRPr="00485CB4">
        <w:rPr>
          <w:rFonts w:ascii="Arial Black" w:hAnsi="Arial Black"/>
          <w:sz w:val="20"/>
          <w:szCs w:val="20"/>
        </w:rPr>
        <w:t>climate</w:t>
      </w:r>
      <w:proofErr w:type="spellEnd"/>
      <w:r w:rsidRPr="00485CB4">
        <w:rPr>
          <w:rFonts w:ascii="Arial Black" w:hAnsi="Arial Black"/>
          <w:sz w:val="20"/>
          <w:szCs w:val="20"/>
        </w:rPr>
        <w:t xml:space="preserve"> </w:t>
      </w:r>
      <w:proofErr w:type="gramStart"/>
      <w:r w:rsidRPr="00485CB4">
        <w:rPr>
          <w:rFonts w:ascii="Arial Black" w:hAnsi="Arial Black"/>
          <w:sz w:val="20"/>
          <w:szCs w:val="20"/>
        </w:rPr>
        <w:t>change:</w:t>
      </w:r>
      <w:proofErr w:type="gramEnd"/>
      <w:r w:rsidRPr="00485CB4">
        <w:rPr>
          <w:rFonts w:ascii="Arial Black" w:hAnsi="Arial Black"/>
          <w:sz w:val="20"/>
          <w:szCs w:val="20"/>
        </w:rPr>
        <w:t xml:space="preserve"> The case of </w:t>
      </w:r>
      <w:proofErr w:type="spellStart"/>
      <w:r w:rsidRPr="00485CB4">
        <w:rPr>
          <w:rFonts w:ascii="Arial Black" w:hAnsi="Arial Black"/>
          <w:sz w:val="20"/>
          <w:szCs w:val="20"/>
        </w:rPr>
        <w:t>sub-Saharan</w:t>
      </w:r>
      <w:proofErr w:type="spellEnd"/>
      <w:r w:rsidRPr="00485CB4">
        <w:rPr>
          <w:rFonts w:ascii="Arial Black" w:hAnsi="Arial Black"/>
          <w:sz w:val="20"/>
          <w:szCs w:val="20"/>
        </w:rPr>
        <w:t xml:space="preserve"> </w:t>
      </w:r>
      <w:proofErr w:type="spellStart"/>
      <w:r w:rsidRPr="00485CB4">
        <w:rPr>
          <w:rFonts w:ascii="Arial Black" w:hAnsi="Arial Black"/>
          <w:sz w:val="20"/>
          <w:szCs w:val="20"/>
        </w:rPr>
        <w:t>Africa</w:t>
      </w:r>
      <w:proofErr w:type="spellEnd"/>
      <w:r w:rsidRPr="00485CB4">
        <w:rPr>
          <w:rFonts w:ascii="Arial Black" w:hAnsi="Arial Black"/>
          <w:sz w:val="20"/>
          <w:szCs w:val="20"/>
        </w:rPr>
        <w:t>. </w:t>
      </w:r>
      <w:r w:rsidRPr="00485CB4">
        <w:rPr>
          <w:rFonts w:ascii="Arial Black" w:hAnsi="Arial Black"/>
          <w:i/>
          <w:iCs/>
          <w:sz w:val="20"/>
          <w:szCs w:val="20"/>
        </w:rPr>
        <w:t>NAAJ-</w:t>
      </w:r>
      <w:proofErr w:type="spellStart"/>
      <w:r w:rsidRPr="00485CB4">
        <w:rPr>
          <w:rFonts w:ascii="Arial Black" w:hAnsi="Arial Black"/>
          <w:i/>
          <w:iCs/>
          <w:sz w:val="20"/>
          <w:szCs w:val="20"/>
        </w:rPr>
        <w:t>African</w:t>
      </w:r>
      <w:proofErr w:type="spellEnd"/>
      <w:r w:rsidRPr="00485CB4">
        <w:rPr>
          <w:rFonts w:ascii="Arial Black" w:hAnsi="Arial Black"/>
          <w:i/>
          <w:iCs/>
          <w:sz w:val="20"/>
          <w:szCs w:val="20"/>
        </w:rPr>
        <w:t xml:space="preserve"> Journal </w:t>
      </w:r>
      <w:proofErr w:type="spellStart"/>
      <w:r w:rsidRPr="00485CB4">
        <w:rPr>
          <w:rFonts w:ascii="Arial Black" w:hAnsi="Arial Black"/>
          <w:i/>
          <w:iCs/>
          <w:sz w:val="20"/>
          <w:szCs w:val="20"/>
        </w:rPr>
        <w:t>on</w:t>
      </w:r>
      <w:proofErr w:type="spellEnd"/>
      <w:r w:rsidRPr="00485CB4">
        <w:rPr>
          <w:rFonts w:ascii="Arial Black" w:hAnsi="Arial Black"/>
          <w:i/>
          <w:iCs/>
          <w:sz w:val="20"/>
          <w:szCs w:val="20"/>
        </w:rPr>
        <w:t xml:space="preserve"> </w:t>
      </w:r>
      <w:proofErr w:type="spellStart"/>
      <w:r w:rsidRPr="00485CB4">
        <w:rPr>
          <w:rFonts w:ascii="Arial Black" w:hAnsi="Arial Black"/>
          <w:i/>
          <w:iCs/>
          <w:sz w:val="20"/>
          <w:szCs w:val="20"/>
        </w:rPr>
        <w:t>Climate</w:t>
      </w:r>
      <w:proofErr w:type="spellEnd"/>
      <w:r w:rsidRPr="00485CB4">
        <w:rPr>
          <w:rFonts w:ascii="Arial Black" w:hAnsi="Arial Black"/>
          <w:i/>
          <w:iCs/>
          <w:sz w:val="20"/>
          <w:szCs w:val="20"/>
        </w:rPr>
        <w:t xml:space="preserve"> Change and </w:t>
      </w:r>
      <w:proofErr w:type="spellStart"/>
      <w:r w:rsidRPr="00485CB4">
        <w:rPr>
          <w:rFonts w:ascii="Arial Black" w:hAnsi="Arial Black"/>
          <w:i/>
          <w:iCs/>
          <w:sz w:val="20"/>
          <w:szCs w:val="20"/>
        </w:rPr>
        <w:t>Renewable</w:t>
      </w:r>
      <w:proofErr w:type="spellEnd"/>
      <w:r w:rsidRPr="00485CB4">
        <w:rPr>
          <w:rFonts w:ascii="Arial Black" w:hAnsi="Arial Black"/>
          <w:i/>
          <w:iCs/>
          <w:sz w:val="20"/>
          <w:szCs w:val="20"/>
        </w:rPr>
        <w:t xml:space="preserve"> Energy</w:t>
      </w:r>
      <w:r w:rsidRPr="00485CB4">
        <w:rPr>
          <w:rFonts w:ascii="Arial Black" w:hAnsi="Arial Black"/>
          <w:sz w:val="20"/>
          <w:szCs w:val="20"/>
        </w:rPr>
        <w:t>, </w:t>
      </w:r>
      <w:r w:rsidRPr="00485CB4">
        <w:rPr>
          <w:rFonts w:ascii="Arial Black" w:hAnsi="Arial Black"/>
          <w:i/>
          <w:iCs/>
          <w:sz w:val="20"/>
          <w:szCs w:val="20"/>
        </w:rPr>
        <w:t>2</w:t>
      </w:r>
      <w:r w:rsidRPr="00485CB4">
        <w:rPr>
          <w:rFonts w:ascii="Arial Black" w:hAnsi="Arial Black"/>
          <w:sz w:val="20"/>
          <w:szCs w:val="20"/>
        </w:rPr>
        <w:t>(1).</w:t>
      </w:r>
    </w:p>
    <w:p w14:paraId="47FE3E12" w14:textId="77777777" w:rsidR="002D507D" w:rsidRPr="003526C1" w:rsidRDefault="002D507D" w:rsidP="005D154B">
      <w:pPr>
        <w:spacing w:after="0" w:line="360" w:lineRule="auto"/>
        <w:rPr>
          <w:rFonts w:ascii="Arial Black" w:hAnsi="Arial Black" w:cs="Times New Roman"/>
          <w:sz w:val="20"/>
          <w:szCs w:val="20"/>
        </w:rPr>
      </w:pPr>
    </w:p>
    <w:sectPr w:rsidR="002D507D" w:rsidRPr="003526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44A1D"/>
    <w:multiLevelType w:val="multilevel"/>
    <w:tmpl w:val="E71A82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B81C09"/>
    <w:multiLevelType w:val="multilevel"/>
    <w:tmpl w:val="680C02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B41ADD"/>
    <w:multiLevelType w:val="multilevel"/>
    <w:tmpl w:val="288272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167DED"/>
    <w:multiLevelType w:val="hybridMultilevel"/>
    <w:tmpl w:val="1430F4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02D63A1"/>
    <w:multiLevelType w:val="multilevel"/>
    <w:tmpl w:val="DF78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F121FB"/>
    <w:multiLevelType w:val="hybridMultilevel"/>
    <w:tmpl w:val="B8726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BC6139"/>
    <w:multiLevelType w:val="multilevel"/>
    <w:tmpl w:val="2842EB2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6"/>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FC"/>
    <w:rsid w:val="00023D1D"/>
    <w:rsid w:val="000A490B"/>
    <w:rsid w:val="000B0B45"/>
    <w:rsid w:val="000B1F2A"/>
    <w:rsid w:val="000D389A"/>
    <w:rsid w:val="000E00CF"/>
    <w:rsid w:val="001466B7"/>
    <w:rsid w:val="001632D5"/>
    <w:rsid w:val="00173A5B"/>
    <w:rsid w:val="00174761"/>
    <w:rsid w:val="0020270A"/>
    <w:rsid w:val="00205784"/>
    <w:rsid w:val="0026444D"/>
    <w:rsid w:val="00266A69"/>
    <w:rsid w:val="00273DB2"/>
    <w:rsid w:val="00287EE1"/>
    <w:rsid w:val="002917B1"/>
    <w:rsid w:val="002A5BAF"/>
    <w:rsid w:val="002B0D71"/>
    <w:rsid w:val="002D507D"/>
    <w:rsid w:val="002E1A46"/>
    <w:rsid w:val="003155D7"/>
    <w:rsid w:val="003526C1"/>
    <w:rsid w:val="00356B7D"/>
    <w:rsid w:val="003A04EF"/>
    <w:rsid w:val="003B05CA"/>
    <w:rsid w:val="003B74D0"/>
    <w:rsid w:val="003F1292"/>
    <w:rsid w:val="00433369"/>
    <w:rsid w:val="00451663"/>
    <w:rsid w:val="00454C06"/>
    <w:rsid w:val="00456558"/>
    <w:rsid w:val="00485CB4"/>
    <w:rsid w:val="004973F0"/>
    <w:rsid w:val="004A3408"/>
    <w:rsid w:val="004B5FFC"/>
    <w:rsid w:val="004E7478"/>
    <w:rsid w:val="004E7519"/>
    <w:rsid w:val="005220DA"/>
    <w:rsid w:val="0053608E"/>
    <w:rsid w:val="00594FEE"/>
    <w:rsid w:val="005A0BF5"/>
    <w:rsid w:val="005D154B"/>
    <w:rsid w:val="005D76DA"/>
    <w:rsid w:val="005E2317"/>
    <w:rsid w:val="00611549"/>
    <w:rsid w:val="00614B1E"/>
    <w:rsid w:val="00630C42"/>
    <w:rsid w:val="00634E35"/>
    <w:rsid w:val="0071482C"/>
    <w:rsid w:val="00737698"/>
    <w:rsid w:val="007C28E0"/>
    <w:rsid w:val="007D5A0A"/>
    <w:rsid w:val="00817399"/>
    <w:rsid w:val="008310DB"/>
    <w:rsid w:val="00835920"/>
    <w:rsid w:val="00836732"/>
    <w:rsid w:val="008A2EA9"/>
    <w:rsid w:val="008B2AE6"/>
    <w:rsid w:val="00905EDC"/>
    <w:rsid w:val="00910B1B"/>
    <w:rsid w:val="00944D24"/>
    <w:rsid w:val="00956C63"/>
    <w:rsid w:val="0098647A"/>
    <w:rsid w:val="00A05C2D"/>
    <w:rsid w:val="00A257B9"/>
    <w:rsid w:val="00A32FC5"/>
    <w:rsid w:val="00A4492C"/>
    <w:rsid w:val="00A90BA0"/>
    <w:rsid w:val="00A96C2E"/>
    <w:rsid w:val="00AA2D12"/>
    <w:rsid w:val="00AB226B"/>
    <w:rsid w:val="00AB4BDC"/>
    <w:rsid w:val="00AB7BDC"/>
    <w:rsid w:val="00AC29CD"/>
    <w:rsid w:val="00AC6CED"/>
    <w:rsid w:val="00B65AA3"/>
    <w:rsid w:val="00B8268A"/>
    <w:rsid w:val="00B949FE"/>
    <w:rsid w:val="00BA4171"/>
    <w:rsid w:val="00BC72C2"/>
    <w:rsid w:val="00BD067F"/>
    <w:rsid w:val="00C55DAE"/>
    <w:rsid w:val="00C57A9B"/>
    <w:rsid w:val="00C639BC"/>
    <w:rsid w:val="00C6536F"/>
    <w:rsid w:val="00C667D8"/>
    <w:rsid w:val="00CE64D2"/>
    <w:rsid w:val="00CF4652"/>
    <w:rsid w:val="00D0098F"/>
    <w:rsid w:val="00D11FB4"/>
    <w:rsid w:val="00D634B7"/>
    <w:rsid w:val="00D72A49"/>
    <w:rsid w:val="00DB0A17"/>
    <w:rsid w:val="00DB5594"/>
    <w:rsid w:val="00DC17A1"/>
    <w:rsid w:val="00DD32BB"/>
    <w:rsid w:val="00DE7FCE"/>
    <w:rsid w:val="00E0097E"/>
    <w:rsid w:val="00E05F80"/>
    <w:rsid w:val="00E16E79"/>
    <w:rsid w:val="00E22846"/>
    <w:rsid w:val="00E3535B"/>
    <w:rsid w:val="00E433A2"/>
    <w:rsid w:val="00E506DF"/>
    <w:rsid w:val="00E63495"/>
    <w:rsid w:val="00E74AD1"/>
    <w:rsid w:val="00E967C9"/>
    <w:rsid w:val="00ED6BF8"/>
    <w:rsid w:val="00F44C6B"/>
    <w:rsid w:val="00F454E8"/>
    <w:rsid w:val="00F74ABF"/>
    <w:rsid w:val="00F820F7"/>
    <w:rsid w:val="00FD2CFC"/>
    <w:rsid w:val="00FD45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3492"/>
  <w15:chartTrackingRefBased/>
  <w15:docId w15:val="{F6A73D11-D4BB-4817-B77F-FA317810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FFC"/>
    <w:rPr>
      <w:lang w:val="fr-FR"/>
    </w:rPr>
  </w:style>
  <w:style w:type="paragraph" w:styleId="Heading1">
    <w:name w:val="heading 1"/>
    <w:basedOn w:val="Normal"/>
    <w:next w:val="Normal"/>
    <w:link w:val="Heading1Char"/>
    <w:uiPriority w:val="9"/>
    <w:qFormat/>
    <w:rsid w:val="004B5F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B5F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F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5F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5F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5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F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B5F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F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5F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5F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5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FFC"/>
    <w:rPr>
      <w:rFonts w:eastAsiaTheme="majorEastAsia" w:cstheme="majorBidi"/>
      <w:color w:val="272727" w:themeColor="text1" w:themeTint="D8"/>
    </w:rPr>
  </w:style>
  <w:style w:type="paragraph" w:styleId="Title">
    <w:name w:val="Title"/>
    <w:basedOn w:val="Normal"/>
    <w:next w:val="Normal"/>
    <w:link w:val="TitleChar"/>
    <w:uiPriority w:val="10"/>
    <w:qFormat/>
    <w:rsid w:val="004B5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FFC"/>
    <w:pPr>
      <w:spacing w:before="160"/>
      <w:jc w:val="center"/>
    </w:pPr>
    <w:rPr>
      <w:i/>
      <w:iCs/>
      <w:color w:val="404040" w:themeColor="text1" w:themeTint="BF"/>
    </w:rPr>
  </w:style>
  <w:style w:type="character" w:customStyle="1" w:styleId="QuoteChar">
    <w:name w:val="Quote Char"/>
    <w:basedOn w:val="DefaultParagraphFont"/>
    <w:link w:val="Quote"/>
    <w:uiPriority w:val="29"/>
    <w:rsid w:val="004B5FFC"/>
    <w:rPr>
      <w:i/>
      <w:iCs/>
      <w:color w:val="404040" w:themeColor="text1" w:themeTint="BF"/>
    </w:rPr>
  </w:style>
  <w:style w:type="paragraph" w:styleId="ListParagraph">
    <w:name w:val="List Paragraph"/>
    <w:basedOn w:val="Normal"/>
    <w:uiPriority w:val="34"/>
    <w:qFormat/>
    <w:rsid w:val="004B5FFC"/>
    <w:pPr>
      <w:ind w:left="720"/>
      <w:contextualSpacing/>
    </w:pPr>
  </w:style>
  <w:style w:type="character" w:styleId="IntenseEmphasis">
    <w:name w:val="Intense Emphasis"/>
    <w:basedOn w:val="DefaultParagraphFont"/>
    <w:uiPriority w:val="21"/>
    <w:qFormat/>
    <w:rsid w:val="004B5FFC"/>
    <w:rPr>
      <w:i/>
      <w:iCs/>
      <w:color w:val="2F5496" w:themeColor="accent1" w:themeShade="BF"/>
    </w:rPr>
  </w:style>
  <w:style w:type="paragraph" w:styleId="IntenseQuote">
    <w:name w:val="Intense Quote"/>
    <w:basedOn w:val="Normal"/>
    <w:next w:val="Normal"/>
    <w:link w:val="IntenseQuoteChar"/>
    <w:uiPriority w:val="30"/>
    <w:qFormat/>
    <w:rsid w:val="004B5F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FFC"/>
    <w:rPr>
      <w:i/>
      <w:iCs/>
      <w:color w:val="2F5496" w:themeColor="accent1" w:themeShade="BF"/>
    </w:rPr>
  </w:style>
  <w:style w:type="character" w:styleId="IntenseReference">
    <w:name w:val="Intense Reference"/>
    <w:basedOn w:val="DefaultParagraphFont"/>
    <w:uiPriority w:val="32"/>
    <w:qFormat/>
    <w:rsid w:val="004B5FFC"/>
    <w:rPr>
      <w:b/>
      <w:bCs/>
      <w:smallCaps/>
      <w:color w:val="2F5496" w:themeColor="accent1" w:themeShade="BF"/>
      <w:spacing w:val="5"/>
    </w:rPr>
  </w:style>
  <w:style w:type="paragraph" w:styleId="Caption">
    <w:name w:val="caption"/>
    <w:basedOn w:val="Normal"/>
    <w:next w:val="Normal"/>
    <w:uiPriority w:val="35"/>
    <w:unhideWhenUsed/>
    <w:qFormat/>
    <w:rsid w:val="004B5FFC"/>
    <w:pPr>
      <w:spacing w:after="200" w:line="240" w:lineRule="auto"/>
      <w:jc w:val="both"/>
    </w:pPr>
    <w:rPr>
      <w:rFonts w:ascii="Times New Roman" w:hAnsi="Times New Roman"/>
      <w:i/>
      <w:iCs/>
      <w:color w:val="44546A" w:themeColor="text2"/>
      <w:kern w:val="0"/>
      <w:sz w:val="18"/>
      <w:szCs w:val="18"/>
      <w14:ligatures w14:val="none"/>
    </w:rPr>
  </w:style>
  <w:style w:type="character" w:styleId="Hyperlink">
    <w:name w:val="Hyperlink"/>
    <w:basedOn w:val="DefaultParagraphFont"/>
    <w:uiPriority w:val="99"/>
    <w:unhideWhenUsed/>
    <w:rsid w:val="004B5FFC"/>
    <w:rPr>
      <w:color w:val="0563C1" w:themeColor="hyperlink"/>
      <w:u w:val="single"/>
    </w:rPr>
  </w:style>
  <w:style w:type="table" w:styleId="TableGrid">
    <w:name w:val="Table Grid"/>
    <w:basedOn w:val="TableNormal"/>
    <w:uiPriority w:val="39"/>
    <w:rsid w:val="004B5FFC"/>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4BDC"/>
    <w:rPr>
      <w:color w:val="605E5C"/>
      <w:shd w:val="clear" w:color="auto" w:fill="E1DFDD"/>
    </w:rPr>
  </w:style>
  <w:style w:type="paragraph" w:styleId="NormalWeb">
    <w:name w:val="Normal (Web)"/>
    <w:basedOn w:val="Normal"/>
    <w:uiPriority w:val="99"/>
    <w:semiHidden/>
    <w:unhideWhenUsed/>
    <w:rsid w:val="005D76D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reseauactionclimat.org/wp-content/uploads/2017/06/Adaptation-de-l%E2%80%99agriculture-aux-changements-climatiques-%E2%80%93-Recueil-d%E2%80%99exp%C3%A9riences-territoriales.pdf" TargetMode="External"/><Relationship Id="rId26" Type="http://schemas.openxmlformats.org/officeDocument/2006/relationships/hyperlink" Target="https://matheo.uliege.be/handle/2268.2/17492" TargetMode="External"/><Relationship Id="rId3" Type="http://schemas.openxmlformats.org/officeDocument/2006/relationships/styles" Target="styles.xml"/><Relationship Id="rId21" Type="http://schemas.openxmlformats.org/officeDocument/2006/relationships/hyperlink" Target="https://archipel.uqam.ca/3513/1/M9543.pdf" TargetMode="External"/><Relationship Id="rId7" Type="http://schemas.openxmlformats.org/officeDocument/2006/relationships/chart" Target="charts/chart1.xml"/><Relationship Id="rId12" Type="http://schemas.openxmlformats.org/officeDocument/2006/relationships/chart" Target="charts/chart2.xml"/><Relationship Id="rId17" Type="http://schemas.openxmlformats.org/officeDocument/2006/relationships/hyperlink" Target="https://weadapt.org/wp-content/uploads/2023/05/4f736de8d6aecbognini-draft-final-cc-projectplace-132140-.pdf" TargetMode="External"/><Relationship Id="rId25" Type="http://schemas.openxmlformats.org/officeDocument/2006/relationships/hyperlink" Target="https://www.inter-reseaux.org/wp-content/uploads/pdf_version_complet.pdf"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s://openknowledge.fao.org/server/api/core/bitstreams/bfbf662f-f500-436c-862d-36318194a981/cont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10.xml"/><Relationship Id="rId24" Type="http://schemas.openxmlformats.org/officeDocument/2006/relationships/hyperlink" Target="http://infoterre.brgm.fr/rapports/RP-61855-FR.pdf"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doi.org/10.5281/zenodo.11443775" TargetMode="External"/><Relationship Id="rId28" Type="http://schemas.openxmlformats.org/officeDocument/2006/relationships/hyperlink" Target="https://www.adaptationundp.org/sites/default/files/resources/choix_des_technologies_agricoles_pour_ladaptation_aux_._du_pana_1.pdf" TargetMode="External"/><Relationship Id="rId19" Type="http://schemas.openxmlformats.org/officeDocument/2006/relationships/hyperlink" Target="https://www.drias-climat.fr/document/rapport-DRIAS-2020-red3-2.pdf" TargetMode="External"/><Relationship Id="rId4" Type="http://schemas.openxmlformats.org/officeDocument/2006/relationships/settings" Target="settings.xml"/><Relationship Id="rId14" Type="http://schemas.openxmlformats.org/officeDocument/2006/relationships/chart" Target="charts/chart4.xml"/><Relationship Id="rId22" Type="http://schemas.openxmlformats.org/officeDocument/2006/relationships/hyperlink" Target="https://books.openedition.org/irdeditions/2869?lang=fr" TargetMode="External"/><Relationship Id="rId27" Type="http://schemas.openxmlformats.org/officeDocument/2006/relationships/hyperlink" Target="https://ecophytopic.fr/sites/default/files/2021-04/Vol76-7-Perrin%20et%20Lef%C3%A8vre.pdf"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Classeur3"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Classeur3"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oleObject" Target="Classeur3"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P%20ProBook\Downloads\jb_clim\Pluie.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file:///C:\Users\HP%20ProBook\Desktop\Donn&#233;es%20J.B\Copie%20de%20PLUIE(2013).xls"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Q-Q plot (Moyenne-pluie)</a:t>
            </a:r>
          </a:p>
        </c:rich>
      </c:tx>
      <c:overlay val="0"/>
    </c:title>
    <c:autoTitleDeleted val="0"/>
    <c:plotArea>
      <c:layout>
        <c:manualLayout>
          <c:layoutTarget val="inner"/>
          <c:xMode val="edge"/>
          <c:yMode val="edge"/>
          <c:x val="0.16567705445270045"/>
          <c:y val="0.14286049065295411"/>
          <c:w val="0.76131825071161874"/>
          <c:h val="0.66652089642640833"/>
        </c:manualLayout>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normalité_HID'!$C$1:$C$30</c:f>
              <c:numCache>
                <c:formatCode>General</c:formatCode>
                <c:ptCount val="30"/>
                <c:pt idx="0">
                  <c:v>48.983333333333341</c:v>
                </c:pt>
                <c:pt idx="1">
                  <c:v>49.508333333333326</c:v>
                </c:pt>
                <c:pt idx="2">
                  <c:v>49.733333333333327</c:v>
                </c:pt>
                <c:pt idx="3">
                  <c:v>51.558333333333337</c:v>
                </c:pt>
                <c:pt idx="4">
                  <c:v>54.68333333333333</c:v>
                </c:pt>
                <c:pt idx="5">
                  <c:v>56.449999999999996</c:v>
                </c:pt>
                <c:pt idx="6">
                  <c:v>56.841666666666676</c:v>
                </c:pt>
                <c:pt idx="7">
                  <c:v>57.45000000000001</c:v>
                </c:pt>
                <c:pt idx="8">
                  <c:v>58.366666666666667</c:v>
                </c:pt>
                <c:pt idx="9">
                  <c:v>59.433333333333337</c:v>
                </c:pt>
                <c:pt idx="10">
                  <c:v>62.233333333333327</c:v>
                </c:pt>
                <c:pt idx="11">
                  <c:v>62.54999999999999</c:v>
                </c:pt>
                <c:pt idx="12">
                  <c:v>63.95000000000001</c:v>
                </c:pt>
                <c:pt idx="13">
                  <c:v>66.024999999999991</c:v>
                </c:pt>
                <c:pt idx="14">
                  <c:v>66.275000000000006</c:v>
                </c:pt>
                <c:pt idx="15">
                  <c:v>66.683333333333337</c:v>
                </c:pt>
                <c:pt idx="16">
                  <c:v>69.916666666666671</c:v>
                </c:pt>
                <c:pt idx="17">
                  <c:v>69.99166666666666</c:v>
                </c:pt>
                <c:pt idx="18">
                  <c:v>70.325000000000003</c:v>
                </c:pt>
                <c:pt idx="19">
                  <c:v>70.641666666666666</c:v>
                </c:pt>
                <c:pt idx="20">
                  <c:v>71.058333333333337</c:v>
                </c:pt>
                <c:pt idx="21">
                  <c:v>71.683333333333323</c:v>
                </c:pt>
                <c:pt idx="22">
                  <c:v>72.841666666666669</c:v>
                </c:pt>
                <c:pt idx="23">
                  <c:v>74.883333333333326</c:v>
                </c:pt>
                <c:pt idx="24">
                  <c:v>76.966666666666669</c:v>
                </c:pt>
                <c:pt idx="25">
                  <c:v>78.25833333333334</c:v>
                </c:pt>
                <c:pt idx="26">
                  <c:v>79.641666666666666</c:v>
                </c:pt>
                <c:pt idx="27">
                  <c:v>81.174999999999997</c:v>
                </c:pt>
                <c:pt idx="28">
                  <c:v>83.583333333333329</c:v>
                </c:pt>
                <c:pt idx="29">
                  <c:v>84.191666666666663</c:v>
                </c:pt>
              </c:numCache>
            </c:numRef>
          </c:xVal>
          <c:yVal>
            <c:numRef>
              <c:f>'Tests de normalité_HID'!$D$1:$D$30</c:f>
              <c:numCache>
                <c:formatCode>General</c:formatCode>
                <c:ptCount val="30"/>
                <c:pt idx="0">
                  <c:v>45.803337849938828</c:v>
                </c:pt>
                <c:pt idx="1">
                  <c:v>49.924187699093778</c:v>
                </c:pt>
                <c:pt idx="2">
                  <c:v>52.408959395576971</c:v>
                </c:pt>
                <c:pt idx="3">
                  <c:v>54.270300716050485</c:v>
                </c:pt>
                <c:pt idx="4">
                  <c:v>55.801891599254873</c:v>
                </c:pt>
                <c:pt idx="5">
                  <c:v>57.12923238517044</c:v>
                </c:pt>
                <c:pt idx="6">
                  <c:v>58.31847771149134</c:v>
                </c:pt>
                <c:pt idx="7">
                  <c:v>59.409230808598963</c:v>
                </c:pt>
                <c:pt idx="8">
                  <c:v>60.42738576242116</c:v>
                </c:pt>
                <c:pt idx="9">
                  <c:v>61.391048234859326</c:v>
                </c:pt>
                <c:pt idx="10">
                  <c:v>62.313596289597008</c:v>
                </c:pt>
                <c:pt idx="11">
                  <c:v>63.205407464503352</c:v>
                </c:pt>
                <c:pt idx="12">
                  <c:v>64.074906937356104</c:v>
                </c:pt>
                <c:pt idx="13">
                  <c:v>64.929247983134161</c:v>
                </c:pt>
                <c:pt idx="14">
                  <c:v>65.774785911992225</c:v>
                </c:pt>
                <c:pt idx="15">
                  <c:v>66.617436310230019</c:v>
                </c:pt>
                <c:pt idx="16">
                  <c:v>67.462974239088084</c:v>
                </c:pt>
                <c:pt idx="17">
                  <c:v>68.31731528486614</c:v>
                </c:pt>
                <c:pt idx="18">
                  <c:v>69.186814757718892</c:v>
                </c:pt>
                <c:pt idx="19">
                  <c:v>70.078625932625229</c:v>
                </c:pt>
                <c:pt idx="20">
                  <c:v>71.001173987362918</c:v>
                </c:pt>
                <c:pt idx="21">
                  <c:v>71.964836459801091</c:v>
                </c:pt>
                <c:pt idx="22">
                  <c:v>72.982991413623282</c:v>
                </c:pt>
                <c:pt idx="23">
                  <c:v>74.073744510730904</c:v>
                </c:pt>
                <c:pt idx="24">
                  <c:v>75.262989837051805</c:v>
                </c:pt>
                <c:pt idx="25">
                  <c:v>76.590330622967372</c:v>
                </c:pt>
                <c:pt idx="26">
                  <c:v>78.121921506171759</c:v>
                </c:pt>
                <c:pt idx="27">
                  <c:v>79.983262826645273</c:v>
                </c:pt>
                <c:pt idx="28">
                  <c:v>82.468034523128466</c:v>
                </c:pt>
                <c:pt idx="29">
                  <c:v>86.588884372283417</c:v>
                </c:pt>
              </c:numCache>
            </c:numRef>
          </c:yVal>
          <c:smooth val="0"/>
          <c:extLst>
            <c:ext xmlns:c16="http://schemas.microsoft.com/office/drawing/2014/chart" uri="{C3380CC4-5D6E-409C-BE32-E72D297353CC}">
              <c16:uniqueId val="{00000000-BF24-4FF6-8009-E299B771BA0F}"/>
            </c:ext>
          </c:extLst>
        </c:ser>
        <c:ser>
          <c:idx val="1"/>
          <c:order val="1"/>
          <c:spPr>
            <a:ln w="6350">
              <a:solidFill>
                <a:srgbClr val="000000"/>
              </a:solidFill>
              <a:prstDash val="lgDash"/>
            </a:ln>
          </c:spPr>
          <c:marker>
            <c:symbol val="none"/>
          </c:marker>
          <c:xVal>
            <c:numLit>
              <c:formatCode>General</c:formatCode>
              <c:ptCount val="2"/>
              <c:pt idx="0">
                <c:v>40</c:v>
              </c:pt>
              <c:pt idx="1">
                <c:v>90</c:v>
              </c:pt>
            </c:numLit>
          </c:xVal>
          <c:yVal>
            <c:numLit>
              <c:formatCode>General</c:formatCode>
              <c:ptCount val="2"/>
              <c:pt idx="0">
                <c:v>40</c:v>
              </c:pt>
              <c:pt idx="1">
                <c:v>90</c:v>
              </c:pt>
            </c:numLit>
          </c:yVal>
          <c:smooth val="0"/>
          <c:extLst>
            <c:ext xmlns:c16="http://schemas.microsoft.com/office/drawing/2014/chart" uri="{C3380CC4-5D6E-409C-BE32-E72D297353CC}">
              <c16:uniqueId val="{00000001-BF24-4FF6-8009-E299B771BA0F}"/>
            </c:ext>
          </c:extLst>
        </c:ser>
        <c:dLbls>
          <c:showLegendKey val="0"/>
          <c:showVal val="0"/>
          <c:showCatName val="0"/>
          <c:showSerName val="0"/>
          <c:showPercent val="0"/>
          <c:showBubbleSize val="0"/>
        </c:dLbls>
        <c:axId val="-858336464"/>
        <c:axId val="-858335920"/>
      </c:scatterChart>
      <c:valAx>
        <c:axId val="-858336464"/>
        <c:scaling>
          <c:orientation val="minMax"/>
          <c:max val="90"/>
          <c:min val="40"/>
        </c:scaling>
        <c:delete val="0"/>
        <c:axPos val="b"/>
        <c:title>
          <c:tx>
            <c:rich>
              <a:bodyPr/>
              <a:lstStyle/>
              <a:p>
                <a:pPr>
                  <a:defRPr sz="800" b="0">
                    <a:latin typeface="Arial"/>
                    <a:ea typeface="Arial"/>
                    <a:cs typeface="Arial"/>
                  </a:defRPr>
                </a:pPr>
                <a:r>
                  <a:rPr lang="en-US"/>
                  <a:t>Moyenne</a:t>
                </a:r>
              </a:p>
            </c:rich>
          </c:tx>
          <c:overlay val="0"/>
        </c:title>
        <c:numFmt formatCode="General" sourceLinked="0"/>
        <c:majorTickMark val="cross"/>
        <c:minorTickMark val="none"/>
        <c:tickLblPos val="nextTo"/>
        <c:txPr>
          <a:bodyPr rot="0" vert="horz"/>
          <a:lstStyle/>
          <a:p>
            <a:pPr>
              <a:defRPr sz="700"/>
            </a:pPr>
            <a:endParaRPr lang="en-US"/>
          </a:p>
        </c:txPr>
        <c:crossAx val="-858335920"/>
        <c:crosses val="autoZero"/>
        <c:crossBetween val="midCat"/>
      </c:valAx>
      <c:valAx>
        <c:axId val="-858335920"/>
        <c:scaling>
          <c:orientation val="minMax"/>
          <c:max val="90"/>
          <c:min val="40"/>
        </c:scaling>
        <c:delete val="0"/>
        <c:axPos val="l"/>
        <c:title>
          <c:tx>
            <c:rich>
              <a:bodyPr/>
              <a:lstStyle/>
              <a:p>
                <a:pPr>
                  <a:defRPr sz="800" b="0">
                    <a:latin typeface="Arial"/>
                    <a:ea typeface="Arial"/>
                    <a:cs typeface="Arial"/>
                  </a:defRPr>
                </a:pPr>
                <a:r>
                  <a:rPr lang="en-US"/>
                  <a:t>Quantile - Normale (66,20; 10,20)</a:t>
                </a:r>
              </a:p>
            </c:rich>
          </c:tx>
          <c:overlay val="0"/>
        </c:title>
        <c:numFmt formatCode="General" sourceLinked="0"/>
        <c:majorTickMark val="cross"/>
        <c:minorTickMark val="none"/>
        <c:tickLblPos val="nextTo"/>
        <c:txPr>
          <a:bodyPr/>
          <a:lstStyle/>
          <a:p>
            <a:pPr>
              <a:defRPr sz="700"/>
            </a:pPr>
            <a:endParaRPr lang="en-US"/>
          </a:p>
        </c:txPr>
        <c:crossAx val="-858336464"/>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Q-Q plot (Moyenne-pluie)</a:t>
            </a:r>
          </a:p>
        </c:rich>
      </c:tx>
      <c:overlay val="0"/>
    </c:title>
    <c:autoTitleDeleted val="0"/>
    <c:plotArea>
      <c:layout>
        <c:manualLayout>
          <c:layoutTarget val="inner"/>
          <c:xMode val="edge"/>
          <c:yMode val="edge"/>
          <c:x val="0.16567705445270045"/>
          <c:y val="0.14286049065295411"/>
          <c:w val="0.76131825071161874"/>
          <c:h val="0.66652089642640833"/>
        </c:manualLayout>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normalité_HID'!$C$1:$C$30</c:f>
              <c:numCache>
                <c:formatCode>General</c:formatCode>
                <c:ptCount val="30"/>
                <c:pt idx="0">
                  <c:v>48.983333333333341</c:v>
                </c:pt>
                <c:pt idx="1">
                  <c:v>49.508333333333326</c:v>
                </c:pt>
                <c:pt idx="2">
                  <c:v>49.733333333333327</c:v>
                </c:pt>
                <c:pt idx="3">
                  <c:v>51.558333333333337</c:v>
                </c:pt>
                <c:pt idx="4">
                  <c:v>54.68333333333333</c:v>
                </c:pt>
                <c:pt idx="5">
                  <c:v>56.449999999999996</c:v>
                </c:pt>
                <c:pt idx="6">
                  <c:v>56.841666666666676</c:v>
                </c:pt>
                <c:pt idx="7">
                  <c:v>57.45000000000001</c:v>
                </c:pt>
                <c:pt idx="8">
                  <c:v>58.366666666666667</c:v>
                </c:pt>
                <c:pt idx="9">
                  <c:v>59.433333333333337</c:v>
                </c:pt>
                <c:pt idx="10">
                  <c:v>62.233333333333327</c:v>
                </c:pt>
                <c:pt idx="11">
                  <c:v>62.54999999999999</c:v>
                </c:pt>
                <c:pt idx="12">
                  <c:v>63.95000000000001</c:v>
                </c:pt>
                <c:pt idx="13">
                  <c:v>66.024999999999991</c:v>
                </c:pt>
                <c:pt idx="14">
                  <c:v>66.275000000000006</c:v>
                </c:pt>
                <c:pt idx="15">
                  <c:v>66.683333333333337</c:v>
                </c:pt>
                <c:pt idx="16">
                  <c:v>69.916666666666671</c:v>
                </c:pt>
                <c:pt idx="17">
                  <c:v>69.99166666666666</c:v>
                </c:pt>
                <c:pt idx="18">
                  <c:v>70.325000000000003</c:v>
                </c:pt>
                <c:pt idx="19">
                  <c:v>70.641666666666666</c:v>
                </c:pt>
                <c:pt idx="20">
                  <c:v>71.058333333333337</c:v>
                </c:pt>
                <c:pt idx="21">
                  <c:v>71.683333333333323</c:v>
                </c:pt>
                <c:pt idx="22">
                  <c:v>72.841666666666669</c:v>
                </c:pt>
                <c:pt idx="23">
                  <c:v>74.883333333333326</c:v>
                </c:pt>
                <c:pt idx="24">
                  <c:v>76.966666666666669</c:v>
                </c:pt>
                <c:pt idx="25">
                  <c:v>78.25833333333334</c:v>
                </c:pt>
                <c:pt idx="26">
                  <c:v>79.641666666666666</c:v>
                </c:pt>
                <c:pt idx="27">
                  <c:v>81.174999999999997</c:v>
                </c:pt>
                <c:pt idx="28">
                  <c:v>83.583333333333329</c:v>
                </c:pt>
                <c:pt idx="29">
                  <c:v>84.191666666666663</c:v>
                </c:pt>
              </c:numCache>
            </c:numRef>
          </c:xVal>
          <c:yVal>
            <c:numRef>
              <c:f>'Tests de normalité_HID'!$D$1:$D$30</c:f>
              <c:numCache>
                <c:formatCode>General</c:formatCode>
                <c:ptCount val="30"/>
                <c:pt idx="0">
                  <c:v>45.803337849938828</c:v>
                </c:pt>
                <c:pt idx="1">
                  <c:v>49.924187699093778</c:v>
                </c:pt>
                <c:pt idx="2">
                  <c:v>52.408959395576971</c:v>
                </c:pt>
                <c:pt idx="3">
                  <c:v>54.270300716050485</c:v>
                </c:pt>
                <c:pt idx="4">
                  <c:v>55.801891599254873</c:v>
                </c:pt>
                <c:pt idx="5">
                  <c:v>57.12923238517044</c:v>
                </c:pt>
                <c:pt idx="6">
                  <c:v>58.31847771149134</c:v>
                </c:pt>
                <c:pt idx="7">
                  <c:v>59.409230808598963</c:v>
                </c:pt>
                <c:pt idx="8">
                  <c:v>60.42738576242116</c:v>
                </c:pt>
                <c:pt idx="9">
                  <c:v>61.391048234859326</c:v>
                </c:pt>
                <c:pt idx="10">
                  <c:v>62.313596289597008</c:v>
                </c:pt>
                <c:pt idx="11">
                  <c:v>63.205407464503352</c:v>
                </c:pt>
                <c:pt idx="12">
                  <c:v>64.074906937356104</c:v>
                </c:pt>
                <c:pt idx="13">
                  <c:v>64.929247983134161</c:v>
                </c:pt>
                <c:pt idx="14">
                  <c:v>65.774785911992225</c:v>
                </c:pt>
                <c:pt idx="15">
                  <c:v>66.617436310230019</c:v>
                </c:pt>
                <c:pt idx="16">
                  <c:v>67.462974239088084</c:v>
                </c:pt>
                <c:pt idx="17">
                  <c:v>68.31731528486614</c:v>
                </c:pt>
                <c:pt idx="18">
                  <c:v>69.186814757718892</c:v>
                </c:pt>
                <c:pt idx="19">
                  <c:v>70.078625932625229</c:v>
                </c:pt>
                <c:pt idx="20">
                  <c:v>71.001173987362918</c:v>
                </c:pt>
                <c:pt idx="21">
                  <c:v>71.964836459801091</c:v>
                </c:pt>
                <c:pt idx="22">
                  <c:v>72.982991413623282</c:v>
                </c:pt>
                <c:pt idx="23">
                  <c:v>74.073744510730904</c:v>
                </c:pt>
                <c:pt idx="24">
                  <c:v>75.262989837051805</c:v>
                </c:pt>
                <c:pt idx="25">
                  <c:v>76.590330622967372</c:v>
                </c:pt>
                <c:pt idx="26">
                  <c:v>78.121921506171759</c:v>
                </c:pt>
                <c:pt idx="27">
                  <c:v>79.983262826645273</c:v>
                </c:pt>
                <c:pt idx="28">
                  <c:v>82.468034523128466</c:v>
                </c:pt>
                <c:pt idx="29">
                  <c:v>86.588884372283417</c:v>
                </c:pt>
              </c:numCache>
            </c:numRef>
          </c:yVal>
          <c:smooth val="0"/>
          <c:extLst>
            <c:ext xmlns:c16="http://schemas.microsoft.com/office/drawing/2014/chart" uri="{C3380CC4-5D6E-409C-BE32-E72D297353CC}">
              <c16:uniqueId val="{00000000-BF24-4FF6-8009-E299B771BA0F}"/>
            </c:ext>
          </c:extLst>
        </c:ser>
        <c:ser>
          <c:idx val="1"/>
          <c:order val="1"/>
          <c:spPr>
            <a:ln w="6350">
              <a:solidFill>
                <a:srgbClr val="000000"/>
              </a:solidFill>
              <a:prstDash val="lgDash"/>
            </a:ln>
          </c:spPr>
          <c:marker>
            <c:symbol val="none"/>
          </c:marker>
          <c:xVal>
            <c:numLit>
              <c:formatCode>General</c:formatCode>
              <c:ptCount val="2"/>
              <c:pt idx="0">
                <c:v>40</c:v>
              </c:pt>
              <c:pt idx="1">
                <c:v>90</c:v>
              </c:pt>
            </c:numLit>
          </c:xVal>
          <c:yVal>
            <c:numLit>
              <c:formatCode>General</c:formatCode>
              <c:ptCount val="2"/>
              <c:pt idx="0">
                <c:v>40</c:v>
              </c:pt>
              <c:pt idx="1">
                <c:v>90</c:v>
              </c:pt>
            </c:numLit>
          </c:yVal>
          <c:smooth val="0"/>
          <c:extLst>
            <c:ext xmlns:c16="http://schemas.microsoft.com/office/drawing/2014/chart" uri="{C3380CC4-5D6E-409C-BE32-E72D297353CC}">
              <c16:uniqueId val="{00000001-BF24-4FF6-8009-E299B771BA0F}"/>
            </c:ext>
          </c:extLst>
        </c:ser>
        <c:dLbls>
          <c:showLegendKey val="0"/>
          <c:showVal val="0"/>
          <c:showCatName val="0"/>
          <c:showSerName val="0"/>
          <c:showPercent val="0"/>
          <c:showBubbleSize val="0"/>
        </c:dLbls>
        <c:axId val="-858336464"/>
        <c:axId val="-858335920"/>
      </c:scatterChart>
      <c:valAx>
        <c:axId val="-858336464"/>
        <c:scaling>
          <c:orientation val="minMax"/>
          <c:max val="90"/>
          <c:min val="40"/>
        </c:scaling>
        <c:delete val="0"/>
        <c:axPos val="b"/>
        <c:title>
          <c:tx>
            <c:rich>
              <a:bodyPr/>
              <a:lstStyle/>
              <a:p>
                <a:pPr>
                  <a:defRPr sz="800" b="0">
                    <a:latin typeface="Arial"/>
                    <a:ea typeface="Arial"/>
                    <a:cs typeface="Arial"/>
                  </a:defRPr>
                </a:pPr>
                <a:r>
                  <a:rPr lang="en-US"/>
                  <a:t>Moyenne</a:t>
                </a:r>
              </a:p>
            </c:rich>
          </c:tx>
          <c:overlay val="0"/>
        </c:title>
        <c:numFmt formatCode="General" sourceLinked="0"/>
        <c:majorTickMark val="cross"/>
        <c:minorTickMark val="none"/>
        <c:tickLblPos val="nextTo"/>
        <c:txPr>
          <a:bodyPr rot="0" vert="horz"/>
          <a:lstStyle/>
          <a:p>
            <a:pPr>
              <a:defRPr sz="700"/>
            </a:pPr>
            <a:endParaRPr lang="fr-FR"/>
          </a:p>
        </c:txPr>
        <c:crossAx val="-858335920"/>
        <c:crosses val="autoZero"/>
        <c:crossBetween val="midCat"/>
      </c:valAx>
      <c:valAx>
        <c:axId val="-858335920"/>
        <c:scaling>
          <c:orientation val="minMax"/>
          <c:max val="90"/>
          <c:min val="40"/>
        </c:scaling>
        <c:delete val="0"/>
        <c:axPos val="l"/>
        <c:title>
          <c:tx>
            <c:rich>
              <a:bodyPr/>
              <a:lstStyle/>
              <a:p>
                <a:pPr>
                  <a:defRPr sz="800" b="0">
                    <a:latin typeface="Arial"/>
                    <a:ea typeface="Arial"/>
                    <a:cs typeface="Arial"/>
                  </a:defRPr>
                </a:pPr>
                <a:r>
                  <a:rPr lang="en-US"/>
                  <a:t>Quantile - Normale (66,20; 10,20)</a:t>
                </a:r>
              </a:p>
            </c:rich>
          </c:tx>
          <c:overlay val="0"/>
        </c:title>
        <c:numFmt formatCode="General" sourceLinked="0"/>
        <c:majorTickMark val="cross"/>
        <c:minorTickMark val="none"/>
        <c:tickLblPos val="nextTo"/>
        <c:txPr>
          <a:bodyPr/>
          <a:lstStyle/>
          <a:p>
            <a:pPr>
              <a:defRPr sz="700"/>
            </a:pPr>
            <a:endParaRPr lang="fr-FR"/>
          </a:p>
        </c:txPr>
        <c:crossAx val="-858336464"/>
        <c:crosses val="autoZero"/>
        <c:crossBetween val="midCat"/>
      </c:valAx>
      <c:spPr>
        <a:ln>
          <a:solidFill>
            <a:srgbClr val="C0C0C0"/>
          </a:solidFill>
          <a:prstDash val="solid"/>
        </a:ln>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P-P plot (Moyenne-pluie)</a:t>
            </a:r>
          </a:p>
        </c:rich>
      </c:tx>
      <c:overlay val="0"/>
    </c:title>
    <c:autoTitleDeleted val="0"/>
    <c:plotArea>
      <c:layout>
        <c:manualLayout>
          <c:layoutTarget val="inner"/>
          <c:xMode val="edge"/>
          <c:yMode val="edge"/>
          <c:x val="0.20176636186605706"/>
          <c:y val="2.4985495234148364E-2"/>
          <c:w val="0.76339958513250361"/>
          <c:h val="0.70857669107151078"/>
        </c:manualLayout>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normalité_HID'!$A$1:$A$29</c:f>
              <c:numCache>
                <c:formatCode>General</c:formatCode>
                <c:ptCount val="29"/>
                <c:pt idx="0">
                  <c:v>3.3333333333333333E-2</c:v>
                </c:pt>
                <c:pt idx="1">
                  <c:v>6.6666666666666666E-2</c:v>
                </c:pt>
                <c:pt idx="2">
                  <c:v>0.1</c:v>
                </c:pt>
                <c:pt idx="3">
                  <c:v>0.13333333333333333</c:v>
                </c:pt>
                <c:pt idx="4">
                  <c:v>0.16666666666666666</c:v>
                </c:pt>
                <c:pt idx="5">
                  <c:v>0.19999999999999998</c:v>
                </c:pt>
                <c:pt idx="6">
                  <c:v>0.23333333333333331</c:v>
                </c:pt>
                <c:pt idx="7">
                  <c:v>0.26666666666666666</c:v>
                </c:pt>
                <c:pt idx="8">
                  <c:v>0.3</c:v>
                </c:pt>
                <c:pt idx="9">
                  <c:v>0.33333333333333331</c:v>
                </c:pt>
                <c:pt idx="10">
                  <c:v>0.36666666666666664</c:v>
                </c:pt>
                <c:pt idx="11">
                  <c:v>0.39999999999999997</c:v>
                </c:pt>
                <c:pt idx="12">
                  <c:v>0.43333333333333329</c:v>
                </c:pt>
                <c:pt idx="13">
                  <c:v>0.46666666666666662</c:v>
                </c:pt>
                <c:pt idx="14">
                  <c:v>0.49999999999999994</c:v>
                </c:pt>
                <c:pt idx="15">
                  <c:v>0.53333333333333333</c:v>
                </c:pt>
                <c:pt idx="16">
                  <c:v>0.56666666666666665</c:v>
                </c:pt>
                <c:pt idx="17">
                  <c:v>0.6</c:v>
                </c:pt>
                <c:pt idx="18">
                  <c:v>0.6333333333333333</c:v>
                </c:pt>
                <c:pt idx="19">
                  <c:v>0.66666666666666663</c:v>
                </c:pt>
                <c:pt idx="20">
                  <c:v>0.7</c:v>
                </c:pt>
                <c:pt idx="21">
                  <c:v>0.73333333333333328</c:v>
                </c:pt>
                <c:pt idx="22">
                  <c:v>0.76666666666666661</c:v>
                </c:pt>
                <c:pt idx="23">
                  <c:v>0.79999999999999993</c:v>
                </c:pt>
                <c:pt idx="24">
                  <c:v>0.83333333333333326</c:v>
                </c:pt>
                <c:pt idx="25">
                  <c:v>0.86666666666666659</c:v>
                </c:pt>
                <c:pt idx="26">
                  <c:v>0.89999999999999991</c:v>
                </c:pt>
                <c:pt idx="27">
                  <c:v>0.93333333333333324</c:v>
                </c:pt>
                <c:pt idx="28">
                  <c:v>0.96666666666666656</c:v>
                </c:pt>
              </c:numCache>
            </c:numRef>
          </c:xVal>
          <c:yVal>
            <c:numRef>
              <c:f>'Tests de normalité_HID'!$B$1:$B$29</c:f>
              <c:numCache>
                <c:formatCode>General</c:formatCode>
                <c:ptCount val="29"/>
                <c:pt idx="0">
                  <c:v>4.582839526748321E-2</c:v>
                </c:pt>
                <c:pt idx="1">
                  <c:v>5.0995588700226524E-2</c:v>
                </c:pt>
                <c:pt idx="2">
                  <c:v>5.3347510799518723E-2</c:v>
                </c:pt>
                <c:pt idx="3">
                  <c:v>7.5730270245368131E-2</c:v>
                </c:pt>
                <c:pt idx="4">
                  <c:v>0.12962507368797777</c:v>
                </c:pt>
                <c:pt idx="5">
                  <c:v>0.16977740937214517</c:v>
                </c:pt>
                <c:pt idx="6">
                  <c:v>0.17965914066416253</c:v>
                </c:pt>
                <c:pt idx="7">
                  <c:v>0.19570785304272981</c:v>
                </c:pt>
                <c:pt idx="8">
                  <c:v>0.22147346209483146</c:v>
                </c:pt>
                <c:pt idx="9">
                  <c:v>0.25376099663843921</c:v>
                </c:pt>
                <c:pt idx="10">
                  <c:v>0.34888877677321584</c:v>
                </c:pt>
                <c:pt idx="11">
                  <c:v>0.36043685745780485</c:v>
                </c:pt>
                <c:pt idx="12">
                  <c:v>0.4128958913623848</c:v>
                </c:pt>
                <c:pt idx="13">
                  <c:v>0.49331101050619874</c:v>
                </c:pt>
                <c:pt idx="14">
                  <c:v>0.50308399855706776</c:v>
                </c:pt>
                <c:pt idx="15">
                  <c:v>0.51903990469771388</c:v>
                </c:pt>
                <c:pt idx="16">
                  <c:v>0.64228988958998734</c:v>
                </c:pt>
                <c:pt idx="17">
                  <c:v>0.64502966136815043</c:v>
                </c:pt>
                <c:pt idx="18">
                  <c:v>0.6571141879006559</c:v>
                </c:pt>
                <c:pt idx="19">
                  <c:v>0.66844770833399136</c:v>
                </c:pt>
                <c:pt idx="20">
                  <c:v>0.68312701996834013</c:v>
                </c:pt>
                <c:pt idx="21">
                  <c:v>0.70461008989510243</c:v>
                </c:pt>
                <c:pt idx="22">
                  <c:v>0.74254589600023901</c:v>
                </c:pt>
                <c:pt idx="23">
                  <c:v>0.80269367590469698</c:v>
                </c:pt>
                <c:pt idx="24">
                  <c:v>0.85438634422513349</c:v>
                </c:pt>
                <c:pt idx="25">
                  <c:v>0.88139846457036319</c:v>
                </c:pt>
                <c:pt idx="26">
                  <c:v>0.90617498426345056</c:v>
                </c:pt>
                <c:pt idx="27">
                  <c:v>0.92892315597126363</c:v>
                </c:pt>
                <c:pt idx="28">
                  <c:v>0.95579230244292168</c:v>
                </c:pt>
              </c:numCache>
            </c:numRef>
          </c:yVal>
          <c:smooth val="0"/>
          <c:extLst>
            <c:ext xmlns:c16="http://schemas.microsoft.com/office/drawing/2014/chart" uri="{C3380CC4-5D6E-409C-BE32-E72D297353CC}">
              <c16:uniqueId val="{00000000-C38A-4A1A-8006-3F6790910430}"/>
            </c:ext>
          </c:extLst>
        </c:ser>
        <c:ser>
          <c:idx val="1"/>
          <c:order val="1"/>
          <c:spPr>
            <a:ln w="6350">
              <a:solidFill>
                <a:srgbClr val="000000"/>
              </a:solidFill>
              <a:prstDash val="lgDash"/>
            </a:ln>
          </c:spPr>
          <c:marker>
            <c:symbol val="none"/>
          </c:marker>
          <c:xVal>
            <c:numLit>
              <c:formatCode>General</c:formatCode>
              <c:ptCount val="2"/>
              <c:pt idx="0">
                <c:v>0</c:v>
              </c:pt>
              <c:pt idx="1">
                <c:v>1</c:v>
              </c:pt>
            </c:numLit>
          </c:xVal>
          <c:yVal>
            <c:numLit>
              <c:formatCode>General</c:formatCode>
              <c:ptCount val="2"/>
              <c:pt idx="0">
                <c:v>0</c:v>
              </c:pt>
              <c:pt idx="1">
                <c:v>1</c:v>
              </c:pt>
            </c:numLit>
          </c:yVal>
          <c:smooth val="0"/>
          <c:extLst>
            <c:ext xmlns:c16="http://schemas.microsoft.com/office/drawing/2014/chart" uri="{C3380CC4-5D6E-409C-BE32-E72D297353CC}">
              <c16:uniqueId val="{00000001-C38A-4A1A-8006-3F6790910430}"/>
            </c:ext>
          </c:extLst>
        </c:ser>
        <c:dLbls>
          <c:showLegendKey val="0"/>
          <c:showVal val="0"/>
          <c:showCatName val="0"/>
          <c:showSerName val="0"/>
          <c:showPercent val="0"/>
          <c:showBubbleSize val="0"/>
        </c:dLbls>
        <c:axId val="-858335376"/>
        <c:axId val="-858324496"/>
      </c:scatterChart>
      <c:valAx>
        <c:axId val="-858335376"/>
        <c:scaling>
          <c:orientation val="minMax"/>
          <c:max val="1"/>
          <c:min val="0"/>
        </c:scaling>
        <c:delete val="0"/>
        <c:axPos val="b"/>
        <c:numFmt formatCode="General" sourceLinked="0"/>
        <c:majorTickMark val="cross"/>
        <c:minorTickMark val="none"/>
        <c:tickLblPos val="nextTo"/>
        <c:txPr>
          <a:bodyPr rot="0" vert="horz"/>
          <a:lstStyle/>
          <a:p>
            <a:pPr>
              <a:defRPr sz="700"/>
            </a:pPr>
            <a:endParaRPr lang="en-US"/>
          </a:p>
        </c:txPr>
        <c:crossAx val="-858324496"/>
        <c:crosses val="autoZero"/>
        <c:crossBetween val="midCat"/>
      </c:valAx>
      <c:valAx>
        <c:axId val="-858324496"/>
        <c:scaling>
          <c:orientation val="minMax"/>
          <c:max val="1"/>
          <c:min val="0"/>
        </c:scaling>
        <c:delete val="0"/>
        <c:axPos val="l"/>
        <c:title>
          <c:tx>
            <c:rich>
              <a:bodyPr/>
              <a:lstStyle/>
              <a:p>
                <a:pPr>
                  <a:defRPr sz="800" b="0">
                    <a:latin typeface="Arial"/>
                    <a:ea typeface="Arial"/>
                    <a:cs typeface="Arial"/>
                  </a:defRPr>
                </a:pPr>
                <a:r>
                  <a:rPr lang="en-US"/>
                  <a:t>Fonction de répartition théorique</a:t>
                </a:r>
              </a:p>
            </c:rich>
          </c:tx>
          <c:overlay val="0"/>
        </c:title>
        <c:numFmt formatCode="General" sourceLinked="0"/>
        <c:majorTickMark val="cross"/>
        <c:minorTickMark val="none"/>
        <c:tickLblPos val="nextTo"/>
        <c:txPr>
          <a:bodyPr/>
          <a:lstStyle/>
          <a:p>
            <a:pPr>
              <a:defRPr sz="700"/>
            </a:pPr>
            <a:endParaRPr lang="en-US"/>
          </a:p>
        </c:txPr>
        <c:crossAx val="-858335376"/>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fr-FR" sz="1200">
                <a:solidFill>
                  <a:sysClr val="windowText" lastClr="000000"/>
                </a:solidFill>
              </a:rPr>
              <a:t>Pluie</a:t>
            </a:r>
          </a:p>
        </c:rich>
      </c:tx>
      <c:layout>
        <c:manualLayout>
          <c:xMode val="edge"/>
          <c:yMode val="edge"/>
          <c:x val="0.24533524218563588"/>
          <c:y val="1.0095911155981827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6856832732357052"/>
          <c:y val="0.1313972279342536"/>
          <c:w val="0.74938369269261906"/>
          <c:h val="0.56930549656396678"/>
        </c:manualLayout>
      </c:layout>
      <c:scatterChart>
        <c:scatterStyle val="lineMarker"/>
        <c:varyColors val="0"/>
        <c:ser>
          <c:idx val="0"/>
          <c:order val="0"/>
          <c:tx>
            <c:v/>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'Tests de tendance de Mann-Kend1'!$A$1:$A$30</c:f>
              <c:numCache>
                <c:formatCode>0</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'Tests de tendance de Mann-Kend1'!$B$1:$B$30</c:f>
              <c:numCache>
                <c:formatCode>0</c:formatCode>
                <c:ptCount val="30"/>
                <c:pt idx="0">
                  <c:v>62.54999999999999</c:v>
                </c:pt>
                <c:pt idx="1">
                  <c:v>62.233333333333327</c:v>
                </c:pt>
                <c:pt idx="2">
                  <c:v>58.366666666666667</c:v>
                </c:pt>
                <c:pt idx="3">
                  <c:v>56.449999999999996</c:v>
                </c:pt>
                <c:pt idx="4">
                  <c:v>48.983333333333341</c:v>
                </c:pt>
                <c:pt idx="5">
                  <c:v>56.841666666666676</c:v>
                </c:pt>
                <c:pt idx="6">
                  <c:v>66.683333333333337</c:v>
                </c:pt>
                <c:pt idx="7">
                  <c:v>49.508333333333326</c:v>
                </c:pt>
                <c:pt idx="8">
                  <c:v>51.558333333333337</c:v>
                </c:pt>
                <c:pt idx="9">
                  <c:v>54.68333333333333</c:v>
                </c:pt>
                <c:pt idx="10">
                  <c:v>70.641666666666666</c:v>
                </c:pt>
                <c:pt idx="11">
                  <c:v>66.024999999999991</c:v>
                </c:pt>
                <c:pt idx="12">
                  <c:v>69.99166666666666</c:v>
                </c:pt>
                <c:pt idx="13">
                  <c:v>49.733333333333327</c:v>
                </c:pt>
                <c:pt idx="14">
                  <c:v>59.433333333333337</c:v>
                </c:pt>
                <c:pt idx="15">
                  <c:v>63.95000000000001</c:v>
                </c:pt>
                <c:pt idx="16">
                  <c:v>76.966666666666669</c:v>
                </c:pt>
                <c:pt idx="17">
                  <c:v>69.916666666666671</c:v>
                </c:pt>
                <c:pt idx="18">
                  <c:v>57.45000000000001</c:v>
                </c:pt>
                <c:pt idx="19">
                  <c:v>83.583333333333329</c:v>
                </c:pt>
                <c:pt idx="20">
                  <c:v>66.275000000000006</c:v>
                </c:pt>
                <c:pt idx="21">
                  <c:v>70.325000000000003</c:v>
                </c:pt>
                <c:pt idx="22">
                  <c:v>74.883333333333326</c:v>
                </c:pt>
                <c:pt idx="23">
                  <c:v>81.174999999999997</c:v>
                </c:pt>
                <c:pt idx="24">
                  <c:v>72.841666666666669</c:v>
                </c:pt>
                <c:pt idx="25">
                  <c:v>71.683333333333323</c:v>
                </c:pt>
                <c:pt idx="26">
                  <c:v>71.058333333333337</c:v>
                </c:pt>
                <c:pt idx="27">
                  <c:v>79.641666666666666</c:v>
                </c:pt>
                <c:pt idx="28">
                  <c:v>84.191666666666663</c:v>
                </c:pt>
                <c:pt idx="29">
                  <c:v>78.25833333333334</c:v>
                </c:pt>
              </c:numCache>
            </c:numRef>
          </c:yVal>
          <c:smooth val="0"/>
          <c:extLst>
            <c:ext xmlns:c16="http://schemas.microsoft.com/office/drawing/2014/chart" uri="{C3380CC4-5D6E-409C-BE32-E72D297353CC}">
              <c16:uniqueId val="{00000000-5950-4A5E-B816-7593787238CE}"/>
            </c:ext>
          </c:extLst>
        </c:ser>
        <c:ser>
          <c:idx val="1"/>
          <c:order val="1"/>
          <c:tx>
            <c:v>Pente de Sen</c:v>
          </c:tx>
          <c:spPr>
            <a:ln w="9525" cap="rnd">
              <a:solidFill>
                <a:schemeClr val="accent2"/>
              </a:solidFill>
              <a:round/>
            </a:ln>
            <a:effectLst/>
          </c:spPr>
          <c:marker>
            <c:symbol val="none"/>
          </c:marker>
          <c:xVal>
            <c:numLit>
              <c:formatCode>General</c:formatCode>
              <c:ptCount val="2"/>
              <c:pt idx="0">
                <c:v>1</c:v>
              </c:pt>
              <c:pt idx="1">
                <c:v>30</c:v>
              </c:pt>
            </c:numLit>
          </c:xVal>
          <c:yVal>
            <c:numLit>
              <c:formatCode>General</c:formatCode>
              <c:ptCount val="2"/>
              <c:pt idx="0">
                <c:v>53.880482456140363</c:v>
              </c:pt>
              <c:pt idx="1">
                <c:v>78.301535087719301</c:v>
              </c:pt>
            </c:numLit>
          </c:yVal>
          <c:smooth val="0"/>
          <c:extLst>
            <c:ext xmlns:c16="http://schemas.microsoft.com/office/drawing/2014/chart" uri="{C3380CC4-5D6E-409C-BE32-E72D297353CC}">
              <c16:uniqueId val="{00000001-5950-4A5E-B816-7593787238CE}"/>
            </c:ext>
          </c:extLst>
        </c:ser>
        <c:dLbls>
          <c:showLegendKey val="0"/>
          <c:showVal val="0"/>
          <c:showCatName val="0"/>
          <c:showSerName val="0"/>
          <c:showPercent val="0"/>
          <c:showBubbleSize val="0"/>
        </c:dLbls>
        <c:axId val="-1054559648"/>
        <c:axId val="-1054551488"/>
      </c:scatterChart>
      <c:valAx>
        <c:axId val="-1054559648"/>
        <c:scaling>
          <c:orientation val="minMax"/>
          <c:max val="30"/>
          <c:min val="1"/>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Temps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solidFill>
              <a:schemeClr val="tx2">
                <a:lumMod val="40000"/>
                <a:lumOff val="60000"/>
              </a:schemeClr>
            </a:solidFill>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054551488"/>
        <c:crosses val="autoZero"/>
        <c:crossBetween val="midCat"/>
        <c:majorUnit val="5"/>
      </c:valAx>
      <c:valAx>
        <c:axId val="-105455148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Moyenne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54559648"/>
        <c:crosses val="autoZero"/>
        <c:crossBetween val="midCat"/>
      </c:valAx>
      <c:spPr>
        <a:noFill/>
        <a:ln>
          <a:noFill/>
        </a:ln>
        <a:effectLst/>
      </c:spPr>
    </c:plotArea>
    <c:legend>
      <c:legendPos val="b"/>
      <c:legendEntry>
        <c:idx val="0"/>
        <c:delete val="1"/>
      </c:legendEntry>
      <c:layout>
        <c:manualLayout>
          <c:xMode val="edge"/>
          <c:yMode val="edge"/>
          <c:x val="0.49376831436589713"/>
          <c:y val="4.3230326488210652E-2"/>
          <c:w val="0.45306132563484641"/>
          <c:h val="0.116259856081544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latin typeface="Arial"/>
                <a:ea typeface="Arial"/>
                <a:cs typeface="Arial"/>
              </a:defRPr>
            </a:pPr>
            <a:r>
              <a:rPr lang="en-US"/>
              <a:t>Moyenne</a:t>
            </a:r>
          </a:p>
        </c:rich>
      </c:tx>
      <c:overlay val="0"/>
    </c:title>
    <c:autoTitleDeleted val="0"/>
    <c:plotArea>
      <c:layout/>
      <c:scatterChart>
        <c:scatterStyle val="lineMarker"/>
        <c:varyColors val="0"/>
        <c:ser>
          <c:idx val="0"/>
          <c:order val="0"/>
          <c:tx>
            <c:v>Moyenne</c:v>
          </c:tx>
          <c:spPr>
            <a:ln w="6350">
              <a:solidFill>
                <a:srgbClr val="003CE6"/>
              </a:solidFill>
              <a:prstDash val="solid"/>
            </a:ln>
            <a:effectLst/>
          </c:spPr>
          <c:marker>
            <c:symbol val="circle"/>
            <c:size val="3"/>
            <c:spPr>
              <a:noFill/>
              <a:ln w="6350">
                <a:solidFill>
                  <a:srgbClr val="003CE6"/>
                </a:solidFill>
                <a:prstDash val="solid"/>
              </a:ln>
            </c:spPr>
          </c:marker>
          <c:xVal>
            <c:numRef>
              <c:f>'Tests d''homogénéité'!$B$36:$B$65</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'Tests d''homogénéité'!$C$36:$C$65</c:f>
              <c:numCache>
                <c:formatCode>0.000</c:formatCode>
                <c:ptCount val="30"/>
                <c:pt idx="0">
                  <c:v>62.54999999999999</c:v>
                </c:pt>
                <c:pt idx="1">
                  <c:v>62.233333333333327</c:v>
                </c:pt>
                <c:pt idx="2">
                  <c:v>58.366666666666667</c:v>
                </c:pt>
                <c:pt idx="3">
                  <c:v>56.449999999999996</c:v>
                </c:pt>
                <c:pt idx="4">
                  <c:v>48.983333333333341</c:v>
                </c:pt>
                <c:pt idx="5">
                  <c:v>56.841666666666676</c:v>
                </c:pt>
                <c:pt idx="6">
                  <c:v>66.683333333333337</c:v>
                </c:pt>
                <c:pt idx="7">
                  <c:v>49.508333333333326</c:v>
                </c:pt>
                <c:pt idx="8">
                  <c:v>51.558333333333337</c:v>
                </c:pt>
                <c:pt idx="9">
                  <c:v>54.68333333333333</c:v>
                </c:pt>
                <c:pt idx="10">
                  <c:v>70.641666666666666</c:v>
                </c:pt>
                <c:pt idx="11">
                  <c:v>66.024999999999991</c:v>
                </c:pt>
                <c:pt idx="12">
                  <c:v>69.99166666666666</c:v>
                </c:pt>
                <c:pt idx="13">
                  <c:v>49.733333333333327</c:v>
                </c:pt>
                <c:pt idx="14">
                  <c:v>59.433333333333337</c:v>
                </c:pt>
                <c:pt idx="15">
                  <c:v>63.95000000000001</c:v>
                </c:pt>
                <c:pt idx="16">
                  <c:v>76.966666666666669</c:v>
                </c:pt>
                <c:pt idx="17">
                  <c:v>69.916666666666671</c:v>
                </c:pt>
                <c:pt idx="18">
                  <c:v>57.45000000000001</c:v>
                </c:pt>
                <c:pt idx="19">
                  <c:v>83.583333333333329</c:v>
                </c:pt>
                <c:pt idx="20">
                  <c:v>66.275000000000006</c:v>
                </c:pt>
                <c:pt idx="21">
                  <c:v>70.325000000000003</c:v>
                </c:pt>
                <c:pt idx="22">
                  <c:v>74.883333333333326</c:v>
                </c:pt>
                <c:pt idx="23">
                  <c:v>81.174999999999997</c:v>
                </c:pt>
                <c:pt idx="24">
                  <c:v>72.841666666666669</c:v>
                </c:pt>
                <c:pt idx="25">
                  <c:v>71.683333333333323</c:v>
                </c:pt>
                <c:pt idx="26">
                  <c:v>71.058333333333337</c:v>
                </c:pt>
                <c:pt idx="27">
                  <c:v>79.641666666666666</c:v>
                </c:pt>
                <c:pt idx="28">
                  <c:v>84.191666666666663</c:v>
                </c:pt>
                <c:pt idx="29">
                  <c:v>78.25833333333334</c:v>
                </c:pt>
              </c:numCache>
            </c:numRef>
          </c:yVal>
          <c:smooth val="0"/>
          <c:extLst>
            <c:ext xmlns:c16="http://schemas.microsoft.com/office/drawing/2014/chart" uri="{C3380CC4-5D6E-409C-BE32-E72D297353CC}">
              <c16:uniqueId val="{00000000-7386-468C-9F60-09BE00B38505}"/>
            </c:ext>
          </c:extLst>
        </c:ser>
        <c:ser>
          <c:idx val="1"/>
          <c:order val="1"/>
          <c:tx>
            <c:v>mu1 = 59,227</c:v>
          </c:tx>
          <c:spPr>
            <a:ln w="19050">
              <a:solidFill>
                <a:srgbClr val="FF0000"/>
              </a:solidFill>
              <a:prstDash val="sysDash"/>
            </a:ln>
            <a:effectLst/>
          </c:spPr>
          <c:marker>
            <c:symbol val="none"/>
          </c:marker>
          <c:xVal>
            <c:numLit>
              <c:formatCode>General</c:formatCode>
              <c:ptCount val="2"/>
              <c:pt idx="0">
                <c:v>1</c:v>
              </c:pt>
              <c:pt idx="1">
                <c:v>16</c:v>
              </c:pt>
            </c:numLit>
          </c:xVal>
          <c:yVal>
            <c:numLit>
              <c:formatCode>General</c:formatCode>
              <c:ptCount val="2"/>
              <c:pt idx="0">
                <c:v>59.227083333333326</c:v>
              </c:pt>
              <c:pt idx="1">
                <c:v>59.227083333333326</c:v>
              </c:pt>
            </c:numLit>
          </c:yVal>
          <c:smooth val="0"/>
          <c:extLst>
            <c:ext xmlns:c16="http://schemas.microsoft.com/office/drawing/2014/chart" uri="{C3380CC4-5D6E-409C-BE32-E72D297353CC}">
              <c16:uniqueId val="{00000001-7386-468C-9F60-09BE00B38505}"/>
            </c:ext>
          </c:extLst>
        </c:ser>
        <c:ser>
          <c:idx val="2"/>
          <c:order val="2"/>
          <c:tx>
            <c:v>mu2 = 74,161</c:v>
          </c:tx>
          <c:spPr>
            <a:ln w="19050">
              <a:solidFill>
                <a:srgbClr val="007800"/>
              </a:solidFill>
              <a:prstDash val="sysDash"/>
            </a:ln>
            <a:effectLst/>
          </c:spPr>
          <c:marker>
            <c:symbol val="none"/>
          </c:marker>
          <c:xVal>
            <c:numLit>
              <c:formatCode>General</c:formatCode>
              <c:ptCount val="2"/>
              <c:pt idx="0">
                <c:v>17</c:v>
              </c:pt>
              <c:pt idx="1">
                <c:v>30</c:v>
              </c:pt>
            </c:numLit>
          </c:xVal>
          <c:yVal>
            <c:numLit>
              <c:formatCode>General</c:formatCode>
              <c:ptCount val="2"/>
              <c:pt idx="0">
                <c:v>74.160714285714292</c:v>
              </c:pt>
              <c:pt idx="1">
                <c:v>74.160714285714292</c:v>
              </c:pt>
            </c:numLit>
          </c:yVal>
          <c:smooth val="0"/>
          <c:extLst>
            <c:ext xmlns:c16="http://schemas.microsoft.com/office/drawing/2014/chart" uri="{C3380CC4-5D6E-409C-BE32-E72D297353CC}">
              <c16:uniqueId val="{00000002-7386-468C-9F60-09BE00B38505}"/>
            </c:ext>
          </c:extLst>
        </c:ser>
        <c:dLbls>
          <c:showLegendKey val="0"/>
          <c:showVal val="0"/>
          <c:showCatName val="0"/>
          <c:showSerName val="0"/>
          <c:showPercent val="0"/>
          <c:showBubbleSize val="0"/>
        </c:dLbls>
        <c:axId val="-855642512"/>
        <c:axId val="-855645232"/>
      </c:scatterChart>
      <c:valAx>
        <c:axId val="-855642512"/>
        <c:scaling>
          <c:orientation val="minMax"/>
          <c:max val="30"/>
          <c:min val="1"/>
        </c:scaling>
        <c:delete val="0"/>
        <c:axPos val="b"/>
        <c:title>
          <c:tx>
            <c:rich>
              <a:bodyPr/>
              <a:lstStyle/>
              <a:p>
                <a:pPr>
                  <a:defRPr sz="800" b="0">
                    <a:latin typeface="Arial"/>
                    <a:ea typeface="Arial"/>
                    <a:cs typeface="Arial"/>
                  </a:defRPr>
                </a:pPr>
                <a:r>
                  <a:rPr lang="en-US"/>
                  <a:t>Date</a:t>
                </a:r>
              </a:p>
            </c:rich>
          </c:tx>
          <c:overlay val="0"/>
        </c:title>
        <c:numFmt formatCode="General" sourceLinked="0"/>
        <c:majorTickMark val="cross"/>
        <c:minorTickMark val="none"/>
        <c:tickLblPos val="nextTo"/>
        <c:txPr>
          <a:bodyPr rot="0" vert="horz"/>
          <a:lstStyle/>
          <a:p>
            <a:pPr>
              <a:defRPr sz="700"/>
            </a:pPr>
            <a:endParaRPr lang="en-US"/>
          </a:p>
        </c:txPr>
        <c:crossAx val="-855645232"/>
        <c:crosses val="autoZero"/>
        <c:crossBetween val="midCat"/>
        <c:majorUnit val="5"/>
      </c:valAx>
      <c:valAx>
        <c:axId val="-855645232"/>
        <c:scaling>
          <c:orientation val="minMax"/>
        </c:scaling>
        <c:delete val="0"/>
        <c:axPos val="l"/>
        <c:title>
          <c:tx>
            <c:rich>
              <a:bodyPr/>
              <a:lstStyle/>
              <a:p>
                <a:pPr>
                  <a:defRPr sz="800" b="0">
                    <a:latin typeface="Arial"/>
                    <a:ea typeface="Arial"/>
                    <a:cs typeface="Arial"/>
                  </a:defRPr>
                </a:pPr>
                <a:r>
                  <a:rPr lang="en-US"/>
                  <a:t>Moyenne</a:t>
                </a:r>
              </a:p>
            </c:rich>
          </c:tx>
          <c:overlay val="0"/>
        </c:title>
        <c:numFmt formatCode="General" sourceLinked="0"/>
        <c:majorTickMark val="cross"/>
        <c:minorTickMark val="none"/>
        <c:tickLblPos val="nextTo"/>
        <c:txPr>
          <a:bodyPr/>
          <a:lstStyle/>
          <a:p>
            <a:pPr>
              <a:defRPr sz="700"/>
            </a:pPr>
            <a:endParaRPr lang="en-US"/>
          </a:p>
        </c:txPr>
        <c:crossAx val="-855642512"/>
        <c:crosses val="autoZero"/>
        <c:crossBetween val="midCat"/>
      </c:valAx>
      <c:spPr>
        <a:ln>
          <a:solidFill>
            <a:srgbClr val="C0C0C0"/>
          </a:solidFill>
          <a:prstDash val="solid"/>
        </a:ln>
      </c:spPr>
    </c:plotArea>
    <c:legend>
      <c:legendPos val="b"/>
      <c:overlay val="0"/>
      <c:spPr>
        <a:ln w="6350">
          <a:solidFill>
            <a:srgbClr val="000000"/>
          </a:solidFill>
          <a:prstDash val="solid"/>
        </a:ln>
      </c:spPr>
      <c:txPr>
        <a:bodyPr/>
        <a:lstStyle/>
        <a:p>
          <a:pPr>
            <a:defRPr sz="900" b="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9230579602964"/>
          <c:y val="0.11151421096595558"/>
          <c:w val="0.84800523018191165"/>
          <c:h val="0.62142896045139351"/>
        </c:manualLayout>
      </c:layout>
      <c:barChart>
        <c:barDir val="col"/>
        <c:grouping val="clustered"/>
        <c:varyColors val="0"/>
        <c:ser>
          <c:idx val="0"/>
          <c:order val="0"/>
          <c:tx>
            <c:strRef>
              <c:f>'Cumul annuel'!$B$1</c:f>
              <c:strCache>
                <c:ptCount val="1"/>
                <c:pt idx="0">
                  <c:v>Cumul pluviométrique</c:v>
                </c:pt>
              </c:strCache>
            </c:strRef>
          </c:tx>
          <c:spPr>
            <a:solidFill>
              <a:schemeClr val="accent1"/>
            </a:solidFill>
            <a:ln>
              <a:noFill/>
            </a:ln>
            <a:effectLst/>
          </c:spPr>
          <c:invertIfNegative val="0"/>
          <c:trendline>
            <c:spPr>
              <a:ln w="19050" cap="rnd">
                <a:solidFill>
                  <a:srgbClr val="FF0000"/>
                </a:solidFill>
                <a:prstDash val="dash"/>
              </a:ln>
              <a:effectLst/>
            </c:spPr>
            <c:trendlineType val="linear"/>
            <c:dispRSqr val="0"/>
            <c:dispEq val="1"/>
            <c:trendlineLbl>
              <c:layout>
                <c:manualLayout>
                  <c:x val="-2.0978161569582807E-2"/>
                  <c:y val="-9.6816472254376923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trendlineLbl>
          </c:trendline>
          <c:cat>
            <c:numRef>
              <c:f>'Cumul annuel'!$A$2:$A$31</c:f>
              <c:numCache>
                <c:formatCode>General</c:formatCode>
                <c:ptCount val="3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numCache>
            </c:numRef>
          </c:cat>
          <c:val>
            <c:numRef>
              <c:f>'Cumul annuel'!$B$2:$B$31</c:f>
              <c:numCache>
                <c:formatCode>General</c:formatCode>
                <c:ptCount val="30"/>
                <c:pt idx="0">
                  <c:v>698.7</c:v>
                </c:pt>
                <c:pt idx="1">
                  <c:v>750.59999999999991</c:v>
                </c:pt>
                <c:pt idx="2">
                  <c:v>727.8</c:v>
                </c:pt>
                <c:pt idx="3">
                  <c:v>700.2</c:v>
                </c:pt>
                <c:pt idx="4">
                  <c:v>677.4</c:v>
                </c:pt>
                <c:pt idx="5">
                  <c:v>587.80000000000007</c:v>
                </c:pt>
                <c:pt idx="6">
                  <c:v>668.30000000000007</c:v>
                </c:pt>
                <c:pt idx="7">
                  <c:v>800.2</c:v>
                </c:pt>
                <c:pt idx="8">
                  <c:v>594.09999999999991</c:v>
                </c:pt>
                <c:pt idx="9">
                  <c:v>618.70000000000005</c:v>
                </c:pt>
                <c:pt idx="10">
                  <c:v>656.19999999999993</c:v>
                </c:pt>
                <c:pt idx="11">
                  <c:v>847.7</c:v>
                </c:pt>
                <c:pt idx="12">
                  <c:v>771.99999999999989</c:v>
                </c:pt>
                <c:pt idx="13">
                  <c:v>839.9</c:v>
                </c:pt>
                <c:pt idx="14">
                  <c:v>596.79999999999995</c:v>
                </c:pt>
                <c:pt idx="15">
                  <c:v>713.2</c:v>
                </c:pt>
                <c:pt idx="16">
                  <c:v>767.40000000000009</c:v>
                </c:pt>
                <c:pt idx="17">
                  <c:v>923.6</c:v>
                </c:pt>
                <c:pt idx="18">
                  <c:v>839.00000000000011</c:v>
                </c:pt>
                <c:pt idx="19">
                  <c:v>689.40000000000009</c:v>
                </c:pt>
                <c:pt idx="20">
                  <c:v>1003</c:v>
                </c:pt>
                <c:pt idx="21">
                  <c:v>795.30000000000007</c:v>
                </c:pt>
                <c:pt idx="22">
                  <c:v>843.90000000000009</c:v>
                </c:pt>
                <c:pt idx="23">
                  <c:v>898.59999999999991</c:v>
                </c:pt>
                <c:pt idx="24">
                  <c:v>974.1</c:v>
                </c:pt>
                <c:pt idx="25">
                  <c:v>874.1</c:v>
                </c:pt>
                <c:pt idx="26">
                  <c:v>860.19999999999993</c:v>
                </c:pt>
                <c:pt idx="27">
                  <c:v>852.7</c:v>
                </c:pt>
                <c:pt idx="28">
                  <c:v>955.69999999999993</c:v>
                </c:pt>
                <c:pt idx="29">
                  <c:v>1010.3</c:v>
                </c:pt>
              </c:numCache>
            </c:numRef>
          </c:val>
          <c:extLst>
            <c:ext xmlns:c16="http://schemas.microsoft.com/office/drawing/2014/chart" uri="{C3380CC4-5D6E-409C-BE32-E72D297353CC}">
              <c16:uniqueId val="{00000001-BC6C-48E3-B157-D7847111EAE2}"/>
            </c:ext>
          </c:extLst>
        </c:ser>
        <c:dLbls>
          <c:showLegendKey val="0"/>
          <c:showVal val="0"/>
          <c:showCatName val="0"/>
          <c:showSerName val="0"/>
          <c:showPercent val="0"/>
          <c:showBubbleSize val="0"/>
        </c:dLbls>
        <c:gapWidth val="267"/>
        <c:overlap val="-43"/>
        <c:axId val="-1102565504"/>
        <c:axId val="-1102564960"/>
      </c:barChart>
      <c:catAx>
        <c:axId val="-1102565504"/>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Années</a:t>
                </a:r>
              </a:p>
            </c:rich>
          </c:tx>
          <c:layout>
            <c:manualLayout>
              <c:xMode val="edge"/>
              <c:yMode val="edge"/>
              <c:x val="0.89770468090659938"/>
              <c:y val="0.88013941714474719"/>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2564960"/>
        <c:crosses val="autoZero"/>
        <c:auto val="0"/>
        <c:lblAlgn val="ctr"/>
        <c:lblOffset val="100"/>
        <c:tickLblSkip val="2"/>
        <c:tickMarkSkip val="1"/>
        <c:noMultiLvlLbl val="0"/>
      </c:catAx>
      <c:valAx>
        <c:axId val="-110256496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Précipitation (mm)</a:t>
                </a:r>
              </a:p>
            </c:rich>
          </c:tx>
          <c:layout>
            <c:manualLayout>
              <c:xMode val="edge"/>
              <c:yMode val="edge"/>
              <c:x val="9.7633082466901597E-3"/>
              <c:y val="7.4946495024835885E-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256550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36111196788706E-2"/>
          <c:y val="2.9210290081817948E-2"/>
          <c:w val="0.88732481747000425"/>
          <c:h val="0.81890345140082244"/>
        </c:manualLayout>
      </c:layout>
      <c:barChart>
        <c:barDir val="col"/>
        <c:grouping val="clustered"/>
        <c:varyColors val="0"/>
        <c:ser>
          <c:idx val="0"/>
          <c:order val="0"/>
          <c:tx>
            <c:strRef>
              <c:f>Feuil1!$L$1</c:f>
              <c:strCache>
                <c:ptCount val="1"/>
                <c:pt idx="0">
                  <c:v>spi</c:v>
                </c:pt>
              </c:strCache>
            </c:strRef>
          </c:tx>
          <c:spPr>
            <a:solidFill>
              <a:schemeClr val="accent1"/>
            </a:solidFill>
            <a:ln>
              <a:noFill/>
            </a:ln>
            <a:effectLst/>
          </c:spPr>
          <c:invertIfNegative val="0"/>
          <c:cat>
            <c:numRef>
              <c:f>Feuil1!$K$2:$K$33</c:f>
              <c:numCache>
                <c:formatCode>General</c:formatCode>
                <c:ptCount val="32"/>
                <c:pt idx="0">
                  <c:v>1992</c:v>
                </c:pt>
                <c:pt idx="1">
                  <c:v>1993</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pt idx="30">
                  <c:v>2021</c:v>
                </c:pt>
                <c:pt idx="31">
                  <c:v>2022</c:v>
                </c:pt>
              </c:numCache>
            </c:numRef>
          </c:cat>
          <c:val>
            <c:numRef>
              <c:f>Feuil1!$L$2:$L$33</c:f>
              <c:numCache>
                <c:formatCode>General</c:formatCode>
                <c:ptCount val="32"/>
                <c:pt idx="0">
                  <c:v>-0.56116315707689834</c:v>
                </c:pt>
                <c:pt idx="1">
                  <c:v>-0.56116315707689834</c:v>
                </c:pt>
                <c:pt idx="2">
                  <c:v>-0.56116315707689834</c:v>
                </c:pt>
                <c:pt idx="3">
                  <c:v>-0.54502233646425835</c:v>
                </c:pt>
                <c:pt idx="4">
                  <c:v>-1.1951636184399665</c:v>
                </c:pt>
                <c:pt idx="5">
                  <c:v>-1.5253130876321703</c:v>
                </c:pt>
                <c:pt idx="6">
                  <c:v>-4.5112947545379622</c:v>
                </c:pt>
                <c:pt idx="7">
                  <c:v>-1.5506358240379634</c:v>
                </c:pt>
                <c:pt idx="8">
                  <c:v>6.4892588436035681E-2</c:v>
                </c:pt>
                <c:pt idx="9">
                  <c:v>-3.5437106581587257</c:v>
                </c:pt>
                <c:pt idx="10">
                  <c:v>-2.3978353743704068</c:v>
                </c:pt>
                <c:pt idx="11">
                  <c:v>-1.904825640768256</c:v>
                </c:pt>
                <c:pt idx="12">
                  <c:v>0.7323115350253061</c:v>
                </c:pt>
                <c:pt idx="13">
                  <c:v>-2.4165272929207796E-2</c:v>
                </c:pt>
                <c:pt idx="14">
                  <c:v>0.47710667267206847</c:v>
                </c:pt>
                <c:pt idx="15">
                  <c:v>-2.8672223879876606</c:v>
                </c:pt>
                <c:pt idx="16">
                  <c:v>-0.94006646327289023</c:v>
                </c:pt>
                <c:pt idx="17">
                  <c:v>-0.32188722100731654</c:v>
                </c:pt>
                <c:pt idx="18">
                  <c:v>1.2528856051748458</c:v>
                </c:pt>
                <c:pt idx="19">
                  <c:v>0.52923579535046195</c:v>
                </c:pt>
                <c:pt idx="20">
                  <c:v>-1.3980105706428654</c:v>
                </c:pt>
                <c:pt idx="21">
                  <c:v>1.7305062155267013</c:v>
                </c:pt>
                <c:pt idx="22">
                  <c:v>1.1024102813331728E-2</c:v>
                </c:pt>
                <c:pt idx="23">
                  <c:v>0.59276306241286658</c:v>
                </c:pt>
                <c:pt idx="24">
                  <c:v>0.9896066059161861</c:v>
                </c:pt>
                <c:pt idx="25">
                  <c:v>1.4917634689690993</c:v>
                </c:pt>
                <c:pt idx="26">
                  <c:v>0.81386230118573877</c:v>
                </c:pt>
                <c:pt idx="27">
                  <c:v>0.72655866198696151</c:v>
                </c:pt>
                <c:pt idx="28">
                  <c:v>0.60739237799574275</c:v>
                </c:pt>
                <c:pt idx="29">
                  <c:v>1.4478536178039532</c:v>
                </c:pt>
                <c:pt idx="30">
                  <c:v>1.9473549077444072</c:v>
                </c:pt>
                <c:pt idx="31">
                  <c:v>1.4367659167201696</c:v>
                </c:pt>
              </c:numCache>
            </c:numRef>
          </c:val>
          <c:extLst>
            <c:ext xmlns:c16="http://schemas.microsoft.com/office/drawing/2014/chart" uri="{C3380CC4-5D6E-409C-BE32-E72D297353CC}">
              <c16:uniqueId val="{00000000-20F9-4F1F-83E0-0B9718B0D509}"/>
            </c:ext>
          </c:extLst>
        </c:ser>
        <c:dLbls>
          <c:showLegendKey val="0"/>
          <c:showVal val="0"/>
          <c:showCatName val="0"/>
          <c:showSerName val="0"/>
          <c:showPercent val="0"/>
          <c:showBubbleSize val="0"/>
        </c:dLbls>
        <c:gapWidth val="219"/>
        <c:overlap val="-27"/>
        <c:axId val="-1102562784"/>
        <c:axId val="-1102556800"/>
      </c:barChart>
      <c:catAx>
        <c:axId val="-110256278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fr-FR" b="1">
                    <a:solidFill>
                      <a:sysClr val="windowText" lastClr="000000"/>
                    </a:solidFill>
                  </a:rPr>
                  <a:t>Date</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2556800"/>
        <c:crosses val="autoZero"/>
        <c:auto val="1"/>
        <c:lblAlgn val="ctr"/>
        <c:lblOffset val="100"/>
        <c:noMultiLvlLbl val="0"/>
      </c:catAx>
      <c:valAx>
        <c:axId val="-1102556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fr-FR" b="1">
                    <a:solidFill>
                      <a:sysClr val="windowText" lastClr="000000"/>
                    </a:solidFill>
                  </a:rPr>
                  <a:t>SPI</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02562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0.00632</cdr:y>
    </cdr:from>
    <cdr:to>
      <cdr:x>1</cdr:x>
      <cdr:y>1</cdr:y>
    </cdr:to>
    <cdr:sp macro="" textlink="">
      <cdr:nvSpPr>
        <cdr:cNvPr id="2" name="Rectangle 1"/>
        <cdr:cNvSpPr/>
      </cdr:nvSpPr>
      <cdr:spPr>
        <a:xfrm xmlns:a="http://schemas.openxmlformats.org/drawingml/2006/main">
          <a:off x="0" y="15903"/>
          <a:ext cx="5293995" cy="2498697"/>
        </a:xfrm>
        <a:prstGeom xmlns:a="http://schemas.openxmlformats.org/drawingml/2006/main" prst="rect">
          <a:avLst/>
        </a:prstGeom>
        <a:noFill xmlns:a="http://schemas.openxmlformats.org/drawingml/2006/main"/>
        <a:ln xmlns:a="http://schemas.openxmlformats.org/drawingml/2006/main">
          <a:solidFill>
            <a:schemeClr val="tx1"/>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BF" kern="1200"/>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BDFAD-6DE6-444E-BF51-2A1BBFEA7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16</Pages>
  <Words>4160</Words>
  <Characters>23718</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1022</cp:lastModifiedBy>
  <cp:revision>59</cp:revision>
  <dcterms:created xsi:type="dcterms:W3CDTF">2025-12-22T23:26:00Z</dcterms:created>
  <dcterms:modified xsi:type="dcterms:W3CDTF">2026-01-08T07:27:00Z</dcterms:modified>
</cp:coreProperties>
</file>