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5467BC" w14:textId="77777777" w:rsidR="009011AD" w:rsidRDefault="009011AD" w:rsidP="006504C9">
      <w:pPr>
        <w:ind w:left="48"/>
        <w:jc w:val="both"/>
        <w:rPr>
          <w:rFonts w:ascii="Times New Roman" w:hAnsi="Times New Roman" w:cs="Times New Roman"/>
          <w:b/>
          <w:bCs/>
          <w:i/>
          <w:iCs/>
          <w:lang w:val="en-IN"/>
        </w:rPr>
      </w:pPr>
      <w:r>
        <w:rPr>
          <w:rFonts w:ascii="Times New Roman" w:hAnsi="Times New Roman" w:cs="Times New Roman"/>
          <w:b/>
          <w:bCs/>
          <w:i/>
          <w:iCs/>
          <w:lang w:val="en-IN"/>
        </w:rPr>
        <w:t>Review article</w:t>
      </w:r>
    </w:p>
    <w:p w14:paraId="0786C1BC" w14:textId="77F4119B" w:rsidR="006504C9" w:rsidRPr="006504C9" w:rsidRDefault="006504C9" w:rsidP="006504C9">
      <w:pPr>
        <w:ind w:left="48"/>
        <w:jc w:val="both"/>
        <w:rPr>
          <w:rFonts w:ascii="Times New Roman" w:hAnsi="Times New Roman" w:cs="Times New Roman"/>
          <w:b/>
          <w:bCs/>
          <w:lang w:val="en-IN"/>
        </w:rPr>
      </w:pPr>
      <w:r w:rsidRPr="006504C9">
        <w:rPr>
          <w:rFonts w:ascii="Times New Roman" w:hAnsi="Times New Roman" w:cs="Times New Roman"/>
          <w:b/>
          <w:bCs/>
          <w:i/>
          <w:iCs/>
          <w:lang w:val="en-IN"/>
        </w:rPr>
        <w:t>Renewable Energy Integration with Energy Storage and Microgrids: Control Strategies, Polymer-Enabled Technologies, and Future Grid Trends</w:t>
      </w:r>
      <w:r>
        <w:rPr>
          <w:rFonts w:ascii="Times New Roman" w:hAnsi="Times New Roman" w:cs="Times New Roman"/>
          <w:b/>
          <w:bCs/>
          <w:i/>
          <w:iCs/>
          <w:lang w:val="en-IN"/>
        </w:rPr>
        <w:t xml:space="preserve">. </w:t>
      </w:r>
    </w:p>
    <w:p w14:paraId="0BACBB12" w14:textId="77777777" w:rsidR="001D6122" w:rsidRPr="001D6122" w:rsidRDefault="001D6122" w:rsidP="001D6122">
      <w:pPr>
        <w:rPr>
          <w:rFonts w:ascii="Times New Roman" w:hAnsi="Times New Roman" w:cs="Times New Roman"/>
          <w:b/>
          <w:bCs/>
        </w:rPr>
      </w:pPr>
      <w:r w:rsidRPr="001D6122">
        <w:rPr>
          <w:rFonts w:ascii="Times New Roman" w:hAnsi="Times New Roman" w:cs="Times New Roman"/>
          <w:b/>
          <w:bCs/>
        </w:rPr>
        <w:t>Abstract</w:t>
      </w:r>
    </w:p>
    <w:p w14:paraId="033F5E52" w14:textId="3F192F01" w:rsidR="00ED2AF9" w:rsidRPr="00ED2AF9" w:rsidRDefault="00ED2AF9" w:rsidP="00ED2AF9">
      <w:pPr>
        <w:rPr>
          <w:rFonts w:ascii="Times New Roman" w:hAnsi="Times New Roman" w:cs="Times New Roman"/>
        </w:rPr>
      </w:pPr>
      <w:r w:rsidRPr="00ED2AF9">
        <w:rPr>
          <w:rFonts w:ascii="Times New Roman" w:hAnsi="Times New Roman" w:cs="Times New Roman"/>
        </w:rPr>
        <w:t>The global transition toward renewable energy is fundamentally reshaping power systems, introducing challenges related to variability, reduced inertia, and the growing need for operational flexibility. Energy storage systems (ESS) and microgrids have emerged as key enablers for reliable and resilient renewable integration, providing services such as energy shifting, frequency regulation, voltage support, and islanded operation. Despite significant progress, existing literature often treats materials innovation and system-level grid operation in isolation, limiting a holistic understanding of their combined impact. This review presents an integrated perspective on renewable energy sources, energy storage, and microgrid architectures, with emphasis on hierarchical and data-driven control strategies and energy management frameworks. It highlights the role of polymer-based materials in enhancing the safety, durability, and lifecycle performance of storage systems, and examines emerging trends including grid-forming inverters, hybrid storage configurations, and autonomous microgrids. By bridging materials science, power electronics, and control engineering, this work provides both researchers and practitioners with a structured knowledge base that supports resilient grid planning, informed policy development, and the deployment of sustainable, renewable-dominated power systems.</w:t>
      </w:r>
    </w:p>
    <w:p w14:paraId="6C6663EB" w14:textId="77777777" w:rsidR="001D6122" w:rsidRPr="00174FF1" w:rsidRDefault="001D6122" w:rsidP="001D6122">
      <w:pPr>
        <w:rPr>
          <w:rFonts w:ascii="Times New Roman" w:hAnsi="Times New Roman" w:cs="Times New Roman"/>
        </w:rPr>
      </w:pPr>
      <w:r w:rsidRPr="001D6122">
        <w:rPr>
          <w:rFonts w:ascii="Times New Roman" w:hAnsi="Times New Roman" w:cs="Times New Roman"/>
          <w:b/>
          <w:bCs/>
        </w:rPr>
        <w:t xml:space="preserve">Keywords: </w:t>
      </w:r>
      <w:r w:rsidRPr="00174FF1">
        <w:rPr>
          <w:rFonts w:ascii="Times New Roman" w:hAnsi="Times New Roman" w:cs="Times New Roman"/>
        </w:rPr>
        <w:t>Renewable energy integration, energy storage systems, microgrids, polymers, grid-forming inverters, energy management, hybrid storage, low-inertia grids, system resilience, sustainable materials.</w:t>
      </w:r>
    </w:p>
    <w:p w14:paraId="2F142549" w14:textId="77777777" w:rsidR="001D6122" w:rsidRPr="00FF00B2" w:rsidRDefault="001D6122" w:rsidP="00FF00B2">
      <w:pPr>
        <w:rPr>
          <w:rFonts w:ascii="Times New Roman" w:hAnsi="Times New Roman" w:cs="Times New Roman"/>
          <w:b/>
          <w:bCs/>
        </w:rPr>
      </w:pPr>
    </w:p>
    <w:p w14:paraId="32E71F30" w14:textId="77777777" w:rsidR="00F5638D" w:rsidRPr="00F5638D" w:rsidRDefault="00F5638D" w:rsidP="00F5638D">
      <w:pPr>
        <w:rPr>
          <w:rFonts w:ascii="Times New Roman" w:hAnsi="Times New Roman" w:cs="Times New Roman"/>
          <w:b/>
          <w:bCs/>
        </w:rPr>
      </w:pPr>
      <w:r w:rsidRPr="00F5638D">
        <w:rPr>
          <w:rFonts w:ascii="Times New Roman" w:hAnsi="Times New Roman" w:cs="Times New Roman"/>
          <w:b/>
          <w:bCs/>
        </w:rPr>
        <w:t>1. Introduction</w:t>
      </w:r>
    </w:p>
    <w:p w14:paraId="67A43AB8" w14:textId="337FB084" w:rsidR="00F5638D" w:rsidRPr="00F5638D" w:rsidRDefault="00F5638D" w:rsidP="00F5638D">
      <w:pPr>
        <w:rPr>
          <w:rFonts w:ascii="Times New Roman" w:hAnsi="Times New Roman" w:cs="Times New Roman"/>
        </w:rPr>
      </w:pPr>
      <w:r w:rsidRPr="00F5638D">
        <w:rPr>
          <w:rFonts w:ascii="Times New Roman" w:hAnsi="Times New Roman" w:cs="Times New Roman"/>
        </w:rPr>
        <w:t>The global energy sector is undergoing a rapid and structurally significant transition driven by the urgency of climate change mitigation, advances in clean energy technologies, and sustained policy support for decarbonization</w:t>
      </w:r>
      <w:r w:rsidR="0051152E">
        <w:rPr>
          <w:rFonts w:ascii="Times New Roman" w:hAnsi="Times New Roman" w:cs="Times New Roman"/>
        </w:rPr>
        <w:t xml:space="preserve"> </w:t>
      </w:r>
      <w:r w:rsidR="0051152E" w:rsidRPr="0051152E">
        <w:rPr>
          <w:rFonts w:ascii="Times New Roman" w:hAnsi="Times New Roman" w:cs="Times New Roman"/>
        </w:rPr>
        <w:t>(Adeyinka et al., 2024)</w:t>
      </w:r>
      <w:r w:rsidRPr="00F5638D">
        <w:rPr>
          <w:rFonts w:ascii="Times New Roman" w:hAnsi="Times New Roman" w:cs="Times New Roman"/>
        </w:rPr>
        <w:t>. Variable renewable energy sources, particularly solar photovoltaic and wind power, have become central to this transition and now represent the fastest-growing segments of electricity generation worldwide</w:t>
      </w:r>
      <w:r w:rsidR="00445889">
        <w:rPr>
          <w:rFonts w:ascii="Times New Roman" w:hAnsi="Times New Roman" w:cs="Times New Roman"/>
        </w:rPr>
        <w:fldChar w:fldCharType="begin"/>
      </w:r>
      <w:r w:rsidR="00445889">
        <w:rPr>
          <w:rFonts w:ascii="Times New Roman" w:hAnsi="Times New Roman" w:cs="Times New Roman"/>
        </w:rPr>
        <w:instrText xml:space="preserve"> ADDIN ZOTERO_ITEM CSL_CITATION {"citationID":"aO7Gg0kk","properties":{"formattedCitation":"(Su\\uc0\\u8217{}ait et al., 2025)","plainCitation":"(Su’ait et al., 2025)","noteIndex":0},"citationItems":[{"id":12424,"uris":["http://zotero.org/users/16652950/items/LKMYQ2BK"],"itemData":{"id":12424,"type":"chapter","abstract":"Renewable energy technologies and energy transition strategies are at the forefront of addressing climate change and ensuring sustainable energy sources for the future. This sector encompasses various technologies, including solar, wind, hydroelectric, geothermal, and biomass energy. These renewable sources offer clean alternatives to fossil fuels, reducing greenhouse gas emissions and mitigating environmental impacts. There has been a significant shift towards renewable energy adoption, driven by technological advancements, policy incentives, and growing environmental awareness. Countries around the world are increasingly investing in renewable energy infrastructure and implementing energy transition strategies to decarbonize their economies and achieve climate targets outlined in the Paris Agreement. At today’s rate of progress, the world is not on track to achieve the seventh Sustainable Development Goals (SDGs) of affordable and clean energy SDG 7 goals by 2030. Therefore, energy transition strategies provide a multifaceted approach, including diversifying energy sources, improving energy efficiency, enhancing grid infrastructure, and promoting renewable energy integration. These strategies aim to reduce reliance on fossil fuels, enhance energy security, create green jobs, and foster sustainable economic development. However, challenges remain, such as intermittent issues with renewable energy sources, energy storage limitations, and the need for policy frameworks that support hydrogen fuel deployment. This chapter provides an overview of renewable energy technologies, emphasizing their significance in addressing the dual challenge of energy security and environmental sustainability. Overcoming these challenges will require continued innovation, investment, and collaboration among governments, industries, and communities. By embracing renewable energy sources and implementing effective transition strategies, the world can move towards a more sustainable and resilient energy system.","collection-number":"1499","collection-title":"ACS Symposium Series","container-title":"Renewable Energy Technologies and Strategies in the Global Energy Transition","note":"section: 1\nDOI: 10.1021/bk-2025-1499.ch001","page":"1-14","publisher":"American Chemical Society","source":"ACS Publications","title":"Introduction to Renewable Energy Technologies and Energy Transition Strategies","URL":"https://doi.org/10.1021/bk-2025-1499.ch001","volume":"1499","author":[{"family":"Su’ait","given":"Mohd Sukor"},{"family":"Ludin","given":"Norasikin Ahmad"},{"family":"Sopian","given":"Kamaruzaman"}],"accessed":{"date-parts":[["2025",12,24]]},"issued":{"date-parts":[["2025",3,3]]}}}],"schema":"https://github.com/citation-style-language/schema/raw/master/csl-citation.json"} </w:instrText>
      </w:r>
      <w:r w:rsidR="00445889">
        <w:rPr>
          <w:rFonts w:ascii="Times New Roman" w:hAnsi="Times New Roman" w:cs="Times New Roman"/>
        </w:rPr>
        <w:fldChar w:fldCharType="separate"/>
      </w:r>
      <w:r w:rsidR="00445889" w:rsidRPr="00445889">
        <w:rPr>
          <w:rFonts w:ascii="Times New Roman" w:hAnsi="Times New Roman" w:cs="Times New Roman"/>
          <w:kern w:val="0"/>
        </w:rPr>
        <w:t>(Su’ait et al., 2025)</w:t>
      </w:r>
      <w:r w:rsidR="00445889">
        <w:rPr>
          <w:rFonts w:ascii="Times New Roman" w:hAnsi="Times New Roman" w:cs="Times New Roman"/>
        </w:rPr>
        <w:fldChar w:fldCharType="end"/>
      </w:r>
      <w:r w:rsidRPr="00F5638D">
        <w:rPr>
          <w:rFonts w:ascii="Times New Roman" w:hAnsi="Times New Roman" w:cs="Times New Roman"/>
        </w:rPr>
        <w:t>. Their continued expansion is essential for achieving net-zero emission targets and enhancing energy security. However, the large-scale integration of these resources is fundamentally reshaping power system operation and exposing limitations in grids that were originally designed around centralized, controllable, and inertia-rich generation</w:t>
      </w:r>
      <w:r w:rsidR="00445889">
        <w:rPr>
          <w:rFonts w:ascii="Times New Roman" w:hAnsi="Times New Roman" w:cs="Times New Roman"/>
        </w:rPr>
        <w:fldChar w:fldCharType="begin"/>
      </w:r>
      <w:r w:rsidR="00445889">
        <w:rPr>
          <w:rFonts w:ascii="Times New Roman" w:hAnsi="Times New Roman" w:cs="Times New Roman"/>
        </w:rPr>
        <w:instrText xml:space="preserve"> ADDIN ZOTERO_ITEM CSL_CITATION {"citationID":"Fy61iDJ7","properties":{"formattedCitation":"(Zahid et al., 2025)","plainCitation":"(Zahid et al., 2025)","noteIndex":0},"citationItems":[{"id":12422,"uris":["http://zotero.org/users/16652950/items/HRSEWKWM"],"itemData":{"id":12422,"type":"article-journal","abstract":"The advent of fourth industrial revolution takes along progressive and exponential digital transformation. This study presents an overview of policies, best practices and regional strategies that supports renewable energy adoption around the globe. The transition to 100% renewable energy requires political support, innovation in both technology and policy, and efficient governance. However, it has been analysed through extensive literature review that previous measures have significantly reduced renewable energy costs through technological advancements, market expansion, and economies of scale. To further increase renewable energy adoption across all sectors, financial incentives, concrete support schemes, intervention of advanced computing, market designs and robust business models are essential. Defining clear short and long-term goals for energy system transition is a critical first step, providing the regulatory stability necessary for both public authorities and private operators to ensure a successful transition. This study contributes to the trends, socio-technical perspective, challenges of conventional energy systems and identifying the contemporary digital technologies in the renewable energy transition. The technologies involved in achieving 100% seamless integration of renewable energy in the paradigm of smart grid and super smart grid include cyber-physical systems, Internet of things, metaverse, cloud computing and big data along with the other tools. Energy storage options and hydrogen storage are also discussed in this study and further explored the role of digital technologies in energy storage for an ultimate transition.","container-title":"Results in Engineering","DOI":"10.1016/j.rineng.2025.105258","ISSN":"2590-1230","journalAbbreviation":"Results in Engineering","page":"105258","source":"ScienceDirect","title":"Global renewable energy transition: A multidisciplinary analysis of emerging computing technologies, socio-economic impacts, and policy imperatives","title-short":"Global renewable energy transition","volume":"26","author":[{"family":"Zahid","given":"Herman"},{"family":"Zulfiqar","given":"Adil"},{"family":"Adnan","given":"Muhammad"},{"family":"Iqbal","given":"Muhammad Sajid"},{"family":"Shah","given":"Anwar"},{"family":"Mohamed","given":"Salah Eldeen Gasim"}],"issued":{"date-parts":[["2025",6,1]]}}}],"schema":"https://github.com/citation-style-language/schema/raw/master/csl-citation.json"} </w:instrText>
      </w:r>
      <w:r w:rsidR="00445889">
        <w:rPr>
          <w:rFonts w:ascii="Times New Roman" w:hAnsi="Times New Roman" w:cs="Times New Roman"/>
        </w:rPr>
        <w:fldChar w:fldCharType="separate"/>
      </w:r>
      <w:r w:rsidR="0085050D" w:rsidRPr="0085050D">
        <w:rPr>
          <w:rFonts w:ascii="Times New Roman" w:hAnsi="Times New Roman" w:cs="Times New Roman"/>
        </w:rPr>
        <w:t>(Zahid et al., 2025)</w:t>
      </w:r>
      <w:r w:rsidR="00445889">
        <w:rPr>
          <w:rFonts w:ascii="Times New Roman" w:hAnsi="Times New Roman" w:cs="Times New Roman"/>
        </w:rPr>
        <w:fldChar w:fldCharType="end"/>
      </w:r>
      <w:r w:rsidRPr="00F5638D">
        <w:rPr>
          <w:rFonts w:ascii="Times New Roman" w:hAnsi="Times New Roman" w:cs="Times New Roman"/>
        </w:rPr>
        <w:t>.</w:t>
      </w:r>
    </w:p>
    <w:p w14:paraId="226D8D39" w14:textId="08B4706A" w:rsidR="00F5638D" w:rsidRPr="00F5638D" w:rsidRDefault="00F5638D" w:rsidP="00F5638D">
      <w:pPr>
        <w:rPr>
          <w:rFonts w:ascii="Times New Roman" w:hAnsi="Times New Roman" w:cs="Times New Roman"/>
        </w:rPr>
      </w:pPr>
      <w:r w:rsidRPr="00F5638D">
        <w:rPr>
          <w:rFonts w:ascii="Times New Roman" w:hAnsi="Times New Roman" w:cs="Times New Roman"/>
        </w:rPr>
        <w:t xml:space="preserve">A defining challenge of renewable-dominated power systems lies in the intrinsic variability and partial unpredictability of renewable generation. The temporal decoupling between resource </w:t>
      </w:r>
      <w:r w:rsidRPr="00F5638D">
        <w:rPr>
          <w:rFonts w:ascii="Times New Roman" w:hAnsi="Times New Roman" w:cs="Times New Roman"/>
        </w:rPr>
        <w:lastRenderedPageBreak/>
        <w:t>availability and electricity demand introduces persistent balancing challenges and increases dependence on system flexibility</w:t>
      </w:r>
      <w:r w:rsidR="0051152E">
        <w:rPr>
          <w:rFonts w:ascii="Times New Roman" w:hAnsi="Times New Roman" w:cs="Times New Roman"/>
        </w:rPr>
        <w:t xml:space="preserve"> </w:t>
      </w:r>
      <w:r w:rsidR="0051152E" w:rsidRPr="0051152E">
        <w:rPr>
          <w:rFonts w:ascii="Times New Roman" w:hAnsi="Times New Roman" w:cs="Times New Roman"/>
        </w:rPr>
        <w:t>(Tan et al., 2013)</w:t>
      </w:r>
      <w:r w:rsidRPr="00F5638D">
        <w:rPr>
          <w:rFonts w:ascii="Times New Roman" w:hAnsi="Times New Roman" w:cs="Times New Roman"/>
        </w:rPr>
        <w:t>. At the same time, the displacement of conventional synchronous generators reduces system inertia, resulting in faster frequency dynamics and heightened sensitivity to disturbances</w:t>
      </w:r>
      <w:r w:rsidR="0051152E">
        <w:rPr>
          <w:rFonts w:ascii="Times New Roman" w:hAnsi="Times New Roman" w:cs="Times New Roman"/>
        </w:rPr>
        <w:t xml:space="preserve"> </w:t>
      </w:r>
      <w:r w:rsidR="0051152E" w:rsidRPr="0051152E">
        <w:rPr>
          <w:rFonts w:ascii="Times New Roman" w:hAnsi="Times New Roman" w:cs="Times New Roman"/>
        </w:rPr>
        <w:t>(</w:t>
      </w:r>
      <w:proofErr w:type="spellStart"/>
      <w:r w:rsidR="0051152E" w:rsidRPr="0051152E">
        <w:rPr>
          <w:rFonts w:ascii="Times New Roman" w:hAnsi="Times New Roman" w:cs="Times New Roman"/>
        </w:rPr>
        <w:t>Kiasari</w:t>
      </w:r>
      <w:proofErr w:type="spellEnd"/>
      <w:r w:rsidR="0051152E" w:rsidRPr="0051152E">
        <w:rPr>
          <w:rFonts w:ascii="Times New Roman" w:hAnsi="Times New Roman" w:cs="Times New Roman"/>
        </w:rPr>
        <w:t xml:space="preserve"> et al., 2024)</w:t>
      </w:r>
      <w:r w:rsidRPr="00F5638D">
        <w:rPr>
          <w:rFonts w:ascii="Times New Roman" w:hAnsi="Times New Roman" w:cs="Times New Roman"/>
        </w:rPr>
        <w:t>. These changes strain existing operational practices, widen flexibility gaps, and complicate the provision of essential grid services such as frequency regulation, voltage control, and reserve adequacy, particularly under conditions of high renewable penetration</w:t>
      </w:r>
      <w:r w:rsidR="00441238">
        <w:rPr>
          <w:rFonts w:ascii="Times New Roman" w:hAnsi="Times New Roman" w:cs="Times New Roman"/>
        </w:rPr>
        <w:fldChar w:fldCharType="begin"/>
      </w:r>
      <w:r w:rsidR="00441238">
        <w:rPr>
          <w:rFonts w:ascii="Times New Roman" w:hAnsi="Times New Roman" w:cs="Times New Roman"/>
        </w:rPr>
        <w:instrText xml:space="preserve"> ADDIN ZOTERO_ITEM CSL_CITATION {"citationID":"9yHWxiCM","properties":{"formattedCitation":"(Olasoji et al., 2024; Samala &amp; Bethi, 2025)","plainCitation":"(Olasoji et al., 2024; Samala &amp; Bethi, 2025)","noteIndex":0},"citationItems":[{"id":12426,"uris":["http://zotero.org/users/16652950/items/355RAGTN"],"itemData":{"id":12426,"type":"article-journal","abstract":"This study provides a thorough analysis of unit commitment (UC) formulations in the context of low-inertia power systems, which are increasingly prevalent as the transition to Renewable Energy Sources (RES) gain momentum. Given the move towards more sustainable energy models, incorporating RES presents unique challenges in maintaining grid stability due to their inherent lack of synchronous inertia. This review examined the intricacies of modelling energy market designs and UC strategies to tackle these challenges. The study explores the expansion of frequency response services, emphasizing the increasing dependence on ancillary services, particularly in markets with a substantial presence of RES, attention is focused on the unique operating challenges in regions like Sub-Saharan Africa, where dispersed grid networks and generation inadequacies compound the problem. The paper delves into different methodologies and modelling approaches used in frequency-constrained optimization, shedding light on the strengths and weaknesses of current practices. A crucial outcome of our study is that the use of uniform frequency response models to deduce post-fault frequency parameters will not give adequate results in sparsely connected power system networks. Also, studies primarily focus on generation adequacy and the reliability criterion of the largest generator outage, overlooking the potential impact of network constraints and congestions in their formulation. Our analysis provides valuable insights into creating market frameworks that optimize energy and ancillary services, ensuring a stable and efficient grid operation in a power system dominated by RES. Based on our findings, it is essential to establish electricity market frameworks that can effectively maximize the utilization of energy resources and address the specific regional challenges associated with frequency regulation services in the future.","container-title":"Scientific African","DOI":"10.1016/j.sciaf.2024.e02357","ISSN":"2468-2276","journalAbbreviation":"Scientific African","page":"e02357","source":"ScienceDirect","title":"Review of frequency response strategies in renewable-dominated power system grids: Market adaptations and unit commitment formulation","title-short":"Review of frequency response strategies in renewable-dominated power system grids","volume":"26","author":[{"family":"Olasoji","given":"Azeez O."},{"family":"Oyedokun","given":"D. T. O."},{"family":"Omogoye","given":"Samuel O."},{"family":"Thron","given":"Chris"}],"issued":{"date-parts":[["2024",12,1]]}}},{"id":12428,"uris":["http://zotero.org/users/16652950/items/BASCCAH6"],"itemData":{"id":12428,"type":"article-journal","abstract":"This comprehensive review explores the growing importance of sustainable energy solutions, with a particular focus on the integration of solar and wind technologies within hybrid renewable energy systems. As the demand for clean energy increases, hybrid systems offer a promising solution to address energy security and environmental concerns. However, these systems face significant challenges, including intermittency issues and the complexity of integration into existing power grids. This paper examines the role of hybrid systems in mitigating these challenges and improving grid stability. Additionally, it highlights the role of the unified power quality conditioner in managing power quality and facilitating the integration of renewable sources into distribution networks. Drawing from over 395 research papers, the review offers valuable insights into the current state of the field and presents key directions for future research and practical applications.","container-title":"Journal of Electrical Systems and Information Technology","DOI":"10.1186/s43067-025-00193-1","ISSN":"2314-7172","issue":"1","journalAbbreviation":"Journal of Electrical Systems and Inf Technol","language":"en","page":"4","source":"Springer Link","title":"Harnessing synergy: a holistic review of hybrid renewable energy systems and unified power quality conditioner integration","title-short":"Harnessing synergy","volume":"12","author":[{"family":"Samala","given":"Nagaraju"},{"family":"Bethi","given":"Chandramouli"}],"issued":{"date-parts":[["2025",2,19]]}}}],"schema":"https://github.com/citation-style-language/schema/raw/master/csl-citation.json"} </w:instrText>
      </w:r>
      <w:r w:rsidR="00441238">
        <w:rPr>
          <w:rFonts w:ascii="Times New Roman" w:hAnsi="Times New Roman" w:cs="Times New Roman"/>
        </w:rPr>
        <w:fldChar w:fldCharType="separate"/>
      </w:r>
      <w:r w:rsidR="00441238" w:rsidRPr="00441238">
        <w:rPr>
          <w:rFonts w:ascii="Times New Roman" w:hAnsi="Times New Roman" w:cs="Times New Roman"/>
        </w:rPr>
        <w:t>(Olasoji et al., 2024; Samala &amp; Bethi, 2025)</w:t>
      </w:r>
      <w:r w:rsidR="00441238">
        <w:rPr>
          <w:rFonts w:ascii="Times New Roman" w:hAnsi="Times New Roman" w:cs="Times New Roman"/>
        </w:rPr>
        <w:fldChar w:fldCharType="end"/>
      </w:r>
      <w:r w:rsidRPr="00F5638D">
        <w:rPr>
          <w:rFonts w:ascii="Times New Roman" w:hAnsi="Times New Roman" w:cs="Times New Roman"/>
        </w:rPr>
        <w:t>.</w:t>
      </w:r>
    </w:p>
    <w:p w14:paraId="5FCF7828" w14:textId="7A5A3533" w:rsidR="00F5638D" w:rsidRPr="00F5638D" w:rsidRDefault="00F5638D" w:rsidP="00F5638D">
      <w:pPr>
        <w:rPr>
          <w:rFonts w:ascii="Times New Roman" w:hAnsi="Times New Roman" w:cs="Times New Roman"/>
        </w:rPr>
      </w:pPr>
      <w:r w:rsidRPr="00F5638D">
        <w:rPr>
          <w:rFonts w:ascii="Times New Roman" w:hAnsi="Times New Roman" w:cs="Times New Roman"/>
        </w:rPr>
        <w:t>Energy storage systems and microgrids have emerged as cornerstone solutions for addressing these challenges and enabling the reliable integration of renewable energy at scale</w:t>
      </w:r>
      <w:r w:rsidR="00A22ED1">
        <w:rPr>
          <w:rFonts w:ascii="Times New Roman" w:hAnsi="Times New Roman" w:cs="Times New Roman"/>
        </w:rPr>
        <w:fldChar w:fldCharType="begin"/>
      </w:r>
      <w:r w:rsidR="00A22ED1">
        <w:rPr>
          <w:rFonts w:ascii="Times New Roman" w:hAnsi="Times New Roman" w:cs="Times New Roman"/>
        </w:rPr>
        <w:instrText xml:space="preserve"> ADDIN ZOTERO_ITEM CSL_CITATION {"citationID":"fHASdjhd","properties":{"formattedCitation":"(Enasel &amp; Dumitrascu, 2025)","plainCitation":"(Enasel &amp; Dumitrascu, 2025)","noteIndex":0},"citationItems":[{"id":12430,"uris":["http://zotero.org/users/16652950/items/MDVGVJ2E"],"itemData":{"id":12430,"type":"article-journal","abstract":"This review investigates the integration of renewable energy systems with diverse energy storage technologies to enhance reliability and sustainability. Key findings include the high energy density and scalability of lithium-ion and flow batteries, which are crucial for grid-scale applications, despite challenges in cost and raw material availability. Electrical storage methods, such as supercapacitors, provide rapid response capabilities but are limited by low energy density. Mechanical systems, including pumped hydro and compressed air storage, excel in large-scale scenarios but face geographical constraints. Emerging chemical storage technologies, including hydrogen and synthetic natural gas, offer long-term solutions but require advancements in efficiency. Thermal storage systems, such as molten salt and latent heat storage, show significant potential for renewable integration in heating and cooling, although material costs remain a barrier. The integration of hybrid systems demonstrates improved reliability and efficiency, highlighting the necessity of combining technologies to address the intermittent nature of renewable energy. Overall, the findings underscore advancements, challenges, and future research directions required for scalable and sustainable energy storage solutions.","container-title":"Energy Nexus","DOI":"10.1016/j.nexus.2025.100391","ISSN":"2772-4271","journalAbbreviation":"Energy Nexus","page":"100391","source":"ScienceDirect","title":"Storage solutions for renewable energy: A review","title-short":"Storage solutions for renewable energy","volume":"17","author":[{"family":"Enasel","given":"Eduard"},{"family":"Dumitrascu","given":"Gheorghe"}],"issued":{"date-parts":[["2025",3,1]]}}}],"schema":"https://github.com/citation-style-language/schema/raw/master/csl-citation.json"} </w:instrText>
      </w:r>
      <w:r w:rsidR="00A22ED1">
        <w:rPr>
          <w:rFonts w:ascii="Times New Roman" w:hAnsi="Times New Roman" w:cs="Times New Roman"/>
        </w:rPr>
        <w:fldChar w:fldCharType="separate"/>
      </w:r>
      <w:r w:rsidR="0085050D" w:rsidRPr="0085050D">
        <w:rPr>
          <w:rFonts w:ascii="Times New Roman" w:hAnsi="Times New Roman" w:cs="Times New Roman"/>
        </w:rPr>
        <w:t>(Enasel &amp; Dumitrascu, 2025)</w:t>
      </w:r>
      <w:r w:rsidR="00A22ED1">
        <w:rPr>
          <w:rFonts w:ascii="Times New Roman" w:hAnsi="Times New Roman" w:cs="Times New Roman"/>
        </w:rPr>
        <w:fldChar w:fldCharType="end"/>
      </w:r>
      <w:r w:rsidRPr="00F5638D">
        <w:rPr>
          <w:rFonts w:ascii="Times New Roman" w:hAnsi="Times New Roman" w:cs="Times New Roman"/>
        </w:rPr>
        <w:t>. Energy storage systems provide temporal and spatial flexibility by decoupling generation from consumption, thereby facilitating energy shifting, smoothing power fluctuations, and delivering fast-response ancillary services</w:t>
      </w:r>
      <w:r w:rsidR="0051152E">
        <w:rPr>
          <w:rFonts w:ascii="Times New Roman" w:hAnsi="Times New Roman" w:cs="Times New Roman"/>
        </w:rPr>
        <w:t xml:space="preserve"> </w:t>
      </w:r>
      <w:r w:rsidR="0051152E" w:rsidRPr="0051152E">
        <w:rPr>
          <w:rFonts w:ascii="Times New Roman" w:hAnsi="Times New Roman" w:cs="Times New Roman"/>
        </w:rPr>
        <w:t>(Senapati et al., 2019</w:t>
      </w:r>
      <w:r w:rsidR="0051152E">
        <w:rPr>
          <w:rFonts w:ascii="Times New Roman" w:hAnsi="Times New Roman" w:cs="Times New Roman"/>
        </w:rPr>
        <w:t xml:space="preserve">; </w:t>
      </w:r>
      <w:r w:rsidR="0051152E" w:rsidRPr="0051152E">
        <w:rPr>
          <w:rFonts w:ascii="Times New Roman" w:hAnsi="Times New Roman" w:cs="Times New Roman"/>
        </w:rPr>
        <w:t>Ojo et al., 2025)</w:t>
      </w:r>
      <w:r w:rsidRPr="00F5638D">
        <w:rPr>
          <w:rFonts w:ascii="Times New Roman" w:hAnsi="Times New Roman" w:cs="Times New Roman"/>
        </w:rPr>
        <w:t>. Microgrids, as coordinated clusters of distributed energy resources, loads, and control systems, offer a complementary architectural framework that enables localized balancing, enhances resilience, and supports both grid-connected and islanded operation</w:t>
      </w:r>
      <w:r w:rsidR="00A22ED1">
        <w:rPr>
          <w:rFonts w:ascii="Times New Roman" w:hAnsi="Times New Roman" w:cs="Times New Roman"/>
        </w:rPr>
        <w:fldChar w:fldCharType="begin"/>
      </w:r>
      <w:r w:rsidR="00A22ED1">
        <w:rPr>
          <w:rFonts w:ascii="Times New Roman" w:hAnsi="Times New Roman" w:cs="Times New Roman"/>
        </w:rPr>
        <w:instrText xml:space="preserve"> ADDIN ZOTERO_ITEM CSL_CITATION {"citationID":"SR7rPTwA","properties":{"formattedCitation":"(Enasel &amp; Dumitrascu, 2025; Liu et al., 2025)","plainCitation":"(Enasel &amp; Dumitrascu, 2025; Liu et al., 2025)","noteIndex":0},"citationItems":[{"id":12430,"uris":["http://zotero.org/users/16652950/items/MDVGVJ2E"],"itemData":{"id":12430,"type":"article-journal","abstract":"This review investigates the integration of renewable energy systems with diverse energy storage technologies to enhance reliability and sustainability. Key findings include the high energy density and scalability of lithium-ion and flow batteries, which are crucial for grid-scale applications, despite challenges in cost and raw material availability. Electrical storage methods, such as supercapacitors, provide rapid response capabilities but are limited by low energy density. Mechanical systems, including pumped hydro and compressed air storage, excel in large-scale scenarios but face geographical constraints. Emerging chemical storage technologies, including hydrogen and synthetic natural gas, offer long-term solutions but require advancements in efficiency. Thermal storage systems, such as molten salt and latent heat storage, show significant potential for renewable integration in heating and cooling, although material costs remain a barrier. The integration of hybrid systems demonstrates improved reliability and efficiency, highlighting the necessity of combining technologies to address the intermittent nature of renewable energy. Overall, the findings underscore advancements, challenges, and future research directions required for scalable and sustainable energy storage solutions.","container-title":"Energy Nexus","DOI":"10.1016/j.nexus.2025.100391","ISSN":"2772-4271","journalAbbreviation":"Energy Nexus","page":"100391","source":"ScienceDirect","title":"Storage solutions for renewable energy: A review","title-short":"Storage solutions for renewable energy","volume":"17","author":[{"family":"Enasel","given":"Eduard"},{"family":"Dumitrascu","given":"Gheorghe"}],"issued":{"date-parts":[["2025",3,1]]}}},{"id":12433,"uris":["http://zotero.org/users/16652950/items/7B5EW39E"],"itemData":{"id":12433,"type":"article-journal","abstract":"Energy-storage technologies have rapidly developed under the impetus of carbon-neutrality goals, gradually becoming a crucial support for driving the ...","container-title":"Sustainability","DOI":"10.3390/su17188316","ISSN":"2071-1050","issue":"18","language":"en","license":"http://creativecommons.org/licenses/by/3.0/","note":"Company: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publisher","source":"www.mdpi.com","title":"Advancements in Energy-Storage Technologies: A Review of Current Developments and Applications","title-short":"Advancements in Energy-Storage Technologies","URL":"https://www.mdpi.com/2071-1050/17/18/8316","volume":"17","author":[{"family":"Liu","given":"Xin"},{"family":"Li","given":"Wujing"},{"family":"Guo","given":"Xiangyang"},{"family":"Su","given":"Biao"},{"family":"Guo","given":"Shuyu"},{"family":"Jing","given":"Yiran"},{"family":"Zhang","given":"Xi"},{"family":"Liu","given":"Xin"},{"family":"Li","given":"Wujing"},{"family":"Guo","given":"Xiangyang"},{"family":"Su","given":"Biao"},{"family":"Guo","given":"Shuyu"},{"family":"Jing","given":"Yiran"},{"family":"Zhang","given":"Xi"}],"accessed":{"date-parts":[["2025",12,24]]},"issued":{"date-parts":[["2025",9,15]]}}}],"schema":"https://github.com/citation-style-language/schema/raw/master/csl-citation.json"} </w:instrText>
      </w:r>
      <w:r w:rsidR="00A22ED1">
        <w:rPr>
          <w:rFonts w:ascii="Times New Roman" w:hAnsi="Times New Roman" w:cs="Times New Roman"/>
        </w:rPr>
        <w:fldChar w:fldCharType="separate"/>
      </w:r>
      <w:r w:rsidR="00A22ED1" w:rsidRPr="00A22ED1">
        <w:rPr>
          <w:rFonts w:ascii="Times New Roman" w:hAnsi="Times New Roman" w:cs="Times New Roman"/>
        </w:rPr>
        <w:t>(Enasel &amp; Dumitrascu, 2025; Liu et al., 2025)</w:t>
      </w:r>
      <w:r w:rsidR="00A22ED1">
        <w:rPr>
          <w:rFonts w:ascii="Times New Roman" w:hAnsi="Times New Roman" w:cs="Times New Roman"/>
        </w:rPr>
        <w:fldChar w:fldCharType="end"/>
      </w:r>
      <w:r w:rsidRPr="00F5638D">
        <w:rPr>
          <w:rFonts w:ascii="Times New Roman" w:hAnsi="Times New Roman" w:cs="Times New Roman"/>
        </w:rPr>
        <w:t>. Together, energy storage and microgrids represent critical building blocks for future power systems characterized by high renewable penetration and increased decentralization.</w:t>
      </w:r>
    </w:p>
    <w:p w14:paraId="35417611" w14:textId="4B62740A" w:rsidR="00F5638D" w:rsidRPr="00F5638D" w:rsidRDefault="00F5638D" w:rsidP="00F5638D">
      <w:pPr>
        <w:rPr>
          <w:rFonts w:ascii="Times New Roman" w:hAnsi="Times New Roman" w:cs="Times New Roman"/>
        </w:rPr>
      </w:pPr>
      <w:r w:rsidRPr="00F5638D">
        <w:rPr>
          <w:rFonts w:ascii="Times New Roman" w:hAnsi="Times New Roman" w:cs="Times New Roman"/>
        </w:rPr>
        <w:t>An increasingly important yet often underemphasized dimension of this transition is the role of materials innovation in enabling advances in energy storage and grid-interfacing technologies. In particular, developments in polymer science have contributed significantly to improvements in the performance, safety, and durability of energy storage systems</w:t>
      </w:r>
      <w:r w:rsidR="003F6F11">
        <w:rPr>
          <w:rFonts w:ascii="Times New Roman" w:hAnsi="Times New Roman" w:cs="Times New Roman"/>
        </w:rPr>
        <w:fldChar w:fldCharType="begin"/>
      </w:r>
      <w:r w:rsidR="0085050D">
        <w:rPr>
          <w:rFonts w:ascii="Times New Roman" w:hAnsi="Times New Roman" w:cs="Times New Roman"/>
        </w:rPr>
        <w:instrText xml:space="preserve"> ADDIN ZOTERO_ITEM CSL_CITATION {"citationID":"mRsSPl3R","properties":{"formattedCitation":"(Kumar et al., 2024)","plainCitation":"(Kumar et al., 2024)","dontUpdate":true,"noteIndex":0},"citationItems":[{"id":12435,"uris":["http://zotero.org/users/16652950/items/8K88YLEC"],"itemData":{"id":12435,"type":"article-journal","abstract":"undefined","container-title":"Polymers","DOI":"10.3390/polym16223132","ISSN":"2073-4360","issue":"22","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publisher","source":"www.mdpi.com","title":"Polymeric Materials in Energy Conversion and Storage","URL":"https://www.mdpi.com/2073-4360/16/22/3132","volume":"16","author":[{"family":"Kumar","given":"Vineet"},{"family":"Alam","given":"Md Najib"},{"family":"Kumar","given":"Vineet"},{"family":"Alam","given":"Md Najib"}],"accessed":{"date-parts":[["2025",12,24]]},"issued":{"date-parts":[["2024",11,9]]}}}],"schema":"https://github.com/citation-style-language/schema/raw/master/csl-citation.json"} </w:instrText>
      </w:r>
      <w:r w:rsidR="003F6F11">
        <w:rPr>
          <w:rFonts w:ascii="Times New Roman" w:hAnsi="Times New Roman" w:cs="Times New Roman"/>
        </w:rPr>
        <w:fldChar w:fldCharType="separate"/>
      </w:r>
      <w:r w:rsidR="003F6F11" w:rsidRPr="003F6F11">
        <w:rPr>
          <w:rFonts w:ascii="Times New Roman" w:hAnsi="Times New Roman" w:cs="Times New Roman"/>
        </w:rPr>
        <w:t>(Kumar et al., 2024</w:t>
      </w:r>
      <w:r w:rsidR="0051152E">
        <w:rPr>
          <w:rFonts w:ascii="Times New Roman" w:hAnsi="Times New Roman" w:cs="Times New Roman"/>
        </w:rPr>
        <w:t xml:space="preserve">; </w:t>
      </w:r>
      <w:r w:rsidR="0051152E" w:rsidRPr="0051152E">
        <w:rPr>
          <w:rFonts w:ascii="Times New Roman" w:hAnsi="Times New Roman" w:cs="Times New Roman"/>
        </w:rPr>
        <w:t>Liu &amp; Su, 2008</w:t>
      </w:r>
      <w:r w:rsidR="003F6F11" w:rsidRPr="003F6F11">
        <w:rPr>
          <w:rFonts w:ascii="Times New Roman" w:hAnsi="Times New Roman" w:cs="Times New Roman"/>
        </w:rPr>
        <w:t>)</w:t>
      </w:r>
      <w:r w:rsidR="003F6F11">
        <w:rPr>
          <w:rFonts w:ascii="Times New Roman" w:hAnsi="Times New Roman" w:cs="Times New Roman"/>
        </w:rPr>
        <w:fldChar w:fldCharType="end"/>
      </w:r>
      <w:r w:rsidRPr="00F5638D">
        <w:rPr>
          <w:rFonts w:ascii="Times New Roman" w:hAnsi="Times New Roman" w:cs="Times New Roman"/>
        </w:rPr>
        <w:t>. Polymers are integral to key battery components, including electrolytes, separators, binders, and encapsulation materials, and play a growing role in emerging storage technologies and power electronic interfaces</w:t>
      </w:r>
      <w:r w:rsidR="003F6F11">
        <w:rPr>
          <w:rFonts w:ascii="Times New Roman" w:hAnsi="Times New Roman" w:cs="Times New Roman"/>
        </w:rPr>
        <w:fldChar w:fldCharType="begin"/>
      </w:r>
      <w:r w:rsidR="003F6F11">
        <w:rPr>
          <w:rFonts w:ascii="Times New Roman" w:hAnsi="Times New Roman" w:cs="Times New Roman"/>
        </w:rPr>
        <w:instrText xml:space="preserve"> ADDIN ZOTERO_ITEM CSL_CITATION {"citationID":"pFtTkIYn","properties":{"formattedCitation":"(Zhou et al., 2025)","plainCitation":"(Zhou et al., 2025)","noteIndex":0},"citationItems":[{"id":12437,"uris":["http://zotero.org/users/16652950/items/TEWRKM69"],"itemData":{"id":12437,"type":"article-journal","abstract":"During the global energy transition, electric vehicles and electrochemical energy storage systems are rapidly gaining popularity, leading to a strong ...","container-title":"Polymers","DOI":"10.3390/polym17091227","ISSN":"2073-4360","issue":"9","language":"en","license":"http://creativecommons.org/licenses/by/3.0/","note":"Company: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publisher","source":"www.mdpi.com","title":"Critical Perspectives on the Design of Polymeric Materials for Mitigating Thermal Runaway in Lithium-Ion Batteries","URL":"https://www.mdpi.com/2073-4360/17/9/1227","volume":"17","author":[{"family":"Zhou","given":"Hangyu"},{"family":"He","given":"Jianhong"},{"family":"Gao","given":"Shang"},{"family":"Cao","given":"Xuan"},{"family":"Li","given":"Chenghui"},{"family":"Zhang","given":"Qing"},{"family":"Gao","given":"Jialiang"},{"family":"Yao","given":"Yongzheng"},{"family":"Zhai","given":"Chuanwei"},{"family":"Hu","given":"Zhongchun"},{"family":"Zhu","given":"Hongqing"},{"family":"Kang","given":"Rongxue"},{"family":"Zhou","given":"Hangyu"},{"family":"He","given":"Jianhong"},{"family":"Gao","given":"Shang"},{"family":"Cao","given":"Xuan"},{"family":"Li","given":"Chenghui"},{"family":"Zhang","given":"Qing"},{"family":"Gao","given":"Jialiang"},{"family":"Yao","given":"Yongzheng"},{"family":"Zhai","given":"Chuanwei"},{"family":"Hu","given":"Zhongchun"},{"family":"Zhu","given":"Hongqing"},{"family":"Kang","given":"Rongxue"}],"accessed":{"date-parts":[["2025",12,24]]},"issued":{"date-parts":[["2025",4,29]]}}}],"schema":"https://github.com/citation-style-language/schema/raw/master/csl-citation.json"} </w:instrText>
      </w:r>
      <w:r w:rsidR="003F6F11">
        <w:rPr>
          <w:rFonts w:ascii="Times New Roman" w:hAnsi="Times New Roman" w:cs="Times New Roman"/>
        </w:rPr>
        <w:fldChar w:fldCharType="separate"/>
      </w:r>
      <w:r w:rsidR="003F6F11" w:rsidRPr="003F6F11">
        <w:rPr>
          <w:rFonts w:ascii="Times New Roman" w:hAnsi="Times New Roman" w:cs="Times New Roman"/>
        </w:rPr>
        <w:t>(Zhou et al., 2025)</w:t>
      </w:r>
      <w:r w:rsidR="003F6F11">
        <w:rPr>
          <w:rFonts w:ascii="Times New Roman" w:hAnsi="Times New Roman" w:cs="Times New Roman"/>
        </w:rPr>
        <w:fldChar w:fldCharType="end"/>
      </w:r>
      <w:r w:rsidRPr="00F5638D">
        <w:rPr>
          <w:rFonts w:ascii="Times New Roman" w:hAnsi="Times New Roman" w:cs="Times New Roman"/>
        </w:rPr>
        <w:t>. These materials-level innovations directly influence system-level attributes such as reliability, lifecycle performance, and operational flexibility, yet they are rarely discussed within the broader context of grid integration</w:t>
      </w:r>
      <w:r w:rsidR="003F6F11">
        <w:rPr>
          <w:rFonts w:ascii="Times New Roman" w:hAnsi="Times New Roman" w:cs="Times New Roman"/>
        </w:rPr>
        <w:fldChar w:fldCharType="begin"/>
      </w:r>
      <w:r w:rsidR="003F6F11">
        <w:rPr>
          <w:rFonts w:ascii="Times New Roman" w:hAnsi="Times New Roman" w:cs="Times New Roman"/>
        </w:rPr>
        <w:instrText xml:space="preserve"> ADDIN ZOTERO_ITEM CSL_CITATION {"citationID":"IRJVO5zy","properties":{"formattedCitation":"(Yadav &amp; Anand, 2025)","plainCitation":"(Yadav &amp; Anand, 2025)","noteIndex":0},"citationItems":[{"id":12289,"uris":["http://zotero.org/users/16652950/items/AENIZ7NA"],"itemData":{"id":12289,"type":"article-journal","abstract":"Smart Grid, a decentralized, intelligent and self-optimized energy grid, with bidirectional movement of electricity and statistics is considered the future generation of the power grid. In this document, a broad literature review is walked through with the past histories of the smart grid technologies, their advances, case studies and discussions referring towards future inclination in smart grids, that are possibly the salvation and the tribulations that can be offered to the energy sector. The article reviews the evolution and current state of smart grid technologies, along with challenges in developing and implementing smart grid technologies. When integrated into the traditional power systems, digital communication and automation lay the groundwork for efficient energy management and renewable integration required from smart grid systems. Historical perspectives are included in the review while the modern technological advances and applications are mentioned too, alongside the identification of major challenges like high costs, cybersecurity, regulatory challenges and many more. Also, several challenges are addressed in the document that enhance the energy sustainability and advance smart grids towards it.","container-title":"Discover Applied Sciences","DOI":"10.1007/s42452-025-07905-2","ISSN":"3004-9261","issue":"12","journalAbbreviation":"Discov Appl Sci","language":"en","page":"1380","source":"Springer Link","title":"Analysis of advancing paradigms of smart grid innovations, applications, challenges, future trends and strategic implementations","volume":"7","author":[{"family":"Yadav","given":"Sudha"},{"family":"Anand","given":"R."}],"issued":{"date-parts":[["2025",11,18]]}}}],"schema":"https://github.com/citation-style-language/schema/raw/master/csl-citation.json"} </w:instrText>
      </w:r>
      <w:r w:rsidR="003F6F11">
        <w:rPr>
          <w:rFonts w:ascii="Times New Roman" w:hAnsi="Times New Roman" w:cs="Times New Roman"/>
        </w:rPr>
        <w:fldChar w:fldCharType="separate"/>
      </w:r>
      <w:r w:rsidR="003F6F11" w:rsidRPr="003F6F11">
        <w:rPr>
          <w:rFonts w:ascii="Times New Roman" w:hAnsi="Times New Roman" w:cs="Times New Roman"/>
        </w:rPr>
        <w:t>(Yadav &amp; Anand, 2025)</w:t>
      </w:r>
      <w:r w:rsidR="003F6F11">
        <w:rPr>
          <w:rFonts w:ascii="Times New Roman" w:hAnsi="Times New Roman" w:cs="Times New Roman"/>
        </w:rPr>
        <w:fldChar w:fldCharType="end"/>
      </w:r>
      <w:r w:rsidRPr="00F5638D">
        <w:rPr>
          <w:rFonts w:ascii="Times New Roman" w:hAnsi="Times New Roman" w:cs="Times New Roman"/>
        </w:rPr>
        <w:t>.</w:t>
      </w:r>
    </w:p>
    <w:p w14:paraId="2B5B345B" w14:textId="13E241FE" w:rsidR="00F5638D" w:rsidRDefault="00F5638D" w:rsidP="00F5638D">
      <w:pPr>
        <w:rPr>
          <w:rFonts w:ascii="Times New Roman" w:hAnsi="Times New Roman" w:cs="Times New Roman"/>
        </w:rPr>
      </w:pPr>
      <w:r w:rsidRPr="00F5638D">
        <w:rPr>
          <w:rFonts w:ascii="Times New Roman" w:hAnsi="Times New Roman" w:cs="Times New Roman"/>
        </w:rPr>
        <w:t>Existing literature on renewable energy integration reflects a degree of fragmentation, with power systems studies, storage technology reviews, and materials-focused research often progressing along parallel but weakly connected trajectories</w:t>
      </w:r>
      <w:r w:rsidR="0051152E">
        <w:rPr>
          <w:rFonts w:ascii="Times New Roman" w:hAnsi="Times New Roman" w:cs="Times New Roman"/>
        </w:rPr>
        <w:t xml:space="preserve"> </w:t>
      </w:r>
      <w:r w:rsidR="0051152E" w:rsidRPr="0051152E">
        <w:rPr>
          <w:rFonts w:ascii="Times New Roman" w:hAnsi="Times New Roman" w:cs="Times New Roman"/>
        </w:rPr>
        <w:t>(Miah et al., 2022)</w:t>
      </w:r>
      <w:r w:rsidRPr="00F5638D">
        <w:rPr>
          <w:rFonts w:ascii="Times New Roman" w:hAnsi="Times New Roman" w:cs="Times New Roman"/>
        </w:rPr>
        <w:t>. As a result, the implications of materials-level advances for grid-scale deployment and control strategies remain insufficiently explored. This review seeks to address this gap by providing an integrated and forward-looking synthesis of renewable energy integration with energy storage and microgrids. The paper emphasizes control and energy management frameworks while incorporating a targeted discussion of polymer-enabled innovations in energy storage and grid components. By bridging materials science and power systems perspectives, the review aims to clarify current capabilities, identify unresolved challenges, and outline research and deployment pathways for resilient and sustainable renewable-rich power systems.</w:t>
      </w:r>
    </w:p>
    <w:p w14:paraId="05289871" w14:textId="77777777" w:rsidR="00BE2899" w:rsidRPr="00B549FB" w:rsidRDefault="00BE2899" w:rsidP="00BE2899">
      <w:pPr>
        <w:rPr>
          <w:rFonts w:ascii="Times New Roman" w:hAnsi="Times New Roman" w:cs="Times New Roman"/>
        </w:rPr>
      </w:pPr>
      <w:r w:rsidRPr="00B549FB">
        <w:rPr>
          <w:rFonts w:ascii="Times New Roman" w:hAnsi="Times New Roman" w:cs="Times New Roman"/>
        </w:rPr>
        <w:lastRenderedPageBreak/>
        <w:t>While numerous reviews have addressed renewable energy integration, energy storage technologies, and microgrid control independently, relatively few studies have examined the combined impact of materials innovation and system-level operation in a unified framework. In particular, the role of polymer-enabled components in shaping the safety, durability, and operational flexibility of storage systems is rarely discussed in direct connection with grid stability and control requirements. This review addresses this gap by integrating perspectives from polymer science, power electronics, and power system engineering, with a specific focus on low-inertia grids, storage-enabled flexibility, and microgrid control strategies. By linking material-level advances to grid and microgrid performance, the paper provides a holistic reference for the design and operation of resilient renewable-dominated power systems.</w:t>
      </w:r>
    </w:p>
    <w:p w14:paraId="75381FA9" w14:textId="77777777" w:rsidR="00BE2899" w:rsidRPr="00F5638D" w:rsidRDefault="00BE2899" w:rsidP="00F5638D">
      <w:pPr>
        <w:rPr>
          <w:rFonts w:ascii="Times New Roman" w:hAnsi="Times New Roman" w:cs="Times New Roman"/>
        </w:rPr>
      </w:pPr>
    </w:p>
    <w:p w14:paraId="64F45A27" w14:textId="77777777" w:rsidR="00AD780F" w:rsidRDefault="00AD780F" w:rsidP="00F5638D">
      <w:pPr>
        <w:rPr>
          <w:rFonts w:ascii="Times New Roman" w:hAnsi="Times New Roman" w:cs="Times New Roman"/>
          <w:b/>
          <w:bCs/>
        </w:rPr>
      </w:pPr>
    </w:p>
    <w:p w14:paraId="0D3374DF" w14:textId="77777777" w:rsidR="00AB6112" w:rsidRPr="00AB6112" w:rsidRDefault="00AB6112" w:rsidP="00AB6112">
      <w:pPr>
        <w:rPr>
          <w:rFonts w:ascii="Times New Roman" w:hAnsi="Times New Roman" w:cs="Times New Roman"/>
          <w:b/>
          <w:bCs/>
        </w:rPr>
      </w:pPr>
      <w:r w:rsidRPr="00AB6112">
        <w:rPr>
          <w:rFonts w:ascii="Times New Roman" w:hAnsi="Times New Roman" w:cs="Times New Roman"/>
          <w:b/>
          <w:bCs/>
        </w:rPr>
        <w:t>2. Grid Integration Challenges in Renewable-Dominated Power Systems</w:t>
      </w:r>
    </w:p>
    <w:p w14:paraId="0A17354E" w14:textId="77777777" w:rsidR="00AB6112" w:rsidRPr="00AB6112" w:rsidRDefault="00AB6112" w:rsidP="00AB6112">
      <w:pPr>
        <w:rPr>
          <w:rFonts w:ascii="Times New Roman" w:hAnsi="Times New Roman" w:cs="Times New Roman"/>
        </w:rPr>
      </w:pPr>
      <w:r w:rsidRPr="00AB6112">
        <w:rPr>
          <w:rFonts w:ascii="Times New Roman" w:hAnsi="Times New Roman" w:cs="Times New Roman"/>
        </w:rPr>
        <w:t>The transition toward renewable-dominated power systems introduces a set of interrelated technical and operational challenges that extend beyond the simple substitution of conventional generation with low-carbon alternatives. As variable renewable energy sources increasingly supply a substantial share of electricity demand, the fundamental assumptions underpinning power system planning, operation, and control are being redefined. These challenges are most evident in the areas of system flexibility, dynamic stability, and network operation, all of which must be addressed to ensure reliable and secure grid performance</w:t>
      </w:r>
      <w:r w:rsidR="002B64EE">
        <w:rPr>
          <w:rFonts w:ascii="Times New Roman" w:hAnsi="Times New Roman" w:cs="Times New Roman"/>
        </w:rPr>
        <w:fldChar w:fldCharType="begin"/>
      </w:r>
      <w:r w:rsidR="002B64EE">
        <w:rPr>
          <w:rFonts w:ascii="Times New Roman" w:hAnsi="Times New Roman" w:cs="Times New Roman"/>
        </w:rPr>
        <w:instrText xml:space="preserve"> ADDIN ZOTERO_ITEM CSL_CITATION {"citationID":"TrLdG08v","properties":{"formattedCitation":"(Kabeyi &amp; Olanrewaju, 2022)","plainCitation":"(Kabeyi &amp; Olanrewaju, 2022)","noteIndex":0},"citationItems":[{"id":12439,"uris":["http://zotero.org/users/16652950/items/N25Z6H67"],"itemData":{"id":12439,"type":"article-journal","abstract":"The purpose of this study is to review the role of energy in sustainable development by ensuring sustainability in electricity generation, supply, and consumption. Global electricity generation remains dominated by fossil fuels with renewable energy sources contributing a smaller proportion. Sustainable development needs sustainable energy which should be reliable, stable, good quality, affordable non-polluting and socially acceptable. Whereas sustainable development has social, economic, and environmental pillars, sustainability of energy and electricity generation systems are assessed by a five-dimensional approach consisting of environmental, economic, social, technical, and institutional sustainability as a strong measure of resource and system sustainability. New technology should be developed and exploited for to maximize use of abundant but intermittent renewable sources a sustainable mix with limited nonrenewable sources optimized to minimize cost and environmental impact but maintained quality, stability, and flexibility of an electricity supply system. This review recommends the use of the three main strategies to minimize carbon emissions in the energy transition. These are conventional mitigation, negative emissions technologies which capture and sequester carbon emissions and finally technologies which alter the global atmospheric radiative energy budget to stabilize and reduce global average temperature. Besides low emissions, a sustainable electricity grid system should be stable and supply reliable, affordable, and socially acceptable electricity. A sustainable electricity system needs facilitating technology, policy, strategies and infrastructure like smart grids, and models.","container-title":"Frontiers in Energy Research","DOI":"10.3389/fenrg.2021.743114","ISSN":"2296-598X","journalAbbreviation":"Front. Energy Res.","language":"English","note":"publisher: Frontiers","source":"Frontiers","title":"Sustainable Energy Transition for Renewable and Low Carbon Grid Electricity Generation and Supply","URL":"https://www.frontiersin.org/journals/energy-research/articles/10.3389/fenrg.2021.743114/full","volume":"9","author":[{"family":"Kabeyi","given":"Moses Jeremiah Barasa"},{"family":"Olanrewaju","given":"Oludolapo Akanni"}],"accessed":{"date-parts":[["2025",12,24]]},"issued":{"date-parts":[["2022",3,24]]}}}],"schema":"https://github.com/citation-style-language/schema/raw/master/csl-citation.json"} </w:instrText>
      </w:r>
      <w:r w:rsidR="002B64EE">
        <w:rPr>
          <w:rFonts w:ascii="Times New Roman" w:hAnsi="Times New Roman" w:cs="Times New Roman"/>
        </w:rPr>
        <w:fldChar w:fldCharType="separate"/>
      </w:r>
      <w:r w:rsidR="002B64EE" w:rsidRPr="002B64EE">
        <w:rPr>
          <w:rFonts w:ascii="Times New Roman" w:hAnsi="Times New Roman" w:cs="Times New Roman"/>
        </w:rPr>
        <w:t>(Kabeyi &amp; Olanrewaju, 2022)</w:t>
      </w:r>
      <w:r w:rsidR="002B64EE">
        <w:rPr>
          <w:rFonts w:ascii="Times New Roman" w:hAnsi="Times New Roman" w:cs="Times New Roman"/>
        </w:rPr>
        <w:fldChar w:fldCharType="end"/>
      </w:r>
      <w:r w:rsidRPr="00AB6112">
        <w:rPr>
          <w:rFonts w:ascii="Times New Roman" w:hAnsi="Times New Roman" w:cs="Times New Roman"/>
        </w:rPr>
        <w:t>.</w:t>
      </w:r>
    </w:p>
    <w:p w14:paraId="37649DD8" w14:textId="77777777" w:rsidR="00AB6112" w:rsidRPr="00AB6112" w:rsidRDefault="00AB6112" w:rsidP="00AB6112">
      <w:pPr>
        <w:rPr>
          <w:rFonts w:ascii="Times New Roman" w:hAnsi="Times New Roman" w:cs="Times New Roman"/>
          <w:b/>
          <w:bCs/>
        </w:rPr>
      </w:pPr>
      <w:r w:rsidRPr="00AB6112">
        <w:rPr>
          <w:rFonts w:ascii="Times New Roman" w:hAnsi="Times New Roman" w:cs="Times New Roman"/>
          <w:b/>
          <w:bCs/>
        </w:rPr>
        <w:t>2.1 Variability, Uncertainty, and Flexibility Requirements</w:t>
      </w:r>
    </w:p>
    <w:p w14:paraId="2A083D43" w14:textId="77777777" w:rsidR="00AB6112" w:rsidRPr="00AB6112" w:rsidRDefault="00AB6112" w:rsidP="00AB6112">
      <w:pPr>
        <w:rPr>
          <w:rFonts w:ascii="Times New Roman" w:hAnsi="Times New Roman" w:cs="Times New Roman"/>
        </w:rPr>
      </w:pPr>
      <w:r w:rsidRPr="00AB6112">
        <w:rPr>
          <w:rFonts w:ascii="Times New Roman" w:hAnsi="Times New Roman" w:cs="Times New Roman"/>
        </w:rPr>
        <w:t>A primary challenge associated with high penetration of renewable energy is the temporal mismatch between electricity generation and demand. Solar and wind resources exhibit variability across multiple timescales, ranging from sub-minute fluctuations to seasonal trends, while electricity demand follows patterns driven by human activity, economic conditions, and climatic factors. This misalignment reduces the effective dispatchability of generation and increases reliance on system-level flexibility to maintain supply–demand balance</w:t>
      </w:r>
      <w:r w:rsidR="002B64EE">
        <w:rPr>
          <w:rFonts w:ascii="Times New Roman" w:hAnsi="Times New Roman" w:cs="Times New Roman"/>
        </w:rPr>
        <w:fldChar w:fldCharType="begin"/>
      </w:r>
      <w:r w:rsidR="002B64EE">
        <w:rPr>
          <w:rFonts w:ascii="Times New Roman" w:hAnsi="Times New Roman" w:cs="Times New Roman"/>
        </w:rPr>
        <w:instrText xml:space="preserve"> ADDIN ZOTERO_ITEM CSL_CITATION {"citationID":"nXg5T3fm","properties":{"formattedCitation":"(Che et al., 2025)","plainCitation":"(Che et al., 2025)","noteIndex":0},"citationItems":[{"id":12441,"uris":["http://zotero.org/users/16652950/items/5RHZKVJH"],"itemData":{"id":12441,"type":"article-journal","abstract":"Although the impact of integrating solar and wind sources into the power system has been studied in the past, the chaos caused by wind and solar energ...","container-title":"Energies","DOI":"10.3390/en18030689","ISSN":"1996-1073","issue":"3","language":"en","license":"http://creativecommons.org/licenses/by/3.0/","note":"Company: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publisher","source":"www.mdpi.com","title":"The Impact of Integrating Variable Renewable Energy Sources into Grid-Connected Power Systems: Challenges, Mitigation Strategies, and Prospects","title-short":"The Impact of Integrating Variable Renewable Energy Sources into Grid-Connected Power Systems","URL":"https://www.mdpi.com/1996-1073/18/3/689","volume":"18","author":[{"family":"Che","given":"Emmanuel Ejuh"},{"family":"Abeng","given":"Kang Roland"},{"family":"Iweh","given":"Chu Donatus"},{"family":"Tsekouras","given":"George J."},{"family":"Fopah-Lele","given":"Armand"},{"family":"Che","given":"Emmanuel Ejuh"},{"family":"Abeng","given":"Kang Roland"},{"family":"Iweh","given":"Chu Donatus"},{"family":"Tsekouras","given":"George J."},{"family":"Fopah-Lele","given":"Armand"}],"accessed":{"date-parts":[["2025",12,24]]},"issued":{"date-parts":[["2025",2,1]]}}}],"schema":"https://github.com/citation-style-language/schema/raw/master/csl-citation.json"} </w:instrText>
      </w:r>
      <w:r w:rsidR="002B64EE">
        <w:rPr>
          <w:rFonts w:ascii="Times New Roman" w:hAnsi="Times New Roman" w:cs="Times New Roman"/>
        </w:rPr>
        <w:fldChar w:fldCharType="separate"/>
      </w:r>
      <w:r w:rsidR="002B64EE" w:rsidRPr="002B64EE">
        <w:rPr>
          <w:rFonts w:ascii="Times New Roman" w:hAnsi="Times New Roman" w:cs="Times New Roman"/>
        </w:rPr>
        <w:t>(Che et al., 2025)</w:t>
      </w:r>
      <w:r w:rsidR="002B64EE">
        <w:rPr>
          <w:rFonts w:ascii="Times New Roman" w:hAnsi="Times New Roman" w:cs="Times New Roman"/>
        </w:rPr>
        <w:fldChar w:fldCharType="end"/>
      </w:r>
      <w:r w:rsidRPr="00AB6112">
        <w:rPr>
          <w:rFonts w:ascii="Times New Roman" w:hAnsi="Times New Roman" w:cs="Times New Roman"/>
        </w:rPr>
        <w:t>.</w:t>
      </w:r>
    </w:p>
    <w:p w14:paraId="19230C5B" w14:textId="77777777" w:rsidR="00AB6112" w:rsidRPr="00AB6112" w:rsidRDefault="00AB6112" w:rsidP="00AB6112">
      <w:pPr>
        <w:rPr>
          <w:rFonts w:ascii="Times New Roman" w:hAnsi="Times New Roman" w:cs="Times New Roman"/>
        </w:rPr>
      </w:pPr>
      <w:r w:rsidRPr="00AB6112">
        <w:rPr>
          <w:rFonts w:ascii="Times New Roman" w:hAnsi="Times New Roman" w:cs="Times New Roman"/>
        </w:rPr>
        <w:t xml:space="preserve">Forecasting techniques for renewable generation have improved significantly through advances in meteorological modeling and data analytics; however, residual uncertainty remains unavoidable. Forecast errors, particularly at short time horizons and during extreme weather events, complicate operational decision-making and increase the need for operating reserves. As renewable penetration rises, the conventional generators that traditionally provided flexibility through ramping and reserve services are increasingly displaced, narrowing the available flexibility margin. The resulting dependence on a smaller pool of flexible assets elevates system costs, increases renewable curtailment, and heightens the risk of imbalance under stressed </w:t>
      </w:r>
      <w:r w:rsidRPr="00AB6112">
        <w:rPr>
          <w:rFonts w:ascii="Times New Roman" w:hAnsi="Times New Roman" w:cs="Times New Roman"/>
        </w:rPr>
        <w:lastRenderedPageBreak/>
        <w:t>conditions. These dynamics underscore the necessity of alternative flexibility resources capable of responding rapidly and reliably to fluctuations in net load</w:t>
      </w:r>
      <w:r w:rsidR="00577E02">
        <w:rPr>
          <w:rFonts w:ascii="Times New Roman" w:hAnsi="Times New Roman" w:cs="Times New Roman"/>
        </w:rPr>
        <w:fldChar w:fldCharType="begin"/>
      </w:r>
      <w:r w:rsidR="00577E02">
        <w:rPr>
          <w:rFonts w:ascii="Times New Roman" w:hAnsi="Times New Roman" w:cs="Times New Roman"/>
        </w:rPr>
        <w:instrText xml:space="preserve"> ADDIN ZOTERO_ITEM CSL_CITATION {"citationID":"GPPoUHN5","properties":{"formattedCitation":"(Yan et al., 2022)","plainCitation":"(Yan et al., 2022)","noteIndex":0},"citationItems":[{"id":12443,"uris":["http://zotero.org/users/16652950/items/UKZYW4FR"],"itemData":{"id":12443,"type":"article-journal","abstract":"Wind power forecasting has supported operational decision-making for power system and electricity markets for 30 years. Efforts of improving the accuracy and/or certainty of deterministic or probabilistic wind power forecasts are continuously exerted by academics and industries. Forecast errors and associated uncertainties propagating through the whole forecasting chain, from weather provider to end user, cannot be eliminated completely. Therefore, understanding the uncertainty sources and how these uncertainties propagate throughout the modelling chain is significant to implement more rational and targeted uncertainty mitigation strategies and standardise the forecast and uncertainty validation. This paper presents a qualitative review on wind power forecasting uncertainty. First, the definition of uncertainty sources throughout the forecast modelling chain acts as a guiding line for checking and evaluating the uncertainty of a wind power forecast system/model. For each of the types of uncertainty sources, uncertainty mitigation strategies are provided, starting from the planning phase of wind farms, the establishment of a forecasting system through the operational phase and market phase. Our review finalises with a discussion on uncertainty validation with an example on ramp forecast validation. Highlights are a qualitative review and discussion including: (1) forecasting uncertainty exists and propagates everywhere throughout the entire modelling chain, from the planning phase to the market phase; (2) the mitigation efforts should be exerted in every modelling step; (3) standardised uncertainty validation practice, including why global data samples are required for forecasters to improve model performance and for forecast users to select and evaluate forecast model outputs.","container-title":"Renewable and Sustainable Energy Reviews","DOI":"10.1016/j.rser.2022.112519","ISSN":"1364-0321","journalAbbreviation":"Renewable and Sustainable Energy Reviews","page":"112519","source":"ScienceDirect","title":"Uncovering wind power forecasting uncertainty sources and their propagation through the whole modelling chain","volume":"165","author":[{"family":"Yan","given":"Jie"},{"family":"Möhrlen","given":"Corinna"},{"family":"Göçmen","given":"Tuhfe"},{"family":"Kelly","given":"Mark"},{"family":"Wessel","given":"Arne"},{"family":"Giebel","given":"Gregor"}],"issued":{"date-parts":[["2022",9,1]]}}}],"schema":"https://github.com/citation-style-language/schema/raw/master/csl-citation.json"} </w:instrText>
      </w:r>
      <w:r w:rsidR="00577E02">
        <w:rPr>
          <w:rFonts w:ascii="Times New Roman" w:hAnsi="Times New Roman" w:cs="Times New Roman"/>
        </w:rPr>
        <w:fldChar w:fldCharType="separate"/>
      </w:r>
      <w:r w:rsidR="00577E02" w:rsidRPr="00577E02">
        <w:rPr>
          <w:rFonts w:ascii="Times New Roman" w:hAnsi="Times New Roman" w:cs="Times New Roman"/>
        </w:rPr>
        <w:t>(Yan et al., 2022)</w:t>
      </w:r>
      <w:r w:rsidR="00577E02">
        <w:rPr>
          <w:rFonts w:ascii="Times New Roman" w:hAnsi="Times New Roman" w:cs="Times New Roman"/>
        </w:rPr>
        <w:fldChar w:fldCharType="end"/>
      </w:r>
      <w:r w:rsidRPr="00AB6112">
        <w:rPr>
          <w:rFonts w:ascii="Times New Roman" w:hAnsi="Times New Roman" w:cs="Times New Roman"/>
        </w:rPr>
        <w:t>.</w:t>
      </w:r>
    </w:p>
    <w:p w14:paraId="709DD0CD" w14:textId="77777777" w:rsidR="00AB6112" w:rsidRPr="00AB6112" w:rsidRDefault="00AB6112" w:rsidP="00AB6112">
      <w:pPr>
        <w:rPr>
          <w:rFonts w:ascii="Times New Roman" w:hAnsi="Times New Roman" w:cs="Times New Roman"/>
          <w:b/>
          <w:bCs/>
        </w:rPr>
      </w:pPr>
      <w:r w:rsidRPr="00AB6112">
        <w:rPr>
          <w:rFonts w:ascii="Times New Roman" w:hAnsi="Times New Roman" w:cs="Times New Roman"/>
          <w:b/>
          <w:bCs/>
        </w:rPr>
        <w:t>2.2 Stability and Power Quality in Low-Inertia Grids</w:t>
      </w:r>
    </w:p>
    <w:p w14:paraId="71604F31" w14:textId="77777777" w:rsidR="00AB6112" w:rsidRDefault="00AB6112" w:rsidP="00AB6112">
      <w:pPr>
        <w:rPr>
          <w:rFonts w:ascii="Times New Roman" w:hAnsi="Times New Roman" w:cs="Times New Roman"/>
        </w:rPr>
      </w:pPr>
      <w:r w:rsidRPr="00AB6112">
        <w:rPr>
          <w:rFonts w:ascii="Times New Roman" w:hAnsi="Times New Roman" w:cs="Times New Roman"/>
        </w:rPr>
        <w:t>The widespread deployment of renewable energy resources has profound implications for power system stability, particularly as inverter-based generation replaces synchronous machines. Conventional power systems benefit from the inherent rotational inertia of large generators, which moderates frequency deviations following disturbances. In contrast, inverter-dominated systems exhibit reduced physical inertia, leading to faster rates of change of frequency and deeper frequency excursions after sudden imbalances</w:t>
      </w:r>
      <w:r w:rsidR="001E6519">
        <w:rPr>
          <w:rFonts w:ascii="Times New Roman" w:hAnsi="Times New Roman" w:cs="Times New Roman"/>
        </w:rPr>
        <w:fldChar w:fldCharType="begin"/>
      </w:r>
      <w:r w:rsidR="001E6519">
        <w:rPr>
          <w:rFonts w:ascii="Times New Roman" w:hAnsi="Times New Roman" w:cs="Times New Roman"/>
        </w:rPr>
        <w:instrText xml:space="preserve"> ADDIN ZOTERO_ITEM CSL_CITATION {"citationID":"4jpPvAZn","properties":{"formattedCitation":"(Waskito et al., 2025)","plainCitation":"(Waskito et al., 2025)","noteIndex":0},"citationItems":[{"id":12445,"uris":["http://zotero.org/users/16652950/items/AD4HLCPF"],"itemData":{"id":12445,"type":"article-journal","abstract":"The increasing integration of renewable energy sources is reshaping power systems from centralized, synchronous generator-based architectures to more ...","container-title":"Electricity","DOI":"10.3390/electricity6040069","ISSN":"2673-4826","issue":"4","language":"en","license":"http://creativecommons.org/licenses/by/3.0/","note":"Company: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publisher","source":"www.mdpi.com","title":"Review of Virtual Inertia Based on Synchronous Generator Characteristic Emulation in Renewable Energy-Dominated Power Systems","URL":"https://www.mdpi.com/2673-4826/6/4/69","volume":"6","author":[{"family":"Waskito","given":"Fikri"},{"family":"Wijaya","given":"F. Danang"},{"family":"Firmansyah","given":"Eka"},{"family":"Waskito","given":"Fikri"},{"family":"Wijaya","given":"F. Danang"},{"family":"Firmansyah","given":"Eka"}],"accessed":{"date-parts":[["2025",12,24]]},"issued":{"date-parts":[["2025",11,30]]}}}],"schema":"https://github.com/citation-style-language/schema/raw/master/csl-citation.json"} </w:instrText>
      </w:r>
      <w:r w:rsidR="001E6519">
        <w:rPr>
          <w:rFonts w:ascii="Times New Roman" w:hAnsi="Times New Roman" w:cs="Times New Roman"/>
        </w:rPr>
        <w:fldChar w:fldCharType="separate"/>
      </w:r>
      <w:r w:rsidR="001E6519" w:rsidRPr="001E6519">
        <w:rPr>
          <w:rFonts w:ascii="Times New Roman" w:hAnsi="Times New Roman" w:cs="Times New Roman"/>
        </w:rPr>
        <w:t>(Waskito et al., 2025)</w:t>
      </w:r>
      <w:r w:rsidR="001E6519">
        <w:rPr>
          <w:rFonts w:ascii="Times New Roman" w:hAnsi="Times New Roman" w:cs="Times New Roman"/>
        </w:rPr>
        <w:fldChar w:fldCharType="end"/>
      </w:r>
      <w:r w:rsidRPr="00AB6112">
        <w:rPr>
          <w:rFonts w:ascii="Times New Roman" w:hAnsi="Times New Roman" w:cs="Times New Roman"/>
        </w:rPr>
        <w:t>. This reduced inertial response shortens the available response time for corrective control actions and increases the likelihood of frequency instability if adequate mitigation measures are not in place</w:t>
      </w:r>
      <w:r w:rsidR="001E6519">
        <w:rPr>
          <w:rFonts w:ascii="Times New Roman" w:hAnsi="Times New Roman" w:cs="Times New Roman"/>
        </w:rPr>
        <w:fldChar w:fldCharType="begin"/>
      </w:r>
      <w:r w:rsidR="001E6519">
        <w:rPr>
          <w:rFonts w:ascii="Times New Roman" w:hAnsi="Times New Roman" w:cs="Times New Roman"/>
        </w:rPr>
        <w:instrText xml:space="preserve"> ADDIN ZOTERO_ITEM CSL_CITATION {"citationID":"BSryuLiF","properties":{"formattedCitation":"(Fasasi &amp; Adeniyi, 2025)","plainCitation":"(Fasasi &amp; Adeniyi, 2025)","noteIndex":0},"citationItems":[{"id":12448,"uris":["http://zotero.org/users/16652950/items/ESFYFSGX"],"itemData":{"id":12448,"type":"article-journal","abstract":"System inertia has been greatly reduced by the growing integration of inverter-based renewable energy sources (RES), such as wind and solar photovoltaics. This has created new difficulties for frequency regulation and grid stability in general. Because inverter-based resources don't have intrinsic inertia like old synchronous generators do, modern power systems are more vulnerable to frequency variations during disruptions. To address these issues, this research compares three sophisticated inverter control strategies: Virtual Synchronous Machine (VSM), droop control with virtual inertia, and traditional droop control. The frequency response and Rate of Change of Frequency (RoCoF) under an abrupt load disturbance were evaluated using MATLAB/Simulink simulations. The results demonstrate that adding virtual inertia greatly improves transient performance even while droop control only offers rudimentary frequency support. With smoother frequency profiles and better damping properties, the VSM method performs better than both. These results offer important insights for future inverter control strategy and deployment, and they show how VSM might enable frequency-secure operation of low-inertia, renewable-rich grids.","container-title":"International Journal of Science and Research Archive","DOI":"10.30574/ijsra.2025.17.2.3043","ISSN":"25828185","issue":"2","journalAbbreviation":"Int. J. Sci. Res. Arch.","language":"en","page":"521-531","source":"DOI.org (Crossref)","title":"Frequency regulation and stability enhancement of inverter-based renewable power systems","volume":"17","author":[{"family":"Fasasi","given":"Bello"},{"family":"Adeniyi","given":"Ige Samuel"}],"issued":{"date-parts":[["2025",11,30]]}}}],"schema":"https://github.com/citation-style-language/schema/raw/master/csl-citation.json"} </w:instrText>
      </w:r>
      <w:r w:rsidR="001E6519">
        <w:rPr>
          <w:rFonts w:ascii="Times New Roman" w:hAnsi="Times New Roman" w:cs="Times New Roman"/>
        </w:rPr>
        <w:fldChar w:fldCharType="separate"/>
      </w:r>
      <w:r w:rsidR="001E6519" w:rsidRPr="001E6519">
        <w:rPr>
          <w:rFonts w:ascii="Times New Roman" w:hAnsi="Times New Roman" w:cs="Times New Roman"/>
        </w:rPr>
        <w:t>(Fasasi &amp; Adeniyi, 2025)</w:t>
      </w:r>
      <w:r w:rsidR="001E6519">
        <w:rPr>
          <w:rFonts w:ascii="Times New Roman" w:hAnsi="Times New Roman" w:cs="Times New Roman"/>
        </w:rPr>
        <w:fldChar w:fldCharType="end"/>
      </w:r>
      <w:r w:rsidRPr="00AB6112">
        <w:rPr>
          <w:rFonts w:ascii="Times New Roman" w:hAnsi="Times New Roman" w:cs="Times New Roman"/>
        </w:rPr>
        <w:t>.</w:t>
      </w:r>
    </w:p>
    <w:p w14:paraId="1D9FBCDF" w14:textId="7798F85F" w:rsidR="000970F4" w:rsidRPr="000970F4" w:rsidRDefault="000970F4" w:rsidP="000970F4">
      <w:pPr>
        <w:rPr>
          <w:rFonts w:ascii="Times New Roman" w:hAnsi="Times New Roman" w:cs="Times New Roman"/>
        </w:rPr>
      </w:pPr>
      <w:r w:rsidRPr="000970F4">
        <w:rPr>
          <w:rFonts w:ascii="Times New Roman" w:hAnsi="Times New Roman" w:cs="Times New Roman"/>
        </w:rPr>
        <w:t>In high-renewable power systems, effective system inertia can be reduced by more than 50% compared to conventional synchronous generation-dominated grids, leading to significantly higher rates of change of frequency and reduced stability margins</w:t>
      </w:r>
      <w:r w:rsidR="0085050D">
        <w:rPr>
          <w:rFonts w:ascii="Times New Roman" w:hAnsi="Times New Roman" w:cs="Times New Roman"/>
        </w:rPr>
        <w:fldChar w:fldCharType="begin"/>
      </w:r>
      <w:r w:rsidR="0085050D">
        <w:rPr>
          <w:rFonts w:ascii="Times New Roman" w:hAnsi="Times New Roman" w:cs="Times New Roman"/>
        </w:rPr>
        <w:instrText xml:space="preserve"> ADDIN ZOTERO_ITEM CSL_CITATION {"citationID":"Nbqgh1rm","properties":{"formattedCitation":"(Olasoji et al., 2024)","plainCitation":"(Olasoji et al., 2024)","noteIndex":0},"citationItems":[{"id":12426,"uris":["http://zotero.org/users/16652950/items/355RAGTN"],"itemData":{"id":12426,"type":"article-journal","abstract":"This study provides a thorough analysis of unit commitment (UC) formulations in the context of low-inertia power systems, which are increasingly prevalent as the transition to Renewable Energy Sources (RES) gain momentum. Given the move towards more sustainable energy models, incorporating RES presents unique challenges in maintaining grid stability due to their inherent lack of synchronous inertia. This review examined the intricacies of modelling energy market designs and UC strategies to tackle these challenges. The study explores the expansion of frequency response services, emphasizing the increasing dependence on ancillary services, particularly in markets with a substantial presence of RES, attention is focused on the unique operating challenges in regions like Sub-Saharan Africa, where dispersed grid networks and generation inadequacies compound the problem. The paper delves into different methodologies and modelling approaches used in frequency-constrained optimization, shedding light on the strengths and weaknesses of current practices. A crucial outcome of our study is that the use of uniform frequency response models to deduce post-fault frequency parameters will not give adequate results in sparsely connected power system networks. Also, studies primarily focus on generation adequacy and the reliability criterion of the largest generator outage, overlooking the potential impact of network constraints and congestions in their formulation. Our analysis provides valuable insights into creating market frameworks that optimize energy and ancillary services, ensuring a stable and efficient grid operation in a power system dominated by RES. Based on our findings, it is essential to establish electricity market frameworks that can effectively maximize the utilization of energy resources and address the specific regional challenges associated with frequency regulation services in the future.","container-title":"Scientific African","DOI":"10.1016/j.sciaf.2024.e02357","ISSN":"2468-2276","journalAbbreviation":"Scientific African","page":"e02357","source":"ScienceDirect","title":"Review of frequency response strategies in renewable-dominated power system grids: Market adaptations and unit commitment formulation","title-short":"Review of frequency response strategies in renewable-dominated power system grids","volume":"26","author":[{"family":"Olasoji","given":"Azeez O."},{"family":"Oyedokun","given":"D. T. O."},{"family":"Omogoye","given":"Samuel O."},{"family":"Thron","given":"Chris"}],"issued":{"date-parts":[["2024",12,1]]}}}],"schema":"https://github.com/citation-style-language/schema/raw/master/csl-citation.json"} </w:instrText>
      </w:r>
      <w:r w:rsidR="0085050D">
        <w:rPr>
          <w:rFonts w:ascii="Times New Roman" w:hAnsi="Times New Roman" w:cs="Times New Roman"/>
        </w:rPr>
        <w:fldChar w:fldCharType="separate"/>
      </w:r>
      <w:r w:rsidR="0085050D" w:rsidRPr="0085050D">
        <w:rPr>
          <w:rFonts w:ascii="Times New Roman" w:hAnsi="Times New Roman" w:cs="Times New Roman"/>
        </w:rPr>
        <w:t>(Olasoji et al., 2024)</w:t>
      </w:r>
      <w:r w:rsidR="0085050D">
        <w:rPr>
          <w:rFonts w:ascii="Times New Roman" w:hAnsi="Times New Roman" w:cs="Times New Roman"/>
        </w:rPr>
        <w:fldChar w:fldCharType="end"/>
      </w:r>
      <w:r w:rsidRPr="000970F4">
        <w:rPr>
          <w:rFonts w:ascii="Times New Roman" w:hAnsi="Times New Roman" w:cs="Times New Roman"/>
        </w:rPr>
        <w:t>. Such conditions shorten the available response time for primary frequency control and increase dependence on fast-acting inverter-based resources and energy storage systems to maintain secure operation</w:t>
      </w:r>
      <w:r w:rsidR="002D40C8">
        <w:rPr>
          <w:rFonts w:ascii="Times New Roman" w:hAnsi="Times New Roman" w:cs="Times New Roman"/>
        </w:rPr>
        <w:fldChar w:fldCharType="begin"/>
      </w:r>
      <w:r w:rsidR="002D40C8">
        <w:rPr>
          <w:rFonts w:ascii="Times New Roman" w:hAnsi="Times New Roman" w:cs="Times New Roman"/>
        </w:rPr>
        <w:instrText xml:space="preserve"> ADDIN ZOTERO_ITEM CSL_CITATION {"citationID":"rn95qRlm","properties":{"formattedCitation":"(Opara et al., 2025)","plainCitation":"(Opara et al., 2025)","noteIndex":0},"citationItems":[{"id":11424,"uris":["http://zotero.org/users/16652950/items/5925X2ZH"],"itemData":{"id":11424,"type":"article-journal","abstract":"This paper examines how data governance, Building Information Modelling (BIM), and real-time decision support systems (RT-DSS) collectively contribute to digital resilience in construction projects. As the construction sector undergoes rapid digital transformation, the ability to ensure reliable, secure, and adaptable digital systems has become essential for sustaining project performance under uncertainty. Through a narrative synthesis of recent studies, this paper identifies three key dimensions of digital resilience: data integrity through governance frameworks, collaborative integration enabled by BIM, and adaptive decision-making supported by real-time analytics. Together, these dimensions form the foundation of a resilient digital ecosystem capable of anticipating, mitigating, and recovering from disruptions. The paper proposes a conceptual framework that integrates these components into a continuous feedback loop of learning and adaptation, offering a structured pathway for enhancing digital resilience in construction management. The study’s main contribution lies in unifying fragmented research on digital technologies into a cohesive theoretical model that links governance, integration, and intelligence as the pillars of resilient project delivery.","container-title":"Journal of Management, and Development Research","DOI":"10.69739/jmdr.v2i2.1129","ISSN":"3079-2568","issue":"2","language":"en","license":"Copyright (c) 2025 Innocent Junior Opara, Jamiu Lateef, Enoch Nii-Okai, Bright Peter Saah, Elijah Kordieh Mensah, Gopal Fosu Oppong Wiafe, Ayodeji Olayode (Author)","page":"117-124","source":"journals.stecab.com","title":"Digital Resilience in Construction Projects: A Narrative Review of Data Governance, BIM, and Real-Time Decision Support Systems","title-short":"Digital Resilience in Construction Projects","volume":"2","author":[{"family":"Opara","given":"Innocent Junior"},{"family":"Lateef","given":"Jamiu"},{"family":"Nii-Okai","given":"Enoch"},{"family":"Saah","given":"Bright Peter"},{"family":"Mensah","given":"Elijah Kordieh"},{"family":"Wiafe","given":"Gopal Fosu Oppong"},{"family":"Olayode","given":"Ayodeji"}],"issued":{"date-parts":[["2025",11,10]]}}}],"schema":"https://github.com/citation-style-language/schema/raw/master/csl-citation.json"} </w:instrText>
      </w:r>
      <w:r w:rsidR="002D40C8">
        <w:rPr>
          <w:rFonts w:ascii="Times New Roman" w:hAnsi="Times New Roman" w:cs="Times New Roman"/>
        </w:rPr>
        <w:fldChar w:fldCharType="separate"/>
      </w:r>
      <w:r w:rsidR="002D40C8" w:rsidRPr="002D40C8">
        <w:rPr>
          <w:rFonts w:ascii="Times New Roman" w:hAnsi="Times New Roman" w:cs="Times New Roman"/>
        </w:rPr>
        <w:t>(Opara et al., 2025)</w:t>
      </w:r>
      <w:r w:rsidR="002D40C8">
        <w:rPr>
          <w:rFonts w:ascii="Times New Roman" w:hAnsi="Times New Roman" w:cs="Times New Roman"/>
        </w:rPr>
        <w:fldChar w:fldCharType="end"/>
      </w:r>
      <w:r w:rsidRPr="000970F4">
        <w:rPr>
          <w:rFonts w:ascii="Times New Roman" w:hAnsi="Times New Roman" w:cs="Times New Roman"/>
        </w:rPr>
        <w:t>.</w:t>
      </w:r>
    </w:p>
    <w:p w14:paraId="631E65A7" w14:textId="77777777" w:rsidR="000970F4" w:rsidRPr="00AB6112" w:rsidRDefault="000970F4" w:rsidP="00AB6112">
      <w:pPr>
        <w:rPr>
          <w:rFonts w:ascii="Times New Roman" w:hAnsi="Times New Roman" w:cs="Times New Roman"/>
        </w:rPr>
      </w:pPr>
    </w:p>
    <w:p w14:paraId="16CAFB6C" w14:textId="77777777" w:rsidR="00AB6112" w:rsidRPr="00AB6112" w:rsidRDefault="00AB6112" w:rsidP="00AB6112">
      <w:pPr>
        <w:rPr>
          <w:rFonts w:ascii="Times New Roman" w:hAnsi="Times New Roman" w:cs="Times New Roman"/>
        </w:rPr>
      </w:pPr>
      <w:r w:rsidRPr="00AB6112">
        <w:rPr>
          <w:rFonts w:ascii="Times New Roman" w:hAnsi="Times New Roman" w:cs="Times New Roman"/>
        </w:rPr>
        <w:t>Voltage regulation and power quality are similarly affected, especially in distribution networks with high concentrations of distributed renewable generation. Bidirectional power flows and localized generation can result in voltage rise, increased voltage variability, and heightened sensitivity to disturbances. Moreover, the extensive use of power electronic converters introduces harmonics and electromagnetic interference, which can compromise equipment performance and network reliability if not properly managed. Ensuring acceptable power quality in such environments requires advanced inverter functionalities, coordinated control strategies, and enhanced standards for electromagnetic compatibility</w:t>
      </w:r>
      <w:r w:rsidR="006B7809">
        <w:rPr>
          <w:rFonts w:ascii="Times New Roman" w:hAnsi="Times New Roman" w:cs="Times New Roman"/>
        </w:rPr>
        <w:fldChar w:fldCharType="begin"/>
      </w:r>
      <w:r w:rsidR="006B7809">
        <w:rPr>
          <w:rFonts w:ascii="Times New Roman" w:hAnsi="Times New Roman" w:cs="Times New Roman"/>
        </w:rPr>
        <w:instrText xml:space="preserve"> ADDIN ZOTERO_ITEM CSL_CITATION {"citationID":"pvEV7Eml","properties":{"formattedCitation":"(Diahovchenko et al., 2025)","plainCitation":"(Diahovchenko et al., 2025)","noteIndex":0},"citationItems":[{"id":12449,"uris":["http://zotero.org/users/16652950/items/8TYPP8WL"],"itemData":{"id":12449,"type":"article-journal","abstract":"Contemporary distribution networks face increasing challenges due to the integration of variable distributed energy resources, particularly photovoltaic systems, which often lead to voltage deviations and reduced power quality. This study investigates the critical problem of voltage deviations caused by the integration of photovoltaic generation and addresses it by performing a comprehensive comparison of different voltage control strategies in terms of their viability and impact on power losses. The considered strategies include network reinforcement, component upgrades, generation-demand coordination, and inverter control techniques. Specifically, solutions such as shunt reactors, battery energy storage systems, line voltage regulators, transformers with on-load tap changers, double-fed lines, smart inverter control, and coordinated charging for electric vehicles are examined. Through the comparative analysis, the study provides insights into selecting the most suitable means and measures for mitigating voltage deviations in photovoltaic-rich distribution networks. Such information would assist distribution system operators in safely increasing the volume of photovoltaic generation in the power distribution networks. The reactive power control with smart inverters emerges as a viable option but may limit local generation and increase power losses. In addition, by contributing to the optimization of renewable energy integration, this work supports Sustainable Development Goal 7 (Affordable and Clean Energy) and promotes cleaner, more reliable power distribution solutions.","container-title":"Renewable and Sustainable Energy Reviews","DOI":"10.1016/j.rser.2025.115399","ISSN":"1364-0321","journalAbbreviation":"Renewable and Sustainable Energy Reviews","page":"115399","source":"ScienceDirect","title":"Comparison of voltage rise mitigation strategies for distribution networks with high photovoltaic penetration","volume":"212","author":[{"family":"Diahovchenko","given":"Illia"},{"family":"Morva","given":"György"},{"family":"Chuprun","given":"Anastasiia"},{"family":"Keane","given":"Andrew"}],"issued":{"date-parts":[["2025",4,1]]}}}],"schema":"https://github.com/citation-style-language/schema/raw/master/csl-citation.json"} </w:instrText>
      </w:r>
      <w:r w:rsidR="006B7809">
        <w:rPr>
          <w:rFonts w:ascii="Times New Roman" w:hAnsi="Times New Roman" w:cs="Times New Roman"/>
        </w:rPr>
        <w:fldChar w:fldCharType="separate"/>
      </w:r>
      <w:r w:rsidR="006B7809" w:rsidRPr="006B7809">
        <w:rPr>
          <w:rFonts w:ascii="Times New Roman" w:hAnsi="Times New Roman" w:cs="Times New Roman"/>
        </w:rPr>
        <w:t>(Diahovchenko et al., 2025)</w:t>
      </w:r>
      <w:r w:rsidR="006B7809">
        <w:rPr>
          <w:rFonts w:ascii="Times New Roman" w:hAnsi="Times New Roman" w:cs="Times New Roman"/>
        </w:rPr>
        <w:fldChar w:fldCharType="end"/>
      </w:r>
      <w:r w:rsidRPr="00AB6112">
        <w:rPr>
          <w:rFonts w:ascii="Times New Roman" w:hAnsi="Times New Roman" w:cs="Times New Roman"/>
        </w:rPr>
        <w:t>.</w:t>
      </w:r>
    </w:p>
    <w:p w14:paraId="041C1204" w14:textId="77777777" w:rsidR="00AB6112" w:rsidRPr="00AB6112" w:rsidRDefault="00AB6112" w:rsidP="00AB6112">
      <w:pPr>
        <w:rPr>
          <w:rFonts w:ascii="Times New Roman" w:hAnsi="Times New Roman" w:cs="Times New Roman"/>
          <w:b/>
          <w:bCs/>
        </w:rPr>
      </w:pPr>
      <w:r w:rsidRPr="00AB6112">
        <w:rPr>
          <w:rFonts w:ascii="Times New Roman" w:hAnsi="Times New Roman" w:cs="Times New Roman"/>
          <w:b/>
          <w:bCs/>
        </w:rPr>
        <w:t>2.3 Network and Operational Constraints</w:t>
      </w:r>
    </w:p>
    <w:p w14:paraId="43EBC446" w14:textId="77777777" w:rsidR="00AB6112" w:rsidRPr="00AB6112" w:rsidRDefault="00AB6112" w:rsidP="00AB6112">
      <w:pPr>
        <w:rPr>
          <w:rFonts w:ascii="Times New Roman" w:hAnsi="Times New Roman" w:cs="Times New Roman"/>
        </w:rPr>
      </w:pPr>
      <w:r w:rsidRPr="00AB6112">
        <w:rPr>
          <w:rFonts w:ascii="Times New Roman" w:hAnsi="Times New Roman" w:cs="Times New Roman"/>
        </w:rPr>
        <w:t>From a network perspective, renewable-dominated power systems face both transmission- and distribution-level constraints. At the transmission level, large-scale renewable projects are often located far from load centers, increasing congestion and stressing existing corridors. At the distribution level, the proliferation of distributed generation challenges infrastructure originally designed for unidirectional power flow, leading to protection coordination issues and reduced fault detection sensitivity</w:t>
      </w:r>
      <w:r w:rsidR="00F40EE0">
        <w:rPr>
          <w:rFonts w:ascii="Times New Roman" w:hAnsi="Times New Roman" w:cs="Times New Roman"/>
        </w:rPr>
        <w:fldChar w:fldCharType="begin"/>
      </w:r>
      <w:r w:rsidR="00F40EE0">
        <w:rPr>
          <w:rFonts w:ascii="Times New Roman" w:hAnsi="Times New Roman" w:cs="Times New Roman"/>
        </w:rPr>
        <w:instrText xml:space="preserve"> ADDIN ZOTERO_ITEM CSL_CITATION {"citationID":"bPNJTlJM","properties":{"formattedCitation":"(Panda et al., 2023)","plainCitation":"(Panda et al., 2023)","noteIndex":0},"citationItems":[{"id":12451,"uris":["http://zotero.org/users/16652950/items/8XTTEPWA"],"itemData":{"id":12451,"type":"article-journal","abstract":"The traditional power system is facing significant transformations due to the integration of emerging technologies, renewable energy sources (RES), and storage devices. This review focuses on the shift from centralized to decentralized control, enhancing flexibility for stakeholders, and the challenges it entails. The paper identifies the problem of limited adaptability in traditional power systems, which restricts stakeholder flexibility and renewable energy source integration. To address this, the paper proposes a transition to a decentralized system. It explores the effects of power system privatization and restructuring, fostering a competitive market across generation, transmission, and distribution levels. It discusses how integrating distributed generations (DGs) and demand-side management (DSM) with ICT protocols can enhance power system control and management efficiency and reliability. The review delves into the challenges of deregulated electricity market (DEM), especially integrating new generation sources and promoting prosumer participation. It proposes leveraging DSM to manage supply–demand variability and support renewable generation integration in distribution sectors. It also discusses the necessity for renewable power producers to develop effective market bidding strategies. The review concludes with key findings and future research directions, providing an overview of the evolving energy market’s trajectory. It aims to inform sustainable and efficient power system discourse and future policy and decision-making.","container-title":"Energy Reports","DOI":"10.1016/j.egyr.2023.09.049","ISSN":"2352-4847","journalAbbreviation":"Energy Reports","page":"2228-2250","source":"ScienceDirect","title":"A comprehensive review on demand side management and market design for renewable energy support and integration","volume":"10","author":[{"family":"Panda","given":"Subhasis"},{"family":"Mohanty","given":"Sarthak"},{"family":"Rout","given":"Pravat Kumar"},{"family":"Sahu","given":"Binod Kumar"},{"family":"Parida","given":"Shubhranshu Mohan"},{"family":"Samanta","given":"Indu Sekhar"},{"family":"Bajaj","given":"Mohit"},{"family":"Piecha","given":"Marian"},{"family":"Blazek","given":"Vojtech"},{"family":"Prokop","given":"Lukas"}],"issued":{"date-parts":[["2023",11,1]]}}}],"schema":"https://github.com/citation-style-language/schema/raw/master/csl-citation.json"} </w:instrText>
      </w:r>
      <w:r w:rsidR="00F40EE0">
        <w:rPr>
          <w:rFonts w:ascii="Times New Roman" w:hAnsi="Times New Roman" w:cs="Times New Roman"/>
        </w:rPr>
        <w:fldChar w:fldCharType="separate"/>
      </w:r>
      <w:r w:rsidR="00F40EE0" w:rsidRPr="00F40EE0">
        <w:rPr>
          <w:rFonts w:ascii="Times New Roman" w:hAnsi="Times New Roman" w:cs="Times New Roman"/>
        </w:rPr>
        <w:t>(Panda et al., 2023)</w:t>
      </w:r>
      <w:r w:rsidR="00F40EE0">
        <w:rPr>
          <w:rFonts w:ascii="Times New Roman" w:hAnsi="Times New Roman" w:cs="Times New Roman"/>
        </w:rPr>
        <w:fldChar w:fldCharType="end"/>
      </w:r>
      <w:r w:rsidRPr="00AB6112">
        <w:rPr>
          <w:rFonts w:ascii="Times New Roman" w:hAnsi="Times New Roman" w:cs="Times New Roman"/>
        </w:rPr>
        <w:t>. These changes complicate system observability and limit the effectiveness of traditional protection and control schemes.</w:t>
      </w:r>
    </w:p>
    <w:p w14:paraId="46D57A56" w14:textId="77777777" w:rsidR="00AB6112" w:rsidRPr="00AB6112" w:rsidRDefault="00AB6112" w:rsidP="00AB6112">
      <w:pPr>
        <w:rPr>
          <w:rFonts w:ascii="Times New Roman" w:hAnsi="Times New Roman" w:cs="Times New Roman"/>
        </w:rPr>
      </w:pPr>
      <w:r w:rsidRPr="00AB6112">
        <w:rPr>
          <w:rFonts w:ascii="Times New Roman" w:hAnsi="Times New Roman" w:cs="Times New Roman"/>
        </w:rPr>
        <w:lastRenderedPageBreak/>
        <w:t>Addressing these challenges necessitates a shift toward more distributed and modular solutions that can localize balancing and enhance operational resilience. Energy storage systems, microgrids, and advanced control architectures offer pathways to mitigate congestion, manage bidirectional flows, and improve protection performance. However, their successful deployment depends on coherent integration strategies that account for both system-level requirements and the evolving technological characteristics of renewable-dominated grids.</w:t>
      </w:r>
    </w:p>
    <w:p w14:paraId="06C304F8" w14:textId="77777777" w:rsidR="00AB6112" w:rsidRDefault="00AB6112" w:rsidP="00F5638D">
      <w:pPr>
        <w:rPr>
          <w:rFonts w:ascii="Times New Roman" w:hAnsi="Times New Roman" w:cs="Times New Roman"/>
        </w:rPr>
      </w:pPr>
    </w:p>
    <w:p w14:paraId="02A25BC4" w14:textId="77777777" w:rsidR="00CC4AF3" w:rsidRPr="00CC4AF3" w:rsidRDefault="00CC4AF3" w:rsidP="00CC4AF3">
      <w:pPr>
        <w:rPr>
          <w:rFonts w:ascii="Times New Roman" w:hAnsi="Times New Roman" w:cs="Times New Roman"/>
          <w:b/>
          <w:bCs/>
        </w:rPr>
      </w:pPr>
      <w:r w:rsidRPr="00CC4AF3">
        <w:rPr>
          <w:rFonts w:ascii="Times New Roman" w:hAnsi="Times New Roman" w:cs="Times New Roman"/>
          <w:b/>
          <w:bCs/>
        </w:rPr>
        <w:t>3. Energy Storage Systems for Grid and Microgrid Applications</w:t>
      </w:r>
    </w:p>
    <w:p w14:paraId="29A70E20" w14:textId="77777777" w:rsidR="00CC4AF3" w:rsidRPr="00CC4AF3" w:rsidRDefault="00CC4AF3" w:rsidP="00CC4AF3">
      <w:pPr>
        <w:rPr>
          <w:rFonts w:ascii="Times New Roman" w:hAnsi="Times New Roman" w:cs="Times New Roman"/>
        </w:rPr>
      </w:pPr>
      <w:r w:rsidRPr="00CC4AF3">
        <w:rPr>
          <w:rFonts w:ascii="Times New Roman" w:hAnsi="Times New Roman" w:cs="Times New Roman"/>
        </w:rPr>
        <w:t>Energy storage systems have become indispensable components of modern power systems as renewable energy penetration increases and operational flexibility becomes a defining requirement for reliability. In both grid-scale and microgrid contexts, storage technologies enable a range of services that extend well beyond energy arbitrage, supporting dynamic stability, power quality, and system resilience. The suitability of a given storage technology for these applications is determined not only by its energy and power characteristics, but also by its response speed, durability, safety, and integration compatibility, all of which have direct implications for grid operation</w:t>
      </w:r>
      <w:r w:rsidR="003076B8">
        <w:rPr>
          <w:rFonts w:ascii="Times New Roman" w:hAnsi="Times New Roman" w:cs="Times New Roman"/>
        </w:rPr>
        <w:fldChar w:fldCharType="begin"/>
      </w:r>
      <w:r w:rsidR="003076B8">
        <w:rPr>
          <w:rFonts w:ascii="Times New Roman" w:hAnsi="Times New Roman" w:cs="Times New Roman"/>
        </w:rPr>
        <w:instrText xml:space="preserve"> ADDIN ZOTERO_ITEM CSL_CITATION {"citationID":"JTOY78c4","properties":{"formattedCitation":"(Enasel &amp; Dumitrascu, 2025; Liu et al., 2025)","plainCitation":"(Enasel &amp; Dumitrascu, 2025; Liu et al., 2025)","noteIndex":0},"citationItems":[{"id":12430,"uris":["http://zotero.org/users/16652950/items/MDVGVJ2E"],"itemData":{"id":12430,"type":"article-journal","abstract":"This review investigates the integration of renewable energy systems with diverse energy storage technologies to enhance reliability and sustainability. Key findings include the high energy density and scalability of lithium-ion and flow batteries, which are crucial for grid-scale applications, despite challenges in cost and raw material availability. Electrical storage methods, such as supercapacitors, provide rapid response capabilities but are limited by low energy density. Mechanical systems, including pumped hydro and compressed air storage, excel in large-scale scenarios but face geographical constraints. Emerging chemical storage technologies, including hydrogen and synthetic natural gas, offer long-term solutions but require advancements in efficiency. Thermal storage systems, such as molten salt and latent heat storage, show significant potential for renewable integration in heating and cooling, although material costs remain a barrier. The integration of hybrid systems demonstrates improved reliability and efficiency, highlighting the necessity of combining technologies to address the intermittent nature of renewable energy. Overall, the findings underscore advancements, challenges, and future research directions required for scalable and sustainable energy storage solutions.","container-title":"Energy Nexus","DOI":"10.1016/j.nexus.2025.100391","ISSN":"2772-4271","journalAbbreviation":"Energy Nexus","page":"100391","source":"ScienceDirect","title":"Storage solutions for renewable energy: A review","title-short":"Storage solutions for renewable energy","volume":"17","author":[{"family":"Enasel","given":"Eduard"},{"family":"Dumitrascu","given":"Gheorghe"}],"issued":{"date-parts":[["2025",3,1]]}}},{"id":12433,"uris":["http://zotero.org/users/16652950/items/7B5EW39E"],"itemData":{"id":12433,"type":"article-journal","abstract":"Energy-storage technologies have rapidly developed under the impetus of carbon-neutrality goals, gradually becoming a crucial support for driving the ...","container-title":"Sustainability","DOI":"10.3390/su17188316","ISSN":"2071-1050","issue":"18","language":"en","license":"http://creativecommons.org/licenses/by/3.0/","note":"Company: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publisher","source":"www.mdpi.com","title":"Advancements in Energy-Storage Technologies: A Review of Current Developments and Applications","title-short":"Advancements in Energy-Storage Technologies","URL":"https://www.mdpi.com/2071-1050/17/18/8316","volume":"17","author":[{"family":"Liu","given":"Xin"},{"family":"Li","given":"Wujing"},{"family":"Guo","given":"Xiangyang"},{"family":"Su","given":"Biao"},{"family":"Guo","given":"Shuyu"},{"family":"Jing","given":"Yiran"},{"family":"Zhang","given":"Xi"},{"family":"Liu","given":"Xin"},{"family":"Li","given":"Wujing"},{"family":"Guo","given":"Xiangyang"},{"family":"Su","given":"Biao"},{"family":"Guo","given":"Shuyu"},{"family":"Jing","given":"Yiran"},{"family":"Zhang","given":"Xi"}],"accessed":{"date-parts":[["2025",12,24]]},"issued":{"date-parts":[["2025",9,15]]}}}],"schema":"https://github.com/citation-style-language/schema/raw/master/csl-citation.json"} </w:instrText>
      </w:r>
      <w:r w:rsidR="003076B8">
        <w:rPr>
          <w:rFonts w:ascii="Times New Roman" w:hAnsi="Times New Roman" w:cs="Times New Roman"/>
        </w:rPr>
        <w:fldChar w:fldCharType="separate"/>
      </w:r>
      <w:r w:rsidR="003076B8" w:rsidRPr="003076B8">
        <w:rPr>
          <w:rFonts w:ascii="Times New Roman" w:hAnsi="Times New Roman" w:cs="Times New Roman"/>
        </w:rPr>
        <w:t>(Enasel &amp; Dumitrascu, 2025; Liu et al., 2025)</w:t>
      </w:r>
      <w:r w:rsidR="003076B8">
        <w:rPr>
          <w:rFonts w:ascii="Times New Roman" w:hAnsi="Times New Roman" w:cs="Times New Roman"/>
        </w:rPr>
        <w:fldChar w:fldCharType="end"/>
      </w:r>
      <w:r w:rsidRPr="00CC4AF3">
        <w:rPr>
          <w:rFonts w:ascii="Times New Roman" w:hAnsi="Times New Roman" w:cs="Times New Roman"/>
        </w:rPr>
        <w:t>.</w:t>
      </w:r>
    </w:p>
    <w:p w14:paraId="08D5A3A5" w14:textId="77777777" w:rsidR="00CC4AF3" w:rsidRPr="00CC4AF3" w:rsidRDefault="00CC4AF3" w:rsidP="00CC4AF3">
      <w:pPr>
        <w:rPr>
          <w:rFonts w:ascii="Times New Roman" w:hAnsi="Times New Roman" w:cs="Times New Roman"/>
          <w:b/>
          <w:bCs/>
        </w:rPr>
      </w:pPr>
      <w:r w:rsidRPr="00CC4AF3">
        <w:rPr>
          <w:rFonts w:ascii="Times New Roman" w:hAnsi="Times New Roman" w:cs="Times New Roman"/>
          <w:b/>
          <w:bCs/>
        </w:rPr>
        <w:t>3.1 Overview of Grid-Oriented Energy Storage Functions</w:t>
      </w:r>
    </w:p>
    <w:p w14:paraId="06F39609" w14:textId="77777777" w:rsidR="00CC4AF3" w:rsidRPr="00CC4AF3" w:rsidRDefault="00CC4AF3" w:rsidP="00CC4AF3">
      <w:pPr>
        <w:rPr>
          <w:rFonts w:ascii="Times New Roman" w:hAnsi="Times New Roman" w:cs="Times New Roman"/>
        </w:rPr>
      </w:pPr>
      <w:r w:rsidRPr="00CC4AF3">
        <w:rPr>
          <w:rFonts w:ascii="Times New Roman" w:hAnsi="Times New Roman" w:cs="Times New Roman"/>
        </w:rPr>
        <w:t>From a system perspective, energy storage performs multiple, often overlapping, functions. Energy shifting allows excess renewable generation to be stored during periods of high availability and released during periods of higher demand, mitigating curtailment and reducing reliance on peaking generation. Storage systems also play a critical role in frequency regulation by providing rapid power injection or absorption in response to imbalances, a capability that is particularly valuable in low-inertia grids. At the distribution level, storage contributes to voltage support and congestion management by modulating local power flows and providing reactive power support through power electronic interfaces</w:t>
      </w:r>
      <w:r w:rsidR="00391A81">
        <w:rPr>
          <w:rFonts w:ascii="Times New Roman" w:hAnsi="Times New Roman" w:cs="Times New Roman"/>
        </w:rPr>
        <w:fldChar w:fldCharType="begin"/>
      </w:r>
      <w:r w:rsidR="00391A81">
        <w:rPr>
          <w:rFonts w:ascii="Times New Roman" w:hAnsi="Times New Roman" w:cs="Times New Roman"/>
        </w:rPr>
        <w:instrText xml:space="preserve"> ADDIN ZOTERO_ITEM CSL_CITATION {"citationID":"N7NvaKdJ","properties":{"formattedCitation":"(Jafarizadeh et al., 2024)","plainCitation":"(Jafarizadeh et al., 2024)","noteIndex":0},"citationItems":[{"id":12455,"uris":["http://zotero.org/users/16652950/items/ZK99GVKT"],"itemData":{"id":12455,"type":"article-journal","abstract":"The accelerated growth in renewable energy systems offers resolutions for reaching clean and sustainable energy production. Electrical Energy Systems (ESS) present indispensable tools with diverse applications to satisfy intermittent characteristics of renewable energies and enable the transition to clean energy production. The applied methodology to assess and review the hybridization concept summarizes the employments of the technical evaluations in the mutual resolutions between the energy production and consumption sectors while the high-efficiency EES has been considered as a synchronizer. Optimized smart grids and microgrids benefit from EES, making energy systems more efficient and reliable. The rise of electric vehicles as an eco-friendly transportation solution also depends on EES to overcome energy storage challenges. The novel aim of this work lies in the elaboration of the large-scale EES for storing and harvesting energy for effective peak-shaving purposes. This multidisciplinary review put a higher emphasis on the essence of the interconnection between different industrial subdivisions for environmentally benign, high-efficiency, and economical process reflections. Mechanical energy storage, thermomechanical energy storage, thermal energy storage, chemical energy storage, electrical energy storage, and electrochemical energy storage are the involved concepts in this study. These divisions collectively form a comprehensive strategy for optimizing energy utilization. RE sites increasingly utilize energy storage systems to enhance system flexibility, grid stability, and power supply reliability. Whether the primary energy source is solar, wind, geothermal, hydroelectric, or oceanic, EES provides the critical ability to store and manage energy efficiently.","container-title":"Energy Reports","DOI":"10.1016/j.egyr.2024.08.019","ISSN":"2352-4847","journalAbbreviation":"Energy Reports","page":"2179-2192","source":"ScienceDirect","title":"Navigating challenges in large-scale renewable energy storage: Barriers, solutions, and innovations","title-short":"Navigating challenges in large-scale renewable energy storage","volume":"12","author":[{"family":"Jafarizadeh","given":"Heidar"},{"family":"Yamini","given":"Eliyad"},{"family":"Zolfaghari","given":"Seyed Mohammad"},{"family":"Esmaeilion","given":"Farbod"},{"family":"Assad","given":"M. El Haj"},{"family":"Soltani","given":"M."}],"issued":{"date-parts":[["2024",12,1]]}}}],"schema":"https://github.com/citation-style-language/schema/raw/master/csl-citation.json"} </w:instrText>
      </w:r>
      <w:r w:rsidR="00391A81">
        <w:rPr>
          <w:rFonts w:ascii="Times New Roman" w:hAnsi="Times New Roman" w:cs="Times New Roman"/>
        </w:rPr>
        <w:fldChar w:fldCharType="separate"/>
      </w:r>
      <w:r w:rsidR="00391A81" w:rsidRPr="00391A81">
        <w:rPr>
          <w:rFonts w:ascii="Times New Roman" w:hAnsi="Times New Roman" w:cs="Times New Roman"/>
        </w:rPr>
        <w:t>(Jafarizadeh et al., 2024)</w:t>
      </w:r>
      <w:r w:rsidR="00391A81">
        <w:rPr>
          <w:rFonts w:ascii="Times New Roman" w:hAnsi="Times New Roman" w:cs="Times New Roman"/>
        </w:rPr>
        <w:fldChar w:fldCharType="end"/>
      </w:r>
      <w:r w:rsidRPr="00CC4AF3">
        <w:rPr>
          <w:rFonts w:ascii="Times New Roman" w:hAnsi="Times New Roman" w:cs="Times New Roman"/>
        </w:rPr>
        <w:t>.</w:t>
      </w:r>
    </w:p>
    <w:p w14:paraId="49CF8760" w14:textId="77777777" w:rsidR="00CC4AF3" w:rsidRDefault="00CC4AF3" w:rsidP="00CC4AF3">
      <w:pPr>
        <w:rPr>
          <w:rFonts w:ascii="Times New Roman" w:hAnsi="Times New Roman" w:cs="Times New Roman"/>
        </w:rPr>
      </w:pPr>
      <w:r w:rsidRPr="00CC4AF3">
        <w:rPr>
          <w:rFonts w:ascii="Times New Roman" w:hAnsi="Times New Roman" w:cs="Times New Roman"/>
        </w:rPr>
        <w:t>In resilience-oriented applications, energy storage enhances the ability of microgrids to operate autonomously during grid disturbances, supporting critical loads and enabling black-start capabilities. The effectiveness of storage in these roles is commonly evaluated using performance metrics such as energy and power density, round-trip efficiency, response time, cycle life, degradation rate, safety characteristics, and lifecycle cost. For grid integration, these metrics must be considered in conjunction with system-level requirements, including reliability, scalability, and compatibility with control and energy management frameworks</w:t>
      </w:r>
      <w:r w:rsidR="00B07E99">
        <w:rPr>
          <w:rFonts w:ascii="Times New Roman" w:hAnsi="Times New Roman" w:cs="Times New Roman"/>
        </w:rPr>
        <w:fldChar w:fldCharType="begin"/>
      </w:r>
      <w:r w:rsidR="00B07E99">
        <w:rPr>
          <w:rFonts w:ascii="Times New Roman" w:hAnsi="Times New Roman" w:cs="Times New Roman"/>
        </w:rPr>
        <w:instrText xml:space="preserve"> ADDIN ZOTERO_ITEM CSL_CITATION {"citationID":"i0YZBloO","properties":{"formattedCitation":"(Billanes et al., 2025)","plainCitation":"(Billanes et al., 2025)","noteIndex":0},"citationItems":[{"id":12458,"uris":["http://zotero.org/users/16652950/items/WAUKLCUU"],"itemData":{"id":12458,"type":"article-journal","abstract":"The growing frequency of extreme weather events and grid disruptions highlights the urgent need for resilient energy systems. Decentralized and autono...","container-title":"Energies","DOI":"10.3390/en18020405","ISSN":"1996-1073","issue":"2","language":"en","license":"http://creativecommons.org/licenses/by/3.0/","note":"Company: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publisher","source":"www.mdpi.com","title":"A Framework for Resilient Community Microgrids: Review of Operational Strategies and Performance Metrics","title-short":"A Framework for Resilient Community Microgrids","URL":"https://www.mdpi.com/1996-1073/18/2/405","volume":"18","author":[{"family":"Billanes","given":"Joy Dalmacio"},{"family":"Jørgensen","given":"Bo Nørregaard"},{"family":"Ma","given":"Zheng"}],"accessed":{"date-parts":[["2025",12,24]]},"issued":{"date-parts":[["2025",1,17]]}}}],"schema":"https://github.com/citation-style-language/schema/raw/master/csl-citation.json"} </w:instrText>
      </w:r>
      <w:r w:rsidR="00B07E99">
        <w:rPr>
          <w:rFonts w:ascii="Times New Roman" w:hAnsi="Times New Roman" w:cs="Times New Roman"/>
        </w:rPr>
        <w:fldChar w:fldCharType="separate"/>
      </w:r>
      <w:r w:rsidR="00B07E99" w:rsidRPr="00B07E99">
        <w:rPr>
          <w:rFonts w:ascii="Times New Roman" w:hAnsi="Times New Roman" w:cs="Times New Roman"/>
        </w:rPr>
        <w:t>(Billanes et al., 2025)</w:t>
      </w:r>
      <w:r w:rsidR="00B07E99">
        <w:rPr>
          <w:rFonts w:ascii="Times New Roman" w:hAnsi="Times New Roman" w:cs="Times New Roman"/>
        </w:rPr>
        <w:fldChar w:fldCharType="end"/>
      </w:r>
      <w:r w:rsidRPr="00CC4AF3">
        <w:rPr>
          <w:rFonts w:ascii="Times New Roman" w:hAnsi="Times New Roman" w:cs="Times New Roman"/>
        </w:rPr>
        <w:t>.</w:t>
      </w:r>
    </w:p>
    <w:p w14:paraId="47F8522D" w14:textId="798C69C2" w:rsidR="00176581" w:rsidRPr="00176581" w:rsidRDefault="00176581" w:rsidP="00176581">
      <w:pPr>
        <w:rPr>
          <w:rFonts w:ascii="Times New Roman" w:hAnsi="Times New Roman" w:cs="Times New Roman"/>
        </w:rPr>
      </w:pPr>
      <w:r w:rsidRPr="00176581">
        <w:rPr>
          <w:rFonts w:ascii="Times New Roman" w:hAnsi="Times New Roman" w:cs="Times New Roman"/>
        </w:rPr>
        <w:t xml:space="preserve">The suitability of energy storage systems for these grid services depends not only on their rated energy and power capacity but also on response time, degradation characteristics, and cycle life. Fast-response storage with high cycle durability is particularly critical for frequency regulation </w:t>
      </w:r>
      <w:r w:rsidRPr="00176581">
        <w:rPr>
          <w:rFonts w:ascii="Times New Roman" w:hAnsi="Times New Roman" w:cs="Times New Roman"/>
        </w:rPr>
        <w:lastRenderedPageBreak/>
        <w:t>and microgrid islanded operation, where repeated charge–discharge cycles and rapid power modulation are required to maintain stability and reliability</w:t>
      </w:r>
      <w:r w:rsidR="00B52C11">
        <w:rPr>
          <w:rFonts w:ascii="Times New Roman" w:hAnsi="Times New Roman" w:cs="Times New Roman"/>
        </w:rPr>
        <w:fldChar w:fldCharType="begin"/>
      </w:r>
      <w:r w:rsidR="003241A9">
        <w:rPr>
          <w:rFonts w:ascii="Times New Roman" w:hAnsi="Times New Roman" w:cs="Times New Roman"/>
        </w:rPr>
        <w:instrText xml:space="preserve"> ADDIN ZOTERO_ITEM CSL_CITATION {"citationID":"cWDoHHNk","properties":{"formattedCitation":"(Lateef &amp; Awwal, 2025b)","plainCitation":"(Lateef &amp; Awwal, 2025b)","noteIndex":0},"citationItems":[{"id":11420,"uris":["http://zotero.org/users/16652950/items/UI4V5F7U"],"itemData":{"id":11420,"type":"article-journal","abstract":"Post-tensioned (PT) concrete remains a cornerstone of modern bridge engineering; yet, the hidden durability of its tendons ultimately governs its long-term structural performance. This systematic critical review synthesizes ninety-five studies published between 2010 and 2024 to examine the persistent disconnect between rapid technological innovation and its limited implementation in bridge management. Although significant progress has been achieved in advanced materials, non-destructive testing (NDT), and structural health monitoring (SHM) technologies, their real-world influence has lagged behind. This study argues that the gap is not a temporary delay in adoption but a systemic issue rooted in misaligned research incentives, institutional inertia, and unmanaged trade-offs between durability, monitorability, and cost. To address this imbalance, the paper introduces the PT Life-Cycle Trade-off Analysis Framework, a qualitative decision-support tool designed to make these competing objectives explicit and manageable. The review concludes that the central challenge in bridge management is no longer technological innovation, but the strategic integration of existing tools into the complex socio-technical systems that govern infrastructure. By reframing innovation as an integration challenge, this work urges a shift in both research and practice toward the translation of data into reliable, actionable intelligence.","container-title":"Asian Journal of Current Research","DOI":"10.56557/ajocr/2025/v10i49937","ISSN":"2456-804X","issue":"4","language":"en","page":"304-319","source":"mail.ikprress.org","title":"Evolution and Performance of Post-Tensioned Concrete Bridge Systems: A Systematic Critical Review of the Disconnect between Technological Advancement and Practical Implementation","title-short":"Evolution and Performance of Post-Tensioned Concrete Bridge Systems","volume":"10","author":[{"family":"Lateef","given":"Jamiu"},{"family":"Awwal","given":"Imran Muhammed"}],"issued":{"date-parts":[["2025",11,17]]}}}],"schema":"https://github.com/citation-style-language/schema/raw/master/csl-citation.json"} </w:instrText>
      </w:r>
      <w:r w:rsidR="00B52C11">
        <w:rPr>
          <w:rFonts w:ascii="Times New Roman" w:hAnsi="Times New Roman" w:cs="Times New Roman"/>
        </w:rPr>
        <w:fldChar w:fldCharType="separate"/>
      </w:r>
      <w:r w:rsidR="003241A9" w:rsidRPr="003241A9">
        <w:rPr>
          <w:rFonts w:ascii="Times New Roman" w:hAnsi="Times New Roman" w:cs="Times New Roman"/>
        </w:rPr>
        <w:t>(Lateef &amp; Awwal, 2025b)</w:t>
      </w:r>
      <w:r w:rsidR="00B52C11">
        <w:rPr>
          <w:rFonts w:ascii="Times New Roman" w:hAnsi="Times New Roman" w:cs="Times New Roman"/>
        </w:rPr>
        <w:fldChar w:fldCharType="end"/>
      </w:r>
      <w:r w:rsidRPr="00176581">
        <w:rPr>
          <w:rFonts w:ascii="Times New Roman" w:hAnsi="Times New Roman" w:cs="Times New Roman"/>
        </w:rPr>
        <w:t>.</w:t>
      </w:r>
    </w:p>
    <w:p w14:paraId="674797BB" w14:textId="77777777" w:rsidR="00176581" w:rsidRPr="00CC4AF3" w:rsidRDefault="00176581" w:rsidP="00CC4AF3">
      <w:pPr>
        <w:rPr>
          <w:rFonts w:ascii="Times New Roman" w:hAnsi="Times New Roman" w:cs="Times New Roman"/>
        </w:rPr>
      </w:pPr>
    </w:p>
    <w:p w14:paraId="398938E1" w14:textId="77777777" w:rsidR="00CC4AF3" w:rsidRPr="00CC4AF3" w:rsidRDefault="00CC4AF3" w:rsidP="00CC4AF3">
      <w:pPr>
        <w:rPr>
          <w:rFonts w:ascii="Times New Roman" w:hAnsi="Times New Roman" w:cs="Times New Roman"/>
          <w:b/>
          <w:bCs/>
        </w:rPr>
      </w:pPr>
      <w:r w:rsidRPr="00CC4AF3">
        <w:rPr>
          <w:rFonts w:ascii="Times New Roman" w:hAnsi="Times New Roman" w:cs="Times New Roman"/>
          <w:b/>
          <w:bCs/>
        </w:rPr>
        <w:t>3.2 Electrochemical Energy Storage Technologies</w:t>
      </w:r>
    </w:p>
    <w:p w14:paraId="6057E2C2" w14:textId="77777777" w:rsidR="00CC4AF3" w:rsidRPr="00CC4AF3" w:rsidRDefault="00CC4AF3" w:rsidP="00CC4AF3">
      <w:pPr>
        <w:rPr>
          <w:rFonts w:ascii="Times New Roman" w:hAnsi="Times New Roman" w:cs="Times New Roman"/>
        </w:rPr>
      </w:pPr>
      <w:r w:rsidRPr="00CC4AF3">
        <w:rPr>
          <w:rFonts w:ascii="Times New Roman" w:hAnsi="Times New Roman" w:cs="Times New Roman"/>
        </w:rPr>
        <w:t>Electrochemical energy storage technologies currently dominate grid-connected and microgrid applications due to their high efficiency, fast response, and modularity. Lithium-ion batteries have emerged as the prevailing technology, benefiting from decades of development driven by consumer electronics and electric vehicle markets. Their favorable energy and power densities, declining costs, and mature manufacturing supply chains have facilitated widespread deployment across utility-scale storage projects and distributed energy systems</w:t>
      </w:r>
      <w:r w:rsidR="00F5679A">
        <w:rPr>
          <w:rFonts w:ascii="Times New Roman" w:hAnsi="Times New Roman" w:cs="Times New Roman"/>
        </w:rPr>
        <w:fldChar w:fldCharType="begin"/>
      </w:r>
      <w:r w:rsidR="00F5679A">
        <w:rPr>
          <w:rFonts w:ascii="Times New Roman" w:hAnsi="Times New Roman" w:cs="Times New Roman"/>
        </w:rPr>
        <w:instrText xml:space="preserve"> ADDIN ZOTERO_ITEM CSL_CITATION {"citationID":"2bEVgk7p","properties":{"formattedCitation":"(Ngoy et al., 2025)","plainCitation":"(Ngoy et al., 2025)","noteIndex":0},"citationItems":[{"id":12460,"uris":["http://zotero.org/users/16652950/items/E38YSC6Z"],"itemData":{"id":12460,"type":"article-journal","abstract":"Lithium-ion batteries (LIBs) have become a cornerstone technology in the transition towards a sustainable energy future, driven by their critical roles in electric vehicles, portable electronics, renewable energy integration, and grid-scale storage. This review provides a comprehensive evaluation of the current state of LIB technology, focusing on recent advancements in electrode materials, electrolytes—including solid-state variants, and separator design. The fundamental electrochemical principles underlying LIBs are discussed alongside engineering innovations that enhance performance, safety, and energy efficiency. In spite of their widespread adoption, LIBs face several pressing challenges, such as safety concerns, raw material scarcity, environmental impacts, and end-of-life disposal issues. This review not only explores these limitations, but also presents emerging strategies to address them through next-generation materials, advanced recycling technologies, and sustainable design approaches. Unlike previous studies that narrowly focus on performance improvements, this review emphasizes how existing challenges can be transformed into opportunities for industrial innovation, institutional research, and economic development. This review offers valuable insights into the future of energy storage by evaluating both the technical and practical aspects of LIB deployment. It presents a forward-looking perspective on the role of LIBs in shaping a cleaner, more resilient, and sustainable energy landscape, serving as a roadmap for continued innovation and responsible technology integration.","container-title":"Renewable and Sustainable Energy Reviews","DOI":"10.1016/j.rser.2025.115971","ISSN":"1364-0321","journalAbbreviation":"Renewable and Sustainable Energy Reviews","page":"115971","source":"ScienceDirect","title":"Lithium-ion batteries and the future of sustainable energy: A comprehensive review","title-short":"Lithium-ion batteries and the future of sustainable energy","volume":"223","author":[{"family":"Ngoy","given":"Kitalu Ricin"},{"family":"Lukong","given":"Valantine Takwa"},{"family":"Yoro","given":"Kelvin O."},{"family":"Makambo","given":"John Beya"},{"family":"Chukwuati","given":"Nonso Christopher"},{"family":"Ibegbulam","given":"Chinedu"},{"family":"Eterigho-Ikelegbe","given":"Orevaoghene"},{"family":"Ukoba","given":"Kingsley"},{"family":"Jen","given":"Tien-Chien"}],"issued":{"date-parts":[["2025",11,1]]}}}],"schema":"https://github.com/citation-style-language/schema/raw/master/csl-citation.json"} </w:instrText>
      </w:r>
      <w:r w:rsidR="00F5679A">
        <w:rPr>
          <w:rFonts w:ascii="Times New Roman" w:hAnsi="Times New Roman" w:cs="Times New Roman"/>
        </w:rPr>
        <w:fldChar w:fldCharType="separate"/>
      </w:r>
      <w:r w:rsidR="00F5679A" w:rsidRPr="00F5679A">
        <w:rPr>
          <w:rFonts w:ascii="Times New Roman" w:hAnsi="Times New Roman" w:cs="Times New Roman"/>
        </w:rPr>
        <w:t>(Ngoy et al., 2025)</w:t>
      </w:r>
      <w:r w:rsidR="00F5679A">
        <w:rPr>
          <w:rFonts w:ascii="Times New Roman" w:hAnsi="Times New Roman" w:cs="Times New Roman"/>
        </w:rPr>
        <w:fldChar w:fldCharType="end"/>
      </w:r>
      <w:r w:rsidRPr="00CC4AF3">
        <w:rPr>
          <w:rFonts w:ascii="Times New Roman" w:hAnsi="Times New Roman" w:cs="Times New Roman"/>
        </w:rPr>
        <w:t>.</w:t>
      </w:r>
    </w:p>
    <w:p w14:paraId="26A31035" w14:textId="77777777" w:rsidR="00CC4AF3" w:rsidRDefault="00CC4AF3" w:rsidP="00CC4AF3">
      <w:pPr>
        <w:rPr>
          <w:rFonts w:ascii="Times New Roman" w:hAnsi="Times New Roman" w:cs="Times New Roman"/>
        </w:rPr>
      </w:pPr>
      <w:r w:rsidRPr="00CC4AF3">
        <w:rPr>
          <w:rFonts w:ascii="Times New Roman" w:hAnsi="Times New Roman" w:cs="Times New Roman"/>
        </w:rPr>
        <w:t>Nevertheless, limitations related to safety, resource availability, and long-term sustainability have motivated interest in alternative electrochemical technologies. Sodium-ion batteries offer the potential for lower material costs and improved resource abundance, making them attractive for large-scale stationary applications. Solid-state batteries aim to enhance safety and energy density by replacing flammable liquid electrolytes with solid materials, although challenges related to interfacial resistance and scalability remain. Redox flow batteries represent another promising class, particularly for long-duration storage, as their decoupled energy and power capacities enable flexible system design and extended cycle life. Each of these technologies presents distinct trade-offs that influence their suitability for specific grid and microgrid services</w:t>
      </w:r>
      <w:r w:rsidR="00F5679A">
        <w:rPr>
          <w:rFonts w:ascii="Times New Roman" w:hAnsi="Times New Roman" w:cs="Times New Roman"/>
        </w:rPr>
        <w:fldChar w:fldCharType="begin"/>
      </w:r>
      <w:r w:rsidR="00F5679A">
        <w:rPr>
          <w:rFonts w:ascii="Times New Roman" w:hAnsi="Times New Roman" w:cs="Times New Roman"/>
        </w:rPr>
        <w:instrText xml:space="preserve"> ADDIN ZOTERO_ITEM CSL_CITATION {"citationID":"Y38gTpt9","properties":{"formattedCitation":"(Mashfy et al., 2026)","plainCitation":"(Mashfy et al., 2026)","noteIndex":0},"citationItems":[{"id":12463,"uris":["http://zotero.org/users/16652950/items/TYB7ETE2"],"itemData":{"id":12463,"type":"article-journal","abstract":"Sodium-ion batteries (SIBs) are being actively investigated as a potentially viable and more sustainable alternative to lithium-ion batteries (LIBs), driven by concerns over lithium resource scarcity, high production costs, and environmentally challenging extraction methods. While LIBs dominate applications in consumer electronics and electric vehicles due to their superior energy density and maturity, SIBs offer notable advantages, such as using earth-abundant and low-cost elements like sodium and aluminum. Despite current limitations in energy density and cycle life, ongoing research in electrode materials and cell design has yielded encouraging progress in enhancing the electrochemical performance and safety profile of SIBs. In particular, their improved thermal stability offers potential benefits for stationary energy storage applications where safety is critical. The development of SIBs aligns with global Sustainable Development Goals (SDGs), particularly SDG 7 (Affordable and Clean Energy) and SDG 13 (Climate Action), by promoting safer and potentially lower-cost energy storage technologies. Continued advancements in material innovation, system integration, and end-of-life recycling will be key to the commercial competitiveness of SIBs. This review emphasizes the potential of SIBs as a viable alternative to LIBs by integrating electrochemical, economic, and environmental perspectives amid growing concerns over lithium supply and cost. For sustainable energy solutions and provides valuable insights into the current state of SIB research, offering a roadmap for future developments in this field.","container-title":"Next Energy","DOI":"10.1016/j.nxener.2025.100478","ISSN":"2949-821X","journalAbbreviation":"Next Energy","page":"100478","source":"ScienceDirect","title":"Sodium ion batteries: A sustainable alternative to lithium-ion batteries with an overview of market trends, recycling, and battery chemistry","title-short":"Sodium ion batteries","volume":"10","author":[{"family":"Mashfy","given":"Mohammad Muhtasim"},{"family":"Alvy","given":"Tamzeed Ahmed"},{"family":"Hossain","given":"Nazmul"},{"family":"Haque","given":"Md Azazul"},{"family":"Mohsin","given":"Fatima Tasneem"},{"family":"Sharmin","given":"Tasnuva"},{"family":"Nasim","given":"Mohammad"}],"issued":{"date-parts":[["2026",1,1]]}}}],"schema":"https://github.com/citation-style-language/schema/raw/master/csl-citation.json"} </w:instrText>
      </w:r>
      <w:r w:rsidR="00F5679A">
        <w:rPr>
          <w:rFonts w:ascii="Times New Roman" w:hAnsi="Times New Roman" w:cs="Times New Roman"/>
        </w:rPr>
        <w:fldChar w:fldCharType="separate"/>
      </w:r>
      <w:r w:rsidR="00F5679A" w:rsidRPr="00F5679A">
        <w:rPr>
          <w:rFonts w:ascii="Times New Roman" w:hAnsi="Times New Roman" w:cs="Times New Roman"/>
        </w:rPr>
        <w:t>(Mashfy et al., 2026)</w:t>
      </w:r>
      <w:r w:rsidR="00F5679A">
        <w:rPr>
          <w:rFonts w:ascii="Times New Roman" w:hAnsi="Times New Roman" w:cs="Times New Roman"/>
        </w:rPr>
        <w:fldChar w:fldCharType="end"/>
      </w:r>
      <w:r w:rsidRPr="00CC4AF3">
        <w:rPr>
          <w:rFonts w:ascii="Times New Roman" w:hAnsi="Times New Roman" w:cs="Times New Roman"/>
        </w:rPr>
        <w:t>.</w:t>
      </w:r>
    </w:p>
    <w:p w14:paraId="58B19207" w14:textId="77777777" w:rsidR="00C6191D" w:rsidRDefault="00C6191D" w:rsidP="00C6191D">
      <w:pPr>
        <w:rPr>
          <w:rFonts w:ascii="Times New Roman" w:hAnsi="Times New Roman" w:cs="Times New Roman"/>
        </w:rPr>
      </w:pPr>
      <w:r w:rsidRPr="00C6191D">
        <w:rPr>
          <w:rFonts w:ascii="Times New Roman" w:hAnsi="Times New Roman" w:cs="Times New Roman"/>
        </w:rPr>
        <w:t>Table 1 provides a comparative overview of the most widely used and emerging electrochemical energy storage technologies, highlighting key performance metrics, safety characteristics, and grid service suitability. In addition to conventional parameters such as energy and power density, this table emphasizes the role of polymer-enabled components</w:t>
      </w:r>
      <w:r w:rsidR="00100338">
        <w:rPr>
          <w:rFonts w:ascii="Times New Roman" w:hAnsi="Times New Roman" w:cs="Times New Roman"/>
        </w:rPr>
        <w:t xml:space="preserve"> </w:t>
      </w:r>
      <w:r w:rsidRPr="00C6191D">
        <w:rPr>
          <w:rFonts w:ascii="Times New Roman" w:hAnsi="Times New Roman" w:cs="Times New Roman"/>
        </w:rPr>
        <w:t>including electrolytes, binders, separators, and encapsulation materials</w:t>
      </w:r>
      <w:r w:rsidR="00100338">
        <w:rPr>
          <w:rFonts w:ascii="Times New Roman" w:hAnsi="Times New Roman" w:cs="Times New Roman"/>
        </w:rPr>
        <w:t xml:space="preserve"> </w:t>
      </w:r>
      <w:r w:rsidRPr="00C6191D">
        <w:rPr>
          <w:rFonts w:ascii="Times New Roman" w:hAnsi="Times New Roman" w:cs="Times New Roman"/>
        </w:rPr>
        <w:t>in enhancing safety, cycle life, and operational reliability. By linking material innovations directly to system-level performance, the table provides a foundation for understanding how polymers can improve the deployment and integration of storage systems within microgrids and larger grid architectures. The following subsection elaborates on these polymer-enabled contributions in detail.”</w:t>
      </w:r>
    </w:p>
    <w:p w14:paraId="61C0651C" w14:textId="633B2522" w:rsidR="00603F04" w:rsidRPr="00603F04" w:rsidRDefault="00603F04" w:rsidP="00603F04">
      <w:pPr>
        <w:rPr>
          <w:rFonts w:ascii="Times New Roman" w:hAnsi="Times New Roman" w:cs="Times New Roman"/>
        </w:rPr>
      </w:pPr>
      <w:r w:rsidRPr="00603F04">
        <w:rPr>
          <w:rFonts w:ascii="Times New Roman" w:hAnsi="Times New Roman" w:cs="Times New Roman"/>
        </w:rPr>
        <w:t>Despite their widespread adoption, lithium-ion batteries face challenges related to thermal safety, degradation under high cycling rates, and resource sustainability, particularly in long-term stationary applications. These limitations have motivated increasing interest in alternative technologies such as sodium-ion and redox flow batteries, which offer improved safety, longer cycle life, and greater material abundance, albeit at the expense of lower energy density or larger physical footprint. These trade-offs must be carefully considered when selecting storage technologies for specific grid and microgrid services</w:t>
      </w:r>
      <w:r>
        <w:rPr>
          <w:rFonts w:ascii="Times New Roman" w:hAnsi="Times New Roman" w:cs="Times New Roman"/>
        </w:rPr>
        <w:fldChar w:fldCharType="begin"/>
      </w:r>
      <w:r>
        <w:rPr>
          <w:rFonts w:ascii="Times New Roman" w:hAnsi="Times New Roman" w:cs="Times New Roman"/>
        </w:rPr>
        <w:instrText xml:space="preserve"> ADDIN ZOTERO_ITEM CSL_CITATION {"citationID":"vfJudGT3","properties":{"formattedCitation":"(Awwal &amp; Lateef, 2025)","plainCitation":"(Awwal &amp; Lateef, 2025)","noteIndex":0},"citationItems":[{"id":11426,"uris":["http://zotero.org/users/16652950/items/WBDHEFVK"],"itemData":{"id":11426,"type":"article-journal","container-title":"Journal of Engineering Research and Reports","DOI":"10.9734/jerr/2025/v27i101678","ISSN":"2582-2926","issue":"10","language":"en","page":"359-372","source":"journaljerr.com","title":"Optimizing Urban Road Networks: A Systematic Review of Design, Control and Multimodal Integration","title-short":"Optimizing Urban Road Networks","volume":"27","author":[{"family":"Awwal","given":"Imran"},{"family":"Lateef","given":"Jamiu"}],"issued":{"date-parts":[["2025",10,15]]}}}],"schema":"https://github.com/citation-style-language/schema/raw/master/csl-citation.json"} </w:instrText>
      </w:r>
      <w:r>
        <w:rPr>
          <w:rFonts w:ascii="Times New Roman" w:hAnsi="Times New Roman" w:cs="Times New Roman"/>
        </w:rPr>
        <w:fldChar w:fldCharType="separate"/>
      </w:r>
      <w:r w:rsidRPr="00603F04">
        <w:rPr>
          <w:rFonts w:ascii="Times New Roman" w:hAnsi="Times New Roman" w:cs="Times New Roman"/>
        </w:rPr>
        <w:t>(Awwal &amp; Lateef, 2025)</w:t>
      </w:r>
      <w:r>
        <w:rPr>
          <w:rFonts w:ascii="Times New Roman" w:hAnsi="Times New Roman" w:cs="Times New Roman"/>
        </w:rPr>
        <w:fldChar w:fldCharType="end"/>
      </w:r>
      <w:r w:rsidRPr="00603F04">
        <w:rPr>
          <w:rFonts w:ascii="Times New Roman" w:hAnsi="Times New Roman" w:cs="Times New Roman"/>
        </w:rPr>
        <w:t>.</w:t>
      </w:r>
    </w:p>
    <w:p w14:paraId="1B002AEF" w14:textId="77777777" w:rsidR="00603F04" w:rsidRPr="00C6191D" w:rsidRDefault="00603F04" w:rsidP="00C6191D">
      <w:pPr>
        <w:rPr>
          <w:rFonts w:ascii="Times New Roman" w:hAnsi="Times New Roman" w:cs="Times New Roman"/>
        </w:rPr>
      </w:pPr>
    </w:p>
    <w:p w14:paraId="2F3BE90A" w14:textId="77777777" w:rsidR="00C6191D" w:rsidRDefault="00C6191D" w:rsidP="00CC4AF3">
      <w:pPr>
        <w:rPr>
          <w:rFonts w:ascii="Times New Roman" w:hAnsi="Times New Roman" w:cs="Times New Roman"/>
        </w:rPr>
      </w:pPr>
    </w:p>
    <w:p w14:paraId="2867FDF3" w14:textId="77777777" w:rsidR="00C6191D" w:rsidRPr="00C6191D" w:rsidRDefault="00C6191D" w:rsidP="00C6191D">
      <w:pPr>
        <w:rPr>
          <w:rFonts w:ascii="Times New Roman" w:hAnsi="Times New Roman" w:cs="Times New Roman"/>
        </w:rPr>
      </w:pPr>
      <w:r w:rsidRPr="00C6191D">
        <w:rPr>
          <w:rFonts w:ascii="Times New Roman" w:hAnsi="Times New Roman" w:cs="Times New Roman"/>
          <w:b/>
          <w:bCs/>
        </w:rPr>
        <w:t>Table 1:</w:t>
      </w:r>
      <w:r w:rsidRPr="00C6191D">
        <w:rPr>
          <w:rFonts w:ascii="Times New Roman" w:hAnsi="Times New Roman" w:cs="Times New Roman"/>
        </w:rPr>
        <w:t xml:space="preserve"> </w:t>
      </w:r>
      <w:r w:rsidRPr="00C6191D">
        <w:rPr>
          <w:rFonts w:ascii="Times New Roman" w:hAnsi="Times New Roman" w:cs="Times New Roman"/>
          <w:i/>
          <w:iCs/>
        </w:rPr>
        <w:t>Comparative Overview of Energy Storage Technologies with Polymer-Enabled Enhancements and Grid Service Suitability</w:t>
      </w: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14"/>
        <w:gridCol w:w="832"/>
        <w:gridCol w:w="904"/>
        <w:gridCol w:w="928"/>
        <w:gridCol w:w="928"/>
        <w:gridCol w:w="1297"/>
        <w:gridCol w:w="1070"/>
        <w:gridCol w:w="1987"/>
      </w:tblGrid>
      <w:tr w:rsidR="00C6191D" w:rsidRPr="00C6191D" w14:paraId="67EDD66E" w14:textId="77777777" w:rsidTr="00C6191D">
        <w:trPr>
          <w:tblHeader/>
          <w:tblCellSpacing w:w="15" w:type="dxa"/>
        </w:trPr>
        <w:tc>
          <w:tcPr>
            <w:tcW w:w="0" w:type="auto"/>
            <w:vAlign w:val="center"/>
            <w:hideMark/>
          </w:tcPr>
          <w:p w14:paraId="38861A89" w14:textId="77777777" w:rsidR="00C6191D" w:rsidRPr="00C6191D" w:rsidRDefault="00C6191D" w:rsidP="00A00189">
            <w:pPr>
              <w:rPr>
                <w:rFonts w:ascii="Times New Roman" w:hAnsi="Times New Roman" w:cs="Times New Roman"/>
                <w:b/>
                <w:bCs/>
              </w:rPr>
            </w:pPr>
            <w:r w:rsidRPr="00C6191D">
              <w:rPr>
                <w:rFonts w:ascii="Times New Roman" w:hAnsi="Times New Roman" w:cs="Times New Roman"/>
                <w:b/>
                <w:bCs/>
              </w:rPr>
              <w:t>Technology</w:t>
            </w:r>
          </w:p>
        </w:tc>
        <w:tc>
          <w:tcPr>
            <w:tcW w:w="0" w:type="auto"/>
            <w:vAlign w:val="center"/>
            <w:hideMark/>
          </w:tcPr>
          <w:p w14:paraId="0BB4C9A6" w14:textId="77777777" w:rsidR="00C6191D" w:rsidRPr="00C6191D" w:rsidRDefault="00C6191D" w:rsidP="00A00189">
            <w:pPr>
              <w:rPr>
                <w:rFonts w:ascii="Times New Roman" w:hAnsi="Times New Roman" w:cs="Times New Roman"/>
                <w:b/>
                <w:bCs/>
              </w:rPr>
            </w:pPr>
            <w:r w:rsidRPr="00C6191D">
              <w:rPr>
                <w:rFonts w:ascii="Times New Roman" w:hAnsi="Times New Roman" w:cs="Times New Roman"/>
                <w:b/>
                <w:bCs/>
              </w:rPr>
              <w:t>Energy Density</w:t>
            </w:r>
          </w:p>
        </w:tc>
        <w:tc>
          <w:tcPr>
            <w:tcW w:w="0" w:type="auto"/>
            <w:vAlign w:val="center"/>
            <w:hideMark/>
          </w:tcPr>
          <w:p w14:paraId="31A88A8C" w14:textId="77777777" w:rsidR="00C6191D" w:rsidRPr="00C6191D" w:rsidRDefault="00C6191D" w:rsidP="00A00189">
            <w:pPr>
              <w:rPr>
                <w:rFonts w:ascii="Times New Roman" w:hAnsi="Times New Roman" w:cs="Times New Roman"/>
                <w:b/>
                <w:bCs/>
              </w:rPr>
            </w:pPr>
            <w:r w:rsidRPr="00C6191D">
              <w:rPr>
                <w:rFonts w:ascii="Times New Roman" w:hAnsi="Times New Roman" w:cs="Times New Roman"/>
                <w:b/>
                <w:bCs/>
              </w:rPr>
              <w:t>Power Density</w:t>
            </w:r>
          </w:p>
        </w:tc>
        <w:tc>
          <w:tcPr>
            <w:tcW w:w="0" w:type="auto"/>
            <w:vAlign w:val="center"/>
            <w:hideMark/>
          </w:tcPr>
          <w:p w14:paraId="29D7DAE7" w14:textId="77777777" w:rsidR="00C6191D" w:rsidRPr="00C6191D" w:rsidRDefault="00C6191D" w:rsidP="00A00189">
            <w:pPr>
              <w:rPr>
                <w:rFonts w:ascii="Times New Roman" w:hAnsi="Times New Roman" w:cs="Times New Roman"/>
                <w:b/>
                <w:bCs/>
              </w:rPr>
            </w:pPr>
            <w:r w:rsidRPr="00C6191D">
              <w:rPr>
                <w:rFonts w:ascii="Times New Roman" w:hAnsi="Times New Roman" w:cs="Times New Roman"/>
                <w:b/>
                <w:bCs/>
              </w:rPr>
              <w:t>Safety</w:t>
            </w:r>
          </w:p>
        </w:tc>
        <w:tc>
          <w:tcPr>
            <w:tcW w:w="0" w:type="auto"/>
            <w:vAlign w:val="center"/>
            <w:hideMark/>
          </w:tcPr>
          <w:p w14:paraId="58F592AE" w14:textId="77777777" w:rsidR="00C6191D" w:rsidRPr="00C6191D" w:rsidRDefault="00C6191D" w:rsidP="00A00189">
            <w:pPr>
              <w:rPr>
                <w:rFonts w:ascii="Times New Roman" w:hAnsi="Times New Roman" w:cs="Times New Roman"/>
                <w:b/>
                <w:bCs/>
              </w:rPr>
            </w:pPr>
            <w:r w:rsidRPr="00C6191D">
              <w:rPr>
                <w:rFonts w:ascii="Times New Roman" w:hAnsi="Times New Roman" w:cs="Times New Roman"/>
                <w:b/>
                <w:bCs/>
              </w:rPr>
              <w:t>Cycle Life</w:t>
            </w:r>
          </w:p>
        </w:tc>
        <w:tc>
          <w:tcPr>
            <w:tcW w:w="0" w:type="auto"/>
            <w:vAlign w:val="center"/>
            <w:hideMark/>
          </w:tcPr>
          <w:p w14:paraId="6008F0FB" w14:textId="77777777" w:rsidR="00C6191D" w:rsidRPr="00C6191D" w:rsidRDefault="00C6191D" w:rsidP="00A00189">
            <w:pPr>
              <w:rPr>
                <w:rFonts w:ascii="Times New Roman" w:hAnsi="Times New Roman" w:cs="Times New Roman"/>
                <w:b/>
                <w:bCs/>
              </w:rPr>
            </w:pPr>
            <w:r w:rsidRPr="00C6191D">
              <w:rPr>
                <w:rFonts w:ascii="Times New Roman" w:hAnsi="Times New Roman" w:cs="Times New Roman"/>
                <w:b/>
                <w:bCs/>
              </w:rPr>
              <w:t>Polymer Role</w:t>
            </w:r>
          </w:p>
        </w:tc>
        <w:tc>
          <w:tcPr>
            <w:tcW w:w="0" w:type="auto"/>
            <w:vAlign w:val="center"/>
            <w:hideMark/>
          </w:tcPr>
          <w:p w14:paraId="5211A9DE" w14:textId="77777777" w:rsidR="00C6191D" w:rsidRPr="00C6191D" w:rsidRDefault="00C6191D" w:rsidP="00A00189">
            <w:pPr>
              <w:rPr>
                <w:rFonts w:ascii="Times New Roman" w:hAnsi="Times New Roman" w:cs="Times New Roman"/>
                <w:b/>
                <w:bCs/>
              </w:rPr>
            </w:pPr>
            <w:r w:rsidRPr="00C6191D">
              <w:rPr>
                <w:rFonts w:ascii="Times New Roman" w:hAnsi="Times New Roman" w:cs="Times New Roman"/>
                <w:b/>
                <w:bCs/>
              </w:rPr>
              <w:t>Grid Service Suitability</w:t>
            </w:r>
          </w:p>
        </w:tc>
        <w:tc>
          <w:tcPr>
            <w:tcW w:w="0" w:type="auto"/>
            <w:vAlign w:val="center"/>
            <w:hideMark/>
          </w:tcPr>
          <w:p w14:paraId="0AAE9DF1" w14:textId="77777777" w:rsidR="00C6191D" w:rsidRPr="00C6191D" w:rsidRDefault="00C6191D" w:rsidP="00A00189">
            <w:pPr>
              <w:rPr>
                <w:rFonts w:ascii="Times New Roman" w:hAnsi="Times New Roman" w:cs="Times New Roman"/>
                <w:b/>
                <w:bCs/>
              </w:rPr>
            </w:pPr>
            <w:r w:rsidRPr="00C6191D">
              <w:rPr>
                <w:rFonts w:ascii="Times New Roman" w:hAnsi="Times New Roman" w:cs="Times New Roman"/>
                <w:b/>
                <w:bCs/>
              </w:rPr>
              <w:t>Notes/Novelty</w:t>
            </w:r>
          </w:p>
        </w:tc>
      </w:tr>
      <w:tr w:rsidR="00C6191D" w:rsidRPr="00C6191D" w14:paraId="600C9B46" w14:textId="77777777" w:rsidTr="00C6191D">
        <w:trPr>
          <w:tblCellSpacing w:w="15" w:type="dxa"/>
        </w:trPr>
        <w:tc>
          <w:tcPr>
            <w:tcW w:w="0" w:type="auto"/>
            <w:vAlign w:val="center"/>
            <w:hideMark/>
          </w:tcPr>
          <w:p w14:paraId="2A48166D"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Lithium-Ion</w:t>
            </w:r>
          </w:p>
        </w:tc>
        <w:tc>
          <w:tcPr>
            <w:tcW w:w="0" w:type="auto"/>
            <w:vAlign w:val="center"/>
            <w:hideMark/>
          </w:tcPr>
          <w:p w14:paraId="2A910C9F"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High</w:t>
            </w:r>
          </w:p>
        </w:tc>
        <w:tc>
          <w:tcPr>
            <w:tcW w:w="0" w:type="auto"/>
            <w:vAlign w:val="center"/>
            <w:hideMark/>
          </w:tcPr>
          <w:p w14:paraId="199DEC02"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Medium-High</w:t>
            </w:r>
          </w:p>
        </w:tc>
        <w:tc>
          <w:tcPr>
            <w:tcW w:w="0" w:type="auto"/>
            <w:vAlign w:val="center"/>
            <w:hideMark/>
          </w:tcPr>
          <w:p w14:paraId="5A73BDB3"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Moderate</w:t>
            </w:r>
          </w:p>
        </w:tc>
        <w:tc>
          <w:tcPr>
            <w:tcW w:w="0" w:type="auto"/>
            <w:vAlign w:val="center"/>
            <w:hideMark/>
          </w:tcPr>
          <w:p w14:paraId="254165FA"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Moderate</w:t>
            </w:r>
          </w:p>
        </w:tc>
        <w:tc>
          <w:tcPr>
            <w:tcW w:w="0" w:type="auto"/>
            <w:vAlign w:val="center"/>
            <w:hideMark/>
          </w:tcPr>
          <w:p w14:paraId="58F1FB84"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 xml:space="preserve">Electrolytes, binders, </w:t>
            </w:r>
            <w:r w:rsidR="00100338">
              <w:rPr>
                <w:rFonts w:ascii="Times New Roman" w:hAnsi="Times New Roman" w:cs="Times New Roman"/>
              </w:rPr>
              <w:t xml:space="preserve">and </w:t>
            </w:r>
            <w:r w:rsidRPr="00C6191D">
              <w:rPr>
                <w:rFonts w:ascii="Times New Roman" w:hAnsi="Times New Roman" w:cs="Times New Roman"/>
              </w:rPr>
              <w:t>separators</w:t>
            </w:r>
          </w:p>
        </w:tc>
        <w:tc>
          <w:tcPr>
            <w:tcW w:w="0" w:type="auto"/>
            <w:vAlign w:val="center"/>
            <w:hideMark/>
          </w:tcPr>
          <w:p w14:paraId="564ACCAC"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Frequency regulation, energy shifting, voltage support</w:t>
            </w:r>
          </w:p>
        </w:tc>
        <w:tc>
          <w:tcPr>
            <w:tcW w:w="0" w:type="auto"/>
            <w:vAlign w:val="center"/>
            <w:hideMark/>
          </w:tcPr>
          <w:p w14:paraId="0E9AB489"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Widely deployed; polymer improvements enhance safety &amp; lifecycle</w:t>
            </w:r>
            <w:r w:rsidR="00653700">
              <w:rPr>
                <w:rFonts w:ascii="Times New Roman" w:hAnsi="Times New Roman" w:cs="Times New Roman"/>
              </w:rPr>
              <w:fldChar w:fldCharType="begin"/>
            </w:r>
            <w:r w:rsidR="00653700">
              <w:rPr>
                <w:rFonts w:ascii="Times New Roman" w:hAnsi="Times New Roman" w:cs="Times New Roman"/>
              </w:rPr>
              <w:instrText xml:space="preserve"> ADDIN ZOTERO_ITEM CSL_CITATION {"citationID":"ffwsVohy","properties":{"formattedCitation":"(Nzereogu et al., 2025)","plainCitation":"(Nzereogu et al., 2025)","noteIndex":0},"citationItems":[{"id":12465,"uris":["http://zotero.org/users/16652950/items/AVPCAXKC"],"itemData":{"id":12465,"type":"article-journal","abstract":"Solid-state lithium-ion batteries (SSLIBs) are poised to revolutionize energy storage, offering substantial improvements in energy density, safety, and environmental sustainability. This review provides an in-depth examination of solid-state electrolytes (SSEs), a critical component enabling SSLIBs to surpass the limitations of traditional lithium-ion batteries (LIBs) with liquid electrolytes. Conventional LIBs face significant challenges such as thermal instability, flammability, leakage, limited electrochemical windows, and environmental concerns. SSLIBs, however, eliminate these risks by utilizing solid electrolytes, which exhibit higher ionic conductivities, increased electrochemical stability, and reduced safety hazards. This review explores a variety of solid electrolytes, including oxide, sulfide, perovskite, anti-perovskite, NASICON, and LISICON-based materials, each with unique structural and electrochemical properties that enhance lithium-ion mobility and battery performance. Additionally, advancements in interfacial engineering, cathode and anode material optimization, and manufacturing techniques are discussed. The potential of SSLIBs in transforming applications across industries—from electric vehicles to large-scale energy storage systems—is underscored, highlighting the path toward more efficient, safer, and sustainable battery technologies.","container-title":"Hybrid Advances","DOI":"10.1016/j.hybadv.2024.100339","ISSN":"2773-207X","journalAbbreviation":"Hybrid Advances","page":"100339","source":"ScienceDirect","title":"Solid-State lithium-ion battery electrolytes: Revolutionizing energy density and safety","title-short":"Solid-State lithium-ion battery electrolytes","volume":"8","author":[{"family":"Nzereogu","given":"P. U."},{"family":"Oyesanya","given":"A."},{"family":"Ogba","given":"S. N."},{"family":"Ayanwunmi","given":"S. O."},{"family":"Sobajo","given":"M. S."},{"family":"Chimsunum","given":"V. C."},{"family":"Ayanwunmi","given":"V. O."},{"family":"Amoo","given":"M. O."},{"family":"Adefemi","given":"O. T."},{"family":"Chukwudi","given":"C. C."}],"issued":{"date-parts":[["2025",3,1]]}}}],"schema":"https://github.com/citation-style-language/schema/raw/master/csl-citation.json"} </w:instrText>
            </w:r>
            <w:r w:rsidR="00653700">
              <w:rPr>
                <w:rFonts w:ascii="Times New Roman" w:hAnsi="Times New Roman" w:cs="Times New Roman"/>
              </w:rPr>
              <w:fldChar w:fldCharType="separate"/>
            </w:r>
            <w:r w:rsidR="00653700" w:rsidRPr="00653700">
              <w:rPr>
                <w:rFonts w:ascii="Times New Roman" w:hAnsi="Times New Roman" w:cs="Times New Roman"/>
              </w:rPr>
              <w:t>(Nzereogu et al., 2025)</w:t>
            </w:r>
            <w:r w:rsidR="00653700">
              <w:rPr>
                <w:rFonts w:ascii="Times New Roman" w:hAnsi="Times New Roman" w:cs="Times New Roman"/>
              </w:rPr>
              <w:fldChar w:fldCharType="end"/>
            </w:r>
          </w:p>
        </w:tc>
      </w:tr>
      <w:tr w:rsidR="00C6191D" w:rsidRPr="00C6191D" w14:paraId="7449293D" w14:textId="77777777" w:rsidTr="00C6191D">
        <w:trPr>
          <w:tblCellSpacing w:w="15" w:type="dxa"/>
        </w:trPr>
        <w:tc>
          <w:tcPr>
            <w:tcW w:w="0" w:type="auto"/>
            <w:vAlign w:val="center"/>
            <w:hideMark/>
          </w:tcPr>
          <w:p w14:paraId="5EADAC69"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Solid-State</w:t>
            </w:r>
          </w:p>
        </w:tc>
        <w:tc>
          <w:tcPr>
            <w:tcW w:w="0" w:type="auto"/>
            <w:vAlign w:val="center"/>
            <w:hideMark/>
          </w:tcPr>
          <w:p w14:paraId="47BC2C22"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Very High</w:t>
            </w:r>
          </w:p>
        </w:tc>
        <w:tc>
          <w:tcPr>
            <w:tcW w:w="0" w:type="auto"/>
            <w:vAlign w:val="center"/>
            <w:hideMark/>
          </w:tcPr>
          <w:p w14:paraId="18F5F516"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Medium</w:t>
            </w:r>
          </w:p>
        </w:tc>
        <w:tc>
          <w:tcPr>
            <w:tcW w:w="0" w:type="auto"/>
            <w:vAlign w:val="center"/>
            <w:hideMark/>
          </w:tcPr>
          <w:p w14:paraId="2EC81393"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High</w:t>
            </w:r>
          </w:p>
        </w:tc>
        <w:tc>
          <w:tcPr>
            <w:tcW w:w="0" w:type="auto"/>
            <w:vAlign w:val="center"/>
            <w:hideMark/>
          </w:tcPr>
          <w:p w14:paraId="4CA3CC49"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High</w:t>
            </w:r>
          </w:p>
        </w:tc>
        <w:tc>
          <w:tcPr>
            <w:tcW w:w="0" w:type="auto"/>
            <w:vAlign w:val="center"/>
            <w:hideMark/>
          </w:tcPr>
          <w:p w14:paraId="42E0FD36"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Solid polymer electrolytes, separators</w:t>
            </w:r>
          </w:p>
        </w:tc>
        <w:tc>
          <w:tcPr>
            <w:tcW w:w="0" w:type="auto"/>
            <w:vAlign w:val="center"/>
            <w:hideMark/>
          </w:tcPr>
          <w:p w14:paraId="4C5EE1A6"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Long-duration storage, microgrid resilience</w:t>
            </w:r>
          </w:p>
        </w:tc>
        <w:tc>
          <w:tcPr>
            <w:tcW w:w="0" w:type="auto"/>
            <w:vAlign w:val="center"/>
            <w:hideMark/>
          </w:tcPr>
          <w:p w14:paraId="6F037FC2"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 xml:space="preserve">Emerging polymer interface optimization </w:t>
            </w:r>
            <w:r w:rsidR="00100338">
              <w:rPr>
                <w:rFonts w:ascii="Times New Roman" w:hAnsi="Times New Roman" w:cs="Times New Roman"/>
              </w:rPr>
              <w:t xml:space="preserve">is </w:t>
            </w:r>
            <w:r w:rsidRPr="00C6191D">
              <w:rPr>
                <w:rFonts w:ascii="Times New Roman" w:hAnsi="Times New Roman" w:cs="Times New Roman"/>
              </w:rPr>
              <w:t>critical</w:t>
            </w:r>
            <w:r w:rsidR="00653700">
              <w:rPr>
                <w:rFonts w:ascii="Times New Roman" w:hAnsi="Times New Roman" w:cs="Times New Roman"/>
              </w:rPr>
              <w:fldChar w:fldCharType="begin"/>
            </w:r>
            <w:r w:rsidR="00653700">
              <w:rPr>
                <w:rFonts w:ascii="Times New Roman" w:hAnsi="Times New Roman" w:cs="Times New Roman"/>
              </w:rPr>
              <w:instrText xml:space="preserve"> ADDIN ZOTERO_ITEM CSL_CITATION {"citationID":"6BwkJLuR","properties":{"formattedCitation":"(Enasel &amp; Dumitrascu, 2025)","plainCitation":"(Enasel &amp; Dumitrascu, 2025)","noteIndex":0},"citationItems":[{"id":12430,"uris":["http://zotero.org/users/16652950/items/MDVGVJ2E"],"itemData":{"id":12430,"type":"article-journal","abstract":"This review investigates the integration of renewable energy systems with diverse energy storage technologies to enhance reliability and sustainability. Key findings include the high energy density and scalability of lithium-ion and flow batteries, which are crucial for grid-scale applications, despite challenges in cost and raw material availability. Electrical storage methods, such as supercapacitors, provide rapid response capabilities but are limited by low energy density. Mechanical systems, including pumped hydro and compressed air storage, excel in large-scale scenarios but face geographical constraints. Emerging chemical storage technologies, including hydrogen and synthetic natural gas, offer long-term solutions but require advancements in efficiency. Thermal storage systems, such as molten salt and latent heat storage, show significant potential for renewable integration in heating and cooling, although material costs remain a barrier. The integration of hybrid systems demonstrates improved reliability and efficiency, highlighting the necessity of combining technologies to address the intermittent nature of renewable energy. Overall, the findings underscore advancements, challenges, and future research directions required for scalable and sustainable energy storage solutions.","container-title":"Energy Nexus","DOI":"10.1016/j.nexus.2025.100391","ISSN":"2772-4271","journalAbbreviation":"Energy Nexus","page":"100391","source":"ScienceDirect","title":"Storage solutions for renewable energy: A review","title-short":"Storage solutions for renewable energy","volume":"17","author":[{"family":"Enasel","given":"Eduard"},{"family":"Dumitrascu","given":"Gheorghe"}],"issued":{"date-parts":[["2025",3,1]]}}}],"schema":"https://github.com/citation-style-language/schema/raw/master/csl-citation.json"} </w:instrText>
            </w:r>
            <w:r w:rsidR="00653700">
              <w:rPr>
                <w:rFonts w:ascii="Times New Roman" w:hAnsi="Times New Roman" w:cs="Times New Roman"/>
              </w:rPr>
              <w:fldChar w:fldCharType="separate"/>
            </w:r>
            <w:r w:rsidR="00653700" w:rsidRPr="00653700">
              <w:rPr>
                <w:rFonts w:ascii="Times New Roman" w:hAnsi="Times New Roman" w:cs="Times New Roman"/>
              </w:rPr>
              <w:t>(Enasel &amp; Dumitrascu, 2025)</w:t>
            </w:r>
            <w:r w:rsidR="00653700">
              <w:rPr>
                <w:rFonts w:ascii="Times New Roman" w:hAnsi="Times New Roman" w:cs="Times New Roman"/>
              </w:rPr>
              <w:fldChar w:fldCharType="end"/>
            </w:r>
          </w:p>
        </w:tc>
      </w:tr>
      <w:tr w:rsidR="00C6191D" w:rsidRPr="00C6191D" w14:paraId="663DADCE" w14:textId="77777777" w:rsidTr="00C6191D">
        <w:trPr>
          <w:tblCellSpacing w:w="15" w:type="dxa"/>
        </w:trPr>
        <w:tc>
          <w:tcPr>
            <w:tcW w:w="0" w:type="auto"/>
            <w:vAlign w:val="center"/>
            <w:hideMark/>
          </w:tcPr>
          <w:p w14:paraId="35BFFB6D"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Sodium-Ion</w:t>
            </w:r>
          </w:p>
        </w:tc>
        <w:tc>
          <w:tcPr>
            <w:tcW w:w="0" w:type="auto"/>
            <w:vAlign w:val="center"/>
            <w:hideMark/>
          </w:tcPr>
          <w:p w14:paraId="211D5E97"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Medium</w:t>
            </w:r>
          </w:p>
        </w:tc>
        <w:tc>
          <w:tcPr>
            <w:tcW w:w="0" w:type="auto"/>
            <w:vAlign w:val="center"/>
            <w:hideMark/>
          </w:tcPr>
          <w:p w14:paraId="7EC28019"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Medium</w:t>
            </w:r>
          </w:p>
        </w:tc>
        <w:tc>
          <w:tcPr>
            <w:tcW w:w="0" w:type="auto"/>
            <w:vAlign w:val="center"/>
            <w:hideMark/>
          </w:tcPr>
          <w:p w14:paraId="06B93699"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High</w:t>
            </w:r>
          </w:p>
        </w:tc>
        <w:tc>
          <w:tcPr>
            <w:tcW w:w="0" w:type="auto"/>
            <w:vAlign w:val="center"/>
            <w:hideMark/>
          </w:tcPr>
          <w:p w14:paraId="0A703446"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High</w:t>
            </w:r>
          </w:p>
        </w:tc>
        <w:tc>
          <w:tcPr>
            <w:tcW w:w="0" w:type="auto"/>
            <w:vAlign w:val="center"/>
            <w:hideMark/>
          </w:tcPr>
          <w:p w14:paraId="0D9206BF"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Binders, gel electrolytes</w:t>
            </w:r>
          </w:p>
        </w:tc>
        <w:tc>
          <w:tcPr>
            <w:tcW w:w="0" w:type="auto"/>
            <w:vAlign w:val="center"/>
            <w:hideMark/>
          </w:tcPr>
          <w:p w14:paraId="36199266"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Load leveling, energy shifting</w:t>
            </w:r>
          </w:p>
        </w:tc>
        <w:tc>
          <w:tcPr>
            <w:tcW w:w="0" w:type="auto"/>
            <w:vAlign w:val="center"/>
            <w:hideMark/>
          </w:tcPr>
          <w:p w14:paraId="0E1211B3"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Cost-effective alternative with polymer-enabled safety</w:t>
            </w:r>
            <w:r w:rsidR="00653700">
              <w:rPr>
                <w:rFonts w:ascii="Times New Roman" w:hAnsi="Times New Roman" w:cs="Times New Roman"/>
              </w:rPr>
              <w:fldChar w:fldCharType="begin"/>
            </w:r>
            <w:r w:rsidR="00653700">
              <w:rPr>
                <w:rFonts w:ascii="Times New Roman" w:hAnsi="Times New Roman" w:cs="Times New Roman"/>
              </w:rPr>
              <w:instrText xml:space="preserve"> ADDIN ZOTERO_ITEM CSL_CITATION {"citationID":"IJCPahKZ","properties":{"formattedCitation":"(Mashfy et al., 2026)","plainCitation":"(Mashfy et al., 2026)","noteIndex":0},"citationItems":[{"id":12463,"uris":["http://zotero.org/users/16652950/items/TYB7ETE2"],"itemData":{"id":12463,"type":"article-journal","abstract":"Sodium-ion batteries (SIBs) are being actively investigated as a potentially viable and more sustainable alternative to lithium-ion batteries (LIBs), driven by concerns over lithium resource scarcity, high production costs, and environmentally challenging extraction methods. While LIBs dominate applications in consumer electronics and electric vehicles due to their superior energy density and maturity, SIBs offer notable advantages, such as using earth-abundant and low-cost elements like sodium and aluminum. Despite current limitations in energy density and cycle life, ongoing research in electrode materials and cell design has yielded encouraging progress in enhancing the electrochemical performance and safety profile of SIBs. In particular, their improved thermal stability offers potential benefits for stationary energy storage applications where safety is critical. The development of SIBs aligns with global Sustainable Development Goals (SDGs), particularly SDG 7 (Affordable and Clean Energy) and SDG 13 (Climate Action), by promoting safer and potentially lower-cost energy storage technologies. Continued advancements in material innovation, system integration, and end-of-life recycling will be key to the commercial competitiveness of SIBs. This review emphasizes the potential of SIBs as a viable alternative to LIBs by integrating electrochemical, economic, and environmental perspectives amid growing concerns over lithium supply and cost. For sustainable energy solutions and provides valuable insights into the current state of SIB research, offering a roadmap for future developments in this field.","container-title":"Next Energy","DOI":"10.1016/j.nxener.2025.100478","ISSN":"2949-821X","journalAbbreviation":"Next Energy","page":"100478","source":"ScienceDirect","title":"Sodium ion batteries: A sustainable alternative to lithium-ion batteries with an overview of market trends, recycling, and battery chemistry","title-short":"Sodium ion batteries","volume":"10","author":[{"family":"Mashfy","given":"Mohammad Muhtasim"},{"family":"Alvy","given":"Tamzeed Ahmed"},{"family":"Hossain","given":"Nazmul"},{"family":"Haque","given":"Md Azazul"},{"family":"Mohsin","given":"Fatima Tasneem"},{"family":"Sharmin","given":"Tasnuva"},{"family":"Nasim","given":"Mohammad"}],"issued":{"date-parts":[["2026",1,1]]}}}],"schema":"https://github.com/citation-style-language/schema/raw/master/csl-citation.json"} </w:instrText>
            </w:r>
            <w:r w:rsidR="00653700">
              <w:rPr>
                <w:rFonts w:ascii="Times New Roman" w:hAnsi="Times New Roman" w:cs="Times New Roman"/>
              </w:rPr>
              <w:fldChar w:fldCharType="separate"/>
            </w:r>
            <w:r w:rsidR="00653700" w:rsidRPr="00653700">
              <w:rPr>
                <w:rFonts w:ascii="Times New Roman" w:hAnsi="Times New Roman" w:cs="Times New Roman"/>
              </w:rPr>
              <w:t>(Mashfy et al., 2026)</w:t>
            </w:r>
            <w:r w:rsidR="00653700">
              <w:rPr>
                <w:rFonts w:ascii="Times New Roman" w:hAnsi="Times New Roman" w:cs="Times New Roman"/>
              </w:rPr>
              <w:fldChar w:fldCharType="end"/>
            </w:r>
          </w:p>
        </w:tc>
      </w:tr>
      <w:tr w:rsidR="00C6191D" w:rsidRPr="00C6191D" w14:paraId="27DDDE89" w14:textId="77777777" w:rsidTr="00C6191D">
        <w:trPr>
          <w:tblCellSpacing w:w="15" w:type="dxa"/>
        </w:trPr>
        <w:tc>
          <w:tcPr>
            <w:tcW w:w="0" w:type="auto"/>
            <w:vAlign w:val="center"/>
            <w:hideMark/>
          </w:tcPr>
          <w:p w14:paraId="6741B75D"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Redox Flow</w:t>
            </w:r>
          </w:p>
        </w:tc>
        <w:tc>
          <w:tcPr>
            <w:tcW w:w="0" w:type="auto"/>
            <w:vAlign w:val="center"/>
            <w:hideMark/>
          </w:tcPr>
          <w:p w14:paraId="5F244A78"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Medium</w:t>
            </w:r>
          </w:p>
        </w:tc>
        <w:tc>
          <w:tcPr>
            <w:tcW w:w="0" w:type="auto"/>
            <w:vAlign w:val="center"/>
            <w:hideMark/>
          </w:tcPr>
          <w:p w14:paraId="0E49B5B6"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Low</w:t>
            </w:r>
          </w:p>
        </w:tc>
        <w:tc>
          <w:tcPr>
            <w:tcW w:w="0" w:type="auto"/>
            <w:vAlign w:val="center"/>
            <w:hideMark/>
          </w:tcPr>
          <w:p w14:paraId="3CCCD1F9"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High</w:t>
            </w:r>
          </w:p>
        </w:tc>
        <w:tc>
          <w:tcPr>
            <w:tcW w:w="0" w:type="auto"/>
            <w:vAlign w:val="center"/>
            <w:hideMark/>
          </w:tcPr>
          <w:p w14:paraId="18A0028B"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Very High</w:t>
            </w:r>
          </w:p>
        </w:tc>
        <w:tc>
          <w:tcPr>
            <w:tcW w:w="0" w:type="auto"/>
            <w:vAlign w:val="center"/>
            <w:hideMark/>
          </w:tcPr>
          <w:p w14:paraId="4D8E541B"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Polymer membranes, encapsulation</w:t>
            </w:r>
          </w:p>
        </w:tc>
        <w:tc>
          <w:tcPr>
            <w:tcW w:w="0" w:type="auto"/>
            <w:vAlign w:val="center"/>
            <w:hideMark/>
          </w:tcPr>
          <w:p w14:paraId="683D5FD4"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Long-duration storage, microgrid flexibility</w:t>
            </w:r>
          </w:p>
        </w:tc>
        <w:tc>
          <w:tcPr>
            <w:tcW w:w="0" w:type="auto"/>
            <w:vAlign w:val="center"/>
            <w:hideMark/>
          </w:tcPr>
          <w:p w14:paraId="159247EC"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Scalable; polymers improve efficiency and durability</w:t>
            </w:r>
            <w:r w:rsidR="00653700">
              <w:rPr>
                <w:rFonts w:ascii="Times New Roman" w:hAnsi="Times New Roman" w:cs="Times New Roman"/>
              </w:rPr>
              <w:fldChar w:fldCharType="begin"/>
            </w:r>
            <w:r w:rsidR="00653700">
              <w:rPr>
                <w:rFonts w:ascii="Times New Roman" w:hAnsi="Times New Roman" w:cs="Times New Roman"/>
              </w:rPr>
              <w:instrText xml:space="preserve"> ADDIN ZOTERO_ITEM CSL_CITATION {"citationID":"5nJ4XlKw","properties":{"formattedCitation":"(Enasel &amp; Dumitrascu, 2025)","plainCitation":"(Enasel &amp; Dumitrascu, 2025)","noteIndex":0},"citationItems":[{"id":12430,"uris":["http://zotero.org/users/16652950/items/MDVGVJ2E"],"itemData":{"id":12430,"type":"article-journal","abstract":"This review investigates the integration of renewable energy systems with diverse energy storage technologies to enhance reliability and sustainability. Key findings include the high energy density and scalability of lithium-ion and flow batteries, which are crucial for grid-scale applications, despite challenges in cost and raw material availability. Electrical storage methods, such as supercapacitors, provide rapid response capabilities but are limited by low energy density. Mechanical systems, including pumped hydro and compressed air storage, excel in large-scale scenarios but face geographical constraints. Emerging chemical storage technologies, including hydrogen and synthetic natural gas, offer long-term solutions but require advancements in efficiency. Thermal storage systems, such as molten salt and latent heat storage, show significant potential for renewable integration in heating and cooling, although material costs remain a barrier. The integration of hybrid systems demonstrates improved reliability and efficiency, highlighting the necessity of combining technologies to address the intermittent nature of renewable energy. Overall, the findings underscore advancements, challenges, and future research directions required for scalable and sustainable energy storage solutions.","container-title":"Energy Nexus","DOI":"10.1016/j.nexus.2025.100391","ISSN":"2772-4271","journalAbbreviation":"Energy Nexus","page":"100391","source":"ScienceDirect","title":"Storage solutions for renewable energy: A review","title-short":"Storage solutions for renewable energy","volume":"17","author":[{"family":"Enasel","given":"Eduard"},{"family":"Dumitrascu","given":"Gheorghe"}],"issued":{"date-parts":[["2025",3,1]]}}}],"schema":"https://github.com/citation-style-language/schema/raw/master/csl-citation.json"} </w:instrText>
            </w:r>
            <w:r w:rsidR="00653700">
              <w:rPr>
                <w:rFonts w:ascii="Times New Roman" w:hAnsi="Times New Roman" w:cs="Times New Roman"/>
              </w:rPr>
              <w:fldChar w:fldCharType="separate"/>
            </w:r>
            <w:r w:rsidR="00653700" w:rsidRPr="00653700">
              <w:rPr>
                <w:rFonts w:ascii="Times New Roman" w:hAnsi="Times New Roman" w:cs="Times New Roman"/>
              </w:rPr>
              <w:t>(Enasel &amp; Dumitrascu, 2025)</w:t>
            </w:r>
            <w:r w:rsidR="00653700">
              <w:rPr>
                <w:rFonts w:ascii="Times New Roman" w:hAnsi="Times New Roman" w:cs="Times New Roman"/>
              </w:rPr>
              <w:fldChar w:fldCharType="end"/>
            </w:r>
          </w:p>
        </w:tc>
      </w:tr>
      <w:tr w:rsidR="00C6191D" w:rsidRPr="00C6191D" w14:paraId="5FEEFE0F" w14:textId="77777777" w:rsidTr="00C6191D">
        <w:trPr>
          <w:tblCellSpacing w:w="15" w:type="dxa"/>
        </w:trPr>
        <w:tc>
          <w:tcPr>
            <w:tcW w:w="0" w:type="auto"/>
            <w:vAlign w:val="center"/>
            <w:hideMark/>
          </w:tcPr>
          <w:p w14:paraId="05AEF149"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Supercapacitor</w:t>
            </w:r>
          </w:p>
        </w:tc>
        <w:tc>
          <w:tcPr>
            <w:tcW w:w="0" w:type="auto"/>
            <w:vAlign w:val="center"/>
            <w:hideMark/>
          </w:tcPr>
          <w:p w14:paraId="236B23E3"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Low</w:t>
            </w:r>
          </w:p>
        </w:tc>
        <w:tc>
          <w:tcPr>
            <w:tcW w:w="0" w:type="auto"/>
            <w:vAlign w:val="center"/>
            <w:hideMark/>
          </w:tcPr>
          <w:p w14:paraId="604C6EF0"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Very High</w:t>
            </w:r>
          </w:p>
        </w:tc>
        <w:tc>
          <w:tcPr>
            <w:tcW w:w="0" w:type="auto"/>
            <w:vAlign w:val="center"/>
            <w:hideMark/>
          </w:tcPr>
          <w:p w14:paraId="6F48E538"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High</w:t>
            </w:r>
          </w:p>
        </w:tc>
        <w:tc>
          <w:tcPr>
            <w:tcW w:w="0" w:type="auto"/>
            <w:vAlign w:val="center"/>
            <w:hideMark/>
          </w:tcPr>
          <w:p w14:paraId="5A8E9518"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Very High</w:t>
            </w:r>
          </w:p>
        </w:tc>
        <w:tc>
          <w:tcPr>
            <w:tcW w:w="0" w:type="auto"/>
            <w:vAlign w:val="center"/>
            <w:hideMark/>
          </w:tcPr>
          <w:p w14:paraId="2AFAAE62"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Conductive polymers, encapsulation</w:t>
            </w:r>
          </w:p>
        </w:tc>
        <w:tc>
          <w:tcPr>
            <w:tcW w:w="0" w:type="auto"/>
            <w:vAlign w:val="center"/>
            <w:hideMark/>
          </w:tcPr>
          <w:p w14:paraId="6E00B852"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Short-term smoothing, frequency support</w:t>
            </w:r>
          </w:p>
        </w:tc>
        <w:tc>
          <w:tcPr>
            <w:tcW w:w="0" w:type="auto"/>
            <w:vAlign w:val="center"/>
            <w:hideMark/>
          </w:tcPr>
          <w:p w14:paraId="2CAC1003"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Complementary in hybrid architectures</w:t>
            </w:r>
            <w:r w:rsidR="00653700">
              <w:rPr>
                <w:rFonts w:ascii="Times New Roman" w:hAnsi="Times New Roman" w:cs="Times New Roman"/>
              </w:rPr>
              <w:fldChar w:fldCharType="begin"/>
            </w:r>
            <w:r w:rsidR="00653700">
              <w:rPr>
                <w:rFonts w:ascii="Times New Roman" w:hAnsi="Times New Roman" w:cs="Times New Roman"/>
              </w:rPr>
              <w:instrText xml:space="preserve"> ADDIN ZOTERO_ITEM CSL_CITATION {"citationID":"TOAZzQAT","properties":{"formattedCitation":"(Tadesse et al., 2024)","plainCitation":"(Tadesse et al., 2024)","noteIndex":0},"citationItems":[{"id":12468,"uris":["http://zotero.org/users/16652950/items/CAFWE3XT"],"itemData":{"id":12468,"type":"article-journal","abstract":"The rising demand for energy storage systems with high power density, rapid charge/discharge capabilities, and long cycle life has pushed extensive re...","container-title":"Journal of Composites Science","DOI":"10.3390/jcs8020053","ISSN":"2504-477X","issue":"2","language":"en","license":"http://creativecommons.org/licenses/by/3.0/","note":"Company: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publisher","source":"www.mdpi.com","title":"Review on Conductive Polymer Composites for Supercapacitor Applications","URL":"https://www.mdpi.com/2504-477X/8/2/53","volume":"8","author":[{"family":"Tadesse","given":"Melkie Getnet"},{"family":"Ahmmed","given":"Abdella Simegnaw"},{"family":"Lübben","given":"Jörn Felix"},{"family":"Tadesse","given":"Melkie Getnet"},{"family":"Ahmmed","given":"Abdella Simegnaw"},{"family":"Lübben","given":"Jörn Felix"}],"accessed":{"date-parts":[["2025",12,24]]},"issued":{"date-parts":[["2024",1,29]]}}}],"schema":"https://github.com/citation-style-language/schema/raw/master/csl-citation.json"} </w:instrText>
            </w:r>
            <w:r w:rsidR="00653700">
              <w:rPr>
                <w:rFonts w:ascii="Times New Roman" w:hAnsi="Times New Roman" w:cs="Times New Roman"/>
              </w:rPr>
              <w:fldChar w:fldCharType="separate"/>
            </w:r>
            <w:r w:rsidR="00653700" w:rsidRPr="00653700">
              <w:rPr>
                <w:rFonts w:ascii="Times New Roman" w:hAnsi="Times New Roman" w:cs="Times New Roman"/>
              </w:rPr>
              <w:t>(Tadesse et al., 2024)</w:t>
            </w:r>
            <w:r w:rsidR="00653700">
              <w:rPr>
                <w:rFonts w:ascii="Times New Roman" w:hAnsi="Times New Roman" w:cs="Times New Roman"/>
              </w:rPr>
              <w:fldChar w:fldCharType="end"/>
            </w:r>
          </w:p>
        </w:tc>
      </w:tr>
    </w:tbl>
    <w:p w14:paraId="6E955D6A" w14:textId="77777777" w:rsidR="00C6191D" w:rsidRPr="00CC4AF3" w:rsidRDefault="00C6191D" w:rsidP="00CC4AF3">
      <w:pPr>
        <w:rPr>
          <w:rFonts w:ascii="Times New Roman" w:hAnsi="Times New Roman" w:cs="Times New Roman"/>
        </w:rPr>
      </w:pPr>
    </w:p>
    <w:p w14:paraId="732D8EC9" w14:textId="77777777" w:rsidR="00CC4AF3" w:rsidRPr="00CC4AF3" w:rsidRDefault="00CC4AF3" w:rsidP="00CC4AF3">
      <w:pPr>
        <w:rPr>
          <w:rFonts w:ascii="Times New Roman" w:hAnsi="Times New Roman" w:cs="Times New Roman"/>
          <w:b/>
          <w:bCs/>
        </w:rPr>
      </w:pPr>
      <w:r w:rsidRPr="00CC4AF3">
        <w:rPr>
          <w:rFonts w:ascii="Times New Roman" w:hAnsi="Times New Roman" w:cs="Times New Roman"/>
          <w:b/>
          <w:bCs/>
        </w:rPr>
        <w:t>3.3 Role of Polymers in Energy Storage Systems</w:t>
      </w:r>
    </w:p>
    <w:p w14:paraId="35CBA8C9" w14:textId="77777777" w:rsidR="00CC4AF3" w:rsidRPr="00CC4AF3" w:rsidRDefault="00CC4AF3" w:rsidP="00CC4AF3">
      <w:pPr>
        <w:rPr>
          <w:rFonts w:ascii="Times New Roman" w:hAnsi="Times New Roman" w:cs="Times New Roman"/>
        </w:rPr>
      </w:pPr>
      <w:r w:rsidRPr="00CC4AF3">
        <w:rPr>
          <w:rFonts w:ascii="Times New Roman" w:hAnsi="Times New Roman" w:cs="Times New Roman"/>
        </w:rPr>
        <w:t>Polymers play a foundational role in enabling the performance, safety, and durability of electrochemical energy storage systems, yet their system-level significance is often underappreciated in grid integration discussions. Polymer electrolytes and gel polymer electrolytes have received considerable attention as safer alternatives to conventional liquid electrolytes, offering improved thermal stability, reduced leakage risk, and enhanced compatibility with high-energy electrode materials. These attributes are particularly relevant for stationary storage installations, where safety and long-term reliability are paramount</w:t>
      </w:r>
      <w:r w:rsidR="007D70D4">
        <w:rPr>
          <w:rFonts w:ascii="Times New Roman" w:hAnsi="Times New Roman" w:cs="Times New Roman"/>
        </w:rPr>
        <w:fldChar w:fldCharType="begin"/>
      </w:r>
      <w:r w:rsidR="007D70D4">
        <w:rPr>
          <w:rFonts w:ascii="Times New Roman" w:hAnsi="Times New Roman" w:cs="Times New Roman"/>
        </w:rPr>
        <w:instrText xml:space="preserve"> ADDIN ZOTERO_ITEM CSL_CITATION {"citationID":"7tUIBSJ2","properties":{"formattedCitation":"(Ahmed et al., 2024)","plainCitation":"(Ahmed et al., 2024)","noteIndex":0},"citationItems":[{"id":12470,"uris":["http://zotero.org/users/16652950/items/WGW6EFPV"],"itemData":{"id":12470,"type":"article-journal","abstract":"The rapid expansion of flexible and wearable electronics has necessitated a focus on ensuring their safety and operational reliability. Gel polymer el...","container-title":"Gels","DOI":"10.3390/gels10090563","ISSN":"2310-2861","issue":"9","language":"en","license":"http://creativecommons.org/licenses/by/3.0/","note":"Company: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publisher","source":"www.mdpi.com","title":"A Comprehensive Review of Functional Gel Polymer Electrolytes and Applications in Lithium-Ion Battery","URL":"https://www.mdpi.com/2310-2861/10/9/563","volume":"10","author":[{"family":"Ahmed","given":"Md Shahriar"},{"family":"Islam","given":"Mobinul"},{"family":"Raut","given":"Bikash"},{"family":"Yun","given":"Sua"},{"family":"Kim","given":"Hae Yong"},{"family":"Nam","given":"Kyung-Wan"},{"family":"Ahmed","given":"Md Shahriar"},{"family":"Islam","given":"Mobinul"},{"family":"Raut","given":"Bikash"},{"family":"Yun","given":"Sua"},{"family":"Kim","given":"Hae Yong"},{"family":"Nam","given":"Kyung-Wan"}],"accessed":{"date-parts":[["2025",12,24]]},"issued":{"date-parts":[["2024",8,28]]}}}],"schema":"https://github.com/citation-style-language/schema/raw/master/csl-citation.json"} </w:instrText>
      </w:r>
      <w:r w:rsidR="007D70D4">
        <w:rPr>
          <w:rFonts w:ascii="Times New Roman" w:hAnsi="Times New Roman" w:cs="Times New Roman"/>
        </w:rPr>
        <w:fldChar w:fldCharType="separate"/>
      </w:r>
      <w:r w:rsidR="007D70D4" w:rsidRPr="007D70D4">
        <w:rPr>
          <w:rFonts w:ascii="Times New Roman" w:hAnsi="Times New Roman" w:cs="Times New Roman"/>
        </w:rPr>
        <w:t>(Ahmed et al., 2024)</w:t>
      </w:r>
      <w:r w:rsidR="007D70D4">
        <w:rPr>
          <w:rFonts w:ascii="Times New Roman" w:hAnsi="Times New Roman" w:cs="Times New Roman"/>
        </w:rPr>
        <w:fldChar w:fldCharType="end"/>
      </w:r>
      <w:r w:rsidRPr="00CC4AF3">
        <w:rPr>
          <w:rFonts w:ascii="Times New Roman" w:hAnsi="Times New Roman" w:cs="Times New Roman"/>
        </w:rPr>
        <w:t>.</w:t>
      </w:r>
    </w:p>
    <w:p w14:paraId="6116F2EC" w14:textId="77777777" w:rsidR="00CC4AF3" w:rsidRPr="00CC4AF3" w:rsidRDefault="00CC4AF3" w:rsidP="00CC4AF3">
      <w:pPr>
        <w:rPr>
          <w:rFonts w:ascii="Times New Roman" w:hAnsi="Times New Roman" w:cs="Times New Roman"/>
        </w:rPr>
      </w:pPr>
      <w:r w:rsidRPr="00CC4AF3">
        <w:rPr>
          <w:rFonts w:ascii="Times New Roman" w:hAnsi="Times New Roman" w:cs="Times New Roman"/>
        </w:rPr>
        <w:t>Polymer binders and separators are equally critical, influencing ionic transport, electrode integrity, and mechanical stability during repeated charge–discharge cycles. Advances in polymer chemistry have enabled separators with improved porosity control, thermal shutdown characteristics, and chemical resistance, directly contributing to enhanced cycle life and operational safety. Conductive and redox-active polymers have also emerged as functional materials in next-generation batteries and supercapacitors, providing opportunities to tailor electrochemical performance while maintaining mechanical flexibility and processability</w:t>
      </w:r>
      <w:r w:rsidR="007D70D4">
        <w:rPr>
          <w:rFonts w:ascii="Times New Roman" w:hAnsi="Times New Roman" w:cs="Times New Roman"/>
        </w:rPr>
        <w:fldChar w:fldCharType="begin"/>
      </w:r>
      <w:r w:rsidR="007D70D4">
        <w:rPr>
          <w:rFonts w:ascii="Times New Roman" w:hAnsi="Times New Roman" w:cs="Times New Roman"/>
        </w:rPr>
        <w:instrText xml:space="preserve"> ADDIN ZOTERO_ITEM CSL_CITATION {"citationID":"m784NYfb","properties":{"formattedCitation":"(Lee et al., 2023)","plainCitation":"(Lee et al., 2023)","noteIndex":0},"citationItems":[{"id":12473,"uris":["http://zotero.org/users/16652950/items/HJX8IWIG"],"itemData":{"id":12473,"type":"article-journal","abstract":"Lithium-ion batteries (LIBs) have become indispensable energy-storage devices for various applications, ranging from portable electronics to electric ...","container-title":"Polymers","DOI":"10.3390/polym15234477","ISSN":"2073-4360","issue":"23","language":"en","license":"http://creativecommons.org/licenses/by/3.0/","note":"Company: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publisher","source":"www.mdpi.com","title":"Advances in Polymer Binder Materials for Lithium-Ion Battery Electrodes and Separators","URL":"https://www.mdpi.com/2073-4360/15/23/4477","volume":"15","author":[{"family":"Lee","given":"Siyeon"},{"family":"Koo","given":"Heejin"},{"family":"Kang","given":"Hong Suk"},{"family":"Oh","given":"Keun-Hwan"},{"family":"Nam","given":"Kwan Woo"},{"family":"Lee","given":"Siyeon"},{"family":"Koo","given":"Heejin"},{"family":"Kang","given":"Hong Suk"},{"family":"Oh","given":"Keun-Hwan"},{"family":"Nam","given":"Kwan Woo"}],"accessed":{"date-parts":[["2025",12,24]]},"issued":{"date-parts":[["2023",11,20]]}}}],"schema":"https://github.com/citation-style-language/schema/raw/master/csl-citation.json"} </w:instrText>
      </w:r>
      <w:r w:rsidR="007D70D4">
        <w:rPr>
          <w:rFonts w:ascii="Times New Roman" w:hAnsi="Times New Roman" w:cs="Times New Roman"/>
        </w:rPr>
        <w:fldChar w:fldCharType="separate"/>
      </w:r>
      <w:r w:rsidR="007D70D4" w:rsidRPr="007D70D4">
        <w:rPr>
          <w:rFonts w:ascii="Times New Roman" w:hAnsi="Times New Roman" w:cs="Times New Roman"/>
        </w:rPr>
        <w:t>(Lee et al., 2023)</w:t>
      </w:r>
      <w:r w:rsidR="007D70D4">
        <w:rPr>
          <w:rFonts w:ascii="Times New Roman" w:hAnsi="Times New Roman" w:cs="Times New Roman"/>
        </w:rPr>
        <w:fldChar w:fldCharType="end"/>
      </w:r>
      <w:r w:rsidRPr="00CC4AF3">
        <w:rPr>
          <w:rFonts w:ascii="Times New Roman" w:hAnsi="Times New Roman" w:cs="Times New Roman"/>
        </w:rPr>
        <w:t>.</w:t>
      </w:r>
    </w:p>
    <w:p w14:paraId="487221A6" w14:textId="77777777" w:rsidR="00CC4AF3" w:rsidRDefault="00CC4AF3" w:rsidP="00CC4AF3">
      <w:pPr>
        <w:rPr>
          <w:rFonts w:ascii="Times New Roman" w:hAnsi="Times New Roman" w:cs="Times New Roman"/>
        </w:rPr>
      </w:pPr>
      <w:r w:rsidRPr="00CC4AF3">
        <w:rPr>
          <w:rFonts w:ascii="Times New Roman" w:hAnsi="Times New Roman" w:cs="Times New Roman"/>
        </w:rPr>
        <w:t>In flow battery systems, polymer-based membranes govern ion selectivity, crossover rates, and overall efficiency, with direct implications for energy efficiency and system longevity. Beyond performance considerations, polymer materials play an important role in determining the scalability, recyclability, and environmental footprint of storage technologies. As grid-scale deployment accelerates, polymer design choices increasingly influence lifecycle performance and the feasibility of sustainable, circular energy storage systems</w:t>
      </w:r>
      <w:r w:rsidR="007D70D4">
        <w:rPr>
          <w:rFonts w:ascii="Times New Roman" w:hAnsi="Times New Roman" w:cs="Times New Roman"/>
        </w:rPr>
        <w:fldChar w:fldCharType="begin"/>
      </w:r>
      <w:r w:rsidR="007D70D4">
        <w:rPr>
          <w:rFonts w:ascii="Times New Roman" w:hAnsi="Times New Roman" w:cs="Times New Roman"/>
        </w:rPr>
        <w:instrText xml:space="preserve"> ADDIN ZOTERO_ITEM CSL_CITATION {"citationID":"bQHibyC6","properties":{"formattedCitation":"(Wong et al., 2025)","plainCitation":"(Wong et al., 2025)","noteIndex":0},"citationItems":[{"id":12475,"uris":["http://zotero.org/users/16652950/items/V2GWHRB9"],"itemData":{"id":12475,"type":"article-journal","abstract":"Redox flow batteries (RFBs) are promising for long-duration grid-scale sustainable energy storage. The ion-exchange membrane is a key component that determines energy efficiency and cycling stability. However, it remains challenging to develop membranes with high ionic conductivity and high selectivity toward redox-active electrolytes. We report the development of ion-conductive polymer membranes with record-breaking energy efficiency. By incorporating triptycene into poly(ether-ether-ketone) and controlled sulfonation, the resulting intrinsically microporous polymer membranes form highly interconnected water channels that facilitate transport of charge-balancing ions, particularly hydroxide anions. These microporous membranes showed high ionic conductivity without compromising the selectivity toward redox-active species. The membranes enabled excellent performance in alkaline aqueous organic and zinc-iron flow batteries, demonstrating long-term stability, high power density, and an operational current density up to 700 mA cm−2. The membranes also improved performance in neutral pH aqueous RFBs with high capacity utilization and retention, enhanced energy efficiency, and boosted power density.","container-title":"Joule","DOI":"10.1016/j.joule.2024.11.012","ISSN":"2542-4351","issue":"2","journalAbbreviation":"Joule","page":"101795","source":"ScienceDirect","title":"Sulfonated poly(ether-ether-ketone) membranes with intrinsic microporosity enable efficient redox flow batteries for energy storage","volume":"9","author":[{"family":"Wong","given":"Toby"},{"family":"Yang","given":"Yijie"},{"family":"Tan","given":"Rui"},{"family":"Wang","given":"Anqi"},{"family":"Zhou","given":"Zhou"},{"family":"Yuan","given":"Zhizhang"},{"family":"Li","given":"Jiaxi"},{"family":"Liu","given":"Dezhi"},{"family":"Alvarez-Fernandez","given":"Alberto"},{"family":"Ye","given":"Chunchun"},{"family":"Sankey","given":"Mark"},{"family":"Ainsworth","given":"David"},{"family":"Guldin","given":"Stefan"},{"family":"Foglia","given":"Fabrizia"},{"family":"McKeown","given":"Neil B."},{"family":"Jelfs","given":"Kim E."},{"family":"Li","given":"Xianfeng"},{"family":"Song","given":"Qilei"}],"issued":{"date-parts":[["2025",2,19]]}}}],"schema":"https://github.com/citation-style-language/schema/raw/master/csl-citation.json"} </w:instrText>
      </w:r>
      <w:r w:rsidR="007D70D4">
        <w:rPr>
          <w:rFonts w:ascii="Times New Roman" w:hAnsi="Times New Roman" w:cs="Times New Roman"/>
        </w:rPr>
        <w:fldChar w:fldCharType="separate"/>
      </w:r>
      <w:r w:rsidR="007D70D4" w:rsidRPr="007D70D4">
        <w:rPr>
          <w:rFonts w:ascii="Times New Roman" w:hAnsi="Times New Roman" w:cs="Times New Roman"/>
        </w:rPr>
        <w:t>(Wong et al., 2025)</w:t>
      </w:r>
      <w:r w:rsidR="007D70D4">
        <w:rPr>
          <w:rFonts w:ascii="Times New Roman" w:hAnsi="Times New Roman" w:cs="Times New Roman"/>
        </w:rPr>
        <w:fldChar w:fldCharType="end"/>
      </w:r>
      <w:r w:rsidRPr="00CC4AF3">
        <w:rPr>
          <w:rFonts w:ascii="Times New Roman" w:hAnsi="Times New Roman" w:cs="Times New Roman"/>
        </w:rPr>
        <w:t>.</w:t>
      </w:r>
    </w:p>
    <w:p w14:paraId="5D81B5F2" w14:textId="77777777" w:rsidR="00D82DFE" w:rsidRDefault="00D82DFE" w:rsidP="00D82DFE">
      <w:pPr>
        <w:rPr>
          <w:rFonts w:ascii="Times New Roman" w:hAnsi="Times New Roman" w:cs="Times New Roman"/>
        </w:rPr>
      </w:pPr>
      <w:r w:rsidRPr="00D82DFE">
        <w:rPr>
          <w:rFonts w:ascii="Times New Roman" w:hAnsi="Times New Roman" w:cs="Times New Roman"/>
        </w:rPr>
        <w:t xml:space="preserve">The impact of polymer-enabled components on energy storage system performance is summarized in Figure </w:t>
      </w:r>
      <w:r>
        <w:rPr>
          <w:rFonts w:ascii="Times New Roman" w:hAnsi="Times New Roman" w:cs="Times New Roman"/>
        </w:rPr>
        <w:t>1</w:t>
      </w:r>
      <w:r w:rsidRPr="00D82DFE">
        <w:rPr>
          <w:rFonts w:ascii="Times New Roman" w:hAnsi="Times New Roman" w:cs="Times New Roman"/>
        </w:rPr>
        <w:t>. The radar chart compares conventional and polymer-enhanced systems across key metrics</w:t>
      </w:r>
      <w:r w:rsidR="00100338">
        <w:rPr>
          <w:rFonts w:ascii="Times New Roman" w:hAnsi="Times New Roman" w:cs="Times New Roman"/>
        </w:rPr>
        <w:t>,</w:t>
      </w:r>
      <w:r w:rsidRPr="00D82DFE">
        <w:rPr>
          <w:rFonts w:ascii="Times New Roman" w:hAnsi="Times New Roman" w:cs="Times New Roman"/>
        </w:rPr>
        <w:t xml:space="preserve"> including cycle life, thermal stability, safety, energy efficiency, and sustainability. Insets highlight the specific polymer-based components</w:t>
      </w:r>
      <w:r w:rsidR="00100338">
        <w:rPr>
          <w:rFonts w:ascii="Times New Roman" w:hAnsi="Times New Roman" w:cs="Times New Roman"/>
        </w:rPr>
        <w:t xml:space="preserve">, </w:t>
      </w:r>
      <w:r w:rsidRPr="00D82DFE">
        <w:rPr>
          <w:rFonts w:ascii="Times New Roman" w:hAnsi="Times New Roman" w:cs="Times New Roman"/>
        </w:rPr>
        <w:t>electrolytes, separators, and encapsulation materials</w:t>
      </w:r>
      <w:r w:rsidR="00100338">
        <w:rPr>
          <w:rFonts w:ascii="Times New Roman" w:hAnsi="Times New Roman" w:cs="Times New Roman"/>
        </w:rPr>
        <w:t xml:space="preserve">, </w:t>
      </w:r>
      <w:r w:rsidRPr="00D82DFE">
        <w:rPr>
          <w:rFonts w:ascii="Times New Roman" w:hAnsi="Times New Roman" w:cs="Times New Roman"/>
        </w:rPr>
        <w:t>illustrating how material innovations translate to improved system-level performance and reliability.”</w:t>
      </w:r>
    </w:p>
    <w:p w14:paraId="542DDA2E" w14:textId="77777777" w:rsidR="00D82DFE" w:rsidRDefault="00D82DFE" w:rsidP="00D82DFE">
      <w:pPr>
        <w:rPr>
          <w:rFonts w:ascii="Times New Roman" w:hAnsi="Times New Roman" w:cs="Times New Roman"/>
        </w:rPr>
      </w:pPr>
      <w:r>
        <w:rPr>
          <w:rFonts w:ascii="Times New Roman" w:hAnsi="Times New Roman" w:cs="Times New Roman"/>
          <w:noProof/>
        </w:rPr>
        <w:lastRenderedPageBreak/>
        <w:drawing>
          <wp:inline distT="0" distB="0" distL="0" distR="0" wp14:anchorId="49BE63F8" wp14:editId="280DFD42">
            <wp:extent cx="5943600" cy="3962400"/>
            <wp:effectExtent l="0" t="0" r="0" b="0"/>
            <wp:docPr id="16830279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27918" name="Picture 1683027918"/>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E180BAC" w14:textId="0E471107" w:rsidR="00D82DFE" w:rsidRDefault="00D82DFE" w:rsidP="00CC4AF3">
      <w:pPr>
        <w:rPr>
          <w:rFonts w:ascii="Times New Roman" w:hAnsi="Times New Roman" w:cs="Times New Roman"/>
          <w:i/>
          <w:iCs/>
        </w:rPr>
      </w:pPr>
      <w:r w:rsidRPr="00D82DFE">
        <w:rPr>
          <w:rFonts w:ascii="Times New Roman" w:hAnsi="Times New Roman" w:cs="Times New Roman"/>
          <w:i/>
          <w:iCs/>
        </w:rPr>
        <w:t xml:space="preserve">Figure </w:t>
      </w:r>
      <w:r w:rsidR="00B91814">
        <w:rPr>
          <w:rFonts w:ascii="Times New Roman" w:hAnsi="Times New Roman" w:cs="Times New Roman"/>
          <w:i/>
          <w:iCs/>
        </w:rPr>
        <w:t>1</w:t>
      </w:r>
      <w:r w:rsidRPr="00D82DFE">
        <w:rPr>
          <w:rFonts w:ascii="Times New Roman" w:hAnsi="Times New Roman" w:cs="Times New Roman"/>
          <w:i/>
          <w:iCs/>
        </w:rPr>
        <w:t>. Polymer-Enabled Energy Storage Impact on System Performance</w:t>
      </w:r>
      <w:r>
        <w:rPr>
          <w:rFonts w:ascii="Times New Roman" w:hAnsi="Times New Roman" w:cs="Times New Roman"/>
        </w:rPr>
        <w:t xml:space="preserve">. </w:t>
      </w:r>
      <w:r w:rsidRPr="00D82DFE">
        <w:rPr>
          <w:rFonts w:ascii="Times New Roman" w:hAnsi="Times New Roman" w:cs="Times New Roman"/>
          <w:i/>
          <w:iCs/>
        </w:rPr>
        <w:t>The figure compares conventional and polymer-enhanced energy storage systems across five critical metrics: cycle life, safety (thermal stability), energy efficiency, operational reliability, and sustainability/scalability. Polymer-enabled components</w:t>
      </w:r>
      <w:r w:rsidR="00100338">
        <w:rPr>
          <w:rFonts w:ascii="Times New Roman" w:hAnsi="Times New Roman" w:cs="Times New Roman"/>
          <w:i/>
          <w:iCs/>
        </w:rPr>
        <w:t xml:space="preserve"> </w:t>
      </w:r>
      <w:r w:rsidRPr="00D82DFE">
        <w:rPr>
          <w:rFonts w:ascii="Times New Roman" w:hAnsi="Times New Roman" w:cs="Times New Roman"/>
          <w:i/>
          <w:iCs/>
        </w:rPr>
        <w:t>including electrolytes, separators, and encapsulation materials</w:t>
      </w:r>
      <w:r w:rsidR="00100338">
        <w:rPr>
          <w:rFonts w:ascii="Times New Roman" w:hAnsi="Times New Roman" w:cs="Times New Roman"/>
          <w:i/>
          <w:iCs/>
        </w:rPr>
        <w:t xml:space="preserve"> </w:t>
      </w:r>
      <w:r w:rsidRPr="00D82DFE">
        <w:rPr>
          <w:rFonts w:ascii="Times New Roman" w:hAnsi="Times New Roman" w:cs="Times New Roman"/>
          <w:i/>
          <w:iCs/>
        </w:rPr>
        <w:t>contribute to improvements in performance, safety, and long-term operational reliability. The radar chart visually conveys how materials innovation directly influences system-level outcomes relevant to grid and microgrid integration.</w:t>
      </w:r>
    </w:p>
    <w:p w14:paraId="4F436B34" w14:textId="560970F7" w:rsidR="003241A9" w:rsidRPr="00CC4AF3" w:rsidRDefault="003241A9" w:rsidP="00CC4AF3">
      <w:pPr>
        <w:rPr>
          <w:rFonts w:ascii="Times New Roman" w:hAnsi="Times New Roman" w:cs="Times New Roman"/>
        </w:rPr>
      </w:pPr>
      <w:r w:rsidRPr="003241A9">
        <w:rPr>
          <w:rFonts w:ascii="Times New Roman" w:hAnsi="Times New Roman" w:cs="Times New Roman"/>
        </w:rPr>
        <w:t>The influence of polymer-enabled components extends beyond cell-level performance to system-level grid operation. For example, polymer electrolytes with enhanced thermal stability reduce the risk of thermal runaway, improving the reliability of storage systems during islanded microgrid operation. Similarly, advanced polymer separators and binders enhance cycle life and mechanical integrity, enabling sustained high-frequency cycling for ancillary services such as frequency regulation. These material-level improvements translate directly into improved availability, safety, and operational flexibility at the grid and microgrid level</w:t>
      </w:r>
      <w:r>
        <w:rPr>
          <w:rFonts w:ascii="Times New Roman" w:hAnsi="Times New Roman" w:cs="Times New Roman"/>
        </w:rPr>
        <w:fldChar w:fldCharType="begin"/>
      </w:r>
      <w:r>
        <w:rPr>
          <w:rFonts w:ascii="Times New Roman" w:hAnsi="Times New Roman" w:cs="Times New Roman"/>
        </w:rPr>
        <w:instrText xml:space="preserve"> ADDIN ZOTERO_ITEM CSL_CITATION {"citationID":"zvNqag7z","properties":{"formattedCitation":"(Lateef &amp; Awwal, 2025a)","plainCitation":"(Lateef &amp; Awwal, 2025a)","noteIndex":0},"citationItems":[{"id":11422,"uris":["http://zotero.org/users/16652950/items/I5556P6L"],"itemData":{"id":11422,"type":"article-journal","abstract":"The critical need to rehabilitate or replace aging highway infrastructure with minimal disruption has propelled Accelerated Bridge Construction (ABC) to a mainstream imperative. This paper presents a structured narrative review of post-2018 literature, synthesizing significant advancements in ABC across three core pillars: materials, construction methods, and implementation challenges. The review examines the transformative role of advanced materials, particularly Ultra-High-Performance Concrete (UHPC), in creating robust connections with development lengths reduced by up to 70%, as well as the growing application of Fiber-Reinforced Polymer (FRP) composites. It then analyzes the evolution of construction methods, including large-scale modular systems and the use of Self-Propelled Modular Transporters (SPMTs), which have enabled full bridge replacement in as little as 48 hours. Innovative geotechnical solutions, such as Geosynthetic Reinforced Soil (GRS) abutments, are also discussed as critical enablers. Finally, this review addresses persistent implementation challenges, including design standardization, logistics, workforce training, and the necessity of comprehensive cost-benefit analyses. This synthesis provides a consolidated reference for practitioners and researchers, concluding that the future of ABC hinges on policy development, digital integration, and a systemic shift toward life-cycle and sustainability-based procurement.","container-title":"Journal of Basic and Applied Research International","DOI":"10.56557/jobari/2025/v31i69985","ISSN":"2395-3446","issue":"6","language":"en","page":"99-111","source":"www.ikprress.org","title":"A Narrative Review of Recent Advances in Accelerated Bridge Construction: Materials, Methods, and Implementation Challenges","title-short":"A Narrative Review of Recent Advances in Accelerated Bridge Construction","volume":"31","author":[{"family":"Lateef","given":"Jamiu"},{"family":"Awwal","given":"Imran Muhammed"}],"issued":{"date-parts":[["2025",12,1]]}}}],"schema":"https://github.com/citation-style-language/schema/raw/master/csl-citation.json"} </w:instrText>
      </w:r>
      <w:r>
        <w:rPr>
          <w:rFonts w:ascii="Times New Roman" w:hAnsi="Times New Roman" w:cs="Times New Roman"/>
        </w:rPr>
        <w:fldChar w:fldCharType="separate"/>
      </w:r>
      <w:r w:rsidRPr="003241A9">
        <w:rPr>
          <w:rFonts w:ascii="Times New Roman" w:hAnsi="Times New Roman" w:cs="Times New Roman"/>
        </w:rPr>
        <w:t>(Lateef &amp; Awwal, 2025a)</w:t>
      </w:r>
      <w:r>
        <w:rPr>
          <w:rFonts w:ascii="Times New Roman" w:hAnsi="Times New Roman" w:cs="Times New Roman"/>
        </w:rPr>
        <w:fldChar w:fldCharType="end"/>
      </w:r>
      <w:r w:rsidRPr="003241A9">
        <w:rPr>
          <w:rFonts w:ascii="Times New Roman" w:hAnsi="Times New Roman" w:cs="Times New Roman"/>
        </w:rPr>
        <w:t>.</w:t>
      </w:r>
    </w:p>
    <w:p w14:paraId="7B84B413" w14:textId="77777777" w:rsidR="00CC4AF3" w:rsidRPr="00CC4AF3" w:rsidRDefault="00CC4AF3" w:rsidP="00CC4AF3">
      <w:pPr>
        <w:rPr>
          <w:rFonts w:ascii="Times New Roman" w:hAnsi="Times New Roman" w:cs="Times New Roman"/>
          <w:b/>
          <w:bCs/>
        </w:rPr>
      </w:pPr>
      <w:r w:rsidRPr="00CC4AF3">
        <w:rPr>
          <w:rFonts w:ascii="Times New Roman" w:hAnsi="Times New Roman" w:cs="Times New Roman"/>
          <w:b/>
          <w:bCs/>
        </w:rPr>
        <w:t>3.4 Hybrid and Modular Storage Architectures</w:t>
      </w:r>
    </w:p>
    <w:p w14:paraId="2CFD4101" w14:textId="77777777" w:rsidR="00CC4AF3" w:rsidRPr="00CC4AF3" w:rsidRDefault="00CC4AF3" w:rsidP="00CC4AF3">
      <w:pPr>
        <w:rPr>
          <w:rFonts w:ascii="Times New Roman" w:hAnsi="Times New Roman" w:cs="Times New Roman"/>
        </w:rPr>
      </w:pPr>
      <w:r w:rsidRPr="00CC4AF3">
        <w:rPr>
          <w:rFonts w:ascii="Times New Roman" w:hAnsi="Times New Roman" w:cs="Times New Roman"/>
        </w:rPr>
        <w:t xml:space="preserve">No single storage technology optimally satisfies all grid and microgrid requirements, prompting growing interest in hybrid energy storage systems that combine complementary technologies within a unified architecture. By integrating high-energy and high-power storage components, </w:t>
      </w:r>
      <w:r w:rsidRPr="00CC4AF3">
        <w:rPr>
          <w:rFonts w:ascii="Times New Roman" w:hAnsi="Times New Roman" w:cs="Times New Roman"/>
        </w:rPr>
        <w:lastRenderedPageBreak/>
        <w:t>hybrid systems can simultaneously address long-duration energy shifting and fast transient response. Modular storage designs further enhance deployment flexibility, enabling incremental capacity expansion and localized integration within microgrids</w:t>
      </w:r>
      <w:r w:rsidR="007D70D4">
        <w:rPr>
          <w:rFonts w:ascii="Times New Roman" w:hAnsi="Times New Roman" w:cs="Times New Roman"/>
        </w:rPr>
        <w:fldChar w:fldCharType="begin"/>
      </w:r>
      <w:r w:rsidR="007D70D4">
        <w:rPr>
          <w:rFonts w:ascii="Times New Roman" w:hAnsi="Times New Roman" w:cs="Times New Roman"/>
        </w:rPr>
        <w:instrText xml:space="preserve"> ADDIN ZOTERO_ITEM CSL_CITATION {"citationID":"EuwCiu17","properties":{"formattedCitation":"(Aslam et al., 2025; Enabulele et al., 2025)","plainCitation":"(Aslam et al., 2025; Enabulele et al., 2025)","noteIndex":0},"citationItems":[{"id":9031,"uris":["http://zotero.org/users/16652950/items/D3WZUADA"],"itemData":{"id":9031,"type":"article-journal","abstract":"The growing frequency and severity of extreme events, both natural and human-induced, have heightened concerns about the resilience of power systems. Enhancing the resilience of power systems alleviates the adverse impacts of power outages caused by unforeseen events, delivering substantial social and economic benefits. Energy storage systems play a crucial role in enhancing the resilience of power systems. Researchers have proposed various single and hybrid energy storage systems to enhance power system resilience. However, a comprehensive review of the latest trends in utilizing energy storage systems to address the challenges related to improving power system resilience is required. This critical review, therefore, discusses various aspects of energy storage systems, such as type, capacity, and efficacy, as well as modeling and control in the context of power system resilience enhancement. Finally, this review suggests future research directions leading to optimal use of energy storage systems for enhancing resilience of power systems.","container-title":"Energies","DOI":"10.3390/en18143883","ISSN":"1996-1073","issue":"14","language":"en","license":"http://creativecommons.org/licenses/by/3.0/","note":"publisher: Multidisciplinary Digital Publishing Institute","page":"3883","source":"www.mdpi.com","title":"Application of Energy Storage Systems to Enhance Power System Resilience: A Critical Review","title-short":"Application of Energy Storage Systems to Enhance Power System Resilience","volume":"18","author":[{"family":"Aslam","given":"Muhammad Usman"},{"family":"Miah","given":"Md Sazal"},{"family":"Amin","given":"B. M. Ruhul"},{"family":"Shah","given":"Rakibuzzaman"},{"family":"Amjady","given":"Nima"}],"issued":{"date-parts":[["2025",1]]}}},{"id":9007,"uris":["http://zotero.org/users/16652950/items/LJFDFURG"],"itemData":{"id":9007,"type":"article-journal","abstract":"This article investigates the constraints of conventional agile practices in hybrid environments, where teams are dispersed across multiple locations. Traditional agile methodologies, which depend on co-located teams and face-to-face interactions, frequently fail in hybrid settings, resulting in communication gaps, reduced team cohesion, and inconsistent performance. The paper suggests solutions to these challenges, with a particular emphasis on the transition from command-and-control leadership to servant leadership. It underscores the necessity for agile project managers to cultivate essential skills, including the ability to foster collaboration, ensure clear communication, and strike the appropriate balance between flexibility and control. Furthermore, it emphasises the role of technology in bridging the gap between remote and on-site team members, ensuring alignment and smooth project execution. The paper ultimately outlines how hybrid agile leadership can address these challenges, resulting in improved outcomes in distributed teams.","container-title":"Journal of Global Economics, Management and Business Research","DOI":"10.56557/jgembr/2025/v17i39756","ISSN":"2454-2504","issue":"3","language":"en","page":"211-225","source":"ikprress.org","title":"Agile Leadership in Hybrid Workplaces: Evolving Roles and Competencies of Project Managers","title-short":"Agile Leadership in Hybrid Workplaces","volume":"17","author":[{"family":"Enabulele","given":"Amienye Babatunde Omo"},{"family":"Omo-Enabulele","given":"Agbonayinma Peter"},{"family":"Borokinni","given":"Moshood"},{"family":"Iwerumoh","given":"Ambrose Nwawuweneonye"},{"family":"Olatunbosun","given":"Adeyemi"},{"family":"Enobakha","given":"Benjamin Osaze"},{"family":"Ifionu","given":"Ebuka Stephen"}],"issued":{"date-parts":[["2025",9,24]]}}}],"schema":"https://github.com/citation-style-language/schema/raw/master/csl-citation.json"} </w:instrText>
      </w:r>
      <w:r w:rsidR="007D70D4">
        <w:rPr>
          <w:rFonts w:ascii="Times New Roman" w:hAnsi="Times New Roman" w:cs="Times New Roman"/>
        </w:rPr>
        <w:fldChar w:fldCharType="separate"/>
      </w:r>
      <w:r w:rsidR="007D70D4" w:rsidRPr="007D70D4">
        <w:rPr>
          <w:rFonts w:ascii="Times New Roman" w:hAnsi="Times New Roman" w:cs="Times New Roman"/>
        </w:rPr>
        <w:t>(Aslam et al., 2025; Enabulele et al., 2025)</w:t>
      </w:r>
      <w:r w:rsidR="007D70D4">
        <w:rPr>
          <w:rFonts w:ascii="Times New Roman" w:hAnsi="Times New Roman" w:cs="Times New Roman"/>
        </w:rPr>
        <w:fldChar w:fldCharType="end"/>
      </w:r>
      <w:r w:rsidRPr="00CC4AF3">
        <w:rPr>
          <w:rFonts w:ascii="Times New Roman" w:hAnsi="Times New Roman" w:cs="Times New Roman"/>
        </w:rPr>
        <w:t>.</w:t>
      </w:r>
    </w:p>
    <w:p w14:paraId="0AB37FD6" w14:textId="77777777" w:rsidR="00CC4AF3" w:rsidRDefault="00CC4AF3" w:rsidP="00CC4AF3">
      <w:pPr>
        <w:rPr>
          <w:rFonts w:ascii="Times New Roman" w:hAnsi="Times New Roman" w:cs="Times New Roman"/>
        </w:rPr>
      </w:pPr>
      <w:r w:rsidRPr="00CC4AF3">
        <w:rPr>
          <w:rFonts w:ascii="Times New Roman" w:hAnsi="Times New Roman" w:cs="Times New Roman"/>
        </w:rPr>
        <w:t>For microgrid applications in particular, hybrid and modular storage architectures support resilient operation under diverse load and generation conditions. The integration of polymer-enabled storage technologies within these architectures offers additional benefits in terms of safety, durability, and design adaptability, reinforcing the role of materials innovation as a critical enabler of advanced grid and microgrid energy storage solutions.</w:t>
      </w:r>
    </w:p>
    <w:p w14:paraId="7FD24E6F" w14:textId="162F4F13" w:rsidR="005A5436" w:rsidRPr="005A5436" w:rsidRDefault="005A5436" w:rsidP="005A5436">
      <w:pPr>
        <w:rPr>
          <w:rFonts w:ascii="Times New Roman" w:hAnsi="Times New Roman" w:cs="Times New Roman"/>
        </w:rPr>
      </w:pPr>
      <w:r w:rsidRPr="005A5436">
        <w:rPr>
          <w:rFonts w:ascii="Times New Roman" w:hAnsi="Times New Roman" w:cs="Times New Roman"/>
        </w:rPr>
        <w:t>In low-inertia power systems, hybrid storage architectures are particularly valuable, as they combine fast-responding devices for frequency stabilization with high-energy components for longer-duration balancing. This complementary operation enhances system resilience and reduces stress on individual storage technologies, supporting stable and efficient operation in renewable-dominated grids and microgrids</w:t>
      </w:r>
      <w:r w:rsidR="000A4BA7">
        <w:rPr>
          <w:rFonts w:ascii="Times New Roman" w:hAnsi="Times New Roman" w:cs="Times New Roman"/>
        </w:rPr>
        <w:fldChar w:fldCharType="begin"/>
      </w:r>
      <w:r w:rsidR="000A4BA7">
        <w:rPr>
          <w:rFonts w:ascii="Times New Roman" w:hAnsi="Times New Roman" w:cs="Times New Roman"/>
        </w:rPr>
        <w:instrText xml:space="preserve"> ADDIN ZOTERO_ITEM CSL_CITATION {"citationID":"NaCUj0jx","properties":{"formattedCitation":"(Enabulele et al., 2025)","plainCitation":"(Enabulele et al., 2025)","noteIndex":0},"citationItems":[{"id":9007,"uris":["http://zotero.org/users/16652950/items/LJFDFURG"],"itemData":{"id":9007,"type":"article-journal","abstract":"This article investigates the constraints of conventional agile practices in hybrid environments, where teams are dispersed across multiple locations. Traditional agile methodologies, which depend on co-located teams and face-to-face interactions, frequently fail in hybrid settings, resulting in communication gaps, reduced team cohesion, and inconsistent performance. The paper suggests solutions to these challenges, with a particular emphasis on the transition from command-and-control leadership to servant leadership. It underscores the necessity for agile project managers to cultivate essential skills, including the ability to foster collaboration, ensure clear communication, and strike the appropriate balance between flexibility and control. Furthermore, it emphasises the role of technology in bridging the gap between remote and on-site team members, ensuring alignment and smooth project execution. The paper ultimately outlines how hybrid agile leadership can address these challenges, resulting in improved outcomes in distributed teams.","container-title":"Journal of Global Economics, Management and Business Research","DOI":"10.56557/jgembr/2025/v17i39756","ISSN":"2454-2504","issue":"3","language":"en","page":"211-225","source":"ikprress.org","title":"Agile Leadership in Hybrid Workplaces: Evolving Roles and Competencies of Project Managers","title-short":"Agile Leadership in Hybrid Workplaces","volume":"17","author":[{"family":"Enabulele","given":"Amienye Babatunde Omo"},{"family":"Omo-Enabulele","given":"Agbonayinma Peter"},{"family":"Borokinni","given":"Moshood"},{"family":"Iwerumoh","given":"Ambrose Nwawuweneonye"},{"family":"Olatunbosun","given":"Adeyemi"},{"family":"Enobakha","given":"Benjamin Osaze"},{"family":"Ifionu","given":"Ebuka Stephen"}],"issued":{"date-parts":[["2025",9,24]]}}}],"schema":"https://github.com/citation-style-language/schema/raw/master/csl-citation.json"} </w:instrText>
      </w:r>
      <w:r w:rsidR="000A4BA7">
        <w:rPr>
          <w:rFonts w:ascii="Times New Roman" w:hAnsi="Times New Roman" w:cs="Times New Roman"/>
        </w:rPr>
        <w:fldChar w:fldCharType="separate"/>
      </w:r>
      <w:r w:rsidR="000A4BA7" w:rsidRPr="000A4BA7">
        <w:rPr>
          <w:rFonts w:ascii="Times New Roman" w:hAnsi="Times New Roman" w:cs="Times New Roman"/>
        </w:rPr>
        <w:t>(Enabulele et al., 2025)</w:t>
      </w:r>
      <w:r w:rsidR="000A4BA7">
        <w:rPr>
          <w:rFonts w:ascii="Times New Roman" w:hAnsi="Times New Roman" w:cs="Times New Roman"/>
        </w:rPr>
        <w:fldChar w:fldCharType="end"/>
      </w:r>
      <w:r w:rsidRPr="005A5436">
        <w:rPr>
          <w:rFonts w:ascii="Times New Roman" w:hAnsi="Times New Roman" w:cs="Times New Roman"/>
        </w:rPr>
        <w:t>.</w:t>
      </w:r>
    </w:p>
    <w:p w14:paraId="72F32272" w14:textId="77777777" w:rsidR="005A5436" w:rsidRPr="00CC4AF3" w:rsidRDefault="005A5436" w:rsidP="00CC4AF3">
      <w:pPr>
        <w:rPr>
          <w:rFonts w:ascii="Times New Roman" w:hAnsi="Times New Roman" w:cs="Times New Roman"/>
        </w:rPr>
      </w:pPr>
    </w:p>
    <w:p w14:paraId="233BD843" w14:textId="77777777" w:rsidR="004C68B3" w:rsidRPr="004C68B3" w:rsidRDefault="004C68B3" w:rsidP="004C68B3">
      <w:pPr>
        <w:rPr>
          <w:rFonts w:ascii="Times New Roman" w:hAnsi="Times New Roman" w:cs="Times New Roman"/>
          <w:b/>
          <w:bCs/>
        </w:rPr>
      </w:pPr>
      <w:r w:rsidRPr="004C68B3">
        <w:rPr>
          <w:rFonts w:ascii="Times New Roman" w:hAnsi="Times New Roman" w:cs="Times New Roman"/>
          <w:b/>
          <w:bCs/>
        </w:rPr>
        <w:t>4. Microgrid Architectures and Renewable–Storage Coupling</w:t>
      </w:r>
    </w:p>
    <w:p w14:paraId="49E43990" w14:textId="77777777" w:rsidR="004C68B3" w:rsidRPr="004C68B3" w:rsidRDefault="004C68B3" w:rsidP="004C68B3">
      <w:pPr>
        <w:rPr>
          <w:rFonts w:ascii="Times New Roman" w:hAnsi="Times New Roman" w:cs="Times New Roman"/>
        </w:rPr>
      </w:pPr>
      <w:r w:rsidRPr="004C68B3">
        <w:rPr>
          <w:rFonts w:ascii="Times New Roman" w:hAnsi="Times New Roman" w:cs="Times New Roman"/>
        </w:rPr>
        <w:t>Microgrids have emerged as a key architectural paradigm for integrating renewable energy and energy storage in a manner that enhances flexibility, resilience, and local controllability. By aggregating distributed generation, storage, and loads within a defined electrical boundary, microgrids enable coordinated operation that can respond dynamically to both local conditions and broader grid requirements. Their increasing deployment reflects a growing recognition that decentralized solutions are essential complements to large-scale grid infrastructure in renewable-dominated power systems</w:t>
      </w:r>
      <w:r w:rsidR="00776CAA">
        <w:rPr>
          <w:rFonts w:ascii="Times New Roman" w:hAnsi="Times New Roman" w:cs="Times New Roman"/>
        </w:rPr>
        <w:fldChar w:fldCharType="begin"/>
      </w:r>
      <w:r w:rsidR="00776CAA">
        <w:rPr>
          <w:rFonts w:ascii="Times New Roman" w:hAnsi="Times New Roman" w:cs="Times New Roman"/>
        </w:rPr>
        <w:instrText xml:space="preserve"> ADDIN ZOTERO_ITEM CSL_CITATION {"citationID":"OfOuUaFd","properties":{"formattedCitation":"(Bielecki et al., 2025)","plainCitation":"(Bielecki et al., 2025)","noteIndex":0},"citationItems":[{"id":12478,"uris":["http://zotero.org/users/16652950/items/FVZ72RDF"],"itemData":{"id":12478,"type":"article-journal","abstract":"The article presents an overview of knowledge in the field of energy microgrids as smart structures enabling energy self-sufficiency, with particular ...","container-title":"Sensors","DOI":"10.3390/s25216707","ISSN":"1424-8220","issue":"21","language":"en","license":"http://creativecommons.org/licenses/by/3.0/","note":"Company: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publisher","source":"www.mdpi.com","title":"Microgrids as a Tool for Energy Self-Sufficiency","URL":"https://www.mdpi.com/1424-8220/25/21/6707","volume":"25","author":[{"family":"Bielecki","given":"Sławomir"},{"family":"Skoczkowski","given":"Tadeusz"},{"family":"Wołowicz","given":"Marcin"},{"family":"Bielecki","given":"Sławomir"},{"family":"Skoczkowski","given":"Tadeusz"},{"family":"Wołowicz","given":"Marcin"}],"accessed":{"date-parts":[["2025",12,24]]},"issued":{"date-parts":[["2025",11,1]]}}}],"schema":"https://github.com/citation-style-language/schema/raw/master/csl-citation.json"} </w:instrText>
      </w:r>
      <w:r w:rsidR="00776CAA">
        <w:rPr>
          <w:rFonts w:ascii="Times New Roman" w:hAnsi="Times New Roman" w:cs="Times New Roman"/>
        </w:rPr>
        <w:fldChar w:fldCharType="separate"/>
      </w:r>
      <w:r w:rsidR="00776CAA" w:rsidRPr="00776CAA">
        <w:rPr>
          <w:rFonts w:ascii="Times New Roman" w:hAnsi="Times New Roman" w:cs="Times New Roman"/>
        </w:rPr>
        <w:t>(Bielecki et al., 2025)</w:t>
      </w:r>
      <w:r w:rsidR="00776CAA">
        <w:rPr>
          <w:rFonts w:ascii="Times New Roman" w:hAnsi="Times New Roman" w:cs="Times New Roman"/>
        </w:rPr>
        <w:fldChar w:fldCharType="end"/>
      </w:r>
      <w:r w:rsidRPr="004C68B3">
        <w:rPr>
          <w:rFonts w:ascii="Times New Roman" w:hAnsi="Times New Roman" w:cs="Times New Roman"/>
        </w:rPr>
        <w:t>.</w:t>
      </w:r>
    </w:p>
    <w:p w14:paraId="53811E21" w14:textId="77777777" w:rsidR="004C68B3" w:rsidRPr="004C68B3" w:rsidRDefault="004C68B3" w:rsidP="004C68B3">
      <w:pPr>
        <w:rPr>
          <w:rFonts w:ascii="Times New Roman" w:hAnsi="Times New Roman" w:cs="Times New Roman"/>
          <w:b/>
          <w:bCs/>
        </w:rPr>
      </w:pPr>
      <w:r w:rsidRPr="004C68B3">
        <w:rPr>
          <w:rFonts w:ascii="Times New Roman" w:hAnsi="Times New Roman" w:cs="Times New Roman"/>
          <w:b/>
          <w:bCs/>
        </w:rPr>
        <w:t>4.1 Microgrid Concepts and Operating Modes</w:t>
      </w:r>
    </w:p>
    <w:p w14:paraId="1B6DC982" w14:textId="77777777" w:rsidR="004C68B3" w:rsidRDefault="004C68B3" w:rsidP="004C68B3">
      <w:pPr>
        <w:rPr>
          <w:rFonts w:ascii="Times New Roman" w:hAnsi="Times New Roman" w:cs="Times New Roman"/>
        </w:rPr>
      </w:pPr>
      <w:r w:rsidRPr="004C68B3">
        <w:rPr>
          <w:rFonts w:ascii="Times New Roman" w:hAnsi="Times New Roman" w:cs="Times New Roman"/>
        </w:rPr>
        <w:t>At a fundamental level, a microgrid is characterized by its ability to operate in both grid-connected and islanded modes. In grid-connected operation, the microgrid exchanges power with the utility network, optimizing local resource utilization while supporting the broader system through services such as peak shaving, voltage regulation, and ancillary service provision. In islanded mode, the microgrid disconnects from the main grid and relies on internal generation and storage to maintain supply to connected loads, a capability that is critical for resilience during grid outages or extreme events</w:t>
      </w:r>
      <w:r w:rsidR="00E528E9">
        <w:rPr>
          <w:rFonts w:ascii="Times New Roman" w:hAnsi="Times New Roman" w:cs="Times New Roman"/>
        </w:rPr>
        <w:fldChar w:fldCharType="begin"/>
      </w:r>
      <w:r w:rsidR="00E528E9">
        <w:rPr>
          <w:rFonts w:ascii="Times New Roman" w:hAnsi="Times New Roman" w:cs="Times New Roman"/>
        </w:rPr>
        <w:instrText xml:space="preserve"> ADDIN ZOTERO_ITEM CSL_CITATION {"citationID":"8uKHVYUc","properties":{"formattedCitation":"(Bielecki et al., 2025)","plainCitation":"(Bielecki et al., 2025)","noteIndex":0},"citationItems":[{"id":12478,"uris":["http://zotero.org/users/16652950/items/FVZ72RDF"],"itemData":{"id":12478,"type":"article-journal","abstract":"The article presents an overview of knowledge in the field of energy microgrids as smart structures enabling energy self-sufficiency, with particular ...","container-title":"Sensors","DOI":"10.3390/s25216707","ISSN":"1424-8220","issue":"21","language":"en","license":"http://creativecommons.org/licenses/by/3.0/","note":"Company: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publisher","source":"www.mdpi.com","title":"Microgrids as a Tool for Energy Self-Sufficiency","URL":"https://www.mdpi.com/1424-8220/25/21/6707","volume":"25","author":[{"family":"Bielecki","given":"Sławomir"},{"family":"Skoczkowski","given":"Tadeusz"},{"family":"Wołowicz","given":"Marcin"},{"family":"Bielecki","given":"Sławomir"},{"family":"Skoczkowski","given":"Tadeusz"},{"family":"Wołowicz","given":"Marcin"}],"accessed":{"date-parts":[["2025",12,24]]},"issued":{"date-parts":[["2025",11,1]]}}}],"schema":"https://github.com/citation-style-language/schema/raw/master/csl-citation.json"} </w:instrText>
      </w:r>
      <w:r w:rsidR="00E528E9">
        <w:rPr>
          <w:rFonts w:ascii="Times New Roman" w:hAnsi="Times New Roman" w:cs="Times New Roman"/>
        </w:rPr>
        <w:fldChar w:fldCharType="separate"/>
      </w:r>
      <w:r w:rsidR="00E528E9" w:rsidRPr="00E528E9">
        <w:rPr>
          <w:rFonts w:ascii="Times New Roman" w:hAnsi="Times New Roman" w:cs="Times New Roman"/>
        </w:rPr>
        <w:t>(Bielecki et al., 2025)</w:t>
      </w:r>
      <w:r w:rsidR="00E528E9">
        <w:rPr>
          <w:rFonts w:ascii="Times New Roman" w:hAnsi="Times New Roman" w:cs="Times New Roman"/>
        </w:rPr>
        <w:fldChar w:fldCharType="end"/>
      </w:r>
      <w:r w:rsidRPr="004C68B3">
        <w:rPr>
          <w:rFonts w:ascii="Times New Roman" w:hAnsi="Times New Roman" w:cs="Times New Roman"/>
        </w:rPr>
        <w:t>.</w:t>
      </w:r>
    </w:p>
    <w:p w14:paraId="08657AE9" w14:textId="77777777" w:rsidR="002A796B" w:rsidRPr="002A796B" w:rsidRDefault="002A796B" w:rsidP="002A796B">
      <w:pPr>
        <w:rPr>
          <w:rFonts w:ascii="Times New Roman" w:hAnsi="Times New Roman" w:cs="Times New Roman"/>
        </w:rPr>
      </w:pPr>
      <w:r w:rsidRPr="002A796B">
        <w:rPr>
          <w:rFonts w:ascii="Times New Roman" w:hAnsi="Times New Roman" w:cs="Times New Roman"/>
        </w:rPr>
        <w:t>As renewable penetration increases, microgrids become increasingly dominated by inverter-based resources with limited inherent inertia and fault current contribution. Under these conditions, the coordinated integration of energy storage, advanced control strategies, and reliable materials becomes essential to maintain voltage and frequency stability during both grid-connected and islanded operation.</w:t>
      </w:r>
    </w:p>
    <w:p w14:paraId="515FB685" w14:textId="77777777" w:rsidR="002A796B" w:rsidRPr="004C68B3" w:rsidRDefault="002A796B" w:rsidP="004C68B3">
      <w:pPr>
        <w:rPr>
          <w:rFonts w:ascii="Times New Roman" w:hAnsi="Times New Roman" w:cs="Times New Roman"/>
        </w:rPr>
      </w:pPr>
    </w:p>
    <w:p w14:paraId="5DD83AD2" w14:textId="77777777" w:rsidR="004C68B3" w:rsidRPr="004C68B3" w:rsidRDefault="004C68B3" w:rsidP="004C68B3">
      <w:pPr>
        <w:rPr>
          <w:rFonts w:ascii="Times New Roman" w:hAnsi="Times New Roman" w:cs="Times New Roman"/>
        </w:rPr>
      </w:pPr>
      <w:r w:rsidRPr="004C68B3">
        <w:rPr>
          <w:rFonts w:ascii="Times New Roman" w:hAnsi="Times New Roman" w:cs="Times New Roman"/>
        </w:rPr>
        <w:t>Microgrids can be implemented using alternating current, direct current, or hybrid AC/DC configurations. AC microgrids benefit from compatibility with existing infrastructure and conventional loads, whereas DC microgrids offer advantages in terms of reduced conversion losses and simplified integration of photovoltaic generation, battery storage, and power electronic loads. Hybrid AC/DC architectures seek to combine these benefits by segregating resources and loads according to their native operating characteristics, thereby improving overall efficiency and operational flexibility. The choice of architecture influences control complexity, protection design, and the integration strategy for renewable energy and storage assets</w:t>
      </w:r>
      <w:r w:rsidR="007C196A">
        <w:rPr>
          <w:rFonts w:ascii="Times New Roman" w:hAnsi="Times New Roman" w:cs="Times New Roman"/>
        </w:rPr>
        <w:fldChar w:fldCharType="begin"/>
      </w:r>
      <w:r w:rsidR="007C196A">
        <w:rPr>
          <w:rFonts w:ascii="Times New Roman" w:hAnsi="Times New Roman" w:cs="Times New Roman"/>
        </w:rPr>
        <w:instrText xml:space="preserve"> ADDIN ZOTERO_ITEM CSL_CITATION {"citationID":"yYbw0xnw","properties":{"formattedCitation":"(Dosa et al., 2025)","plainCitation":"(Dosa et al., 2025)","noteIndex":0},"citationItems":[{"id":12480,"uris":["http://zotero.org/users/16652950/items/K87DDHLE"],"itemData":{"id":12480,"type":"article-journal","abstract":"The paper investigates the design and operation of microgrid arrangements, with a focus on renewable power systems, system architectures, and storage ...","container-title":"Energies","DOI":"10.3390/en18195154","ISSN":"1996-1073","issue":"19","language":"en","license":"http://creativecommons.org/licenses/by/3.0/","note":"Company: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publisher","source":"www.mdpi.com","title":"A Comprehensive Review of Hybrid Renewable Microgrids: Key Design Parameters, Optimization Techniques, and the Role of Demand Response in Enhancing System Flexibility","title-short":"A Comprehensive Review of Hybrid Renewable Microgrids","URL":"https://www.mdpi.com/1996-1073/18/19/5154","volume":"18","author":[{"family":"Dosa","given":"Adebayo"},{"family":"Olanrewaju","given":"Oludolapo Akanni"},{"family":"Mora-Camino","given":"Felix"},{"family":"Dosa","given":"Adebayo"},{"family":"Olanrewaju","given":"Oludolapo Akanni"},{"family":"Mora-Camino","given":"Felix"}],"accessed":{"date-parts":[["2025",12,24]]},"issued":{"date-parts":[["2025",9,27]]}}}],"schema":"https://github.com/citation-style-language/schema/raw/master/csl-citation.json"} </w:instrText>
      </w:r>
      <w:r w:rsidR="007C196A">
        <w:rPr>
          <w:rFonts w:ascii="Times New Roman" w:hAnsi="Times New Roman" w:cs="Times New Roman"/>
        </w:rPr>
        <w:fldChar w:fldCharType="separate"/>
      </w:r>
      <w:r w:rsidR="007C196A" w:rsidRPr="007C196A">
        <w:rPr>
          <w:rFonts w:ascii="Times New Roman" w:hAnsi="Times New Roman" w:cs="Times New Roman"/>
        </w:rPr>
        <w:t>(Dosa et al., 2025)</w:t>
      </w:r>
      <w:r w:rsidR="007C196A">
        <w:rPr>
          <w:rFonts w:ascii="Times New Roman" w:hAnsi="Times New Roman" w:cs="Times New Roman"/>
        </w:rPr>
        <w:fldChar w:fldCharType="end"/>
      </w:r>
      <w:r w:rsidRPr="004C68B3">
        <w:rPr>
          <w:rFonts w:ascii="Times New Roman" w:hAnsi="Times New Roman" w:cs="Times New Roman"/>
        </w:rPr>
        <w:t>.</w:t>
      </w:r>
    </w:p>
    <w:p w14:paraId="4B5565C7" w14:textId="77777777" w:rsidR="004C68B3" w:rsidRPr="004C68B3" w:rsidRDefault="004C68B3" w:rsidP="004C68B3">
      <w:pPr>
        <w:rPr>
          <w:rFonts w:ascii="Times New Roman" w:hAnsi="Times New Roman" w:cs="Times New Roman"/>
          <w:b/>
          <w:bCs/>
        </w:rPr>
      </w:pPr>
      <w:r w:rsidRPr="004C68B3">
        <w:rPr>
          <w:rFonts w:ascii="Times New Roman" w:hAnsi="Times New Roman" w:cs="Times New Roman"/>
          <w:b/>
          <w:bCs/>
        </w:rPr>
        <w:t>4.2 Renewable-Dominated Microgrids</w:t>
      </w:r>
    </w:p>
    <w:p w14:paraId="262E54D1" w14:textId="77777777" w:rsidR="004C68B3" w:rsidRDefault="004C68B3" w:rsidP="004C68B3">
      <w:pPr>
        <w:rPr>
          <w:rFonts w:ascii="Times New Roman" w:hAnsi="Times New Roman" w:cs="Times New Roman"/>
        </w:rPr>
      </w:pPr>
      <w:r w:rsidRPr="004C68B3">
        <w:rPr>
          <w:rFonts w:ascii="Times New Roman" w:hAnsi="Times New Roman" w:cs="Times New Roman"/>
        </w:rPr>
        <w:t>Renewable-dominated microgrids typically center on photovoltaic–battery and wind–storage configurations, reflecting the complementary characteristics of these resources. Photovoltaic generation, with its predictable diurnal pattern, pairs naturally with battery storage for short- to medium-duration energy shifting, smoothing power output, and supporting frequency and voltage regulation. Wind generation, which often exhibits higher variability and seasonal dependence, benefits from storage systems capable of absorbing surplus energy during high-wind periods and supplying power during lulls</w:t>
      </w:r>
      <w:r w:rsidR="007C196A">
        <w:rPr>
          <w:rFonts w:ascii="Times New Roman" w:hAnsi="Times New Roman" w:cs="Times New Roman"/>
        </w:rPr>
        <w:fldChar w:fldCharType="begin"/>
      </w:r>
      <w:r w:rsidR="007C196A">
        <w:rPr>
          <w:rFonts w:ascii="Times New Roman" w:hAnsi="Times New Roman" w:cs="Times New Roman"/>
        </w:rPr>
        <w:instrText xml:space="preserve"> ADDIN ZOTERO_ITEM CSL_CITATION {"citationID":"yQ9sK5XO","properties":{"formattedCitation":"(Gor\\uc0\\u261{}czkowska et al., 2025)","plainCitation":"(Gorączkowska et al., 2025)","noteIndex":0},"citationItems":[{"id":12482,"uris":["http://zotero.org/users/16652950/items/I554TC3K"],"itemData":{"id":12482,"type":"article-journal","abstract":"Challenges related to energy security require support for investments in renewable energy sources. One of the most dynamically developing technologies...","container-title":"Energies","DOI":"10.3390/en18236216","ISSN":"1996-1073","issue":"23","language":"en","license":"http://creativecommons.org/licenses/by/3.0/","note":"Company: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publisher","source":"www.mdpi.com","title":"TESE-Informed Evolution Pathways for Photovoltaic Systems: Bridging Technology Trajectories and Market Needs","title-short":"TESE-Informed Evolution Pathways for Photovoltaic Systems","URL":"https://www.mdpi.com/1996-1073/18/23/6216","volume":"18","author":[{"family":"Gorączkowska","given":"Jadwiga"},{"family":"Moczulska","given":"Marta"},{"family":"Yatsunenko","given":"Sergey"},{"family":"Gorączkowska","given":"Jadwiga"},{"family":"Moczulska","given":"Marta"},{"family":"Yatsunenko","given":"Sergey"}],"accessed":{"date-parts":[["2025",12,24]]},"issued":{"date-parts":[["2025",11,26]]}}}],"schema":"https://github.com/citation-style-language/schema/raw/master/csl-citation.json"} </w:instrText>
      </w:r>
      <w:r w:rsidR="007C196A">
        <w:rPr>
          <w:rFonts w:ascii="Times New Roman" w:hAnsi="Times New Roman" w:cs="Times New Roman"/>
        </w:rPr>
        <w:fldChar w:fldCharType="separate"/>
      </w:r>
      <w:r w:rsidR="007C196A" w:rsidRPr="007C196A">
        <w:rPr>
          <w:rFonts w:ascii="Times New Roman" w:hAnsi="Times New Roman" w:cs="Times New Roman"/>
          <w:kern w:val="0"/>
        </w:rPr>
        <w:t>(Gorączkowska et al., 2025)</w:t>
      </w:r>
      <w:r w:rsidR="007C196A">
        <w:rPr>
          <w:rFonts w:ascii="Times New Roman" w:hAnsi="Times New Roman" w:cs="Times New Roman"/>
        </w:rPr>
        <w:fldChar w:fldCharType="end"/>
      </w:r>
      <w:r w:rsidRPr="004C68B3">
        <w:rPr>
          <w:rFonts w:ascii="Times New Roman" w:hAnsi="Times New Roman" w:cs="Times New Roman"/>
        </w:rPr>
        <w:t>.</w:t>
      </w:r>
    </w:p>
    <w:p w14:paraId="6DB96A11" w14:textId="2EF8BF6F" w:rsidR="006E29C6" w:rsidRPr="004C68B3" w:rsidRDefault="006E29C6" w:rsidP="004C68B3">
      <w:pPr>
        <w:rPr>
          <w:rFonts w:ascii="Times New Roman" w:hAnsi="Times New Roman" w:cs="Times New Roman"/>
        </w:rPr>
      </w:pPr>
      <w:r w:rsidRPr="006E29C6">
        <w:rPr>
          <w:rFonts w:ascii="Times New Roman" w:hAnsi="Times New Roman" w:cs="Times New Roman"/>
        </w:rPr>
        <w:t>Advanced polymer-based insulation and encapsulation materials improve the thermal management and dielectric strength of power electronic converters, directly enhancing inverter reliability under fast dynamic conditions. This improved materials performance supports stable control operation, particularly in grid-forming and islanded microgrid applications where converters are subjected to frequent transients and high thermal stress.</w:t>
      </w:r>
    </w:p>
    <w:p w14:paraId="5A78A161" w14:textId="77777777" w:rsidR="00C8487F" w:rsidRPr="00C8487F" w:rsidRDefault="004C68B3" w:rsidP="00C8487F">
      <w:pPr>
        <w:rPr>
          <w:rFonts w:ascii="Times New Roman" w:hAnsi="Times New Roman" w:cs="Times New Roman"/>
        </w:rPr>
      </w:pPr>
      <w:r w:rsidRPr="004C68B3">
        <w:rPr>
          <w:rFonts w:ascii="Times New Roman" w:hAnsi="Times New Roman" w:cs="Times New Roman"/>
        </w:rPr>
        <w:t>Beyond operational benefits, renewable-based microgrids play a significant role in enhancing resilience and expanding energy access. In urban and industrial settings, microgrids improve reliability for critical infrastructure such as hospitals, data centers, and manufacturing facilities. In remote or underserved regions, they provide a pathway to electrification that avoids costly grid extensions while supporting sustainable development objectives. In both contexts, the coupling of renewable generation with energy storage is central to achieving reliable and autonomous operation</w:t>
      </w:r>
      <w:r w:rsidR="001F3BBC">
        <w:rPr>
          <w:rFonts w:ascii="Times New Roman" w:hAnsi="Times New Roman" w:cs="Times New Roman"/>
        </w:rPr>
        <w:fldChar w:fldCharType="begin"/>
      </w:r>
      <w:r w:rsidR="001F3BBC">
        <w:rPr>
          <w:rFonts w:ascii="Times New Roman" w:hAnsi="Times New Roman" w:cs="Times New Roman"/>
        </w:rPr>
        <w:instrText xml:space="preserve"> ADDIN ZOTERO_ITEM CSL_CITATION {"citationID":"593Ur87h","properties":{"formattedCitation":"(Tamasiga et al., 2024)","plainCitation":"(Tamasiga et al., 2024)","noteIndex":0},"citationItems":[{"id":12484,"uris":["http://zotero.org/users/16652950/items/SDFIDGHP"],"itemData":{"id":12484,"type":"article-journal","abstract":"This systematic review investigates the impact of renewable energy microgrids on alleviating energy poverty and enhancing socio-economic outcomes in underserved communities. The study addresses the critical challenge of energy access, examining how small-scale renewable energy systems integrated with microgrids can serve as a sustainable solution. Using a structured methodology, the review synthesizes evidence from various studies to provide insights into the multifaceted implications of microgrid adoption. The key findings indicate that renewable energy microgrids significantly contribute to socio-economic development by improving livelihoods, economic growth, and enhancing food security, health, and education. The review also highlights economic assessments affirming the cost-effectiveness of these systems and the environmental benefits they offer, such as reduced emissions of greenhouse gases. However, the study also identifies challenges, including high initial capital costs, operational complexities, and regulatory barriers. The conclusions drawn from this review underscore the necessity for innovative financing solutions, supportive policy frameworks, and community engagement strategies to overcome these challenges. The alignment of microgrid solutions with the Sustainable Development Goals (SDGs) further demonstrates their potential to drive broader sustainable development objectives.","container-title":"Energy Reports","DOI":"10.1016/j.egyr.2024.10.026","ISSN":"2352-4847","journalAbbreviation":"Energy Reports","page":"4475-4488","source":"ScienceDirect","title":"Empowering communities beyond wires: Renewable energy microgrids and the impacts on energy poverty and socio-economic outcomes","title-short":"Empowering communities beyond wires","volume":"12","author":[{"family":"Tamasiga","given":"Phemelo"},{"family":"Onyeaka","given":"Helen"},{"family":"Altaghlibi","given":"Moutaz"},{"family":"Bakwena","given":"Malebogo"},{"family":"Ouassou","given":"El","dropping-particle":"houssin"}],"issued":{"date-parts":[["2024",12,1]]}}}],"schema":"https://github.com/citation-style-language/schema/raw/master/csl-citation.json"} </w:instrText>
      </w:r>
      <w:r w:rsidR="001F3BBC">
        <w:rPr>
          <w:rFonts w:ascii="Times New Roman" w:hAnsi="Times New Roman" w:cs="Times New Roman"/>
        </w:rPr>
        <w:fldChar w:fldCharType="separate"/>
      </w:r>
      <w:r w:rsidR="001F3BBC" w:rsidRPr="001F3BBC">
        <w:rPr>
          <w:rFonts w:ascii="Times New Roman" w:hAnsi="Times New Roman" w:cs="Times New Roman"/>
        </w:rPr>
        <w:t>(Tamasiga et al., 2024)</w:t>
      </w:r>
      <w:r w:rsidR="001F3BBC">
        <w:rPr>
          <w:rFonts w:ascii="Times New Roman" w:hAnsi="Times New Roman" w:cs="Times New Roman"/>
        </w:rPr>
        <w:fldChar w:fldCharType="end"/>
      </w:r>
      <w:r w:rsidRPr="004C68B3">
        <w:rPr>
          <w:rFonts w:ascii="Times New Roman" w:hAnsi="Times New Roman" w:cs="Times New Roman"/>
        </w:rPr>
        <w:t>.</w:t>
      </w:r>
      <w:r w:rsidR="001F3BBC">
        <w:rPr>
          <w:rFonts w:ascii="Times New Roman" w:hAnsi="Times New Roman" w:cs="Times New Roman"/>
        </w:rPr>
        <w:t xml:space="preserve"> </w:t>
      </w:r>
      <w:r w:rsidR="00C8487F" w:rsidRPr="00C8487F">
        <w:rPr>
          <w:rFonts w:ascii="Times New Roman" w:hAnsi="Times New Roman" w:cs="Times New Roman"/>
          <w:i/>
          <w:iCs/>
        </w:rPr>
        <w:t xml:space="preserve">Figure </w:t>
      </w:r>
      <w:r w:rsidR="00D82DFE">
        <w:rPr>
          <w:rFonts w:ascii="Times New Roman" w:hAnsi="Times New Roman" w:cs="Times New Roman"/>
          <w:i/>
          <w:iCs/>
        </w:rPr>
        <w:t>2</w:t>
      </w:r>
      <w:r w:rsidR="00C8487F" w:rsidRPr="00C8487F">
        <w:rPr>
          <w:rFonts w:ascii="Times New Roman" w:hAnsi="Times New Roman" w:cs="Times New Roman"/>
          <w:i/>
          <w:iCs/>
        </w:rPr>
        <w:t xml:space="preserve"> illustrates an integrated renewable–storage–microgrid architecture, highlighting the key components, control layers, and modes of operation. The schematic emphasizes the role of polymer-enabled materials—including electrolytes, separators, and encapsulation—in enhancing the performance, safety, and durability of energy storage systems. Bidirectional power flows, islanded and grid-connected operations, and hierarchical control functions are depicted to provide a system-level perspective of renewable-rich microgrid integration.”</w:t>
      </w:r>
    </w:p>
    <w:p w14:paraId="60D3DCB4" w14:textId="77777777" w:rsidR="00C8487F" w:rsidRDefault="00C8487F" w:rsidP="004C68B3">
      <w:pPr>
        <w:rPr>
          <w:rFonts w:ascii="Times New Roman" w:hAnsi="Times New Roman" w:cs="Times New Roman"/>
        </w:rPr>
      </w:pPr>
      <w:r>
        <w:rPr>
          <w:rFonts w:ascii="Times New Roman" w:hAnsi="Times New Roman" w:cs="Times New Roman"/>
          <w:noProof/>
        </w:rPr>
        <w:lastRenderedPageBreak/>
        <w:drawing>
          <wp:inline distT="0" distB="0" distL="0" distR="0" wp14:anchorId="3BB9907D" wp14:editId="58E8D823">
            <wp:extent cx="5943600" cy="3959860"/>
            <wp:effectExtent l="0" t="0" r="0" b="2540"/>
            <wp:docPr id="342003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003366" name="Picture 342003366"/>
                    <pic:cNvPicPr/>
                  </pic:nvPicPr>
                  <pic:blipFill>
                    <a:blip r:embed="rId8">
                      <a:extLst>
                        <a:ext uri="{28A0092B-C50C-407E-A947-70E740481C1C}">
                          <a14:useLocalDpi xmlns:a14="http://schemas.microsoft.com/office/drawing/2010/main" val="0"/>
                        </a:ext>
                      </a:extLst>
                    </a:blip>
                    <a:stretch>
                      <a:fillRect/>
                    </a:stretch>
                  </pic:blipFill>
                  <pic:spPr>
                    <a:xfrm>
                      <a:off x="0" y="0"/>
                      <a:ext cx="5943600" cy="3959860"/>
                    </a:xfrm>
                    <a:prstGeom prst="rect">
                      <a:avLst/>
                    </a:prstGeom>
                  </pic:spPr>
                </pic:pic>
              </a:graphicData>
            </a:graphic>
          </wp:inline>
        </w:drawing>
      </w:r>
    </w:p>
    <w:p w14:paraId="3AC6D6C2" w14:textId="77777777" w:rsidR="00C8487F" w:rsidRPr="00C8487F" w:rsidRDefault="00C8487F" w:rsidP="00C8487F">
      <w:pPr>
        <w:rPr>
          <w:rFonts w:ascii="Times New Roman" w:hAnsi="Times New Roman" w:cs="Times New Roman"/>
        </w:rPr>
      </w:pPr>
      <w:r w:rsidRPr="00C8487F">
        <w:rPr>
          <w:rFonts w:ascii="Times New Roman" w:hAnsi="Times New Roman" w:cs="Times New Roman"/>
          <w:b/>
          <w:bCs/>
          <w:i/>
          <w:iCs/>
        </w:rPr>
        <w:t xml:space="preserve">Figure </w:t>
      </w:r>
      <w:r w:rsidR="00D82DFE">
        <w:rPr>
          <w:rFonts w:ascii="Times New Roman" w:hAnsi="Times New Roman" w:cs="Times New Roman"/>
          <w:b/>
          <w:bCs/>
          <w:i/>
          <w:iCs/>
        </w:rPr>
        <w:t>2</w:t>
      </w:r>
      <w:r w:rsidRPr="00C8487F">
        <w:rPr>
          <w:rFonts w:ascii="Times New Roman" w:hAnsi="Times New Roman" w:cs="Times New Roman"/>
          <w:i/>
          <w:iCs/>
        </w:rPr>
        <w:t xml:space="preserve">. Integrated Renewable–Storage–Microgrid Architecture with Polymer-Enabled </w:t>
      </w:r>
      <w:r w:rsidR="00100338">
        <w:rPr>
          <w:rFonts w:ascii="Times New Roman" w:hAnsi="Times New Roman" w:cs="Times New Roman"/>
          <w:i/>
          <w:iCs/>
        </w:rPr>
        <w:t>Components. The</w:t>
      </w:r>
      <w:r w:rsidRPr="00C8487F">
        <w:rPr>
          <w:rFonts w:ascii="Times New Roman" w:hAnsi="Times New Roman" w:cs="Times New Roman"/>
          <w:i/>
          <w:iCs/>
        </w:rPr>
        <w:t xml:space="preserve"> figure depicts a microgrid incorporating solar PV, wind turbines, and advanced energy storage systems, including lithium-ion and flow batteries with polymer electrolytes, separators, and encapsulation materials. Hierarchical control layers</w:t>
      </w:r>
      <w:r w:rsidR="00100338">
        <w:rPr>
          <w:rFonts w:ascii="Times New Roman" w:hAnsi="Times New Roman" w:cs="Times New Roman"/>
          <w:i/>
          <w:iCs/>
        </w:rPr>
        <w:t xml:space="preserve"> </w:t>
      </w:r>
      <w:r w:rsidRPr="00C8487F">
        <w:rPr>
          <w:rFonts w:ascii="Times New Roman" w:hAnsi="Times New Roman" w:cs="Times New Roman"/>
          <w:i/>
          <w:iCs/>
        </w:rPr>
        <w:t>primary (droop and inertia response), secondary (voltage and frequency restoration), and tertiary (energy management and grid coordination)</w:t>
      </w:r>
      <w:r w:rsidR="00100338">
        <w:rPr>
          <w:rFonts w:ascii="Times New Roman" w:hAnsi="Times New Roman" w:cs="Times New Roman"/>
          <w:i/>
          <w:iCs/>
        </w:rPr>
        <w:t xml:space="preserve"> </w:t>
      </w:r>
      <w:r w:rsidRPr="00C8487F">
        <w:rPr>
          <w:rFonts w:ascii="Times New Roman" w:hAnsi="Times New Roman" w:cs="Times New Roman"/>
          <w:i/>
          <w:iCs/>
        </w:rPr>
        <w:t>are shown. The system is capable of both grid-connected and islanded operation, with bidirectional power flows and coordinated control enabling resilient and flexible operation in renewable-dominated environments.</w:t>
      </w:r>
    </w:p>
    <w:p w14:paraId="7929A37E" w14:textId="77777777" w:rsidR="00C8487F" w:rsidRPr="004C68B3" w:rsidRDefault="00C8487F" w:rsidP="004C68B3">
      <w:pPr>
        <w:rPr>
          <w:rFonts w:ascii="Times New Roman" w:hAnsi="Times New Roman" w:cs="Times New Roman"/>
        </w:rPr>
      </w:pPr>
    </w:p>
    <w:p w14:paraId="4D7222DE" w14:textId="77777777" w:rsidR="004C68B3" w:rsidRPr="004C68B3" w:rsidRDefault="004C68B3" w:rsidP="004C68B3">
      <w:pPr>
        <w:rPr>
          <w:rFonts w:ascii="Times New Roman" w:hAnsi="Times New Roman" w:cs="Times New Roman"/>
          <w:b/>
          <w:bCs/>
        </w:rPr>
      </w:pPr>
      <w:r w:rsidRPr="004C68B3">
        <w:rPr>
          <w:rFonts w:ascii="Times New Roman" w:hAnsi="Times New Roman" w:cs="Times New Roman"/>
          <w:b/>
          <w:bCs/>
        </w:rPr>
        <w:t>4.3 Power Electronics and Materials Interfaces</w:t>
      </w:r>
    </w:p>
    <w:p w14:paraId="2EB06F7F" w14:textId="77777777" w:rsidR="004C68B3" w:rsidRPr="004C68B3" w:rsidRDefault="004C68B3" w:rsidP="004C68B3">
      <w:pPr>
        <w:rPr>
          <w:rFonts w:ascii="Times New Roman" w:hAnsi="Times New Roman" w:cs="Times New Roman"/>
        </w:rPr>
      </w:pPr>
      <w:r w:rsidRPr="004C68B3">
        <w:rPr>
          <w:rFonts w:ascii="Times New Roman" w:hAnsi="Times New Roman" w:cs="Times New Roman"/>
        </w:rPr>
        <w:t>Power electronic converters serve as the critical interfaces between renewable sources, storage systems, and electrical loads within a microgrid. Inverters regulate power flow, manage voltage and frequency, and enable seamless transitions between grid-connected and islanded operation. As microgrids become increasingly reliant on inverter-based resources, the performance and reliability of these power electronic systems assume heightened importance</w:t>
      </w:r>
      <w:r w:rsidR="001F3BBC">
        <w:rPr>
          <w:rFonts w:ascii="Times New Roman" w:hAnsi="Times New Roman" w:cs="Times New Roman"/>
        </w:rPr>
        <w:fldChar w:fldCharType="begin"/>
      </w:r>
      <w:r w:rsidR="001F3BBC">
        <w:rPr>
          <w:rFonts w:ascii="Times New Roman" w:hAnsi="Times New Roman" w:cs="Times New Roman"/>
        </w:rPr>
        <w:instrText xml:space="preserve"> ADDIN ZOTERO_ITEM CSL_CITATION {"citationID":"55EJrDpG","properties":{"formattedCitation":"(Joddumahanthi et al., 2025)","plainCitation":"(Joddumahanthi et al., 2025)","noteIndex":0},"citationItems":[{"id":12487,"uris":["http://zotero.org/users/16652950/items/X84HJFF8"],"itemData":{"id":12487,"type":"article-journal","abstract":"Power electronics (PE) technology has become integral across various applications, playing a vital role in sectors worldwide. The integration of renew...","container-title":"Applied Sciences","DOI":"10.3390/app15084523","ISSN":"2076-3417","issue":"8","language":"en","license":"http://creativecommons.org/licenses/by/3.0/","note":"Company: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publisher","source":"www.mdpi.com","title":"Review of Power Electronics Technologies in the Integration of Renewable Energy Systems","URL":"https://www.mdpi.com/2076-3417/15/8/4523","volume":"15","author":[{"family":"Joddumahanthi","given":"Vijaychandra"},{"family":"Knypiński","given":"Łukasz"},{"family":"Gopal","given":"Yatindra"},{"family":"Kasprzak","given":"Kacper"},{"family":"Joddumahanthi","given":"Vijaychandra"},{"family":"Knypiński","given":"Łukasz"},{"family":"Gopal","given":"Yatindra"},{"family":"Kasprzak","given":"Kacper"}],"accessed":{"date-parts":[["2025",12,24]]},"issued":{"date-parts":[["2025",4,18]]}}}],"schema":"https://github.com/citation-style-language/schema/raw/master/csl-citation.json"} </w:instrText>
      </w:r>
      <w:r w:rsidR="001F3BBC">
        <w:rPr>
          <w:rFonts w:ascii="Times New Roman" w:hAnsi="Times New Roman" w:cs="Times New Roman"/>
        </w:rPr>
        <w:fldChar w:fldCharType="separate"/>
      </w:r>
      <w:r w:rsidR="001F3BBC" w:rsidRPr="001F3BBC">
        <w:rPr>
          <w:rFonts w:ascii="Times New Roman" w:hAnsi="Times New Roman" w:cs="Times New Roman"/>
        </w:rPr>
        <w:t>(Joddumahanthi et al., 2025)</w:t>
      </w:r>
      <w:r w:rsidR="001F3BBC">
        <w:rPr>
          <w:rFonts w:ascii="Times New Roman" w:hAnsi="Times New Roman" w:cs="Times New Roman"/>
        </w:rPr>
        <w:fldChar w:fldCharType="end"/>
      </w:r>
      <w:r w:rsidRPr="004C68B3">
        <w:rPr>
          <w:rFonts w:ascii="Times New Roman" w:hAnsi="Times New Roman" w:cs="Times New Roman"/>
        </w:rPr>
        <w:t>.</w:t>
      </w:r>
    </w:p>
    <w:p w14:paraId="41B2349A" w14:textId="77777777" w:rsidR="004C68B3" w:rsidRPr="004C68B3" w:rsidRDefault="004C68B3" w:rsidP="004C68B3">
      <w:pPr>
        <w:rPr>
          <w:rFonts w:ascii="Times New Roman" w:hAnsi="Times New Roman" w:cs="Times New Roman"/>
        </w:rPr>
      </w:pPr>
      <w:r w:rsidRPr="004C68B3">
        <w:rPr>
          <w:rFonts w:ascii="Times New Roman" w:hAnsi="Times New Roman" w:cs="Times New Roman"/>
        </w:rPr>
        <w:t xml:space="preserve">Materials considerations play a significant role in determining inverter reliability and thermal performance. Polymer-based insulation, encapsulation, and dielectric materials are widely used </w:t>
      </w:r>
      <w:r w:rsidRPr="004C68B3">
        <w:rPr>
          <w:rFonts w:ascii="Times New Roman" w:hAnsi="Times New Roman" w:cs="Times New Roman"/>
        </w:rPr>
        <w:lastRenderedPageBreak/>
        <w:t>to protect sensitive electronic components, provide electrical isolation, and manage mechanical stresses. Advances in polymer formulations have enabled improved thermal conductivity, enhanced dielectric strength, and greater resistance to environmental degradation. These properties are particularly important in microgrid environments, where inverters may be exposed to fluctuating loads, variable ambient conditions, and frequent operational cycling. Consequently, the integration of advanced polymer materials in power electronics contributes directly to the durability, safety, and long-term performance of renewable–storage microgrids</w:t>
      </w:r>
      <w:r w:rsidR="001F3BBC">
        <w:rPr>
          <w:rFonts w:ascii="Times New Roman" w:hAnsi="Times New Roman" w:cs="Times New Roman"/>
        </w:rPr>
        <w:fldChar w:fldCharType="begin"/>
      </w:r>
      <w:r w:rsidR="001F3BBC">
        <w:rPr>
          <w:rFonts w:ascii="Times New Roman" w:hAnsi="Times New Roman" w:cs="Times New Roman"/>
        </w:rPr>
        <w:instrText xml:space="preserve"> ADDIN ZOTERO_ITEM CSL_CITATION {"citationID":"9n7Q7kqg","properties":{"formattedCitation":"(Orville et al., 2025)","plainCitation":"(Orville et al., 2025)","noteIndex":0},"citationItems":[{"id":12489,"uris":["http://zotero.org/users/16652950/items/SE3UJ6VQ"],"itemData":{"id":12489,"type":"article-journal","abstract":"Over the last several years, a significant advancement in high-voltage electronic packaging techniques has paved the way for next-generation power ele...","container-title":"Thermo","DOI":"10.3390/thermo5030030","ISSN":"2673-7264","issue":"3","language":"en","license":"http://creativecommons.org/licenses/by/3.0/","note":"Company: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publisher","source":"www.mdpi.com","title":"Enhancing Thermal Efficiency in Power Electronics: A Review of Advanced Materials and Cooling Methods","title-short":"Enhancing Thermal Efficiency in Power Electronics","URL":"https://www.mdpi.com/2673-7264/5/3/30","volume":"5","author":[{"family":"Orville","given":"Tahmid"},{"family":"Tajwar","given":"Monem"},{"family":"Bihani","given":"Raghav"},{"family":"Saha","given":"Parnab"},{"family":"Hannan","given":"Mohammed Abdul"},{"family":"Orville","given":"Tahmid"},{"family":"Tajwar","given":"Monem"},{"family":"Bihani","given":"Raghav"},{"family":"Saha","given":"Parnab"},{"family":"Hannan","given":"Mohammed Abdul"}],"accessed":{"date-parts":[["2025",12,24]]},"issued":{"date-parts":[["2025",8,19]]}}}],"schema":"https://github.com/citation-style-language/schema/raw/master/csl-citation.json"} </w:instrText>
      </w:r>
      <w:r w:rsidR="001F3BBC">
        <w:rPr>
          <w:rFonts w:ascii="Times New Roman" w:hAnsi="Times New Roman" w:cs="Times New Roman"/>
        </w:rPr>
        <w:fldChar w:fldCharType="separate"/>
      </w:r>
      <w:r w:rsidR="001F3BBC" w:rsidRPr="001F3BBC">
        <w:rPr>
          <w:rFonts w:ascii="Times New Roman" w:hAnsi="Times New Roman" w:cs="Times New Roman"/>
        </w:rPr>
        <w:t>(Orville et al., 2025)</w:t>
      </w:r>
      <w:r w:rsidR="001F3BBC">
        <w:rPr>
          <w:rFonts w:ascii="Times New Roman" w:hAnsi="Times New Roman" w:cs="Times New Roman"/>
        </w:rPr>
        <w:fldChar w:fldCharType="end"/>
      </w:r>
      <w:r w:rsidRPr="004C68B3">
        <w:rPr>
          <w:rFonts w:ascii="Times New Roman" w:hAnsi="Times New Roman" w:cs="Times New Roman"/>
        </w:rPr>
        <w:t>.</w:t>
      </w:r>
    </w:p>
    <w:p w14:paraId="6C98CD23" w14:textId="77777777" w:rsidR="007C5F61" w:rsidRPr="007C5F61" w:rsidRDefault="007C5F61" w:rsidP="007C5F61">
      <w:pPr>
        <w:rPr>
          <w:rFonts w:ascii="Times New Roman" w:hAnsi="Times New Roman" w:cs="Times New Roman"/>
          <w:b/>
          <w:bCs/>
        </w:rPr>
      </w:pPr>
      <w:r w:rsidRPr="007C5F61">
        <w:rPr>
          <w:rFonts w:ascii="Times New Roman" w:hAnsi="Times New Roman" w:cs="Times New Roman"/>
          <w:b/>
          <w:bCs/>
        </w:rPr>
        <w:t>5. Control and Energy Management Strategies</w:t>
      </w:r>
    </w:p>
    <w:p w14:paraId="3D02A5B6" w14:textId="77777777" w:rsidR="007C5F61" w:rsidRDefault="007C5F61" w:rsidP="007C5F61">
      <w:pPr>
        <w:rPr>
          <w:rFonts w:ascii="Times New Roman" w:hAnsi="Times New Roman" w:cs="Times New Roman"/>
        </w:rPr>
      </w:pPr>
      <w:r w:rsidRPr="007C5F61">
        <w:rPr>
          <w:rFonts w:ascii="Times New Roman" w:hAnsi="Times New Roman" w:cs="Times New Roman"/>
        </w:rPr>
        <w:t>As renewable energy penetration increases and power systems evolve toward decentralized and inverter-dominated architectures, control and energy management strategies become decisive determinants of system performance. Unlike conventional grids, where stability and coordination are largely ensured by the inherent dynamics of synchronous machines, renewable-rich grids require explicitly designed control frameworks to maintain frequency and voltage stability, coordinate distributed assets, and ensure efficient operation across multiple timescales. In this context, the effectiveness of energy storage systems and microgrids depends not only on their physical capabilities but also on the sophistication of the control and energy management architectures governing their interaction</w:t>
      </w:r>
      <w:r w:rsidR="00D02498">
        <w:rPr>
          <w:rFonts w:ascii="Times New Roman" w:hAnsi="Times New Roman" w:cs="Times New Roman"/>
        </w:rPr>
        <w:fldChar w:fldCharType="begin"/>
      </w:r>
      <w:r w:rsidR="00D02498">
        <w:rPr>
          <w:rFonts w:ascii="Times New Roman" w:hAnsi="Times New Roman" w:cs="Times New Roman"/>
        </w:rPr>
        <w:instrText xml:space="preserve"> ADDIN ZOTERO_ITEM CSL_CITATION {"citationID":"J3ZfJIDo","properties":{"formattedCitation":"(Mensah et al., 2025; Ochoa-Correa et al., 2025)","plainCitation":"(Mensah et al., 2025; Ochoa-Correa et al., 2025)","noteIndex":0},"citationItems":[{"id":11386,"uris":["http://zotero.org/users/16652950/items/CUXXIZBV"],"itemData":{"id":11386,"type":"article-journal","abstract":"This paper examines governance challenges in digital transformation projects, with a particular focus on the absence of integrated or hybrid governance structures suited to emerging economies. While traditional governance models emphasize control and compliance, and agile approaches promote adaptation and flexibility, limited research has examined how these paradigms can be effectively integrated in resource-constrained, institutionally heterogeneous environments. A systematic literature review was conducted across five major databases using a transparent screening and coding procedure aligned with PRISMA principles. 36 peer-reviewed articles published since 2010 were synthesized. The review identifies three dominant governance orientations traditional, agile, and hybrid and demonstrates that hybrid approaches offer a superior balance between control and flexibility. However, their applicability in developing economies remains limited due to weak institutional capacity, inadequate policy systems, and underdeveloped digital ecosystems. This study proposes a Hybrid Governance Model that integrates formal control, adaptive flexibility, and situational enablers such as policy alignment, vendor ecosystems, and skills development. The findings guide PMOs and policymakers seeking to adopt hybrid governance to improve risk management, scheduling, and procurement outcomes in digital transformation projects. The review is constrained by publication and language bias, as only a limited amount of non-English and grey literature was included. Future empirical research is recommended to validate and generalize the proposed model across diverse institutional contexts.","container-title":"Journal of Management, and Development Research","DOI":"10.69739/jmdr.v2i2.1208","ISSN":"3079-2568","issue":"2","language":"en","license":"Copyright (c) 2025 Solomon Osei Kordieh Mensah, Olatunji Emmanuel Arayombo, Amienye Babatunde Omo Enabulele (Author)","page":"137-148","source":"journals.stecab.com","title":"Bridging Traditional and Agile Governance in Digital Transformation: Frameworks for Emerging Economies","title-short":"Bridging Traditional and Agile Governance in Digital Transformation","volume":"2","author":[{"family":"Mensah","given":"Solomon Osei Kordieh"},{"family":"Arayombo","given":"Olatunji Emmanuel"},{"family":"Enabulele","given":"Amienye Babatunde Omo"}],"issued":{"date-parts":[["2025",11,20]]}}},{"id":12491,"uris":["http://zotero.org/users/16652950/items/BQYP3DJQ"],"itemData":{"id":12491,"type":"article-journal","abstract":"The transition to 100% renewable energy systems is critical for achieving global sustainability and reducing dependence on fossil fuels. Island power ...","container-title":"Technologies","DOI":"10.3390/technologies13050180","ISSN":"2227-7080","issue":"5","language":"en","license":"http://creativecommons.org/licenses/by/3.0/","note":"Company: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publisher","source":"www.mdpi.com","title":"Pathways to 100% Renewable Energy in Island Systems: A Systematic Review of Challenges, Solutions Strategies, and Success Cases","title-short":"Pathways to 100% Renewable Energy in Island Systems","URL":"https://www.mdpi.com/2227-7080/13/5/180","volume":"13","author":[{"family":"Ochoa-Correa","given":"Danny"},{"family":"Arévalo","given":"Paul"},{"family":"Martinez","given":"Sergio"}],"accessed":{"date-parts":[["2025",12,24]]},"issued":{"date-parts":[["2025",5,1]]}}}],"schema":"https://github.com/citation-style-language/schema/raw/master/csl-citation.json"} </w:instrText>
      </w:r>
      <w:r w:rsidR="00D02498">
        <w:rPr>
          <w:rFonts w:ascii="Times New Roman" w:hAnsi="Times New Roman" w:cs="Times New Roman"/>
        </w:rPr>
        <w:fldChar w:fldCharType="separate"/>
      </w:r>
      <w:r w:rsidR="00D02498" w:rsidRPr="00D02498">
        <w:rPr>
          <w:rFonts w:ascii="Times New Roman" w:hAnsi="Times New Roman" w:cs="Times New Roman"/>
        </w:rPr>
        <w:t>(Mensah et al., 2025; Ochoa-Correa et al., 2025)</w:t>
      </w:r>
      <w:r w:rsidR="00D02498">
        <w:rPr>
          <w:rFonts w:ascii="Times New Roman" w:hAnsi="Times New Roman" w:cs="Times New Roman"/>
        </w:rPr>
        <w:fldChar w:fldCharType="end"/>
      </w:r>
      <w:r w:rsidRPr="007C5F61">
        <w:rPr>
          <w:rFonts w:ascii="Times New Roman" w:hAnsi="Times New Roman" w:cs="Times New Roman"/>
        </w:rPr>
        <w:t>.</w:t>
      </w:r>
    </w:p>
    <w:p w14:paraId="37947891" w14:textId="77777777" w:rsidR="00113DB4" w:rsidRPr="00113DB4" w:rsidRDefault="00113DB4" w:rsidP="00113DB4">
      <w:pPr>
        <w:rPr>
          <w:rFonts w:ascii="Times New Roman" w:hAnsi="Times New Roman" w:cs="Times New Roman"/>
        </w:rPr>
      </w:pPr>
      <w:r w:rsidRPr="00113DB4">
        <w:rPr>
          <w:rFonts w:ascii="Times New Roman" w:hAnsi="Times New Roman" w:cs="Times New Roman"/>
        </w:rPr>
        <w:t>Compared to grid-following inverters, grid-forming inverters provide superior performance in weak-grid and islanded conditions by establishing voltage and frequency references. However, challenges remain related to parameter tuning, coordination among multiple grid-forming units, and interaction with protection systems, highlighting the need for continued research in control design and system integration.</w:t>
      </w:r>
    </w:p>
    <w:p w14:paraId="5D0651E4" w14:textId="77777777" w:rsidR="00113DB4" w:rsidRPr="007C5F61" w:rsidRDefault="00113DB4" w:rsidP="007C5F61">
      <w:pPr>
        <w:rPr>
          <w:rFonts w:ascii="Times New Roman" w:hAnsi="Times New Roman" w:cs="Times New Roman"/>
        </w:rPr>
      </w:pPr>
    </w:p>
    <w:p w14:paraId="299C0379" w14:textId="77777777" w:rsidR="007C5F61" w:rsidRPr="007C5F61" w:rsidRDefault="007C5F61" w:rsidP="007C5F61">
      <w:pPr>
        <w:rPr>
          <w:rFonts w:ascii="Times New Roman" w:hAnsi="Times New Roman" w:cs="Times New Roman"/>
          <w:b/>
          <w:bCs/>
        </w:rPr>
      </w:pPr>
      <w:r w:rsidRPr="007C5F61">
        <w:rPr>
          <w:rFonts w:ascii="Times New Roman" w:hAnsi="Times New Roman" w:cs="Times New Roman"/>
          <w:b/>
          <w:bCs/>
        </w:rPr>
        <w:t>5.1 Hierarchical Control Frameworks</w:t>
      </w:r>
    </w:p>
    <w:p w14:paraId="613DEFF4" w14:textId="77777777" w:rsidR="007C5F61" w:rsidRPr="007C5F61" w:rsidRDefault="007C5F61" w:rsidP="007C5F61">
      <w:pPr>
        <w:rPr>
          <w:rFonts w:ascii="Times New Roman" w:hAnsi="Times New Roman" w:cs="Times New Roman"/>
        </w:rPr>
      </w:pPr>
      <w:r w:rsidRPr="007C5F61">
        <w:rPr>
          <w:rFonts w:ascii="Times New Roman" w:hAnsi="Times New Roman" w:cs="Times New Roman"/>
        </w:rPr>
        <w:t>Hierarchical control structures provide a widely adopted framework for managing the complexity of microgrids and distributed energy systems. At the primary control level, fast-acting local controllers regulate voltage and frequency by adjusting power output in response to local measurements. Droop control remains a foundational technique at this level, enabling decentralized power sharing among parallel inverters without reliance on high-bandwidth communication. However, conventional droop control can lead to steady-state deviations in voltage and frequency, necessitating higher-level coordination</w:t>
      </w:r>
      <w:r w:rsidR="00B63E6E">
        <w:rPr>
          <w:rFonts w:ascii="Times New Roman" w:hAnsi="Times New Roman" w:cs="Times New Roman"/>
        </w:rPr>
        <w:fldChar w:fldCharType="begin"/>
      </w:r>
      <w:r w:rsidR="00B63E6E">
        <w:rPr>
          <w:rFonts w:ascii="Times New Roman" w:hAnsi="Times New Roman" w:cs="Times New Roman"/>
        </w:rPr>
        <w:instrText xml:space="preserve"> ADDIN ZOTERO_ITEM CSL_CITATION {"citationID":"aPjVEJpl","properties":{"formattedCitation":"(Shan et al., 2023)","plainCitation":"(Shan et al., 2023)","noteIndex":0},"citationItems":[{"id":12493,"uris":["http://zotero.org/users/16652950/items/P2U92RX6"],"itemData":{"id":12493,"type":"article-journal","abstract":"Hierarchical control has emerged as the main method for controlling hybrid microgrids. This paper presents a model of a hybrid microgrid that comprise...","container-title":"Energies","DOI":"10.3390/en16145503","ISSN":"1996-1073","issue":"14","language":"en","license":"http://creativecommons.org/licenses/by/3.0/","note":"Company: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publisher","source":"www.mdpi.com","title":"Hierarchical Control and Economic Optimization of Microgrids Considering the Randomness of Power Generation and Load Demand","URL":"https://www.mdpi.com/1996-1073/16/14/5503","volume":"16","author":[{"family":"Shan","given":"Yinghao"},{"family":"Ma","given":"Liqian"},{"family":"Yu","given":"Xiangkai"},{"family":"Shan","given":"Yinghao"},{"family":"Ma","given":"Liqian"},{"family":"Yu","given":"Xiangkai"}],"accessed":{"date-parts":[["2025",12,24]]},"issued":{"date-parts":[["2023",7,19]]}}}],"schema":"https://github.com/citation-style-language/schema/raw/master/csl-citation.json"} </w:instrText>
      </w:r>
      <w:r w:rsidR="00B63E6E">
        <w:rPr>
          <w:rFonts w:ascii="Times New Roman" w:hAnsi="Times New Roman" w:cs="Times New Roman"/>
        </w:rPr>
        <w:fldChar w:fldCharType="separate"/>
      </w:r>
      <w:r w:rsidR="00B63E6E" w:rsidRPr="00B63E6E">
        <w:rPr>
          <w:rFonts w:ascii="Times New Roman" w:hAnsi="Times New Roman" w:cs="Times New Roman"/>
        </w:rPr>
        <w:t>(Shan et al., 2023)</w:t>
      </w:r>
      <w:r w:rsidR="00B63E6E">
        <w:rPr>
          <w:rFonts w:ascii="Times New Roman" w:hAnsi="Times New Roman" w:cs="Times New Roman"/>
        </w:rPr>
        <w:fldChar w:fldCharType="end"/>
      </w:r>
      <w:r w:rsidRPr="007C5F61">
        <w:rPr>
          <w:rFonts w:ascii="Times New Roman" w:hAnsi="Times New Roman" w:cs="Times New Roman"/>
        </w:rPr>
        <w:t>.</w:t>
      </w:r>
    </w:p>
    <w:p w14:paraId="202B49EC" w14:textId="77777777" w:rsidR="007C5F61" w:rsidRPr="007C5F61" w:rsidRDefault="007C5F61" w:rsidP="007C5F61">
      <w:pPr>
        <w:rPr>
          <w:rFonts w:ascii="Times New Roman" w:hAnsi="Times New Roman" w:cs="Times New Roman"/>
        </w:rPr>
      </w:pPr>
      <w:r w:rsidRPr="007C5F61">
        <w:rPr>
          <w:rFonts w:ascii="Times New Roman" w:hAnsi="Times New Roman" w:cs="Times New Roman"/>
        </w:rPr>
        <w:t xml:space="preserve">Secondary control addresses these deviations by restoring system variables to their nominal values through slower corrective actions, often implemented via centralized or distributed communication schemes. Tertiary control operates on even longer timescales, optimizing power flows between the microgrid and the main grid or among interconnected microgrids to achieve economic or operational objectives. Together, these layers enable stable and coordinated </w:t>
      </w:r>
      <w:r w:rsidRPr="007C5F61">
        <w:rPr>
          <w:rFonts w:ascii="Times New Roman" w:hAnsi="Times New Roman" w:cs="Times New Roman"/>
        </w:rPr>
        <w:lastRenderedPageBreak/>
        <w:t>operation across fast dynamic responses and slower optimization processes</w:t>
      </w:r>
      <w:r w:rsidR="00AE74F7">
        <w:rPr>
          <w:rFonts w:ascii="Times New Roman" w:hAnsi="Times New Roman" w:cs="Times New Roman"/>
        </w:rPr>
        <w:fldChar w:fldCharType="begin"/>
      </w:r>
      <w:r w:rsidR="00AE74F7">
        <w:rPr>
          <w:rFonts w:ascii="Times New Roman" w:hAnsi="Times New Roman" w:cs="Times New Roman"/>
        </w:rPr>
        <w:instrText xml:space="preserve"> ADDIN ZOTERO_ITEM CSL_CITATION {"citationID":"v0YMxJXr","properties":{"formattedCitation":"(Yogithanjali Saimadhuri &amp; Janaki, 2025)","plainCitation":"(Yogithanjali Saimadhuri &amp; Janaki, 2025)","noteIndex":0},"citationItems":[{"id":12495,"uris":["http://zotero.org/users/16652950/items/F4NF5CRT"],"itemData":{"id":12495,"type":"article-journal","abstract":"In microgrids, stability is ensured by maintaining a power ratio that balances total energy production and demand via coordinated management of various distributed generation (DG) units. In recent years, there has been intense research on incorporating advanced techniques into control methods for microgrids. However, a thorough examination of the hierarchical control methods for various microgrid topologies is rarely addressed. Specifically, the interplay between control methodologies namely centralized, decentralized, and distributed across AC, DC, and hybrid microgrids has not been thoroughly explored. This study fills that gap by offering a comprehensive overview of microgrid architectures and hierarchical control methods, with a special emphasis on their application to various topologies. In contrast to previous studies, this study critically investigates how two popular control strategies namely droop control and virtual impedance strategies are implemented in parallel-connected inverters for efficient power sharing. We also highlight various approaches, challenges, limitations, advancements and a comparative analysis to direct further study and real-world implementations. This review is a helpful resource for researchers and practitioners looking to improve the stability and efficiency of microgrid systems using novel control techniques.","container-title":"Results in Engineering","DOI":"10.1016/j.rineng.2024.103799","ISSN":"2590-1230","journalAbbreviation":"Results in Engineering","page":"103799","source":"ScienceDirect","title":"Advanced control strategies for microgrids: A review of droop control and virtual impedance techniques","title-short":"Advanced control strategies for microgrids","volume":"25","author":[{"family":"Yogithanjali Saimadhuri","given":"K. N."},{"family":"Janaki","given":"M."}],"issued":{"date-parts":[["2025",3,1]]}}}],"schema":"https://github.com/citation-style-language/schema/raw/master/csl-citation.json"} </w:instrText>
      </w:r>
      <w:r w:rsidR="00AE74F7">
        <w:rPr>
          <w:rFonts w:ascii="Times New Roman" w:hAnsi="Times New Roman" w:cs="Times New Roman"/>
        </w:rPr>
        <w:fldChar w:fldCharType="separate"/>
      </w:r>
      <w:r w:rsidR="00AE74F7" w:rsidRPr="00AE74F7">
        <w:rPr>
          <w:rFonts w:ascii="Times New Roman" w:hAnsi="Times New Roman" w:cs="Times New Roman"/>
        </w:rPr>
        <w:t>(Yogithanjali Saimadhuri &amp; Janaki, 2025)</w:t>
      </w:r>
      <w:r w:rsidR="00AE74F7">
        <w:rPr>
          <w:rFonts w:ascii="Times New Roman" w:hAnsi="Times New Roman" w:cs="Times New Roman"/>
        </w:rPr>
        <w:fldChar w:fldCharType="end"/>
      </w:r>
      <w:r w:rsidRPr="007C5F61">
        <w:rPr>
          <w:rFonts w:ascii="Times New Roman" w:hAnsi="Times New Roman" w:cs="Times New Roman"/>
        </w:rPr>
        <w:t>.</w:t>
      </w:r>
    </w:p>
    <w:p w14:paraId="37BF93E3" w14:textId="77777777" w:rsidR="007C5F61" w:rsidRPr="007C5F61" w:rsidRDefault="007C5F61" w:rsidP="007C5F61">
      <w:pPr>
        <w:rPr>
          <w:rFonts w:ascii="Times New Roman" w:hAnsi="Times New Roman" w:cs="Times New Roman"/>
        </w:rPr>
      </w:pPr>
      <w:r w:rsidRPr="007C5F61">
        <w:rPr>
          <w:rFonts w:ascii="Times New Roman" w:hAnsi="Times New Roman" w:cs="Times New Roman"/>
        </w:rPr>
        <w:t>In renewable-dominated systems with reduced physical inertia, advanced control concepts such as virtual inertia and grid-forming operation have gained increasing attention. Grid-forming inverters actively establish voltage and frequency references, emulating the behavior of synchronous generators and enhancing system stability under low-inertia conditions. By contrast, grid-following inverters depend on an external voltage reference and may struggle during weak-grid or islanded operation. The transition toward grid-forming control represents a fundamental shift in how stability is achieved in future power systems</w:t>
      </w:r>
      <w:r w:rsidR="00AE74F7">
        <w:rPr>
          <w:rFonts w:ascii="Times New Roman" w:hAnsi="Times New Roman" w:cs="Times New Roman"/>
        </w:rPr>
        <w:fldChar w:fldCharType="begin"/>
      </w:r>
      <w:r w:rsidR="00AE74F7">
        <w:rPr>
          <w:rFonts w:ascii="Times New Roman" w:hAnsi="Times New Roman" w:cs="Times New Roman"/>
        </w:rPr>
        <w:instrText xml:space="preserve"> ADDIN ZOTERO_ITEM CSL_CITATION {"citationID":"s7swjDXE","properties":{"formattedCitation":"(Olasoji et al., 2024)","plainCitation":"(Olasoji et al., 2024)","noteIndex":0},"citationItems":[{"id":12426,"uris":["http://zotero.org/users/16652950/items/355RAGTN"],"itemData":{"id":12426,"type":"article-journal","abstract":"This study provides a thorough analysis of unit commitment (UC) formulations in the context of low-inertia power systems, which are increasingly prevalent as the transition to Renewable Energy Sources (RES) gain momentum. Given the move towards more sustainable energy models, incorporating RES presents unique challenges in maintaining grid stability due to their inherent lack of synchronous inertia. This review examined the intricacies of modelling energy market designs and UC strategies to tackle these challenges. The study explores the expansion of frequency response services, emphasizing the increasing dependence on ancillary services, particularly in markets with a substantial presence of RES, attention is focused on the unique operating challenges in regions like Sub-Saharan Africa, where dispersed grid networks and generation inadequacies compound the problem. The paper delves into different methodologies and modelling approaches used in frequency-constrained optimization, shedding light on the strengths and weaknesses of current practices. A crucial outcome of our study is that the use of uniform frequency response models to deduce post-fault frequency parameters will not give adequate results in sparsely connected power system networks. Also, studies primarily focus on generation adequacy and the reliability criterion of the largest generator outage, overlooking the potential impact of network constraints and congestions in their formulation. Our analysis provides valuable insights into creating market frameworks that optimize energy and ancillary services, ensuring a stable and efficient grid operation in a power system dominated by RES. Based on our findings, it is essential to establish electricity market frameworks that can effectively maximize the utilization of energy resources and address the specific regional challenges associated with frequency regulation services in the future.","container-title":"Scientific African","DOI":"10.1016/j.sciaf.2024.e02357","ISSN":"2468-2276","journalAbbreviation":"Scientific African","page":"e02357","source":"ScienceDirect","title":"Review of frequency response strategies in renewable-dominated power system grids: Market adaptations and unit commitment formulation","title-short":"Review of frequency response strategies in renewable-dominated power system grids","volume":"26","author":[{"family":"Olasoji","given":"Azeez O."},{"family":"Oyedokun","given":"D. T. O."},{"family":"Omogoye","given":"Samuel O."},{"family":"Thron","given":"Chris"}],"issued":{"date-parts":[["2024",12,1]]}}}],"schema":"https://github.com/citation-style-language/schema/raw/master/csl-citation.json"} </w:instrText>
      </w:r>
      <w:r w:rsidR="00AE74F7">
        <w:rPr>
          <w:rFonts w:ascii="Times New Roman" w:hAnsi="Times New Roman" w:cs="Times New Roman"/>
        </w:rPr>
        <w:fldChar w:fldCharType="separate"/>
      </w:r>
      <w:r w:rsidR="00AE74F7" w:rsidRPr="00AE74F7">
        <w:rPr>
          <w:rFonts w:ascii="Times New Roman" w:hAnsi="Times New Roman" w:cs="Times New Roman"/>
        </w:rPr>
        <w:t>(Olasoji et al., 2024)</w:t>
      </w:r>
      <w:r w:rsidR="00AE74F7">
        <w:rPr>
          <w:rFonts w:ascii="Times New Roman" w:hAnsi="Times New Roman" w:cs="Times New Roman"/>
        </w:rPr>
        <w:fldChar w:fldCharType="end"/>
      </w:r>
      <w:r w:rsidRPr="007C5F61">
        <w:rPr>
          <w:rFonts w:ascii="Times New Roman" w:hAnsi="Times New Roman" w:cs="Times New Roman"/>
        </w:rPr>
        <w:t>.</w:t>
      </w:r>
    </w:p>
    <w:p w14:paraId="4B994B4C" w14:textId="77777777" w:rsidR="007C5F61" w:rsidRPr="007C5F61" w:rsidRDefault="007C5F61" w:rsidP="007C5F61">
      <w:pPr>
        <w:rPr>
          <w:rFonts w:ascii="Times New Roman" w:hAnsi="Times New Roman" w:cs="Times New Roman"/>
          <w:b/>
          <w:bCs/>
        </w:rPr>
      </w:pPr>
      <w:r w:rsidRPr="007C5F61">
        <w:rPr>
          <w:rFonts w:ascii="Times New Roman" w:hAnsi="Times New Roman" w:cs="Times New Roman"/>
          <w:b/>
          <w:bCs/>
        </w:rPr>
        <w:t>5.2 Centralized, Distributed, and Decentralized Control</w:t>
      </w:r>
    </w:p>
    <w:p w14:paraId="52EA88A9" w14:textId="77777777" w:rsidR="007C5F61" w:rsidRPr="007C5F61" w:rsidRDefault="007C5F61" w:rsidP="007C5F61">
      <w:pPr>
        <w:rPr>
          <w:rFonts w:ascii="Times New Roman" w:hAnsi="Times New Roman" w:cs="Times New Roman"/>
        </w:rPr>
      </w:pPr>
      <w:r w:rsidRPr="007C5F61">
        <w:rPr>
          <w:rFonts w:ascii="Times New Roman" w:hAnsi="Times New Roman" w:cs="Times New Roman"/>
        </w:rPr>
        <w:t>The choice between centralized, distributed, and decentralized control architectures reflects trade-offs between scalability, robustness, and communication requirements. Centralized control schemes offer global system visibility and can achieve optimal coordination of resources, but they are vulnerable to single points of failure and may face scalability limitations as system size and complexity increase. Communication delays and cybersecurity concerns further constrain their applicability in highly distributed environments</w:t>
      </w:r>
      <w:r w:rsidR="00DD3E94">
        <w:rPr>
          <w:rFonts w:ascii="Times New Roman" w:hAnsi="Times New Roman" w:cs="Times New Roman"/>
        </w:rPr>
        <w:fldChar w:fldCharType="begin"/>
      </w:r>
      <w:r w:rsidR="00DD3E94">
        <w:rPr>
          <w:rFonts w:ascii="Times New Roman" w:hAnsi="Times New Roman" w:cs="Times New Roman"/>
        </w:rPr>
        <w:instrText xml:space="preserve"> ADDIN ZOTERO_ITEM CSL_CITATION {"citationID":"vBhOpQk6","properties":{"formattedCitation":"(Alves et al., 2025)","plainCitation":"(Alves et al., 2025)","noteIndex":0},"citationItems":[{"id":12499,"uris":["http://zotero.org/users/16652950/items/GBBV9M5U"],"itemData":{"id":12499,"type":"article-journal","abstract":"Industrial processes increasingly demand the design of reliable systems with robustness, resilience, and autonomy capabilities. Distributed cyber–physical systems have been seen as reliable and potential solutions to these demands, and they are being more prepared and aligned to the incorporation of new technologies and methodologies. Some technologies and methodologies are service-oriented architectures, multi-agent systems, IEC 61499 Standard, virtualization, and autonomous capabilities. These technologies ensure adaptative dynamic systems that detect and correct changes or faults autonomously, maximizing resource use in dynamic environments and the operation time of industry processes. The fusion of technologies and methodologies allows the optimization of industrial Cyber–Physical Systems (CPSs), making them more flexible, agile, secure, scalable, reliable, and efficient. This work aims to identify fundamental ideas from the recent literature on distributed CPS architectures for industrial environments. For this, this review studies distributed architectures and the fundamental/essential technologies and methodologies contributing to their maturation and growth. The paper studies the fundamental concepts, applications, and integration of communication protocols, IEC 61499 Standard, virtualization, multi-agent, fault-tolerant, and autonomous methodologies on distributed CPS. The review presents the different features addressed to develop a well-defined and optimized distributed architecture and the integration and relationship of different methodologies. Also, the respective strengths, shortcomings, and opportunities for future work are identified. The contribution of the presented work is to provide the crucial technologies and essential concepts to develop a distributed and resilient industrial CPS in the future.","container-title":"Journal of Manufacturing Systems","DOI":"10.1016/j.jmsy.2025.07.012","ISSN":"0278-6125","journalAbbreviation":"Journal of Manufacturing Systems","page":"1069-1090","source":"ScienceDirect","title":"A review of architecture features for distributed and resilient industrial cyber–physical systems","volume":"82","author":[{"family":"Alves","given":"Jorge"},{"family":"Sousa","given":"Pedro"},{"family":"Cruz","given":"Tiago"},{"family":"Mendes","given":"Jérôme"}],"issued":{"date-parts":[["2025",10,1]]}}}],"schema":"https://github.com/citation-style-language/schema/raw/master/csl-citation.json"} </w:instrText>
      </w:r>
      <w:r w:rsidR="00DD3E94">
        <w:rPr>
          <w:rFonts w:ascii="Times New Roman" w:hAnsi="Times New Roman" w:cs="Times New Roman"/>
        </w:rPr>
        <w:fldChar w:fldCharType="separate"/>
      </w:r>
      <w:r w:rsidR="00DD3E94" w:rsidRPr="00DD3E94">
        <w:rPr>
          <w:rFonts w:ascii="Times New Roman" w:hAnsi="Times New Roman" w:cs="Times New Roman"/>
        </w:rPr>
        <w:t>(Alves et al., 2025)</w:t>
      </w:r>
      <w:r w:rsidR="00DD3E94">
        <w:rPr>
          <w:rFonts w:ascii="Times New Roman" w:hAnsi="Times New Roman" w:cs="Times New Roman"/>
        </w:rPr>
        <w:fldChar w:fldCharType="end"/>
      </w:r>
      <w:r w:rsidRPr="007C5F61">
        <w:rPr>
          <w:rFonts w:ascii="Times New Roman" w:hAnsi="Times New Roman" w:cs="Times New Roman"/>
        </w:rPr>
        <w:t>.</w:t>
      </w:r>
    </w:p>
    <w:p w14:paraId="0A89A45F" w14:textId="77777777" w:rsidR="007C5F61" w:rsidRPr="007C5F61" w:rsidRDefault="007C5F61" w:rsidP="007C5F61">
      <w:pPr>
        <w:rPr>
          <w:rFonts w:ascii="Times New Roman" w:hAnsi="Times New Roman" w:cs="Times New Roman"/>
        </w:rPr>
      </w:pPr>
      <w:r w:rsidRPr="007C5F61">
        <w:rPr>
          <w:rFonts w:ascii="Times New Roman" w:hAnsi="Times New Roman" w:cs="Times New Roman"/>
        </w:rPr>
        <w:t>Distributed control approaches seek to balance these challenges by decomposing control tasks among multiple agents that exchange limited information with neighboring entities. Such schemes enhance scalability and fault tolerance while preserving a degree of coordination necessary for system-wide objectives. Fully decentralized control, on the other hand, relies solely on local measurements and predefined control laws, offering maximum robustness and minimal communication dependence at the expense of global optimality. In practice, hybrid architectures that combine elements of centralized supervision with distributed or decentralized execution are increasingly favored for renewable-rich microgrids</w:t>
      </w:r>
      <w:r w:rsidR="00DD3E94">
        <w:rPr>
          <w:rFonts w:ascii="Times New Roman" w:hAnsi="Times New Roman" w:cs="Times New Roman"/>
        </w:rPr>
        <w:fldChar w:fldCharType="begin"/>
      </w:r>
      <w:r w:rsidR="00DD3E94">
        <w:rPr>
          <w:rFonts w:ascii="Times New Roman" w:hAnsi="Times New Roman" w:cs="Times New Roman"/>
        </w:rPr>
        <w:instrText xml:space="preserve"> ADDIN ZOTERO_ITEM CSL_CITATION {"citationID":"rjVa40Je","properties":{"formattedCitation":"(Aghmadi et al., 2023)","plainCitation":"(Aghmadi et al., 2023)","noteIndex":0},"citationItems":[{"id":12497,"uris":["http://zotero.org/users/16652950/items/6EB8NNXX"],"itemData":{"id":12497,"type":"article-journal","abstract":"Networked microgrids (NMGs) are developing as a viable approach for integrating an expanding number of distributed energy resources (DERs) while impro...","container-title":"Inventions","DOI":"10.3390/inventions8040084","ISSN":"2411-5134","issue":"4","language":"en","license":"http://creativecommons.org/licenses/by/3.0/","note":"Company: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publisher","source":"www.mdpi.com","title":"A Comprehensive Review of Architecture, Communication, and Cybersecurity in Networked Microgrid Systems","URL":"https://www.mdpi.com/2411-5134/8/4/84","volume":"8","author":[{"family":"Aghmadi","given":"Ahmed"},{"family":"Hussein","given":"Hossam"},{"family":"Polara","given":"Ketulkumar Hitesh"},{"family":"Mohammed","given":"Osama"},{"family":"Aghmadi","given":"Ahmed"},{"family":"Hussein","given":"Hossam"},{"family":"Polara","given":"Ketulkumar Hitesh"},{"family":"Mohammed","given":"Osama"}],"accessed":{"date-parts":[["2025",12,24]]},"issued":{"date-parts":[["2023",6,28]]}}}],"schema":"https://github.com/citation-style-language/schema/raw/master/csl-citation.json"} </w:instrText>
      </w:r>
      <w:r w:rsidR="00DD3E94">
        <w:rPr>
          <w:rFonts w:ascii="Times New Roman" w:hAnsi="Times New Roman" w:cs="Times New Roman"/>
        </w:rPr>
        <w:fldChar w:fldCharType="separate"/>
      </w:r>
      <w:r w:rsidR="00DD3E94" w:rsidRPr="00DD3E94">
        <w:rPr>
          <w:rFonts w:ascii="Times New Roman" w:hAnsi="Times New Roman" w:cs="Times New Roman"/>
        </w:rPr>
        <w:t>(Aghmadi et al., 2023)</w:t>
      </w:r>
      <w:r w:rsidR="00DD3E94">
        <w:rPr>
          <w:rFonts w:ascii="Times New Roman" w:hAnsi="Times New Roman" w:cs="Times New Roman"/>
        </w:rPr>
        <w:fldChar w:fldCharType="end"/>
      </w:r>
      <w:r w:rsidRPr="007C5F61">
        <w:rPr>
          <w:rFonts w:ascii="Times New Roman" w:hAnsi="Times New Roman" w:cs="Times New Roman"/>
        </w:rPr>
        <w:t>.</w:t>
      </w:r>
    </w:p>
    <w:p w14:paraId="5D739658" w14:textId="77777777" w:rsidR="007C5F61" w:rsidRPr="007C5F61" w:rsidRDefault="007C5F61" w:rsidP="007C5F61">
      <w:pPr>
        <w:rPr>
          <w:rFonts w:ascii="Times New Roman" w:hAnsi="Times New Roman" w:cs="Times New Roman"/>
          <w:b/>
          <w:bCs/>
        </w:rPr>
      </w:pPr>
      <w:r w:rsidRPr="007C5F61">
        <w:rPr>
          <w:rFonts w:ascii="Times New Roman" w:hAnsi="Times New Roman" w:cs="Times New Roman"/>
          <w:b/>
          <w:bCs/>
        </w:rPr>
        <w:t>5.3 Energy Management Systems</w:t>
      </w:r>
    </w:p>
    <w:p w14:paraId="365B92E6" w14:textId="77777777" w:rsidR="007C5F61" w:rsidRPr="007C5F61" w:rsidRDefault="007C5F61" w:rsidP="007C5F61">
      <w:pPr>
        <w:rPr>
          <w:rFonts w:ascii="Times New Roman" w:hAnsi="Times New Roman" w:cs="Times New Roman"/>
        </w:rPr>
      </w:pPr>
      <w:r w:rsidRPr="007C5F61">
        <w:rPr>
          <w:rFonts w:ascii="Times New Roman" w:hAnsi="Times New Roman" w:cs="Times New Roman"/>
        </w:rPr>
        <w:t>Energy management systems operate at the supervisory level, coordinating generation, storage, and loads to achieve economic efficiency, reliability, and policy-driven objectives. Optimization-based scheduling methods are commonly employed to determine optimal charging and discharging strategies for energy storage systems, considering constraints such as state of charge, power limits, and forecasted renewable generation and demand. These formulations often incorporate multi-objective criteria, balancing cost minimization with emissions reduction and reliability enhancement</w:t>
      </w:r>
      <w:r w:rsidR="0082522D">
        <w:rPr>
          <w:rFonts w:ascii="Times New Roman" w:hAnsi="Times New Roman" w:cs="Times New Roman"/>
        </w:rPr>
        <w:fldChar w:fldCharType="begin"/>
      </w:r>
      <w:r w:rsidR="0082522D">
        <w:rPr>
          <w:rFonts w:ascii="Times New Roman" w:hAnsi="Times New Roman" w:cs="Times New Roman"/>
        </w:rPr>
        <w:instrText xml:space="preserve"> ADDIN ZOTERO_ITEM CSL_CITATION {"citationID":"YrXh32dP","properties":{"formattedCitation":"(Alzahrani et al., 2023)","plainCitation":"(Alzahrani et al., 2023)","noteIndex":0},"citationItems":[{"id":12502,"uris":["http://zotero.org/users/16652950/items/ZZ823PXV"],"itemData":{"id":12502,"type":"article-journal","abstract":"Real-time energy optimization is essential for effective load scheduling, cost reduction, maintaining demand and supply balance, and ensuring reliable power system operations. However, real-time energy optimization is challenging due to the unpredictable nature of renewable energy sources (RES) and the behavior of electric loads. On this note, a rigid model is required that can deal with this dilemma. Thus, the Lyapunov optimization technique (LOT) emerged as a solution for the real-time energy optimization problem. This work investigates a smart home equipped with inflexible loads (TV, computer, light, etc.), flexible loads (EVs, HVAC, water heaters, etc.), and RES (photovoltaic and wind energy) in a grid-connected mode that ensures energy trading (purchasing and selling of energy). The aim is to optimize total cost, thermal discomfort cost, and batteries and EVs charging/discharging using LOT by real-time energy optimization, which does not require any system parameters to be anticipated. The proposed algorithm employs LOT for four queues to solve the real-time energy optimization problem. Simulations are conducted for different scenarios and varying weather conditions to endorse the effectiveness of the developed real-time energy optimization solution in various aspects of the performance metrics.","container-title":"Applied Energy","DOI":"10.1016/j.apenergy.2023.120640","ISSN":"0306-2619","journalAbbreviation":"Applied Energy","page":"120640","source":"ScienceDirect","title":"Real-time energy optimization and scheduling of buildings integrated with renewable microgrid","volume":"335","author":[{"family":"Alzahrani","given":"Ahmad"},{"family":"Sajjad","given":"Khizar"},{"family":"Hafeez","given":"Ghulam"},{"family":"Murawwat","given":"Sadia"},{"family":"Khan","given":"Sheraz"},{"family":"Khan","given":"Farrukh Aslam"}],"issued":{"date-parts":[["2023",4,1]]}}}],"schema":"https://github.com/citation-style-language/schema/raw/master/csl-citation.json"} </w:instrText>
      </w:r>
      <w:r w:rsidR="0082522D">
        <w:rPr>
          <w:rFonts w:ascii="Times New Roman" w:hAnsi="Times New Roman" w:cs="Times New Roman"/>
        </w:rPr>
        <w:fldChar w:fldCharType="separate"/>
      </w:r>
      <w:r w:rsidR="0082522D" w:rsidRPr="0082522D">
        <w:rPr>
          <w:rFonts w:ascii="Times New Roman" w:hAnsi="Times New Roman" w:cs="Times New Roman"/>
        </w:rPr>
        <w:t>(Alzahrani et al., 2023)</w:t>
      </w:r>
      <w:r w:rsidR="0082522D">
        <w:rPr>
          <w:rFonts w:ascii="Times New Roman" w:hAnsi="Times New Roman" w:cs="Times New Roman"/>
        </w:rPr>
        <w:fldChar w:fldCharType="end"/>
      </w:r>
      <w:r w:rsidRPr="007C5F61">
        <w:rPr>
          <w:rFonts w:ascii="Times New Roman" w:hAnsi="Times New Roman" w:cs="Times New Roman"/>
        </w:rPr>
        <w:t>.</w:t>
      </w:r>
    </w:p>
    <w:p w14:paraId="721F4EBA" w14:textId="77777777" w:rsidR="007C5F61" w:rsidRPr="007C5F61" w:rsidRDefault="007C5F61" w:rsidP="007C5F61">
      <w:pPr>
        <w:rPr>
          <w:rFonts w:ascii="Times New Roman" w:hAnsi="Times New Roman" w:cs="Times New Roman"/>
        </w:rPr>
      </w:pPr>
      <w:r w:rsidRPr="007C5F61">
        <w:rPr>
          <w:rFonts w:ascii="Times New Roman" w:hAnsi="Times New Roman" w:cs="Times New Roman"/>
        </w:rPr>
        <w:t>Model predictive control has emerged as a particularly powerful approach for energy management under uncertainty</w:t>
      </w:r>
      <w:r w:rsidR="00DD3E94">
        <w:rPr>
          <w:rFonts w:ascii="Times New Roman" w:hAnsi="Times New Roman" w:cs="Times New Roman"/>
        </w:rPr>
        <w:fldChar w:fldCharType="begin"/>
      </w:r>
      <w:r w:rsidR="00DD3E94">
        <w:rPr>
          <w:rFonts w:ascii="Times New Roman" w:hAnsi="Times New Roman" w:cs="Times New Roman"/>
        </w:rPr>
        <w:instrText xml:space="preserve"> ADDIN ZOTERO_ITEM CSL_CITATION {"citationID":"y6EMBPK1","properties":{"formattedCitation":"(Animashaun et al., 2025)","plainCitation":"(Animashaun et al., 2025)","noteIndex":0},"citationItems":[{"id":9014,"uris":["http://zotero.org/users/16652950/items/7R576SRT"],"itemData":{"id":9014,"type":"article-journal","container-title":"Journal of Engineering Research and Reports","DOI":"10.9734/jerr/2025/v27i101652","ISSN":"2582-2926","issue":"10","language":"en","page":"12-37","source":"journaljerr.com","title":"AI-Powered Digital Twin Platforms for Next-Generation Structural Health Monitoring: From Concept to Intelligent Decision-Making","title-short":"AI-Powered Digital Twin Platforms for Next-Generation Structural Health Monitoring","volume":"27","author":[{"family":"Animashaun","given":"Toheeb Abbey"},{"family":"Sunday","given":"Omolayo"},{"family":"Ogunleye","given":"Emmanuel"},{"family":"Agbahiwe","given":"Ogonna Kizzito"},{"family":"Afolayan","given":"Oladele Nicholas"},{"family":"Okpoko","given":"Oghenetega A."},{"family":"Enabulele","given":"Amienye Babatunde Omo"},{"family":"Enobakhare","given":"Benjamin Osaze"},{"family":"Ifionu","given":"Ebuka Stephen"}],"issued":{"date-parts":[["2025",9,22]]}}}],"schema":"https://github.com/citation-style-language/schema/raw/master/csl-citation.json"} </w:instrText>
      </w:r>
      <w:r w:rsidR="00DD3E94">
        <w:rPr>
          <w:rFonts w:ascii="Times New Roman" w:hAnsi="Times New Roman" w:cs="Times New Roman"/>
        </w:rPr>
        <w:fldChar w:fldCharType="separate"/>
      </w:r>
      <w:r w:rsidR="00DD3E94" w:rsidRPr="00DD3E94">
        <w:rPr>
          <w:rFonts w:ascii="Times New Roman" w:hAnsi="Times New Roman" w:cs="Times New Roman"/>
        </w:rPr>
        <w:t>(Animashaun et al., 2025)</w:t>
      </w:r>
      <w:r w:rsidR="00DD3E94">
        <w:rPr>
          <w:rFonts w:ascii="Times New Roman" w:hAnsi="Times New Roman" w:cs="Times New Roman"/>
        </w:rPr>
        <w:fldChar w:fldCharType="end"/>
      </w:r>
      <w:r w:rsidRPr="007C5F61">
        <w:rPr>
          <w:rFonts w:ascii="Times New Roman" w:hAnsi="Times New Roman" w:cs="Times New Roman"/>
        </w:rPr>
        <w:t xml:space="preserve">. By explicitly incorporating system dynamics and forecast information over a receding time horizon, model predictive control enables anticipatory decision-making and systematic handling of constraints. Its ability to adapt </w:t>
      </w:r>
      <w:r w:rsidRPr="007C5F61">
        <w:rPr>
          <w:rFonts w:ascii="Times New Roman" w:hAnsi="Times New Roman" w:cs="Times New Roman"/>
        </w:rPr>
        <w:lastRenderedPageBreak/>
        <w:t xml:space="preserve">to changing conditions makes it </w:t>
      </w:r>
      <w:r w:rsidR="00100338">
        <w:rPr>
          <w:rFonts w:ascii="Times New Roman" w:hAnsi="Times New Roman" w:cs="Times New Roman"/>
        </w:rPr>
        <w:t>well-suited</w:t>
      </w:r>
      <w:r w:rsidRPr="007C5F61">
        <w:rPr>
          <w:rFonts w:ascii="Times New Roman" w:hAnsi="Times New Roman" w:cs="Times New Roman"/>
        </w:rPr>
        <w:t xml:space="preserve"> for managing renewable variability and coordinating storage assets in both grid-connected and islanded microgrids.</w:t>
      </w:r>
    </w:p>
    <w:p w14:paraId="361C3938" w14:textId="77777777" w:rsidR="007C5F61" w:rsidRPr="007C5F61" w:rsidRDefault="007C5F61" w:rsidP="007C5F61">
      <w:pPr>
        <w:rPr>
          <w:rFonts w:ascii="Times New Roman" w:hAnsi="Times New Roman" w:cs="Times New Roman"/>
          <w:b/>
          <w:bCs/>
        </w:rPr>
      </w:pPr>
      <w:r w:rsidRPr="007C5F61">
        <w:rPr>
          <w:rFonts w:ascii="Times New Roman" w:hAnsi="Times New Roman" w:cs="Times New Roman"/>
          <w:b/>
          <w:bCs/>
        </w:rPr>
        <w:t>5.4 Intelligent and Data-Driven Control Approaches</w:t>
      </w:r>
    </w:p>
    <w:p w14:paraId="73CBF8BA" w14:textId="77777777" w:rsidR="007C5F61" w:rsidRPr="007C5F61" w:rsidRDefault="007C5F61" w:rsidP="007C5F61">
      <w:pPr>
        <w:rPr>
          <w:rFonts w:ascii="Times New Roman" w:hAnsi="Times New Roman" w:cs="Times New Roman"/>
        </w:rPr>
      </w:pPr>
      <w:r w:rsidRPr="007C5F61">
        <w:rPr>
          <w:rFonts w:ascii="Times New Roman" w:hAnsi="Times New Roman" w:cs="Times New Roman"/>
        </w:rPr>
        <w:t>Recent advances in data analytics and artificial intelligence have opened new avenues for adaptive and autonomous control of renewable energy systems. Machine learning techniques are increasingly applied to forecasting, anomaly detection, and control policy optimization, while reinforcement learning offers a framework for learning optimal control strategies through interaction with the system environment. These approaches are particularly attractive for complex systems where accurate physics-based models are difficult to obtain.</w:t>
      </w:r>
    </w:p>
    <w:p w14:paraId="7311DA2C" w14:textId="77777777" w:rsidR="007C5F61" w:rsidRDefault="007C5F61" w:rsidP="007C5F61">
      <w:pPr>
        <w:rPr>
          <w:rFonts w:ascii="Times New Roman" w:hAnsi="Times New Roman" w:cs="Times New Roman"/>
        </w:rPr>
      </w:pPr>
      <w:r w:rsidRPr="007C5F61">
        <w:rPr>
          <w:rFonts w:ascii="Times New Roman" w:hAnsi="Times New Roman" w:cs="Times New Roman"/>
        </w:rPr>
        <w:t>Digital twins represent a complementary development, providing virtual replicas of physical assets that integrate real-time data with simulation models. In microgrid and storage applications, digital twins support predictive maintenance, performance optimization, and scenario analysis, enabling operators to anticipate failures and optimize control strategies proactively. Importantly, data-driven approaches also facilitate lifecycle-aware operation by accounting for storage degradation and aging effects. By incorporating degradation models into control and energy management decisions, systems can balance short-term performance with long-term asset health, thereby enhancing economic viability and sustainability</w:t>
      </w:r>
      <w:r w:rsidR="0082522D">
        <w:rPr>
          <w:rFonts w:ascii="Times New Roman" w:hAnsi="Times New Roman" w:cs="Times New Roman"/>
        </w:rPr>
        <w:fldChar w:fldCharType="begin"/>
      </w:r>
      <w:r w:rsidR="0082522D">
        <w:rPr>
          <w:rFonts w:ascii="Times New Roman" w:hAnsi="Times New Roman" w:cs="Times New Roman"/>
        </w:rPr>
        <w:instrText xml:space="preserve"> ADDIN ZOTERO_ITEM CSL_CITATION {"citationID":"pVqln9Us","properties":{"formattedCitation":"(Olaitan et al., 2025)","plainCitation":"(Olaitan et al., 2025)","noteIndex":0},"citationItems":[{"id":7277,"uris":["http://zotero.org/users/16652950/items/NS9K425E"],"itemData":{"id":7277,"type":"article-journal","container-title":"Journal of Engineering Research and Reports","DOI":"10.9734/jerr/2025/v27i61548","ISSN":"2582-2926","issue":"6","language":"en","page":"331-344","source":"journaljerr.com","title":"Secure and Resilient Industrial IoT Architectures for Smart Manufacturing: A Comprehensive Review","title-short":"Secure and Resilient Industrial IoT Architectures for Smart Manufacturing","volume":"27","author":[{"family":"Olaitan","given":"Ololade Funke"},{"family":"Akatakpo","given":"Ogheneruemu Nathaniel"},{"family":"Victor","given":"Chukwujama Osinachi"},{"family":"Emejulu","given":"Chukwumaeziokwu James"},{"family":"Ayoola","given":"Temiloluwa Mercy"},{"family":"Olayiwola","given":"Damilola Emmanuel"},{"family":"Ajibola","given":"Azeez Abiodun"}],"issued":{"date-parts":[["2025",6,21]]}}}],"schema":"https://github.com/citation-style-language/schema/raw/master/csl-citation.json"} </w:instrText>
      </w:r>
      <w:r w:rsidR="0082522D">
        <w:rPr>
          <w:rFonts w:ascii="Times New Roman" w:hAnsi="Times New Roman" w:cs="Times New Roman"/>
        </w:rPr>
        <w:fldChar w:fldCharType="separate"/>
      </w:r>
      <w:r w:rsidR="0082522D" w:rsidRPr="0082522D">
        <w:rPr>
          <w:rFonts w:ascii="Times New Roman" w:hAnsi="Times New Roman" w:cs="Times New Roman"/>
        </w:rPr>
        <w:t>(Olaitan et al., 2025)</w:t>
      </w:r>
      <w:r w:rsidR="0082522D">
        <w:rPr>
          <w:rFonts w:ascii="Times New Roman" w:hAnsi="Times New Roman" w:cs="Times New Roman"/>
        </w:rPr>
        <w:fldChar w:fldCharType="end"/>
      </w:r>
      <w:r w:rsidRPr="007C5F61">
        <w:rPr>
          <w:rFonts w:ascii="Times New Roman" w:hAnsi="Times New Roman" w:cs="Times New Roman"/>
        </w:rPr>
        <w:t>.</w:t>
      </w:r>
    </w:p>
    <w:p w14:paraId="3BF44CFE" w14:textId="024D0ECD" w:rsidR="008B28FC" w:rsidRPr="008B28FC" w:rsidRDefault="008B28FC" w:rsidP="008B28FC">
      <w:pPr>
        <w:rPr>
          <w:rFonts w:ascii="Times New Roman" w:hAnsi="Times New Roman" w:cs="Times New Roman"/>
        </w:rPr>
      </w:pPr>
      <w:r w:rsidRPr="008B28FC">
        <w:rPr>
          <w:rFonts w:ascii="Times New Roman" w:hAnsi="Times New Roman" w:cs="Times New Roman"/>
        </w:rPr>
        <w:t>Data-driven and degradation-aware energy management strategies are particularly relevant for polymer-enabled storage systems, whose aging behavior can be strongly influenced by temperature, cycling intensity, and material properties. Incorporating degradation models into control and optimization frameworks enables a balance between short-term performance and long-term asset health, improving both economic and operational outcomes</w:t>
      </w:r>
      <w:r w:rsidR="001B434B">
        <w:rPr>
          <w:rFonts w:ascii="Times New Roman" w:hAnsi="Times New Roman" w:cs="Times New Roman"/>
        </w:rPr>
        <w:fldChar w:fldCharType="begin"/>
      </w:r>
      <w:r w:rsidR="001B434B">
        <w:rPr>
          <w:rFonts w:ascii="Times New Roman" w:hAnsi="Times New Roman" w:cs="Times New Roman"/>
        </w:rPr>
        <w:instrText xml:space="preserve"> ADDIN ZOTERO_ITEM CSL_CITATION {"citationID":"ELbybp7g","properties":{"formattedCitation":"(Jarosz-Kozyro et al., 2025)","plainCitation":"(Jarosz-Kozyro et al., 2025)","noteIndex":0},"citationItems":[{"id":12700,"uris":["http://zotero.org/users/16652950/items/QRH7JZJ4"],"itemData":{"id":12700,"type":"article-journal","abstract":"Understanding degradation is crucial for ensuring the longevity and performance of materials, systems, and organisms. To illustrate the similarities a...","container-title":"Processes","DOI":"10.3390/pr13123962","ISSN":"2227-9717","issue":"12","language":"en","license":"http://creativecommons.org/licenses/by/3.0/","note":"Company: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publisher","source":"www.mdpi.com","title":"Recent Advances in Data-Driven Methods for Degradation Modeling Across Applications","URL":"https://www.mdpi.com/2227-9717/13/12/3962","volume":"13","author":[{"family":"Jarosz-Kozyro","given":"Anna"},{"family":"Baranowski","given":"Jerzy"},{"family":"Jarosz-Kozyro","given":"Anna"},{"family":"Baranowski","given":"Jerzy"}],"accessed":{"date-parts":[["2025",12,29]]},"issued":{"date-parts":[["2025",12,7]]}}}],"schema":"https://github.com/citation-style-language/schema/raw/master/csl-citation.json"} </w:instrText>
      </w:r>
      <w:r w:rsidR="001B434B">
        <w:rPr>
          <w:rFonts w:ascii="Times New Roman" w:hAnsi="Times New Roman" w:cs="Times New Roman"/>
        </w:rPr>
        <w:fldChar w:fldCharType="separate"/>
      </w:r>
      <w:r w:rsidR="001B434B" w:rsidRPr="001B434B">
        <w:rPr>
          <w:rFonts w:ascii="Times New Roman" w:hAnsi="Times New Roman" w:cs="Times New Roman"/>
        </w:rPr>
        <w:t>(Jarosz-Kozyro et al., 2025)</w:t>
      </w:r>
      <w:r w:rsidR="001B434B">
        <w:rPr>
          <w:rFonts w:ascii="Times New Roman" w:hAnsi="Times New Roman" w:cs="Times New Roman"/>
        </w:rPr>
        <w:fldChar w:fldCharType="end"/>
      </w:r>
      <w:r w:rsidRPr="008B28FC">
        <w:rPr>
          <w:rFonts w:ascii="Times New Roman" w:hAnsi="Times New Roman" w:cs="Times New Roman"/>
        </w:rPr>
        <w:t>.</w:t>
      </w:r>
    </w:p>
    <w:p w14:paraId="45D2BD82" w14:textId="77777777" w:rsidR="008B28FC" w:rsidRPr="007C5F61" w:rsidRDefault="008B28FC" w:rsidP="007C5F61">
      <w:pPr>
        <w:rPr>
          <w:rFonts w:ascii="Times New Roman" w:hAnsi="Times New Roman" w:cs="Times New Roman"/>
        </w:rPr>
      </w:pPr>
    </w:p>
    <w:p w14:paraId="0EEBCBB0" w14:textId="77777777" w:rsidR="00CC4AF3" w:rsidRDefault="00CC4AF3" w:rsidP="00F5638D">
      <w:pPr>
        <w:rPr>
          <w:rFonts w:ascii="Times New Roman" w:hAnsi="Times New Roman" w:cs="Times New Roman"/>
        </w:rPr>
      </w:pPr>
    </w:p>
    <w:p w14:paraId="06F1E29A" w14:textId="77777777" w:rsidR="00AB1823" w:rsidRPr="00AB1823" w:rsidRDefault="00AB1823" w:rsidP="00AB1823">
      <w:pPr>
        <w:rPr>
          <w:rFonts w:ascii="Times New Roman" w:hAnsi="Times New Roman" w:cs="Times New Roman"/>
          <w:b/>
          <w:bCs/>
        </w:rPr>
      </w:pPr>
      <w:r w:rsidRPr="00AB1823">
        <w:rPr>
          <w:rFonts w:ascii="Times New Roman" w:hAnsi="Times New Roman" w:cs="Times New Roman"/>
          <w:b/>
          <w:bCs/>
        </w:rPr>
        <w:t>6. Grid Interaction, Standards, and Market Participation</w:t>
      </w:r>
    </w:p>
    <w:p w14:paraId="088EE240" w14:textId="77777777" w:rsidR="00AB1823" w:rsidRPr="00AB1823" w:rsidRDefault="00AB1823" w:rsidP="00AB1823">
      <w:pPr>
        <w:rPr>
          <w:rFonts w:ascii="Times New Roman" w:hAnsi="Times New Roman" w:cs="Times New Roman"/>
        </w:rPr>
      </w:pPr>
      <w:r w:rsidRPr="00AB1823">
        <w:rPr>
          <w:rFonts w:ascii="Times New Roman" w:hAnsi="Times New Roman" w:cs="Times New Roman"/>
        </w:rPr>
        <w:t>The integration of renewable energy, energy storage systems, and microgrids into modern power systems extends beyond technological deployment, encompassing regulatory frameworks, standards, and market mechanisms that govern their operation and economic participation. As grids evolve to accommodate distributed and inverter-dominated resources, adherence to established codes and interoperability standards is critical for ensuring reliable, safe, and coordinated operation across heterogeneous assets.</w:t>
      </w:r>
    </w:p>
    <w:p w14:paraId="6C8A5C7B" w14:textId="77777777" w:rsidR="00AB1823" w:rsidRPr="00AB1823" w:rsidRDefault="00AB1823" w:rsidP="00AB1823">
      <w:pPr>
        <w:rPr>
          <w:rFonts w:ascii="Times New Roman" w:hAnsi="Times New Roman" w:cs="Times New Roman"/>
        </w:rPr>
      </w:pPr>
      <w:r w:rsidRPr="00AB1823">
        <w:rPr>
          <w:rFonts w:ascii="Times New Roman" w:hAnsi="Times New Roman" w:cs="Times New Roman"/>
        </w:rPr>
        <w:t xml:space="preserve">Grid codes and technical standards define the requirements for connection, operation, and performance of distributed generation, storage systems, and microgrids. These codes, often established by national or regional authorities and aligned with international standards such as IEEE and IEC, specify parameters including voltage and frequency limits, fault ride-through </w:t>
      </w:r>
      <w:r w:rsidRPr="00AB1823">
        <w:rPr>
          <w:rFonts w:ascii="Times New Roman" w:hAnsi="Times New Roman" w:cs="Times New Roman"/>
        </w:rPr>
        <w:lastRenderedPageBreak/>
        <w:t>capabilities, reactive power support, and communication protocols. Compliance with such standards ensures that distributed resources can interact seamlessly with the broader power system, maintain system stability, and provide ancillary services without compromising safety or reliability</w:t>
      </w:r>
      <w:r w:rsidR="0082522D">
        <w:rPr>
          <w:rFonts w:ascii="Times New Roman" w:hAnsi="Times New Roman" w:cs="Times New Roman"/>
        </w:rPr>
        <w:fldChar w:fldCharType="begin"/>
      </w:r>
      <w:r w:rsidR="0082522D">
        <w:rPr>
          <w:rFonts w:ascii="Times New Roman" w:hAnsi="Times New Roman" w:cs="Times New Roman"/>
        </w:rPr>
        <w:instrText xml:space="preserve"> ADDIN ZOTERO_ITEM CSL_CITATION {"citationID":"qvikMZnk","properties":{"formattedCitation":"(Yeboah et al., 2025)","plainCitation":"(Yeboah et al., 2025)","noteIndex":0},"citationItems":[{"id":12504,"uris":["http://zotero.org/users/16652950/items/562XVAUJ"],"itemData":{"id":12504,"type":"article-journal","abstract":"Smart grids enhance the efficiency of power systems, especially during the integration of renewable energy (RE) systems. Utilising electricity from RES reduces harmful greenhouse gas emissions, provides diversity in the generation mix, and reduces the overdependence on fossil fuels. Various challenges are encountered during the integration and utilisation of such systems. Recent studies have proposed diverse techniques in addressing these challenges, however, there is a lack of research on the current techniques suitable for integrating the recent developments on REs and smart grids. This paper examines and synthesises the impacts, integration techniques, and scalability considerations associated with RE systems in smart grid applications using mixed-method analysis. In a systematic literature review (SLR), 101 articles were retrieved and analysed. These papers broadly categorised the impacts under grid stability and control, grid infrastructure challenges, energy storage and management, and the integration of intermittent power sources. The study further explores various techniques used to integrate RE into smart grids, including advanced control and protection systems, smart energy storage and management systems, grid infrastructure upgrades, and the development of predictive models. The findings highlight complexities and challenges, such as grid stability issues and the intermittency of renewable power generation. To address these challenges, the research emphasises the importance of developing hybrid optimisation models to enhance load scheduling, peak shaving, and cost reduction. The study also recommends further evaluation and testing of Quantum Deep Reinforcement Learning, neural networks, Autoregressive Integrated Moving Average (ARIMA) models, and adaptive fuzzy inference systems to enhance the reliability, efficiency, and sustainability of renewable energy (RE) integration into smart grids.","container-title":"Scientific African","DOI":"10.1016/j.sciaf.2025.e02845","ISSN":"2468-2276","journalAbbreviation":"Scientific African","page":"e02845","source":"ScienceDirect","title":"Impact and integration techniques of renewable energy sources on smart grid operations: A systematic review","title-short":"Impact and integration techniques of renewable energy sources on smart grid operations","volume":"29","author":[{"family":"Yeboah","given":"Samuel Jonas"},{"family":"Nunoo","given":"Solomon"},{"family":"Attachie","given":"Joseph Cudjo"},{"family":"Asihene","given":"William Duodu"},{"family":"Asuamah","given":"Emmanuel Yeboah"}],"issued":{"date-parts":[["2025",9,1]]}}}],"schema":"https://github.com/citation-style-language/schema/raw/master/csl-citation.json"} </w:instrText>
      </w:r>
      <w:r w:rsidR="0082522D">
        <w:rPr>
          <w:rFonts w:ascii="Times New Roman" w:hAnsi="Times New Roman" w:cs="Times New Roman"/>
        </w:rPr>
        <w:fldChar w:fldCharType="separate"/>
      </w:r>
      <w:r w:rsidR="0082522D" w:rsidRPr="0082522D">
        <w:rPr>
          <w:rFonts w:ascii="Times New Roman" w:hAnsi="Times New Roman" w:cs="Times New Roman"/>
        </w:rPr>
        <w:t>(Yeboah et al., 2025)</w:t>
      </w:r>
      <w:r w:rsidR="0082522D">
        <w:rPr>
          <w:rFonts w:ascii="Times New Roman" w:hAnsi="Times New Roman" w:cs="Times New Roman"/>
        </w:rPr>
        <w:fldChar w:fldCharType="end"/>
      </w:r>
      <w:r w:rsidRPr="00AB1823">
        <w:rPr>
          <w:rFonts w:ascii="Times New Roman" w:hAnsi="Times New Roman" w:cs="Times New Roman"/>
        </w:rPr>
        <w:t>.</w:t>
      </w:r>
    </w:p>
    <w:p w14:paraId="130AD379" w14:textId="18BD564F" w:rsidR="00AB1823" w:rsidRPr="00AB1823" w:rsidRDefault="00AB1823" w:rsidP="00AB1823">
      <w:pPr>
        <w:rPr>
          <w:rFonts w:ascii="Times New Roman" w:hAnsi="Times New Roman" w:cs="Times New Roman"/>
        </w:rPr>
      </w:pPr>
      <w:r w:rsidRPr="00AB1823">
        <w:rPr>
          <w:rFonts w:ascii="Times New Roman" w:hAnsi="Times New Roman" w:cs="Times New Roman"/>
        </w:rPr>
        <w:t>Energy storage systems and microgrids are increasingly recognized as active participants in power system operation, providing services beyond energy shifting. Through coordinated control, they can deliver frequency regulation, voltage support, ramping capability, and black-start services, effectively supplementing conventional generators and enhancing grid resilience. This capability enables a paradigm shift in which storage and microgrids are not merely passive loads or backup sources but integral elements of system flexibility and stability</w:t>
      </w:r>
      <w:r w:rsidR="00306C79">
        <w:rPr>
          <w:rFonts w:ascii="Times New Roman" w:hAnsi="Times New Roman" w:cs="Times New Roman"/>
        </w:rPr>
        <w:fldChar w:fldCharType="begin"/>
      </w:r>
      <w:r w:rsidR="00306C79">
        <w:rPr>
          <w:rFonts w:ascii="Times New Roman" w:hAnsi="Times New Roman" w:cs="Times New Roman"/>
        </w:rPr>
        <w:instrText xml:space="preserve"> ADDIN ZOTERO_ITEM CSL_CITATION {"citationID":"UKVNUCiO","properties":{"formattedCitation":"(De Carne et al., 2024)","plainCitation":"(De Carne et al., 2024)","noteIndex":0},"citationItems":[{"id":12697,"uris":["http://zotero.org/users/16652950/items/3MU3R33T"],"itemData":{"id":12697,"type":"article-journal","abstract":"The way to produce and use energy is undergoing deep changes with the fast-pace introduction of renewables and the electrification of transportation and heating systems. As a consequence, the electrical grid sees much higher power variability than in the past, challenging its frequency and voltage regulation. Energy storage systems will be fundamental for ensuring the energy supply and the voltage power quality to customers. This survey paper offers an overview on potential energy storage solutions for addressing grid challenges following a ”system-component-system” approach. Starting from system challenges, the energy storage technologies and their power electronics integration in the grid are described at component level considering the last scientific trends, including the hybrid energy storage concept. The impact of the energy storage technologies on the power systems are then described by exemplary large-scale projects and realistic laboratory assessment with Power Hardware In the Loop techniques, returning at system level. Finally, this work addresses some of the most important challenges for a sustainable and safe integration of energy storage systems, such as the circular economy and the safety aspects.","container-title":"Electric Power Systems Research","DOI":"10.1016/j.epsr.2024.110963","ISSN":"0378-7796","journalAbbreviation":"Electric Power Systems Research","page":"110963","source":"ScienceDirect","title":"The role of energy storage systems for a secure energy supply: A comprehensive review of system needs and technology solutions","title-short":"The role of energy storage systems for a secure energy supply","volume":"236","author":[{"family":"De Carne","given":"Giovanni"},{"family":"Maroufi","given":"S. Masoome"},{"family":"Beiranvand","given":"Hamzeh"},{"family":"De Angelis","given":"Valerio"},{"family":"D’Arco","given":"Salvatore"},{"family":"Gevorgian","given":"Vahan"},{"family":"Waczowicz","given":"Simon"},{"family":"Mather","given":"Barry"},{"family":"Liserre","given":"Marco"},{"family":"Hagenmeyer","given":"Veit"}],"issued":{"date-parts":[["2024",11,1]]}}}],"schema":"https://github.com/citation-style-language/schema/raw/master/csl-citation.json"} </w:instrText>
      </w:r>
      <w:r w:rsidR="00306C79">
        <w:rPr>
          <w:rFonts w:ascii="Times New Roman" w:hAnsi="Times New Roman" w:cs="Times New Roman"/>
        </w:rPr>
        <w:fldChar w:fldCharType="separate"/>
      </w:r>
      <w:r w:rsidR="00306C79" w:rsidRPr="00306C79">
        <w:rPr>
          <w:rFonts w:ascii="Times New Roman" w:hAnsi="Times New Roman" w:cs="Times New Roman"/>
        </w:rPr>
        <w:t>(De Carne et al., 2024)</w:t>
      </w:r>
      <w:r w:rsidR="00306C79">
        <w:rPr>
          <w:rFonts w:ascii="Times New Roman" w:hAnsi="Times New Roman" w:cs="Times New Roman"/>
        </w:rPr>
        <w:fldChar w:fldCharType="end"/>
      </w:r>
      <w:r w:rsidRPr="00AB1823">
        <w:rPr>
          <w:rFonts w:ascii="Times New Roman" w:hAnsi="Times New Roman" w:cs="Times New Roman"/>
        </w:rPr>
        <w:t>.</w:t>
      </w:r>
    </w:p>
    <w:p w14:paraId="215F74F1" w14:textId="77777777" w:rsidR="00AB1823" w:rsidRPr="00AB1823" w:rsidRDefault="00AB1823" w:rsidP="00AB1823">
      <w:pPr>
        <w:rPr>
          <w:rFonts w:ascii="Times New Roman" w:hAnsi="Times New Roman" w:cs="Times New Roman"/>
        </w:rPr>
      </w:pPr>
      <w:r w:rsidRPr="00AB1823">
        <w:rPr>
          <w:rFonts w:ascii="Times New Roman" w:hAnsi="Times New Roman" w:cs="Times New Roman"/>
        </w:rPr>
        <w:t>Market mechanisms have evolved to incentivize and monetize the provision of these services. Flexibility markets, ancillary service markets, and capacity markets allow storage operators and microgrid managers to participate in grid support while deriving economic value. Emerging models, such as peer-to-peer energy trading and aggregator-based participation, further expand the opportunities for distributed assets to contribute to system balancing and efficiency. These mechanisms are particularly relevant in regions with high renewable penetration, where fast-response and geographically dispersed resources are essential to maintain operational reliability</w:t>
      </w:r>
      <w:r w:rsidR="0082522D">
        <w:rPr>
          <w:rFonts w:ascii="Times New Roman" w:hAnsi="Times New Roman" w:cs="Times New Roman"/>
        </w:rPr>
        <w:fldChar w:fldCharType="begin"/>
      </w:r>
      <w:r w:rsidR="0082522D">
        <w:rPr>
          <w:rFonts w:ascii="Times New Roman" w:hAnsi="Times New Roman" w:cs="Times New Roman"/>
        </w:rPr>
        <w:instrText xml:space="preserve"> ADDIN ZOTERO_ITEM CSL_CITATION {"citationID":"TxIn2177","properties":{"formattedCitation":"(Ramos et al., 2025)","plainCitation":"(Ramos et al., 2025)","noteIndex":0},"citationItems":[{"id":12507,"uris":["http://zotero.org/users/16652950/items/9EKEZJBI"],"itemData":{"id":12507,"type":"article-journal","abstract":"This research evaluates Battery Energy Storage Systems (BESS) and Compressed Air Vessels (CAV) as complementary solutions for enhancing micro-grid res...","container-title":"Technologies","DOI":"10.3390/technologies13110527","ISSN":"2227-7080","issue":"11","language":"en","license":"http://creativecommons.org/licenses/by/3.0/","note":"Company: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publisher","source":"www.mdpi.com","title":"Energy Storage Systems in Micro-Grid of Hybrid Renewable Energy Solutions","URL":"https://www.mdpi.com/2227-7080/13/11/527","volume":"13","author":[{"family":"Ramos","given":"Helena M."},{"family":"Coronado-Hernández","given":"Oscar E."},{"family":"Besharat","given":"Mohsen"},{"family":"Carravetta","given":"Armando"},{"family":"Fecarotta","given":"Oreste"},{"family":"Pérez-Sánchez","given":"Modesto"},{"family":"Ramos","given":"Helena M."},{"family":"Coronado-Hernández","given":"Oscar E."},{"family":"Besharat","given":"Mohsen"},{"family":"Carravetta","given":"Armando"},{"family":"Fecarotta","given":"Oreste"},{"family":"Pérez-Sánchez","given":"Modesto"}],"accessed":{"date-parts":[["2025",12,24]]},"issued":{"date-parts":[["2025",11,13]]}}}],"schema":"https://github.com/citation-style-language/schema/raw/master/csl-citation.json"} </w:instrText>
      </w:r>
      <w:r w:rsidR="0082522D">
        <w:rPr>
          <w:rFonts w:ascii="Times New Roman" w:hAnsi="Times New Roman" w:cs="Times New Roman"/>
        </w:rPr>
        <w:fldChar w:fldCharType="separate"/>
      </w:r>
      <w:r w:rsidR="0082522D" w:rsidRPr="0082522D">
        <w:rPr>
          <w:rFonts w:ascii="Times New Roman" w:hAnsi="Times New Roman" w:cs="Times New Roman"/>
        </w:rPr>
        <w:t>(Ramos et al., 2025)</w:t>
      </w:r>
      <w:r w:rsidR="0082522D">
        <w:rPr>
          <w:rFonts w:ascii="Times New Roman" w:hAnsi="Times New Roman" w:cs="Times New Roman"/>
        </w:rPr>
        <w:fldChar w:fldCharType="end"/>
      </w:r>
      <w:r w:rsidRPr="00AB1823">
        <w:rPr>
          <w:rFonts w:ascii="Times New Roman" w:hAnsi="Times New Roman" w:cs="Times New Roman"/>
        </w:rPr>
        <w:t>.</w:t>
      </w:r>
    </w:p>
    <w:p w14:paraId="66160CED" w14:textId="77777777" w:rsidR="00AB1823" w:rsidRPr="00AB1823" w:rsidRDefault="00AB1823" w:rsidP="00AB1823">
      <w:pPr>
        <w:rPr>
          <w:rFonts w:ascii="Times New Roman" w:hAnsi="Times New Roman" w:cs="Times New Roman"/>
        </w:rPr>
      </w:pPr>
      <w:r w:rsidRPr="00AB1823">
        <w:rPr>
          <w:rFonts w:ascii="Times New Roman" w:hAnsi="Times New Roman" w:cs="Times New Roman"/>
        </w:rPr>
        <w:t>Despite the technical potential and market opportunities, regulatory barriers can impede the adoption of advanced storage materials and systems. Safety certification requirements, limits on novel electrolytes or polymer-based components, and uncertainties in permitting and interconnection procedures may delay deployment and constrain innovation. Addressing these challenges requires adaptive regulatory frameworks that balance safety, reliability, and performance with support for emerging technologies, enabling a smoother integration of advanced storage solutions and polymer-enabled innovations into modern renewable-dominated grids.</w:t>
      </w:r>
    </w:p>
    <w:p w14:paraId="76FAD5F5" w14:textId="77777777" w:rsidR="00486B41" w:rsidRPr="00486B41" w:rsidRDefault="00486B41" w:rsidP="00486B41">
      <w:pPr>
        <w:rPr>
          <w:rFonts w:ascii="Times New Roman" w:hAnsi="Times New Roman" w:cs="Times New Roman"/>
          <w:b/>
          <w:bCs/>
        </w:rPr>
      </w:pPr>
      <w:r w:rsidRPr="00486B41">
        <w:rPr>
          <w:rFonts w:ascii="Times New Roman" w:hAnsi="Times New Roman" w:cs="Times New Roman"/>
          <w:b/>
          <w:bCs/>
        </w:rPr>
        <w:t>7. Emerging Trends and Future Research Directions</w:t>
      </w:r>
    </w:p>
    <w:p w14:paraId="0FEF0D7F" w14:textId="2FA423CB" w:rsidR="00486B41" w:rsidRPr="00486B41" w:rsidRDefault="00486B41" w:rsidP="00486B41">
      <w:pPr>
        <w:rPr>
          <w:rFonts w:ascii="Times New Roman" w:hAnsi="Times New Roman" w:cs="Times New Roman"/>
        </w:rPr>
      </w:pPr>
      <w:r w:rsidRPr="00486B41">
        <w:rPr>
          <w:rFonts w:ascii="Times New Roman" w:hAnsi="Times New Roman" w:cs="Times New Roman"/>
        </w:rPr>
        <w:t>The ongoing transformation of power systems toward renewable-dominated architectures is driving a wave of innovation across both technological and materials domains. Future grid integration will depend not only on advancements in control strategies and energy management, but also on the development of advanced storage materials and integrated design frameworks that link materials science with system-level performance. These emerging trends highlight the increasingly interdisciplinary nature of energy research, bridging chemistry, power electronics, and grid engineering</w:t>
      </w:r>
      <w:r w:rsidR="00400A85">
        <w:rPr>
          <w:rFonts w:ascii="Times New Roman" w:hAnsi="Times New Roman" w:cs="Times New Roman"/>
        </w:rPr>
        <w:fldChar w:fldCharType="begin"/>
      </w:r>
      <w:r w:rsidR="00400A85">
        <w:rPr>
          <w:rFonts w:ascii="Times New Roman" w:hAnsi="Times New Roman" w:cs="Times New Roman"/>
        </w:rPr>
        <w:instrText xml:space="preserve"> ADDIN ZOTERO_ITEM CSL_CITATION {"citationID":"jan0HqS5","properties":{"formattedCitation":"(Wei et al., 2025)","plainCitation":"(Wei et al., 2025)","noteIndex":0},"citationItems":[{"id":12695,"uris":["http://zotero.org/users/16652950/items/GI7JXM7N"],"itemData":{"id":12695,"type":"article-journal","abstract":"As a key enabling technology for energy transition, the smart grid is propelling the global power system to evolve toward greater efficiency, reliabil...","container-title":"Processes","DOI":"10.3390/pr13082428","ISSN":"2227-9717","issue":"8","language":"en","license":"http://creativecommons.org/licenses/by/3.0/","note":"Company: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publisher","source":"www.mdpi.com","title":"Integration and Development Path of Smart Grid Technology: Technology-Driven, Policy Framework and Application Challenges","title-short":"Integration and Development Path of Smart Grid Technology","URL":"https://www.mdpi.com/2227-9717/13/8/2428","volume":"13","author":[{"family":"Wei","given":"Tao"},{"family":"Li","given":"Haixia"},{"family":"Miao","given":"Junfeng"},{"family":"Wei","given":"Tao"},{"family":"Li","given":"Haixia"},{"family":"Miao","given":"Junfeng"}],"accessed":{"date-parts":[["2025",12,29]]},"issued":{"date-parts":[["2025",7,30]]}}}],"schema":"https://github.com/citation-style-language/schema/raw/master/csl-citation.json"} </w:instrText>
      </w:r>
      <w:r w:rsidR="00400A85">
        <w:rPr>
          <w:rFonts w:ascii="Times New Roman" w:hAnsi="Times New Roman" w:cs="Times New Roman"/>
        </w:rPr>
        <w:fldChar w:fldCharType="separate"/>
      </w:r>
      <w:r w:rsidR="00400A85" w:rsidRPr="00400A85">
        <w:rPr>
          <w:rFonts w:ascii="Times New Roman" w:hAnsi="Times New Roman" w:cs="Times New Roman"/>
        </w:rPr>
        <w:t>(Wei et al., 2025)</w:t>
      </w:r>
      <w:r w:rsidR="00400A85">
        <w:rPr>
          <w:rFonts w:ascii="Times New Roman" w:hAnsi="Times New Roman" w:cs="Times New Roman"/>
        </w:rPr>
        <w:fldChar w:fldCharType="end"/>
      </w:r>
      <w:r w:rsidRPr="00486B41">
        <w:rPr>
          <w:rFonts w:ascii="Times New Roman" w:hAnsi="Times New Roman" w:cs="Times New Roman"/>
        </w:rPr>
        <w:t>.</w:t>
      </w:r>
    </w:p>
    <w:p w14:paraId="60E56D6B" w14:textId="77777777" w:rsidR="00486B41" w:rsidRPr="00486B41" w:rsidRDefault="00486B41" w:rsidP="00486B41">
      <w:pPr>
        <w:rPr>
          <w:rFonts w:ascii="Times New Roman" w:hAnsi="Times New Roman" w:cs="Times New Roman"/>
          <w:b/>
          <w:bCs/>
        </w:rPr>
      </w:pPr>
      <w:r w:rsidRPr="00486B41">
        <w:rPr>
          <w:rFonts w:ascii="Times New Roman" w:hAnsi="Times New Roman" w:cs="Times New Roman"/>
          <w:b/>
          <w:bCs/>
        </w:rPr>
        <w:t>7.1 Advanced Storage Materials for Grid Applications</w:t>
      </w:r>
    </w:p>
    <w:p w14:paraId="5CA3891F" w14:textId="77777777" w:rsidR="00486B41" w:rsidRPr="00486B41" w:rsidRDefault="00486B41" w:rsidP="00486B41">
      <w:pPr>
        <w:rPr>
          <w:rFonts w:ascii="Times New Roman" w:hAnsi="Times New Roman" w:cs="Times New Roman"/>
        </w:rPr>
      </w:pPr>
      <w:r w:rsidRPr="00486B41">
        <w:rPr>
          <w:rFonts w:ascii="Times New Roman" w:hAnsi="Times New Roman" w:cs="Times New Roman"/>
        </w:rPr>
        <w:lastRenderedPageBreak/>
        <w:t>Among the most promising developments in energy storage are solid-state and polymer-based electrolytes. Solid-state batteries offer the potential for higher energy density, enhanced safety, and longer cycle life compared to conventional liquid electrolyte systems, making them particularly attractive for stationary applications where safety and durability are critical. Polymer-based electrolytes, including gel and solid polymer systems, combine high ionic conductivity with thermal stability and mechanical flexibility, enabling safer and more resilient storage solutions. Beyond performance considerations, these materials support sustainability objectives through improved recyclability and reduced reliance on hazardous solvents. Incorporating circular economy principles in the design and deployment of advanced storage systems is increasingly recognized as essential for minimizing environmental impact while maintaining grid reliability and cost-effectiveness</w:t>
      </w:r>
      <w:r w:rsidR="0082522D">
        <w:rPr>
          <w:rFonts w:ascii="Times New Roman" w:hAnsi="Times New Roman" w:cs="Times New Roman"/>
        </w:rPr>
        <w:fldChar w:fldCharType="begin"/>
      </w:r>
      <w:r w:rsidR="0082522D">
        <w:rPr>
          <w:rFonts w:ascii="Times New Roman" w:hAnsi="Times New Roman" w:cs="Times New Roman"/>
        </w:rPr>
        <w:instrText xml:space="preserve"> ADDIN ZOTERO_ITEM CSL_CITATION {"citationID":"KpSiTfA3","properties":{"formattedCitation":"(Nzereogu et al., 2025)","plainCitation":"(Nzereogu et al., 2025)","noteIndex":0},"citationItems":[{"id":12465,"uris":["http://zotero.org/users/16652950/items/AVPCAXKC"],"itemData":{"id":12465,"type":"article-journal","abstract":"Solid-state lithium-ion batteries (SSLIBs) are poised to revolutionize energy storage, offering substantial improvements in energy density, safety, and environmental sustainability. This review provides an in-depth examination of solid-state electrolytes (SSEs), a critical component enabling SSLIBs to surpass the limitations of traditional lithium-ion batteries (LIBs) with liquid electrolytes. Conventional LIBs face significant challenges such as thermal instability, flammability, leakage, limited electrochemical windows, and environmental concerns. SSLIBs, however, eliminate these risks by utilizing solid electrolytes, which exhibit higher ionic conductivities, increased electrochemical stability, and reduced safety hazards. This review explores a variety of solid electrolytes, including oxide, sulfide, perovskite, anti-perovskite, NASICON, and LISICON-based materials, each with unique structural and electrochemical properties that enhance lithium-ion mobility and battery performance. Additionally, advancements in interfacial engineering, cathode and anode material optimization, and manufacturing techniques are discussed. The potential of SSLIBs in transforming applications across industries—from electric vehicles to large-scale energy storage systems—is underscored, highlighting the path toward more efficient, safer, and sustainable battery technologies.","container-title":"Hybrid Advances","DOI":"10.1016/j.hybadv.2024.100339","ISSN":"2773-207X","journalAbbreviation":"Hybrid Advances","page":"100339","source":"ScienceDirect","title":"Solid-State lithium-ion battery electrolytes: Revolutionizing energy density and safety","title-short":"Solid-State lithium-ion battery electrolytes","volume":"8","author":[{"family":"Nzereogu","given":"P. U."},{"family":"Oyesanya","given":"A."},{"family":"Ogba","given":"S. N."},{"family":"Ayanwunmi","given":"S. O."},{"family":"Sobajo","given":"M. S."},{"family":"Chimsunum","given":"V. C."},{"family":"Ayanwunmi","given":"V. O."},{"family":"Amoo","given":"M. O."},{"family":"Adefemi","given":"O. T."},{"family":"Chukwudi","given":"C. C."}],"issued":{"date-parts":[["2025",3,1]]}}}],"schema":"https://github.com/citation-style-language/schema/raw/master/csl-citation.json"} </w:instrText>
      </w:r>
      <w:r w:rsidR="0082522D">
        <w:rPr>
          <w:rFonts w:ascii="Times New Roman" w:hAnsi="Times New Roman" w:cs="Times New Roman"/>
        </w:rPr>
        <w:fldChar w:fldCharType="separate"/>
      </w:r>
      <w:r w:rsidR="0082522D" w:rsidRPr="0082522D">
        <w:rPr>
          <w:rFonts w:ascii="Times New Roman" w:hAnsi="Times New Roman" w:cs="Times New Roman"/>
        </w:rPr>
        <w:t>(Nzereogu et al., 2025)</w:t>
      </w:r>
      <w:r w:rsidR="0082522D">
        <w:rPr>
          <w:rFonts w:ascii="Times New Roman" w:hAnsi="Times New Roman" w:cs="Times New Roman"/>
        </w:rPr>
        <w:fldChar w:fldCharType="end"/>
      </w:r>
      <w:r w:rsidRPr="00486B41">
        <w:rPr>
          <w:rFonts w:ascii="Times New Roman" w:hAnsi="Times New Roman" w:cs="Times New Roman"/>
        </w:rPr>
        <w:t>.</w:t>
      </w:r>
    </w:p>
    <w:p w14:paraId="08D04FA5" w14:textId="77777777" w:rsidR="00486B41" w:rsidRPr="00486B41" w:rsidRDefault="00486B41" w:rsidP="00486B41">
      <w:pPr>
        <w:rPr>
          <w:rFonts w:ascii="Times New Roman" w:hAnsi="Times New Roman" w:cs="Times New Roman"/>
          <w:b/>
          <w:bCs/>
        </w:rPr>
      </w:pPr>
      <w:r w:rsidRPr="00486B41">
        <w:rPr>
          <w:rFonts w:ascii="Times New Roman" w:hAnsi="Times New Roman" w:cs="Times New Roman"/>
          <w:b/>
          <w:bCs/>
        </w:rPr>
        <w:t>7.2 Grid-Forming Inverters and Autonomous Microgrids</w:t>
      </w:r>
    </w:p>
    <w:p w14:paraId="3A8C1734" w14:textId="77777777" w:rsidR="00486B41" w:rsidRPr="00486B41" w:rsidRDefault="00486B41" w:rsidP="00486B41">
      <w:pPr>
        <w:rPr>
          <w:rFonts w:ascii="Times New Roman" w:hAnsi="Times New Roman" w:cs="Times New Roman"/>
        </w:rPr>
      </w:pPr>
      <w:r w:rsidRPr="00486B41">
        <w:rPr>
          <w:rFonts w:ascii="Times New Roman" w:hAnsi="Times New Roman" w:cs="Times New Roman"/>
        </w:rPr>
        <w:t>The proliferation of inverter-based resources has stimulated significant interest in grid-forming inverter technologies, which actively establish voltage and frequency references in low-inertia systems. Achieving reliable and robust grid-forming operation requires careful co-design of materials and control architectures. Power electronic devices, including inverters, depend on high-performance dielectric and polymeric materials for insulation, encapsulation, and thermal management. The selection and optimization of these materials directly influence inverter efficiency, lifespan, and resilience under variable load and environmental conditions. Consequently, future research must integrate materials engineering with control system design to enable autonomous microgrids that can operate safely and efficiently in both grid-connected and islanded modes</w:t>
      </w:r>
      <w:r w:rsidR="0082522D">
        <w:rPr>
          <w:rFonts w:ascii="Times New Roman" w:hAnsi="Times New Roman" w:cs="Times New Roman"/>
        </w:rPr>
        <w:fldChar w:fldCharType="begin"/>
      </w:r>
      <w:r w:rsidR="0082522D">
        <w:rPr>
          <w:rFonts w:ascii="Times New Roman" w:hAnsi="Times New Roman" w:cs="Times New Roman"/>
        </w:rPr>
        <w:instrText xml:space="preserve"> ADDIN ZOTERO_ITEM CSL_CITATION {"citationID":"WK8wX3TC","properties":{"formattedCitation":"(Rangarajan et al., 2024)","plainCitation":"(Rangarajan et al., 2024)","noteIndex":0},"citationItems":[{"id":12509,"uris":["http://zotero.org/users/16652950/items/VKSH6SEJ"],"itemData":{"id":12509,"type":"article-journal","abstract":"Grid dynamics and control mechanisms have improved as smart grids have used more inverter-based renewable energy resources (IBRs). Modern converter te...","container-title":"Clean Technologies","DOI":"10.3390/cleantechnol6030051","ISSN":"2571-8797","issue":"3","language":"en","license":"http://creativecommons.org/licenses/by/3.0/","note":"Company: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publisher","page":"1011-1037","source":"www.mdpi.com","title":"Grid Forming Inverter as an Advanced Smart Inverter for Augmented Ancillary Services in a Low Inertia and a Weak Grid System Towards Grid Modernization","volume":"6","author":[{"family":"Rangarajan","given":"Shriram S."},{"family":"Collins","given":"E. Randolph"},{"family":"Senjyu","given":"Tomonobu"},{"family":"Rangarajan","given":"Shriram S."},{"family":"Collins","given":"E. Randolph"},{"family":"Senjyu","given":"Tomonobu"}],"issued":{"date-parts":[["2024",8,7]]}}}],"schema":"https://github.com/citation-style-language/schema/raw/master/csl-citation.json"} </w:instrText>
      </w:r>
      <w:r w:rsidR="0082522D">
        <w:rPr>
          <w:rFonts w:ascii="Times New Roman" w:hAnsi="Times New Roman" w:cs="Times New Roman"/>
        </w:rPr>
        <w:fldChar w:fldCharType="separate"/>
      </w:r>
      <w:r w:rsidR="0082522D" w:rsidRPr="0082522D">
        <w:rPr>
          <w:rFonts w:ascii="Times New Roman" w:hAnsi="Times New Roman" w:cs="Times New Roman"/>
        </w:rPr>
        <w:t>(Rangarajan et al., 2024)</w:t>
      </w:r>
      <w:r w:rsidR="0082522D">
        <w:rPr>
          <w:rFonts w:ascii="Times New Roman" w:hAnsi="Times New Roman" w:cs="Times New Roman"/>
        </w:rPr>
        <w:fldChar w:fldCharType="end"/>
      </w:r>
      <w:r w:rsidRPr="00486B41">
        <w:rPr>
          <w:rFonts w:ascii="Times New Roman" w:hAnsi="Times New Roman" w:cs="Times New Roman"/>
        </w:rPr>
        <w:t>.</w:t>
      </w:r>
    </w:p>
    <w:p w14:paraId="2B62EA74" w14:textId="77777777" w:rsidR="00486B41" w:rsidRPr="00486B41" w:rsidRDefault="00486B41" w:rsidP="00486B41">
      <w:pPr>
        <w:rPr>
          <w:rFonts w:ascii="Times New Roman" w:hAnsi="Times New Roman" w:cs="Times New Roman"/>
          <w:b/>
          <w:bCs/>
        </w:rPr>
      </w:pPr>
      <w:r w:rsidRPr="00486B41">
        <w:rPr>
          <w:rFonts w:ascii="Times New Roman" w:hAnsi="Times New Roman" w:cs="Times New Roman"/>
          <w:b/>
          <w:bCs/>
        </w:rPr>
        <w:t>7.3 Integrated Materials–Systems Research</w:t>
      </w:r>
    </w:p>
    <w:p w14:paraId="0CC91F56" w14:textId="31BA889B" w:rsidR="00486B41" w:rsidRPr="00486B41" w:rsidRDefault="00486B41" w:rsidP="00486B41">
      <w:pPr>
        <w:rPr>
          <w:rFonts w:ascii="Times New Roman" w:hAnsi="Times New Roman" w:cs="Times New Roman"/>
        </w:rPr>
      </w:pPr>
      <w:r w:rsidRPr="00486B41">
        <w:rPr>
          <w:rFonts w:ascii="Times New Roman" w:hAnsi="Times New Roman" w:cs="Times New Roman"/>
        </w:rPr>
        <w:t>A critical frontier in renewable energy integration lies in bridging polymer science, power electronics, and grid operation through integrated research frameworks. Materials innovations can no longer be considered in isolation; their system-level implications for efficiency, stability, and reliability must be understood and optimized within the broader context of microgrid and grid-scale operation. Cross-disciplinary collaboration among chemists, materials scientists, electrical engineers, and control specialists is essential for developing holistic solutions that leverage the unique properties of polymers and other advanced materials to enhance storage performance, reduce degradation, and enable scalable deployment. Such frameworks can also inform lifecycle-aware design, predictive maintenance, and adaptive control strategies that collectively support resilient, sustainable, and high-performing renewable-dominated power systems</w:t>
      </w:r>
      <w:r w:rsidR="00400A85">
        <w:rPr>
          <w:rFonts w:ascii="Times New Roman" w:hAnsi="Times New Roman" w:cs="Times New Roman"/>
        </w:rPr>
        <w:fldChar w:fldCharType="begin"/>
      </w:r>
      <w:r w:rsidR="00400A85">
        <w:rPr>
          <w:rFonts w:ascii="Times New Roman" w:hAnsi="Times New Roman" w:cs="Times New Roman"/>
        </w:rPr>
        <w:instrText xml:space="preserve"> ADDIN ZOTERO_ITEM CSL_CITATION {"citationID":"BtsrSyz3","properties":{"formattedCitation":"(Gra\\uc0\\u231{}a Gomes et al., 2021)","plainCitation":"(Graça Gomes et al., 2021)","noteIndex":0},"citationItems":[{"id":12693,"uris":["http://zotero.org/users/16652950/items/MJRUEFFA"],"itemData":{"id":12693,"type":"article-journal","abstract":"In isolated microgrids and remote regions, the challenge of developing reliable and self-sufficient renewable energy systems is amplified due to the lack of grid flexibility options. One of the leading solutions to increase renewable energy usage in isolated systems is the commission of energy storage. The current study proposes a novel optimization model that sizes the most cost-efficient renewable power capacity mix of an autonomous microgrid supported by storage technologies. The proposed algorithm considers operational, technical and land-use constraints. The problem is formulated using linear programming, is tested and scrutinized with sets of historical weather, load demand and installation prices data, and is modelled hour-by-hour. The method is applied to Corvo, an island in the Azores archipelago, Portugal. The results obtained exhibit that the proposed approach provides the optimal configuration of the renewable-based microgrid with an LCOE (Levelized Cost of electricity) of 0.21 €/kWh, a value lower than a diesel-based alternative, and while ensuring minimum land area occupation. Furthermore, sensitivity analysis is also presented to examine the effect of variables on the LCOE and PC (present cost) of the system. The present study shows that the developed optimal sizing model can improve electricity planning and facilitate energy transition in distributed power systems.","container-title":"Energy","DOI":"10.1016/j.energy.2021.121210","ISSN":"0360-5442","journalAbbreviation":"Energy","page":"121210","source":"ScienceDirect","title":"An optimization study on a typical renewable microgrid energy system with energy storage","volume":"234","author":[{"family":"Graça Gomes","given":"J."},{"family":"Xu","given":"H. J."},{"family":"Yang","given":"Q."},{"family":"Zhao","given":"C. Y."}],"issued":{"date-parts":[["2021",11,1]]}}}],"schema":"https://github.com/citation-style-language/schema/raw/master/csl-citation.json"} </w:instrText>
      </w:r>
      <w:r w:rsidR="00400A85">
        <w:rPr>
          <w:rFonts w:ascii="Times New Roman" w:hAnsi="Times New Roman" w:cs="Times New Roman"/>
        </w:rPr>
        <w:fldChar w:fldCharType="separate"/>
      </w:r>
      <w:r w:rsidR="00400A85" w:rsidRPr="00400A85">
        <w:rPr>
          <w:rFonts w:ascii="Times New Roman" w:hAnsi="Times New Roman" w:cs="Times New Roman"/>
          <w:kern w:val="0"/>
        </w:rPr>
        <w:t>(Graça Gomes et al., 2021)</w:t>
      </w:r>
      <w:r w:rsidR="00400A85">
        <w:rPr>
          <w:rFonts w:ascii="Times New Roman" w:hAnsi="Times New Roman" w:cs="Times New Roman"/>
        </w:rPr>
        <w:fldChar w:fldCharType="end"/>
      </w:r>
      <w:r w:rsidRPr="00486B41">
        <w:rPr>
          <w:rFonts w:ascii="Times New Roman" w:hAnsi="Times New Roman" w:cs="Times New Roman"/>
        </w:rPr>
        <w:t>.</w:t>
      </w:r>
    </w:p>
    <w:p w14:paraId="1AC3ECC1" w14:textId="77777777" w:rsidR="00486B41" w:rsidRDefault="00486B41" w:rsidP="00486B41">
      <w:pPr>
        <w:rPr>
          <w:rFonts w:ascii="Times New Roman" w:hAnsi="Times New Roman" w:cs="Times New Roman"/>
        </w:rPr>
      </w:pPr>
      <w:r w:rsidRPr="00486B41">
        <w:rPr>
          <w:rFonts w:ascii="Times New Roman" w:hAnsi="Times New Roman" w:cs="Times New Roman"/>
        </w:rPr>
        <w:t>By combining advances in materials, control, and systems engineering, the next generation of renewable energy integration will be defined not merely by the technologies deployed but by the synergy achieved between materials innovation and system-level optimization, paving the way for smarter, safer, and more sustainable grids</w:t>
      </w:r>
      <w:r w:rsidR="0082522D">
        <w:rPr>
          <w:rFonts w:ascii="Times New Roman" w:hAnsi="Times New Roman" w:cs="Times New Roman"/>
        </w:rPr>
        <w:fldChar w:fldCharType="begin"/>
      </w:r>
      <w:r w:rsidR="0082522D">
        <w:rPr>
          <w:rFonts w:ascii="Times New Roman" w:hAnsi="Times New Roman" w:cs="Times New Roman"/>
        </w:rPr>
        <w:instrText xml:space="preserve"> ADDIN ZOTERO_ITEM CSL_CITATION {"citationID":"HkUdcOCN","properties":{"formattedCitation":"(Li et al., 2024; Yeboah et al., 2025)","plainCitation":"(Li et al., 2024; Yeboah et al., 2025)","noteIndex":0},"citationItems":[{"id":12511,"uris":["http://zotero.org/users/16652950/items/IQUF5BCS"],"itemData":{"id":12511,"type":"article-journal","abstract":"The increasing complexity of integrated energy systems has made reliability assessment a critical challenge. This paper presents a comprehensive revie...","container-title":"Buildings","DOI":"10.3390/buildings14113428","ISSN":"2075-5309","issue":"11","language":"en","license":"http://creativecommons.org/licenses/by/3.0/","note":"Company: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publisher","source":"www.mdpi.com","title":"A Review of Reliability Research in Regional Integrated Energy System: Indicator, Modeling, and Assessment Methods","title-short":"A Review of Reliability Research in Regional Integrated Energy System","URL":"https://www.mdpi.com/2075-5309/14/11/3428","volume":"14","author":[{"family":"Li","given":"Da"},{"family":"Xu","given":"Peng"},{"family":"Gu","given":"Jiefan"},{"family":"Zhu","given":"Yi"},{"family":"Li","given":"Da"},{"family":"Xu","given":"Peng"},{"family":"Gu","given":"Jiefan"},{"family":"Zhu","given":"Yi"}],"accessed":{"date-parts":[["2025",12,24]]},"issued":{"date-parts":[["2024",10,27]]}}},{"id":12504,"uris":["http://zotero.org/users/16652950/items/562XVAUJ"],"itemData":{"id":12504,"type":"article-journal","abstract":"Smart grids enhance the efficiency of power systems, especially during the integration of renewable energy (RE) systems. Utilising electricity from RES reduces harmful greenhouse gas emissions, provides diversity in the generation mix, and reduces the overdependence on fossil fuels. Various challenges are encountered during the integration and utilisation of such systems. Recent studies have proposed diverse techniques in addressing these challenges, however, there is a lack of research on the current techniques suitable for integrating the recent developments on REs and smart grids. This paper examines and synthesises the impacts, integration techniques, and scalability considerations associated with RE systems in smart grid applications using mixed-method analysis. In a systematic literature review (SLR), 101 articles were retrieved and analysed. These papers broadly categorised the impacts under grid stability and control, grid infrastructure challenges, energy storage and management, and the integration of intermittent power sources. The study further explores various techniques used to integrate RE into smart grids, including advanced control and protection systems, smart energy storage and management systems, grid infrastructure upgrades, and the development of predictive models. The findings highlight complexities and challenges, such as grid stability issues and the intermittency of renewable power generation. To address these challenges, the research emphasises the importance of developing hybrid optimisation models to enhance load scheduling, peak shaving, and cost reduction. The study also recommends further evaluation and testing of Quantum Deep Reinforcement Learning, neural networks, Autoregressive Integrated Moving Average (ARIMA) models, and adaptive fuzzy inference systems to enhance the reliability, efficiency, and sustainability of renewable energy (RE) integration into smart grids.","container-title":"Scientific African","DOI":"10.1016/j.sciaf.2025.e02845","ISSN":"2468-2276","journalAbbreviation":"Scientific African","page":"e02845","source":"ScienceDirect","title":"Impact and integration techniques of renewable energy sources on smart grid operations: A systematic review","title-short":"Impact and integration techniques of renewable energy sources on smart grid operations","volume":"29","author":[{"family":"Yeboah","given":"Samuel Jonas"},{"family":"Nunoo","given":"Solomon"},{"family":"Attachie","given":"Joseph Cudjo"},{"family":"Asihene","given":"William Duodu"},{"family":"Asuamah","given":"Emmanuel Yeboah"}],"issued":{"date-parts":[["2025",9,1]]}}}],"schema":"https://github.com/citation-style-language/schema/raw/master/csl-citation.json"} </w:instrText>
      </w:r>
      <w:r w:rsidR="0082522D">
        <w:rPr>
          <w:rFonts w:ascii="Times New Roman" w:hAnsi="Times New Roman" w:cs="Times New Roman"/>
        </w:rPr>
        <w:fldChar w:fldCharType="separate"/>
      </w:r>
      <w:r w:rsidR="0082522D" w:rsidRPr="0082522D">
        <w:rPr>
          <w:rFonts w:ascii="Times New Roman" w:hAnsi="Times New Roman" w:cs="Times New Roman"/>
        </w:rPr>
        <w:t>(Li et al., 2024; Yeboah et al., 2025)</w:t>
      </w:r>
      <w:r w:rsidR="0082522D">
        <w:rPr>
          <w:rFonts w:ascii="Times New Roman" w:hAnsi="Times New Roman" w:cs="Times New Roman"/>
        </w:rPr>
        <w:fldChar w:fldCharType="end"/>
      </w:r>
      <w:r w:rsidRPr="00486B41">
        <w:rPr>
          <w:rFonts w:ascii="Times New Roman" w:hAnsi="Times New Roman" w:cs="Times New Roman"/>
        </w:rPr>
        <w:t>.</w:t>
      </w:r>
    </w:p>
    <w:p w14:paraId="05173810" w14:textId="77777777" w:rsidR="007D4106" w:rsidRPr="007D4106" w:rsidRDefault="007D4106" w:rsidP="007D4106">
      <w:pPr>
        <w:rPr>
          <w:rFonts w:ascii="Times New Roman" w:hAnsi="Times New Roman" w:cs="Times New Roman"/>
        </w:rPr>
      </w:pPr>
      <w:r w:rsidRPr="007D4106">
        <w:rPr>
          <w:rFonts w:ascii="Times New Roman" w:hAnsi="Times New Roman" w:cs="Times New Roman"/>
        </w:rPr>
        <w:lastRenderedPageBreak/>
        <w:t>Future research must adopt integrated materials–systems approaches in which polymer chemistry, power electronic design, and control strategies are co-optimized. Such frameworks enable material properties to be directly aligned with system-level objectives, including stability, resilience, and lifecycle sustainability, thereby accelerating the deployment of reliable and scalable renewable-dominated power systems.</w:t>
      </w:r>
    </w:p>
    <w:p w14:paraId="3E96BF70" w14:textId="77777777" w:rsidR="007D4106" w:rsidRPr="00486B41" w:rsidRDefault="007D4106" w:rsidP="00486B41">
      <w:pPr>
        <w:rPr>
          <w:rFonts w:ascii="Times New Roman" w:hAnsi="Times New Roman" w:cs="Times New Roman"/>
        </w:rPr>
      </w:pPr>
    </w:p>
    <w:p w14:paraId="695E58AA" w14:textId="77777777" w:rsidR="00AB1823" w:rsidRDefault="00AB1823" w:rsidP="00F5638D">
      <w:pPr>
        <w:rPr>
          <w:rFonts w:ascii="Times New Roman" w:hAnsi="Times New Roman" w:cs="Times New Roman"/>
        </w:rPr>
      </w:pPr>
    </w:p>
    <w:p w14:paraId="637C6692" w14:textId="77777777" w:rsidR="00CA20FB" w:rsidRPr="00CA20FB" w:rsidRDefault="00CA20FB" w:rsidP="00CA20FB">
      <w:pPr>
        <w:rPr>
          <w:rFonts w:ascii="Times New Roman" w:hAnsi="Times New Roman" w:cs="Times New Roman"/>
          <w:b/>
          <w:bCs/>
        </w:rPr>
      </w:pPr>
      <w:r w:rsidRPr="00CA20FB">
        <w:rPr>
          <w:rFonts w:ascii="Times New Roman" w:hAnsi="Times New Roman" w:cs="Times New Roman"/>
          <w:b/>
          <w:bCs/>
        </w:rPr>
        <w:t>8. Conclusions</w:t>
      </w:r>
    </w:p>
    <w:p w14:paraId="3677CFB3" w14:textId="77777777" w:rsidR="00CA20FB" w:rsidRPr="00CA20FB" w:rsidRDefault="00CA20FB" w:rsidP="00CA20FB">
      <w:pPr>
        <w:rPr>
          <w:rFonts w:ascii="Times New Roman" w:hAnsi="Times New Roman" w:cs="Times New Roman"/>
        </w:rPr>
      </w:pPr>
      <w:r w:rsidRPr="00CA20FB">
        <w:rPr>
          <w:rFonts w:ascii="Times New Roman" w:hAnsi="Times New Roman" w:cs="Times New Roman"/>
        </w:rPr>
        <w:t>The transition to renewable-dominated power systems presents a complex interplay of technical, operational, and material challenges that must be addressed to ensure reliable, resilient, and efficient electricity delivery. This review has highlighted the critical roles of energy storage systems and microgrids in mitigating the variability and uncertainty inherent in solar and wind generation, providing flexibility services, and supporting system stability. Effective integration requires advanced control and energy management strategies, including hierarchical control, model predictive frameworks, and intelligent, data-driven approaches that account for uncertainty, degradation, and lifecycle considerations.</w:t>
      </w:r>
    </w:p>
    <w:p w14:paraId="2D67C5A5" w14:textId="77777777" w:rsidR="00CA20FB" w:rsidRDefault="00CA20FB" w:rsidP="00CA20FB">
      <w:pPr>
        <w:rPr>
          <w:rFonts w:ascii="Times New Roman" w:hAnsi="Times New Roman" w:cs="Times New Roman"/>
        </w:rPr>
      </w:pPr>
      <w:r w:rsidRPr="00CA20FB">
        <w:rPr>
          <w:rFonts w:ascii="Times New Roman" w:hAnsi="Times New Roman" w:cs="Times New Roman"/>
        </w:rPr>
        <w:t>A key insight emerging from this synthesis is the foundational contribution of polymer-based materials to next-generation energy storage technologies. Polymers underpin essential components of batteries and flow cells, including electrolytes, separators, binders, and encapsulation materials, enhancing safety, thermal stability, mechanical integrity, and cycle life. Their influence extends beyond component-level performance, enabling scalable, durable, and environmentally sustainable storage solutions that are critical for both microgrid and grid-scale applications. By bridging materials science with system-level design and control, polymer-enabled innovations provide a tangible pathway for translating technological advances into operational reliability and long-term sustainability.</w:t>
      </w:r>
    </w:p>
    <w:p w14:paraId="7CF13700" w14:textId="4982BE55" w:rsidR="00880A83" w:rsidRPr="00CA20FB" w:rsidRDefault="00880A83" w:rsidP="00CA20FB">
      <w:pPr>
        <w:rPr>
          <w:rFonts w:ascii="Times New Roman" w:hAnsi="Times New Roman" w:cs="Times New Roman"/>
        </w:rPr>
      </w:pPr>
      <w:r w:rsidRPr="00880A83">
        <w:rPr>
          <w:rFonts w:ascii="Times New Roman" w:hAnsi="Times New Roman" w:cs="Times New Roman"/>
        </w:rPr>
        <w:t>This review demonstrates that advances in polymer-enabled materials are not merely incremental component improvements but key enablers of system-level performance in modern power grids. By explicitly linking materials innovation with energy storage functionality, microgrid operation, and control strategies, the paper provides a coherent framework for understanding and advancing renewable-dominated power systems.</w:t>
      </w:r>
    </w:p>
    <w:p w14:paraId="6D13FD4C" w14:textId="77777777" w:rsidR="00880A83" w:rsidRDefault="00CA20FB" w:rsidP="00217F54">
      <w:pPr>
        <w:rPr>
          <w:rFonts w:ascii="Times New Roman" w:hAnsi="Times New Roman" w:cs="Times New Roman"/>
        </w:rPr>
      </w:pPr>
      <w:r w:rsidRPr="00CA20FB">
        <w:rPr>
          <w:rFonts w:ascii="Times New Roman" w:hAnsi="Times New Roman" w:cs="Times New Roman"/>
        </w:rPr>
        <w:t xml:space="preserve">Looking forward, the successful deployment of renewable-rich, storage-integrated power systems will depend on coordinated research that unites materials innovation, power electronics, and grid operation. Emerging solid-state and polymer electrolytes, coupled with grid-forming inverters and modular microgrid architectures, offer the potential to redefine flexibility, resilience, and efficiency. Cross-disciplinary approaches that integrate polymer chemistry, control engineering, and systems optimization will be essential to fully exploit these capabilities. In conclusion, the convergence of materials and systems innovation presents a transformative </w:t>
      </w:r>
      <w:r w:rsidRPr="00CA20FB">
        <w:rPr>
          <w:rFonts w:ascii="Times New Roman" w:hAnsi="Times New Roman" w:cs="Times New Roman"/>
        </w:rPr>
        <w:lastRenderedPageBreak/>
        <w:t>opportunity to realize renewable-dominated grids that are not only technically robust and economically viable but also safe, sustainable, and adaptable to the evolving energy landscape.</w:t>
      </w:r>
    </w:p>
    <w:p w14:paraId="0C96674F" w14:textId="65E3BE9A" w:rsidR="00217F54" w:rsidRPr="00217F54" w:rsidRDefault="00217F54" w:rsidP="00217F54">
      <w:pPr>
        <w:rPr>
          <w:rFonts w:ascii="Times New Roman" w:hAnsi="Times New Roman" w:cs="Times New Roman"/>
        </w:rPr>
      </w:pPr>
      <w:r w:rsidRPr="00217F54">
        <w:rPr>
          <w:rFonts w:ascii="Times New Roman" w:hAnsi="Times New Roman" w:cs="Times New Roman"/>
        </w:rPr>
        <w:t>COMPETING INTERESTS DISCLAIMER:</w:t>
      </w:r>
    </w:p>
    <w:p w14:paraId="237B553F" w14:textId="5FF30B98" w:rsidR="00217F54" w:rsidRDefault="00217F54" w:rsidP="00217F54">
      <w:pPr>
        <w:rPr>
          <w:rFonts w:ascii="Times New Roman" w:hAnsi="Times New Roman" w:cs="Times New Roman"/>
        </w:rPr>
      </w:pPr>
      <w:r w:rsidRPr="00217F54">
        <w:rPr>
          <w:rFonts w:ascii="Times New Roman" w:hAnsi="Times New Roman" w:cs="Times New Roman"/>
        </w:rPr>
        <w:t>Authors have declared that they have no known competing financial interests OR non-financial interests OR personal relationships that could have appeared to influence the work reported in this paper.</w:t>
      </w:r>
    </w:p>
    <w:p w14:paraId="59716D42" w14:textId="77777777" w:rsidR="00470818" w:rsidRPr="000A6323" w:rsidRDefault="00470818" w:rsidP="00470818">
      <w:pPr>
        <w:rPr>
          <w:highlight w:val="yellow"/>
        </w:rPr>
      </w:pPr>
      <w:bookmarkStart w:id="0" w:name="_Hlk190852809"/>
      <w:r w:rsidRPr="000A6323">
        <w:rPr>
          <w:highlight w:val="yellow"/>
        </w:rPr>
        <w:t>Disclaimer (Artificial intelligence)</w:t>
      </w:r>
    </w:p>
    <w:p w14:paraId="6F796DAB" w14:textId="77777777" w:rsidR="00470818" w:rsidRPr="000A6323" w:rsidRDefault="00470818" w:rsidP="00470818">
      <w:pPr>
        <w:rPr>
          <w:highlight w:val="yellow"/>
        </w:rPr>
      </w:pPr>
      <w:r w:rsidRPr="000A6323">
        <w:rPr>
          <w:highlight w:val="yellow"/>
        </w:rPr>
        <w:t xml:space="preserve">Option 1: </w:t>
      </w:r>
    </w:p>
    <w:p w14:paraId="20711A28" w14:textId="77777777" w:rsidR="00470818" w:rsidRPr="000A6323" w:rsidRDefault="00470818" w:rsidP="00470818">
      <w:pPr>
        <w:rPr>
          <w:highlight w:val="yellow"/>
        </w:rPr>
      </w:pPr>
      <w:r w:rsidRPr="000A6323">
        <w:rPr>
          <w:highlight w:val="yellow"/>
        </w:rPr>
        <w:t xml:space="preserve">Author(s) hereby declare that NO generative AI technologies such as Large Language Models (ChatGPT, COPILOT, etc.) and text-to-image generators have been used during the writing or editing of this manuscript. </w:t>
      </w:r>
    </w:p>
    <w:bookmarkEnd w:id="0"/>
    <w:p w14:paraId="296316E1" w14:textId="77777777" w:rsidR="00470818" w:rsidRPr="00CA20FB" w:rsidRDefault="00470818" w:rsidP="00217F54">
      <w:pPr>
        <w:rPr>
          <w:rFonts w:ascii="Times New Roman" w:hAnsi="Times New Roman" w:cs="Times New Roman"/>
        </w:rPr>
      </w:pPr>
    </w:p>
    <w:p w14:paraId="45077272" w14:textId="736A996F" w:rsidR="00CA20FB" w:rsidRPr="00A109E7" w:rsidRDefault="00A109E7" w:rsidP="00F5638D">
      <w:pPr>
        <w:rPr>
          <w:rFonts w:ascii="Times New Roman" w:hAnsi="Times New Roman" w:cs="Times New Roman"/>
          <w:b/>
        </w:rPr>
      </w:pPr>
      <w:r w:rsidRPr="00A109E7">
        <w:rPr>
          <w:rFonts w:ascii="Times New Roman" w:hAnsi="Times New Roman" w:cs="Times New Roman"/>
          <w:b/>
        </w:rPr>
        <w:t>References</w:t>
      </w:r>
    </w:p>
    <w:p w14:paraId="5A66EB22" w14:textId="77777777" w:rsidR="00A9646C" w:rsidRDefault="00A9646C" w:rsidP="00F5638D">
      <w:pPr>
        <w:rPr>
          <w:rFonts w:ascii="Times New Roman" w:hAnsi="Times New Roman" w:cs="Times New Roman"/>
        </w:rPr>
      </w:pPr>
    </w:p>
    <w:p w14:paraId="11E174D2" w14:textId="77777777" w:rsidR="001B434B" w:rsidRDefault="0020709D" w:rsidP="00917743">
      <w:pPr>
        <w:pStyle w:val="Bibliography"/>
        <w:numPr>
          <w:ilvl w:val="0"/>
          <w:numId w:val="1"/>
        </w:numPr>
      </w:pPr>
      <w:r>
        <w:fldChar w:fldCharType="begin"/>
      </w:r>
      <w:r>
        <w:instrText xml:space="preserve"> ADDIN ZOTERO_BIBL {"uncited":[],"omitted":[],"custom":[]} CSL_BIBLIOGRAPHY </w:instrText>
      </w:r>
      <w:r>
        <w:fldChar w:fldCharType="separate"/>
      </w:r>
      <w:r w:rsidR="001B434B">
        <w:t xml:space="preserve">Aghmadi, A., Hussein, H., Polara, K. H., Mohammed, O., Aghmadi, A., Hussein, H., Polara, K. H., &amp; Mohammed, O. (2023). A Comprehensive Review of Architecture, Communication, and Cybersecurity in Networked Microgrid Systems. </w:t>
      </w:r>
      <w:r w:rsidR="001B434B">
        <w:rPr>
          <w:i/>
          <w:iCs/>
        </w:rPr>
        <w:t>Inventions</w:t>
      </w:r>
      <w:r w:rsidR="001B434B">
        <w:t xml:space="preserve">, </w:t>
      </w:r>
      <w:r w:rsidR="001B434B">
        <w:rPr>
          <w:i/>
          <w:iCs/>
        </w:rPr>
        <w:t>8</w:t>
      </w:r>
      <w:r w:rsidR="001B434B">
        <w:t>(4). https://doi.org/10.3390/inventions8040084</w:t>
      </w:r>
    </w:p>
    <w:p w14:paraId="114B638D" w14:textId="77777777" w:rsidR="001B434B" w:rsidRDefault="001B434B" w:rsidP="00917743">
      <w:pPr>
        <w:pStyle w:val="Bibliography"/>
        <w:numPr>
          <w:ilvl w:val="0"/>
          <w:numId w:val="1"/>
        </w:numPr>
      </w:pPr>
      <w:r>
        <w:t xml:space="preserve">Ahmed, M. S., Islam, M., Raut, B., Yun, S., Kim, H. Y., Nam, K.-W., Ahmed, M. S., Islam, M., Raut, B., Yun, S., Kim, H. Y., &amp; Nam, K.-W. (2024). A Comprehensive Review of Functional Gel Polymer Electrolytes and Applications in Lithium-Ion Battery. </w:t>
      </w:r>
      <w:r>
        <w:rPr>
          <w:i/>
          <w:iCs/>
        </w:rPr>
        <w:t>Gels</w:t>
      </w:r>
      <w:r>
        <w:t xml:space="preserve">, </w:t>
      </w:r>
      <w:r>
        <w:rPr>
          <w:i/>
          <w:iCs/>
        </w:rPr>
        <w:t>10</w:t>
      </w:r>
      <w:r>
        <w:t>(9). https://doi.org/10.3390/gels10090563</w:t>
      </w:r>
    </w:p>
    <w:p w14:paraId="1436C1BC" w14:textId="77777777" w:rsidR="001B434B" w:rsidRDefault="001B434B" w:rsidP="00917743">
      <w:pPr>
        <w:pStyle w:val="Bibliography"/>
        <w:numPr>
          <w:ilvl w:val="0"/>
          <w:numId w:val="1"/>
        </w:numPr>
      </w:pPr>
      <w:r>
        <w:t xml:space="preserve">Alves, J., Sousa, P., Cruz, T., &amp; Mendes, J. (2025). A review of architecture features for distributed and resilient industrial cyber–physical systems. </w:t>
      </w:r>
      <w:r>
        <w:rPr>
          <w:i/>
          <w:iCs/>
        </w:rPr>
        <w:t>Journal of Manufacturing Systems</w:t>
      </w:r>
      <w:r>
        <w:t xml:space="preserve">, </w:t>
      </w:r>
      <w:r>
        <w:rPr>
          <w:i/>
          <w:iCs/>
        </w:rPr>
        <w:t>82</w:t>
      </w:r>
      <w:r>
        <w:t>, 1069–1090. https://doi.org/10.1016/j.jmsy.2025.07.012</w:t>
      </w:r>
    </w:p>
    <w:p w14:paraId="13B314E7" w14:textId="77777777" w:rsidR="001B434B" w:rsidRDefault="001B434B" w:rsidP="00917743">
      <w:pPr>
        <w:pStyle w:val="Bibliography"/>
        <w:numPr>
          <w:ilvl w:val="0"/>
          <w:numId w:val="1"/>
        </w:numPr>
      </w:pPr>
      <w:r>
        <w:lastRenderedPageBreak/>
        <w:t xml:space="preserve">Alzahrani, A., Sajjad, K., Hafeez, G., Murawwat, S., Khan, S., &amp; Khan, F. A. (2023). Real-time energy optimization and scheduling of buildings integrated with renewable microgrid. </w:t>
      </w:r>
      <w:r>
        <w:rPr>
          <w:i/>
          <w:iCs/>
        </w:rPr>
        <w:t>Applied Energy</w:t>
      </w:r>
      <w:r>
        <w:t xml:space="preserve">, </w:t>
      </w:r>
      <w:r>
        <w:rPr>
          <w:i/>
          <w:iCs/>
        </w:rPr>
        <w:t>335</w:t>
      </w:r>
      <w:r>
        <w:t>, 120640. https://doi.org/10.1016/j.apenergy.2023.120640</w:t>
      </w:r>
    </w:p>
    <w:p w14:paraId="58359FF5" w14:textId="77777777" w:rsidR="001B434B" w:rsidRDefault="001B434B" w:rsidP="00917743">
      <w:pPr>
        <w:pStyle w:val="Bibliography"/>
        <w:numPr>
          <w:ilvl w:val="0"/>
          <w:numId w:val="1"/>
        </w:numPr>
      </w:pPr>
      <w:r>
        <w:t xml:space="preserve">Animashaun, T. A., Sunday, O., Ogunleye, E., Agbahiwe, O. K., Afolayan, O. N., Okpoko, O. A., Enabulele, A. B. O., Enobakhare, B. O., &amp; Ifionu, E. S. (2025). AI-Powered Digital Twin Platforms for Next-Generation Structural Health Monitoring: From Concept to Intelligent Decision-Making. </w:t>
      </w:r>
      <w:r>
        <w:rPr>
          <w:i/>
          <w:iCs/>
        </w:rPr>
        <w:t>Journal of Engineering Research and Reports</w:t>
      </w:r>
      <w:r>
        <w:t xml:space="preserve">, </w:t>
      </w:r>
      <w:r>
        <w:rPr>
          <w:i/>
          <w:iCs/>
        </w:rPr>
        <w:t>27</w:t>
      </w:r>
      <w:r>
        <w:t>(10), 12–37. https://doi.org/10.9734/jerr/2025/v27i101652</w:t>
      </w:r>
    </w:p>
    <w:p w14:paraId="1C466321" w14:textId="77777777" w:rsidR="001B434B" w:rsidRDefault="001B434B" w:rsidP="00917743">
      <w:pPr>
        <w:pStyle w:val="Bibliography"/>
        <w:numPr>
          <w:ilvl w:val="0"/>
          <w:numId w:val="1"/>
        </w:numPr>
      </w:pPr>
      <w:r>
        <w:t xml:space="preserve">Aslam, M. U., Miah, M. S., Amin, B. M. R., Shah, R., &amp; Amjady, N. (2025). Application of Energy Storage Systems to Enhance Power System Resilience: A Critical Review. </w:t>
      </w:r>
      <w:r>
        <w:rPr>
          <w:i/>
          <w:iCs/>
        </w:rPr>
        <w:t>Energies</w:t>
      </w:r>
      <w:r>
        <w:t xml:space="preserve">, </w:t>
      </w:r>
      <w:r>
        <w:rPr>
          <w:i/>
          <w:iCs/>
        </w:rPr>
        <w:t>18</w:t>
      </w:r>
      <w:r>
        <w:t>(14), 3883. https://doi.org/10.3390/en18143883</w:t>
      </w:r>
    </w:p>
    <w:p w14:paraId="5355BCC2" w14:textId="77777777" w:rsidR="001B434B" w:rsidRDefault="001B434B" w:rsidP="00917743">
      <w:pPr>
        <w:pStyle w:val="Bibliography"/>
        <w:numPr>
          <w:ilvl w:val="0"/>
          <w:numId w:val="1"/>
        </w:numPr>
      </w:pPr>
      <w:r>
        <w:t xml:space="preserve">Awwal, I., &amp; Lateef, J. (2025). Optimizing Urban Road Networks: A Systematic Review of Design, Control and Multimodal Integration. </w:t>
      </w:r>
      <w:r>
        <w:rPr>
          <w:i/>
          <w:iCs/>
        </w:rPr>
        <w:t>Journal of Engineering Research and Reports</w:t>
      </w:r>
      <w:r>
        <w:t xml:space="preserve">, </w:t>
      </w:r>
      <w:r>
        <w:rPr>
          <w:i/>
          <w:iCs/>
        </w:rPr>
        <w:t>27</w:t>
      </w:r>
      <w:r>
        <w:t>(10), 359–372. https://doi.org/10.9734/jerr/2025/v27i101678</w:t>
      </w:r>
    </w:p>
    <w:p w14:paraId="1B373B2A" w14:textId="77777777" w:rsidR="001B434B" w:rsidRDefault="001B434B" w:rsidP="00917743">
      <w:pPr>
        <w:pStyle w:val="Bibliography"/>
        <w:numPr>
          <w:ilvl w:val="0"/>
          <w:numId w:val="1"/>
        </w:numPr>
      </w:pPr>
      <w:r>
        <w:t xml:space="preserve">Bielecki, S., Skoczkowski, T., Wołowicz, M., Bielecki, S., Skoczkowski, T., &amp; Wołowicz, M. (2025). Microgrids as a Tool for Energy Self-Sufficiency. </w:t>
      </w:r>
      <w:r>
        <w:rPr>
          <w:i/>
          <w:iCs/>
        </w:rPr>
        <w:t>Sensors</w:t>
      </w:r>
      <w:r>
        <w:t xml:space="preserve">, </w:t>
      </w:r>
      <w:r>
        <w:rPr>
          <w:i/>
          <w:iCs/>
        </w:rPr>
        <w:t>25</w:t>
      </w:r>
      <w:r>
        <w:t>(21). https://doi.org/10.3390/s25216707</w:t>
      </w:r>
    </w:p>
    <w:p w14:paraId="30E5882F" w14:textId="77777777" w:rsidR="001B434B" w:rsidRDefault="001B434B" w:rsidP="00917743">
      <w:pPr>
        <w:pStyle w:val="Bibliography"/>
        <w:numPr>
          <w:ilvl w:val="0"/>
          <w:numId w:val="1"/>
        </w:numPr>
      </w:pPr>
      <w:r>
        <w:t xml:space="preserve">Billanes, J. D., Jørgensen, B. N., &amp; Ma, Z. (2025). A Framework for Resilient Community Microgrids: Review of Operational Strategies and Performance Metrics. </w:t>
      </w:r>
      <w:r>
        <w:rPr>
          <w:i/>
          <w:iCs/>
        </w:rPr>
        <w:t>Energies</w:t>
      </w:r>
      <w:r>
        <w:t xml:space="preserve">, </w:t>
      </w:r>
      <w:r>
        <w:rPr>
          <w:i/>
          <w:iCs/>
        </w:rPr>
        <w:t>18</w:t>
      </w:r>
      <w:r>
        <w:t>(2). https://doi.org/10.3390/en18020405</w:t>
      </w:r>
    </w:p>
    <w:p w14:paraId="70A64950" w14:textId="77777777" w:rsidR="001B434B" w:rsidRDefault="001B434B" w:rsidP="00917743">
      <w:pPr>
        <w:pStyle w:val="Bibliography"/>
        <w:numPr>
          <w:ilvl w:val="0"/>
          <w:numId w:val="1"/>
        </w:numPr>
      </w:pPr>
      <w:r>
        <w:lastRenderedPageBreak/>
        <w:t xml:space="preserve">Che, E. E., Abeng, K. R., Iweh, C. D., Tsekouras, G. J., Fopah-Lele, A., Che, E. E., Abeng, K. R., Iweh, C. D., Tsekouras, G. J., &amp; Fopah-Lele, A. (2025). The Impact of Integrating Variable Renewable Energy Sources into Grid-Connected Power Systems: Challenges, Mitigation Strategies, and Prospects. </w:t>
      </w:r>
      <w:r>
        <w:rPr>
          <w:i/>
          <w:iCs/>
        </w:rPr>
        <w:t>Energies</w:t>
      </w:r>
      <w:r>
        <w:t xml:space="preserve">, </w:t>
      </w:r>
      <w:r>
        <w:rPr>
          <w:i/>
          <w:iCs/>
        </w:rPr>
        <w:t>18</w:t>
      </w:r>
      <w:r>
        <w:t>(3). https://doi.org/10.3390/en18030689</w:t>
      </w:r>
    </w:p>
    <w:p w14:paraId="365784E3" w14:textId="77777777" w:rsidR="001B434B" w:rsidRDefault="001B434B" w:rsidP="00917743">
      <w:pPr>
        <w:pStyle w:val="Bibliography"/>
        <w:numPr>
          <w:ilvl w:val="0"/>
          <w:numId w:val="1"/>
        </w:numPr>
      </w:pPr>
      <w:r>
        <w:t xml:space="preserve">De Carne, G., Maroufi, S. M., Beiranvand, H., De Angelis, V., D’Arco, S., Gevorgian, V., Waczowicz, S., Mather, B., Liserre, M., &amp; Hagenmeyer, V. (2024). The role of energy storage systems for a secure energy supply: A comprehensive review of system needs and technology solutions. </w:t>
      </w:r>
      <w:r>
        <w:rPr>
          <w:i/>
          <w:iCs/>
        </w:rPr>
        <w:t>Electric Power Systems Research</w:t>
      </w:r>
      <w:r>
        <w:t xml:space="preserve">, </w:t>
      </w:r>
      <w:r>
        <w:rPr>
          <w:i/>
          <w:iCs/>
        </w:rPr>
        <w:t>236</w:t>
      </w:r>
      <w:r>
        <w:t>, 110963. https://doi.org/10.1016/j.epsr.2024.110963</w:t>
      </w:r>
    </w:p>
    <w:p w14:paraId="5691D7FF" w14:textId="77777777" w:rsidR="001B434B" w:rsidRDefault="001B434B" w:rsidP="00917743">
      <w:pPr>
        <w:pStyle w:val="Bibliography"/>
        <w:numPr>
          <w:ilvl w:val="0"/>
          <w:numId w:val="1"/>
        </w:numPr>
      </w:pPr>
      <w:r>
        <w:t xml:space="preserve">Diahovchenko, I., Morva, G., Chuprun, A., &amp; Keane, A. (2025). Comparison of voltage rise mitigation strategies for distribution networks with high photovoltaic penetration. </w:t>
      </w:r>
      <w:r>
        <w:rPr>
          <w:i/>
          <w:iCs/>
        </w:rPr>
        <w:t>Renewable and Sustainable Energy Reviews</w:t>
      </w:r>
      <w:r>
        <w:t xml:space="preserve">, </w:t>
      </w:r>
      <w:r>
        <w:rPr>
          <w:i/>
          <w:iCs/>
        </w:rPr>
        <w:t>212</w:t>
      </w:r>
      <w:r>
        <w:t>, 115399. https://doi.org/10.1016/j.rser.2025.115399</w:t>
      </w:r>
    </w:p>
    <w:p w14:paraId="3418422E" w14:textId="77777777" w:rsidR="001B434B" w:rsidRDefault="001B434B" w:rsidP="00917743">
      <w:pPr>
        <w:pStyle w:val="Bibliography"/>
        <w:numPr>
          <w:ilvl w:val="0"/>
          <w:numId w:val="1"/>
        </w:numPr>
      </w:pPr>
      <w:r>
        <w:t xml:space="preserve">Dosa, A., Olanrewaju, O. A., Mora-Camino, F., Dosa, A., Olanrewaju, O. A., &amp; Mora-Camino, F. (2025). A Comprehensive Review of Hybrid Renewable Microgrids: Key Design Parameters, Optimization Techniques, and the Role of Demand Response in Enhancing System Flexibility. </w:t>
      </w:r>
      <w:r>
        <w:rPr>
          <w:i/>
          <w:iCs/>
        </w:rPr>
        <w:t>Energies</w:t>
      </w:r>
      <w:r>
        <w:t xml:space="preserve">, </w:t>
      </w:r>
      <w:r>
        <w:rPr>
          <w:i/>
          <w:iCs/>
        </w:rPr>
        <w:t>18</w:t>
      </w:r>
      <w:r>
        <w:t>(19). https://doi.org/10.3390/en18195154</w:t>
      </w:r>
    </w:p>
    <w:p w14:paraId="21AFB1CF" w14:textId="77777777" w:rsidR="001B434B" w:rsidRDefault="001B434B" w:rsidP="00917743">
      <w:pPr>
        <w:pStyle w:val="Bibliography"/>
        <w:numPr>
          <w:ilvl w:val="0"/>
          <w:numId w:val="1"/>
        </w:numPr>
      </w:pPr>
      <w:r>
        <w:t xml:space="preserve">Enabulele, A. B. O., Omo-Enabulele, A. P., Borokinni, M., Iwerumoh, A. N., Olatunbosun, A., Enobakha, B. O., &amp; Ifionu, E. S. (2025). Agile Leadership in Hybrid Workplaces: Evolving Roles and Competencies of Project Managers. </w:t>
      </w:r>
      <w:r>
        <w:rPr>
          <w:i/>
          <w:iCs/>
        </w:rPr>
        <w:t xml:space="preserve">Journal of Global Economics, </w:t>
      </w:r>
      <w:r>
        <w:rPr>
          <w:i/>
          <w:iCs/>
        </w:rPr>
        <w:lastRenderedPageBreak/>
        <w:t>Management and Business Research</w:t>
      </w:r>
      <w:r>
        <w:t xml:space="preserve">, </w:t>
      </w:r>
      <w:r>
        <w:rPr>
          <w:i/>
          <w:iCs/>
        </w:rPr>
        <w:t>17</w:t>
      </w:r>
      <w:r>
        <w:t>(3), 211–225. https://doi.org/10.56557/jgembr/2025/v17i39756</w:t>
      </w:r>
    </w:p>
    <w:p w14:paraId="6C451688" w14:textId="77777777" w:rsidR="001B434B" w:rsidRDefault="001B434B" w:rsidP="00917743">
      <w:pPr>
        <w:pStyle w:val="Bibliography"/>
        <w:numPr>
          <w:ilvl w:val="0"/>
          <w:numId w:val="1"/>
        </w:numPr>
      </w:pPr>
      <w:r>
        <w:t xml:space="preserve">Enasel, E., &amp; Dumitrascu, G. (2025). Storage solutions for renewable energy: A review. </w:t>
      </w:r>
      <w:r>
        <w:rPr>
          <w:i/>
          <w:iCs/>
        </w:rPr>
        <w:t>Energy Nexus</w:t>
      </w:r>
      <w:r>
        <w:t xml:space="preserve">, </w:t>
      </w:r>
      <w:r>
        <w:rPr>
          <w:i/>
          <w:iCs/>
        </w:rPr>
        <w:t>17</w:t>
      </w:r>
      <w:r>
        <w:t>, 100391. https://doi.org/10.1016/j.nexus.2025.100391</w:t>
      </w:r>
    </w:p>
    <w:p w14:paraId="317E526C" w14:textId="77777777" w:rsidR="001B434B" w:rsidRDefault="001B434B" w:rsidP="00917743">
      <w:pPr>
        <w:pStyle w:val="Bibliography"/>
        <w:numPr>
          <w:ilvl w:val="0"/>
          <w:numId w:val="1"/>
        </w:numPr>
      </w:pPr>
      <w:r>
        <w:t xml:space="preserve">Fasasi, B., &amp; Adeniyi, I. S. (2025). Frequency regulation and stability enhancement of inverter-based renewable power systems. </w:t>
      </w:r>
      <w:r>
        <w:rPr>
          <w:i/>
          <w:iCs/>
        </w:rPr>
        <w:t>International Journal of Science and Research Archive</w:t>
      </w:r>
      <w:r>
        <w:t xml:space="preserve">, </w:t>
      </w:r>
      <w:r>
        <w:rPr>
          <w:i/>
          <w:iCs/>
        </w:rPr>
        <w:t>17</w:t>
      </w:r>
      <w:r>
        <w:t>(2), 521–531. https://doi.org/10.30574/ijsra.2025.17.2.3043</w:t>
      </w:r>
    </w:p>
    <w:p w14:paraId="562CCC2E" w14:textId="77777777" w:rsidR="001B434B" w:rsidRDefault="001B434B" w:rsidP="00917743">
      <w:pPr>
        <w:pStyle w:val="Bibliography"/>
        <w:numPr>
          <w:ilvl w:val="0"/>
          <w:numId w:val="1"/>
        </w:numPr>
      </w:pPr>
      <w:r>
        <w:t xml:space="preserve">Gorączkowska, J., Moczulska, M., Yatsunenko, S., Gorączkowska, J., Moczulska, M., &amp; Yatsunenko, S. (2025). TESE-Informed Evolution Pathways for Photovoltaic Systems: Bridging Technology Trajectories and Market Needs. </w:t>
      </w:r>
      <w:r>
        <w:rPr>
          <w:i/>
          <w:iCs/>
        </w:rPr>
        <w:t>Energies</w:t>
      </w:r>
      <w:r>
        <w:t xml:space="preserve">, </w:t>
      </w:r>
      <w:r>
        <w:rPr>
          <w:i/>
          <w:iCs/>
        </w:rPr>
        <w:t>18</w:t>
      </w:r>
      <w:r>
        <w:t>(23). https://doi.org/10.3390/en18236216</w:t>
      </w:r>
    </w:p>
    <w:p w14:paraId="0FA1DD7A" w14:textId="77777777" w:rsidR="001B434B" w:rsidRDefault="001B434B" w:rsidP="00917743">
      <w:pPr>
        <w:pStyle w:val="Bibliography"/>
        <w:numPr>
          <w:ilvl w:val="0"/>
          <w:numId w:val="1"/>
        </w:numPr>
      </w:pPr>
      <w:r>
        <w:t xml:space="preserve">Graça Gomes, J., Xu, H. J., Yang, Q., &amp; Zhao, C. Y. (2021). An optimization study on a typical renewable microgrid energy system with energy storage. </w:t>
      </w:r>
      <w:r>
        <w:rPr>
          <w:i/>
          <w:iCs/>
        </w:rPr>
        <w:t>Energy</w:t>
      </w:r>
      <w:r>
        <w:t xml:space="preserve">, </w:t>
      </w:r>
      <w:r>
        <w:rPr>
          <w:i/>
          <w:iCs/>
        </w:rPr>
        <w:t>234</w:t>
      </w:r>
      <w:r>
        <w:t>, 121210. https://doi.org/10.1016/j.energy.2021.121210</w:t>
      </w:r>
    </w:p>
    <w:p w14:paraId="4FBA3FDA" w14:textId="77777777" w:rsidR="001B434B" w:rsidRDefault="001B434B" w:rsidP="00917743">
      <w:pPr>
        <w:pStyle w:val="Bibliography"/>
        <w:numPr>
          <w:ilvl w:val="0"/>
          <w:numId w:val="1"/>
        </w:numPr>
      </w:pPr>
      <w:r>
        <w:t xml:space="preserve">Jafarizadeh, H., Yamini, E., Zolfaghari, S. M., Esmaeilion, F., Assad, M. E. H., &amp; Soltani, M. (2024). Navigating challenges in large-scale renewable energy storage: Barriers, solutions, and innovations. </w:t>
      </w:r>
      <w:r>
        <w:rPr>
          <w:i/>
          <w:iCs/>
        </w:rPr>
        <w:t>Energy Reports</w:t>
      </w:r>
      <w:r>
        <w:t xml:space="preserve">, </w:t>
      </w:r>
      <w:r>
        <w:rPr>
          <w:i/>
          <w:iCs/>
        </w:rPr>
        <w:t>12</w:t>
      </w:r>
      <w:r>
        <w:t>, 2179–2192. https://doi.org/10.1016/j.egyr.2024.08.019</w:t>
      </w:r>
    </w:p>
    <w:p w14:paraId="37306051" w14:textId="77777777" w:rsidR="001B434B" w:rsidRDefault="001B434B" w:rsidP="00917743">
      <w:pPr>
        <w:pStyle w:val="Bibliography"/>
        <w:numPr>
          <w:ilvl w:val="0"/>
          <w:numId w:val="1"/>
        </w:numPr>
      </w:pPr>
      <w:r>
        <w:t xml:space="preserve">Jarosz-Kozyro, A., Baranowski, J., Jarosz-Kozyro, A., &amp; Baranowski, J. (2025). Recent Advances in Data-Driven Methods for Degradation Modeling Across Applications. </w:t>
      </w:r>
      <w:r>
        <w:rPr>
          <w:i/>
          <w:iCs/>
        </w:rPr>
        <w:t>Processes</w:t>
      </w:r>
      <w:r>
        <w:t xml:space="preserve">, </w:t>
      </w:r>
      <w:r>
        <w:rPr>
          <w:i/>
          <w:iCs/>
        </w:rPr>
        <w:t>13</w:t>
      </w:r>
      <w:r>
        <w:t>(12). https://doi.org/10.3390/pr13123962</w:t>
      </w:r>
    </w:p>
    <w:p w14:paraId="55EBE043" w14:textId="77777777" w:rsidR="001B434B" w:rsidRDefault="001B434B" w:rsidP="00917743">
      <w:pPr>
        <w:pStyle w:val="Bibliography"/>
        <w:numPr>
          <w:ilvl w:val="0"/>
          <w:numId w:val="1"/>
        </w:numPr>
      </w:pPr>
      <w:r>
        <w:lastRenderedPageBreak/>
        <w:t xml:space="preserve">Joddumahanthi, V., Knypiński, Ł., Gopal, Y., Kasprzak, K., Joddumahanthi, V., Knypiński, Ł., Gopal, Y., &amp; Kasprzak, K. (2025). Review of Power Electronics Technologies in the Integration of Renewable Energy Systems. </w:t>
      </w:r>
      <w:r>
        <w:rPr>
          <w:i/>
          <w:iCs/>
        </w:rPr>
        <w:t>Applied Sciences</w:t>
      </w:r>
      <w:r>
        <w:t xml:space="preserve">, </w:t>
      </w:r>
      <w:r>
        <w:rPr>
          <w:i/>
          <w:iCs/>
        </w:rPr>
        <w:t>15</w:t>
      </w:r>
      <w:r>
        <w:t>(8). https://doi.org/10.3390/app15084523</w:t>
      </w:r>
    </w:p>
    <w:p w14:paraId="55074633" w14:textId="77777777" w:rsidR="001B434B" w:rsidRDefault="001B434B" w:rsidP="00917743">
      <w:pPr>
        <w:pStyle w:val="Bibliography"/>
        <w:numPr>
          <w:ilvl w:val="0"/>
          <w:numId w:val="1"/>
        </w:numPr>
      </w:pPr>
      <w:r>
        <w:t xml:space="preserve">Kabeyi, M. J. B., &amp; Olanrewaju, O. A. (2022). Sustainable Energy Transition for Renewable and Low Carbon Grid Electricity Generation and Supply. </w:t>
      </w:r>
      <w:r>
        <w:rPr>
          <w:i/>
          <w:iCs/>
        </w:rPr>
        <w:t>Frontiers in Energy Research</w:t>
      </w:r>
      <w:r>
        <w:t xml:space="preserve">, </w:t>
      </w:r>
      <w:r>
        <w:rPr>
          <w:i/>
          <w:iCs/>
        </w:rPr>
        <w:t>9</w:t>
      </w:r>
      <w:r>
        <w:t>. https://doi.org/10.3389/fenrg.2021.743114</w:t>
      </w:r>
    </w:p>
    <w:p w14:paraId="131D06E5" w14:textId="77777777" w:rsidR="001B434B" w:rsidRDefault="001B434B" w:rsidP="00917743">
      <w:pPr>
        <w:pStyle w:val="Bibliography"/>
        <w:numPr>
          <w:ilvl w:val="0"/>
          <w:numId w:val="1"/>
        </w:numPr>
      </w:pPr>
      <w:r>
        <w:t xml:space="preserve">Kumar, V., Alam, M. N., Kumar, V., &amp; Alam, M. N. (2024). Polymeric Materials in Energy Conversion and Storage. </w:t>
      </w:r>
      <w:r>
        <w:rPr>
          <w:i/>
          <w:iCs/>
        </w:rPr>
        <w:t>Polymers</w:t>
      </w:r>
      <w:r>
        <w:t xml:space="preserve">, </w:t>
      </w:r>
      <w:r>
        <w:rPr>
          <w:i/>
          <w:iCs/>
        </w:rPr>
        <w:t>16</w:t>
      </w:r>
      <w:r>
        <w:t>(22). https://doi.org/10.3390/polym16223132</w:t>
      </w:r>
    </w:p>
    <w:p w14:paraId="5B9E360A" w14:textId="77777777" w:rsidR="001B434B" w:rsidRDefault="001B434B" w:rsidP="00917743">
      <w:pPr>
        <w:pStyle w:val="Bibliography"/>
        <w:numPr>
          <w:ilvl w:val="0"/>
          <w:numId w:val="1"/>
        </w:numPr>
      </w:pPr>
      <w:r>
        <w:t xml:space="preserve">Lateef, J., &amp; Awwal, I. M. (2025a). A Narrative Review of Recent Advances in Accelerated Bridge Construction: Materials, Methods, and Implementation Challenges. </w:t>
      </w:r>
      <w:r>
        <w:rPr>
          <w:i/>
          <w:iCs/>
        </w:rPr>
        <w:t>Journal of Basic and Applied Research International</w:t>
      </w:r>
      <w:r>
        <w:t xml:space="preserve">, </w:t>
      </w:r>
      <w:r>
        <w:rPr>
          <w:i/>
          <w:iCs/>
        </w:rPr>
        <w:t>31</w:t>
      </w:r>
      <w:r>
        <w:t>(6), 99–111. https://doi.org/10.56557/jobari/2025/v31i69985</w:t>
      </w:r>
    </w:p>
    <w:p w14:paraId="5F8BF5F9" w14:textId="77777777" w:rsidR="001B434B" w:rsidRDefault="001B434B" w:rsidP="00917743">
      <w:pPr>
        <w:pStyle w:val="Bibliography"/>
        <w:numPr>
          <w:ilvl w:val="0"/>
          <w:numId w:val="1"/>
        </w:numPr>
      </w:pPr>
      <w:r>
        <w:t xml:space="preserve">Lateef, J., &amp; Awwal, I. M. (2025b). Evolution and Performance of Post-Tensioned Concrete Bridge Systems: A Systematic Critical Review of the Disconnect between Technological Advancement and Practical Implementation. </w:t>
      </w:r>
      <w:r>
        <w:rPr>
          <w:i/>
          <w:iCs/>
        </w:rPr>
        <w:t>Asian Journal of Current Research</w:t>
      </w:r>
      <w:r>
        <w:t xml:space="preserve">, </w:t>
      </w:r>
      <w:r>
        <w:rPr>
          <w:i/>
          <w:iCs/>
        </w:rPr>
        <w:t>10</w:t>
      </w:r>
      <w:r>
        <w:t>(4), 304–319. https://doi.org/10.56557/ajocr/2025/v10i49937</w:t>
      </w:r>
    </w:p>
    <w:p w14:paraId="17683138" w14:textId="77777777" w:rsidR="001B434B" w:rsidRDefault="001B434B" w:rsidP="00917743">
      <w:pPr>
        <w:pStyle w:val="Bibliography"/>
        <w:numPr>
          <w:ilvl w:val="0"/>
          <w:numId w:val="1"/>
        </w:numPr>
      </w:pPr>
      <w:r>
        <w:t xml:space="preserve">Lee, S., Koo, H., Kang, H. S., Oh, K.-H., Nam, K. W., Lee, S., Koo, H., Kang, H. S., Oh, K.-H., &amp; Nam, K. W. (2023). Advances in Polymer Binder Materials for Lithium-Ion Battery Electrodes and Separators. </w:t>
      </w:r>
      <w:r>
        <w:rPr>
          <w:i/>
          <w:iCs/>
        </w:rPr>
        <w:t>Polymers</w:t>
      </w:r>
      <w:r>
        <w:t xml:space="preserve">, </w:t>
      </w:r>
      <w:r>
        <w:rPr>
          <w:i/>
          <w:iCs/>
        </w:rPr>
        <w:t>15</w:t>
      </w:r>
      <w:r>
        <w:t>(23). https://doi.org/10.3390/polym15234477</w:t>
      </w:r>
    </w:p>
    <w:p w14:paraId="1334EA11" w14:textId="77777777" w:rsidR="001B434B" w:rsidRDefault="001B434B" w:rsidP="00917743">
      <w:pPr>
        <w:pStyle w:val="Bibliography"/>
        <w:numPr>
          <w:ilvl w:val="0"/>
          <w:numId w:val="1"/>
        </w:numPr>
      </w:pPr>
      <w:r>
        <w:lastRenderedPageBreak/>
        <w:t xml:space="preserve">Li, D., Xu, P., Gu, J., Zhu, Y., Li, D., Xu, P., Gu, J., &amp; Zhu, Y. (2024). A Review of Reliability Research in Regional Integrated Energy System: Indicator, Modeling, and Assessment Methods. </w:t>
      </w:r>
      <w:r>
        <w:rPr>
          <w:i/>
          <w:iCs/>
        </w:rPr>
        <w:t>Buildings</w:t>
      </w:r>
      <w:r>
        <w:t xml:space="preserve">, </w:t>
      </w:r>
      <w:r>
        <w:rPr>
          <w:i/>
          <w:iCs/>
        </w:rPr>
        <w:t>14</w:t>
      </w:r>
      <w:r>
        <w:t>(11). https://doi.org/10.3390/buildings14113428</w:t>
      </w:r>
    </w:p>
    <w:p w14:paraId="700454E8" w14:textId="77777777" w:rsidR="001B434B" w:rsidRDefault="001B434B" w:rsidP="00917743">
      <w:pPr>
        <w:pStyle w:val="Bibliography"/>
        <w:numPr>
          <w:ilvl w:val="0"/>
          <w:numId w:val="1"/>
        </w:numPr>
      </w:pPr>
      <w:r>
        <w:t xml:space="preserve">Liu, X., Li, W., Guo, X., Su, B., Guo, S., Jing, Y., Zhang, X., Liu, X., Li, W., Guo, X., Su, B., Guo, S., Jing, Y., &amp; Zhang, X. (2025). Advancements in Energy-Storage Technologies: A Review of Current Developments and Applications. </w:t>
      </w:r>
      <w:r>
        <w:rPr>
          <w:i/>
          <w:iCs/>
        </w:rPr>
        <w:t>Sustainability</w:t>
      </w:r>
      <w:r>
        <w:t xml:space="preserve">, </w:t>
      </w:r>
      <w:r>
        <w:rPr>
          <w:i/>
          <w:iCs/>
        </w:rPr>
        <w:t>17</w:t>
      </w:r>
      <w:r>
        <w:t>(18). https://doi.org/10.3390/su17188316</w:t>
      </w:r>
    </w:p>
    <w:p w14:paraId="713A341A" w14:textId="77777777" w:rsidR="001B434B" w:rsidRDefault="001B434B" w:rsidP="00917743">
      <w:pPr>
        <w:pStyle w:val="Bibliography"/>
        <w:numPr>
          <w:ilvl w:val="0"/>
          <w:numId w:val="1"/>
        </w:numPr>
      </w:pPr>
      <w:r>
        <w:t xml:space="preserve">Mashfy, M. M., Alvy, T. A., Hossain, N., Haque, M. A., Mohsin, F. T., Sharmin, T., &amp; Nasim, M. (2026). Sodium ion batteries: A sustainable alternative to lithium-ion batteries with an overview of market trends, recycling, and battery chemistry. </w:t>
      </w:r>
      <w:r>
        <w:rPr>
          <w:i/>
          <w:iCs/>
        </w:rPr>
        <w:t>Next Energy</w:t>
      </w:r>
      <w:r>
        <w:t xml:space="preserve">, </w:t>
      </w:r>
      <w:r>
        <w:rPr>
          <w:i/>
          <w:iCs/>
        </w:rPr>
        <w:t>10</w:t>
      </w:r>
      <w:r>
        <w:t>, 100478. https://doi.org/10.1016/j.nxener.2025.100478</w:t>
      </w:r>
    </w:p>
    <w:p w14:paraId="60EDB1F8" w14:textId="77777777" w:rsidR="001B434B" w:rsidRDefault="001B434B" w:rsidP="00917743">
      <w:pPr>
        <w:pStyle w:val="Bibliography"/>
        <w:numPr>
          <w:ilvl w:val="0"/>
          <w:numId w:val="1"/>
        </w:numPr>
      </w:pPr>
      <w:r>
        <w:t xml:space="preserve">Mensah, S. O. K., Arayombo, O. E., &amp; Enabulele, A. B. O. (2025). Bridging Traditional and Agile Governance in Digital Transformation: Frameworks for Emerging Economies. </w:t>
      </w:r>
      <w:r>
        <w:rPr>
          <w:i/>
          <w:iCs/>
        </w:rPr>
        <w:t>Journal of Management, and Development Research</w:t>
      </w:r>
      <w:r>
        <w:t xml:space="preserve">, </w:t>
      </w:r>
      <w:r>
        <w:rPr>
          <w:i/>
          <w:iCs/>
        </w:rPr>
        <w:t>2</w:t>
      </w:r>
      <w:r>
        <w:t>(2), 137–148. https://doi.org/10.69739/jmdr.v2i2.1208</w:t>
      </w:r>
    </w:p>
    <w:p w14:paraId="19D15FEC" w14:textId="77777777" w:rsidR="001B434B" w:rsidRDefault="001B434B" w:rsidP="00917743">
      <w:pPr>
        <w:pStyle w:val="Bibliography"/>
        <w:numPr>
          <w:ilvl w:val="0"/>
          <w:numId w:val="1"/>
        </w:numPr>
      </w:pPr>
      <w:r>
        <w:t xml:space="preserve">Ngoy, K. R., Lukong, V. T., Yoro, K. O., Makambo, J. B., Chukwuati, N. C., Ibegbulam, C., Eterigho-Ikelegbe, O., Ukoba, K., &amp; Jen, T.-C. (2025). Lithium-ion batteries and the future of sustainable energy: A comprehensive review. </w:t>
      </w:r>
      <w:r>
        <w:rPr>
          <w:i/>
          <w:iCs/>
        </w:rPr>
        <w:t>Renewable and Sustainable Energy Reviews</w:t>
      </w:r>
      <w:r>
        <w:t xml:space="preserve">, </w:t>
      </w:r>
      <w:r>
        <w:rPr>
          <w:i/>
          <w:iCs/>
        </w:rPr>
        <w:t>223</w:t>
      </w:r>
      <w:r>
        <w:t>, 115971. https://doi.org/10.1016/j.rser.2025.115971</w:t>
      </w:r>
    </w:p>
    <w:p w14:paraId="105998A2" w14:textId="77777777" w:rsidR="001B434B" w:rsidRDefault="001B434B" w:rsidP="00917743">
      <w:pPr>
        <w:pStyle w:val="Bibliography"/>
        <w:numPr>
          <w:ilvl w:val="0"/>
          <w:numId w:val="1"/>
        </w:numPr>
      </w:pPr>
      <w:r>
        <w:t>Nzereogu, P. U., Oyesanya, A., Ogba, S. N., Ayanwunmi, S. O., Sobajo, M. S., Chimsunum, V. C., Ayanwunmi, V. O., Amoo, M. O., Adefemi, O. T., &amp; Chukwudi, C. C. (2025). Solid-</w:t>
      </w:r>
      <w:r>
        <w:lastRenderedPageBreak/>
        <w:t xml:space="preserve">State lithium-ion battery electrolytes: Revolutionizing energy density and safety. </w:t>
      </w:r>
      <w:r>
        <w:rPr>
          <w:i/>
          <w:iCs/>
        </w:rPr>
        <w:t>Hybrid Advances</w:t>
      </w:r>
      <w:r>
        <w:t xml:space="preserve">, </w:t>
      </w:r>
      <w:r>
        <w:rPr>
          <w:i/>
          <w:iCs/>
        </w:rPr>
        <w:t>8</w:t>
      </w:r>
      <w:r>
        <w:t>, 100339. https://doi.org/10.1016/j.hybadv.2024.100339</w:t>
      </w:r>
    </w:p>
    <w:p w14:paraId="584145A8" w14:textId="77777777" w:rsidR="001B434B" w:rsidRDefault="001B434B" w:rsidP="00917743">
      <w:pPr>
        <w:pStyle w:val="Bibliography"/>
        <w:numPr>
          <w:ilvl w:val="0"/>
          <w:numId w:val="1"/>
        </w:numPr>
      </w:pPr>
      <w:r>
        <w:t xml:space="preserve">Ochoa-Correa, D., Arévalo, P., &amp; Martinez, S. (2025). Pathways to 100% Renewable Energy in Island Systems: A Systematic Review of Challenges, Solutions Strategies, and Success Cases. </w:t>
      </w:r>
      <w:r>
        <w:rPr>
          <w:i/>
          <w:iCs/>
        </w:rPr>
        <w:t>Technologies</w:t>
      </w:r>
      <w:r>
        <w:t xml:space="preserve">, </w:t>
      </w:r>
      <w:r>
        <w:rPr>
          <w:i/>
          <w:iCs/>
        </w:rPr>
        <w:t>13</w:t>
      </w:r>
      <w:r>
        <w:t>(5). https://doi.org/10.3390/technologies13050180</w:t>
      </w:r>
    </w:p>
    <w:p w14:paraId="5B1A30D2" w14:textId="77777777" w:rsidR="001B434B" w:rsidRDefault="001B434B" w:rsidP="00917743">
      <w:pPr>
        <w:pStyle w:val="Bibliography"/>
        <w:numPr>
          <w:ilvl w:val="0"/>
          <w:numId w:val="1"/>
        </w:numPr>
      </w:pPr>
      <w:r>
        <w:t xml:space="preserve">Olaitan, O. F., Akatakpo, O. N., Victor, C. O., Emejulu, C. J., Ayoola, T. M., Olayiwola, D. E., &amp; Ajibola, A. A. (2025). Secure and Resilient Industrial IoT Architectures for Smart Manufacturing: A Comprehensive Review. </w:t>
      </w:r>
      <w:r>
        <w:rPr>
          <w:i/>
          <w:iCs/>
        </w:rPr>
        <w:t>Journal of Engineering Research and Reports</w:t>
      </w:r>
      <w:r>
        <w:t xml:space="preserve">, </w:t>
      </w:r>
      <w:r>
        <w:rPr>
          <w:i/>
          <w:iCs/>
        </w:rPr>
        <w:t>27</w:t>
      </w:r>
      <w:r>
        <w:t>(6), 331–344. https://doi.org/10.9734/jerr/2025/v27i61548</w:t>
      </w:r>
    </w:p>
    <w:p w14:paraId="16CFCC9F" w14:textId="77777777" w:rsidR="001B434B" w:rsidRDefault="001B434B" w:rsidP="00917743">
      <w:pPr>
        <w:pStyle w:val="Bibliography"/>
        <w:numPr>
          <w:ilvl w:val="0"/>
          <w:numId w:val="1"/>
        </w:numPr>
      </w:pPr>
      <w:r>
        <w:t xml:space="preserve">Olasoji, A. O., Oyedokun, D. T. O., Omogoye, S. O., &amp; Thron, C. (2024). Review of frequency response strategies in renewable-dominated power system grids: Market adaptations and unit commitment formulation. </w:t>
      </w:r>
      <w:r>
        <w:rPr>
          <w:i/>
          <w:iCs/>
        </w:rPr>
        <w:t>Scientific African</w:t>
      </w:r>
      <w:r>
        <w:t xml:space="preserve">, </w:t>
      </w:r>
      <w:r>
        <w:rPr>
          <w:i/>
          <w:iCs/>
        </w:rPr>
        <w:t>26</w:t>
      </w:r>
      <w:r>
        <w:t>, e02357. https://doi.org/10.1016/j.sciaf.2024.e02357</w:t>
      </w:r>
    </w:p>
    <w:p w14:paraId="3CE9AB8E" w14:textId="77777777" w:rsidR="001B434B" w:rsidRDefault="001B434B" w:rsidP="00917743">
      <w:pPr>
        <w:pStyle w:val="Bibliography"/>
        <w:numPr>
          <w:ilvl w:val="0"/>
          <w:numId w:val="1"/>
        </w:numPr>
      </w:pPr>
      <w:r>
        <w:t xml:space="preserve">Opara, I. J., Lateef, J., Nii-Okai, E., Saah, B. P., Mensah, E. K., Wiafe, G. F. O., &amp; Olayode, A. (2025). Digital Resilience in Construction Projects: A Narrative Review of Data Governance, BIM, and Real-Time Decision Support Systems. </w:t>
      </w:r>
      <w:r>
        <w:rPr>
          <w:i/>
          <w:iCs/>
        </w:rPr>
        <w:t>Journal of Management, and Development Research</w:t>
      </w:r>
      <w:r>
        <w:t xml:space="preserve">, </w:t>
      </w:r>
      <w:r>
        <w:rPr>
          <w:i/>
          <w:iCs/>
        </w:rPr>
        <w:t>2</w:t>
      </w:r>
      <w:r>
        <w:t>(2), 117–124. https://doi.org/10.69739/jmdr.v2i2.1129</w:t>
      </w:r>
    </w:p>
    <w:p w14:paraId="6B673E79" w14:textId="77777777" w:rsidR="001B434B" w:rsidRDefault="001B434B" w:rsidP="00917743">
      <w:pPr>
        <w:pStyle w:val="Bibliography"/>
        <w:numPr>
          <w:ilvl w:val="0"/>
          <w:numId w:val="1"/>
        </w:numPr>
      </w:pPr>
      <w:r>
        <w:t xml:space="preserve">Orville, T., Tajwar, M., Bihani, R., Saha, P., Hannan, M. A., Orville, T., Tajwar, M., Bihani, R., Saha, P., &amp; Hannan, M. A. (2025). Enhancing Thermal Efficiency in Power Electronics: A Review of Advanced Materials and Cooling Methods. </w:t>
      </w:r>
      <w:r>
        <w:rPr>
          <w:i/>
          <w:iCs/>
        </w:rPr>
        <w:t>Thermo</w:t>
      </w:r>
      <w:r>
        <w:t xml:space="preserve">, </w:t>
      </w:r>
      <w:r>
        <w:rPr>
          <w:i/>
          <w:iCs/>
        </w:rPr>
        <w:t>5</w:t>
      </w:r>
      <w:r>
        <w:t>(3). https://doi.org/10.3390/thermo5030030</w:t>
      </w:r>
    </w:p>
    <w:p w14:paraId="72D4AAA1" w14:textId="77777777" w:rsidR="001B434B" w:rsidRDefault="001B434B" w:rsidP="00917743">
      <w:pPr>
        <w:pStyle w:val="Bibliography"/>
        <w:numPr>
          <w:ilvl w:val="0"/>
          <w:numId w:val="1"/>
        </w:numPr>
      </w:pPr>
      <w:r>
        <w:lastRenderedPageBreak/>
        <w:t xml:space="preserve">Panda, S., Mohanty, S., Rout, P. K., Sahu, B. K., Parida, S. M., Samanta, I. S., Bajaj, M., Piecha, M., Blazek, V., &amp; Prokop, L. (2023). A comprehensive review on demand side management and market design for renewable energy support and integration. </w:t>
      </w:r>
      <w:r>
        <w:rPr>
          <w:i/>
          <w:iCs/>
        </w:rPr>
        <w:t>Energy Reports</w:t>
      </w:r>
      <w:r>
        <w:t xml:space="preserve">, </w:t>
      </w:r>
      <w:r>
        <w:rPr>
          <w:i/>
          <w:iCs/>
        </w:rPr>
        <w:t>10</w:t>
      </w:r>
      <w:r>
        <w:t>, 2228–2250. https://doi.org/10.1016/j.egyr.2023.09.049</w:t>
      </w:r>
    </w:p>
    <w:p w14:paraId="63A2DA4C" w14:textId="77777777" w:rsidR="001B434B" w:rsidRDefault="001B434B" w:rsidP="00917743">
      <w:pPr>
        <w:pStyle w:val="Bibliography"/>
        <w:numPr>
          <w:ilvl w:val="0"/>
          <w:numId w:val="1"/>
        </w:numPr>
      </w:pPr>
      <w:r>
        <w:t xml:space="preserve">Ramos, H. M., Coronado-Hernández, O. E., Besharat, M., Carravetta, A., Fecarotta, O., Pérez-Sánchez, M., Ramos, H. M., Coronado-Hernández, O. E., Besharat, M., Carravetta, A., Fecarotta, O., &amp; Pérez-Sánchez, M. (2025). Energy Storage Systems in Micro-Grid of Hybrid Renewable Energy Solutions. </w:t>
      </w:r>
      <w:r>
        <w:rPr>
          <w:i/>
          <w:iCs/>
        </w:rPr>
        <w:t>Technologies</w:t>
      </w:r>
      <w:r>
        <w:t xml:space="preserve">, </w:t>
      </w:r>
      <w:r>
        <w:rPr>
          <w:i/>
          <w:iCs/>
        </w:rPr>
        <w:t>13</w:t>
      </w:r>
      <w:r>
        <w:t>(11). https://doi.org/10.3390/technologies13110527</w:t>
      </w:r>
    </w:p>
    <w:p w14:paraId="799D8087" w14:textId="77777777" w:rsidR="001B434B" w:rsidRDefault="001B434B" w:rsidP="00917743">
      <w:pPr>
        <w:pStyle w:val="Bibliography"/>
        <w:numPr>
          <w:ilvl w:val="0"/>
          <w:numId w:val="1"/>
        </w:numPr>
      </w:pPr>
      <w:r>
        <w:t xml:space="preserve">Rangarajan, S. S., Collins, E. R., Senjyu, T., Rangarajan, S. S., Collins, E. R., &amp; Senjyu, T. (2024). Grid Forming Inverter as an Advanced Smart Inverter for Augmented Ancillary Services in a Low Inertia and a Weak Grid System Towards Grid Modernization. </w:t>
      </w:r>
      <w:r>
        <w:rPr>
          <w:i/>
          <w:iCs/>
        </w:rPr>
        <w:t>Clean Technologies</w:t>
      </w:r>
      <w:r>
        <w:t xml:space="preserve">, </w:t>
      </w:r>
      <w:r>
        <w:rPr>
          <w:i/>
          <w:iCs/>
        </w:rPr>
        <w:t>6</w:t>
      </w:r>
      <w:r>
        <w:t>(3), 1011–1037. https://doi.org/10.3390/cleantechnol6030051</w:t>
      </w:r>
    </w:p>
    <w:p w14:paraId="2A58C2F7" w14:textId="77777777" w:rsidR="001B434B" w:rsidRDefault="001B434B" w:rsidP="00917743">
      <w:pPr>
        <w:pStyle w:val="Bibliography"/>
        <w:numPr>
          <w:ilvl w:val="0"/>
          <w:numId w:val="1"/>
        </w:numPr>
      </w:pPr>
      <w:r>
        <w:t xml:space="preserve">Samala, N., &amp; Bethi, C. (2025). Harnessing synergy: A holistic review of hybrid renewable energy systems and unified power quality conditioner integration. </w:t>
      </w:r>
      <w:r>
        <w:rPr>
          <w:i/>
          <w:iCs/>
        </w:rPr>
        <w:t>Journal of Electrical Systems and Information Technology</w:t>
      </w:r>
      <w:r>
        <w:t xml:space="preserve">, </w:t>
      </w:r>
      <w:r>
        <w:rPr>
          <w:i/>
          <w:iCs/>
        </w:rPr>
        <w:t>12</w:t>
      </w:r>
      <w:r>
        <w:t>(1), 4. https://doi.org/10.1186/s43067-025-00193-1</w:t>
      </w:r>
    </w:p>
    <w:p w14:paraId="2A3C4464" w14:textId="77777777" w:rsidR="001B434B" w:rsidRDefault="001B434B" w:rsidP="00917743">
      <w:pPr>
        <w:pStyle w:val="Bibliography"/>
        <w:numPr>
          <w:ilvl w:val="0"/>
          <w:numId w:val="1"/>
        </w:numPr>
      </w:pPr>
      <w:r>
        <w:t xml:space="preserve">Shan, Y., Ma, L., Yu, X., Shan, Y., Ma, L., &amp; Yu, X. (2023). Hierarchical Control and Economic Optimization of Microgrids Considering the Randomness of Power Generation and Load Demand. </w:t>
      </w:r>
      <w:r>
        <w:rPr>
          <w:i/>
          <w:iCs/>
        </w:rPr>
        <w:t>Energies</w:t>
      </w:r>
      <w:r>
        <w:t xml:space="preserve">, </w:t>
      </w:r>
      <w:r>
        <w:rPr>
          <w:i/>
          <w:iCs/>
        </w:rPr>
        <w:t>16</w:t>
      </w:r>
      <w:r>
        <w:t>(14). https://doi.org/10.3390/en16145503</w:t>
      </w:r>
    </w:p>
    <w:p w14:paraId="65186ED1" w14:textId="77777777" w:rsidR="001B434B" w:rsidRDefault="001B434B" w:rsidP="00917743">
      <w:pPr>
        <w:pStyle w:val="Bibliography"/>
        <w:numPr>
          <w:ilvl w:val="0"/>
          <w:numId w:val="1"/>
        </w:numPr>
      </w:pPr>
      <w:r>
        <w:t xml:space="preserve">Su’ait, M. S., Ludin, N. A., &amp; Sopian, K. (2025). Introduction to Renewable Energy Technologies and Energy Transition Strategies. In </w:t>
      </w:r>
      <w:r>
        <w:rPr>
          <w:i/>
          <w:iCs/>
        </w:rPr>
        <w:t xml:space="preserve">Renewable Energy Technologies and </w:t>
      </w:r>
      <w:r>
        <w:rPr>
          <w:i/>
          <w:iCs/>
        </w:rPr>
        <w:lastRenderedPageBreak/>
        <w:t>Strategies in the Global Energy Transition</w:t>
      </w:r>
      <w:r>
        <w:t xml:space="preserve"> (Vol. 1499, pp. 1–14). American Chemical Society. https://doi.org/10.1021/bk-2025-1499.ch001</w:t>
      </w:r>
    </w:p>
    <w:p w14:paraId="7560347E" w14:textId="77777777" w:rsidR="001B434B" w:rsidRDefault="001B434B" w:rsidP="00917743">
      <w:pPr>
        <w:pStyle w:val="Bibliography"/>
        <w:numPr>
          <w:ilvl w:val="0"/>
          <w:numId w:val="1"/>
        </w:numPr>
      </w:pPr>
      <w:r>
        <w:t xml:space="preserve">Tadesse, M. G., Ahmmed, A. S., Lübben, J. F., Tadesse, M. G., Ahmmed, A. S., &amp; Lübben, J. F. (2024). Review on Conductive Polymer Composites for Supercapacitor Applications. </w:t>
      </w:r>
      <w:r>
        <w:rPr>
          <w:i/>
          <w:iCs/>
        </w:rPr>
        <w:t>Journal of Composites Science</w:t>
      </w:r>
      <w:r>
        <w:t xml:space="preserve">, </w:t>
      </w:r>
      <w:r>
        <w:rPr>
          <w:i/>
          <w:iCs/>
        </w:rPr>
        <w:t>8</w:t>
      </w:r>
      <w:r>
        <w:t>(2). https://doi.org/10.3390/jcs8020053</w:t>
      </w:r>
    </w:p>
    <w:p w14:paraId="06CACD8C" w14:textId="77777777" w:rsidR="001B434B" w:rsidRDefault="001B434B" w:rsidP="00917743">
      <w:pPr>
        <w:pStyle w:val="Bibliography"/>
        <w:numPr>
          <w:ilvl w:val="0"/>
          <w:numId w:val="1"/>
        </w:numPr>
      </w:pPr>
      <w:r>
        <w:t xml:space="preserve">Tamasiga, P., Onyeaka, H., Altaghlibi, M., Bakwena, M., &amp; Ouassou, E. houssin. (2024). Empowering communities beyond wires: Renewable energy microgrids and the impacts on energy poverty and socio-economic outcomes. </w:t>
      </w:r>
      <w:r>
        <w:rPr>
          <w:i/>
          <w:iCs/>
        </w:rPr>
        <w:t>Energy Reports</w:t>
      </w:r>
      <w:r>
        <w:t xml:space="preserve">, </w:t>
      </w:r>
      <w:r>
        <w:rPr>
          <w:i/>
          <w:iCs/>
        </w:rPr>
        <w:t>12</w:t>
      </w:r>
      <w:r>
        <w:t>, 4475–4488. https://doi.org/10.1016/j.egyr.2024.10.026</w:t>
      </w:r>
    </w:p>
    <w:p w14:paraId="2D3C2C6F" w14:textId="77777777" w:rsidR="001B434B" w:rsidRDefault="001B434B" w:rsidP="00917743">
      <w:pPr>
        <w:pStyle w:val="Bibliography"/>
        <w:numPr>
          <w:ilvl w:val="0"/>
          <w:numId w:val="1"/>
        </w:numPr>
      </w:pPr>
      <w:r>
        <w:t xml:space="preserve">Waskito, F., Wijaya, F. D., Firmansyah, E., Waskito, F., Wijaya, F. D., &amp; Firmansyah, E. (2025). Review of Virtual Inertia Based on Synchronous Generator Characteristic Emulation in Renewable Energy-Dominated Power Systems. </w:t>
      </w:r>
      <w:r>
        <w:rPr>
          <w:i/>
          <w:iCs/>
        </w:rPr>
        <w:t>Electricity</w:t>
      </w:r>
      <w:r>
        <w:t xml:space="preserve">, </w:t>
      </w:r>
      <w:r>
        <w:rPr>
          <w:i/>
          <w:iCs/>
        </w:rPr>
        <w:t>6</w:t>
      </w:r>
      <w:r>
        <w:t>(4). https://doi.org/10.3390/electricity6040069</w:t>
      </w:r>
    </w:p>
    <w:p w14:paraId="7881571E" w14:textId="77777777" w:rsidR="001B434B" w:rsidRDefault="001B434B" w:rsidP="00917743">
      <w:pPr>
        <w:pStyle w:val="Bibliography"/>
        <w:numPr>
          <w:ilvl w:val="0"/>
          <w:numId w:val="1"/>
        </w:numPr>
      </w:pPr>
      <w:r>
        <w:t xml:space="preserve">Wei, T., Li, H., Miao, J., Wei, T., Li, H., &amp; Miao, J. (2025). Integration and Development Path of Smart Grid Technology: Technology-Driven, Policy Framework and Application Challenges. </w:t>
      </w:r>
      <w:r>
        <w:rPr>
          <w:i/>
          <w:iCs/>
        </w:rPr>
        <w:t>Processes</w:t>
      </w:r>
      <w:r>
        <w:t xml:space="preserve">, </w:t>
      </w:r>
      <w:r>
        <w:rPr>
          <w:i/>
          <w:iCs/>
        </w:rPr>
        <w:t>13</w:t>
      </w:r>
      <w:r>
        <w:t>(8). https://doi.org/10.3390/pr13082428</w:t>
      </w:r>
    </w:p>
    <w:p w14:paraId="14F80DF7" w14:textId="77777777" w:rsidR="001B434B" w:rsidRDefault="001B434B" w:rsidP="00917743">
      <w:pPr>
        <w:pStyle w:val="Bibliography"/>
        <w:numPr>
          <w:ilvl w:val="0"/>
          <w:numId w:val="1"/>
        </w:numPr>
      </w:pPr>
      <w:r>
        <w:t xml:space="preserve">Wong, T., Yang, Y., Tan, R., Wang, A., Zhou, Z., Yuan, Z., Li, J., Liu, D., Alvarez-Fernandez, A., Ye, C., Sankey, M., Ainsworth, D., Guldin, S., Foglia, F., McKeown, N. B., Jelfs, K. E., Li, X., &amp; Song, Q. (2025). Sulfonated poly(ether-ether-ketone) membranes with intrinsic microporosity enable efficient redox flow batteries for energy storage. </w:t>
      </w:r>
      <w:r>
        <w:rPr>
          <w:i/>
          <w:iCs/>
        </w:rPr>
        <w:t>Joule</w:t>
      </w:r>
      <w:r>
        <w:t xml:space="preserve">, </w:t>
      </w:r>
      <w:r>
        <w:rPr>
          <w:i/>
          <w:iCs/>
        </w:rPr>
        <w:t>9</w:t>
      </w:r>
      <w:r>
        <w:t>(2), 101795. https://doi.org/10.1016/j.joule.2024.11.012</w:t>
      </w:r>
    </w:p>
    <w:p w14:paraId="0B3C7E25" w14:textId="77777777" w:rsidR="001B434B" w:rsidRDefault="001B434B" w:rsidP="00917743">
      <w:pPr>
        <w:pStyle w:val="Bibliography"/>
        <w:numPr>
          <w:ilvl w:val="0"/>
          <w:numId w:val="1"/>
        </w:numPr>
      </w:pPr>
      <w:r>
        <w:lastRenderedPageBreak/>
        <w:t xml:space="preserve">Yadav, S., &amp; Anand, R. (2025). Analysis of advancing paradigms of smart grid innovations, applications, challenges, future trends and strategic implementations. </w:t>
      </w:r>
      <w:r>
        <w:rPr>
          <w:i/>
          <w:iCs/>
        </w:rPr>
        <w:t>Discover Applied Sciences</w:t>
      </w:r>
      <w:r>
        <w:t xml:space="preserve">, </w:t>
      </w:r>
      <w:r>
        <w:rPr>
          <w:i/>
          <w:iCs/>
        </w:rPr>
        <w:t>7</w:t>
      </w:r>
      <w:r>
        <w:t>(12), 1380. https://doi.org/10.1007/s42452-025-07905-2</w:t>
      </w:r>
    </w:p>
    <w:p w14:paraId="2AC01ADF" w14:textId="77777777" w:rsidR="001B434B" w:rsidRDefault="001B434B" w:rsidP="00917743">
      <w:pPr>
        <w:pStyle w:val="Bibliography"/>
        <w:numPr>
          <w:ilvl w:val="0"/>
          <w:numId w:val="1"/>
        </w:numPr>
      </w:pPr>
      <w:r>
        <w:t xml:space="preserve">Yan, J., Möhrlen, C., Göçmen, T., Kelly, M., Wessel, A., &amp; Giebel, G. (2022). Uncovering wind power forecasting uncertainty sources and their propagation through the whole modelling chain. </w:t>
      </w:r>
      <w:r>
        <w:rPr>
          <w:i/>
          <w:iCs/>
        </w:rPr>
        <w:t>Renewable and Sustainable Energy Reviews</w:t>
      </w:r>
      <w:r>
        <w:t xml:space="preserve">, </w:t>
      </w:r>
      <w:r>
        <w:rPr>
          <w:i/>
          <w:iCs/>
        </w:rPr>
        <w:t>165</w:t>
      </w:r>
      <w:r>
        <w:t>, 112519. https://doi.org/10.1016/j.rser.2022.112519</w:t>
      </w:r>
    </w:p>
    <w:p w14:paraId="26D3B727" w14:textId="77777777" w:rsidR="001B434B" w:rsidRDefault="001B434B" w:rsidP="00917743">
      <w:pPr>
        <w:pStyle w:val="Bibliography"/>
        <w:numPr>
          <w:ilvl w:val="0"/>
          <w:numId w:val="1"/>
        </w:numPr>
      </w:pPr>
      <w:r>
        <w:t xml:space="preserve">Yeboah, S. J., Nunoo, S., Attachie, J. C., Asihene, W. D., &amp; Asuamah, E. Y. (2025). Impact and integration techniques of renewable energy sources on smart grid operations: A systematic review. </w:t>
      </w:r>
      <w:r>
        <w:rPr>
          <w:i/>
          <w:iCs/>
        </w:rPr>
        <w:t>Scientific African</w:t>
      </w:r>
      <w:r>
        <w:t xml:space="preserve">, </w:t>
      </w:r>
      <w:r>
        <w:rPr>
          <w:i/>
          <w:iCs/>
        </w:rPr>
        <w:t>29</w:t>
      </w:r>
      <w:r>
        <w:t>, e02845. https://doi.org/10.1016/j.sciaf.2025.e02845</w:t>
      </w:r>
    </w:p>
    <w:p w14:paraId="23261A5A" w14:textId="77777777" w:rsidR="001B434B" w:rsidRDefault="001B434B" w:rsidP="00917743">
      <w:pPr>
        <w:pStyle w:val="Bibliography"/>
        <w:numPr>
          <w:ilvl w:val="0"/>
          <w:numId w:val="1"/>
        </w:numPr>
      </w:pPr>
      <w:r>
        <w:t xml:space="preserve">Yogithanjali Saimadhuri, K. N., &amp; Janaki, M. (2025). Advanced control strategies for microgrids: A review of droop control and virtual impedance techniques. </w:t>
      </w:r>
      <w:r>
        <w:rPr>
          <w:i/>
          <w:iCs/>
        </w:rPr>
        <w:t>Results in Engineering</w:t>
      </w:r>
      <w:r>
        <w:t xml:space="preserve">, </w:t>
      </w:r>
      <w:r>
        <w:rPr>
          <w:i/>
          <w:iCs/>
        </w:rPr>
        <w:t>25</w:t>
      </w:r>
      <w:r>
        <w:t>, 103799. https://doi.org/10.1016/j.rineng.2024.103799</w:t>
      </w:r>
    </w:p>
    <w:p w14:paraId="07CDB79B" w14:textId="77777777" w:rsidR="001B434B" w:rsidRDefault="001B434B" w:rsidP="00917743">
      <w:pPr>
        <w:pStyle w:val="Bibliography"/>
        <w:numPr>
          <w:ilvl w:val="0"/>
          <w:numId w:val="1"/>
        </w:numPr>
      </w:pPr>
      <w:r>
        <w:t xml:space="preserve">Zahid, H., Zulfiqar, A., Adnan, M., Iqbal, M. S., Shah, A., &amp; Mohamed, S. E. G. (2025). Global renewable energy transition: A multidisciplinary analysis of emerging computing technologies, socio-economic impacts, and policy imperatives. </w:t>
      </w:r>
      <w:r>
        <w:rPr>
          <w:i/>
          <w:iCs/>
        </w:rPr>
        <w:t>Results in Engineering</w:t>
      </w:r>
      <w:r>
        <w:t xml:space="preserve">, </w:t>
      </w:r>
      <w:r>
        <w:rPr>
          <w:i/>
          <w:iCs/>
        </w:rPr>
        <w:t>26</w:t>
      </w:r>
      <w:r>
        <w:t>, 105258. https://doi.org/10.1016/j.rineng.2025.105258</w:t>
      </w:r>
    </w:p>
    <w:p w14:paraId="7A095EAA" w14:textId="77777777" w:rsidR="001B434B" w:rsidRDefault="001B434B" w:rsidP="00917743">
      <w:pPr>
        <w:pStyle w:val="Bibliography"/>
        <w:numPr>
          <w:ilvl w:val="0"/>
          <w:numId w:val="1"/>
        </w:numPr>
      </w:pPr>
      <w:r>
        <w:t xml:space="preserve">Zhou, H., He, J., Gao, S., Cao, X., Li, C., Zhang, Q., Gao, J., Yao, Y., Zhai, C., Hu, Z., Zhu, H., Kang, R., Zhou, H., He, J., Gao, S., Cao, X., Li, C., Zhang, Q., Gao, J., … Kang, R. (2025). Critical Perspectives on the Design of Polymeric Materials for Mitigating Thermal </w:t>
      </w:r>
      <w:r>
        <w:lastRenderedPageBreak/>
        <w:t xml:space="preserve">Runaway in Lithium-Ion Batteries. </w:t>
      </w:r>
      <w:r>
        <w:rPr>
          <w:i/>
          <w:iCs/>
        </w:rPr>
        <w:t>Polymers</w:t>
      </w:r>
      <w:r>
        <w:t xml:space="preserve">, </w:t>
      </w:r>
      <w:r>
        <w:rPr>
          <w:i/>
          <w:iCs/>
        </w:rPr>
        <w:t>17</w:t>
      </w:r>
      <w:r>
        <w:t>(9). https://doi.org/10.3390/polym17091227</w:t>
      </w:r>
    </w:p>
    <w:p w14:paraId="58FCDA80" w14:textId="1EA8E407" w:rsidR="0020709D" w:rsidRPr="00AB6112" w:rsidRDefault="0020709D" w:rsidP="00F5638D">
      <w:pPr>
        <w:rPr>
          <w:rFonts w:ascii="Times New Roman" w:hAnsi="Times New Roman" w:cs="Times New Roman"/>
        </w:rPr>
      </w:pPr>
      <w:r>
        <w:rPr>
          <w:rFonts w:ascii="Times New Roman" w:hAnsi="Times New Roman" w:cs="Times New Roman"/>
        </w:rPr>
        <w:fldChar w:fldCharType="end"/>
      </w:r>
      <w:bookmarkStart w:id="1" w:name="_GoBack"/>
      <w:bookmarkEnd w:id="1"/>
    </w:p>
    <w:sectPr w:rsidR="0020709D" w:rsidRPr="00AB6112">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845A28" w14:textId="77777777" w:rsidR="009F3964" w:rsidRDefault="009F3964" w:rsidP="004863B7">
      <w:pPr>
        <w:spacing w:after="0" w:line="240" w:lineRule="auto"/>
      </w:pPr>
      <w:r>
        <w:separator/>
      </w:r>
    </w:p>
  </w:endnote>
  <w:endnote w:type="continuationSeparator" w:id="0">
    <w:p w14:paraId="1AE9D2F5" w14:textId="77777777" w:rsidR="009F3964" w:rsidRDefault="009F3964" w:rsidP="00486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DFF66" w14:textId="77777777" w:rsidR="004863B7" w:rsidRDefault="004863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D56A3" w14:textId="77777777" w:rsidR="004863B7" w:rsidRDefault="004863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366DE" w14:textId="77777777" w:rsidR="004863B7" w:rsidRDefault="004863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1DD29B" w14:textId="77777777" w:rsidR="009F3964" w:rsidRDefault="009F3964" w:rsidP="004863B7">
      <w:pPr>
        <w:spacing w:after="0" w:line="240" w:lineRule="auto"/>
      </w:pPr>
      <w:r>
        <w:separator/>
      </w:r>
    </w:p>
  </w:footnote>
  <w:footnote w:type="continuationSeparator" w:id="0">
    <w:p w14:paraId="42CFF000" w14:textId="77777777" w:rsidR="009F3964" w:rsidRDefault="009F3964" w:rsidP="004863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22C57" w14:textId="04008EE0" w:rsidR="004863B7" w:rsidRDefault="009F3964">
    <w:pPr>
      <w:pStyle w:val="Header"/>
    </w:pPr>
    <w:r>
      <w:rPr>
        <w:noProof/>
      </w:rPr>
      <w:pict w14:anchorId="775E9E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06829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CA4D8" w14:textId="42C6BEAE" w:rsidR="004863B7" w:rsidRDefault="009F3964">
    <w:pPr>
      <w:pStyle w:val="Header"/>
    </w:pPr>
    <w:r>
      <w:rPr>
        <w:noProof/>
      </w:rPr>
      <w:pict w14:anchorId="41CF24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06829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0CEE6" w14:textId="4746356B" w:rsidR="004863B7" w:rsidRDefault="009F3964">
    <w:pPr>
      <w:pStyle w:val="Header"/>
    </w:pPr>
    <w:r>
      <w:rPr>
        <w:noProof/>
      </w:rPr>
      <w:pict w14:anchorId="7A0FB2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06829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526A35"/>
    <w:multiLevelType w:val="hybridMultilevel"/>
    <w:tmpl w:val="958466A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0B2"/>
    <w:rsid w:val="0004444D"/>
    <w:rsid w:val="00082FDA"/>
    <w:rsid w:val="000970F4"/>
    <w:rsid w:val="000A4BA7"/>
    <w:rsid w:val="000D651C"/>
    <w:rsid w:val="000E72A5"/>
    <w:rsid w:val="00100338"/>
    <w:rsid w:val="00113DB4"/>
    <w:rsid w:val="00174FF1"/>
    <w:rsid w:val="00176581"/>
    <w:rsid w:val="001B434B"/>
    <w:rsid w:val="001D4091"/>
    <w:rsid w:val="001D6122"/>
    <w:rsid w:val="001E6519"/>
    <w:rsid w:val="001F3BBC"/>
    <w:rsid w:val="0020709D"/>
    <w:rsid w:val="00217F54"/>
    <w:rsid w:val="002A796B"/>
    <w:rsid w:val="002B64EE"/>
    <w:rsid w:val="002D40C8"/>
    <w:rsid w:val="002F6694"/>
    <w:rsid w:val="00306C79"/>
    <w:rsid w:val="003076B8"/>
    <w:rsid w:val="003241A9"/>
    <w:rsid w:val="003266BD"/>
    <w:rsid w:val="00391A81"/>
    <w:rsid w:val="003F6F11"/>
    <w:rsid w:val="00400A85"/>
    <w:rsid w:val="00441238"/>
    <w:rsid w:val="00445889"/>
    <w:rsid w:val="00470818"/>
    <w:rsid w:val="004863B7"/>
    <w:rsid w:val="00486B41"/>
    <w:rsid w:val="004C68B3"/>
    <w:rsid w:val="0051152E"/>
    <w:rsid w:val="00577E02"/>
    <w:rsid w:val="005A5436"/>
    <w:rsid w:val="00603F04"/>
    <w:rsid w:val="006504C9"/>
    <w:rsid w:val="00653700"/>
    <w:rsid w:val="006562EC"/>
    <w:rsid w:val="006B7809"/>
    <w:rsid w:val="006E29C6"/>
    <w:rsid w:val="00761994"/>
    <w:rsid w:val="00776CAA"/>
    <w:rsid w:val="007C196A"/>
    <w:rsid w:val="007C5F61"/>
    <w:rsid w:val="007D4106"/>
    <w:rsid w:val="007D70D4"/>
    <w:rsid w:val="0082522D"/>
    <w:rsid w:val="0085050D"/>
    <w:rsid w:val="00880A83"/>
    <w:rsid w:val="008B28FC"/>
    <w:rsid w:val="009011AD"/>
    <w:rsid w:val="00917743"/>
    <w:rsid w:val="009407C0"/>
    <w:rsid w:val="00976302"/>
    <w:rsid w:val="009F3964"/>
    <w:rsid w:val="00A04B5B"/>
    <w:rsid w:val="00A109E7"/>
    <w:rsid w:val="00A22ED1"/>
    <w:rsid w:val="00A2303B"/>
    <w:rsid w:val="00A53428"/>
    <w:rsid w:val="00A9646C"/>
    <w:rsid w:val="00AB1823"/>
    <w:rsid w:val="00AB6112"/>
    <w:rsid w:val="00AD780F"/>
    <w:rsid w:val="00AE74F7"/>
    <w:rsid w:val="00B07E99"/>
    <w:rsid w:val="00B52C11"/>
    <w:rsid w:val="00B549FB"/>
    <w:rsid w:val="00B63E6E"/>
    <w:rsid w:val="00B91814"/>
    <w:rsid w:val="00BE2899"/>
    <w:rsid w:val="00BF00A8"/>
    <w:rsid w:val="00BF2DAE"/>
    <w:rsid w:val="00C349A9"/>
    <w:rsid w:val="00C6191D"/>
    <w:rsid w:val="00C84497"/>
    <w:rsid w:val="00C8487F"/>
    <w:rsid w:val="00CA20FB"/>
    <w:rsid w:val="00CC4AF3"/>
    <w:rsid w:val="00D02498"/>
    <w:rsid w:val="00D82DFE"/>
    <w:rsid w:val="00DD3E94"/>
    <w:rsid w:val="00E528E9"/>
    <w:rsid w:val="00EB1AE2"/>
    <w:rsid w:val="00ED1483"/>
    <w:rsid w:val="00ED2AF9"/>
    <w:rsid w:val="00EE4476"/>
    <w:rsid w:val="00F222D8"/>
    <w:rsid w:val="00F40EE0"/>
    <w:rsid w:val="00F5638D"/>
    <w:rsid w:val="00F5679A"/>
    <w:rsid w:val="00F711F4"/>
    <w:rsid w:val="00F93ED3"/>
    <w:rsid w:val="00FB06BA"/>
    <w:rsid w:val="00FE1281"/>
    <w:rsid w:val="00FF00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AC6BE31"/>
  <w15:chartTrackingRefBased/>
  <w15:docId w15:val="{41CFDE49-EEED-49FF-93DE-6AFD29517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00B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F00B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F00B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F00B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F00B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F0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0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0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0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00B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F00B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F00B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F00B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F00B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F0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0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0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00B2"/>
    <w:rPr>
      <w:rFonts w:eastAsiaTheme="majorEastAsia" w:cstheme="majorBidi"/>
      <w:color w:val="272727" w:themeColor="text1" w:themeTint="D8"/>
    </w:rPr>
  </w:style>
  <w:style w:type="paragraph" w:styleId="Title">
    <w:name w:val="Title"/>
    <w:basedOn w:val="Normal"/>
    <w:next w:val="Normal"/>
    <w:link w:val="TitleChar"/>
    <w:uiPriority w:val="10"/>
    <w:qFormat/>
    <w:rsid w:val="00FF0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0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0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0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00B2"/>
    <w:pPr>
      <w:spacing w:before="160"/>
      <w:jc w:val="center"/>
    </w:pPr>
    <w:rPr>
      <w:i/>
      <w:iCs/>
      <w:color w:val="404040" w:themeColor="text1" w:themeTint="BF"/>
    </w:rPr>
  </w:style>
  <w:style w:type="character" w:customStyle="1" w:styleId="QuoteChar">
    <w:name w:val="Quote Char"/>
    <w:basedOn w:val="DefaultParagraphFont"/>
    <w:link w:val="Quote"/>
    <w:uiPriority w:val="29"/>
    <w:rsid w:val="00FF00B2"/>
    <w:rPr>
      <w:i/>
      <w:iCs/>
      <w:color w:val="404040" w:themeColor="text1" w:themeTint="BF"/>
    </w:rPr>
  </w:style>
  <w:style w:type="paragraph" w:styleId="ListParagraph">
    <w:name w:val="List Paragraph"/>
    <w:basedOn w:val="Normal"/>
    <w:uiPriority w:val="34"/>
    <w:qFormat/>
    <w:rsid w:val="00FF00B2"/>
    <w:pPr>
      <w:ind w:left="720"/>
      <w:contextualSpacing/>
    </w:pPr>
  </w:style>
  <w:style w:type="character" w:styleId="IntenseEmphasis">
    <w:name w:val="Intense Emphasis"/>
    <w:basedOn w:val="DefaultParagraphFont"/>
    <w:uiPriority w:val="21"/>
    <w:qFormat/>
    <w:rsid w:val="00FF00B2"/>
    <w:rPr>
      <w:i/>
      <w:iCs/>
      <w:color w:val="2F5496" w:themeColor="accent1" w:themeShade="BF"/>
    </w:rPr>
  </w:style>
  <w:style w:type="paragraph" w:styleId="IntenseQuote">
    <w:name w:val="Intense Quote"/>
    <w:basedOn w:val="Normal"/>
    <w:next w:val="Normal"/>
    <w:link w:val="IntenseQuoteChar"/>
    <w:uiPriority w:val="30"/>
    <w:qFormat/>
    <w:rsid w:val="00FF00B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F00B2"/>
    <w:rPr>
      <w:i/>
      <w:iCs/>
      <w:color w:val="2F5496" w:themeColor="accent1" w:themeShade="BF"/>
    </w:rPr>
  </w:style>
  <w:style w:type="character" w:styleId="IntenseReference">
    <w:name w:val="Intense Reference"/>
    <w:basedOn w:val="DefaultParagraphFont"/>
    <w:uiPriority w:val="32"/>
    <w:qFormat/>
    <w:rsid w:val="00FF00B2"/>
    <w:rPr>
      <w:b/>
      <w:bCs/>
      <w:smallCaps/>
      <w:color w:val="2F5496" w:themeColor="accent1" w:themeShade="BF"/>
      <w:spacing w:val="5"/>
    </w:rPr>
  </w:style>
  <w:style w:type="character" w:styleId="Hyperlink">
    <w:name w:val="Hyperlink"/>
    <w:basedOn w:val="DefaultParagraphFont"/>
    <w:uiPriority w:val="99"/>
    <w:unhideWhenUsed/>
    <w:rsid w:val="00EB1AE2"/>
    <w:rPr>
      <w:color w:val="0563C1" w:themeColor="hyperlink"/>
      <w:u w:val="single"/>
    </w:rPr>
  </w:style>
  <w:style w:type="character" w:styleId="UnresolvedMention">
    <w:name w:val="Unresolved Mention"/>
    <w:basedOn w:val="DefaultParagraphFont"/>
    <w:uiPriority w:val="99"/>
    <w:semiHidden/>
    <w:unhideWhenUsed/>
    <w:rsid w:val="00EB1AE2"/>
    <w:rPr>
      <w:color w:val="605E5C"/>
      <w:shd w:val="clear" w:color="auto" w:fill="E1DFDD"/>
    </w:rPr>
  </w:style>
  <w:style w:type="paragraph" w:styleId="Header">
    <w:name w:val="header"/>
    <w:basedOn w:val="Normal"/>
    <w:link w:val="HeaderChar"/>
    <w:uiPriority w:val="99"/>
    <w:unhideWhenUsed/>
    <w:rsid w:val="004863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63B7"/>
  </w:style>
  <w:style w:type="paragraph" w:styleId="Footer">
    <w:name w:val="footer"/>
    <w:basedOn w:val="Normal"/>
    <w:link w:val="FooterChar"/>
    <w:uiPriority w:val="99"/>
    <w:unhideWhenUsed/>
    <w:rsid w:val="004863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63B7"/>
  </w:style>
  <w:style w:type="paragraph" w:styleId="Bibliography">
    <w:name w:val="Bibliography"/>
    <w:basedOn w:val="Normal"/>
    <w:next w:val="Normal"/>
    <w:uiPriority w:val="37"/>
    <w:unhideWhenUsed/>
    <w:rsid w:val="0020709D"/>
    <w:pPr>
      <w:spacing w:after="0"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29</Pages>
  <Words>30730</Words>
  <Characters>175163</Characters>
  <Application>Microsoft Office Word</Application>
  <DocSecurity>0</DocSecurity>
  <Lines>1459</Lines>
  <Paragraphs>410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Olabisi Lawal</dc:creator>
  <cp:keywords/>
  <dc:description/>
  <cp:lastModifiedBy>SDI 1186</cp:lastModifiedBy>
  <cp:revision>105</cp:revision>
  <dcterms:created xsi:type="dcterms:W3CDTF">2025-12-24T08:10:00Z</dcterms:created>
  <dcterms:modified xsi:type="dcterms:W3CDTF">2025-12-30T09:47:00Z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1e41c8a7-10dc-4106-bbca-c5ddf95a7905</vt:lpwstr>
  </property>
  <property fmtid="{D5CDD505-2E9C-101B-9397-08002B2CF9AE}" pid="3" name="ZOTERO_PREF_1">
    <vt:lpwstr>&lt;data data-version="3" zotero-version="7.0.16"&gt;&lt;session id="osnXxAfS"/&gt;&lt;style id="http://www.zotero.org/styles/apa" locale="en-US" hasBibliography="1" bibliographyStyleHasBeenSet="1"/&gt;&lt;prefs&gt;&lt;pref name="fieldType" value="Field"/&gt;&lt;/prefs&gt;&lt;/data&gt;</vt:lpwstr>
  </property>
</Properties>
</file>