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D70EE" w14:textId="78CDB3D2" w:rsidR="007D2C35" w:rsidRDefault="007D2C35" w:rsidP="006E0E57">
      <w:pPr>
        <w:spacing w:after="0" w:line="276" w:lineRule="auto"/>
        <w:ind w:left="0"/>
        <w:jc w:val="center"/>
        <w:rPr>
          <w:rFonts w:cs="Times New Roman"/>
          <w:b/>
          <w:bCs/>
        </w:rPr>
      </w:pPr>
      <w:bookmarkStart w:id="0" w:name="_Hlk132725400"/>
      <w:bookmarkStart w:id="1" w:name="_Hlk110437230"/>
      <w:bookmarkStart w:id="2" w:name="_Hlk110441410"/>
      <w:r w:rsidRPr="00D00F16">
        <w:rPr>
          <w:rFonts w:cs="Times New Roman"/>
          <w:b/>
          <w:bCs/>
        </w:rPr>
        <w:t xml:space="preserve">Assessment of Groundwater Potential for </w:t>
      </w:r>
      <w:r w:rsidR="004374BA" w:rsidRPr="00D00F16">
        <w:rPr>
          <w:rFonts w:cs="Times New Roman"/>
          <w:b/>
          <w:bCs/>
        </w:rPr>
        <w:t xml:space="preserve">Urban and Peri-urban </w:t>
      </w:r>
      <w:r w:rsidRPr="00D00F16">
        <w:rPr>
          <w:rFonts w:cs="Times New Roman"/>
          <w:b/>
          <w:bCs/>
        </w:rPr>
        <w:t>Irrigated Agriculture</w:t>
      </w:r>
      <w:r w:rsidR="004374BA" w:rsidRPr="00D00F16">
        <w:rPr>
          <w:rFonts w:cs="Times New Roman"/>
          <w:b/>
          <w:bCs/>
        </w:rPr>
        <w:t xml:space="preserve"> in the </w:t>
      </w:r>
      <w:proofErr w:type="spellStart"/>
      <w:r w:rsidR="004374BA" w:rsidRPr="00D00F16">
        <w:rPr>
          <w:rFonts w:cs="Times New Roman"/>
          <w:b/>
          <w:bCs/>
        </w:rPr>
        <w:t>Wa</w:t>
      </w:r>
      <w:proofErr w:type="spellEnd"/>
      <w:r w:rsidR="004374BA" w:rsidRPr="00D00F16">
        <w:rPr>
          <w:rFonts w:cs="Times New Roman"/>
          <w:b/>
          <w:bCs/>
        </w:rPr>
        <w:t xml:space="preserve"> Municipality of Ghana</w:t>
      </w:r>
    </w:p>
    <w:p w14:paraId="491FFB51" w14:textId="77777777" w:rsidR="001E0E9D" w:rsidRDefault="001E0E9D" w:rsidP="006E0E57">
      <w:pPr>
        <w:spacing w:after="0" w:line="276" w:lineRule="auto"/>
        <w:ind w:left="0"/>
        <w:jc w:val="center"/>
        <w:rPr>
          <w:rFonts w:cs="Times New Roman"/>
          <w:b/>
          <w:bCs/>
        </w:rPr>
      </w:pPr>
    </w:p>
    <w:p w14:paraId="5B5656BF" w14:textId="77777777" w:rsidR="00092FAB" w:rsidRDefault="00092FAB" w:rsidP="004624D5">
      <w:pPr>
        <w:spacing w:after="0" w:line="276" w:lineRule="auto"/>
        <w:ind w:left="0"/>
        <w:jc w:val="center"/>
      </w:pPr>
      <w:bookmarkStart w:id="3" w:name="_Hlk153121630"/>
    </w:p>
    <w:p w14:paraId="2C9032CC" w14:textId="16F8A172" w:rsidR="009908B9" w:rsidRPr="00970BC2" w:rsidRDefault="004C0E89" w:rsidP="004624D5">
      <w:pPr>
        <w:spacing w:after="0" w:line="276" w:lineRule="auto"/>
        <w:ind w:left="0"/>
        <w:jc w:val="center"/>
        <w:rPr>
          <w:rFonts w:cs="Times New Roman"/>
        </w:rPr>
      </w:pPr>
      <w:r>
        <w:t xml:space="preserve"> </w:t>
      </w:r>
    </w:p>
    <w:bookmarkEnd w:id="3"/>
    <w:p w14:paraId="5DEEBF87" w14:textId="77777777" w:rsidR="003E09C9" w:rsidRPr="00D00F16" w:rsidRDefault="003E09C9" w:rsidP="006E0E57">
      <w:pPr>
        <w:spacing w:after="0" w:line="276" w:lineRule="auto"/>
        <w:ind w:left="0"/>
        <w:rPr>
          <w:rFonts w:cs="Times New Roman"/>
        </w:rPr>
      </w:pPr>
    </w:p>
    <w:p w14:paraId="7677F11B" w14:textId="2F354D41" w:rsidR="000F7317" w:rsidRPr="000F7317" w:rsidRDefault="000F7317" w:rsidP="000F7317">
      <w:pPr>
        <w:spacing w:after="0" w:line="240" w:lineRule="auto"/>
        <w:ind w:left="0"/>
        <w:rPr>
          <w:b/>
          <w:bCs/>
        </w:rPr>
      </w:pPr>
      <w:r w:rsidRPr="000F7317">
        <w:rPr>
          <w:b/>
          <w:bCs/>
        </w:rPr>
        <w:t>ABSTRACT</w:t>
      </w:r>
    </w:p>
    <w:p w14:paraId="2C143A7C" w14:textId="04D1D1A4" w:rsidR="003E09C9" w:rsidRPr="00D00F16" w:rsidRDefault="00373915" w:rsidP="006E0E57">
      <w:pPr>
        <w:spacing w:after="0" w:line="276" w:lineRule="auto"/>
        <w:ind w:left="0"/>
        <w:jc w:val="both"/>
        <w:rPr>
          <w:rFonts w:cs="Times New Roman"/>
        </w:rPr>
      </w:pPr>
      <w:bookmarkStart w:id="4" w:name="_Hlk145685580"/>
      <w:r w:rsidRPr="009549EF">
        <w:rPr>
          <w:rFonts w:eastAsia="Times New Roman" w:cs="Times New Roman"/>
        </w:rPr>
        <w:t>The increasing dependence on groundwater for domestic and irrigation purposes</w:t>
      </w:r>
      <w:r w:rsidRPr="00373915">
        <w:rPr>
          <w:rFonts w:eastAsia="Times New Roman" w:cs="Times New Roman"/>
        </w:rPr>
        <w:t xml:space="preserve">, </w:t>
      </w:r>
      <w:r w:rsidRPr="009549EF">
        <w:rPr>
          <w:rFonts w:eastAsia="Times New Roman" w:cs="Times New Roman"/>
        </w:rPr>
        <w:t>especially in the context of climate variability</w:t>
      </w:r>
      <w:r w:rsidRPr="00373915">
        <w:rPr>
          <w:rFonts w:eastAsia="Times New Roman" w:cs="Times New Roman"/>
        </w:rPr>
        <w:t xml:space="preserve"> </w:t>
      </w:r>
      <w:r w:rsidRPr="009549EF">
        <w:rPr>
          <w:rFonts w:eastAsia="Times New Roman" w:cs="Times New Roman"/>
        </w:rPr>
        <w:t>necessitates the identification of areas with high groundwater potential. This study aim</w:t>
      </w:r>
      <w:r>
        <w:rPr>
          <w:rFonts w:eastAsia="Times New Roman" w:cs="Times New Roman"/>
        </w:rPr>
        <w:t>ed</w:t>
      </w:r>
      <w:r w:rsidRPr="009549EF">
        <w:rPr>
          <w:rFonts w:eastAsia="Times New Roman" w:cs="Times New Roman"/>
        </w:rPr>
        <w:t xml:space="preserve"> to delineate groundwater potential zones in the </w:t>
      </w:r>
      <w:proofErr w:type="spellStart"/>
      <w:r w:rsidRPr="009549EF">
        <w:rPr>
          <w:rFonts w:eastAsia="Times New Roman" w:cs="Times New Roman"/>
        </w:rPr>
        <w:t>Wa</w:t>
      </w:r>
      <w:proofErr w:type="spellEnd"/>
      <w:r w:rsidRPr="009549EF">
        <w:rPr>
          <w:rFonts w:eastAsia="Times New Roman" w:cs="Times New Roman"/>
        </w:rPr>
        <w:t xml:space="preserve"> Municipality of Ghana to support urban and peri-urban irrigated agriculture</w:t>
      </w:r>
      <w:r w:rsidR="00917A63">
        <w:rPr>
          <w:rFonts w:eastAsia="Times New Roman" w:cs="Times New Roman"/>
        </w:rPr>
        <w:t xml:space="preserve"> </w:t>
      </w:r>
      <w:r w:rsidR="00917A63" w:rsidRPr="00917A63">
        <w:rPr>
          <w:rFonts w:eastAsia="Times New Roman" w:cs="Times New Roman"/>
          <w:highlight w:val="green"/>
        </w:rPr>
        <w:t>using</w:t>
      </w:r>
      <w:r w:rsidR="00917A63" w:rsidRPr="00917A63">
        <w:rPr>
          <w:rFonts w:cs="Times New Roman"/>
          <w:highlight w:val="green"/>
        </w:rPr>
        <w:t xml:space="preserve"> </w:t>
      </w:r>
      <w:r w:rsidR="00917A63" w:rsidRPr="00917A63">
        <w:rPr>
          <w:rFonts w:cs="Times New Roman"/>
          <w:highlight w:val="green"/>
        </w:rPr>
        <w:t xml:space="preserve">ArcGIS </w:t>
      </w:r>
      <w:proofErr w:type="gramStart"/>
      <w:r w:rsidR="00917A63" w:rsidRPr="00917A63">
        <w:rPr>
          <w:rFonts w:cs="Times New Roman"/>
          <w:highlight w:val="green"/>
        </w:rPr>
        <w:t>10.3</w:t>
      </w:r>
      <w:r w:rsidR="00917A63">
        <w:rPr>
          <w:rFonts w:eastAsia="Times New Roman" w:cs="Times New Roman"/>
        </w:rPr>
        <w:t xml:space="preserve"> </w:t>
      </w:r>
      <w:r w:rsidRPr="009549EF">
        <w:rPr>
          <w:rFonts w:eastAsia="Times New Roman" w:cs="Times New Roman"/>
        </w:rPr>
        <w:t>.</w:t>
      </w:r>
      <w:proofErr w:type="gramEnd"/>
      <w:r w:rsidRPr="009549EF">
        <w:rPr>
          <w:rFonts w:eastAsia="Times New Roman" w:cs="Times New Roman"/>
        </w:rPr>
        <w:t xml:space="preserve"> Key physical and environmental factors, including geology, lineament density, rainfall, drainage density, soil type, </w:t>
      </w:r>
      <w:proofErr w:type="spellStart"/>
      <w:r w:rsidRPr="009549EF">
        <w:rPr>
          <w:rFonts w:eastAsia="Times New Roman" w:cs="Times New Roman"/>
        </w:rPr>
        <w:t>landuse</w:t>
      </w:r>
      <w:proofErr w:type="spellEnd"/>
      <w:r w:rsidRPr="009549EF">
        <w:rPr>
          <w:rFonts w:eastAsia="Times New Roman" w:cs="Times New Roman"/>
        </w:rPr>
        <w:t xml:space="preserve">/landcover (LULC), topographic wetness index (TWI), slope, and elevation, were integrated and assigned weights based on their relative influence on groundwater occurrence. The weighting process employed the </w:t>
      </w:r>
      <w:bookmarkStart w:id="5" w:name="_Hlk206227848"/>
      <w:r w:rsidRPr="009549EF">
        <w:rPr>
          <w:rFonts w:eastAsia="Times New Roman" w:cs="Times New Roman"/>
        </w:rPr>
        <w:t>Analytic Hierarchy Process (AHP)</w:t>
      </w:r>
      <w:bookmarkEnd w:id="5"/>
      <w:r w:rsidRPr="009549EF">
        <w:rPr>
          <w:rFonts w:eastAsia="Times New Roman" w:cs="Times New Roman"/>
        </w:rPr>
        <w:t>, yielding an acceptable consistency ratio of 0.088.</w:t>
      </w:r>
      <w:r w:rsidRPr="00373915">
        <w:rPr>
          <w:rFonts w:eastAsia="Times New Roman" w:cs="Times New Roman"/>
        </w:rPr>
        <w:t xml:space="preserve"> </w:t>
      </w:r>
      <w:r w:rsidRPr="009549EF">
        <w:rPr>
          <w:rFonts w:eastAsia="Times New Roman" w:cs="Times New Roman"/>
        </w:rPr>
        <w:t>The analysis revealed that 185.33 km² of the study area possesses very high groundwater potential, while 112.39 km² falls under high potential. Moderate and low potential zones cover 130.15 km² and 145.71 km², respectively. Validation using existing well data showed a prediction accuracy of 87%, confirming the reliability of the delineated zones.</w:t>
      </w:r>
      <w:r w:rsidRPr="00373915">
        <w:rPr>
          <w:rFonts w:eastAsia="Times New Roman" w:cs="Times New Roman"/>
        </w:rPr>
        <w:t xml:space="preserve"> The study therefore revealed that</w:t>
      </w:r>
      <w:r w:rsidRPr="009549EF">
        <w:rPr>
          <w:rFonts w:eastAsia="Times New Roman" w:cs="Times New Roman"/>
        </w:rPr>
        <w:t xml:space="preserve">, the </w:t>
      </w:r>
      <w:proofErr w:type="spellStart"/>
      <w:r w:rsidRPr="009549EF">
        <w:rPr>
          <w:rFonts w:eastAsia="Times New Roman" w:cs="Times New Roman"/>
        </w:rPr>
        <w:t>Wa</w:t>
      </w:r>
      <w:proofErr w:type="spellEnd"/>
      <w:r w:rsidRPr="009549EF">
        <w:rPr>
          <w:rFonts w:eastAsia="Times New Roman" w:cs="Times New Roman"/>
        </w:rPr>
        <w:t xml:space="preserve"> Municipality demonstrates considerable groundwater potential suitable for irrigated agriculture. The results provide a valuable decision-support tool for stakeholders and policymakers in promoting sustainable groundwater management. Furthermore, in areas identified with low groundwater potential, the implementation of recharge-enhancing interventions</w:t>
      </w:r>
      <w:r w:rsidRPr="00373915">
        <w:rPr>
          <w:rFonts w:eastAsia="Times New Roman" w:cs="Times New Roman"/>
        </w:rPr>
        <w:t xml:space="preserve"> </w:t>
      </w:r>
      <w:r w:rsidRPr="009549EF">
        <w:rPr>
          <w:rFonts w:eastAsia="Times New Roman" w:cs="Times New Roman"/>
        </w:rPr>
        <w:t>such as injection wells, fish ponds, and dugouts</w:t>
      </w:r>
      <w:r w:rsidRPr="00373915">
        <w:rPr>
          <w:rFonts w:eastAsia="Times New Roman" w:cs="Times New Roman"/>
        </w:rPr>
        <w:t xml:space="preserve"> </w:t>
      </w:r>
      <w:r w:rsidRPr="009549EF">
        <w:rPr>
          <w:rFonts w:eastAsia="Times New Roman" w:cs="Times New Roman"/>
        </w:rPr>
        <w:t>is recommended to support aquifer replenishment.</w:t>
      </w:r>
    </w:p>
    <w:bookmarkEnd w:id="4"/>
    <w:p w14:paraId="77637724" w14:textId="77777777" w:rsidR="00F02B09" w:rsidRPr="00D00F16" w:rsidRDefault="00F02B09" w:rsidP="006E0E57">
      <w:pPr>
        <w:spacing w:after="0" w:line="276" w:lineRule="auto"/>
        <w:ind w:left="0"/>
        <w:jc w:val="both"/>
        <w:rPr>
          <w:rFonts w:cs="Times New Roman"/>
        </w:rPr>
      </w:pPr>
    </w:p>
    <w:p w14:paraId="227B8106" w14:textId="3D4F25F1" w:rsidR="00EC3E09" w:rsidRPr="00D00F16" w:rsidRDefault="00F02B09" w:rsidP="006E0E57">
      <w:pPr>
        <w:spacing w:after="0" w:line="276" w:lineRule="auto"/>
        <w:ind w:left="0"/>
        <w:jc w:val="both"/>
        <w:rPr>
          <w:rFonts w:cs="Times New Roman"/>
        </w:rPr>
      </w:pPr>
      <w:r w:rsidRPr="003C6053">
        <w:rPr>
          <w:rFonts w:cs="Times New Roman"/>
          <w:b/>
          <w:bCs/>
        </w:rPr>
        <w:t>Keywords:</w:t>
      </w:r>
      <w:r w:rsidR="00B51A12" w:rsidRPr="00D00F16">
        <w:rPr>
          <w:rFonts w:cs="Times New Roman"/>
        </w:rPr>
        <w:t xml:space="preserve"> Groundwater</w:t>
      </w:r>
      <w:r w:rsidR="003C6053">
        <w:rPr>
          <w:rFonts w:cs="Times New Roman"/>
        </w:rPr>
        <w:t xml:space="preserve"> potential</w:t>
      </w:r>
      <w:r w:rsidR="00B51A12" w:rsidRPr="00D00F16">
        <w:rPr>
          <w:rFonts w:cs="Times New Roman"/>
        </w:rPr>
        <w:t xml:space="preserve">, </w:t>
      </w:r>
      <w:r w:rsidR="003C6053" w:rsidRPr="009549EF">
        <w:rPr>
          <w:rFonts w:eastAsia="Times New Roman" w:cs="Times New Roman"/>
        </w:rPr>
        <w:t>Analytic Hierarchy Process (AHP)</w:t>
      </w:r>
      <w:r w:rsidR="00B51A12" w:rsidRPr="00D00F16">
        <w:rPr>
          <w:rFonts w:cs="Times New Roman"/>
        </w:rPr>
        <w:t xml:space="preserve">, </w:t>
      </w:r>
      <w:r w:rsidR="00FA25A8" w:rsidRPr="00D00F16">
        <w:rPr>
          <w:rFonts w:cs="Times New Roman"/>
        </w:rPr>
        <w:t>Geolog</w:t>
      </w:r>
      <w:r w:rsidR="0032660A">
        <w:rPr>
          <w:rFonts w:cs="Times New Roman"/>
        </w:rPr>
        <w:t>y</w:t>
      </w:r>
      <w:r w:rsidR="00B51A12" w:rsidRPr="00D00F16">
        <w:rPr>
          <w:rFonts w:cs="Times New Roman"/>
        </w:rPr>
        <w:t xml:space="preserve">, Irrigation, </w:t>
      </w:r>
      <w:proofErr w:type="spellStart"/>
      <w:r w:rsidR="00B51A12" w:rsidRPr="00D00F16">
        <w:rPr>
          <w:rFonts w:cs="Times New Roman"/>
        </w:rPr>
        <w:t>Wa</w:t>
      </w:r>
      <w:proofErr w:type="spellEnd"/>
      <w:r w:rsidR="00B51A12" w:rsidRPr="00D00F16">
        <w:rPr>
          <w:rFonts w:cs="Times New Roman"/>
        </w:rPr>
        <w:t xml:space="preserve"> </w:t>
      </w:r>
      <w:r w:rsidR="003C6053">
        <w:rPr>
          <w:rFonts w:cs="Times New Roman"/>
        </w:rPr>
        <w:t>M</w:t>
      </w:r>
      <w:r w:rsidR="00B51A12" w:rsidRPr="00D00F16">
        <w:rPr>
          <w:rFonts w:cs="Times New Roman"/>
        </w:rPr>
        <w:t>unicipal</w:t>
      </w:r>
      <w:r w:rsidR="00EB260B" w:rsidRPr="00D00F16">
        <w:rPr>
          <w:rFonts w:cs="Times New Roman"/>
        </w:rPr>
        <w:t>ity</w:t>
      </w:r>
    </w:p>
    <w:bookmarkEnd w:id="0"/>
    <w:bookmarkEnd w:id="1"/>
    <w:p w14:paraId="5692443D" w14:textId="77777777" w:rsidR="00F734D6" w:rsidRDefault="00F734D6" w:rsidP="005C7CDA">
      <w:pPr>
        <w:spacing w:before="100" w:beforeAutospacing="1" w:after="0" w:line="240" w:lineRule="auto"/>
        <w:ind w:left="0"/>
        <w:jc w:val="both"/>
        <w:rPr>
          <w:rFonts w:eastAsia="Times New Roman" w:cs="Times New Roman"/>
          <w:b/>
          <w:bCs/>
        </w:rPr>
      </w:pPr>
    </w:p>
    <w:p w14:paraId="657C0AAC" w14:textId="77777777" w:rsidR="00F734D6" w:rsidRDefault="00F734D6" w:rsidP="005C7CDA">
      <w:pPr>
        <w:spacing w:before="100" w:beforeAutospacing="1" w:after="0" w:line="240" w:lineRule="auto"/>
        <w:ind w:left="0"/>
        <w:jc w:val="both"/>
        <w:rPr>
          <w:rFonts w:eastAsia="Times New Roman" w:cs="Times New Roman"/>
          <w:b/>
          <w:bCs/>
        </w:rPr>
      </w:pPr>
    </w:p>
    <w:p w14:paraId="6E3C5E14" w14:textId="77777777" w:rsidR="00F734D6" w:rsidRDefault="00F734D6" w:rsidP="005C7CDA">
      <w:pPr>
        <w:spacing w:before="100" w:beforeAutospacing="1" w:after="0" w:line="240" w:lineRule="auto"/>
        <w:ind w:left="0"/>
        <w:jc w:val="both"/>
        <w:rPr>
          <w:rFonts w:eastAsia="Times New Roman" w:cs="Times New Roman"/>
          <w:b/>
          <w:bCs/>
        </w:rPr>
      </w:pPr>
    </w:p>
    <w:p w14:paraId="7AF762B1" w14:textId="62B2538E" w:rsidR="000F7317" w:rsidRPr="000F7317" w:rsidRDefault="000F7317" w:rsidP="005C7CDA">
      <w:pPr>
        <w:spacing w:before="100" w:beforeAutospacing="1" w:after="0" w:line="240" w:lineRule="auto"/>
        <w:ind w:left="0"/>
        <w:jc w:val="both"/>
        <w:rPr>
          <w:rFonts w:eastAsia="Times New Roman" w:cs="Times New Roman"/>
          <w:b/>
          <w:bCs/>
        </w:rPr>
      </w:pPr>
      <w:r w:rsidRPr="000F7317">
        <w:rPr>
          <w:rFonts w:eastAsia="Times New Roman" w:cs="Times New Roman"/>
          <w:b/>
          <w:bCs/>
        </w:rPr>
        <w:t>INTRODUCTION</w:t>
      </w:r>
    </w:p>
    <w:p w14:paraId="7025B396" w14:textId="21CDE587"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The intensification of agricultural activities continues to parallel global population growth, resulting in an ever-increasing demand for water resources, particularly groundwater (Al-</w:t>
      </w:r>
      <w:proofErr w:type="spellStart"/>
      <w:r w:rsidRPr="000F7317">
        <w:rPr>
          <w:rFonts w:eastAsia="Times New Roman" w:cs="Times New Roman"/>
        </w:rPr>
        <w:t>Gburi</w:t>
      </w:r>
      <w:proofErr w:type="spellEnd"/>
      <w:r w:rsidRPr="000F7317">
        <w:rPr>
          <w:rFonts w:eastAsia="Times New Roman" w:cs="Times New Roman"/>
        </w:rPr>
        <w:t xml:space="preserve"> </w:t>
      </w:r>
      <w:r w:rsidR="00451C17">
        <w:rPr>
          <w:rFonts w:eastAsia="Times New Roman" w:cs="Times New Roman"/>
        </w:rPr>
        <w:t>and</w:t>
      </w:r>
      <w:r w:rsidRPr="000F7317">
        <w:rPr>
          <w:rFonts w:eastAsia="Times New Roman" w:cs="Times New Roman"/>
        </w:rPr>
        <w:t xml:space="preserve"> Al-Tamimi, 2020). Groundwater serves not only as a crucial source of irrigation water globally but also plays an essential role in providing potable water (</w:t>
      </w:r>
      <w:proofErr w:type="spellStart"/>
      <w:r w:rsidRPr="000F7317">
        <w:rPr>
          <w:rFonts w:eastAsia="Times New Roman" w:cs="Times New Roman"/>
        </w:rPr>
        <w:t>Mif</w:t>
      </w:r>
      <w:proofErr w:type="spellEnd"/>
      <w:r w:rsidRPr="000F7317">
        <w:rPr>
          <w:rFonts w:eastAsia="Times New Roman" w:cs="Times New Roman"/>
        </w:rPr>
        <w:t xml:space="preserve"> </w:t>
      </w:r>
      <w:r w:rsidRPr="000F7317">
        <w:rPr>
          <w:rFonts w:eastAsia="Times New Roman" w:cs="Times New Roman"/>
          <w:i/>
          <w:iCs/>
        </w:rPr>
        <w:t>et al.,</w:t>
      </w:r>
      <w:r w:rsidRPr="000F7317">
        <w:rPr>
          <w:rFonts w:eastAsia="Times New Roman" w:cs="Times New Roman"/>
        </w:rPr>
        <w:t xml:space="preserve"> 2021). The expansion of urban agriculture, driven by rural-to-urban migration and infrastructural development, now </w:t>
      </w:r>
      <w:r w:rsidRPr="000F7317">
        <w:rPr>
          <w:rFonts w:eastAsia="Times New Roman" w:cs="Times New Roman"/>
        </w:rPr>
        <w:lastRenderedPageBreak/>
        <w:t>competes for limited resources such as space and irrigation water (Addo, 2010). Although advancements in irrigation technologies and improved agricultural practices have decelerated the growth rate of agricultural water demand, the pressure on water resources remains high due to rapid population growth, urbanization, and climate change (Al-</w:t>
      </w:r>
      <w:proofErr w:type="spellStart"/>
      <w:r w:rsidRPr="000F7317">
        <w:rPr>
          <w:rFonts w:eastAsia="Times New Roman" w:cs="Times New Roman"/>
        </w:rPr>
        <w:t>Gburi</w:t>
      </w:r>
      <w:proofErr w:type="spellEnd"/>
      <w:r w:rsidRPr="000F7317">
        <w:rPr>
          <w:rFonts w:eastAsia="Times New Roman" w:cs="Times New Roman"/>
        </w:rPr>
        <w:t xml:space="preserve">, 2022; Oh </w:t>
      </w:r>
      <w:r w:rsidRPr="000F7317">
        <w:rPr>
          <w:rFonts w:eastAsia="Times New Roman" w:cs="Times New Roman"/>
          <w:i/>
          <w:iCs/>
        </w:rPr>
        <w:t>et al.,</w:t>
      </w:r>
      <w:r w:rsidRPr="000F7317">
        <w:rPr>
          <w:rFonts w:eastAsia="Times New Roman" w:cs="Times New Roman"/>
        </w:rPr>
        <w:t xml:space="preserve"> 2011).</w:t>
      </w:r>
    </w:p>
    <w:p w14:paraId="71677D45" w14:textId="77777777"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In recent years, groundwater demand has surged, driven by the combined forces of population expansion, agricultural intensification, industrial development, and sedimentation (Adongo </w:t>
      </w:r>
      <w:r w:rsidRPr="000F7317">
        <w:rPr>
          <w:rFonts w:eastAsia="Times New Roman" w:cs="Times New Roman"/>
          <w:i/>
          <w:iCs/>
        </w:rPr>
        <w:t>et al.,</w:t>
      </w:r>
      <w:r w:rsidRPr="000F7317">
        <w:rPr>
          <w:rFonts w:eastAsia="Times New Roman" w:cs="Times New Roman"/>
        </w:rPr>
        <w:t xml:space="preserve"> 2021; Chatterjee and Dutta, 2022; Ghosh </w:t>
      </w:r>
      <w:r w:rsidRPr="000F7317">
        <w:rPr>
          <w:rFonts w:eastAsia="Times New Roman" w:cs="Times New Roman"/>
          <w:i/>
          <w:iCs/>
        </w:rPr>
        <w:t>et al.,</w:t>
      </w:r>
      <w:r w:rsidRPr="000F7317">
        <w:rPr>
          <w:rFonts w:eastAsia="Times New Roman" w:cs="Times New Roman"/>
        </w:rPr>
        <w:t xml:space="preserve"> 2022). In Ghana, inadequate water resource management and environmental degradation have exacerbated water scarcity, leaving millions without access to safe and reliable water supplies (</w:t>
      </w:r>
      <w:proofErr w:type="spellStart"/>
      <w:r w:rsidRPr="000F7317">
        <w:rPr>
          <w:rFonts w:eastAsia="Times New Roman" w:cs="Times New Roman"/>
        </w:rPr>
        <w:t>Gyampo</w:t>
      </w:r>
      <w:proofErr w:type="spellEnd"/>
      <w:r w:rsidRPr="000F7317">
        <w:rPr>
          <w:rFonts w:eastAsia="Times New Roman" w:cs="Times New Roman"/>
        </w:rPr>
        <w:t xml:space="preserve"> </w:t>
      </w:r>
      <w:r w:rsidRPr="000F7317">
        <w:rPr>
          <w:rFonts w:eastAsia="Times New Roman" w:cs="Times New Roman"/>
          <w:i/>
          <w:iCs/>
        </w:rPr>
        <w:t>et al.,</w:t>
      </w:r>
      <w:r w:rsidRPr="000F7317">
        <w:rPr>
          <w:rFonts w:eastAsia="Times New Roman" w:cs="Times New Roman"/>
        </w:rPr>
        <w:t xml:space="preserve"> 2014). Specifically, in the Upper West Region, prolonged dry seasons result in the evaporation of many surface water bodies and dugouts. During these periods, groundwater becomes the sole source of water for both domestic and agricultural use.</w:t>
      </w:r>
    </w:p>
    <w:p w14:paraId="2A3DC2F8" w14:textId="61B66549"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Agriculture plays a critical role in the socioeconomic development of communities in the </w:t>
      </w:r>
      <w:proofErr w:type="spellStart"/>
      <w:r w:rsidRPr="000F7317">
        <w:rPr>
          <w:rFonts w:eastAsia="Times New Roman" w:cs="Times New Roman"/>
        </w:rPr>
        <w:t>Wa</w:t>
      </w:r>
      <w:proofErr w:type="spellEnd"/>
      <w:r w:rsidRPr="000F7317">
        <w:rPr>
          <w:rFonts w:eastAsia="Times New Roman" w:cs="Times New Roman"/>
        </w:rPr>
        <w:t xml:space="preserve"> Municipality, and optimizing available water resources</w:t>
      </w:r>
      <w:r w:rsidR="00712398">
        <w:rPr>
          <w:rFonts w:eastAsia="Times New Roman" w:cs="Times New Roman"/>
        </w:rPr>
        <w:t xml:space="preserve">, </w:t>
      </w:r>
      <w:r w:rsidRPr="000F7317">
        <w:rPr>
          <w:rFonts w:eastAsia="Times New Roman" w:cs="Times New Roman"/>
        </w:rPr>
        <w:t>especially groundwater</w:t>
      </w:r>
      <w:r w:rsidR="00712398">
        <w:rPr>
          <w:rFonts w:eastAsia="Times New Roman" w:cs="Times New Roman"/>
        </w:rPr>
        <w:t xml:space="preserve"> </w:t>
      </w:r>
      <w:r w:rsidRPr="000F7317">
        <w:rPr>
          <w:rFonts w:eastAsia="Times New Roman" w:cs="Times New Roman"/>
        </w:rPr>
        <w:t xml:space="preserve">is essential for improving food production (Abdul-Ganiyu and </w:t>
      </w:r>
      <w:proofErr w:type="spellStart"/>
      <w:r w:rsidRPr="000F7317">
        <w:rPr>
          <w:rFonts w:eastAsia="Times New Roman" w:cs="Times New Roman"/>
        </w:rPr>
        <w:t>Kpiebaya</w:t>
      </w:r>
      <w:proofErr w:type="spellEnd"/>
      <w:r w:rsidRPr="000F7317">
        <w:rPr>
          <w:rFonts w:eastAsia="Times New Roman" w:cs="Times New Roman"/>
        </w:rPr>
        <w:t xml:space="preserve">, 2020). However, groundwater exploration is resource-intensive, requiring significant technical and financial input (Kwami </w:t>
      </w:r>
      <w:r w:rsidRPr="000F7317">
        <w:rPr>
          <w:rFonts w:eastAsia="Times New Roman" w:cs="Times New Roman"/>
          <w:i/>
          <w:iCs/>
        </w:rPr>
        <w:t>et al.,</w:t>
      </w:r>
      <w:r w:rsidRPr="000F7317">
        <w:rPr>
          <w:rFonts w:eastAsia="Times New Roman" w:cs="Times New Roman"/>
        </w:rPr>
        <w:t xml:space="preserve"> 2019). Nevertheless, recent studies emphasize the strategic role of groundwater in mitigating food insecurity and supporting urban expansion (Zango </w:t>
      </w:r>
      <w:r w:rsidRPr="000F7317">
        <w:rPr>
          <w:rFonts w:eastAsia="Times New Roman" w:cs="Times New Roman"/>
          <w:i/>
          <w:iCs/>
        </w:rPr>
        <w:t>et al.,</w:t>
      </w:r>
      <w:r w:rsidRPr="000F7317">
        <w:rPr>
          <w:rFonts w:eastAsia="Times New Roman" w:cs="Times New Roman"/>
        </w:rPr>
        <w:t xml:space="preserve"> 2023). Moreover, industrial activities in the municipality, such as sachet water ("pure water") production, rely entirely on groundwater resources.</w:t>
      </w:r>
    </w:p>
    <w:p w14:paraId="1E6D6429" w14:textId="45FF8EE1"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Conducting comprehensive groundwater potential assessments is, therefore, a critical strategy for ensuring the sustainable use of groundwater across multiple sectors, particularly for irrigation (Bhadran </w:t>
      </w:r>
      <w:r w:rsidRPr="000F7317">
        <w:rPr>
          <w:rFonts w:eastAsia="Times New Roman" w:cs="Times New Roman"/>
          <w:i/>
          <w:iCs/>
        </w:rPr>
        <w:t>et al.</w:t>
      </w:r>
      <w:r w:rsidRPr="000F7317">
        <w:rPr>
          <w:rFonts w:eastAsia="Times New Roman" w:cs="Times New Roman"/>
        </w:rPr>
        <w:t>, 2022). Climate change-induced declines in crop yields have led to rising food prices and shortages, worsening food insecurity and income disparities, especially among rural populations. To sustain year-round agricultural production</w:t>
      </w:r>
      <w:r w:rsidR="00451C17">
        <w:rPr>
          <w:rFonts w:eastAsia="Times New Roman" w:cs="Times New Roman"/>
        </w:rPr>
        <w:t xml:space="preserve">, </w:t>
      </w:r>
      <w:r w:rsidRPr="000F7317">
        <w:rPr>
          <w:rFonts w:eastAsia="Times New Roman" w:cs="Times New Roman"/>
        </w:rPr>
        <w:t xml:space="preserve">particularly in semi-arid areas like the </w:t>
      </w:r>
      <w:proofErr w:type="spellStart"/>
      <w:r w:rsidRPr="000F7317">
        <w:rPr>
          <w:rFonts w:eastAsia="Times New Roman" w:cs="Times New Roman"/>
        </w:rPr>
        <w:t>Wa</w:t>
      </w:r>
      <w:proofErr w:type="spellEnd"/>
      <w:r w:rsidRPr="000F7317">
        <w:rPr>
          <w:rFonts w:eastAsia="Times New Roman" w:cs="Times New Roman"/>
        </w:rPr>
        <w:t xml:space="preserve"> Municipality, where rainfall is unpredictable</w:t>
      </w:r>
      <w:r w:rsidR="00451C17">
        <w:rPr>
          <w:rFonts w:eastAsia="Times New Roman" w:cs="Times New Roman"/>
        </w:rPr>
        <w:t xml:space="preserve">, </w:t>
      </w:r>
      <w:r w:rsidRPr="000F7317">
        <w:rPr>
          <w:rFonts w:eastAsia="Times New Roman" w:cs="Times New Roman"/>
        </w:rPr>
        <w:t>there is an urgent need to harness groundwater as a reliable irrigation source during the dry season.</w:t>
      </w:r>
    </w:p>
    <w:p w14:paraId="65A837FB" w14:textId="61F1A4E6" w:rsidR="000F7317" w:rsidRPr="000F7317" w:rsidRDefault="000F7317" w:rsidP="000F7317">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Despite its importance, there has been limited research on groundwater potential in the Upper West Region </w:t>
      </w:r>
      <w:r w:rsidR="00451C17">
        <w:rPr>
          <w:rFonts w:eastAsia="Times New Roman" w:cs="Times New Roman"/>
        </w:rPr>
        <w:t xml:space="preserve">of Ghana </w:t>
      </w:r>
      <w:r w:rsidRPr="000F7317">
        <w:rPr>
          <w:rFonts w:eastAsia="Times New Roman" w:cs="Times New Roman"/>
        </w:rPr>
        <w:t>using modern techniques such as remote sensing (RS), geographic information systems (GIS), and the Analytic Hierarchy Process (AHP). The misconception that groundwater is scarce in the region and is only viable for domestic purposes has contributed to its underutilization. However, with advancements in geospatial technologies, researchers globally have demonstrated the successful application of RS and GIS for groundwater prospecting across diverse geological settings.</w:t>
      </w:r>
    </w:p>
    <w:p w14:paraId="44B568EA" w14:textId="0CC682AE" w:rsidR="003E09C9" w:rsidRPr="007075B8" w:rsidRDefault="000F7317" w:rsidP="007075B8">
      <w:pPr>
        <w:spacing w:before="100" w:beforeAutospacing="1" w:after="100" w:afterAutospacing="1" w:line="240" w:lineRule="auto"/>
        <w:ind w:left="0"/>
        <w:jc w:val="both"/>
        <w:rPr>
          <w:rFonts w:eastAsia="Times New Roman" w:cs="Times New Roman"/>
        </w:rPr>
      </w:pPr>
      <w:r w:rsidRPr="000F7317">
        <w:rPr>
          <w:rFonts w:eastAsia="Times New Roman" w:cs="Times New Roman"/>
        </w:rPr>
        <w:t xml:space="preserve">Given the increasing demand for water resources and the growing pressure on cropland, particularly in arid and semi-arid regions, this study aims to delineate areas of groundwater potential within the </w:t>
      </w:r>
      <w:proofErr w:type="spellStart"/>
      <w:r w:rsidRPr="000F7317">
        <w:rPr>
          <w:rFonts w:eastAsia="Times New Roman" w:cs="Times New Roman"/>
        </w:rPr>
        <w:t>Wa</w:t>
      </w:r>
      <w:proofErr w:type="spellEnd"/>
      <w:r w:rsidRPr="000F7317">
        <w:rPr>
          <w:rFonts w:eastAsia="Times New Roman" w:cs="Times New Roman"/>
        </w:rPr>
        <w:t xml:space="preserve"> Municipality. The findings of this research will serve as a foundational reference for groundwater zoning in the region. This information can support government agencies, policymakers, and stakeholders in making informed decisions for the sustainable management and utilization of groundwater resources for both household and agricultural purposes.</w:t>
      </w:r>
      <w:r w:rsidR="007075B8">
        <w:rPr>
          <w:rFonts w:eastAsia="Times New Roman" w:cs="Times New Roman"/>
        </w:rPr>
        <w:t xml:space="preserve"> </w:t>
      </w:r>
      <w:r w:rsidRPr="009549EF">
        <w:rPr>
          <w:rFonts w:eastAsia="Times New Roman" w:cs="Times New Roman"/>
        </w:rPr>
        <w:t>Ultimately, this work contribute</w:t>
      </w:r>
      <w:r w:rsidR="00E66E64">
        <w:rPr>
          <w:rFonts w:eastAsia="Times New Roman" w:cs="Times New Roman"/>
        </w:rPr>
        <w:t>d</w:t>
      </w:r>
      <w:r w:rsidRPr="009549EF">
        <w:rPr>
          <w:rFonts w:eastAsia="Times New Roman" w:cs="Times New Roman"/>
        </w:rPr>
        <w:t xml:space="preserve"> toward</w:t>
      </w:r>
      <w:r w:rsidR="00E66E64">
        <w:rPr>
          <w:rFonts w:eastAsia="Times New Roman" w:cs="Times New Roman"/>
        </w:rPr>
        <w:t>s</w:t>
      </w:r>
      <w:r w:rsidRPr="009549EF">
        <w:rPr>
          <w:rFonts w:eastAsia="Times New Roman" w:cs="Times New Roman"/>
        </w:rPr>
        <w:t xml:space="preserve"> achieving several United Nations Sustainable Development Goals (SDGs), including eradicating poverty (SDG 1), ending hunger (SDG 2), promoting good health and well-being (SDG 3), ensuring access to clean water and sanitation (SDG 6), and fostering decent work and economic growth (SDG 8).</w:t>
      </w:r>
      <w:bookmarkStart w:id="6" w:name="_Hlk135099105"/>
    </w:p>
    <w:p w14:paraId="4FA81225" w14:textId="3AA061D9" w:rsidR="00FA64AC" w:rsidRDefault="00FA64AC" w:rsidP="00FA64AC">
      <w:pPr>
        <w:spacing w:after="0" w:line="240" w:lineRule="auto"/>
        <w:ind w:left="0"/>
        <w:rPr>
          <w:b/>
          <w:bCs/>
        </w:rPr>
      </w:pPr>
      <w:r w:rsidRPr="00FA64AC">
        <w:rPr>
          <w:b/>
          <w:bCs/>
        </w:rPr>
        <w:t>MATERIALS AND METHODS</w:t>
      </w:r>
    </w:p>
    <w:p w14:paraId="7A62C292" w14:textId="77777777" w:rsidR="00FA64AC" w:rsidRDefault="00FA64AC" w:rsidP="00FA64AC">
      <w:pPr>
        <w:spacing w:after="0" w:line="240" w:lineRule="auto"/>
        <w:ind w:left="0"/>
        <w:rPr>
          <w:b/>
          <w:bCs/>
        </w:rPr>
      </w:pPr>
    </w:p>
    <w:p w14:paraId="2F532501" w14:textId="354DCBD8" w:rsidR="00FA64AC" w:rsidRPr="00FA64AC" w:rsidRDefault="00FA64AC" w:rsidP="00FA64AC">
      <w:pPr>
        <w:spacing w:after="0" w:line="240" w:lineRule="auto"/>
        <w:ind w:left="0"/>
        <w:rPr>
          <w:b/>
          <w:bCs/>
        </w:rPr>
      </w:pPr>
      <w:r>
        <w:rPr>
          <w:b/>
          <w:bCs/>
        </w:rPr>
        <w:t>Study Area</w:t>
      </w:r>
      <w:r w:rsidR="00B06D07">
        <w:rPr>
          <w:b/>
          <w:bCs/>
        </w:rPr>
        <w:t xml:space="preserve"> </w:t>
      </w:r>
    </w:p>
    <w:p w14:paraId="4F8C3C7B" w14:textId="5F266F6D" w:rsidR="00B06D07" w:rsidRPr="00B06D07" w:rsidRDefault="00B06D07" w:rsidP="00B06D07">
      <w:pPr>
        <w:spacing w:before="100" w:beforeAutospacing="1" w:after="100" w:afterAutospacing="1" w:line="240" w:lineRule="auto"/>
        <w:ind w:left="0"/>
        <w:jc w:val="both"/>
        <w:rPr>
          <w:rFonts w:eastAsia="Times New Roman" w:cs="Times New Roman"/>
        </w:rPr>
      </w:pPr>
      <w:r w:rsidRPr="00B06D07">
        <w:rPr>
          <w:rFonts w:eastAsia="Times New Roman" w:cs="Times New Roman"/>
        </w:rPr>
        <w:t xml:space="preserve">The study was conducted in the </w:t>
      </w:r>
      <w:proofErr w:type="spellStart"/>
      <w:r w:rsidRPr="00B06D07">
        <w:rPr>
          <w:rFonts w:eastAsia="Times New Roman" w:cs="Times New Roman"/>
        </w:rPr>
        <w:t>Wa</w:t>
      </w:r>
      <w:proofErr w:type="spellEnd"/>
      <w:r w:rsidRPr="00B06D07">
        <w:rPr>
          <w:rFonts w:eastAsia="Times New Roman" w:cs="Times New Roman"/>
        </w:rPr>
        <w:t xml:space="preserve"> Municipality, located in the Upper West Region of Ghana</w:t>
      </w:r>
      <w:r w:rsidR="00391348">
        <w:rPr>
          <w:rFonts w:eastAsia="Times New Roman" w:cs="Times New Roman"/>
        </w:rPr>
        <w:t xml:space="preserve"> (Figure 1)</w:t>
      </w:r>
      <w:r w:rsidRPr="00B06D07">
        <w:rPr>
          <w:rFonts w:eastAsia="Times New Roman" w:cs="Times New Roman"/>
        </w:rPr>
        <w:t>. Geographically, the municipality lies in the southern part of the region, between latitudes 9°55′N and 10°25′N, and longitudes 1°10′W and 2°5′W. The total land area of the municipality is approximately 579 km², representing 8.3% of the regional landmass.</w:t>
      </w:r>
      <w:r>
        <w:rPr>
          <w:rFonts w:eastAsia="Times New Roman" w:cs="Times New Roman"/>
        </w:rPr>
        <w:t xml:space="preserve"> </w:t>
      </w:r>
      <w:proofErr w:type="spellStart"/>
      <w:r w:rsidRPr="00B06D07">
        <w:rPr>
          <w:rFonts w:eastAsia="Times New Roman" w:cs="Times New Roman"/>
        </w:rPr>
        <w:t>Wa</w:t>
      </w:r>
      <w:proofErr w:type="spellEnd"/>
      <w:r w:rsidRPr="00B06D07">
        <w:rPr>
          <w:rFonts w:eastAsia="Times New Roman" w:cs="Times New Roman"/>
        </w:rPr>
        <w:t xml:space="preserve"> Municipality is bordered by </w:t>
      </w:r>
      <w:proofErr w:type="spellStart"/>
      <w:r w:rsidRPr="00B06D07">
        <w:rPr>
          <w:rFonts w:eastAsia="Times New Roman" w:cs="Times New Roman"/>
        </w:rPr>
        <w:t>Wa</w:t>
      </w:r>
      <w:proofErr w:type="spellEnd"/>
      <w:r w:rsidRPr="00B06D07">
        <w:rPr>
          <w:rFonts w:eastAsia="Times New Roman" w:cs="Times New Roman"/>
        </w:rPr>
        <w:t xml:space="preserve"> West District to the west and southwest, </w:t>
      </w:r>
      <w:proofErr w:type="spellStart"/>
      <w:r w:rsidRPr="00B06D07">
        <w:rPr>
          <w:rFonts w:eastAsia="Times New Roman" w:cs="Times New Roman"/>
        </w:rPr>
        <w:t>Nadowli</w:t>
      </w:r>
      <w:proofErr w:type="spellEnd"/>
      <w:r w:rsidRPr="00B06D07">
        <w:rPr>
          <w:rFonts w:eastAsia="Times New Roman" w:cs="Times New Roman"/>
        </w:rPr>
        <w:t xml:space="preserve">-Kaleo District to the north, and </w:t>
      </w:r>
      <w:proofErr w:type="spellStart"/>
      <w:r w:rsidRPr="00B06D07">
        <w:rPr>
          <w:rFonts w:eastAsia="Times New Roman" w:cs="Times New Roman"/>
        </w:rPr>
        <w:t>Wa</w:t>
      </w:r>
      <w:proofErr w:type="spellEnd"/>
      <w:r w:rsidRPr="00B06D07">
        <w:rPr>
          <w:rFonts w:eastAsia="Times New Roman" w:cs="Times New Roman"/>
        </w:rPr>
        <w:t xml:space="preserve"> East District to the east. The area experiences a mono-modal rainfall pattern, with average annual rainfall ranging between 832 mm and 1,142 mm. A significant proportion of rainfall in urban zones is lost as surface runoff, with minimal infiltration to recharge the underlying aquifers (Carrier </w:t>
      </w:r>
      <w:r w:rsidRPr="00B06D07">
        <w:rPr>
          <w:rFonts w:eastAsia="Times New Roman" w:cs="Times New Roman"/>
          <w:i/>
          <w:iCs/>
        </w:rPr>
        <w:t>et al.,</w:t>
      </w:r>
      <w:r w:rsidRPr="00B06D07">
        <w:rPr>
          <w:rFonts w:eastAsia="Times New Roman" w:cs="Times New Roman"/>
        </w:rPr>
        <w:t xml:space="preserve"> 2008). The municipality has a predominantly dry climate, with the dry season peaking in March and April, when temperatures are highest. The coolest months are December and January, although daytime temperatures can still reach up to 42 °C.</w:t>
      </w:r>
    </w:p>
    <w:p w14:paraId="5D417715" w14:textId="2A528153" w:rsidR="00B06D07" w:rsidRPr="00B06D07" w:rsidRDefault="00B06D07" w:rsidP="00B06D07">
      <w:pPr>
        <w:spacing w:before="100" w:beforeAutospacing="1" w:after="100" w:afterAutospacing="1" w:line="240" w:lineRule="auto"/>
        <w:ind w:left="0"/>
        <w:jc w:val="both"/>
        <w:rPr>
          <w:rFonts w:eastAsia="Times New Roman" w:cs="Times New Roman"/>
        </w:rPr>
      </w:pPr>
      <w:r w:rsidRPr="00B06D07">
        <w:rPr>
          <w:rFonts w:eastAsia="Times New Roman" w:cs="Times New Roman"/>
        </w:rPr>
        <w:t>Topographically, the municipality features gently undulating terrain, with elevations ranging from 248 to 369 meters above sea level. The lower elevation zones form valleys, which act as natural catchments for rainwater and serve as potential recharge zones for groundwater aquifers. However, the Sing-</w:t>
      </w:r>
      <w:proofErr w:type="spellStart"/>
      <w:r w:rsidRPr="00B06D07">
        <w:rPr>
          <w:rFonts w:eastAsia="Times New Roman" w:cs="Times New Roman"/>
        </w:rPr>
        <w:t>Bakpong</w:t>
      </w:r>
      <w:proofErr w:type="spellEnd"/>
      <w:r w:rsidRPr="00B06D07">
        <w:rPr>
          <w:rFonts w:eastAsia="Times New Roman" w:cs="Times New Roman"/>
        </w:rPr>
        <w:t xml:space="preserve"> and Billi streams, along with their tributaries, typically dry up during the extended dry season, reducing surface water availability for irrigation and domestic use.</w:t>
      </w:r>
      <w:r>
        <w:rPr>
          <w:rFonts w:eastAsia="Times New Roman" w:cs="Times New Roman"/>
        </w:rPr>
        <w:t xml:space="preserve"> </w:t>
      </w:r>
      <w:r w:rsidRPr="00B06D07">
        <w:rPr>
          <w:rFonts w:eastAsia="Times New Roman" w:cs="Times New Roman"/>
        </w:rPr>
        <w:t xml:space="preserve">Geologically, the area is underlain primarily by the </w:t>
      </w:r>
      <w:proofErr w:type="spellStart"/>
      <w:r w:rsidRPr="00B06D07">
        <w:rPr>
          <w:rFonts w:eastAsia="Times New Roman" w:cs="Times New Roman"/>
        </w:rPr>
        <w:t>Birimian</w:t>
      </w:r>
      <w:proofErr w:type="spellEnd"/>
      <w:r w:rsidRPr="00B06D07">
        <w:rPr>
          <w:rFonts w:eastAsia="Times New Roman" w:cs="Times New Roman"/>
        </w:rPr>
        <w:t xml:space="preserve"> Supergroup and intrusive granitoids, both of which influence groundwater occurrence and yield. The municipality falls within the Guinea Savannah ecological zone, characterized by short grasses, shrubs, and economically important tree species such as shea (</w:t>
      </w:r>
      <w:r w:rsidRPr="00B06D07">
        <w:rPr>
          <w:rFonts w:eastAsia="Times New Roman" w:cs="Times New Roman"/>
          <w:i/>
          <w:iCs/>
        </w:rPr>
        <w:t>Vitellaria paradoxa</w:t>
      </w:r>
      <w:r w:rsidRPr="00B06D07">
        <w:rPr>
          <w:rFonts w:eastAsia="Times New Roman" w:cs="Times New Roman"/>
        </w:rPr>
        <w:t xml:space="preserve">), </w:t>
      </w:r>
      <w:proofErr w:type="spellStart"/>
      <w:r w:rsidRPr="00B06D07">
        <w:rPr>
          <w:rFonts w:eastAsia="Times New Roman" w:cs="Times New Roman"/>
        </w:rPr>
        <w:t>dawadawa</w:t>
      </w:r>
      <w:proofErr w:type="spellEnd"/>
      <w:r w:rsidRPr="00B06D07">
        <w:rPr>
          <w:rFonts w:eastAsia="Times New Roman" w:cs="Times New Roman"/>
        </w:rPr>
        <w:t xml:space="preserve"> (</w:t>
      </w:r>
      <w:r w:rsidRPr="00B06D07">
        <w:rPr>
          <w:rFonts w:eastAsia="Times New Roman" w:cs="Times New Roman"/>
          <w:i/>
          <w:iCs/>
        </w:rPr>
        <w:t xml:space="preserve">Parkia </w:t>
      </w:r>
      <w:proofErr w:type="spellStart"/>
      <w:r w:rsidRPr="00B06D07">
        <w:rPr>
          <w:rFonts w:eastAsia="Times New Roman" w:cs="Times New Roman"/>
          <w:i/>
          <w:iCs/>
        </w:rPr>
        <w:t>biglobosa</w:t>
      </w:r>
      <w:proofErr w:type="spellEnd"/>
      <w:r w:rsidRPr="00B06D07">
        <w:rPr>
          <w:rFonts w:eastAsia="Times New Roman" w:cs="Times New Roman"/>
        </w:rPr>
        <w:t>), and baobab (</w:t>
      </w:r>
      <w:r w:rsidRPr="00B06D07">
        <w:rPr>
          <w:rFonts w:eastAsia="Times New Roman" w:cs="Times New Roman"/>
          <w:i/>
          <w:iCs/>
        </w:rPr>
        <w:t>Adansonia digitata</w:t>
      </w:r>
      <w:r w:rsidRPr="00B06D07">
        <w:rPr>
          <w:rFonts w:eastAsia="Times New Roman" w:cs="Times New Roman"/>
        </w:rPr>
        <w:t>). However, overgrazing by livestock, frequent bushfires during the dry season, and indiscriminate tree felling have contributed to increased surface runoff, erosion (both wind and water), and soil degradation.</w:t>
      </w:r>
    </w:p>
    <w:p w14:paraId="25F0006E" w14:textId="5D1F3299" w:rsidR="00B06D07" w:rsidRPr="00B06D07" w:rsidRDefault="00B06D07" w:rsidP="00B06D07">
      <w:pPr>
        <w:spacing w:before="100" w:beforeAutospacing="1" w:after="100" w:afterAutospacing="1" w:line="240" w:lineRule="auto"/>
        <w:ind w:left="0"/>
        <w:jc w:val="both"/>
        <w:rPr>
          <w:rFonts w:eastAsia="Times New Roman" w:cs="Times New Roman"/>
        </w:rPr>
      </w:pPr>
      <w:r w:rsidRPr="00B06D07">
        <w:rPr>
          <w:rFonts w:eastAsia="Times New Roman" w:cs="Times New Roman"/>
        </w:rPr>
        <w:t xml:space="preserve">The predominant soil types in the area are Ferric </w:t>
      </w:r>
      <w:proofErr w:type="spellStart"/>
      <w:r w:rsidRPr="00B06D07">
        <w:rPr>
          <w:rFonts w:eastAsia="Times New Roman" w:cs="Times New Roman"/>
        </w:rPr>
        <w:t>Luvisols</w:t>
      </w:r>
      <w:proofErr w:type="spellEnd"/>
      <w:r w:rsidRPr="00B06D07">
        <w:rPr>
          <w:rFonts w:eastAsia="Times New Roman" w:cs="Times New Roman"/>
        </w:rPr>
        <w:t xml:space="preserve"> and Lithosols, which, though moderately fertile, are suitable for cultivating cereal and root crops, especially with the application of manure and fertilizers. Agriculture remains the principal source of livelihood for the local population, with common crops including cowpea, maize, guinea corn, millet, yam, rice, and soybeans.</w:t>
      </w:r>
      <w:r w:rsidR="00B13DE2">
        <w:rPr>
          <w:rFonts w:eastAsia="Times New Roman" w:cs="Times New Roman"/>
        </w:rPr>
        <w:t xml:space="preserve"> </w:t>
      </w:r>
      <w:r w:rsidRPr="00B06D07">
        <w:rPr>
          <w:rFonts w:eastAsia="Times New Roman" w:cs="Times New Roman"/>
        </w:rPr>
        <w:t>Water supply in the municipality is managed exclusively by the Ghana Water Company Limited (GWCL). The municipal water system relies on groundwater extraction from 24 boreholes, which collectively produce an average of 55,000 m³ of water per month</w:t>
      </w:r>
      <w:r w:rsidR="00B13DE2">
        <w:rPr>
          <w:rFonts w:eastAsia="Times New Roman" w:cs="Times New Roman"/>
        </w:rPr>
        <w:t xml:space="preserve"> (</w:t>
      </w:r>
      <w:hyperlink r:id="rId8" w:history="1">
        <w:r w:rsidR="00B13DE2" w:rsidRPr="00C55C54">
          <w:rPr>
            <w:rStyle w:val="Hyperlink"/>
            <w:rFonts w:eastAsia="Times New Roman" w:cs="Times New Roman"/>
          </w:rPr>
          <w:t>https://www.gwcl.com.gh/upper-west</w:t>
        </w:r>
      </w:hyperlink>
      <w:r w:rsidR="0054643A">
        <w:rPr>
          <w:rFonts w:eastAsia="Times New Roman" w:cs="Times New Roman"/>
        </w:rPr>
        <w:t>, 2023</w:t>
      </w:r>
      <w:r w:rsidR="00B13DE2">
        <w:rPr>
          <w:rFonts w:eastAsia="Times New Roman" w:cs="Times New Roman"/>
        </w:rPr>
        <w:t xml:space="preserve">). </w:t>
      </w:r>
    </w:p>
    <w:p w14:paraId="21672B67" w14:textId="5CD4CC50" w:rsidR="003E09C9" w:rsidRPr="00D00F16" w:rsidRDefault="003E09C9" w:rsidP="00B13DE2">
      <w:pPr>
        <w:keepNext/>
        <w:spacing w:after="0" w:line="240" w:lineRule="auto"/>
        <w:ind w:left="0"/>
        <w:jc w:val="both"/>
        <w:rPr>
          <w:rFonts w:cs="Times New Roman"/>
        </w:rPr>
      </w:pPr>
      <w:r w:rsidRPr="00D00F16">
        <w:rPr>
          <w:rFonts w:cs="Times New Roman"/>
          <w:noProof/>
        </w:rPr>
        <w:drawing>
          <wp:inline distT="0" distB="0" distL="0" distR="0" wp14:anchorId="17A989B8" wp14:editId="3906459C">
            <wp:extent cx="6253256" cy="4046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3256" cy="4046224"/>
                    </a:xfrm>
                    <a:prstGeom prst="rect">
                      <a:avLst/>
                    </a:prstGeom>
                  </pic:spPr>
                </pic:pic>
              </a:graphicData>
            </a:graphic>
          </wp:inline>
        </w:drawing>
      </w:r>
    </w:p>
    <w:p w14:paraId="0DF8DFA5" w14:textId="464E175A"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7" w:name="_Toc138777749"/>
      <w:r w:rsidRPr="00F94BD6">
        <w:rPr>
          <w:rFonts w:cs="Times New Roman"/>
          <w:b/>
          <w:bCs/>
          <w:i w:val="0"/>
          <w:iCs w:val="0"/>
          <w:color w:val="auto"/>
          <w:sz w:val="24"/>
          <w:szCs w:val="24"/>
        </w:rPr>
        <w:t>Fi</w:t>
      </w:r>
      <w:r w:rsidR="00F94BD6" w:rsidRPr="00F94BD6">
        <w:rPr>
          <w:rFonts w:cs="Times New Roman"/>
          <w:b/>
          <w:bCs/>
          <w:i w:val="0"/>
          <w:iCs w:val="0"/>
          <w:color w:val="auto"/>
          <w:sz w:val="24"/>
          <w:szCs w:val="24"/>
        </w:rPr>
        <w:t>gure</w:t>
      </w:r>
      <w:r w:rsidRPr="00F94BD6">
        <w:rPr>
          <w:rFonts w:cs="Times New Roman"/>
          <w:b/>
          <w:bCs/>
          <w:i w:val="0"/>
          <w:iCs w:val="0"/>
          <w:color w:val="auto"/>
          <w:sz w:val="24"/>
          <w:szCs w:val="24"/>
        </w:rPr>
        <w:t xml:space="preserve"> </w:t>
      </w:r>
      <w:r w:rsidRPr="00F94BD6">
        <w:rPr>
          <w:rFonts w:cs="Times New Roman"/>
          <w:b/>
          <w:bCs/>
          <w:i w:val="0"/>
          <w:iCs w:val="0"/>
          <w:color w:val="auto"/>
          <w:sz w:val="24"/>
          <w:szCs w:val="24"/>
        </w:rPr>
        <w:fldChar w:fldCharType="begin"/>
      </w:r>
      <w:r w:rsidRPr="00F94BD6">
        <w:rPr>
          <w:rFonts w:cs="Times New Roman"/>
          <w:b/>
          <w:bCs/>
          <w:i w:val="0"/>
          <w:iCs w:val="0"/>
          <w:color w:val="auto"/>
          <w:sz w:val="24"/>
          <w:szCs w:val="24"/>
        </w:rPr>
        <w:instrText xml:space="preserve"> SEQ Figure \* ARABIC </w:instrText>
      </w:r>
      <w:r w:rsidRPr="00F94BD6">
        <w:rPr>
          <w:rFonts w:cs="Times New Roman"/>
          <w:b/>
          <w:bCs/>
          <w:i w:val="0"/>
          <w:iCs w:val="0"/>
          <w:color w:val="auto"/>
          <w:sz w:val="24"/>
          <w:szCs w:val="24"/>
        </w:rPr>
        <w:fldChar w:fldCharType="separate"/>
      </w:r>
      <w:r w:rsidR="007D53C4">
        <w:rPr>
          <w:rFonts w:cs="Times New Roman"/>
          <w:b/>
          <w:bCs/>
          <w:i w:val="0"/>
          <w:iCs w:val="0"/>
          <w:noProof/>
          <w:color w:val="auto"/>
          <w:sz w:val="24"/>
          <w:szCs w:val="24"/>
        </w:rPr>
        <w:t>1</w:t>
      </w:r>
      <w:r w:rsidRPr="00F94BD6">
        <w:rPr>
          <w:rFonts w:cs="Times New Roman"/>
          <w:b/>
          <w:bCs/>
          <w:i w:val="0"/>
          <w:iCs w:val="0"/>
          <w:color w:val="auto"/>
          <w:sz w:val="24"/>
          <w:szCs w:val="24"/>
        </w:rPr>
        <w:fldChar w:fldCharType="end"/>
      </w:r>
      <w:r w:rsidR="00F94BD6" w:rsidRPr="00F94BD6">
        <w:rPr>
          <w:rFonts w:cs="Times New Roman"/>
          <w:b/>
          <w:bCs/>
          <w:i w:val="0"/>
          <w:iCs w:val="0"/>
          <w:color w:val="auto"/>
          <w:sz w:val="24"/>
          <w:szCs w:val="24"/>
        </w:rPr>
        <w:t>:</w:t>
      </w:r>
      <w:r w:rsidRPr="00D00F16">
        <w:rPr>
          <w:rFonts w:cs="Times New Roman"/>
          <w:i w:val="0"/>
          <w:iCs w:val="0"/>
          <w:color w:val="auto"/>
          <w:sz w:val="24"/>
          <w:szCs w:val="24"/>
        </w:rPr>
        <w:t xml:space="preserve"> </w:t>
      </w:r>
      <w:r w:rsidR="001906E3" w:rsidRPr="00D00F16">
        <w:rPr>
          <w:rFonts w:cs="Times New Roman"/>
          <w:i w:val="0"/>
          <w:iCs w:val="0"/>
          <w:color w:val="auto"/>
          <w:sz w:val="24"/>
          <w:szCs w:val="24"/>
        </w:rPr>
        <w:t xml:space="preserve">Geographical </w:t>
      </w:r>
      <w:r w:rsidR="00F94BD6">
        <w:rPr>
          <w:rFonts w:cs="Times New Roman"/>
          <w:i w:val="0"/>
          <w:iCs w:val="0"/>
          <w:color w:val="auto"/>
          <w:sz w:val="24"/>
          <w:szCs w:val="24"/>
        </w:rPr>
        <w:t>L</w:t>
      </w:r>
      <w:r w:rsidR="001906E3" w:rsidRPr="00D00F16">
        <w:rPr>
          <w:rFonts w:cs="Times New Roman"/>
          <w:i w:val="0"/>
          <w:iCs w:val="0"/>
          <w:color w:val="auto"/>
          <w:sz w:val="24"/>
          <w:szCs w:val="24"/>
        </w:rPr>
        <w:t xml:space="preserve">ocation </w:t>
      </w:r>
      <w:bookmarkEnd w:id="7"/>
      <w:r w:rsidR="00911F09" w:rsidRPr="00D00F16">
        <w:rPr>
          <w:rFonts w:cs="Times New Roman"/>
          <w:i w:val="0"/>
          <w:iCs w:val="0"/>
          <w:color w:val="auto"/>
          <w:sz w:val="24"/>
          <w:szCs w:val="24"/>
        </w:rPr>
        <w:t xml:space="preserve">of the </w:t>
      </w:r>
      <w:proofErr w:type="spellStart"/>
      <w:r w:rsidR="00911F09" w:rsidRPr="00D00F16">
        <w:rPr>
          <w:rFonts w:cs="Times New Roman"/>
          <w:i w:val="0"/>
          <w:iCs w:val="0"/>
          <w:color w:val="auto"/>
          <w:sz w:val="24"/>
          <w:szCs w:val="24"/>
        </w:rPr>
        <w:t>Wa</w:t>
      </w:r>
      <w:proofErr w:type="spellEnd"/>
      <w:r w:rsidR="00911F09" w:rsidRPr="00D00F16">
        <w:rPr>
          <w:rFonts w:cs="Times New Roman"/>
          <w:i w:val="0"/>
          <w:iCs w:val="0"/>
          <w:color w:val="auto"/>
          <w:sz w:val="24"/>
          <w:szCs w:val="24"/>
        </w:rPr>
        <w:t xml:space="preserve"> </w:t>
      </w:r>
      <w:r w:rsidR="00F94BD6">
        <w:rPr>
          <w:rFonts w:cs="Times New Roman"/>
          <w:i w:val="0"/>
          <w:iCs w:val="0"/>
          <w:color w:val="auto"/>
          <w:sz w:val="24"/>
          <w:szCs w:val="24"/>
        </w:rPr>
        <w:t>M</w:t>
      </w:r>
      <w:r w:rsidR="00911F09" w:rsidRPr="00D00F16">
        <w:rPr>
          <w:rFonts w:cs="Times New Roman"/>
          <w:i w:val="0"/>
          <w:iCs w:val="0"/>
          <w:color w:val="auto"/>
          <w:sz w:val="24"/>
          <w:szCs w:val="24"/>
        </w:rPr>
        <w:t>unicipality</w:t>
      </w:r>
    </w:p>
    <w:p w14:paraId="1FA86C86" w14:textId="77777777" w:rsidR="003E09C9" w:rsidRPr="00D00F16" w:rsidRDefault="003E09C9" w:rsidP="006E0E57">
      <w:pPr>
        <w:spacing w:after="0" w:line="276" w:lineRule="auto"/>
        <w:ind w:left="0"/>
        <w:jc w:val="both"/>
        <w:rPr>
          <w:rFonts w:cs="Times New Roman"/>
        </w:rPr>
      </w:pPr>
    </w:p>
    <w:p w14:paraId="073B9102" w14:textId="77777777" w:rsidR="00F968C7" w:rsidRDefault="0091349C" w:rsidP="00F968C7">
      <w:pPr>
        <w:spacing w:after="0" w:line="240" w:lineRule="auto"/>
        <w:ind w:left="0"/>
        <w:rPr>
          <w:b/>
          <w:bCs/>
        </w:rPr>
      </w:pPr>
      <w:r w:rsidRPr="0091349C">
        <w:rPr>
          <w:b/>
          <w:bCs/>
        </w:rPr>
        <w:t xml:space="preserve">Data </w:t>
      </w:r>
      <w:proofErr w:type="spellStart"/>
      <w:r w:rsidRPr="0091349C">
        <w:rPr>
          <w:b/>
          <w:bCs/>
        </w:rPr>
        <w:t>Acqisition</w:t>
      </w:r>
      <w:proofErr w:type="spellEnd"/>
    </w:p>
    <w:p w14:paraId="470465E9" w14:textId="6C1A725E" w:rsidR="00F968C7" w:rsidRDefault="00F968C7" w:rsidP="00F968C7">
      <w:pPr>
        <w:spacing w:after="0" w:line="240" w:lineRule="auto"/>
        <w:ind w:left="0"/>
        <w:jc w:val="both"/>
        <w:rPr>
          <w:b/>
          <w:bCs/>
        </w:rPr>
      </w:pPr>
      <w:r w:rsidRPr="00F968C7">
        <w:rPr>
          <w:rFonts w:eastAsia="Times New Roman" w:cs="Times New Roman"/>
        </w:rPr>
        <w:t xml:space="preserve">To assess groundwater potential in the </w:t>
      </w:r>
      <w:proofErr w:type="spellStart"/>
      <w:r w:rsidRPr="00F968C7">
        <w:rPr>
          <w:rFonts w:eastAsia="Times New Roman" w:cs="Times New Roman"/>
        </w:rPr>
        <w:t>Wa</w:t>
      </w:r>
      <w:proofErr w:type="spellEnd"/>
      <w:r w:rsidRPr="00F968C7">
        <w:rPr>
          <w:rFonts w:eastAsia="Times New Roman" w:cs="Times New Roman"/>
        </w:rPr>
        <w:t xml:space="preserve"> Municipality, various geospatial and thematic datasets were acquired from reputable sources. These datasets were processed and analyzed using Geographic Information Systems (GIS) techniques. The thematic layers were selected based on their relevance and influence on groundwater occurrence, including topography, geology, soil, </w:t>
      </w:r>
      <w:proofErr w:type="spellStart"/>
      <w:r w:rsidRPr="00F968C7">
        <w:rPr>
          <w:rFonts w:eastAsia="Times New Roman" w:cs="Times New Roman"/>
        </w:rPr>
        <w:t>landuse</w:t>
      </w:r>
      <w:proofErr w:type="spellEnd"/>
      <w:r w:rsidRPr="00F968C7">
        <w:rPr>
          <w:rFonts w:eastAsia="Times New Roman" w:cs="Times New Roman"/>
        </w:rPr>
        <w:t>/landcover, rainfall, and hydrological features. All datasets were resampled to a uniform spatial resolution of 30 meters to ensure consistency during overlay analysis. Details of the data sources and their applications are presented in Table 1.</w:t>
      </w:r>
    </w:p>
    <w:p w14:paraId="36A27733" w14:textId="77777777" w:rsidR="00F968C7" w:rsidRPr="00F968C7" w:rsidRDefault="00F968C7" w:rsidP="00F968C7">
      <w:pPr>
        <w:spacing w:after="0" w:line="240" w:lineRule="auto"/>
        <w:ind w:left="0"/>
        <w:jc w:val="both"/>
        <w:rPr>
          <w:b/>
          <w:bCs/>
        </w:rPr>
      </w:pPr>
    </w:p>
    <w:p w14:paraId="1AAB6A55" w14:textId="2611A054" w:rsidR="003E09C9" w:rsidRPr="00D00F16" w:rsidRDefault="003E09C9" w:rsidP="006E0E57">
      <w:pPr>
        <w:pStyle w:val="Caption"/>
        <w:keepNext/>
        <w:spacing w:after="0" w:line="276" w:lineRule="auto"/>
        <w:ind w:left="0"/>
        <w:rPr>
          <w:rFonts w:cs="Times New Roman"/>
          <w:i w:val="0"/>
          <w:iCs w:val="0"/>
          <w:color w:val="auto"/>
          <w:sz w:val="24"/>
          <w:szCs w:val="24"/>
        </w:rPr>
      </w:pPr>
      <w:bookmarkStart w:id="8" w:name="_Toc138764720"/>
      <w:r w:rsidRPr="00CE1D47">
        <w:rPr>
          <w:rFonts w:cs="Times New Roman"/>
          <w:b/>
          <w:bCs/>
          <w:i w:val="0"/>
          <w:iCs w:val="0"/>
          <w:color w:val="auto"/>
          <w:sz w:val="24"/>
          <w:szCs w:val="24"/>
        </w:rPr>
        <w:t xml:space="preserve">Table </w:t>
      </w:r>
      <w:r w:rsidRPr="00CE1D47">
        <w:rPr>
          <w:rFonts w:cs="Times New Roman"/>
          <w:b/>
          <w:bCs/>
          <w:i w:val="0"/>
          <w:iCs w:val="0"/>
          <w:color w:val="auto"/>
          <w:sz w:val="24"/>
          <w:szCs w:val="24"/>
        </w:rPr>
        <w:fldChar w:fldCharType="begin"/>
      </w:r>
      <w:r w:rsidRPr="00CE1D47">
        <w:rPr>
          <w:rFonts w:cs="Times New Roman"/>
          <w:b/>
          <w:bCs/>
          <w:i w:val="0"/>
          <w:iCs w:val="0"/>
          <w:color w:val="auto"/>
          <w:sz w:val="24"/>
          <w:szCs w:val="24"/>
        </w:rPr>
        <w:instrText xml:space="preserve"> SEQ Table \* ARABIC </w:instrText>
      </w:r>
      <w:r w:rsidRPr="00CE1D47">
        <w:rPr>
          <w:rFonts w:cs="Times New Roman"/>
          <w:b/>
          <w:bCs/>
          <w:i w:val="0"/>
          <w:iCs w:val="0"/>
          <w:color w:val="auto"/>
          <w:sz w:val="24"/>
          <w:szCs w:val="24"/>
        </w:rPr>
        <w:fldChar w:fldCharType="separate"/>
      </w:r>
      <w:r w:rsidR="007D53C4">
        <w:rPr>
          <w:rFonts w:cs="Times New Roman"/>
          <w:b/>
          <w:bCs/>
          <w:i w:val="0"/>
          <w:iCs w:val="0"/>
          <w:noProof/>
          <w:color w:val="auto"/>
          <w:sz w:val="24"/>
          <w:szCs w:val="24"/>
        </w:rPr>
        <w:t>1</w:t>
      </w:r>
      <w:r w:rsidRPr="00CE1D47">
        <w:rPr>
          <w:rFonts w:cs="Times New Roman"/>
          <w:b/>
          <w:bCs/>
          <w:i w:val="0"/>
          <w:iCs w:val="0"/>
          <w:color w:val="auto"/>
          <w:sz w:val="24"/>
          <w:szCs w:val="24"/>
        </w:rPr>
        <w:fldChar w:fldCharType="end"/>
      </w:r>
      <w:bookmarkEnd w:id="8"/>
      <w:r w:rsidR="00CE1D47">
        <w:rPr>
          <w:rFonts w:cs="Times New Roman"/>
          <w:i w:val="0"/>
          <w:iCs w:val="0"/>
          <w:color w:val="auto"/>
          <w:sz w:val="24"/>
          <w:szCs w:val="24"/>
        </w:rPr>
        <w:t>:</w:t>
      </w:r>
      <w:r w:rsidR="00CE1D47" w:rsidRPr="00CE1D47">
        <w:rPr>
          <w:rFonts w:cs="Times New Roman"/>
          <w:i w:val="0"/>
          <w:iCs w:val="0"/>
          <w:color w:val="auto"/>
          <w:sz w:val="24"/>
          <w:szCs w:val="24"/>
        </w:rPr>
        <w:t xml:space="preserve"> Data Sources and Thematic Layers Used</w:t>
      </w:r>
    </w:p>
    <w:tbl>
      <w:tblPr>
        <w:tblStyle w:val="TableGrid"/>
        <w:tblW w:w="946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3150"/>
        <w:gridCol w:w="1890"/>
        <w:gridCol w:w="2610"/>
      </w:tblGrid>
      <w:tr w:rsidR="00D00F16" w:rsidRPr="00D00F16" w14:paraId="795AB3EE" w14:textId="77777777" w:rsidTr="00B00CB8">
        <w:trPr>
          <w:trHeight w:val="260"/>
        </w:trPr>
        <w:tc>
          <w:tcPr>
            <w:tcW w:w="1818" w:type="dxa"/>
            <w:tcBorders>
              <w:top w:val="single" w:sz="4" w:space="0" w:color="auto"/>
              <w:bottom w:val="single" w:sz="4" w:space="0" w:color="auto"/>
            </w:tcBorders>
          </w:tcPr>
          <w:p w14:paraId="3D1B119A" w14:textId="77777777" w:rsidR="00D00F16" w:rsidRPr="00D00F16" w:rsidRDefault="00D00F16" w:rsidP="00CA4C49">
            <w:pPr>
              <w:spacing w:line="240" w:lineRule="auto"/>
              <w:ind w:left="0"/>
              <w:rPr>
                <w:sz w:val="24"/>
                <w:szCs w:val="24"/>
              </w:rPr>
            </w:pPr>
            <w:r w:rsidRPr="00D00F16">
              <w:rPr>
                <w:sz w:val="24"/>
                <w:szCs w:val="24"/>
              </w:rPr>
              <w:t>Data</w:t>
            </w:r>
          </w:p>
        </w:tc>
        <w:tc>
          <w:tcPr>
            <w:tcW w:w="3150" w:type="dxa"/>
            <w:tcBorders>
              <w:top w:val="single" w:sz="4" w:space="0" w:color="auto"/>
              <w:bottom w:val="single" w:sz="4" w:space="0" w:color="auto"/>
            </w:tcBorders>
          </w:tcPr>
          <w:p w14:paraId="527F08CD" w14:textId="77777777" w:rsidR="00D00F16" w:rsidRPr="00D00F16" w:rsidRDefault="00D00F16" w:rsidP="00CA4C49">
            <w:pPr>
              <w:spacing w:line="240" w:lineRule="auto"/>
              <w:ind w:left="0"/>
              <w:rPr>
                <w:sz w:val="24"/>
                <w:szCs w:val="24"/>
              </w:rPr>
            </w:pPr>
            <w:r w:rsidRPr="00D00F16">
              <w:rPr>
                <w:sz w:val="24"/>
                <w:szCs w:val="24"/>
              </w:rPr>
              <w:t>Data Source</w:t>
            </w:r>
          </w:p>
        </w:tc>
        <w:tc>
          <w:tcPr>
            <w:tcW w:w="1890" w:type="dxa"/>
            <w:tcBorders>
              <w:top w:val="single" w:sz="4" w:space="0" w:color="auto"/>
              <w:bottom w:val="single" w:sz="4" w:space="0" w:color="auto"/>
            </w:tcBorders>
          </w:tcPr>
          <w:p w14:paraId="0CA0FDE0" w14:textId="4AF7E894" w:rsidR="00D00F16" w:rsidRPr="00D00F16" w:rsidRDefault="00D00F16" w:rsidP="00CA4C49">
            <w:pPr>
              <w:spacing w:line="240" w:lineRule="auto"/>
              <w:ind w:left="0"/>
              <w:rPr>
                <w:sz w:val="24"/>
                <w:szCs w:val="24"/>
              </w:rPr>
            </w:pPr>
            <w:r w:rsidRPr="00D00F16">
              <w:rPr>
                <w:sz w:val="24"/>
                <w:szCs w:val="24"/>
              </w:rPr>
              <w:t>Resolution (m)</w:t>
            </w:r>
          </w:p>
        </w:tc>
        <w:tc>
          <w:tcPr>
            <w:tcW w:w="2610" w:type="dxa"/>
            <w:tcBorders>
              <w:top w:val="single" w:sz="4" w:space="0" w:color="auto"/>
              <w:bottom w:val="single" w:sz="4" w:space="0" w:color="auto"/>
            </w:tcBorders>
          </w:tcPr>
          <w:p w14:paraId="6E8181BA" w14:textId="098A5E32" w:rsidR="00D00F16" w:rsidRPr="00D00F16" w:rsidRDefault="00B00CB8" w:rsidP="00CA4C49">
            <w:pPr>
              <w:spacing w:line="240" w:lineRule="auto"/>
              <w:ind w:left="0"/>
              <w:rPr>
                <w:sz w:val="24"/>
                <w:szCs w:val="24"/>
              </w:rPr>
            </w:pPr>
            <w:r>
              <w:rPr>
                <w:sz w:val="24"/>
                <w:szCs w:val="24"/>
              </w:rPr>
              <w:t xml:space="preserve">Derived </w:t>
            </w:r>
            <w:r w:rsidR="00D00F16" w:rsidRPr="00D00F16">
              <w:rPr>
                <w:sz w:val="24"/>
                <w:szCs w:val="24"/>
              </w:rPr>
              <w:t xml:space="preserve">Thematic </w:t>
            </w:r>
            <w:r>
              <w:rPr>
                <w:sz w:val="24"/>
                <w:szCs w:val="24"/>
              </w:rPr>
              <w:t>M</w:t>
            </w:r>
            <w:r w:rsidR="00D00F16" w:rsidRPr="00D00F16">
              <w:rPr>
                <w:sz w:val="24"/>
                <w:szCs w:val="24"/>
              </w:rPr>
              <w:t>ap</w:t>
            </w:r>
            <w:r>
              <w:rPr>
                <w:sz w:val="24"/>
                <w:szCs w:val="24"/>
              </w:rPr>
              <w:t>s</w:t>
            </w:r>
          </w:p>
        </w:tc>
      </w:tr>
      <w:tr w:rsidR="00D00F16" w:rsidRPr="00D00F16" w14:paraId="72A063FA" w14:textId="77777777" w:rsidTr="00B00CB8">
        <w:trPr>
          <w:trHeight w:val="203"/>
        </w:trPr>
        <w:tc>
          <w:tcPr>
            <w:tcW w:w="1818" w:type="dxa"/>
            <w:tcBorders>
              <w:top w:val="single" w:sz="4" w:space="0" w:color="auto"/>
            </w:tcBorders>
          </w:tcPr>
          <w:p w14:paraId="27B598F0" w14:textId="77777777" w:rsidR="00D00F16" w:rsidRPr="00D00F16" w:rsidRDefault="00D00F16" w:rsidP="00CA4C49">
            <w:pPr>
              <w:spacing w:line="240" w:lineRule="auto"/>
              <w:ind w:left="0"/>
              <w:rPr>
                <w:sz w:val="24"/>
                <w:szCs w:val="24"/>
              </w:rPr>
            </w:pPr>
            <w:r w:rsidRPr="00D00F16">
              <w:rPr>
                <w:sz w:val="24"/>
                <w:szCs w:val="24"/>
              </w:rPr>
              <w:t>Digital Elevation Model</w:t>
            </w:r>
          </w:p>
        </w:tc>
        <w:tc>
          <w:tcPr>
            <w:tcW w:w="3150" w:type="dxa"/>
            <w:tcBorders>
              <w:top w:val="single" w:sz="4" w:space="0" w:color="auto"/>
            </w:tcBorders>
          </w:tcPr>
          <w:p w14:paraId="7CB9032E" w14:textId="4456CD56" w:rsidR="00D00F16" w:rsidRPr="00BE10E9" w:rsidRDefault="00B00CB8" w:rsidP="00CA4C49">
            <w:pPr>
              <w:autoSpaceDE w:val="0"/>
              <w:autoSpaceDN w:val="0"/>
              <w:adjustRightInd w:val="0"/>
              <w:spacing w:line="240" w:lineRule="auto"/>
              <w:ind w:left="0"/>
              <w:rPr>
                <w:rFonts w:eastAsia="TimesNewRomanPSMT"/>
                <w:color w:val="000000" w:themeColor="text1"/>
                <w:sz w:val="24"/>
                <w:szCs w:val="24"/>
              </w:rPr>
            </w:pPr>
            <w:hyperlink r:id="rId10" w:history="1">
              <w:r w:rsidRPr="008522BD">
                <w:rPr>
                  <w:rFonts w:eastAsia="Times New Roman"/>
                  <w:color w:val="000000" w:themeColor="text1"/>
                  <w:sz w:val="24"/>
                  <w:szCs w:val="24"/>
                </w:rPr>
                <w:t>USGS Earth Explorer</w:t>
              </w:r>
            </w:hyperlink>
            <w:r w:rsidRPr="00BE10E9">
              <w:rPr>
                <w:rFonts w:eastAsia="Times New Roman"/>
                <w:color w:val="000000" w:themeColor="text1"/>
                <w:sz w:val="24"/>
                <w:szCs w:val="24"/>
              </w:rPr>
              <w:t xml:space="preserve"> (</w:t>
            </w:r>
            <w:hyperlink r:id="rId11" w:history="1">
              <w:r w:rsidRPr="00BE10E9">
                <w:rPr>
                  <w:rStyle w:val="Hyperlink"/>
                  <w:rFonts w:eastAsia="TimesNewRomanPSMT"/>
                  <w:color w:val="000000" w:themeColor="text1"/>
                  <w:u w:val="none"/>
                </w:rPr>
                <w:t>www.usgs.earthexplorer.gov</w:t>
              </w:r>
            </w:hyperlink>
            <w:r w:rsidRPr="00BE10E9">
              <w:rPr>
                <w:rFonts w:eastAsia="TimesNewRomanPSMT"/>
                <w:color w:val="000000" w:themeColor="text1"/>
              </w:rPr>
              <w:t>)</w:t>
            </w:r>
          </w:p>
          <w:p w14:paraId="60BBED4D" w14:textId="77777777" w:rsidR="00D00F16" w:rsidRPr="00BE10E9" w:rsidRDefault="00D00F16" w:rsidP="00CA4C49">
            <w:pPr>
              <w:spacing w:line="240" w:lineRule="auto"/>
              <w:ind w:left="0"/>
              <w:rPr>
                <w:color w:val="000000" w:themeColor="text1"/>
                <w:sz w:val="24"/>
                <w:szCs w:val="24"/>
              </w:rPr>
            </w:pPr>
          </w:p>
        </w:tc>
        <w:tc>
          <w:tcPr>
            <w:tcW w:w="1890" w:type="dxa"/>
            <w:tcBorders>
              <w:top w:val="single" w:sz="4" w:space="0" w:color="auto"/>
            </w:tcBorders>
          </w:tcPr>
          <w:p w14:paraId="62018D54" w14:textId="650C3BDB" w:rsidR="00D00F16" w:rsidRPr="00D00F16" w:rsidRDefault="00D00F16" w:rsidP="00CA4C49">
            <w:pPr>
              <w:spacing w:line="240" w:lineRule="auto"/>
              <w:ind w:left="0"/>
              <w:rPr>
                <w:sz w:val="24"/>
                <w:szCs w:val="24"/>
              </w:rPr>
            </w:pPr>
            <w:r w:rsidRPr="00D00F16">
              <w:rPr>
                <w:sz w:val="24"/>
                <w:szCs w:val="24"/>
              </w:rPr>
              <w:t>30 x 30</w:t>
            </w:r>
          </w:p>
        </w:tc>
        <w:tc>
          <w:tcPr>
            <w:tcW w:w="2610" w:type="dxa"/>
            <w:tcBorders>
              <w:top w:val="single" w:sz="4" w:space="0" w:color="auto"/>
            </w:tcBorders>
          </w:tcPr>
          <w:p w14:paraId="758B0DE1" w14:textId="08E89157" w:rsidR="00D00F16" w:rsidRPr="00D00F16" w:rsidRDefault="00D00F16" w:rsidP="00CA4C49">
            <w:pPr>
              <w:spacing w:line="240" w:lineRule="auto"/>
              <w:ind w:left="0"/>
              <w:rPr>
                <w:sz w:val="24"/>
                <w:szCs w:val="24"/>
              </w:rPr>
            </w:pPr>
            <w:r w:rsidRPr="00D00F16">
              <w:rPr>
                <w:sz w:val="24"/>
                <w:szCs w:val="24"/>
              </w:rPr>
              <w:t>Slope</w:t>
            </w:r>
            <w:r w:rsidR="00B00CB8">
              <w:rPr>
                <w:sz w:val="24"/>
                <w:szCs w:val="24"/>
              </w:rPr>
              <w:t xml:space="preserve">, </w:t>
            </w:r>
            <w:r w:rsidRPr="00D00F16">
              <w:rPr>
                <w:sz w:val="24"/>
                <w:szCs w:val="24"/>
              </w:rPr>
              <w:t>Drainage density</w:t>
            </w:r>
            <w:r w:rsidR="00B00CB8">
              <w:rPr>
                <w:sz w:val="24"/>
                <w:szCs w:val="24"/>
              </w:rPr>
              <w:t xml:space="preserve">, </w:t>
            </w:r>
            <w:r w:rsidRPr="00D00F16">
              <w:rPr>
                <w:sz w:val="24"/>
                <w:szCs w:val="24"/>
              </w:rPr>
              <w:t>Lineament density</w:t>
            </w:r>
            <w:r w:rsidR="00B00CB8">
              <w:rPr>
                <w:sz w:val="24"/>
                <w:szCs w:val="24"/>
              </w:rPr>
              <w:t xml:space="preserve">, </w:t>
            </w:r>
            <w:r w:rsidRPr="00D00F16">
              <w:rPr>
                <w:sz w:val="24"/>
                <w:szCs w:val="24"/>
              </w:rPr>
              <w:t>Elevation</w:t>
            </w:r>
            <w:r w:rsidR="00B00CB8">
              <w:rPr>
                <w:sz w:val="24"/>
                <w:szCs w:val="24"/>
              </w:rPr>
              <w:t xml:space="preserve">, </w:t>
            </w:r>
            <w:r w:rsidRPr="00D00F16">
              <w:rPr>
                <w:sz w:val="24"/>
                <w:szCs w:val="24"/>
              </w:rPr>
              <w:t xml:space="preserve">TWI </w:t>
            </w:r>
          </w:p>
        </w:tc>
      </w:tr>
      <w:tr w:rsidR="00D00F16" w:rsidRPr="00D00F16" w14:paraId="6B8EF9E9" w14:textId="77777777" w:rsidTr="00BE10E9">
        <w:trPr>
          <w:trHeight w:val="378"/>
        </w:trPr>
        <w:tc>
          <w:tcPr>
            <w:tcW w:w="1818" w:type="dxa"/>
          </w:tcPr>
          <w:p w14:paraId="0E2855C0" w14:textId="4DF35128" w:rsidR="00D00F16" w:rsidRPr="00D00F16" w:rsidRDefault="00D00F16" w:rsidP="00CA4C49">
            <w:pPr>
              <w:spacing w:line="240" w:lineRule="auto"/>
              <w:ind w:left="0"/>
              <w:rPr>
                <w:sz w:val="24"/>
                <w:szCs w:val="24"/>
              </w:rPr>
            </w:pPr>
            <w:r w:rsidRPr="00D00F16">
              <w:rPr>
                <w:sz w:val="24"/>
                <w:szCs w:val="24"/>
              </w:rPr>
              <w:t xml:space="preserve">Geological </w:t>
            </w:r>
            <w:r w:rsidR="00B00CB8">
              <w:rPr>
                <w:sz w:val="24"/>
                <w:szCs w:val="24"/>
              </w:rPr>
              <w:t>S</w:t>
            </w:r>
            <w:r w:rsidRPr="00D00F16">
              <w:rPr>
                <w:sz w:val="24"/>
                <w:szCs w:val="24"/>
              </w:rPr>
              <w:t>hapefile</w:t>
            </w:r>
          </w:p>
        </w:tc>
        <w:tc>
          <w:tcPr>
            <w:tcW w:w="3150" w:type="dxa"/>
          </w:tcPr>
          <w:p w14:paraId="3C6E57D4" w14:textId="324C0D75" w:rsidR="00D00F16" w:rsidRPr="00BE10E9" w:rsidRDefault="00D00F16" w:rsidP="00CA4C49">
            <w:pPr>
              <w:spacing w:line="240" w:lineRule="auto"/>
              <w:ind w:left="0"/>
              <w:rPr>
                <w:color w:val="000000" w:themeColor="text1"/>
                <w:sz w:val="24"/>
                <w:szCs w:val="24"/>
              </w:rPr>
            </w:pPr>
            <w:r w:rsidRPr="00BE10E9">
              <w:rPr>
                <w:color w:val="000000" w:themeColor="text1"/>
                <w:sz w:val="24"/>
                <w:szCs w:val="24"/>
              </w:rPr>
              <w:t xml:space="preserve">Ghana </w:t>
            </w:r>
            <w:r w:rsidR="00B00CB8" w:rsidRPr="00BE10E9">
              <w:rPr>
                <w:color w:val="000000" w:themeColor="text1"/>
                <w:sz w:val="24"/>
                <w:szCs w:val="24"/>
              </w:rPr>
              <w:t>G</w:t>
            </w:r>
            <w:r w:rsidRPr="00BE10E9">
              <w:rPr>
                <w:color w:val="000000" w:themeColor="text1"/>
                <w:sz w:val="24"/>
                <w:szCs w:val="24"/>
              </w:rPr>
              <w:t xml:space="preserve">eological </w:t>
            </w:r>
            <w:r w:rsidR="00B00CB8" w:rsidRPr="00BE10E9">
              <w:rPr>
                <w:color w:val="000000" w:themeColor="text1"/>
                <w:sz w:val="24"/>
                <w:szCs w:val="24"/>
              </w:rPr>
              <w:t>S</w:t>
            </w:r>
            <w:r w:rsidRPr="00BE10E9">
              <w:rPr>
                <w:color w:val="000000" w:themeColor="text1"/>
                <w:sz w:val="24"/>
                <w:szCs w:val="24"/>
              </w:rPr>
              <w:t>urvey</w:t>
            </w:r>
            <w:r w:rsidR="00B00CB8" w:rsidRPr="00BE10E9">
              <w:rPr>
                <w:color w:val="000000" w:themeColor="text1"/>
                <w:sz w:val="24"/>
                <w:szCs w:val="24"/>
              </w:rPr>
              <w:t xml:space="preserve"> </w:t>
            </w:r>
          </w:p>
        </w:tc>
        <w:tc>
          <w:tcPr>
            <w:tcW w:w="1890" w:type="dxa"/>
          </w:tcPr>
          <w:p w14:paraId="0A731E3F" w14:textId="64A3039D"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702C38E1" w14:textId="7097CBD2" w:rsidR="00D00F16" w:rsidRPr="00D00F16" w:rsidRDefault="00D00F16" w:rsidP="00CA4C49">
            <w:pPr>
              <w:spacing w:line="240" w:lineRule="auto"/>
              <w:ind w:left="0"/>
              <w:rPr>
                <w:sz w:val="24"/>
                <w:szCs w:val="24"/>
              </w:rPr>
            </w:pPr>
            <w:r w:rsidRPr="00D00F16">
              <w:rPr>
                <w:sz w:val="24"/>
                <w:szCs w:val="24"/>
              </w:rPr>
              <w:t xml:space="preserve">Lithology </w:t>
            </w:r>
          </w:p>
        </w:tc>
      </w:tr>
      <w:tr w:rsidR="00D00F16" w:rsidRPr="00D00F16" w14:paraId="6305AD0F" w14:textId="77777777" w:rsidTr="00B00CB8">
        <w:trPr>
          <w:trHeight w:val="488"/>
        </w:trPr>
        <w:tc>
          <w:tcPr>
            <w:tcW w:w="1818" w:type="dxa"/>
          </w:tcPr>
          <w:p w14:paraId="67164851" w14:textId="77777777" w:rsidR="00D00F16" w:rsidRPr="00D00F16" w:rsidRDefault="00D00F16" w:rsidP="00CA4C49">
            <w:pPr>
              <w:spacing w:line="240" w:lineRule="auto"/>
              <w:ind w:left="0"/>
              <w:rPr>
                <w:sz w:val="24"/>
                <w:szCs w:val="24"/>
              </w:rPr>
            </w:pPr>
            <w:r w:rsidRPr="00D00F16">
              <w:rPr>
                <w:sz w:val="24"/>
                <w:szCs w:val="24"/>
              </w:rPr>
              <w:t xml:space="preserve">Rainfall </w:t>
            </w:r>
          </w:p>
        </w:tc>
        <w:tc>
          <w:tcPr>
            <w:tcW w:w="3150" w:type="dxa"/>
          </w:tcPr>
          <w:p w14:paraId="5CE14230" w14:textId="24FCF87A" w:rsidR="00D00F16" w:rsidRPr="00BE10E9" w:rsidRDefault="00B00CB8" w:rsidP="00CA4C49">
            <w:pPr>
              <w:spacing w:line="240" w:lineRule="auto"/>
              <w:ind w:left="0"/>
              <w:rPr>
                <w:color w:val="000000" w:themeColor="text1"/>
                <w:sz w:val="24"/>
                <w:szCs w:val="24"/>
              </w:rPr>
            </w:pPr>
            <w:hyperlink r:id="rId12" w:history="1">
              <w:r w:rsidRPr="008522BD">
                <w:rPr>
                  <w:rFonts w:eastAsia="Times New Roman"/>
                  <w:color w:val="000000" w:themeColor="text1"/>
                  <w:sz w:val="24"/>
                  <w:szCs w:val="24"/>
                </w:rPr>
                <w:t>NASA POWER</w:t>
              </w:r>
            </w:hyperlink>
            <w:r w:rsidRPr="00BE10E9">
              <w:rPr>
                <w:rFonts w:eastAsia="Times New Roman"/>
                <w:color w:val="000000" w:themeColor="text1"/>
                <w:sz w:val="24"/>
                <w:szCs w:val="24"/>
              </w:rPr>
              <w:t xml:space="preserve"> (</w:t>
            </w:r>
            <w:hyperlink r:id="rId13" w:history="1">
              <w:r w:rsidRPr="00BE10E9">
                <w:rPr>
                  <w:rStyle w:val="Hyperlink"/>
                  <w:color w:val="000000" w:themeColor="text1"/>
                  <w:u w:val="none"/>
                </w:rPr>
                <w:t>www.power.larc.nasa.gov</w:t>
              </w:r>
            </w:hyperlink>
            <w:r w:rsidRPr="00BE10E9">
              <w:rPr>
                <w:color w:val="000000" w:themeColor="text1"/>
              </w:rPr>
              <w:t>)</w:t>
            </w:r>
          </w:p>
        </w:tc>
        <w:tc>
          <w:tcPr>
            <w:tcW w:w="1890" w:type="dxa"/>
          </w:tcPr>
          <w:p w14:paraId="4C997F64" w14:textId="799217D3"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48B50174" w14:textId="7D5BFA2D" w:rsidR="00D00F16" w:rsidRPr="00D00F16" w:rsidRDefault="00D00F16" w:rsidP="00CA4C49">
            <w:pPr>
              <w:spacing w:line="240" w:lineRule="auto"/>
              <w:ind w:left="0"/>
              <w:rPr>
                <w:sz w:val="24"/>
                <w:szCs w:val="24"/>
              </w:rPr>
            </w:pPr>
            <w:r w:rsidRPr="00D00F16">
              <w:rPr>
                <w:sz w:val="24"/>
                <w:szCs w:val="24"/>
              </w:rPr>
              <w:t>Rainfall</w:t>
            </w:r>
          </w:p>
        </w:tc>
      </w:tr>
      <w:tr w:rsidR="00D00F16" w:rsidRPr="00D00F16" w14:paraId="4DB78760" w14:textId="77777777" w:rsidTr="00B00CB8">
        <w:trPr>
          <w:trHeight w:val="450"/>
        </w:trPr>
        <w:tc>
          <w:tcPr>
            <w:tcW w:w="1818" w:type="dxa"/>
          </w:tcPr>
          <w:p w14:paraId="6BCD0432" w14:textId="6F27AE7F" w:rsidR="00D00F16" w:rsidRPr="00D00F16" w:rsidRDefault="00D00F16" w:rsidP="00CA4C49">
            <w:pPr>
              <w:spacing w:line="240" w:lineRule="auto"/>
              <w:ind w:left="0"/>
              <w:rPr>
                <w:sz w:val="24"/>
                <w:szCs w:val="24"/>
              </w:rPr>
            </w:pPr>
            <w:r w:rsidRPr="00D00F16">
              <w:rPr>
                <w:sz w:val="24"/>
                <w:szCs w:val="24"/>
              </w:rPr>
              <w:t>Landsat 8 OLI</w:t>
            </w:r>
            <w:r w:rsidR="00B00CB8">
              <w:rPr>
                <w:sz w:val="24"/>
                <w:szCs w:val="24"/>
              </w:rPr>
              <w:t xml:space="preserve"> Imagery</w:t>
            </w:r>
          </w:p>
        </w:tc>
        <w:tc>
          <w:tcPr>
            <w:tcW w:w="3150" w:type="dxa"/>
          </w:tcPr>
          <w:p w14:paraId="3326D3A6" w14:textId="13B7A0EB" w:rsidR="00D00F16" w:rsidRPr="00BE10E9" w:rsidRDefault="00B00CB8" w:rsidP="00CA4C49">
            <w:pPr>
              <w:autoSpaceDE w:val="0"/>
              <w:autoSpaceDN w:val="0"/>
              <w:adjustRightInd w:val="0"/>
              <w:spacing w:line="240" w:lineRule="auto"/>
              <w:ind w:left="0"/>
              <w:rPr>
                <w:color w:val="000000" w:themeColor="text1"/>
                <w:sz w:val="24"/>
                <w:szCs w:val="24"/>
              </w:rPr>
            </w:pPr>
            <w:hyperlink r:id="rId14" w:history="1">
              <w:r w:rsidRPr="008522BD">
                <w:rPr>
                  <w:rFonts w:eastAsia="Times New Roman"/>
                  <w:color w:val="000000" w:themeColor="text1"/>
                  <w:sz w:val="24"/>
                  <w:szCs w:val="24"/>
                </w:rPr>
                <w:t>USGS Earth Explorer</w:t>
              </w:r>
            </w:hyperlink>
            <w:r w:rsidRPr="00BE10E9">
              <w:rPr>
                <w:rFonts w:eastAsia="Times New Roman"/>
                <w:color w:val="000000" w:themeColor="text1"/>
                <w:sz w:val="24"/>
                <w:szCs w:val="24"/>
              </w:rPr>
              <w:t xml:space="preserve"> (</w:t>
            </w:r>
            <w:hyperlink r:id="rId15" w:history="1">
              <w:r w:rsidRPr="00BE10E9">
                <w:rPr>
                  <w:rStyle w:val="Hyperlink"/>
                  <w:rFonts w:eastAsia="TimesNewRomanPSMT"/>
                  <w:color w:val="000000" w:themeColor="text1"/>
                  <w:u w:val="none"/>
                </w:rPr>
                <w:t>www.usgs.earthexplorer.gov</w:t>
              </w:r>
            </w:hyperlink>
            <w:r w:rsidRPr="00BE10E9">
              <w:rPr>
                <w:rFonts w:eastAsia="TimesNewRomanPSMT"/>
                <w:color w:val="000000" w:themeColor="text1"/>
              </w:rPr>
              <w:t>)</w:t>
            </w:r>
          </w:p>
        </w:tc>
        <w:tc>
          <w:tcPr>
            <w:tcW w:w="1890" w:type="dxa"/>
          </w:tcPr>
          <w:p w14:paraId="4F5B2B5C" w14:textId="4AFB564F"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739246EA" w14:textId="2990D565" w:rsidR="00D00F16" w:rsidRPr="00D00F16" w:rsidRDefault="00D00F16" w:rsidP="00CA4C49">
            <w:pPr>
              <w:spacing w:line="240" w:lineRule="auto"/>
              <w:ind w:left="0"/>
              <w:rPr>
                <w:sz w:val="24"/>
                <w:szCs w:val="24"/>
              </w:rPr>
            </w:pPr>
            <w:proofErr w:type="spellStart"/>
            <w:r w:rsidRPr="00D00F16">
              <w:rPr>
                <w:sz w:val="24"/>
                <w:szCs w:val="24"/>
              </w:rPr>
              <w:t>Landuse</w:t>
            </w:r>
            <w:proofErr w:type="spellEnd"/>
            <w:r w:rsidRPr="00D00F16">
              <w:rPr>
                <w:sz w:val="24"/>
                <w:szCs w:val="24"/>
              </w:rPr>
              <w:t xml:space="preserve"> and Landcover </w:t>
            </w:r>
          </w:p>
        </w:tc>
      </w:tr>
      <w:tr w:rsidR="00D00F16" w:rsidRPr="00D00F16" w14:paraId="11E6DECD" w14:textId="77777777" w:rsidTr="00B00CB8">
        <w:trPr>
          <w:trHeight w:val="1170"/>
        </w:trPr>
        <w:tc>
          <w:tcPr>
            <w:tcW w:w="1818" w:type="dxa"/>
          </w:tcPr>
          <w:p w14:paraId="14D15E32" w14:textId="3B3526C5" w:rsidR="00D00F16" w:rsidRPr="00D00F16" w:rsidRDefault="00D00F16" w:rsidP="00CA4C49">
            <w:pPr>
              <w:spacing w:line="240" w:lineRule="auto"/>
              <w:ind w:left="0"/>
              <w:rPr>
                <w:sz w:val="24"/>
                <w:szCs w:val="24"/>
              </w:rPr>
            </w:pPr>
            <w:r w:rsidRPr="00D00F16">
              <w:rPr>
                <w:sz w:val="24"/>
                <w:szCs w:val="24"/>
              </w:rPr>
              <w:t xml:space="preserve">Soil </w:t>
            </w:r>
            <w:r w:rsidR="00DE3FF4">
              <w:rPr>
                <w:sz w:val="24"/>
                <w:szCs w:val="24"/>
              </w:rPr>
              <w:t>S</w:t>
            </w:r>
            <w:r w:rsidRPr="00D00F16">
              <w:rPr>
                <w:sz w:val="24"/>
                <w:szCs w:val="24"/>
              </w:rPr>
              <w:t>hapefile</w:t>
            </w:r>
          </w:p>
        </w:tc>
        <w:tc>
          <w:tcPr>
            <w:tcW w:w="3150" w:type="dxa"/>
          </w:tcPr>
          <w:p w14:paraId="7F250DC1" w14:textId="092FF319" w:rsidR="00D00F16" w:rsidRPr="00BE10E9" w:rsidRDefault="00B00CB8" w:rsidP="00CA4C49">
            <w:pPr>
              <w:autoSpaceDE w:val="0"/>
              <w:autoSpaceDN w:val="0"/>
              <w:adjustRightInd w:val="0"/>
              <w:spacing w:line="240" w:lineRule="auto"/>
              <w:ind w:left="0"/>
              <w:rPr>
                <w:color w:val="000000" w:themeColor="text1"/>
                <w:sz w:val="24"/>
                <w:szCs w:val="24"/>
              </w:rPr>
            </w:pPr>
            <w:r w:rsidRPr="008522BD">
              <w:rPr>
                <w:rFonts w:eastAsia="Times New Roman"/>
                <w:color w:val="000000" w:themeColor="text1"/>
                <w:sz w:val="24"/>
                <w:szCs w:val="24"/>
              </w:rPr>
              <w:t>International Soil Reference and Information Centre (ISRIC</w:t>
            </w:r>
            <w:r w:rsidRPr="00BE10E9">
              <w:rPr>
                <w:rFonts w:eastAsia="Times New Roman"/>
                <w:color w:val="000000" w:themeColor="text1"/>
                <w:sz w:val="24"/>
                <w:szCs w:val="24"/>
              </w:rPr>
              <w:t>, 2011</w:t>
            </w:r>
            <w:r w:rsidRPr="008522BD">
              <w:rPr>
                <w:rFonts w:eastAsia="Times New Roman"/>
                <w:color w:val="000000" w:themeColor="text1"/>
                <w:sz w:val="24"/>
                <w:szCs w:val="24"/>
              </w:rPr>
              <w:t>)</w:t>
            </w:r>
            <w:r w:rsidRPr="00BE10E9">
              <w:rPr>
                <w:rFonts w:eastAsia="TimesNewRomanPSMT"/>
                <w:color w:val="000000" w:themeColor="text1"/>
                <w:sz w:val="24"/>
                <w:szCs w:val="24"/>
              </w:rPr>
              <w:t xml:space="preserve"> </w:t>
            </w:r>
            <w:r w:rsidR="00D00F16" w:rsidRPr="00BE10E9">
              <w:rPr>
                <w:rFonts w:eastAsia="TimesNewRomanPSMT"/>
                <w:color w:val="000000" w:themeColor="text1"/>
                <w:sz w:val="24"/>
                <w:szCs w:val="24"/>
              </w:rPr>
              <w:t>(</w:t>
            </w:r>
            <w:hyperlink r:id="rId16" w:history="1">
              <w:r w:rsidRPr="00BE10E9">
                <w:rPr>
                  <w:rStyle w:val="Hyperlink"/>
                  <w:rFonts w:eastAsia="TimesNewRomanPSMT"/>
                  <w:color w:val="000000" w:themeColor="text1"/>
                  <w:u w:val="none"/>
                </w:rPr>
                <w:t>www.isric.org</w:t>
              </w:r>
            </w:hyperlink>
            <w:r w:rsidR="00D00F16" w:rsidRPr="00BE10E9">
              <w:rPr>
                <w:rFonts w:eastAsia="TimesNewRomanPSMT"/>
                <w:color w:val="000000" w:themeColor="text1"/>
                <w:sz w:val="24"/>
                <w:szCs w:val="24"/>
              </w:rPr>
              <w:t>)</w:t>
            </w:r>
            <w:r w:rsidRPr="00BE10E9">
              <w:rPr>
                <w:rFonts w:eastAsia="TimesNewRomanPSMT"/>
                <w:color w:val="000000" w:themeColor="text1"/>
                <w:sz w:val="24"/>
                <w:szCs w:val="24"/>
              </w:rPr>
              <w:t xml:space="preserve"> </w:t>
            </w:r>
          </w:p>
        </w:tc>
        <w:tc>
          <w:tcPr>
            <w:tcW w:w="1890" w:type="dxa"/>
          </w:tcPr>
          <w:p w14:paraId="1BB405B8" w14:textId="733F8222"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4B8D9701" w14:textId="49C20F3E" w:rsidR="00D00F16" w:rsidRPr="00D00F16" w:rsidRDefault="00D00F16" w:rsidP="00CA4C49">
            <w:pPr>
              <w:spacing w:line="240" w:lineRule="auto"/>
              <w:ind w:left="0"/>
              <w:rPr>
                <w:sz w:val="24"/>
                <w:szCs w:val="24"/>
              </w:rPr>
            </w:pPr>
            <w:r w:rsidRPr="00D00F16">
              <w:rPr>
                <w:sz w:val="24"/>
                <w:szCs w:val="24"/>
              </w:rPr>
              <w:t xml:space="preserve">Soil </w:t>
            </w:r>
            <w:r w:rsidR="00B00CB8">
              <w:rPr>
                <w:sz w:val="24"/>
                <w:szCs w:val="24"/>
              </w:rPr>
              <w:t>Type</w:t>
            </w:r>
          </w:p>
        </w:tc>
      </w:tr>
      <w:tr w:rsidR="00D00F16" w:rsidRPr="00D00F16" w14:paraId="3EA791DD" w14:textId="77777777" w:rsidTr="00B00CB8">
        <w:trPr>
          <w:trHeight w:val="720"/>
        </w:trPr>
        <w:tc>
          <w:tcPr>
            <w:tcW w:w="1818" w:type="dxa"/>
          </w:tcPr>
          <w:p w14:paraId="60FE255A" w14:textId="6010DFA1" w:rsidR="00D00F16" w:rsidRPr="00D00F16" w:rsidRDefault="00D00F16" w:rsidP="00CA4C49">
            <w:pPr>
              <w:spacing w:line="240" w:lineRule="auto"/>
              <w:ind w:left="0"/>
              <w:rPr>
                <w:sz w:val="24"/>
                <w:szCs w:val="24"/>
              </w:rPr>
            </w:pPr>
            <w:r w:rsidRPr="00D00F16">
              <w:rPr>
                <w:sz w:val="24"/>
                <w:szCs w:val="24"/>
              </w:rPr>
              <w:t xml:space="preserve">Tube </w:t>
            </w:r>
            <w:r w:rsidR="00DE3FF4">
              <w:rPr>
                <w:sz w:val="24"/>
                <w:szCs w:val="24"/>
              </w:rPr>
              <w:t>W</w:t>
            </w:r>
            <w:r w:rsidRPr="00D00F16">
              <w:rPr>
                <w:sz w:val="24"/>
                <w:szCs w:val="24"/>
              </w:rPr>
              <w:t xml:space="preserve">ell </w:t>
            </w:r>
            <w:r w:rsidR="00DE3FF4">
              <w:rPr>
                <w:sz w:val="24"/>
                <w:szCs w:val="24"/>
              </w:rPr>
              <w:t>D</w:t>
            </w:r>
            <w:r w:rsidRPr="00D00F16">
              <w:rPr>
                <w:sz w:val="24"/>
                <w:szCs w:val="24"/>
              </w:rPr>
              <w:t>ata</w:t>
            </w:r>
          </w:p>
        </w:tc>
        <w:tc>
          <w:tcPr>
            <w:tcW w:w="3150" w:type="dxa"/>
          </w:tcPr>
          <w:p w14:paraId="10EBE775" w14:textId="77777777" w:rsidR="00D00F16" w:rsidRPr="00D00F16" w:rsidRDefault="00D00F16" w:rsidP="00CA4C49">
            <w:pPr>
              <w:autoSpaceDE w:val="0"/>
              <w:autoSpaceDN w:val="0"/>
              <w:adjustRightInd w:val="0"/>
              <w:spacing w:line="240" w:lineRule="auto"/>
              <w:ind w:left="0"/>
              <w:rPr>
                <w:rFonts w:eastAsia="TimesNewRomanPSMT"/>
                <w:sz w:val="24"/>
                <w:szCs w:val="24"/>
              </w:rPr>
            </w:pPr>
            <w:r w:rsidRPr="00D00F16">
              <w:rPr>
                <w:rFonts w:eastAsia="TimesNewRomanPSMT"/>
                <w:sz w:val="24"/>
                <w:szCs w:val="24"/>
              </w:rPr>
              <w:t>Community Water and Sanitation Agency (CWSA)</w:t>
            </w:r>
          </w:p>
        </w:tc>
        <w:tc>
          <w:tcPr>
            <w:tcW w:w="1890" w:type="dxa"/>
          </w:tcPr>
          <w:p w14:paraId="58C25875" w14:textId="3EC11558" w:rsidR="00D00F16" w:rsidRPr="00D00F16" w:rsidRDefault="00D00F16" w:rsidP="00CA4C49">
            <w:pPr>
              <w:spacing w:line="240" w:lineRule="auto"/>
              <w:ind w:left="0"/>
              <w:rPr>
                <w:sz w:val="24"/>
                <w:szCs w:val="24"/>
              </w:rPr>
            </w:pPr>
            <w:r w:rsidRPr="00D00F16">
              <w:rPr>
                <w:sz w:val="24"/>
                <w:szCs w:val="24"/>
              </w:rPr>
              <w:t>30 x 30</w:t>
            </w:r>
          </w:p>
        </w:tc>
        <w:tc>
          <w:tcPr>
            <w:tcW w:w="2610" w:type="dxa"/>
          </w:tcPr>
          <w:p w14:paraId="451B2D59" w14:textId="1D75E9D3" w:rsidR="00D00F16" w:rsidRPr="00D00F16" w:rsidRDefault="00D00F16" w:rsidP="00CA4C49">
            <w:pPr>
              <w:spacing w:line="240" w:lineRule="auto"/>
              <w:ind w:left="0"/>
              <w:rPr>
                <w:sz w:val="24"/>
                <w:szCs w:val="24"/>
              </w:rPr>
            </w:pPr>
            <w:r w:rsidRPr="00D00F16">
              <w:rPr>
                <w:sz w:val="24"/>
                <w:szCs w:val="24"/>
              </w:rPr>
              <w:t xml:space="preserve">Well </w:t>
            </w:r>
            <w:r w:rsidR="00B179B1">
              <w:rPr>
                <w:sz w:val="24"/>
                <w:szCs w:val="24"/>
              </w:rPr>
              <w:t>Y</w:t>
            </w:r>
            <w:r w:rsidRPr="00D00F16">
              <w:rPr>
                <w:sz w:val="24"/>
                <w:szCs w:val="24"/>
              </w:rPr>
              <w:t>ield</w:t>
            </w:r>
          </w:p>
        </w:tc>
      </w:tr>
    </w:tbl>
    <w:p w14:paraId="3D939FA8" w14:textId="77777777" w:rsidR="003E09C9" w:rsidRPr="00D00F16" w:rsidRDefault="003E09C9" w:rsidP="006E0E57">
      <w:pPr>
        <w:spacing w:after="0" w:line="276" w:lineRule="auto"/>
        <w:ind w:left="0"/>
        <w:rPr>
          <w:rFonts w:cs="Times New Roman"/>
        </w:rPr>
      </w:pPr>
    </w:p>
    <w:p w14:paraId="1A5ACF74" w14:textId="28D54C84" w:rsidR="00E072B4" w:rsidRDefault="00D55771" w:rsidP="00E072B4">
      <w:pPr>
        <w:spacing w:after="0" w:line="240" w:lineRule="auto"/>
        <w:ind w:left="0"/>
        <w:rPr>
          <w:b/>
          <w:bCs/>
        </w:rPr>
      </w:pPr>
      <w:r w:rsidRPr="00D55771">
        <w:rPr>
          <w:b/>
          <w:bCs/>
        </w:rPr>
        <w:t>Thematic Layers for the Model</w:t>
      </w:r>
    </w:p>
    <w:p w14:paraId="037A1972" w14:textId="77777777" w:rsidR="00E072B4" w:rsidRPr="00E072B4" w:rsidRDefault="00E072B4" w:rsidP="00E072B4">
      <w:pPr>
        <w:spacing w:after="100" w:afterAutospacing="1" w:line="240" w:lineRule="auto"/>
        <w:ind w:left="0"/>
        <w:jc w:val="both"/>
        <w:rPr>
          <w:rFonts w:eastAsia="Times New Roman" w:cs="Times New Roman"/>
          <w:color w:val="000000"/>
        </w:rPr>
      </w:pPr>
      <w:r w:rsidRPr="00E072B4">
        <w:rPr>
          <w:rFonts w:eastAsia="Times New Roman" w:cs="Times New Roman"/>
          <w:color w:val="000000"/>
        </w:rPr>
        <w:t xml:space="preserve">In many groundwater potential mapping studies, researchers rely on expert judgment to assign weights to various thematic layers and their associated features. Consequently, the type and number of factors used for delineating groundwater potential zones using remote sensing (RS) and geographic information systems (GIS) can vary across studies, depending on the local context and data availability. In this study, nine (9) thematic layers were selected based on their relevance and influence on groundwater occurrence. These include: Geology, </w:t>
      </w:r>
      <w:proofErr w:type="spellStart"/>
      <w:r w:rsidRPr="00E072B4">
        <w:rPr>
          <w:rFonts w:eastAsia="Times New Roman" w:cs="Times New Roman"/>
          <w:color w:val="000000"/>
        </w:rPr>
        <w:t>landuse</w:t>
      </w:r>
      <w:proofErr w:type="spellEnd"/>
      <w:r w:rsidRPr="00E072B4">
        <w:rPr>
          <w:rFonts w:eastAsia="Times New Roman" w:cs="Times New Roman"/>
          <w:color w:val="000000"/>
        </w:rPr>
        <w:t xml:space="preserve">/landcover (LULC), soil type, lineament density, elevation, drainage density, slope, </w:t>
      </w:r>
      <w:bookmarkStart w:id="9" w:name="_Hlk206231050"/>
      <w:r w:rsidRPr="00E072B4">
        <w:rPr>
          <w:rFonts w:eastAsia="Times New Roman" w:cs="Times New Roman"/>
          <w:color w:val="000000"/>
        </w:rPr>
        <w:t xml:space="preserve">topographic wetness index </w:t>
      </w:r>
      <w:bookmarkEnd w:id="9"/>
      <w:r w:rsidRPr="00E072B4">
        <w:rPr>
          <w:rFonts w:eastAsia="Times New Roman" w:cs="Times New Roman"/>
          <w:color w:val="000000"/>
        </w:rPr>
        <w:t>(TWI), and rainfall.</w:t>
      </w:r>
    </w:p>
    <w:p w14:paraId="7E2EDF3C" w14:textId="77777777" w:rsidR="00E072B4" w:rsidRPr="00E072B4" w:rsidRDefault="00E072B4" w:rsidP="00E072B4">
      <w:pPr>
        <w:spacing w:before="100" w:beforeAutospacing="1" w:after="100" w:afterAutospacing="1" w:line="240" w:lineRule="auto"/>
        <w:ind w:left="0"/>
        <w:jc w:val="both"/>
        <w:rPr>
          <w:rFonts w:eastAsia="Times New Roman" w:cs="Times New Roman"/>
          <w:color w:val="000000"/>
        </w:rPr>
      </w:pPr>
      <w:r w:rsidRPr="00E072B4">
        <w:rPr>
          <w:rFonts w:eastAsia="Times New Roman" w:cs="Times New Roman"/>
          <w:color w:val="000000"/>
        </w:rPr>
        <w:t xml:space="preserve">The integration of these thematic layers was performed using ArcMap version 10.8. Each layer was assigned a weight reflecting its relative importance in influencing groundwater potential, based on Saaty's scale of relative importance within the Analytic Hierarchy Process (AHP) framework. All thematic layers were projected into the WGS 1984 UTM Zone 30N coordinate system and uniformly resampled to a spatial resolution of 30 meters to ensure consistency during spatial analysis and overlay operations. This standardized spatial framework allowed for the development of a robust groundwater potential model that reflects both the physical characteristics of the terrain and the hydrological processes influencing groundwater recharge and storage in the </w:t>
      </w:r>
      <w:proofErr w:type="spellStart"/>
      <w:r w:rsidRPr="00E072B4">
        <w:rPr>
          <w:rFonts w:eastAsia="Times New Roman" w:cs="Times New Roman"/>
          <w:color w:val="000000"/>
        </w:rPr>
        <w:t>Wa</w:t>
      </w:r>
      <w:proofErr w:type="spellEnd"/>
      <w:r w:rsidRPr="00E072B4">
        <w:rPr>
          <w:rFonts w:eastAsia="Times New Roman" w:cs="Times New Roman"/>
          <w:color w:val="000000"/>
        </w:rPr>
        <w:t xml:space="preserve"> Municipality.</w:t>
      </w:r>
    </w:p>
    <w:p w14:paraId="3F8949A6" w14:textId="54B5D4FB" w:rsidR="003E09C9" w:rsidRPr="006E0E57" w:rsidRDefault="003E09C9" w:rsidP="006E0E57">
      <w:pPr>
        <w:pStyle w:val="Heading3"/>
        <w:spacing w:before="0" w:line="276" w:lineRule="auto"/>
        <w:ind w:left="0"/>
        <w:rPr>
          <w:rFonts w:ascii="Times New Roman" w:hAnsi="Times New Roman" w:cs="Times New Roman"/>
          <w:b/>
          <w:color w:val="auto"/>
        </w:rPr>
      </w:pPr>
      <w:r w:rsidRPr="006E0E57">
        <w:rPr>
          <w:rFonts w:ascii="Times New Roman" w:hAnsi="Times New Roman" w:cs="Times New Roman"/>
          <w:b/>
          <w:color w:val="auto"/>
        </w:rPr>
        <w:t>Geology</w:t>
      </w:r>
    </w:p>
    <w:p w14:paraId="10DB2D50" w14:textId="2CAA378F" w:rsidR="003E09C9" w:rsidRPr="00D00F16" w:rsidRDefault="00A86357" w:rsidP="006E0E57">
      <w:pPr>
        <w:spacing w:after="0" w:line="276" w:lineRule="auto"/>
        <w:ind w:left="0"/>
        <w:jc w:val="both"/>
        <w:rPr>
          <w:rFonts w:cs="Times New Roman"/>
        </w:rPr>
      </w:pPr>
      <w:r w:rsidRPr="00A86357">
        <w:rPr>
          <w:rFonts w:cs="Times New Roman"/>
        </w:rPr>
        <w:t xml:space="preserve">The </w:t>
      </w:r>
      <w:proofErr w:type="spellStart"/>
      <w:r w:rsidRPr="00A86357">
        <w:rPr>
          <w:rFonts w:cs="Times New Roman"/>
        </w:rPr>
        <w:t>Wa</w:t>
      </w:r>
      <w:proofErr w:type="spellEnd"/>
      <w:r w:rsidRPr="00A86357">
        <w:rPr>
          <w:rFonts w:cs="Times New Roman"/>
        </w:rPr>
        <w:t xml:space="preserve"> municipality was extracted from the shapefile of Ghana's geology through the utilization of the clip tool, which is a component of the </w:t>
      </w:r>
      <w:proofErr w:type="spellStart"/>
      <w:r w:rsidRPr="00A86357">
        <w:rPr>
          <w:rFonts w:cs="Times New Roman"/>
        </w:rPr>
        <w:t>arcToolbox</w:t>
      </w:r>
      <w:proofErr w:type="spellEnd"/>
      <w:r w:rsidRPr="00A86357">
        <w:rPr>
          <w:rFonts w:cs="Times New Roman"/>
        </w:rPr>
        <w:t xml:space="preserve"> within ArcMap. The lithological classifications observed within the municipality encompassed the </w:t>
      </w:r>
      <w:proofErr w:type="spellStart"/>
      <w:r w:rsidRPr="00A86357">
        <w:rPr>
          <w:rFonts w:cs="Times New Roman"/>
        </w:rPr>
        <w:t>Birimian</w:t>
      </w:r>
      <w:proofErr w:type="spellEnd"/>
      <w:r w:rsidRPr="00A86357">
        <w:rPr>
          <w:rFonts w:cs="Times New Roman"/>
        </w:rPr>
        <w:t xml:space="preserve"> supergroup, </w:t>
      </w:r>
      <w:proofErr w:type="spellStart"/>
      <w:r w:rsidRPr="00A86357">
        <w:rPr>
          <w:rFonts w:cs="Times New Roman"/>
        </w:rPr>
        <w:t>Tamnean</w:t>
      </w:r>
      <w:proofErr w:type="spellEnd"/>
      <w:r w:rsidRPr="00A86357">
        <w:rPr>
          <w:rFonts w:cs="Times New Roman"/>
        </w:rPr>
        <w:t xml:space="preserve"> Plutonic suite, Mesozoic, and Eburnean plutonic suite. Subsequently, the geology map of the municipality underwent conversion into raster format and was reclassified via the employment of the conversion and reclassification tool, which is another feature of the </w:t>
      </w:r>
      <w:proofErr w:type="spellStart"/>
      <w:r w:rsidRPr="00A86357">
        <w:rPr>
          <w:rFonts w:cs="Times New Roman"/>
        </w:rPr>
        <w:t>arcToolbox</w:t>
      </w:r>
      <w:proofErr w:type="spellEnd"/>
      <w:r w:rsidR="003E09C9" w:rsidRPr="00D00F16">
        <w:rPr>
          <w:rFonts w:cs="Times New Roman"/>
        </w:rPr>
        <w:t>.</w:t>
      </w:r>
    </w:p>
    <w:p w14:paraId="526226B3" w14:textId="77777777" w:rsidR="001906E3" w:rsidRPr="00D00F16" w:rsidRDefault="001906E3" w:rsidP="006E0E57">
      <w:pPr>
        <w:spacing w:after="0" w:line="276" w:lineRule="auto"/>
        <w:ind w:left="0"/>
        <w:jc w:val="both"/>
        <w:rPr>
          <w:rFonts w:cs="Times New Roman"/>
        </w:rPr>
      </w:pPr>
    </w:p>
    <w:p w14:paraId="43661EE5" w14:textId="256BD2E9" w:rsidR="003E09C9" w:rsidRPr="006E0E57" w:rsidRDefault="003E09C9" w:rsidP="006E0E57">
      <w:pPr>
        <w:pStyle w:val="Heading3"/>
        <w:spacing w:before="0" w:line="276" w:lineRule="auto"/>
        <w:ind w:left="0"/>
        <w:rPr>
          <w:rFonts w:ascii="Times New Roman" w:hAnsi="Times New Roman" w:cs="Times New Roman"/>
          <w:b/>
          <w:color w:val="auto"/>
        </w:rPr>
      </w:pPr>
      <w:proofErr w:type="spellStart"/>
      <w:r w:rsidRPr="006E0E57">
        <w:rPr>
          <w:rFonts w:ascii="Times New Roman" w:hAnsi="Times New Roman" w:cs="Times New Roman"/>
          <w:b/>
          <w:color w:val="auto"/>
        </w:rPr>
        <w:t>Land</w:t>
      </w:r>
      <w:r w:rsidR="00136F95">
        <w:rPr>
          <w:rFonts w:ascii="Times New Roman" w:hAnsi="Times New Roman" w:cs="Times New Roman"/>
          <w:b/>
          <w:color w:val="auto"/>
        </w:rPr>
        <w:t>u</w:t>
      </w:r>
      <w:r w:rsidRPr="006E0E57">
        <w:rPr>
          <w:rFonts w:ascii="Times New Roman" w:hAnsi="Times New Roman" w:cs="Times New Roman"/>
          <w:b/>
          <w:color w:val="auto"/>
        </w:rPr>
        <w:t>se</w:t>
      </w:r>
      <w:proofErr w:type="spellEnd"/>
      <w:r w:rsidRPr="006E0E57">
        <w:rPr>
          <w:rFonts w:ascii="Times New Roman" w:hAnsi="Times New Roman" w:cs="Times New Roman"/>
          <w:b/>
          <w:color w:val="auto"/>
        </w:rPr>
        <w:t xml:space="preserve"> </w:t>
      </w:r>
      <w:r w:rsidR="006F57CF" w:rsidRPr="006E0E57">
        <w:rPr>
          <w:rFonts w:ascii="Times New Roman" w:hAnsi="Times New Roman" w:cs="Times New Roman"/>
          <w:b/>
          <w:color w:val="auto"/>
        </w:rPr>
        <w:t xml:space="preserve">and </w:t>
      </w:r>
      <w:r w:rsidRPr="006E0E57">
        <w:rPr>
          <w:rFonts w:ascii="Times New Roman" w:hAnsi="Times New Roman" w:cs="Times New Roman"/>
          <w:b/>
          <w:color w:val="auto"/>
        </w:rPr>
        <w:t>Land</w:t>
      </w:r>
      <w:r w:rsidR="00136F95">
        <w:rPr>
          <w:rFonts w:ascii="Times New Roman" w:hAnsi="Times New Roman" w:cs="Times New Roman"/>
          <w:b/>
          <w:color w:val="auto"/>
        </w:rPr>
        <w:t>c</w:t>
      </w:r>
      <w:r w:rsidRPr="006E0E57">
        <w:rPr>
          <w:rFonts w:ascii="Times New Roman" w:hAnsi="Times New Roman" w:cs="Times New Roman"/>
          <w:b/>
          <w:color w:val="auto"/>
        </w:rPr>
        <w:t>over</w:t>
      </w:r>
    </w:p>
    <w:p w14:paraId="02BCADBB" w14:textId="7A092460" w:rsidR="00A86357" w:rsidRDefault="00A86357" w:rsidP="006E0E57">
      <w:pPr>
        <w:spacing w:line="276" w:lineRule="auto"/>
        <w:ind w:left="0"/>
        <w:jc w:val="both"/>
      </w:pPr>
      <w:r w:rsidRPr="00A86357">
        <w:t xml:space="preserve">A supervised classification technique was employed in ArcMap to recognize and categorize the pixels into different </w:t>
      </w:r>
      <w:proofErr w:type="spellStart"/>
      <w:r w:rsidRPr="00A86357">
        <w:t>landuse</w:t>
      </w:r>
      <w:proofErr w:type="spellEnd"/>
      <w:r w:rsidRPr="00A86357">
        <w:t xml:space="preserve"> and landcover (LULC) classes. This involved selecting training samples to derive various LULC characteristics and enable accurate classification. The band combinations of Landsat 8, namely natural-color (4,3,2), color infrared (5,4,3), agriculture (6,5,2), and false-color for urban zones (7,6,4), were utilized to determine the overall nature of the municipalit</w:t>
      </w:r>
      <w:r w:rsidR="001765D4">
        <w:t>y</w:t>
      </w:r>
      <w:r w:rsidRPr="00A86357">
        <w:t>. The resulting land use and land cover map classified the municipality into six categories: vegetation, forest, bare land, settlements, water bodies, and agricultural lands. Forests were defined as areas where trees grow closely together, forming a dense canopy. Vegetation cover included various plant species thriving in the absence of a forest canopy. Settlements encompassed housing areas in farm, urban, or rural communities. Water bodies encompassed rivers, streams, dams, and dugouts. Agricultural land comprised areas used for farming. Bare lands encompassed rocky areas and areas without land cover, where the soils were minimally exposed to runoff and erosion. The Maximum likelihood classification algorithm, known for its high accuracy, was employed for this analysis (</w:t>
      </w:r>
      <w:proofErr w:type="spellStart"/>
      <w:r w:rsidRPr="00A86357">
        <w:t>Gebere</w:t>
      </w:r>
      <w:proofErr w:type="spellEnd"/>
      <w:r w:rsidRPr="00A86357">
        <w:t xml:space="preserve"> </w:t>
      </w:r>
      <w:r w:rsidRPr="00B26723">
        <w:rPr>
          <w:i/>
          <w:iCs/>
        </w:rPr>
        <w:t>et a</w:t>
      </w:r>
      <w:r w:rsidRPr="00A86357">
        <w:t>l., 201</w:t>
      </w:r>
      <w:r w:rsidR="007319A9">
        <w:t>5</w:t>
      </w:r>
      <w:r w:rsidRPr="00A86357">
        <w:t>).</w:t>
      </w:r>
    </w:p>
    <w:p w14:paraId="44779342" w14:textId="77777777" w:rsidR="009C16E8" w:rsidRPr="00D00F16" w:rsidRDefault="009C16E8" w:rsidP="006E0E57">
      <w:pPr>
        <w:spacing w:after="0" w:line="276" w:lineRule="auto"/>
        <w:ind w:left="0"/>
        <w:jc w:val="both"/>
        <w:rPr>
          <w:rFonts w:cs="Times New Roman"/>
        </w:rPr>
      </w:pPr>
    </w:p>
    <w:p w14:paraId="6C674CC5" w14:textId="1101EF2B"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Soil</w:t>
      </w:r>
      <w:r w:rsidR="00B26723" w:rsidRPr="00B26723">
        <w:rPr>
          <w:rFonts w:ascii="Times New Roman" w:hAnsi="Times New Roman" w:cs="Times New Roman"/>
          <w:b/>
          <w:bCs/>
          <w:color w:val="auto"/>
        </w:rPr>
        <w:t xml:space="preserve"> Type</w:t>
      </w:r>
    </w:p>
    <w:p w14:paraId="51F91D46" w14:textId="45D07A09" w:rsidR="003E09C9" w:rsidRPr="00D00F16" w:rsidRDefault="003E09C9" w:rsidP="006E0E57">
      <w:pPr>
        <w:autoSpaceDE w:val="0"/>
        <w:autoSpaceDN w:val="0"/>
        <w:adjustRightInd w:val="0"/>
        <w:spacing w:after="0" w:line="276" w:lineRule="auto"/>
        <w:ind w:left="0"/>
        <w:jc w:val="both"/>
        <w:rPr>
          <w:rFonts w:cs="Times New Roman"/>
        </w:rPr>
      </w:pPr>
      <w:r w:rsidRPr="00D00F16">
        <w:rPr>
          <w:rFonts w:cs="Times New Roman"/>
        </w:rPr>
        <w:t xml:space="preserve">The </w:t>
      </w:r>
      <w:r w:rsidR="00F91FFB" w:rsidRPr="00D00F16">
        <w:rPr>
          <w:rFonts w:cs="Times New Roman"/>
        </w:rPr>
        <w:t>map of the municipality</w:t>
      </w:r>
      <w:r w:rsidRPr="00D00F16">
        <w:rPr>
          <w:rFonts w:cs="Times New Roman"/>
        </w:rPr>
        <w:t xml:space="preserve"> was masked from the </w:t>
      </w:r>
      <w:r w:rsidRPr="00D00F16">
        <w:rPr>
          <w:rFonts w:eastAsia="TimesNewRomanPSMT" w:cs="Times New Roman"/>
        </w:rPr>
        <w:t xml:space="preserve">International Soil Reference and Information Centre </w:t>
      </w:r>
      <w:r w:rsidRPr="00D00F16">
        <w:rPr>
          <w:rFonts w:cs="Times New Roman"/>
        </w:rPr>
        <w:t xml:space="preserve">soil shapefile </w:t>
      </w:r>
      <w:r w:rsidRPr="00D00F16">
        <w:rPr>
          <w:rFonts w:eastAsia="TimesNewRomanPSMT" w:cs="Times New Roman"/>
        </w:rPr>
        <w:t>(ISRIC, 2011)</w:t>
      </w:r>
      <w:r w:rsidRPr="00D00F16">
        <w:rPr>
          <w:rFonts w:cs="Times New Roman"/>
        </w:rPr>
        <w:t>. The soil map was then reclassified for weigh</w:t>
      </w:r>
      <w:r w:rsidR="009C16E8" w:rsidRPr="00D00F16">
        <w:rPr>
          <w:rFonts w:cs="Times New Roman"/>
        </w:rPr>
        <w:t>t</w:t>
      </w:r>
      <w:r w:rsidRPr="00D00F16">
        <w:rPr>
          <w:rFonts w:cs="Times New Roman"/>
        </w:rPr>
        <w:t xml:space="preserve"> assigning and integration with other thematic layers. The soil type</w:t>
      </w:r>
      <w:r w:rsidR="009C16E8" w:rsidRPr="00D00F16">
        <w:rPr>
          <w:rFonts w:cs="Times New Roman"/>
        </w:rPr>
        <w:t>s</w:t>
      </w:r>
      <w:r w:rsidRPr="00D00F16">
        <w:rPr>
          <w:rFonts w:cs="Times New Roman"/>
        </w:rPr>
        <w:t xml:space="preserve"> found in the </w:t>
      </w:r>
      <w:r w:rsidR="00F91FFB" w:rsidRPr="00D00F16">
        <w:rPr>
          <w:rFonts w:cs="Times New Roman"/>
        </w:rPr>
        <w:t>municipality</w:t>
      </w:r>
      <w:r w:rsidRPr="00D00F16">
        <w:rPr>
          <w:rFonts w:cs="Times New Roman"/>
        </w:rPr>
        <w:t xml:space="preserve"> are the ferric </w:t>
      </w:r>
      <w:proofErr w:type="spellStart"/>
      <w:r w:rsidR="00631F27" w:rsidRPr="00D00F16">
        <w:rPr>
          <w:rFonts w:cs="Times New Roman"/>
        </w:rPr>
        <w:t>Luvisols</w:t>
      </w:r>
      <w:proofErr w:type="spellEnd"/>
      <w:r w:rsidRPr="00D00F16">
        <w:rPr>
          <w:rFonts w:cs="Times New Roman"/>
        </w:rPr>
        <w:t xml:space="preserve"> and lithosols. </w:t>
      </w:r>
    </w:p>
    <w:p w14:paraId="39F7FAB4" w14:textId="77777777" w:rsidR="009C16E8" w:rsidRPr="00D00F16" w:rsidRDefault="009C16E8" w:rsidP="006E0E57">
      <w:pPr>
        <w:autoSpaceDE w:val="0"/>
        <w:autoSpaceDN w:val="0"/>
        <w:adjustRightInd w:val="0"/>
        <w:spacing w:after="0" w:line="276" w:lineRule="auto"/>
        <w:ind w:left="0"/>
        <w:jc w:val="both"/>
        <w:rPr>
          <w:rFonts w:cs="Times New Roman"/>
        </w:rPr>
      </w:pPr>
    </w:p>
    <w:p w14:paraId="5CE4DC12" w14:textId="676293EC"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 xml:space="preserve">Lineament Density </w:t>
      </w:r>
    </w:p>
    <w:p w14:paraId="52DB8FFB" w14:textId="31735F66" w:rsidR="003E09C9" w:rsidRPr="00D00F16" w:rsidRDefault="003E09C9" w:rsidP="006E0E57">
      <w:pPr>
        <w:spacing w:after="0" w:line="276" w:lineRule="auto"/>
        <w:ind w:left="0"/>
        <w:jc w:val="both"/>
        <w:rPr>
          <w:rFonts w:cs="Times New Roman"/>
        </w:rPr>
      </w:pPr>
      <w:r w:rsidRPr="00D00F16">
        <w:rPr>
          <w:rFonts w:cs="Times New Roman"/>
        </w:rPr>
        <w:t>The lineament density is simply the total length of lineaments per unit area in square kilometer</w:t>
      </w:r>
      <w:r w:rsidR="009C16E8" w:rsidRPr="00D00F16">
        <w:rPr>
          <w:rFonts w:cs="Times New Roman"/>
        </w:rPr>
        <w:t>s</w:t>
      </w:r>
      <w:r w:rsidRPr="00D00F16">
        <w:rPr>
          <w:rFonts w:cs="Times New Roman"/>
        </w:rPr>
        <w:t xml:space="preserve"> (</w:t>
      </w:r>
      <w:r w:rsidR="005257CF" w:rsidRPr="00D00F16">
        <w:rPr>
          <w:rFonts w:cs="Times New Roman"/>
        </w:rPr>
        <w:t>k</w:t>
      </w:r>
      <w:r w:rsidRPr="00D00F16">
        <w:rPr>
          <w:rFonts w:cs="Times New Roman"/>
        </w:rPr>
        <w:t>m/</w:t>
      </w:r>
      <w:r w:rsidR="005257CF" w:rsidRPr="00D00F16">
        <w:rPr>
          <w:rFonts w:cs="Times New Roman"/>
        </w:rPr>
        <w:t>k</w:t>
      </w:r>
      <w:r w:rsidRPr="00D00F16">
        <w:rPr>
          <w:rFonts w:cs="Times New Roman"/>
        </w:rPr>
        <w:t>m</w:t>
      </w:r>
      <w:r w:rsidR="005257CF" w:rsidRPr="00D00F16">
        <w:rPr>
          <w:rFonts w:cs="Times New Roman"/>
          <w:vertAlign w:val="superscript"/>
        </w:rPr>
        <w:t>2</w:t>
      </w:r>
      <w:r w:rsidRPr="00D00F16">
        <w:rPr>
          <w:rFonts w:cs="Times New Roman"/>
        </w:rPr>
        <w:t xml:space="preserve">) </w:t>
      </w:r>
      <w:r w:rsidRPr="00D00F16">
        <w:rPr>
          <w:rFonts w:cs="Times New Roman"/>
        </w:rPr>
        <w:fldChar w:fldCharType="begin" w:fldLock="1"/>
      </w:r>
      <w:r w:rsidR="00622464">
        <w:rPr>
          <w:rFonts w:cs="Times New Roman"/>
        </w:rPr>
        <w:instrText>ADDIN CSL_CITATION {"citationItems":[{"id":"ITEM-1","itemData":{"DOI":"10.1016/j.gsf.2011.10.007","ISSN":"1674-9871","author":[{"dropping-particle":"","family":"Magesh","given":"N S","non-dropping-particle":"","parse-names":false,"suffix":""},{"dropping-particle":"","family":"Chandrasekar","given":"N","non-dropping-particle":"","parse-names":false,"suffix":""},{"dropping-particle":"","family":"Soundranayagam","given":"John Prince","non-dropping-particle":"","parse-names":false,"suffix":""}],"container-title":"Geoscience Frontiers","id":"ITEM-1","issue":"2","issued":{"date-parts":[["2012"]]},"page":"189-196","publisher":"Elsevier B.V.","title":"Delineation of groundwater potential zones in Theni district , Tamil Nadu , using remote sensing , GIS and MIF techniques","type":"article-journal","volume":"3"},"uris":["http://www.mendeley.com/documents/?uuid=235bb80a-7bbd-4995-be5c-528c822faa43"]}],"mendeley":{"formattedCitation":"(Magesh et al., 2012)","plainTextFormattedCitation":"(Magesh et al., 2012)","previouslyFormattedCitation":"(Magesh et al., 2012)"},"properties":{"noteIndex":0},"schema":"https://github.com/citation-style-language/schema/raw/master/csl-citation.json"}</w:instrText>
      </w:r>
      <w:r w:rsidRPr="00D00F16">
        <w:rPr>
          <w:rFonts w:cs="Times New Roman"/>
        </w:rPr>
        <w:fldChar w:fldCharType="separate"/>
      </w:r>
      <w:r w:rsidR="00622464" w:rsidRPr="00622464">
        <w:rPr>
          <w:rFonts w:cs="Times New Roman"/>
          <w:noProof/>
        </w:rPr>
        <w:t>(Magesh et al., 2012)</w:t>
      </w:r>
      <w:r w:rsidRPr="00D00F16">
        <w:rPr>
          <w:rFonts w:cs="Times New Roman"/>
        </w:rPr>
        <w:fldChar w:fldCharType="end"/>
      </w:r>
      <w:r w:rsidRPr="00D00F16">
        <w:rPr>
          <w:rFonts w:cs="Times New Roman"/>
        </w:rPr>
        <w:t>. The lineamen</w:t>
      </w:r>
      <w:r w:rsidR="004E5400" w:rsidRPr="00D00F16">
        <w:rPr>
          <w:rFonts w:cs="Times New Roman"/>
        </w:rPr>
        <w:t>t</w:t>
      </w:r>
      <w:r w:rsidRPr="00D00F16">
        <w:rPr>
          <w:rFonts w:cs="Times New Roman"/>
        </w:rPr>
        <w:t xml:space="preserve"> density was therefore calculated using the formula below.</w:t>
      </w:r>
    </w:p>
    <w:p w14:paraId="4C2F6A2C" w14:textId="77777777" w:rsidR="003E09C9" w:rsidRPr="00D00F16" w:rsidRDefault="003E09C9" w:rsidP="006E0E57">
      <w:pPr>
        <w:spacing w:after="0" w:line="276" w:lineRule="auto"/>
        <w:ind w:left="0"/>
        <w:jc w:val="both"/>
        <w:rPr>
          <w:rFonts w:eastAsiaTheme="minorEastAsia" w:cs="Times New Roman"/>
        </w:rPr>
      </w:pPr>
      <m:oMath>
        <m:r>
          <w:rPr>
            <w:rFonts w:ascii="Cambria Math" w:hAnsi="Cambria Math" w:cs="Times New Roman"/>
          </w:rPr>
          <m:t>LD</m:t>
        </m:r>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f>
              <m:fPr>
                <m:ctrlPr>
                  <w:rPr>
                    <w:rFonts w:ascii="Cambria Math" w:hAnsi="Cambria Math" w:cs="Times New Roman"/>
                  </w:rPr>
                </m:ctrlPr>
              </m:fPr>
              <m:num>
                <m:r>
                  <w:rPr>
                    <w:rFonts w:ascii="Cambria Math" w:hAnsi="Cambria Math" w:cs="Times New Roman"/>
                  </w:rPr>
                  <m:t>Li</m:t>
                </m:r>
              </m:num>
              <m:den>
                <m:r>
                  <w:rPr>
                    <w:rFonts w:ascii="Cambria Math" w:hAnsi="Cambria Math" w:cs="Times New Roman"/>
                  </w:rPr>
                  <m:t>A</m:t>
                </m:r>
              </m:den>
            </m:f>
          </m:e>
        </m:nary>
      </m:oMath>
      <w:r w:rsidRPr="00D00F16">
        <w:rPr>
          <w:rFonts w:eastAsiaTheme="minorEastAsia" w:cs="Times New Roman"/>
        </w:rPr>
        <w:t xml:space="preserve">                                                             (1)</w:t>
      </w:r>
    </w:p>
    <w:p w14:paraId="5208F998" w14:textId="16D7B4B0" w:rsidR="003E09C9" w:rsidRPr="00D00F16" w:rsidRDefault="003E09C9" w:rsidP="006E0E57">
      <w:pPr>
        <w:spacing w:after="0" w:line="276" w:lineRule="auto"/>
        <w:ind w:left="0"/>
        <w:jc w:val="both"/>
        <w:rPr>
          <w:rFonts w:cs="Times New Roman"/>
        </w:rPr>
      </w:pPr>
      <w:r w:rsidRPr="00D00F16">
        <w:rPr>
          <w:rFonts w:cs="Times New Roman"/>
        </w:rPr>
        <w:t>Where</w:t>
      </w:r>
      <w:r w:rsidR="00B26723">
        <w:rPr>
          <w:rFonts w:cs="Times New Roman"/>
        </w:rPr>
        <w:t>:</w:t>
      </w:r>
      <w:r w:rsidRPr="00D00F16">
        <w:rPr>
          <w:rFonts w:cs="Times New Roman"/>
        </w:rPr>
        <w:t xml:space="preserve"> LD = Lineament density, L = lineament length (</w:t>
      </w:r>
      <w:r w:rsidR="005257CF" w:rsidRPr="00D00F16">
        <w:rPr>
          <w:rFonts w:cs="Times New Roman"/>
        </w:rPr>
        <w:t>k</w:t>
      </w:r>
      <w:r w:rsidRPr="00D00F16">
        <w:rPr>
          <w:rFonts w:cs="Times New Roman"/>
        </w:rPr>
        <w:t xml:space="preserve">m), </w:t>
      </w:r>
      <w:proofErr w:type="spellStart"/>
      <w:r w:rsidRPr="00D00F16">
        <w:rPr>
          <w:rFonts w:cs="Times New Roman"/>
        </w:rPr>
        <w:t>i</w:t>
      </w:r>
      <w:proofErr w:type="spellEnd"/>
      <w:r w:rsidRPr="00D00F16">
        <w:rPr>
          <w:rFonts w:cs="Times New Roman"/>
        </w:rPr>
        <w:t xml:space="preserve"> = lineament number, and A = Area (</w:t>
      </w:r>
      <w:r w:rsidR="009C16E8" w:rsidRPr="00D00F16">
        <w:rPr>
          <w:rFonts w:cs="Times New Roman"/>
        </w:rPr>
        <w:t>k</w:t>
      </w:r>
      <w:r w:rsidRPr="00D00F16">
        <w:rPr>
          <w:rFonts w:cs="Times New Roman"/>
        </w:rPr>
        <w:t>m</w:t>
      </w:r>
      <w:r w:rsidRPr="00D00F16">
        <w:rPr>
          <w:rFonts w:cs="Times New Roman"/>
          <w:vertAlign w:val="superscript"/>
        </w:rPr>
        <w:t>2</w:t>
      </w:r>
      <w:r w:rsidRPr="00D00F16">
        <w:rPr>
          <w:rFonts w:cs="Times New Roman"/>
        </w:rPr>
        <w:t>)</w:t>
      </w:r>
      <w:r w:rsidR="00B26723">
        <w:rPr>
          <w:rFonts w:cs="Times New Roman"/>
        </w:rPr>
        <w:t>.</w:t>
      </w:r>
    </w:p>
    <w:p w14:paraId="3D5C0D5E" w14:textId="146FF0D0" w:rsidR="003E09C9" w:rsidRPr="00D00F16" w:rsidRDefault="003E09C9" w:rsidP="006E0E57">
      <w:pPr>
        <w:spacing w:after="0" w:line="276" w:lineRule="auto"/>
        <w:ind w:left="0"/>
        <w:jc w:val="both"/>
        <w:rPr>
          <w:rFonts w:cs="Times New Roman"/>
        </w:rPr>
      </w:pPr>
      <w:r w:rsidRPr="00D00F16">
        <w:rPr>
          <w:rFonts w:cs="Times New Roman"/>
        </w:rPr>
        <w:t xml:space="preserve">Using the </w:t>
      </w:r>
      <w:r w:rsidR="00631F27" w:rsidRPr="00D00F16">
        <w:rPr>
          <w:rFonts w:cs="Times New Roman"/>
        </w:rPr>
        <w:t>hill shade</w:t>
      </w:r>
      <w:r w:rsidRPr="00D00F16">
        <w:rPr>
          <w:rFonts w:cs="Times New Roman"/>
        </w:rPr>
        <w:t xml:space="preserve"> feature in </w:t>
      </w:r>
      <w:bookmarkStart w:id="10" w:name="_Hlk217864739"/>
      <w:r w:rsidRPr="00D00F16">
        <w:rPr>
          <w:rFonts w:cs="Times New Roman"/>
        </w:rPr>
        <w:t>ArcGIS 10.3</w:t>
      </w:r>
      <w:bookmarkEnd w:id="10"/>
      <w:r w:rsidRPr="00D00F16">
        <w:rPr>
          <w:rFonts w:cs="Times New Roman"/>
        </w:rPr>
        <w:t xml:space="preserve">, the lineament density map of the </w:t>
      </w:r>
      <w:r w:rsidR="00F91FFB" w:rsidRPr="00D00F16">
        <w:rPr>
          <w:rFonts w:cs="Times New Roman"/>
        </w:rPr>
        <w:t>municipality</w:t>
      </w:r>
      <w:r w:rsidRPr="00D00F16">
        <w:rPr>
          <w:rFonts w:cs="Times New Roman"/>
        </w:rPr>
        <w:t xml:space="preserve"> was produced from the </w:t>
      </w:r>
      <w:bookmarkStart w:id="11" w:name="_Hlk132724487"/>
      <w:r w:rsidRPr="00D00F16">
        <w:rPr>
          <w:rFonts w:cs="Times New Roman"/>
        </w:rPr>
        <w:t>Shuttle Radar Topographic Mission (SRTM</w:t>
      </w:r>
      <w:bookmarkEnd w:id="11"/>
      <w:r w:rsidRPr="00D00F16">
        <w:rPr>
          <w:rFonts w:cs="Times New Roman"/>
        </w:rPr>
        <w:t xml:space="preserve">) Digital Elevation Model (DEM). The fractures are easily visible after </w:t>
      </w:r>
      <w:r w:rsidR="00631F27" w:rsidRPr="00D00F16">
        <w:rPr>
          <w:rFonts w:cs="Times New Roman"/>
        </w:rPr>
        <w:t>hill shading</w:t>
      </w:r>
      <w:r w:rsidRPr="00D00F16">
        <w:rPr>
          <w:rFonts w:cs="Times New Roman"/>
        </w:rPr>
        <w:t xml:space="preserve"> using the </w:t>
      </w:r>
      <w:proofErr w:type="spellStart"/>
      <w:r w:rsidRPr="00D00F16">
        <w:rPr>
          <w:rFonts w:cs="Times New Roman"/>
        </w:rPr>
        <w:t>Azuthimal</w:t>
      </w:r>
      <w:proofErr w:type="spellEnd"/>
      <w:r w:rsidRPr="00D00F16">
        <w:rPr>
          <w:rFonts w:cs="Times New Roman"/>
        </w:rPr>
        <w:t xml:space="preserve"> combinations of (315 - 45), (200 - 45), (170 - 60), and (55 - 90). The line density was developed after the fractures </w:t>
      </w:r>
      <w:r w:rsidR="009C16E8" w:rsidRPr="00D00F16">
        <w:rPr>
          <w:rFonts w:cs="Times New Roman"/>
        </w:rPr>
        <w:t xml:space="preserve">were </w:t>
      </w:r>
      <w:r w:rsidRPr="00D00F16">
        <w:rPr>
          <w:rFonts w:cs="Times New Roman"/>
        </w:rPr>
        <w:t xml:space="preserve">drawn as polylines using the editor's keys. </w:t>
      </w:r>
    </w:p>
    <w:p w14:paraId="73FA4B4E" w14:textId="77777777" w:rsidR="009C16E8" w:rsidRPr="00B26723" w:rsidRDefault="009C16E8" w:rsidP="006E0E57">
      <w:pPr>
        <w:spacing w:after="0" w:line="276" w:lineRule="auto"/>
        <w:ind w:left="0"/>
        <w:jc w:val="both"/>
        <w:rPr>
          <w:rFonts w:cs="Times New Roman"/>
          <w:b/>
          <w:bCs/>
        </w:rPr>
      </w:pPr>
    </w:p>
    <w:p w14:paraId="0F799E20" w14:textId="39798492"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 xml:space="preserve">Elevation </w:t>
      </w:r>
    </w:p>
    <w:p w14:paraId="47B3F656" w14:textId="62BEAA7E" w:rsidR="003E09C9" w:rsidRPr="00D00F16" w:rsidRDefault="003E09C9" w:rsidP="006E0E57">
      <w:pPr>
        <w:spacing w:after="0" w:line="276" w:lineRule="auto"/>
        <w:ind w:left="0"/>
        <w:jc w:val="both"/>
        <w:rPr>
          <w:rFonts w:cs="Times New Roman"/>
        </w:rPr>
      </w:pPr>
      <w:r w:rsidRPr="00D00F16">
        <w:rPr>
          <w:rFonts w:cs="Times New Roman"/>
        </w:rPr>
        <w:t xml:space="preserve">The elevation of the </w:t>
      </w:r>
      <w:r w:rsidR="00F91FFB" w:rsidRPr="00D00F16">
        <w:rPr>
          <w:rFonts w:cs="Times New Roman"/>
        </w:rPr>
        <w:t>municipality</w:t>
      </w:r>
      <w:r w:rsidRPr="00D00F16">
        <w:rPr>
          <w:rFonts w:cs="Times New Roman"/>
        </w:rPr>
        <w:t xml:space="preserve"> was obtained from the Shuttle Radar Topographic Mission (SRTM) digital elevation model (DEM) which was downloaded from the </w:t>
      </w:r>
      <w:r w:rsidR="009C16E8" w:rsidRPr="00D00F16">
        <w:rPr>
          <w:rFonts w:cs="Times New Roman"/>
        </w:rPr>
        <w:t>Earth E</w:t>
      </w:r>
      <w:r w:rsidRPr="00D00F16">
        <w:rPr>
          <w:rFonts w:cs="Times New Roman"/>
        </w:rPr>
        <w:t xml:space="preserve">xplorer website. The elevation was then reclassified using the reclassify tool in the </w:t>
      </w:r>
      <w:proofErr w:type="spellStart"/>
      <w:r w:rsidRPr="00D00F16">
        <w:rPr>
          <w:rFonts w:cs="Times New Roman"/>
        </w:rPr>
        <w:t>arcToolBox</w:t>
      </w:r>
      <w:proofErr w:type="spellEnd"/>
      <w:r w:rsidRPr="00D00F16">
        <w:rPr>
          <w:rFonts w:cs="Times New Roman"/>
        </w:rPr>
        <w:t xml:space="preserve"> for weigh assigning and overlay analysis.</w:t>
      </w:r>
    </w:p>
    <w:p w14:paraId="3CA5093C" w14:textId="77777777" w:rsidR="009C16E8" w:rsidRPr="00D00F16" w:rsidRDefault="009C16E8" w:rsidP="006E0E57">
      <w:pPr>
        <w:spacing w:after="0" w:line="276" w:lineRule="auto"/>
        <w:ind w:left="0"/>
        <w:jc w:val="both"/>
        <w:rPr>
          <w:rFonts w:cs="Times New Roman"/>
        </w:rPr>
      </w:pPr>
    </w:p>
    <w:p w14:paraId="5DFE0A5F" w14:textId="7E5D3865"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 xml:space="preserve">Drainage </w:t>
      </w:r>
      <w:r w:rsidR="00B26723" w:rsidRPr="00B26723">
        <w:rPr>
          <w:rFonts w:ascii="Times New Roman" w:hAnsi="Times New Roman" w:cs="Times New Roman"/>
          <w:b/>
          <w:bCs/>
          <w:color w:val="auto"/>
        </w:rPr>
        <w:t>D</w:t>
      </w:r>
      <w:r w:rsidRPr="00B26723">
        <w:rPr>
          <w:rFonts w:ascii="Times New Roman" w:hAnsi="Times New Roman" w:cs="Times New Roman"/>
          <w:b/>
          <w:bCs/>
          <w:color w:val="auto"/>
        </w:rPr>
        <w:t>ensity</w:t>
      </w:r>
    </w:p>
    <w:p w14:paraId="75E0C323" w14:textId="6547BD3F" w:rsidR="003E09C9" w:rsidRPr="00D00F16" w:rsidRDefault="003E09C9" w:rsidP="006E0E57">
      <w:pPr>
        <w:spacing w:after="0" w:line="276" w:lineRule="auto"/>
        <w:ind w:left="0"/>
        <w:jc w:val="both"/>
        <w:rPr>
          <w:rFonts w:cs="Times New Roman"/>
        </w:rPr>
      </w:pPr>
      <w:r w:rsidRPr="00D00F16">
        <w:rPr>
          <w:rFonts w:cs="Times New Roman"/>
        </w:rPr>
        <w:t xml:space="preserve">Drainage density is the measure of the proximity of streams and other similar water bodies. The SRTM DEM was used to delineate the drainage density of the area. The </w:t>
      </w:r>
      <w:r w:rsidR="00574B3E" w:rsidRPr="00D00F16">
        <w:rPr>
          <w:rFonts w:cs="Times New Roman"/>
        </w:rPr>
        <w:t>stream order</w:t>
      </w:r>
      <w:r w:rsidRPr="00D00F16">
        <w:rPr>
          <w:rFonts w:cs="Times New Roman"/>
        </w:rPr>
        <w:t xml:space="preserve"> was</w:t>
      </w:r>
      <w:r w:rsidR="00574B3E" w:rsidRPr="00D00F16">
        <w:rPr>
          <w:rFonts w:cs="Times New Roman"/>
        </w:rPr>
        <w:t xml:space="preserve"> first</w:t>
      </w:r>
      <w:r w:rsidRPr="00D00F16">
        <w:rPr>
          <w:rFonts w:cs="Times New Roman"/>
        </w:rPr>
        <w:t xml:space="preserve"> obtained </w:t>
      </w:r>
      <w:r w:rsidR="00574B3E" w:rsidRPr="00D00F16">
        <w:rPr>
          <w:rFonts w:cs="Times New Roman"/>
        </w:rPr>
        <w:t>following the algorithm in</w:t>
      </w:r>
      <w:r w:rsidRPr="00D00F16">
        <w:rPr>
          <w:rFonts w:cs="Times New Roman"/>
        </w:rPr>
        <w:t xml:space="preserve"> the “Hydrology Tool” in ArcMap, The line density tool was finally applied to obtain the drainage density</w:t>
      </w:r>
      <w:r w:rsidR="00574B3E" w:rsidRPr="00D00F16">
        <w:rPr>
          <w:rFonts w:cs="Times New Roman"/>
        </w:rPr>
        <w:t xml:space="preserve"> (km/km</w:t>
      </w:r>
      <w:r w:rsidR="00574B3E" w:rsidRPr="00D00F16">
        <w:rPr>
          <w:rFonts w:cs="Times New Roman"/>
          <w:vertAlign w:val="superscript"/>
        </w:rPr>
        <w:t>2</w:t>
      </w:r>
      <w:r w:rsidR="007162C5" w:rsidRPr="00D00F16">
        <w:rPr>
          <w:rFonts w:cs="Times New Roman"/>
        </w:rPr>
        <w:t xml:space="preserve">) using </w:t>
      </w:r>
      <w:r w:rsidR="008D0EE0">
        <w:rPr>
          <w:rFonts w:cs="Times New Roman"/>
        </w:rPr>
        <w:t>Eq</w:t>
      </w:r>
      <w:r w:rsidR="00B26723">
        <w:rPr>
          <w:rFonts w:cs="Times New Roman"/>
        </w:rPr>
        <w:t>uation</w:t>
      </w:r>
      <w:r w:rsidR="002C0331">
        <w:rPr>
          <w:rFonts w:cs="Times New Roman"/>
        </w:rPr>
        <w:t xml:space="preserve"> </w:t>
      </w:r>
      <w:r w:rsidR="007162C5" w:rsidRPr="00D00F16">
        <w:rPr>
          <w:rFonts w:cs="Times New Roman"/>
        </w:rPr>
        <w:t xml:space="preserve">2 </w:t>
      </w:r>
      <w:r w:rsidR="007162C5" w:rsidRPr="00D00F16">
        <w:rPr>
          <w:rFonts w:cs="Times New Roman"/>
          <w:lang w:val="en-GB"/>
        </w:rPr>
        <w:fldChar w:fldCharType="begin" w:fldLock="1"/>
      </w:r>
      <w:r w:rsidR="00622464">
        <w:rPr>
          <w:rFonts w:cs="Times New Roman"/>
          <w:lang w:val="en-GB"/>
        </w:rPr>
        <w:instrText>ADDIN CSL_CITATION {"citationItems":[{"id":"ITEM-1","itemData":{"DOI":"10.1007/s13201-021-01556-5","ISBN":"0123456789","ISSN":"2190-5495","author":[{"dropping-particle":"","family":"Ifediegwu","given":"Stanley Ikenna","non-dropping-particle":"","parse-names":false,"suffix":""}],"container-title":"Applied Water Science","id":"ITEM-1","issue":"1","issued":{"date-parts":[["2022"]]},"page":"1-17","publisher":"Springer International Publishing","title":"Assessment of groundwater potential zones using GIS and AHP techniques : a case study of the Lafia district , Nasarawa State , Nigeria","type":"article-journal","volume":"12"},"uris":["http://www.mendeley.com/documents/?uuid=90c59838-f77c-4545-9025-490d9d817fe1"]}],"mendeley":{"formattedCitation":"(Ifediegwu, 2022)","plainTextFormattedCitation":"(Ifediegwu, 2022)","previouslyFormattedCitation":"(Ifediegwu, 2022)"},"properties":{"noteIndex":0},"schema":"https://github.com/citation-style-language/schema/raw/master/csl-citation.json"}</w:instrText>
      </w:r>
      <w:r w:rsidR="007162C5" w:rsidRPr="00D00F16">
        <w:rPr>
          <w:rFonts w:cs="Times New Roman"/>
          <w:lang w:val="en-GB"/>
        </w:rPr>
        <w:fldChar w:fldCharType="separate"/>
      </w:r>
      <w:r w:rsidR="00622464" w:rsidRPr="00622464">
        <w:rPr>
          <w:rFonts w:cs="Times New Roman"/>
          <w:noProof/>
          <w:lang w:val="en-GB"/>
        </w:rPr>
        <w:t>(Ifediegwu, 2022)</w:t>
      </w:r>
      <w:r w:rsidR="007162C5" w:rsidRPr="00D00F16">
        <w:rPr>
          <w:rFonts w:cs="Times New Roman"/>
          <w:lang w:val="en-GB"/>
        </w:rPr>
        <w:fldChar w:fldCharType="end"/>
      </w:r>
      <w:r w:rsidR="007162C5" w:rsidRPr="00D00F16">
        <w:rPr>
          <w:rFonts w:cs="Times New Roman"/>
        </w:rPr>
        <w:t xml:space="preserve">. </w:t>
      </w:r>
      <w:r w:rsidRPr="00D00F16">
        <w:rPr>
          <w:rFonts w:cs="Times New Roman"/>
        </w:rPr>
        <w:t xml:space="preserve">The drainage density was reclassified into five (5) classes using natural breaks. </w:t>
      </w:r>
    </w:p>
    <w:p w14:paraId="4AAB13BE" w14:textId="77777777" w:rsidR="003E09C9" w:rsidRPr="00D00F16" w:rsidRDefault="003E09C9" w:rsidP="006E0E57">
      <w:pPr>
        <w:spacing w:after="0" w:line="276" w:lineRule="auto"/>
        <w:ind w:left="0"/>
        <w:jc w:val="both"/>
        <w:rPr>
          <w:rFonts w:cs="Times New Roman"/>
        </w:rPr>
      </w:pPr>
      <m:oMath>
        <m:r>
          <w:rPr>
            <w:rFonts w:ascii="Cambria Math" w:hAnsi="Cambria Math" w:cs="Times New Roman"/>
          </w:rPr>
          <m:t>D</m:t>
        </m:r>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n</m:t>
            </m:r>
          </m:sup>
          <m:e>
            <m:f>
              <m:fPr>
                <m:ctrlPr>
                  <w:rPr>
                    <w:rFonts w:ascii="Cambria Math" w:hAnsi="Cambria Math" w:cs="Times New Roman"/>
                  </w:rPr>
                </m:ctrlPr>
              </m:fPr>
              <m:num>
                <m:r>
                  <w:rPr>
                    <w:rFonts w:ascii="Cambria Math" w:hAnsi="Cambria Math" w:cs="Times New Roman"/>
                  </w:rPr>
                  <m:t>Di</m:t>
                </m:r>
              </m:num>
              <m:den>
                <m:r>
                  <w:rPr>
                    <w:rFonts w:ascii="Cambria Math" w:hAnsi="Cambria Math" w:cs="Times New Roman"/>
                  </w:rPr>
                  <m:t>A</m:t>
                </m:r>
              </m:den>
            </m:f>
          </m:e>
        </m:nary>
      </m:oMath>
      <w:r w:rsidRPr="00D00F16">
        <w:rPr>
          <w:rFonts w:eastAsiaTheme="minorEastAsia" w:cs="Times New Roman"/>
        </w:rPr>
        <w:t xml:space="preserve">                                                             (2)</w:t>
      </w:r>
    </w:p>
    <w:p w14:paraId="20214DF2" w14:textId="5F124C6A" w:rsidR="003E09C9" w:rsidRPr="00D00F16" w:rsidRDefault="00B26723" w:rsidP="006E0E57">
      <w:pPr>
        <w:spacing w:after="0" w:line="276" w:lineRule="auto"/>
        <w:ind w:left="0"/>
        <w:jc w:val="both"/>
        <w:rPr>
          <w:rFonts w:cs="Times New Roman"/>
        </w:rPr>
      </w:pPr>
      <w:r>
        <w:rPr>
          <w:rFonts w:cs="Times New Roman"/>
        </w:rPr>
        <w:t>W</w:t>
      </w:r>
      <w:r w:rsidR="003E09C9" w:rsidRPr="00D00F16">
        <w:rPr>
          <w:rFonts w:cs="Times New Roman"/>
        </w:rPr>
        <w:t>here</w:t>
      </w:r>
      <w:r>
        <w:rPr>
          <w:rFonts w:cs="Times New Roman"/>
        </w:rPr>
        <w:t>:</w:t>
      </w:r>
      <w:r w:rsidR="003E09C9" w:rsidRPr="00D00F16">
        <w:rPr>
          <w:rFonts w:cs="Times New Roman"/>
        </w:rPr>
        <w:t xml:space="preserve"> Di is the total length of the entire streams in stream order </w:t>
      </w:r>
      <w:proofErr w:type="spellStart"/>
      <w:r w:rsidR="003E09C9" w:rsidRPr="00D00F16">
        <w:rPr>
          <w:rFonts w:cs="Times New Roman"/>
        </w:rPr>
        <w:t>i</w:t>
      </w:r>
      <w:proofErr w:type="spellEnd"/>
      <w:r w:rsidR="003E09C9" w:rsidRPr="00D00F16">
        <w:rPr>
          <w:rFonts w:cs="Times New Roman"/>
        </w:rPr>
        <w:t xml:space="preserve"> (km)</w:t>
      </w:r>
      <w:r w:rsidR="00464779" w:rsidRPr="00D00F16">
        <w:rPr>
          <w:rFonts w:cs="Times New Roman"/>
        </w:rPr>
        <w:t xml:space="preserve"> and</w:t>
      </w:r>
      <w:r>
        <w:rPr>
          <w:rFonts w:cs="Times New Roman"/>
        </w:rPr>
        <w:t xml:space="preserve"> </w:t>
      </w:r>
      <w:r w:rsidR="003E09C9" w:rsidRPr="00D00F16">
        <w:rPr>
          <w:rFonts w:cs="Times New Roman"/>
        </w:rPr>
        <w:t>A is the basin area (km</w:t>
      </w:r>
      <w:r w:rsidR="003E09C9" w:rsidRPr="00D00F16">
        <w:rPr>
          <w:rFonts w:cs="Times New Roman"/>
          <w:vertAlign w:val="superscript"/>
        </w:rPr>
        <w:t>2</w:t>
      </w:r>
      <w:r w:rsidR="003E09C9" w:rsidRPr="00D00F16">
        <w:rPr>
          <w:rFonts w:cs="Times New Roman"/>
        </w:rPr>
        <w:t>).</w:t>
      </w:r>
    </w:p>
    <w:p w14:paraId="74D074E3" w14:textId="77777777" w:rsidR="009C16E8" w:rsidRPr="00D00F16" w:rsidRDefault="009C16E8" w:rsidP="006E0E57">
      <w:pPr>
        <w:spacing w:after="0" w:line="276" w:lineRule="auto"/>
        <w:ind w:left="0"/>
        <w:jc w:val="both"/>
        <w:rPr>
          <w:rFonts w:cs="Times New Roman"/>
        </w:rPr>
      </w:pPr>
    </w:p>
    <w:p w14:paraId="38B8024C" w14:textId="0B63A3E1" w:rsidR="003E09C9" w:rsidRPr="00B26723" w:rsidRDefault="003E09C9" w:rsidP="006E0E57">
      <w:pPr>
        <w:pStyle w:val="Heading3"/>
        <w:spacing w:before="0" w:line="276" w:lineRule="auto"/>
        <w:ind w:left="0"/>
        <w:rPr>
          <w:rFonts w:ascii="Times New Roman" w:hAnsi="Times New Roman" w:cs="Times New Roman"/>
          <w:b/>
          <w:bCs/>
          <w:color w:val="auto"/>
        </w:rPr>
      </w:pPr>
      <w:r w:rsidRPr="00B26723">
        <w:rPr>
          <w:rFonts w:ascii="Times New Roman" w:hAnsi="Times New Roman" w:cs="Times New Roman"/>
          <w:b/>
          <w:bCs/>
          <w:color w:val="auto"/>
        </w:rPr>
        <w:t>Slope</w:t>
      </w:r>
    </w:p>
    <w:p w14:paraId="063CFF18" w14:textId="1C7E18F5" w:rsidR="003E09C9" w:rsidRPr="00D00F16" w:rsidRDefault="003E09C9" w:rsidP="00B26723">
      <w:pPr>
        <w:spacing w:after="0" w:line="276" w:lineRule="auto"/>
        <w:ind w:left="0"/>
        <w:jc w:val="both"/>
        <w:rPr>
          <w:rFonts w:cs="Times New Roman"/>
        </w:rPr>
      </w:pPr>
      <w:r w:rsidRPr="00D00F16">
        <w:rPr>
          <w:rFonts w:cs="Times New Roman"/>
        </w:rPr>
        <w:t>The slope was made from the DEM using the surface of the spatial analyst tool. The slope was classified and reclassified into five (5) classes using natural breaks for the weighted overlay analysis.</w:t>
      </w:r>
    </w:p>
    <w:p w14:paraId="2C902D6C" w14:textId="77777777" w:rsidR="009C16E8" w:rsidRPr="00D00F16" w:rsidRDefault="009C16E8" w:rsidP="006E0E57">
      <w:pPr>
        <w:spacing w:after="0" w:line="276" w:lineRule="auto"/>
        <w:ind w:left="0"/>
        <w:rPr>
          <w:rFonts w:cs="Times New Roman"/>
        </w:rPr>
      </w:pPr>
    </w:p>
    <w:p w14:paraId="6D12FB41" w14:textId="2183C4D8" w:rsidR="003E09C9" w:rsidRPr="00D00F16" w:rsidRDefault="00B26723" w:rsidP="006E0E57">
      <w:pPr>
        <w:pStyle w:val="Heading3"/>
        <w:spacing w:before="0" w:line="276" w:lineRule="auto"/>
        <w:ind w:left="0"/>
        <w:rPr>
          <w:rFonts w:ascii="Times New Roman" w:hAnsi="Times New Roman" w:cs="Times New Roman"/>
          <w:color w:val="auto"/>
        </w:rPr>
      </w:pPr>
      <w:r w:rsidRPr="00E072B4">
        <w:rPr>
          <w:rFonts w:ascii="Times New Roman" w:eastAsia="Times New Roman" w:hAnsi="Times New Roman" w:cs="Times New Roman"/>
          <w:b/>
          <w:bCs/>
          <w:color w:val="000000"/>
        </w:rPr>
        <w:t xml:space="preserve">Topographic Wetness </w:t>
      </w:r>
      <w:r w:rsidRPr="00B26723">
        <w:rPr>
          <w:rFonts w:ascii="Times New Roman" w:eastAsia="Times New Roman" w:hAnsi="Times New Roman" w:cs="Times New Roman"/>
          <w:b/>
          <w:bCs/>
          <w:color w:val="000000"/>
        </w:rPr>
        <w:t>Index</w:t>
      </w:r>
      <w:r w:rsidRPr="00B26723">
        <w:rPr>
          <w:rFonts w:eastAsia="Times New Roman" w:cs="Times New Roman"/>
          <w:b/>
          <w:bCs/>
          <w:color w:val="000000"/>
        </w:rPr>
        <w:t xml:space="preserve"> (</w:t>
      </w:r>
      <w:r w:rsidR="003E09C9" w:rsidRPr="00B26723">
        <w:rPr>
          <w:rFonts w:ascii="Times New Roman" w:hAnsi="Times New Roman" w:cs="Times New Roman"/>
          <w:b/>
          <w:bCs/>
          <w:color w:val="auto"/>
        </w:rPr>
        <w:t>TWI</w:t>
      </w:r>
      <w:r w:rsidRPr="00B26723">
        <w:rPr>
          <w:rFonts w:ascii="Times New Roman" w:hAnsi="Times New Roman" w:cs="Times New Roman"/>
          <w:b/>
          <w:bCs/>
          <w:color w:val="auto"/>
        </w:rPr>
        <w:t>)</w:t>
      </w:r>
    </w:p>
    <w:p w14:paraId="0C3DEE05" w14:textId="77777777" w:rsidR="003E09C9" w:rsidRPr="00D00F16" w:rsidRDefault="003E09C9" w:rsidP="006E0E57">
      <w:pPr>
        <w:spacing w:after="0" w:line="276" w:lineRule="auto"/>
        <w:ind w:left="0"/>
        <w:rPr>
          <w:rFonts w:cs="Times New Roman"/>
        </w:rPr>
      </w:pPr>
      <w:r w:rsidRPr="00D00F16">
        <w:rPr>
          <w:rFonts w:cs="Times New Roman"/>
        </w:rPr>
        <w:t xml:space="preserve">The TWI is mathematically defined as </w:t>
      </w:r>
    </w:p>
    <w:p w14:paraId="3EE0DD9B" w14:textId="319FAAA1" w:rsidR="003E09C9" w:rsidRPr="00D00F16" w:rsidRDefault="003E09C9" w:rsidP="006E0E57">
      <w:pPr>
        <w:spacing w:after="0" w:line="276" w:lineRule="auto"/>
        <w:ind w:left="0"/>
        <w:rPr>
          <w:rFonts w:cs="Times New Roman"/>
        </w:rPr>
      </w:pPr>
      <m:oMath>
        <m:r>
          <w:rPr>
            <w:rFonts w:ascii="Cambria Math" w:eastAsiaTheme="minorEastAsia" w:hAnsi="Cambria Math" w:cs="Times New Roman"/>
          </w:rPr>
          <m:t>TWI</m:t>
        </m:r>
        <m:r>
          <w:rPr>
            <w:rFonts w:ascii="Cambria Math" w:hAnsi="Cambria Math" w:cs="Times New Roman"/>
          </w:rPr>
          <m:t>=In(</m:t>
        </m:r>
        <m:f>
          <m:fPr>
            <m:ctrlPr>
              <w:rPr>
                <w:rFonts w:ascii="Cambria Math" w:hAnsi="Cambria Math" w:cs="Times New Roman"/>
                <w:i/>
              </w:rPr>
            </m:ctrlPr>
          </m:fPr>
          <m:num>
            <m:r>
              <w:rPr>
                <w:rFonts w:ascii="Cambria Math" w:hAnsi="Cambria Math" w:cs="Times New Roman"/>
              </w:rPr>
              <m:t>As</m:t>
            </m:r>
          </m:num>
          <m:den>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β</m:t>
                </m:r>
              </m:e>
            </m:func>
          </m:den>
        </m:f>
        <m:r>
          <w:rPr>
            <w:rFonts w:ascii="Cambria Math" w:hAnsi="Cambria Math" w:cs="Times New Roman"/>
          </w:rPr>
          <m:t>)</m:t>
        </m:r>
      </m:oMath>
      <w:r w:rsidR="002A2397">
        <w:rPr>
          <w:rFonts w:eastAsiaTheme="minorEastAsia" w:cs="Times New Roman"/>
        </w:rPr>
        <w:t xml:space="preserve">                                </w:t>
      </w:r>
      <w:r w:rsidRPr="00D00F16">
        <w:rPr>
          <w:rFonts w:eastAsiaTheme="minorEastAsia" w:cs="Times New Roman"/>
        </w:rPr>
        <w:t>(3)</w:t>
      </w:r>
    </w:p>
    <w:p w14:paraId="53A24818" w14:textId="16447C92" w:rsidR="003E09C9" w:rsidRPr="00D00F16" w:rsidRDefault="00B26723" w:rsidP="006E0E57">
      <w:pPr>
        <w:spacing w:after="0" w:line="276" w:lineRule="auto"/>
        <w:ind w:left="0"/>
        <w:jc w:val="both"/>
        <w:rPr>
          <w:rFonts w:cs="Times New Roman"/>
        </w:rPr>
      </w:pPr>
      <w:r>
        <w:rPr>
          <w:rFonts w:cs="Times New Roman"/>
        </w:rPr>
        <w:t>W</w:t>
      </w:r>
      <w:r w:rsidR="003E09C9" w:rsidRPr="00D00F16">
        <w:rPr>
          <w:rFonts w:cs="Times New Roman"/>
        </w:rPr>
        <w:t>here, As is the cumulative upslope area draining through a point (per unit contour length) and β is the slope gradient (in degree</w:t>
      </w:r>
      <w:r w:rsidR="009C16E8" w:rsidRPr="00D00F16">
        <w:rPr>
          <w:rFonts w:cs="Times New Roman"/>
        </w:rPr>
        <w:t>s</w:t>
      </w:r>
      <w:r w:rsidR="003E09C9" w:rsidRPr="00D00F16">
        <w:rPr>
          <w:rFonts w:cs="Times New Roman"/>
        </w:rPr>
        <w:t xml:space="preserve">). The ln tan index </w:t>
      </w:r>
      <w:r w:rsidR="008C71F4" w:rsidRPr="008C71F4">
        <w:rPr>
          <w:rFonts w:cs="Times New Roman"/>
          <w:highlight w:val="green"/>
        </w:rPr>
        <w:t>(</w:t>
      </w:r>
      <w:r w:rsidR="008C71F4" w:rsidRPr="008C71F4">
        <w:rPr>
          <w:rStyle w:val="mop"/>
          <w:highlight w:val="green"/>
        </w:rPr>
        <w:t>ln</w:t>
      </w:r>
      <w:r w:rsidR="008C71F4" w:rsidRPr="008C71F4">
        <w:rPr>
          <w:rStyle w:val="mopen"/>
          <w:highlight w:val="green"/>
        </w:rPr>
        <w:t>(</w:t>
      </w:r>
      <w:proofErr w:type="spellStart"/>
      <w:r w:rsidR="008C71F4" w:rsidRPr="008C71F4">
        <w:rPr>
          <w:rStyle w:val="mop"/>
          <w:highlight w:val="green"/>
        </w:rPr>
        <w:t>tan</w:t>
      </w:r>
      <w:r w:rsidR="008C71F4" w:rsidRPr="008C71F4">
        <w:rPr>
          <w:rStyle w:val="mord"/>
          <w:highlight w:val="green"/>
        </w:rPr>
        <w:t>θ</w:t>
      </w:r>
      <w:proofErr w:type="spellEnd"/>
      <w:r w:rsidR="008C71F4" w:rsidRPr="008C71F4">
        <w:rPr>
          <w:rStyle w:val="mclose"/>
          <w:highlight w:val="green"/>
        </w:rPr>
        <w:t>)</w:t>
      </w:r>
      <w:r w:rsidR="008C71F4" w:rsidRPr="008C71F4">
        <w:rPr>
          <w:rFonts w:cs="Times New Roman"/>
          <w:highlight w:val="green"/>
        </w:rPr>
        <w:t>)</w:t>
      </w:r>
      <w:r w:rsidR="008C71F4">
        <w:rPr>
          <w:rFonts w:cs="Times New Roman"/>
        </w:rPr>
        <w:t xml:space="preserve"> </w:t>
      </w:r>
      <w:r w:rsidR="003E09C9" w:rsidRPr="00D00F16">
        <w:rPr>
          <w:rFonts w:cs="Times New Roman"/>
        </w:rPr>
        <w:t xml:space="preserve">takes into account the propensity of water to collect at each location in the catchment and the propensity of gravitational forces to carry that water down </w:t>
      </w:r>
      <w:r w:rsidR="009C16E8" w:rsidRPr="00D00F16">
        <w:rPr>
          <w:rFonts w:cs="Times New Roman"/>
        </w:rPr>
        <w:t xml:space="preserve">the </w:t>
      </w:r>
      <w:r w:rsidR="003E09C9" w:rsidRPr="00D00F16">
        <w:rPr>
          <w:rFonts w:cs="Times New Roman"/>
        </w:rPr>
        <w:t xml:space="preserve">slope. Water infiltration is primarily influenced by the strength of the soil and material characteristics like permeability and pore water pressure. In this study, TWI was therefore considered to be one of the influencing groundwater potentials. The TWI map for the </w:t>
      </w:r>
      <w:r w:rsidR="00F91FFB" w:rsidRPr="00D00F16">
        <w:rPr>
          <w:rFonts w:cs="Times New Roman"/>
        </w:rPr>
        <w:t>municipality</w:t>
      </w:r>
      <w:r w:rsidR="003E09C9" w:rsidRPr="00D00F16">
        <w:rPr>
          <w:rFonts w:cs="Times New Roman"/>
        </w:rPr>
        <w:t xml:space="preserve"> was developed using the raster calculator by the algorithm of </w:t>
      </w:r>
      <w:r w:rsidR="008E5718" w:rsidRPr="00D00F16">
        <w:rPr>
          <w:rFonts w:cs="Times New Roman"/>
        </w:rPr>
        <w:t>f</w:t>
      </w:r>
      <w:r w:rsidR="003E09C9" w:rsidRPr="00D00F16">
        <w:rPr>
          <w:rFonts w:cs="Times New Roman"/>
        </w:rPr>
        <w:t xml:space="preserve">low </w:t>
      </w:r>
      <w:r w:rsidR="008E5718" w:rsidRPr="00D00F16">
        <w:rPr>
          <w:rFonts w:cs="Times New Roman"/>
        </w:rPr>
        <w:t>d</w:t>
      </w:r>
      <w:r w:rsidR="003E09C9" w:rsidRPr="00D00F16">
        <w:rPr>
          <w:rFonts w:cs="Times New Roman"/>
        </w:rPr>
        <w:t xml:space="preserve">irection, </w:t>
      </w:r>
      <w:r w:rsidR="008E5718" w:rsidRPr="00D00F16">
        <w:rPr>
          <w:rFonts w:cs="Times New Roman"/>
        </w:rPr>
        <w:t>f</w:t>
      </w:r>
      <w:r w:rsidR="003E09C9" w:rsidRPr="00D00F16">
        <w:rPr>
          <w:rFonts w:cs="Times New Roman"/>
        </w:rPr>
        <w:t>low accumulation</w:t>
      </w:r>
      <w:r w:rsidR="009C16E8" w:rsidRPr="00D00F16">
        <w:rPr>
          <w:rFonts w:cs="Times New Roman"/>
        </w:rPr>
        <w:t>,</w:t>
      </w:r>
      <w:r w:rsidR="008E5718" w:rsidRPr="00D00F16">
        <w:rPr>
          <w:rFonts w:cs="Times New Roman"/>
        </w:rPr>
        <w:t xml:space="preserve"> and s</w:t>
      </w:r>
      <w:r w:rsidR="003E09C9" w:rsidRPr="00D00F16">
        <w:rPr>
          <w:rFonts w:cs="Times New Roman"/>
        </w:rPr>
        <w:t>lope.</w:t>
      </w:r>
    </w:p>
    <w:p w14:paraId="0E2B1943" w14:textId="77777777" w:rsidR="009C16E8" w:rsidRPr="00D00F16" w:rsidRDefault="009C16E8" w:rsidP="006E0E57">
      <w:pPr>
        <w:spacing w:after="0" w:line="276" w:lineRule="auto"/>
        <w:ind w:left="0"/>
        <w:jc w:val="both"/>
        <w:rPr>
          <w:rFonts w:cs="Times New Roman"/>
        </w:rPr>
      </w:pPr>
    </w:p>
    <w:p w14:paraId="13B490D2" w14:textId="6B94914A" w:rsidR="003E09C9" w:rsidRPr="00B26723" w:rsidRDefault="003E09C9" w:rsidP="006E0E57">
      <w:pPr>
        <w:pStyle w:val="Heading3"/>
        <w:spacing w:before="0" w:line="276" w:lineRule="auto"/>
        <w:ind w:left="0"/>
        <w:rPr>
          <w:rFonts w:ascii="Times New Roman" w:hAnsi="Times New Roman" w:cs="Times New Roman"/>
          <w:b/>
          <w:bCs/>
          <w:i/>
          <w:iCs/>
          <w:color w:val="auto"/>
        </w:rPr>
      </w:pPr>
      <w:r w:rsidRPr="00B26723">
        <w:rPr>
          <w:rFonts w:ascii="Times New Roman" w:hAnsi="Times New Roman" w:cs="Times New Roman"/>
          <w:b/>
          <w:bCs/>
          <w:color w:val="auto"/>
        </w:rPr>
        <w:t>Rainfall</w:t>
      </w:r>
    </w:p>
    <w:p w14:paraId="3C903E09" w14:textId="3E95A71D" w:rsidR="003E09C9" w:rsidRPr="00D00F16" w:rsidRDefault="003E09C9" w:rsidP="006E0E57">
      <w:pPr>
        <w:spacing w:after="0" w:line="276" w:lineRule="auto"/>
        <w:ind w:left="0"/>
        <w:jc w:val="both"/>
        <w:rPr>
          <w:rFonts w:cs="Times New Roman"/>
        </w:rPr>
      </w:pPr>
      <w:r w:rsidRPr="00D00F16">
        <w:rPr>
          <w:rFonts w:cs="Times New Roman"/>
        </w:rPr>
        <w:t xml:space="preserve">Historical rainfall data (1991-2021) was used for interpolation using the </w:t>
      </w:r>
      <w:bookmarkStart w:id="12" w:name="_Hlk132724575"/>
      <w:r w:rsidRPr="00D00F16">
        <w:rPr>
          <w:rFonts w:cs="Times New Roman"/>
        </w:rPr>
        <w:t>inverse distance weight (IDW</w:t>
      </w:r>
      <w:bookmarkEnd w:id="12"/>
      <w:r w:rsidRPr="00D00F16">
        <w:rPr>
          <w:rFonts w:cs="Times New Roman"/>
        </w:rPr>
        <w:t xml:space="preserve">) interpolation tool in the ArcMap toolbox to produce the rainfall distribution map of the </w:t>
      </w:r>
      <w:r w:rsidR="00F91FFB" w:rsidRPr="00D00F16">
        <w:rPr>
          <w:rFonts w:cs="Times New Roman"/>
        </w:rPr>
        <w:t>municipality</w:t>
      </w:r>
      <w:r w:rsidRPr="00D00F16">
        <w:rPr>
          <w:rFonts w:cs="Times New Roman"/>
        </w:rPr>
        <w:t>. The layer was reclassified for integration with the other layers by weigh</w:t>
      </w:r>
      <w:r w:rsidR="009C16E8" w:rsidRPr="00D00F16">
        <w:rPr>
          <w:rFonts w:cs="Times New Roman"/>
        </w:rPr>
        <w:t>t</w:t>
      </w:r>
      <w:r w:rsidRPr="00D00F16">
        <w:rPr>
          <w:rFonts w:cs="Times New Roman"/>
        </w:rPr>
        <w:t xml:space="preserve"> assignment. Areas with higher precipitation may have </w:t>
      </w:r>
      <w:r w:rsidR="009C16E8" w:rsidRPr="00D00F16">
        <w:rPr>
          <w:rFonts w:cs="Times New Roman"/>
        </w:rPr>
        <w:t xml:space="preserve">the </w:t>
      </w:r>
      <w:r w:rsidRPr="00D00F16">
        <w:rPr>
          <w:rFonts w:cs="Times New Roman"/>
        </w:rPr>
        <w:t>potential for groundwater.</w:t>
      </w:r>
    </w:p>
    <w:p w14:paraId="764139B0" w14:textId="73D2DD3B" w:rsidR="003E09C9" w:rsidRPr="00D00F16" w:rsidRDefault="003E09C9" w:rsidP="006E0E57">
      <w:pPr>
        <w:tabs>
          <w:tab w:val="left" w:pos="2055"/>
        </w:tabs>
        <w:spacing w:after="0" w:line="276" w:lineRule="auto"/>
        <w:ind w:left="0"/>
        <w:rPr>
          <w:rFonts w:cs="Times New Roman"/>
        </w:rPr>
      </w:pPr>
      <w:r w:rsidRPr="00D00F16">
        <w:rPr>
          <w:rFonts w:cs="Times New Roman"/>
          <w:noProof/>
        </w:rPr>
        <w:drawing>
          <wp:inline distT="0" distB="0" distL="0" distR="0" wp14:anchorId="650713F0" wp14:editId="3D38982F">
            <wp:extent cx="6765717" cy="4143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6765717" cy="4143375"/>
                    </a:xfrm>
                    <a:prstGeom prst="rect">
                      <a:avLst/>
                    </a:prstGeom>
                  </pic:spPr>
                </pic:pic>
              </a:graphicData>
            </a:graphic>
          </wp:inline>
        </w:drawing>
      </w:r>
    </w:p>
    <w:p w14:paraId="3F4F0BC6" w14:textId="7BB990DE" w:rsidR="003E09C9" w:rsidRPr="00D00F16" w:rsidRDefault="003E09C9" w:rsidP="006E0E57">
      <w:pPr>
        <w:pStyle w:val="Caption"/>
        <w:spacing w:after="0" w:line="276" w:lineRule="auto"/>
        <w:ind w:left="0"/>
        <w:rPr>
          <w:rFonts w:cs="Times New Roman"/>
          <w:i w:val="0"/>
          <w:iCs w:val="0"/>
          <w:color w:val="auto"/>
          <w:sz w:val="24"/>
          <w:szCs w:val="24"/>
        </w:rPr>
      </w:pPr>
      <w:bookmarkStart w:id="13" w:name="_Toc138777750"/>
      <w:r w:rsidRPr="00FE6BA3">
        <w:rPr>
          <w:rFonts w:cs="Times New Roman"/>
          <w:b/>
          <w:bCs/>
          <w:i w:val="0"/>
          <w:iCs w:val="0"/>
          <w:color w:val="auto"/>
          <w:sz w:val="24"/>
          <w:szCs w:val="24"/>
        </w:rPr>
        <w:t>Fig</w:t>
      </w:r>
      <w:r w:rsidR="00B26723" w:rsidRPr="00FE6BA3">
        <w:rPr>
          <w:rFonts w:cs="Times New Roman"/>
          <w:b/>
          <w:bCs/>
          <w:i w:val="0"/>
          <w:iCs w:val="0"/>
          <w:color w:val="auto"/>
          <w:sz w:val="24"/>
          <w:szCs w:val="24"/>
        </w:rPr>
        <w:t>ure</w:t>
      </w:r>
      <w:r w:rsidRPr="00FE6BA3">
        <w:rPr>
          <w:rFonts w:cs="Times New Roman"/>
          <w:b/>
          <w:bCs/>
          <w:i w:val="0"/>
          <w:iCs w:val="0"/>
          <w:color w:val="auto"/>
          <w:sz w:val="24"/>
          <w:szCs w:val="24"/>
        </w:rPr>
        <w:t xml:space="preserve"> </w:t>
      </w:r>
      <w:r w:rsidR="00B51A12" w:rsidRPr="00FE6BA3">
        <w:rPr>
          <w:rFonts w:cs="Times New Roman"/>
          <w:b/>
          <w:bCs/>
          <w:i w:val="0"/>
          <w:iCs w:val="0"/>
          <w:color w:val="auto"/>
          <w:sz w:val="24"/>
          <w:szCs w:val="24"/>
        </w:rPr>
        <w:t>2</w:t>
      </w:r>
      <w:r w:rsidR="00B26723" w:rsidRPr="00FE6BA3">
        <w:rPr>
          <w:rFonts w:cs="Times New Roman"/>
          <w:b/>
          <w:bCs/>
          <w:i w:val="0"/>
          <w:iCs w:val="0"/>
          <w:color w:val="auto"/>
          <w:sz w:val="24"/>
          <w:szCs w:val="24"/>
        </w:rPr>
        <w:t>:</w:t>
      </w:r>
      <w:r w:rsidRPr="00D00F16">
        <w:rPr>
          <w:rFonts w:cs="Times New Roman"/>
          <w:i w:val="0"/>
          <w:iCs w:val="0"/>
          <w:color w:val="auto"/>
          <w:sz w:val="24"/>
          <w:szCs w:val="24"/>
        </w:rPr>
        <w:t xml:space="preserve"> Flowchart for </w:t>
      </w:r>
      <w:r w:rsidR="00A77020" w:rsidRPr="00D00F16">
        <w:rPr>
          <w:rFonts w:cs="Times New Roman"/>
          <w:i w:val="0"/>
          <w:iCs w:val="0"/>
          <w:color w:val="auto"/>
          <w:sz w:val="24"/>
          <w:szCs w:val="24"/>
        </w:rPr>
        <w:t>mapping</w:t>
      </w:r>
      <w:r w:rsidR="002D1788">
        <w:rPr>
          <w:rFonts w:cs="Times New Roman"/>
          <w:i w:val="0"/>
          <w:iCs w:val="0"/>
          <w:color w:val="auto"/>
          <w:sz w:val="24"/>
          <w:szCs w:val="24"/>
        </w:rPr>
        <w:t xml:space="preserve"> zones of</w:t>
      </w:r>
      <w:r w:rsidRPr="00D00F16">
        <w:rPr>
          <w:rFonts w:cs="Times New Roman"/>
          <w:i w:val="0"/>
          <w:iCs w:val="0"/>
          <w:color w:val="auto"/>
          <w:sz w:val="24"/>
          <w:szCs w:val="24"/>
        </w:rPr>
        <w:t xml:space="preserve"> groundwater potential in the </w:t>
      </w:r>
      <w:proofErr w:type="spellStart"/>
      <w:r w:rsidRPr="00D00F16">
        <w:rPr>
          <w:rFonts w:cs="Times New Roman"/>
          <w:i w:val="0"/>
          <w:iCs w:val="0"/>
          <w:color w:val="auto"/>
          <w:sz w:val="24"/>
          <w:szCs w:val="24"/>
        </w:rPr>
        <w:t>Wa</w:t>
      </w:r>
      <w:proofErr w:type="spellEnd"/>
      <w:r w:rsidRPr="00D00F16">
        <w:rPr>
          <w:rFonts w:cs="Times New Roman"/>
          <w:i w:val="0"/>
          <w:iCs w:val="0"/>
          <w:color w:val="auto"/>
          <w:sz w:val="24"/>
          <w:szCs w:val="24"/>
        </w:rPr>
        <w:t xml:space="preserve"> </w:t>
      </w:r>
      <w:r w:rsidR="00B26723">
        <w:rPr>
          <w:rFonts w:cs="Times New Roman"/>
          <w:i w:val="0"/>
          <w:iCs w:val="0"/>
          <w:color w:val="auto"/>
          <w:sz w:val="24"/>
          <w:szCs w:val="24"/>
        </w:rPr>
        <w:t>M</w:t>
      </w:r>
      <w:r w:rsidRPr="00D00F16">
        <w:rPr>
          <w:rFonts w:cs="Times New Roman"/>
          <w:i w:val="0"/>
          <w:iCs w:val="0"/>
          <w:color w:val="auto"/>
          <w:sz w:val="24"/>
          <w:szCs w:val="24"/>
        </w:rPr>
        <w:t>unicipality</w:t>
      </w:r>
      <w:bookmarkEnd w:id="13"/>
    </w:p>
    <w:p w14:paraId="56838811" w14:textId="77777777" w:rsidR="003E09C9" w:rsidRPr="00D00F16" w:rsidRDefault="003E09C9" w:rsidP="006E0E57">
      <w:pPr>
        <w:spacing w:after="0" w:line="276" w:lineRule="auto"/>
        <w:ind w:left="0"/>
        <w:rPr>
          <w:rFonts w:cs="Times New Roman"/>
        </w:rPr>
      </w:pPr>
    </w:p>
    <w:p w14:paraId="0F07C58D" w14:textId="2D87D838" w:rsidR="003E09C9" w:rsidRPr="00DF3387" w:rsidRDefault="00DF3387" w:rsidP="006E0E57">
      <w:pPr>
        <w:pStyle w:val="Heading2"/>
        <w:spacing w:before="0" w:line="276" w:lineRule="auto"/>
        <w:ind w:left="0"/>
        <w:rPr>
          <w:rFonts w:ascii="Times New Roman" w:hAnsi="Times New Roman" w:cs="Times New Roman"/>
          <w:b/>
          <w:color w:val="auto"/>
          <w:sz w:val="24"/>
          <w:szCs w:val="24"/>
        </w:rPr>
      </w:pPr>
      <w:bookmarkStart w:id="14" w:name="_Toc139901844"/>
      <w:bookmarkStart w:id="15" w:name="_Hlk132724664"/>
      <w:r>
        <w:rPr>
          <w:rFonts w:ascii="Times New Roman" w:hAnsi="Times New Roman" w:cs="Times New Roman"/>
          <w:b/>
          <w:color w:val="auto"/>
          <w:sz w:val="24"/>
          <w:szCs w:val="24"/>
        </w:rPr>
        <w:t xml:space="preserve">Mapping of </w:t>
      </w:r>
      <w:r w:rsidR="003E09C9" w:rsidRPr="00DF3387">
        <w:rPr>
          <w:rFonts w:ascii="Times New Roman" w:hAnsi="Times New Roman" w:cs="Times New Roman"/>
          <w:b/>
          <w:color w:val="auto"/>
          <w:sz w:val="24"/>
          <w:szCs w:val="24"/>
        </w:rPr>
        <w:t xml:space="preserve">Groundwater Potential </w:t>
      </w:r>
      <w:r w:rsidR="00A9495A" w:rsidRPr="00DF3387">
        <w:rPr>
          <w:rFonts w:ascii="Times New Roman" w:hAnsi="Times New Roman" w:cs="Times New Roman"/>
          <w:b/>
          <w:color w:val="auto"/>
          <w:sz w:val="24"/>
          <w:szCs w:val="24"/>
        </w:rPr>
        <w:t>Zones</w:t>
      </w:r>
      <w:bookmarkEnd w:id="14"/>
      <w:bookmarkEnd w:id="15"/>
    </w:p>
    <w:p w14:paraId="17D8AF39" w14:textId="493A8A07" w:rsidR="00A9495A" w:rsidRPr="00D00F16" w:rsidRDefault="00A9495A" w:rsidP="006E0E57">
      <w:pPr>
        <w:spacing w:after="0" w:line="276" w:lineRule="auto"/>
        <w:ind w:left="0"/>
        <w:jc w:val="both"/>
        <w:rPr>
          <w:rFonts w:cs="Times New Roman"/>
        </w:rPr>
      </w:pPr>
      <w:r w:rsidRPr="00D00F16">
        <w:rPr>
          <w:rFonts w:cs="Times New Roman"/>
        </w:rPr>
        <w:t>The potential zones</w:t>
      </w:r>
      <w:r w:rsidR="00701D7B">
        <w:rPr>
          <w:rFonts w:cs="Times New Roman"/>
        </w:rPr>
        <w:t xml:space="preserve"> of</w:t>
      </w:r>
      <w:r w:rsidRPr="00D00F16">
        <w:rPr>
          <w:rFonts w:cs="Times New Roman"/>
        </w:rPr>
        <w:t xml:space="preserve"> </w:t>
      </w:r>
      <w:r w:rsidR="00701D7B" w:rsidRPr="00D00F16">
        <w:rPr>
          <w:rFonts w:cs="Times New Roman"/>
        </w:rPr>
        <w:t xml:space="preserve">groundwater </w:t>
      </w:r>
      <w:r w:rsidRPr="00D00F16">
        <w:rPr>
          <w:rFonts w:cs="Times New Roman"/>
        </w:rPr>
        <w:t xml:space="preserve">were </w:t>
      </w:r>
      <w:r w:rsidR="00A77020" w:rsidRPr="00D00F16">
        <w:rPr>
          <w:rFonts w:cs="Times New Roman"/>
        </w:rPr>
        <w:t>mapped</w:t>
      </w:r>
      <w:r w:rsidRPr="00D00F16">
        <w:rPr>
          <w:rFonts w:cs="Times New Roman"/>
        </w:rPr>
        <w:t xml:space="preserve"> after integrating the various factors influencing groundwater water occurrence. The integration was done based on weight assignment using the </w:t>
      </w:r>
    </w:p>
    <w:p w14:paraId="3F21FCFF" w14:textId="3455F197" w:rsidR="00A9495A" w:rsidRPr="00D00F16" w:rsidRDefault="00A9495A" w:rsidP="006E0E57">
      <w:pPr>
        <w:spacing w:after="0" w:line="276" w:lineRule="auto"/>
        <w:ind w:left="0"/>
        <w:jc w:val="both"/>
        <w:rPr>
          <w:rFonts w:cs="Times New Roman"/>
        </w:rPr>
      </w:pPr>
      <w:r w:rsidRPr="00D00F16">
        <w:rPr>
          <w:rFonts w:cs="Times New Roman"/>
        </w:rPr>
        <w:t xml:space="preserve">Analytic Hierarchy Process (AHP) </w:t>
      </w:r>
      <w:r w:rsidR="001E0E9D">
        <w:rPr>
          <w:rFonts w:cs="Times New Roman"/>
        </w:rPr>
        <w:fldChar w:fldCharType="begin" w:fldLock="1"/>
      </w:r>
      <w:r w:rsidR="00622464">
        <w:rPr>
          <w:rFonts w:cs="Times New Roman"/>
        </w:rPr>
        <w:instrText>ADDIN CSL_CITATION {"citationItems":[{"id":"ITEM-1","itemData":{"DOI":"10.1007/978-1-4613-2805-6_12","abstract":"The Analytic Hierarchy Process (AHP) is a problem solving framework. It is a systematic procedure for representing the elements of any problem. It organizes the basic rationality by breaking down a problem into its smaller constituent parts and then calls for only simple pairwise comparison judgments, to develop priorities in each hierarchy.","author":[{"dropping-particle":"","family":"Saaty","given":"Thomas L.","non-dropping-particle":"","parse-names":false,"suffix":""}],"container-title":"Quantitative Assessment in Arms Control","id":"ITEM-1","issued":{"date-parts":[["1984"]]},"page":"285-308","title":"The Analytic Hierarchy Process: Decision Making in Complex Environments","type":"article-journal"},"uris":["http://www.mendeley.com/documents/?uuid=5f88a8bd-aea7-4694-966f-5e6851410edb"]}],"mendeley":{"formattedCitation":"(Saaty, 1984)","plainTextFormattedCitation":"(Saaty, 1984)","previouslyFormattedCitation":"(Saaty, 1984)"},"properties":{"noteIndex":0},"schema":"https://github.com/citation-style-language/schema/raw/master/csl-citation.json"}</w:instrText>
      </w:r>
      <w:r w:rsidR="001E0E9D">
        <w:rPr>
          <w:rFonts w:cs="Times New Roman"/>
        </w:rPr>
        <w:fldChar w:fldCharType="separate"/>
      </w:r>
      <w:r w:rsidR="00622464" w:rsidRPr="00622464">
        <w:rPr>
          <w:rFonts w:cs="Times New Roman"/>
          <w:noProof/>
        </w:rPr>
        <w:t>(Saaty, 1984)</w:t>
      </w:r>
      <w:r w:rsidR="001E0E9D">
        <w:rPr>
          <w:rFonts w:cs="Times New Roman"/>
        </w:rPr>
        <w:fldChar w:fldCharType="end"/>
      </w:r>
      <w:r w:rsidRPr="00D00F16">
        <w:rPr>
          <w:rFonts w:cs="Times New Roman"/>
        </w:rPr>
        <w:t xml:space="preserve">. The GWPZ was calculated using </w:t>
      </w:r>
      <w:r w:rsidR="008D0EE0">
        <w:rPr>
          <w:rFonts w:cs="Times New Roman"/>
        </w:rPr>
        <w:t>Eq.</w:t>
      </w:r>
      <w:r w:rsidR="002C0331">
        <w:rPr>
          <w:rFonts w:cs="Times New Roman"/>
        </w:rPr>
        <w:t xml:space="preserve"> </w:t>
      </w:r>
      <w:r w:rsidR="008D0EE0">
        <w:rPr>
          <w:rFonts w:cs="Times New Roman"/>
        </w:rPr>
        <w:t>(</w:t>
      </w:r>
      <w:r w:rsidR="00E10D6E" w:rsidRPr="00D00F16">
        <w:rPr>
          <w:rFonts w:cs="Times New Roman"/>
        </w:rPr>
        <w:t>4</w:t>
      </w:r>
      <w:r w:rsidR="008D0EE0">
        <w:rPr>
          <w:rFonts w:cs="Times New Roman"/>
        </w:rPr>
        <w:t>)</w:t>
      </w:r>
      <w:r w:rsidRPr="00D00F16">
        <w:rPr>
          <w:rFonts w:cs="Times New Roman"/>
        </w:rPr>
        <w:t>.</w:t>
      </w:r>
    </w:p>
    <w:p w14:paraId="15F386E6" w14:textId="5630E0B9" w:rsidR="00A9495A" w:rsidRPr="00D00F16" w:rsidRDefault="00A9495A" w:rsidP="006E0E57">
      <w:pPr>
        <w:spacing w:after="0" w:line="276" w:lineRule="auto"/>
        <w:ind w:left="0"/>
        <w:jc w:val="both"/>
        <w:rPr>
          <w:rFonts w:eastAsiaTheme="minorEastAsia" w:cs="Times New Roman"/>
        </w:rPr>
      </w:pPr>
      <m:oMath>
        <m:r>
          <m:rPr>
            <m:sty m:val="p"/>
          </m:rPr>
          <w:rPr>
            <w:rFonts w:ascii="Cambria Math" w:hAnsi="Cambria Math" w:cs="Times New Roman"/>
          </w:rPr>
          <m:t xml:space="preserve">GWPZ=GGw </m:t>
        </m:r>
        <w:bookmarkStart w:id="16" w:name="_Hlk206241664"/>
        <m:r>
          <m:rPr>
            <m:sty m:val="p"/>
          </m:rPr>
          <w:rPr>
            <w:rFonts w:ascii="Cambria Math" w:hAnsi="Cambria Math" w:cs="Times New Roman"/>
          </w:rPr>
          <m:t>×</m:t>
        </m:r>
        <w:bookmarkEnd w:id="16"/>
        <m:r>
          <m:rPr>
            <m:sty m:val="p"/>
          </m:rPr>
          <w:rPr>
            <w:rFonts w:ascii="Cambria Math" w:hAnsi="Cambria Math" w:cs="Times New Roman"/>
          </w:rPr>
          <m:t>GGr+RFw×RFr+TWIw×TWIr+LDw×LDr+LULCw×LULCr+DDw×DDr+ELw×ELr+SLw×SLr+SOw×SOr</m:t>
        </m:r>
      </m:oMath>
      <w:r w:rsidRPr="00D00F16">
        <w:rPr>
          <w:rFonts w:eastAsiaTheme="minorEastAsia" w:cs="Times New Roman"/>
        </w:rPr>
        <w:t xml:space="preserve">   </w:t>
      </w:r>
      <w:r w:rsidR="00DB53D5">
        <w:rPr>
          <w:rFonts w:eastAsiaTheme="minorEastAsia" w:cs="Times New Roman"/>
        </w:rPr>
        <w:t>………</w:t>
      </w:r>
      <w:proofErr w:type="gramStart"/>
      <w:r w:rsidR="00DB53D5">
        <w:rPr>
          <w:rFonts w:eastAsiaTheme="minorEastAsia" w:cs="Times New Roman"/>
        </w:rPr>
        <w:t>….</w:t>
      </w:r>
      <w:r w:rsidRPr="00D00F16">
        <w:rPr>
          <w:rFonts w:eastAsiaTheme="minorEastAsia" w:cs="Times New Roman"/>
        </w:rPr>
        <w:t>(</w:t>
      </w:r>
      <w:proofErr w:type="gramEnd"/>
      <w:r w:rsidRPr="00D00F16">
        <w:rPr>
          <w:rFonts w:eastAsiaTheme="minorEastAsia" w:cs="Times New Roman"/>
        </w:rPr>
        <w:t>4)</w:t>
      </w:r>
    </w:p>
    <w:p w14:paraId="3A8AEB3D" w14:textId="4B3419D7" w:rsidR="00A9495A" w:rsidRPr="00D00F16" w:rsidRDefault="00A9495A" w:rsidP="006E0E57">
      <w:pPr>
        <w:spacing w:after="0" w:line="276" w:lineRule="auto"/>
        <w:ind w:left="0"/>
        <w:jc w:val="both"/>
        <w:rPr>
          <w:rFonts w:eastAsiaTheme="minorEastAsia" w:cs="Times New Roman"/>
        </w:rPr>
      </w:pPr>
      <w:r w:rsidRPr="00D00F16">
        <w:rPr>
          <w:rFonts w:eastAsiaTheme="minorEastAsia" w:cs="Times New Roman"/>
        </w:rPr>
        <w:t>Where</w:t>
      </w:r>
      <w:r w:rsidR="00DF3387">
        <w:rPr>
          <w:rFonts w:eastAsiaTheme="minorEastAsia" w:cs="Times New Roman"/>
        </w:rPr>
        <w:t>:</w:t>
      </w:r>
      <w:r w:rsidRPr="00D00F16">
        <w:rPr>
          <w:rFonts w:eastAsiaTheme="minorEastAsia" w:cs="Times New Roman"/>
        </w:rPr>
        <w:t xml:space="preserve"> GWPZ = Groundwater potential zone, w = weigh, r = rate, GG = geology, RF = rainfall, TWI = topographic wetness index, LD = lineament density, LULC = land use and land</w:t>
      </w:r>
      <w:r w:rsidR="005D7A0E">
        <w:rPr>
          <w:rFonts w:eastAsiaTheme="minorEastAsia" w:cs="Times New Roman"/>
        </w:rPr>
        <w:t xml:space="preserve"> </w:t>
      </w:r>
      <w:r w:rsidRPr="00D00F16">
        <w:rPr>
          <w:rFonts w:eastAsiaTheme="minorEastAsia" w:cs="Times New Roman"/>
        </w:rPr>
        <w:t>cover, DD = drainage density, EL = elevation, SL = slope and SO = soil</w:t>
      </w:r>
    </w:p>
    <w:p w14:paraId="55CEB3F0" w14:textId="77777777" w:rsidR="00DF3387" w:rsidRDefault="00DF3387" w:rsidP="006E0E57">
      <w:pPr>
        <w:pStyle w:val="Caption"/>
        <w:keepNext/>
        <w:spacing w:after="0" w:line="276" w:lineRule="auto"/>
        <w:ind w:left="0"/>
        <w:rPr>
          <w:rFonts w:cs="Times New Roman"/>
          <w:i w:val="0"/>
          <w:color w:val="auto"/>
          <w:sz w:val="24"/>
          <w:szCs w:val="24"/>
        </w:rPr>
      </w:pPr>
      <w:bookmarkStart w:id="17" w:name="_Toc138764721"/>
    </w:p>
    <w:p w14:paraId="3F180B45" w14:textId="3C777DA1" w:rsidR="003E09C9" w:rsidRPr="00D00F16" w:rsidRDefault="003E09C9" w:rsidP="006E0E57">
      <w:pPr>
        <w:pStyle w:val="Caption"/>
        <w:keepNext/>
        <w:spacing w:after="0" w:line="276" w:lineRule="auto"/>
        <w:ind w:left="0"/>
        <w:rPr>
          <w:rFonts w:cs="Times New Roman"/>
          <w:i w:val="0"/>
          <w:color w:val="auto"/>
          <w:sz w:val="24"/>
          <w:szCs w:val="24"/>
        </w:rPr>
      </w:pPr>
      <w:r w:rsidRPr="00DF3387">
        <w:rPr>
          <w:rFonts w:cs="Times New Roman"/>
          <w:b/>
          <w:bCs/>
          <w:i w:val="0"/>
          <w:color w:val="auto"/>
          <w:sz w:val="24"/>
          <w:szCs w:val="24"/>
        </w:rPr>
        <w:t xml:space="preserve">Table </w:t>
      </w:r>
      <w:r w:rsidR="00203C5D">
        <w:rPr>
          <w:rFonts w:cs="Times New Roman"/>
          <w:b/>
          <w:bCs/>
          <w:i w:val="0"/>
          <w:color w:val="auto"/>
          <w:sz w:val="24"/>
          <w:szCs w:val="24"/>
        </w:rPr>
        <w:t>2</w:t>
      </w:r>
      <w:r w:rsidR="00DF3387" w:rsidRPr="00DF3387">
        <w:rPr>
          <w:rFonts w:cs="Times New Roman"/>
          <w:b/>
          <w:bCs/>
          <w:i w:val="0"/>
          <w:color w:val="auto"/>
          <w:sz w:val="24"/>
          <w:szCs w:val="24"/>
        </w:rPr>
        <w:t>:</w:t>
      </w:r>
      <w:r w:rsidR="00DF3387">
        <w:rPr>
          <w:rFonts w:cs="Times New Roman"/>
          <w:i w:val="0"/>
          <w:color w:val="auto"/>
          <w:sz w:val="24"/>
          <w:szCs w:val="24"/>
        </w:rPr>
        <w:t xml:space="preserve"> </w:t>
      </w:r>
      <w:r w:rsidRPr="00D00F16">
        <w:rPr>
          <w:rFonts w:cs="Times New Roman"/>
          <w:i w:val="0"/>
          <w:color w:val="auto"/>
          <w:sz w:val="24"/>
          <w:szCs w:val="24"/>
        </w:rPr>
        <w:t>Groundwater Potential Index</w:t>
      </w:r>
      <w:bookmarkEnd w:id="17"/>
    </w:p>
    <w:tbl>
      <w:tblPr>
        <w:tblStyle w:val="TableGrid"/>
        <w:tblW w:w="8533"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3864"/>
      </w:tblGrid>
      <w:tr w:rsidR="003F590C" w:rsidRPr="00D00F16" w14:paraId="40ACF7DB" w14:textId="77777777" w:rsidTr="004F2DDE">
        <w:tc>
          <w:tcPr>
            <w:tcW w:w="4669" w:type="dxa"/>
            <w:tcBorders>
              <w:top w:val="single" w:sz="4" w:space="0" w:color="auto"/>
              <w:bottom w:val="single" w:sz="4" w:space="0" w:color="auto"/>
            </w:tcBorders>
          </w:tcPr>
          <w:p w14:paraId="18752D49" w14:textId="77777777" w:rsidR="003E09C9" w:rsidRPr="00DF3387" w:rsidRDefault="003E09C9" w:rsidP="006E0E57">
            <w:pPr>
              <w:spacing w:line="276" w:lineRule="auto"/>
              <w:ind w:left="0"/>
              <w:rPr>
                <w:b/>
                <w:bCs/>
                <w:sz w:val="24"/>
                <w:szCs w:val="24"/>
              </w:rPr>
            </w:pPr>
            <w:r w:rsidRPr="00DF3387">
              <w:rPr>
                <w:b/>
                <w:bCs/>
                <w:sz w:val="24"/>
                <w:szCs w:val="24"/>
              </w:rPr>
              <w:t>Value</w:t>
            </w:r>
          </w:p>
        </w:tc>
        <w:tc>
          <w:tcPr>
            <w:tcW w:w="3864" w:type="dxa"/>
            <w:tcBorders>
              <w:top w:val="single" w:sz="4" w:space="0" w:color="auto"/>
              <w:bottom w:val="single" w:sz="4" w:space="0" w:color="auto"/>
            </w:tcBorders>
          </w:tcPr>
          <w:p w14:paraId="62570D7A" w14:textId="77777777" w:rsidR="003E09C9" w:rsidRPr="00DF3387" w:rsidRDefault="003E09C9" w:rsidP="006E0E57">
            <w:pPr>
              <w:spacing w:line="276" w:lineRule="auto"/>
              <w:ind w:left="0"/>
              <w:rPr>
                <w:b/>
                <w:bCs/>
                <w:sz w:val="24"/>
                <w:szCs w:val="24"/>
              </w:rPr>
            </w:pPr>
            <w:r w:rsidRPr="00DF3387">
              <w:rPr>
                <w:b/>
                <w:bCs/>
                <w:sz w:val="24"/>
                <w:szCs w:val="24"/>
              </w:rPr>
              <w:t xml:space="preserve">Groundwater Potential </w:t>
            </w:r>
          </w:p>
        </w:tc>
      </w:tr>
      <w:tr w:rsidR="003F590C" w:rsidRPr="00D00F16" w14:paraId="22BC8910" w14:textId="77777777" w:rsidTr="004F2DDE">
        <w:tc>
          <w:tcPr>
            <w:tcW w:w="4669" w:type="dxa"/>
            <w:tcBorders>
              <w:top w:val="single" w:sz="4" w:space="0" w:color="auto"/>
            </w:tcBorders>
          </w:tcPr>
          <w:p w14:paraId="46AD7409" w14:textId="586C8916" w:rsidR="003E09C9" w:rsidRPr="00D00F16" w:rsidRDefault="00A9495A" w:rsidP="006E0E57">
            <w:pPr>
              <w:spacing w:line="276" w:lineRule="auto"/>
              <w:ind w:left="0"/>
              <w:rPr>
                <w:sz w:val="24"/>
                <w:szCs w:val="24"/>
              </w:rPr>
            </w:pPr>
            <w:r w:rsidRPr="00D00F16">
              <w:rPr>
                <w:sz w:val="24"/>
                <w:szCs w:val="24"/>
              </w:rPr>
              <w:t>1</w:t>
            </w:r>
          </w:p>
        </w:tc>
        <w:tc>
          <w:tcPr>
            <w:tcW w:w="3864" w:type="dxa"/>
            <w:tcBorders>
              <w:top w:val="single" w:sz="4" w:space="0" w:color="auto"/>
            </w:tcBorders>
          </w:tcPr>
          <w:p w14:paraId="07495131" w14:textId="56D3E729" w:rsidR="003E09C9" w:rsidRPr="00D00F16" w:rsidRDefault="00A9495A" w:rsidP="006E0E57">
            <w:pPr>
              <w:spacing w:line="276" w:lineRule="auto"/>
              <w:ind w:left="0"/>
              <w:rPr>
                <w:sz w:val="24"/>
                <w:szCs w:val="24"/>
              </w:rPr>
            </w:pPr>
            <w:r w:rsidRPr="00D00F16">
              <w:rPr>
                <w:sz w:val="24"/>
                <w:szCs w:val="24"/>
              </w:rPr>
              <w:t>Low</w:t>
            </w:r>
          </w:p>
        </w:tc>
      </w:tr>
      <w:tr w:rsidR="003F590C" w:rsidRPr="00D00F16" w14:paraId="1B1E3A69" w14:textId="77777777" w:rsidTr="004F2DDE">
        <w:tc>
          <w:tcPr>
            <w:tcW w:w="4669" w:type="dxa"/>
          </w:tcPr>
          <w:p w14:paraId="35E2F07F" w14:textId="64D6E66D" w:rsidR="003E09C9" w:rsidRPr="00D00F16" w:rsidRDefault="00A9495A" w:rsidP="006E0E57">
            <w:pPr>
              <w:spacing w:line="276" w:lineRule="auto"/>
              <w:ind w:left="0"/>
              <w:rPr>
                <w:sz w:val="24"/>
                <w:szCs w:val="24"/>
              </w:rPr>
            </w:pPr>
            <w:r w:rsidRPr="00D00F16">
              <w:rPr>
                <w:sz w:val="24"/>
                <w:szCs w:val="24"/>
              </w:rPr>
              <w:t>2</w:t>
            </w:r>
          </w:p>
        </w:tc>
        <w:tc>
          <w:tcPr>
            <w:tcW w:w="3864" w:type="dxa"/>
          </w:tcPr>
          <w:p w14:paraId="5E310F20" w14:textId="1FF254F9" w:rsidR="003E09C9" w:rsidRPr="00D00F16" w:rsidRDefault="00A9495A" w:rsidP="006E0E57">
            <w:pPr>
              <w:spacing w:line="276" w:lineRule="auto"/>
              <w:ind w:left="0"/>
              <w:rPr>
                <w:sz w:val="24"/>
                <w:szCs w:val="24"/>
              </w:rPr>
            </w:pPr>
            <w:r w:rsidRPr="00D00F16">
              <w:rPr>
                <w:sz w:val="24"/>
                <w:szCs w:val="24"/>
              </w:rPr>
              <w:t xml:space="preserve">Moderate </w:t>
            </w:r>
          </w:p>
        </w:tc>
      </w:tr>
      <w:tr w:rsidR="003F590C" w:rsidRPr="00D00F16" w14:paraId="74FF99ED" w14:textId="77777777" w:rsidTr="004F2DDE">
        <w:tc>
          <w:tcPr>
            <w:tcW w:w="4669" w:type="dxa"/>
          </w:tcPr>
          <w:p w14:paraId="71B38451" w14:textId="05159D7B" w:rsidR="003E09C9" w:rsidRPr="00D00F16" w:rsidRDefault="00A9495A" w:rsidP="006E0E57">
            <w:pPr>
              <w:spacing w:line="276" w:lineRule="auto"/>
              <w:ind w:left="0"/>
              <w:rPr>
                <w:sz w:val="24"/>
                <w:szCs w:val="24"/>
              </w:rPr>
            </w:pPr>
            <w:r w:rsidRPr="00D00F16">
              <w:rPr>
                <w:sz w:val="24"/>
                <w:szCs w:val="24"/>
              </w:rPr>
              <w:t>3</w:t>
            </w:r>
          </w:p>
        </w:tc>
        <w:tc>
          <w:tcPr>
            <w:tcW w:w="3864" w:type="dxa"/>
          </w:tcPr>
          <w:p w14:paraId="0EE7FDC8" w14:textId="24FC11EB" w:rsidR="003E09C9" w:rsidRPr="00D00F16" w:rsidRDefault="00A9495A" w:rsidP="006E0E57">
            <w:pPr>
              <w:spacing w:line="276" w:lineRule="auto"/>
              <w:ind w:left="0"/>
              <w:rPr>
                <w:sz w:val="24"/>
                <w:szCs w:val="24"/>
              </w:rPr>
            </w:pPr>
            <w:r w:rsidRPr="00D00F16">
              <w:rPr>
                <w:sz w:val="24"/>
                <w:szCs w:val="24"/>
              </w:rPr>
              <w:t>High</w:t>
            </w:r>
            <w:r w:rsidRPr="00D00F16" w:rsidDel="00A9495A">
              <w:rPr>
                <w:sz w:val="24"/>
                <w:szCs w:val="24"/>
              </w:rPr>
              <w:t xml:space="preserve"> </w:t>
            </w:r>
          </w:p>
        </w:tc>
      </w:tr>
      <w:tr w:rsidR="003F590C" w:rsidRPr="00D00F16" w14:paraId="21CD81FC" w14:textId="77777777" w:rsidTr="004F2DDE">
        <w:tc>
          <w:tcPr>
            <w:tcW w:w="4669" w:type="dxa"/>
          </w:tcPr>
          <w:p w14:paraId="0CC102C0" w14:textId="1540EBA3" w:rsidR="003E09C9" w:rsidRPr="00D00F16" w:rsidRDefault="00A9495A" w:rsidP="006E0E57">
            <w:pPr>
              <w:spacing w:line="276" w:lineRule="auto"/>
              <w:ind w:left="0"/>
              <w:rPr>
                <w:sz w:val="24"/>
                <w:szCs w:val="24"/>
              </w:rPr>
            </w:pPr>
            <w:r w:rsidRPr="00D00F16">
              <w:rPr>
                <w:sz w:val="24"/>
                <w:szCs w:val="24"/>
              </w:rPr>
              <w:t>4</w:t>
            </w:r>
          </w:p>
        </w:tc>
        <w:tc>
          <w:tcPr>
            <w:tcW w:w="3864" w:type="dxa"/>
          </w:tcPr>
          <w:p w14:paraId="639337B8" w14:textId="7A5631A8" w:rsidR="003E09C9" w:rsidRPr="00D00F16" w:rsidRDefault="00A9495A" w:rsidP="006E0E57">
            <w:pPr>
              <w:spacing w:line="276" w:lineRule="auto"/>
              <w:ind w:left="0"/>
              <w:rPr>
                <w:sz w:val="24"/>
                <w:szCs w:val="24"/>
              </w:rPr>
            </w:pPr>
            <w:r w:rsidRPr="00D00F16">
              <w:rPr>
                <w:sz w:val="24"/>
                <w:szCs w:val="24"/>
              </w:rPr>
              <w:t xml:space="preserve">Very high </w:t>
            </w:r>
          </w:p>
        </w:tc>
      </w:tr>
      <w:bookmarkEnd w:id="2"/>
      <w:bookmarkEnd w:id="6"/>
    </w:tbl>
    <w:p w14:paraId="4F1317F9" w14:textId="3B428D16" w:rsidR="003E09C9" w:rsidRDefault="003E09C9" w:rsidP="006E0E57">
      <w:pPr>
        <w:pStyle w:val="Heading2"/>
        <w:spacing w:before="0" w:line="276" w:lineRule="auto"/>
        <w:ind w:left="0"/>
        <w:rPr>
          <w:rFonts w:ascii="Times New Roman" w:hAnsi="Times New Roman" w:cs="Times New Roman"/>
          <w:b/>
          <w:bCs/>
          <w:color w:val="auto"/>
          <w:sz w:val="24"/>
          <w:szCs w:val="24"/>
        </w:rPr>
      </w:pPr>
    </w:p>
    <w:p w14:paraId="337CF08F" w14:textId="77777777" w:rsidR="00CD3FED" w:rsidRPr="00CD3FED" w:rsidRDefault="00CD3FED" w:rsidP="00CD3FED"/>
    <w:p w14:paraId="2222AC82" w14:textId="209480F3" w:rsidR="00CD3FED" w:rsidRDefault="00CD3FED" w:rsidP="0027072C">
      <w:pPr>
        <w:spacing w:line="240" w:lineRule="auto"/>
        <w:ind w:left="0"/>
        <w:rPr>
          <w:b/>
          <w:bCs/>
        </w:rPr>
      </w:pPr>
      <w:r w:rsidRPr="00CD3FED">
        <w:rPr>
          <w:b/>
          <w:bCs/>
        </w:rPr>
        <w:t>RESULTS AND DISCUSSION</w:t>
      </w:r>
    </w:p>
    <w:p w14:paraId="2E00EDAC" w14:textId="68D06596" w:rsidR="0027072C" w:rsidRDefault="0027072C" w:rsidP="0027072C">
      <w:pPr>
        <w:spacing w:after="0" w:line="240" w:lineRule="auto"/>
        <w:ind w:left="0"/>
        <w:rPr>
          <w:b/>
          <w:bCs/>
        </w:rPr>
      </w:pPr>
      <w:r>
        <w:rPr>
          <w:b/>
          <w:bCs/>
        </w:rPr>
        <w:t>Thematic Layers and Maps</w:t>
      </w:r>
    </w:p>
    <w:p w14:paraId="279DA8C6" w14:textId="11FE1149" w:rsidR="0027072C" w:rsidRDefault="0027072C" w:rsidP="0027072C">
      <w:pPr>
        <w:spacing w:after="100" w:afterAutospacing="1" w:line="240" w:lineRule="auto"/>
        <w:ind w:left="0"/>
        <w:jc w:val="both"/>
        <w:rPr>
          <w:rFonts w:eastAsia="Times New Roman" w:cs="Times New Roman"/>
          <w:color w:val="000000"/>
        </w:rPr>
      </w:pPr>
      <w:r w:rsidRPr="0027072C">
        <w:rPr>
          <w:rFonts w:eastAsia="Times New Roman" w:cs="Times New Roman"/>
          <w:color w:val="000000"/>
        </w:rPr>
        <w:t xml:space="preserve">In this study, nine </w:t>
      </w:r>
      <w:r>
        <w:rPr>
          <w:rFonts w:eastAsia="Times New Roman" w:cs="Times New Roman"/>
          <w:color w:val="000000"/>
        </w:rPr>
        <w:t xml:space="preserve">(9) </w:t>
      </w:r>
      <w:r w:rsidRPr="0027072C">
        <w:rPr>
          <w:rFonts w:eastAsia="Times New Roman" w:cs="Times New Roman"/>
          <w:color w:val="000000"/>
        </w:rPr>
        <w:t xml:space="preserve">thematic layers were utilized to assess groundwater potential in the </w:t>
      </w:r>
      <w:proofErr w:type="spellStart"/>
      <w:r w:rsidRPr="0027072C">
        <w:rPr>
          <w:rFonts w:eastAsia="Times New Roman" w:cs="Times New Roman"/>
          <w:color w:val="000000"/>
        </w:rPr>
        <w:t>Wa</w:t>
      </w:r>
      <w:proofErr w:type="spellEnd"/>
      <w:r w:rsidRPr="0027072C">
        <w:rPr>
          <w:rFonts w:eastAsia="Times New Roman" w:cs="Times New Roman"/>
          <w:color w:val="000000"/>
        </w:rPr>
        <w:t xml:space="preserve"> Municipality. These included: geology, land use/land cover (LULC), soil type, lineament density, elevation, drainage density, slope, rainfall, and the topographic wetness index (TWI). Each of these layers was processed individually, classified into relevant categories, and reclassified based on their influence on groundwater occurrence. The layers were then resampled to a common spatial resolution and projected coordinate system to facilitate overlay analysis using GIS techniques.</w:t>
      </w:r>
    </w:p>
    <w:p w14:paraId="3EAA260D" w14:textId="1E355107" w:rsidR="0027072C" w:rsidRPr="0027072C" w:rsidRDefault="0027072C" w:rsidP="0027072C">
      <w:pPr>
        <w:spacing w:before="100" w:beforeAutospacing="1" w:after="0" w:line="240" w:lineRule="auto"/>
        <w:ind w:left="0"/>
        <w:jc w:val="both"/>
        <w:rPr>
          <w:rFonts w:eastAsia="Times New Roman" w:cs="Times New Roman"/>
          <w:b/>
          <w:bCs/>
        </w:rPr>
      </w:pPr>
      <w:r w:rsidRPr="0027072C">
        <w:rPr>
          <w:rFonts w:eastAsia="Times New Roman" w:cs="Times New Roman"/>
          <w:b/>
          <w:bCs/>
        </w:rPr>
        <w:t>Geology</w:t>
      </w:r>
    </w:p>
    <w:p w14:paraId="4BD9766C" w14:textId="4DB0217B" w:rsidR="0027072C" w:rsidRPr="0027072C" w:rsidRDefault="0027072C" w:rsidP="00FE6BA3">
      <w:pPr>
        <w:spacing w:after="100" w:afterAutospacing="1" w:line="240" w:lineRule="auto"/>
        <w:ind w:left="0"/>
        <w:jc w:val="both"/>
        <w:rPr>
          <w:rFonts w:eastAsia="Times New Roman" w:cs="Times New Roman"/>
        </w:rPr>
      </w:pPr>
      <w:r w:rsidRPr="0027072C">
        <w:rPr>
          <w:rFonts w:eastAsia="Times New Roman" w:cs="Times New Roman"/>
        </w:rPr>
        <w:t xml:space="preserve">As presented in Figure </w:t>
      </w:r>
      <w:r>
        <w:rPr>
          <w:rFonts w:eastAsia="Times New Roman" w:cs="Times New Roman"/>
        </w:rPr>
        <w:t>3</w:t>
      </w:r>
      <w:r w:rsidRPr="0027072C">
        <w:rPr>
          <w:rFonts w:eastAsia="Times New Roman" w:cs="Times New Roman"/>
        </w:rPr>
        <w:t xml:space="preserve">, the geological composition of the </w:t>
      </w:r>
      <w:proofErr w:type="spellStart"/>
      <w:r w:rsidRPr="0027072C">
        <w:rPr>
          <w:rFonts w:eastAsia="Times New Roman" w:cs="Times New Roman"/>
        </w:rPr>
        <w:t>Wa</w:t>
      </w:r>
      <w:proofErr w:type="spellEnd"/>
      <w:r w:rsidRPr="0027072C">
        <w:rPr>
          <w:rFonts w:eastAsia="Times New Roman" w:cs="Times New Roman"/>
        </w:rPr>
        <w:t xml:space="preserve"> Municipality includes four (4) major rock formations: </w:t>
      </w:r>
      <w:proofErr w:type="spellStart"/>
      <w:r w:rsidRPr="0027072C">
        <w:rPr>
          <w:rFonts w:eastAsia="Times New Roman" w:cs="Times New Roman"/>
        </w:rPr>
        <w:t>Tamnean</w:t>
      </w:r>
      <w:proofErr w:type="spellEnd"/>
      <w:r w:rsidRPr="0027072C">
        <w:rPr>
          <w:rFonts w:eastAsia="Times New Roman" w:cs="Times New Roman"/>
        </w:rPr>
        <w:t xml:space="preserve"> Plutonic Suite </w:t>
      </w:r>
      <w:r w:rsidR="00ED5CC1">
        <w:rPr>
          <w:rFonts w:eastAsia="Times New Roman" w:cs="Times New Roman"/>
        </w:rPr>
        <w:t>(</w:t>
      </w:r>
      <w:r w:rsidRPr="0027072C">
        <w:rPr>
          <w:rFonts w:eastAsia="Times New Roman" w:cs="Times New Roman"/>
        </w:rPr>
        <w:t>250 km²</w:t>
      </w:r>
      <w:r w:rsidR="00ED5CC1">
        <w:rPr>
          <w:rFonts w:eastAsia="Times New Roman" w:cs="Times New Roman"/>
        </w:rPr>
        <w:t>)</w:t>
      </w:r>
      <w:r w:rsidRPr="0027072C">
        <w:rPr>
          <w:rFonts w:eastAsia="Times New Roman" w:cs="Times New Roman"/>
        </w:rPr>
        <w:t xml:space="preserve">, </w:t>
      </w:r>
      <w:proofErr w:type="spellStart"/>
      <w:r w:rsidRPr="0027072C">
        <w:rPr>
          <w:rFonts w:eastAsia="Times New Roman" w:cs="Times New Roman"/>
        </w:rPr>
        <w:t>Birimian</w:t>
      </w:r>
      <w:proofErr w:type="spellEnd"/>
      <w:r w:rsidRPr="0027072C">
        <w:rPr>
          <w:rFonts w:eastAsia="Times New Roman" w:cs="Times New Roman"/>
        </w:rPr>
        <w:t xml:space="preserve"> Supergroup</w:t>
      </w:r>
      <w:r w:rsidR="00ED5CC1">
        <w:rPr>
          <w:rFonts w:eastAsia="Times New Roman" w:cs="Times New Roman"/>
        </w:rPr>
        <w:t xml:space="preserve"> (</w:t>
      </w:r>
      <w:r w:rsidRPr="0027072C">
        <w:rPr>
          <w:rFonts w:eastAsia="Times New Roman" w:cs="Times New Roman"/>
        </w:rPr>
        <w:t>231 km²</w:t>
      </w:r>
      <w:r w:rsidR="00ED5CC1">
        <w:rPr>
          <w:rFonts w:eastAsia="Times New Roman" w:cs="Times New Roman"/>
        </w:rPr>
        <w:t>)</w:t>
      </w:r>
      <w:r w:rsidRPr="0027072C">
        <w:rPr>
          <w:rFonts w:eastAsia="Times New Roman" w:cs="Times New Roman"/>
        </w:rPr>
        <w:t xml:space="preserve">, Eburnean Plutonic Suite </w:t>
      </w:r>
      <w:r w:rsidR="00ED5CC1">
        <w:rPr>
          <w:rFonts w:eastAsia="Times New Roman" w:cs="Times New Roman"/>
        </w:rPr>
        <w:t>(</w:t>
      </w:r>
      <w:r w:rsidRPr="0027072C">
        <w:rPr>
          <w:rFonts w:eastAsia="Times New Roman" w:cs="Times New Roman"/>
        </w:rPr>
        <w:t>86 km²</w:t>
      </w:r>
      <w:r w:rsidR="00ED5CC1">
        <w:rPr>
          <w:rFonts w:eastAsia="Times New Roman" w:cs="Times New Roman"/>
        </w:rPr>
        <w:t>)</w:t>
      </w:r>
      <w:r w:rsidRPr="0027072C">
        <w:rPr>
          <w:rFonts w:eastAsia="Times New Roman" w:cs="Times New Roman"/>
        </w:rPr>
        <w:t xml:space="preserve">, and Mesozoic Rocks </w:t>
      </w:r>
      <w:r w:rsidR="00ED5CC1">
        <w:rPr>
          <w:rFonts w:eastAsia="Times New Roman" w:cs="Times New Roman"/>
        </w:rPr>
        <w:t>(</w:t>
      </w:r>
      <w:r w:rsidRPr="0027072C">
        <w:rPr>
          <w:rFonts w:eastAsia="Times New Roman" w:cs="Times New Roman"/>
        </w:rPr>
        <w:t>11.6 km²</w:t>
      </w:r>
      <w:r w:rsidR="00ED5CC1">
        <w:rPr>
          <w:rFonts w:eastAsia="Times New Roman" w:cs="Times New Roman"/>
        </w:rPr>
        <w:t>)</w:t>
      </w:r>
      <w:r w:rsidRPr="0027072C">
        <w:rPr>
          <w:rFonts w:eastAsia="Times New Roman" w:cs="Times New Roman"/>
        </w:rPr>
        <w:t xml:space="preserve">. Among these, the Eburnean Plutonic Suite exhibits favorable hydrogeological characteristics, such as permeability and porosity, which facilitate groundwater storage. In contrast, the </w:t>
      </w:r>
      <w:proofErr w:type="spellStart"/>
      <w:r w:rsidRPr="0027072C">
        <w:rPr>
          <w:rFonts w:eastAsia="Times New Roman" w:cs="Times New Roman"/>
        </w:rPr>
        <w:t>Tamnean</w:t>
      </w:r>
      <w:proofErr w:type="spellEnd"/>
      <w:r w:rsidRPr="0027072C">
        <w:rPr>
          <w:rFonts w:eastAsia="Times New Roman" w:cs="Times New Roman"/>
        </w:rPr>
        <w:t xml:space="preserve"> Plutonic Suite is a consolidated rock formation with limited to no primary or secondary porosity or permeability, rendering it poor in groundwater retention. The </w:t>
      </w:r>
      <w:proofErr w:type="spellStart"/>
      <w:r w:rsidRPr="0027072C">
        <w:rPr>
          <w:rFonts w:eastAsia="Times New Roman" w:cs="Times New Roman"/>
        </w:rPr>
        <w:t>Birimian</w:t>
      </w:r>
      <w:proofErr w:type="spellEnd"/>
      <w:r w:rsidRPr="0027072C">
        <w:rPr>
          <w:rFonts w:eastAsia="Times New Roman" w:cs="Times New Roman"/>
        </w:rPr>
        <w:t xml:space="preserve"> Supergroup, which dominates a substantial portion of the municipality, is widely recognized for its excellent groundwater potential. According to </w:t>
      </w:r>
      <w:proofErr w:type="spellStart"/>
      <w:r w:rsidRPr="0027072C">
        <w:rPr>
          <w:rFonts w:eastAsia="Times New Roman" w:cs="Times New Roman"/>
        </w:rPr>
        <w:t>Yidana</w:t>
      </w:r>
      <w:proofErr w:type="spellEnd"/>
      <w:r w:rsidRPr="0027072C">
        <w:rPr>
          <w:rFonts w:eastAsia="Times New Roman" w:cs="Times New Roman"/>
        </w:rPr>
        <w:t xml:space="preserve"> </w:t>
      </w:r>
      <w:r w:rsidRPr="0027072C">
        <w:rPr>
          <w:rFonts w:eastAsia="Times New Roman" w:cs="Times New Roman"/>
          <w:i/>
          <w:iCs/>
        </w:rPr>
        <w:t>et al.</w:t>
      </w:r>
      <w:r w:rsidRPr="0027072C">
        <w:rPr>
          <w:rFonts w:eastAsia="Times New Roman" w:cs="Times New Roman"/>
        </w:rPr>
        <w:t xml:space="preserve"> (2012), </w:t>
      </w:r>
      <w:proofErr w:type="spellStart"/>
      <w:r w:rsidRPr="0027072C">
        <w:rPr>
          <w:rFonts w:eastAsia="Times New Roman" w:cs="Times New Roman"/>
        </w:rPr>
        <w:t>Birimian</w:t>
      </w:r>
      <w:proofErr w:type="spellEnd"/>
      <w:r w:rsidRPr="0027072C">
        <w:rPr>
          <w:rFonts w:eastAsia="Times New Roman" w:cs="Times New Roman"/>
        </w:rPr>
        <w:t xml:space="preserve"> rocks in Ghana typically offer good groundwater yields. In the </w:t>
      </w:r>
      <w:proofErr w:type="spellStart"/>
      <w:r w:rsidRPr="0027072C">
        <w:rPr>
          <w:rFonts w:eastAsia="Times New Roman" w:cs="Times New Roman"/>
        </w:rPr>
        <w:t>Wa</w:t>
      </w:r>
      <w:proofErr w:type="spellEnd"/>
      <w:r w:rsidRPr="0027072C">
        <w:rPr>
          <w:rFonts w:eastAsia="Times New Roman" w:cs="Times New Roman"/>
        </w:rPr>
        <w:t xml:space="preserve"> Municipality specifically, the </w:t>
      </w:r>
      <w:proofErr w:type="spellStart"/>
      <w:r w:rsidRPr="0027072C">
        <w:rPr>
          <w:rFonts w:eastAsia="Times New Roman" w:cs="Times New Roman"/>
        </w:rPr>
        <w:t>Birimian</w:t>
      </w:r>
      <w:proofErr w:type="spellEnd"/>
      <w:r w:rsidRPr="0027072C">
        <w:rPr>
          <w:rFonts w:eastAsia="Times New Roman" w:cs="Times New Roman"/>
        </w:rPr>
        <w:t xml:space="preserve"> formation has an average yield of 0.55 L/s and a drilling success rate of approximately 80% (Abdul-Ganiyu and </w:t>
      </w:r>
      <w:proofErr w:type="spellStart"/>
      <w:r w:rsidRPr="0027072C">
        <w:rPr>
          <w:rFonts w:eastAsia="Times New Roman" w:cs="Times New Roman"/>
        </w:rPr>
        <w:t>Kpiebaya</w:t>
      </w:r>
      <w:proofErr w:type="spellEnd"/>
      <w:r w:rsidRPr="0027072C">
        <w:rPr>
          <w:rFonts w:eastAsia="Times New Roman" w:cs="Times New Roman"/>
        </w:rPr>
        <w:t>, 2020).</w:t>
      </w:r>
    </w:p>
    <w:p w14:paraId="70A0E785" w14:textId="77777777" w:rsidR="0027072C" w:rsidRPr="0027072C" w:rsidRDefault="0027072C" w:rsidP="0027072C">
      <w:pPr>
        <w:spacing w:before="100" w:beforeAutospacing="1" w:after="100" w:afterAutospacing="1" w:line="240" w:lineRule="auto"/>
        <w:ind w:left="0"/>
        <w:jc w:val="both"/>
        <w:rPr>
          <w:rFonts w:eastAsia="Times New Roman" w:cs="Times New Roman"/>
        </w:rPr>
      </w:pPr>
      <w:r w:rsidRPr="0027072C">
        <w:rPr>
          <w:rFonts w:eastAsia="Times New Roman" w:cs="Times New Roman"/>
        </w:rPr>
        <w:t>As a result of its substantial influence on groundwater availability, geology was assigned the highest normalized principal eigenvector score of 19.94% (Table 7), indicating its primary role among the factors influencing groundwater potential in the area. The study area is largely characterized by Precambrian basement rocks and fractured sedimentary aquifers, both of which are known for their relatively high groundwater yields. Understanding the geological and hydrogeological framework of the area is, therefore, essential for the sustainable and efficient development of groundwater resources, particularly for irrigation (</w:t>
      </w:r>
      <w:proofErr w:type="spellStart"/>
      <w:r w:rsidRPr="0027072C">
        <w:rPr>
          <w:rFonts w:eastAsia="Times New Roman" w:cs="Times New Roman"/>
        </w:rPr>
        <w:t>Kpiebaya</w:t>
      </w:r>
      <w:proofErr w:type="spellEnd"/>
      <w:r w:rsidRPr="0027072C">
        <w:rPr>
          <w:rFonts w:eastAsia="Times New Roman" w:cs="Times New Roman"/>
        </w:rPr>
        <w:t xml:space="preserve"> </w:t>
      </w:r>
      <w:r w:rsidRPr="0027072C">
        <w:rPr>
          <w:rFonts w:eastAsia="Times New Roman" w:cs="Times New Roman"/>
          <w:i/>
          <w:iCs/>
        </w:rPr>
        <w:t>et al.,</w:t>
      </w:r>
      <w:r w:rsidRPr="0027072C">
        <w:rPr>
          <w:rFonts w:eastAsia="Times New Roman" w:cs="Times New Roman"/>
        </w:rPr>
        <w:t xml:space="preserve"> 2020). Previous research supports the assertion that geological characteristics play a pivotal role in the occurrence and movement of groundwater within a catchment (Bhuvaneswaran </w:t>
      </w:r>
      <w:r w:rsidRPr="0027072C">
        <w:rPr>
          <w:rFonts w:eastAsia="Times New Roman" w:cs="Times New Roman"/>
          <w:i/>
          <w:iCs/>
        </w:rPr>
        <w:t>et al.,</w:t>
      </w:r>
      <w:r w:rsidRPr="0027072C">
        <w:rPr>
          <w:rFonts w:eastAsia="Times New Roman" w:cs="Times New Roman"/>
        </w:rPr>
        <w:t xml:space="preserve"> 2015; Zarate </w:t>
      </w:r>
      <w:r w:rsidRPr="0027072C">
        <w:rPr>
          <w:rFonts w:eastAsia="Times New Roman" w:cs="Times New Roman"/>
          <w:i/>
          <w:iCs/>
        </w:rPr>
        <w:t>et al.,</w:t>
      </w:r>
      <w:r w:rsidRPr="0027072C">
        <w:rPr>
          <w:rFonts w:eastAsia="Times New Roman" w:cs="Times New Roman"/>
        </w:rPr>
        <w:t xml:space="preserve"> 2021). Thus, accurate geological mapping and classification are critical steps in identifying zones with high groundwater potential.</w:t>
      </w:r>
    </w:p>
    <w:p w14:paraId="77E92217" w14:textId="77777777" w:rsidR="0027072C" w:rsidRPr="0027072C" w:rsidRDefault="0027072C" w:rsidP="0027072C">
      <w:pPr>
        <w:spacing w:after="100" w:afterAutospacing="1" w:line="240" w:lineRule="auto"/>
        <w:ind w:left="0"/>
        <w:jc w:val="both"/>
        <w:rPr>
          <w:rFonts w:eastAsia="Times New Roman" w:cs="Times New Roman"/>
          <w:color w:val="000000"/>
        </w:rPr>
      </w:pPr>
    </w:p>
    <w:p w14:paraId="7F392C21" w14:textId="77777777" w:rsidR="003E09C9" w:rsidRPr="00D00F16" w:rsidRDefault="003E09C9" w:rsidP="006E0E57">
      <w:pPr>
        <w:keepNext/>
        <w:spacing w:after="0" w:line="276" w:lineRule="auto"/>
        <w:ind w:left="0"/>
        <w:jc w:val="both"/>
        <w:rPr>
          <w:rFonts w:cs="Times New Roman"/>
        </w:rPr>
      </w:pPr>
      <w:bookmarkStart w:id="18" w:name="_Hlk140250066"/>
      <w:r w:rsidRPr="00D00F16">
        <w:rPr>
          <w:rFonts w:cs="Times New Roman"/>
          <w:noProof/>
        </w:rPr>
        <w:drawing>
          <wp:inline distT="0" distB="0" distL="0" distR="0" wp14:anchorId="7616972C" wp14:editId="67FD7FF8">
            <wp:extent cx="5713349" cy="4452101"/>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713349" cy="4452101"/>
                    </a:xfrm>
                    <a:prstGeom prst="rect">
                      <a:avLst/>
                    </a:prstGeom>
                  </pic:spPr>
                </pic:pic>
              </a:graphicData>
            </a:graphic>
          </wp:inline>
        </w:drawing>
      </w:r>
    </w:p>
    <w:p w14:paraId="4F5EDA42" w14:textId="17D1A624"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19" w:name="_Toc138777751"/>
      <w:r w:rsidRPr="0024263B">
        <w:rPr>
          <w:rFonts w:cs="Times New Roman"/>
          <w:b/>
          <w:bCs/>
          <w:i w:val="0"/>
          <w:iCs w:val="0"/>
          <w:color w:val="auto"/>
          <w:sz w:val="24"/>
          <w:szCs w:val="24"/>
        </w:rPr>
        <w:t>Fig</w:t>
      </w:r>
      <w:r w:rsidR="0024263B" w:rsidRPr="0024263B">
        <w:rPr>
          <w:rFonts w:cs="Times New Roman"/>
          <w:b/>
          <w:bCs/>
          <w:i w:val="0"/>
          <w:iCs w:val="0"/>
          <w:color w:val="auto"/>
          <w:sz w:val="24"/>
          <w:szCs w:val="24"/>
        </w:rPr>
        <w:t xml:space="preserve">ure </w:t>
      </w:r>
      <w:r w:rsidR="00B51A12" w:rsidRPr="0024263B">
        <w:rPr>
          <w:rFonts w:cs="Times New Roman"/>
          <w:b/>
          <w:bCs/>
          <w:i w:val="0"/>
          <w:iCs w:val="0"/>
          <w:color w:val="auto"/>
          <w:sz w:val="24"/>
          <w:szCs w:val="24"/>
        </w:rPr>
        <w:t>3</w:t>
      </w:r>
      <w:r w:rsidR="0024263B" w:rsidRPr="0024263B">
        <w:rPr>
          <w:rFonts w:cs="Times New Roman"/>
          <w:b/>
          <w:bCs/>
          <w:i w:val="0"/>
          <w:iCs w:val="0"/>
          <w:color w:val="auto"/>
          <w:sz w:val="24"/>
          <w:szCs w:val="24"/>
        </w:rPr>
        <w:t>:</w:t>
      </w:r>
      <w:r w:rsidR="009E2A68" w:rsidRPr="00D00F16">
        <w:rPr>
          <w:rFonts w:cs="Times New Roman"/>
          <w:i w:val="0"/>
          <w:iCs w:val="0"/>
          <w:color w:val="auto"/>
          <w:sz w:val="24"/>
          <w:szCs w:val="24"/>
        </w:rPr>
        <w:t xml:space="preserve"> </w:t>
      </w:r>
      <w:r w:rsidRPr="00D00F16">
        <w:rPr>
          <w:rFonts w:cs="Times New Roman"/>
          <w:i w:val="0"/>
          <w:iCs w:val="0"/>
          <w:color w:val="auto"/>
          <w:sz w:val="24"/>
          <w:szCs w:val="24"/>
        </w:rPr>
        <w:t xml:space="preserve">Geological </w:t>
      </w:r>
      <w:r w:rsidR="0024263B">
        <w:rPr>
          <w:rFonts w:cs="Times New Roman"/>
          <w:i w:val="0"/>
          <w:iCs w:val="0"/>
          <w:color w:val="auto"/>
          <w:sz w:val="24"/>
          <w:szCs w:val="24"/>
        </w:rPr>
        <w:t>M</w:t>
      </w:r>
      <w:r w:rsidRPr="00D00F16">
        <w:rPr>
          <w:rFonts w:cs="Times New Roman"/>
          <w:i w:val="0"/>
          <w:iCs w:val="0"/>
          <w:color w:val="auto"/>
          <w:sz w:val="24"/>
          <w:szCs w:val="24"/>
        </w:rPr>
        <w:t xml:space="preserve">ap of </w:t>
      </w:r>
      <w:proofErr w:type="spellStart"/>
      <w:r w:rsidRPr="00D00F16">
        <w:rPr>
          <w:rFonts w:cs="Times New Roman"/>
          <w:i w:val="0"/>
          <w:iCs w:val="0"/>
          <w:color w:val="auto"/>
          <w:sz w:val="24"/>
          <w:szCs w:val="24"/>
        </w:rPr>
        <w:t>Wa</w:t>
      </w:r>
      <w:bookmarkEnd w:id="19"/>
      <w:proofErr w:type="spellEnd"/>
      <w:r w:rsidR="0024263B">
        <w:rPr>
          <w:rFonts w:cs="Times New Roman"/>
          <w:i w:val="0"/>
          <w:iCs w:val="0"/>
          <w:color w:val="auto"/>
          <w:sz w:val="24"/>
          <w:szCs w:val="24"/>
        </w:rPr>
        <w:t xml:space="preserve"> </w:t>
      </w:r>
      <w:r w:rsidR="00217248">
        <w:rPr>
          <w:rFonts w:cs="Times New Roman"/>
          <w:i w:val="0"/>
          <w:iCs w:val="0"/>
          <w:color w:val="auto"/>
          <w:sz w:val="24"/>
          <w:szCs w:val="24"/>
        </w:rPr>
        <w:t>Municipality</w:t>
      </w:r>
    </w:p>
    <w:p w14:paraId="04E801F4" w14:textId="77777777" w:rsidR="003E09C9" w:rsidRDefault="003E09C9" w:rsidP="006E0E57">
      <w:pPr>
        <w:spacing w:after="0" w:line="276" w:lineRule="auto"/>
        <w:ind w:left="0"/>
        <w:rPr>
          <w:rFonts w:cs="Times New Roman"/>
        </w:rPr>
      </w:pPr>
    </w:p>
    <w:p w14:paraId="1E4F901D" w14:textId="7626AE38" w:rsidR="00CF4DEF" w:rsidRDefault="00CF4DEF" w:rsidP="006E0E57">
      <w:pPr>
        <w:spacing w:after="0" w:line="276" w:lineRule="auto"/>
        <w:ind w:left="0"/>
        <w:rPr>
          <w:rFonts w:cs="Times New Roman"/>
          <w:b/>
          <w:bCs/>
        </w:rPr>
      </w:pPr>
      <w:proofErr w:type="spellStart"/>
      <w:r w:rsidRPr="00CF4DEF">
        <w:rPr>
          <w:rFonts w:cs="Times New Roman"/>
          <w:b/>
          <w:bCs/>
        </w:rPr>
        <w:t>Landuse</w:t>
      </w:r>
      <w:proofErr w:type="spellEnd"/>
      <w:r w:rsidRPr="00CF4DEF">
        <w:rPr>
          <w:rFonts w:cs="Times New Roman"/>
          <w:b/>
          <w:bCs/>
        </w:rPr>
        <w:t xml:space="preserve"> and Landcover</w:t>
      </w:r>
    </w:p>
    <w:p w14:paraId="47AA2B67" w14:textId="3228B142" w:rsidR="00CF4DEF" w:rsidRPr="00CF4DEF" w:rsidRDefault="00CF4DEF" w:rsidP="00CF4DEF">
      <w:pPr>
        <w:spacing w:after="100" w:afterAutospacing="1" w:line="240" w:lineRule="auto"/>
        <w:ind w:left="0"/>
        <w:jc w:val="both"/>
        <w:rPr>
          <w:rFonts w:eastAsia="Times New Roman" w:cs="Times New Roman"/>
        </w:rPr>
      </w:pPr>
      <w:proofErr w:type="spellStart"/>
      <w:r w:rsidRPr="00CF4DEF">
        <w:rPr>
          <w:rFonts w:eastAsia="Times New Roman" w:cs="Times New Roman"/>
        </w:rPr>
        <w:t>Landuse</w:t>
      </w:r>
      <w:proofErr w:type="spellEnd"/>
      <w:r w:rsidRPr="00CF4DEF">
        <w:rPr>
          <w:rFonts w:eastAsia="Times New Roman" w:cs="Times New Roman"/>
        </w:rPr>
        <w:t xml:space="preserve"> and Landcover (LULC) is an important factor in groundwater potential assessment due to its significant influence on surface runoff, infiltration, and recharge dynamics (Al-</w:t>
      </w:r>
      <w:proofErr w:type="spellStart"/>
      <w:r w:rsidRPr="00CF4DEF">
        <w:rPr>
          <w:rFonts w:eastAsia="Times New Roman" w:cs="Times New Roman"/>
        </w:rPr>
        <w:t>Gburi</w:t>
      </w:r>
      <w:proofErr w:type="spellEnd"/>
      <w:r w:rsidRPr="00CF4DEF">
        <w:rPr>
          <w:rFonts w:eastAsia="Times New Roman" w:cs="Times New Roman"/>
        </w:rPr>
        <w:t>, 2022). Changes in land cover, whether gradual or seasonal, affect both the volume and timing of groundwater recharge. Several studies have highlighted the role of LULC variations in altering groundwater storage and recharge conditions (</w:t>
      </w:r>
      <w:proofErr w:type="spellStart"/>
      <w:r w:rsidRPr="00CF4DEF">
        <w:rPr>
          <w:rFonts w:eastAsia="Times New Roman" w:cs="Times New Roman"/>
        </w:rPr>
        <w:t>Muavhi</w:t>
      </w:r>
      <w:proofErr w:type="spellEnd"/>
      <w:r w:rsidRPr="00CF4DEF">
        <w:rPr>
          <w:rFonts w:eastAsia="Times New Roman" w:cs="Times New Roman"/>
        </w:rPr>
        <w:t xml:space="preserve"> </w:t>
      </w:r>
      <w:r w:rsidRPr="00CF4DEF">
        <w:rPr>
          <w:rFonts w:eastAsia="Times New Roman" w:cs="Times New Roman"/>
          <w:i/>
          <w:iCs/>
        </w:rPr>
        <w:t>et al.,</w:t>
      </w:r>
      <w:r w:rsidRPr="00CF4DEF">
        <w:rPr>
          <w:rFonts w:eastAsia="Times New Roman" w:cs="Times New Roman"/>
        </w:rPr>
        <w:t xml:space="preserve"> 2021; </w:t>
      </w:r>
      <w:proofErr w:type="spellStart"/>
      <w:r w:rsidRPr="00CF4DEF">
        <w:rPr>
          <w:rFonts w:eastAsia="Times New Roman" w:cs="Times New Roman"/>
        </w:rPr>
        <w:t>Siddik</w:t>
      </w:r>
      <w:proofErr w:type="spellEnd"/>
      <w:r w:rsidRPr="00CF4DEF">
        <w:rPr>
          <w:rFonts w:eastAsia="Times New Roman" w:cs="Times New Roman"/>
        </w:rPr>
        <w:t xml:space="preserve"> </w:t>
      </w:r>
      <w:r w:rsidRPr="00CF4DEF">
        <w:rPr>
          <w:rFonts w:eastAsia="Times New Roman" w:cs="Times New Roman"/>
          <w:i/>
          <w:iCs/>
        </w:rPr>
        <w:t>et al.,</w:t>
      </w:r>
      <w:r w:rsidRPr="00CF4DEF">
        <w:rPr>
          <w:rFonts w:eastAsia="Times New Roman" w:cs="Times New Roman"/>
        </w:rPr>
        <w:t xml:space="preserve"> 2022). In this study, the LULC of the </w:t>
      </w:r>
      <w:proofErr w:type="spellStart"/>
      <w:r w:rsidRPr="00CF4DEF">
        <w:rPr>
          <w:rFonts w:eastAsia="Times New Roman" w:cs="Times New Roman"/>
        </w:rPr>
        <w:t>Wa</w:t>
      </w:r>
      <w:proofErr w:type="spellEnd"/>
      <w:r w:rsidRPr="00CF4DEF">
        <w:rPr>
          <w:rFonts w:eastAsia="Times New Roman" w:cs="Times New Roman"/>
        </w:rPr>
        <w:t xml:space="preserve"> Municipality was classified into six (6) distinct categories: Agricultural land, bare land, forest, settlement, vegetation, and water bodies. Table </w:t>
      </w:r>
      <w:r w:rsidR="00452346">
        <w:rPr>
          <w:rFonts w:eastAsia="Times New Roman" w:cs="Times New Roman"/>
        </w:rPr>
        <w:t>4</w:t>
      </w:r>
      <w:r w:rsidRPr="00CF4DEF">
        <w:rPr>
          <w:rFonts w:eastAsia="Times New Roman" w:cs="Times New Roman"/>
        </w:rPr>
        <w:t xml:space="preserve"> presents the percentage </w:t>
      </w:r>
      <w:r w:rsidR="005C0E72">
        <w:rPr>
          <w:rFonts w:eastAsia="Times New Roman" w:cs="Times New Roman"/>
        </w:rPr>
        <w:t xml:space="preserve">(%) </w:t>
      </w:r>
      <w:r w:rsidRPr="00CF4DEF">
        <w:rPr>
          <w:rFonts w:eastAsia="Times New Roman" w:cs="Times New Roman"/>
        </w:rPr>
        <w:t>coverage and area (in km²) of each LULC class. Agricultural land covers the largest portion of the study area (44.96%), followed by vegetation (28.89%) and forest (12.97%). These three</w:t>
      </w:r>
      <w:r w:rsidR="00452346">
        <w:rPr>
          <w:rFonts w:eastAsia="Times New Roman" w:cs="Times New Roman"/>
        </w:rPr>
        <w:t xml:space="preserve"> (3)</w:t>
      </w:r>
      <w:r w:rsidRPr="00CF4DEF">
        <w:rPr>
          <w:rFonts w:eastAsia="Times New Roman" w:cs="Times New Roman"/>
        </w:rPr>
        <w:t xml:space="preserve"> categories collectively account for over 86% of the municipality's land area, indicating a potentially favorable environment for groundwater recharge. Vegetative cover plays a key role in impeding surface runoff and enhancing infiltration, which are essential for aquifer recharge.</w:t>
      </w:r>
      <w:r>
        <w:rPr>
          <w:rFonts w:eastAsia="Times New Roman" w:cs="Times New Roman"/>
        </w:rPr>
        <w:t xml:space="preserve"> </w:t>
      </w:r>
      <w:r w:rsidRPr="00E80C7A">
        <w:rPr>
          <w:rFonts w:eastAsia="Times New Roman" w:cs="Times New Roman"/>
        </w:rPr>
        <w:t>Although water bodies occupy a relatively small area, they were assigned the highest rank during the thematic layer classification, as they directly contribute to groundwater recharge through percolation and surface-groundwater interaction.</w:t>
      </w:r>
      <w:r w:rsidRPr="00CF4DEF">
        <w:rPr>
          <w:rFonts w:eastAsia="Times New Roman" w:cs="Times New Roman"/>
        </w:rPr>
        <w:t xml:space="preserve"> </w:t>
      </w:r>
      <w:r w:rsidRPr="00E80C7A">
        <w:rPr>
          <w:rFonts w:eastAsia="Times New Roman" w:cs="Times New Roman"/>
        </w:rPr>
        <w:t>Conversely, settlement areas were ranked lowest due to ground surface compaction associated with urban development, which significantly reduces infiltration potential and enhances runoff (Das, 2019). Forested and vegetative lands, on the other hand, promote infiltration due to the presence of deep-rooted trees, leaf litter, and canopy cover, all of which reduce evapotranspiration losses and aid in groundwater recharge.</w:t>
      </w:r>
      <w:r w:rsidRPr="00CF4DEF">
        <w:rPr>
          <w:rFonts w:eastAsia="Times New Roman" w:cs="Times New Roman"/>
        </w:rPr>
        <w:t xml:space="preserve"> </w:t>
      </w:r>
      <w:r w:rsidRPr="00E80C7A">
        <w:rPr>
          <w:rFonts w:eastAsia="Times New Roman" w:cs="Times New Roman"/>
        </w:rPr>
        <w:t xml:space="preserve">Agricultural and forested areas, especially those with deep-rooted crops and trees, further contribute to groundwater sustainability. According to Koffi </w:t>
      </w:r>
      <w:r w:rsidRPr="00E80C7A">
        <w:rPr>
          <w:rFonts w:eastAsia="Times New Roman" w:cs="Times New Roman"/>
          <w:i/>
          <w:iCs/>
        </w:rPr>
        <w:t>et al.</w:t>
      </w:r>
      <w:r w:rsidRPr="00E80C7A">
        <w:rPr>
          <w:rFonts w:eastAsia="Times New Roman" w:cs="Times New Roman"/>
        </w:rPr>
        <w:t xml:space="preserve"> (2020), such areas support groundwater availability by drawing moisture from deeper soil layers, while also minimizing groundwater depletion due to canopy-induced microclimatic regulation.</w:t>
      </w:r>
      <w:r w:rsidRPr="00CF4DEF">
        <w:rPr>
          <w:rFonts w:eastAsia="Times New Roman" w:cs="Times New Roman"/>
        </w:rPr>
        <w:t xml:space="preserve"> Generally</w:t>
      </w:r>
      <w:r w:rsidRPr="00E80C7A">
        <w:rPr>
          <w:rFonts w:eastAsia="Times New Roman" w:cs="Times New Roman"/>
        </w:rPr>
        <w:t>, the LULC layer demonstrated a strong influence on groundwater potential and was considered a major input in the multi-criteria evaluation framework for delineating groundwater potential zones</w:t>
      </w:r>
      <w:r>
        <w:rPr>
          <w:rFonts w:eastAsia="Times New Roman" w:cs="Times New Roman"/>
        </w:rPr>
        <w:t>.</w:t>
      </w:r>
    </w:p>
    <w:p w14:paraId="357703C1" w14:textId="77777777"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692A7C79" wp14:editId="3201A8BB">
            <wp:extent cx="5739513" cy="44541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39513" cy="4454102"/>
                    </a:xfrm>
                    <a:prstGeom prst="rect">
                      <a:avLst/>
                    </a:prstGeom>
                  </pic:spPr>
                </pic:pic>
              </a:graphicData>
            </a:graphic>
          </wp:inline>
        </w:drawing>
      </w:r>
    </w:p>
    <w:p w14:paraId="31D7C6A0" w14:textId="5C1FCD22"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20" w:name="_Toc138777752"/>
      <w:r w:rsidRPr="00452346">
        <w:rPr>
          <w:rFonts w:cs="Times New Roman"/>
          <w:b/>
          <w:bCs/>
          <w:i w:val="0"/>
          <w:iCs w:val="0"/>
          <w:color w:val="auto"/>
          <w:sz w:val="24"/>
          <w:szCs w:val="24"/>
        </w:rPr>
        <w:t>Fig</w:t>
      </w:r>
      <w:r w:rsidR="00452346" w:rsidRPr="00452346">
        <w:rPr>
          <w:rFonts w:cs="Times New Roman"/>
          <w:b/>
          <w:bCs/>
          <w:i w:val="0"/>
          <w:iCs w:val="0"/>
          <w:color w:val="auto"/>
          <w:sz w:val="24"/>
          <w:szCs w:val="24"/>
        </w:rPr>
        <w:t>ure</w:t>
      </w:r>
      <w:r w:rsidRPr="00452346">
        <w:rPr>
          <w:rFonts w:cs="Times New Roman"/>
          <w:b/>
          <w:bCs/>
          <w:i w:val="0"/>
          <w:iCs w:val="0"/>
          <w:color w:val="auto"/>
          <w:sz w:val="24"/>
          <w:szCs w:val="24"/>
        </w:rPr>
        <w:t xml:space="preserve"> </w:t>
      </w:r>
      <w:bookmarkStart w:id="21" w:name="_Toc138686493"/>
      <w:bookmarkStart w:id="22" w:name="_Toc138686883"/>
      <w:bookmarkStart w:id="23" w:name="_Toc138686980"/>
      <w:bookmarkStart w:id="24" w:name="_Toc138689810"/>
      <w:bookmarkStart w:id="25" w:name="_Toc138761099"/>
      <w:bookmarkStart w:id="26" w:name="_Toc138761227"/>
      <w:r w:rsidR="00B51A12" w:rsidRPr="00452346">
        <w:rPr>
          <w:rFonts w:cs="Times New Roman"/>
          <w:b/>
          <w:bCs/>
          <w:i w:val="0"/>
          <w:iCs w:val="0"/>
          <w:color w:val="auto"/>
          <w:sz w:val="24"/>
          <w:szCs w:val="24"/>
        </w:rPr>
        <w:t>4</w:t>
      </w:r>
      <w:r w:rsidR="00452346" w:rsidRPr="00452346">
        <w:rPr>
          <w:rFonts w:cs="Times New Roman"/>
          <w:b/>
          <w:bCs/>
          <w:i w:val="0"/>
          <w:iCs w:val="0"/>
          <w:noProof/>
          <w:color w:val="auto"/>
          <w:sz w:val="24"/>
          <w:szCs w:val="24"/>
        </w:rPr>
        <w:t>:</w:t>
      </w:r>
      <w:r w:rsidRPr="00D00F16">
        <w:rPr>
          <w:rFonts w:cs="Times New Roman"/>
          <w:i w:val="0"/>
          <w:iCs w:val="0"/>
          <w:color w:val="auto"/>
          <w:sz w:val="24"/>
          <w:szCs w:val="24"/>
        </w:rPr>
        <w:t xml:space="preserve"> </w:t>
      </w:r>
      <w:proofErr w:type="spellStart"/>
      <w:r w:rsidRPr="00D00F16">
        <w:rPr>
          <w:rFonts w:cs="Times New Roman"/>
          <w:i w:val="0"/>
          <w:iCs w:val="0"/>
          <w:color w:val="auto"/>
          <w:sz w:val="24"/>
          <w:szCs w:val="24"/>
        </w:rPr>
        <w:t>Land</w:t>
      </w:r>
      <w:r w:rsidR="00452346">
        <w:rPr>
          <w:rFonts w:cs="Times New Roman"/>
          <w:i w:val="0"/>
          <w:iCs w:val="0"/>
          <w:color w:val="auto"/>
          <w:sz w:val="24"/>
          <w:szCs w:val="24"/>
        </w:rPr>
        <w:t>u</w:t>
      </w:r>
      <w:r w:rsidRPr="00D00F16">
        <w:rPr>
          <w:rFonts w:cs="Times New Roman"/>
          <w:i w:val="0"/>
          <w:iCs w:val="0"/>
          <w:color w:val="auto"/>
          <w:sz w:val="24"/>
          <w:szCs w:val="24"/>
        </w:rPr>
        <w:t>se</w:t>
      </w:r>
      <w:proofErr w:type="spellEnd"/>
      <w:r w:rsidRPr="00D00F16">
        <w:rPr>
          <w:rFonts w:cs="Times New Roman"/>
          <w:i w:val="0"/>
          <w:iCs w:val="0"/>
          <w:color w:val="auto"/>
          <w:sz w:val="24"/>
          <w:szCs w:val="24"/>
        </w:rPr>
        <w:t xml:space="preserve"> </w:t>
      </w:r>
      <w:r w:rsidR="006F57CF" w:rsidRPr="00D00F16">
        <w:rPr>
          <w:rFonts w:cs="Times New Roman"/>
          <w:i w:val="0"/>
          <w:iCs w:val="0"/>
          <w:color w:val="auto"/>
          <w:sz w:val="24"/>
          <w:szCs w:val="24"/>
        </w:rPr>
        <w:t xml:space="preserve">and </w:t>
      </w:r>
      <w:r w:rsidRPr="00D00F16">
        <w:rPr>
          <w:rFonts w:cs="Times New Roman"/>
          <w:i w:val="0"/>
          <w:iCs w:val="0"/>
          <w:color w:val="auto"/>
          <w:sz w:val="24"/>
          <w:szCs w:val="24"/>
        </w:rPr>
        <w:t>Land</w:t>
      </w:r>
      <w:r w:rsidR="00452346">
        <w:rPr>
          <w:rFonts w:cs="Times New Roman"/>
          <w:i w:val="0"/>
          <w:iCs w:val="0"/>
          <w:color w:val="auto"/>
          <w:sz w:val="24"/>
          <w:szCs w:val="24"/>
        </w:rPr>
        <w:t>c</w:t>
      </w:r>
      <w:r w:rsidRPr="00D00F16">
        <w:rPr>
          <w:rFonts w:cs="Times New Roman"/>
          <w:i w:val="0"/>
          <w:iCs w:val="0"/>
          <w:color w:val="auto"/>
          <w:sz w:val="24"/>
          <w:szCs w:val="24"/>
        </w:rPr>
        <w:t xml:space="preserve">over Map of </w:t>
      </w:r>
      <w:proofErr w:type="spellStart"/>
      <w:r w:rsidRPr="00D00F16">
        <w:rPr>
          <w:rFonts w:cs="Times New Roman"/>
          <w:i w:val="0"/>
          <w:iCs w:val="0"/>
          <w:color w:val="auto"/>
          <w:sz w:val="24"/>
          <w:szCs w:val="24"/>
        </w:rPr>
        <w:t>Wa</w:t>
      </w:r>
      <w:bookmarkEnd w:id="20"/>
      <w:bookmarkEnd w:id="21"/>
      <w:bookmarkEnd w:id="22"/>
      <w:bookmarkEnd w:id="23"/>
      <w:bookmarkEnd w:id="24"/>
      <w:bookmarkEnd w:id="25"/>
      <w:bookmarkEnd w:id="26"/>
      <w:proofErr w:type="spellEnd"/>
      <w:r w:rsidR="00217248">
        <w:rPr>
          <w:rFonts w:cs="Times New Roman"/>
          <w:i w:val="0"/>
          <w:iCs w:val="0"/>
          <w:color w:val="auto"/>
          <w:sz w:val="24"/>
          <w:szCs w:val="24"/>
        </w:rPr>
        <w:t xml:space="preserve"> Municipality</w:t>
      </w:r>
    </w:p>
    <w:p w14:paraId="125FA1E2" w14:textId="77777777" w:rsidR="009C16E8" w:rsidRPr="00D00F16" w:rsidRDefault="009C16E8" w:rsidP="00244993">
      <w:pPr>
        <w:spacing w:after="0" w:line="240" w:lineRule="auto"/>
        <w:ind w:left="0"/>
      </w:pPr>
    </w:p>
    <w:p w14:paraId="620A2E0B" w14:textId="67964C82" w:rsidR="003E09C9" w:rsidRPr="00D00F16" w:rsidRDefault="003E09C9" w:rsidP="006E0E57">
      <w:pPr>
        <w:pStyle w:val="Caption"/>
        <w:keepNext/>
        <w:spacing w:after="0" w:line="276" w:lineRule="auto"/>
        <w:ind w:left="0"/>
        <w:jc w:val="both"/>
        <w:rPr>
          <w:rFonts w:cs="Times New Roman"/>
          <w:i w:val="0"/>
          <w:iCs w:val="0"/>
          <w:color w:val="auto"/>
          <w:sz w:val="24"/>
          <w:szCs w:val="24"/>
        </w:rPr>
      </w:pPr>
      <w:bookmarkStart w:id="27" w:name="_Toc138764722"/>
      <w:r w:rsidRPr="002873E8">
        <w:rPr>
          <w:rFonts w:cs="Times New Roman"/>
          <w:b/>
          <w:bCs/>
          <w:i w:val="0"/>
          <w:iCs w:val="0"/>
          <w:color w:val="auto"/>
          <w:sz w:val="24"/>
          <w:szCs w:val="24"/>
        </w:rPr>
        <w:t xml:space="preserve">Table </w:t>
      </w:r>
      <w:r w:rsidR="00203C5D">
        <w:rPr>
          <w:rFonts w:cs="Times New Roman"/>
          <w:b/>
          <w:bCs/>
          <w:i w:val="0"/>
          <w:iCs w:val="0"/>
          <w:color w:val="auto"/>
          <w:sz w:val="24"/>
          <w:szCs w:val="24"/>
        </w:rPr>
        <w:t>3</w:t>
      </w:r>
      <w:r w:rsidR="002873E8" w:rsidRPr="002873E8">
        <w:rPr>
          <w:rFonts w:cs="Times New Roman"/>
          <w:b/>
          <w:bCs/>
          <w:i w:val="0"/>
          <w:iCs w:val="0"/>
          <w:color w:val="auto"/>
          <w:sz w:val="24"/>
          <w:szCs w:val="24"/>
        </w:rPr>
        <w:t>:</w:t>
      </w:r>
      <w:r w:rsidRPr="00D00F16">
        <w:rPr>
          <w:rFonts w:cs="Times New Roman"/>
          <w:i w:val="0"/>
          <w:iCs w:val="0"/>
          <w:color w:val="auto"/>
          <w:sz w:val="24"/>
          <w:szCs w:val="24"/>
        </w:rPr>
        <w:t xml:space="preserve"> </w:t>
      </w:r>
      <w:proofErr w:type="spellStart"/>
      <w:r w:rsidRPr="00D00F16">
        <w:rPr>
          <w:rFonts w:cs="Times New Roman"/>
          <w:i w:val="0"/>
          <w:iCs w:val="0"/>
          <w:color w:val="auto"/>
          <w:sz w:val="24"/>
          <w:szCs w:val="24"/>
        </w:rPr>
        <w:t>L</w:t>
      </w:r>
      <w:r w:rsidR="00AB21A3" w:rsidRPr="00D00F16">
        <w:rPr>
          <w:rFonts w:cs="Times New Roman"/>
          <w:i w:val="0"/>
          <w:iCs w:val="0"/>
          <w:color w:val="auto"/>
          <w:sz w:val="24"/>
          <w:szCs w:val="24"/>
        </w:rPr>
        <w:t>and</w:t>
      </w:r>
      <w:r w:rsidR="002873E8">
        <w:rPr>
          <w:rFonts w:cs="Times New Roman"/>
          <w:i w:val="0"/>
          <w:iCs w:val="0"/>
          <w:color w:val="auto"/>
          <w:sz w:val="24"/>
          <w:szCs w:val="24"/>
        </w:rPr>
        <w:t>u</w:t>
      </w:r>
      <w:r w:rsidR="00AB21A3" w:rsidRPr="00D00F16">
        <w:rPr>
          <w:rFonts w:cs="Times New Roman"/>
          <w:i w:val="0"/>
          <w:iCs w:val="0"/>
          <w:color w:val="auto"/>
          <w:sz w:val="24"/>
          <w:szCs w:val="24"/>
        </w:rPr>
        <w:t>se</w:t>
      </w:r>
      <w:proofErr w:type="spellEnd"/>
      <w:r w:rsidR="00AB21A3" w:rsidRPr="00D00F16">
        <w:rPr>
          <w:rFonts w:cs="Times New Roman"/>
          <w:i w:val="0"/>
          <w:iCs w:val="0"/>
          <w:color w:val="auto"/>
          <w:sz w:val="24"/>
          <w:szCs w:val="24"/>
        </w:rPr>
        <w:t xml:space="preserve"> and Land</w:t>
      </w:r>
      <w:r w:rsidR="002873E8">
        <w:rPr>
          <w:rFonts w:cs="Times New Roman"/>
          <w:i w:val="0"/>
          <w:iCs w:val="0"/>
          <w:color w:val="auto"/>
          <w:sz w:val="24"/>
          <w:szCs w:val="24"/>
        </w:rPr>
        <w:t>c</w:t>
      </w:r>
      <w:r w:rsidR="00AB21A3" w:rsidRPr="00D00F16">
        <w:rPr>
          <w:rFonts w:cs="Times New Roman"/>
          <w:i w:val="0"/>
          <w:iCs w:val="0"/>
          <w:color w:val="auto"/>
          <w:sz w:val="24"/>
          <w:szCs w:val="24"/>
        </w:rPr>
        <w:t>over (L</w:t>
      </w:r>
      <w:r w:rsidRPr="00D00F16">
        <w:rPr>
          <w:rFonts w:cs="Times New Roman"/>
          <w:i w:val="0"/>
          <w:iCs w:val="0"/>
          <w:color w:val="auto"/>
          <w:sz w:val="24"/>
          <w:szCs w:val="24"/>
        </w:rPr>
        <w:t>ULC</w:t>
      </w:r>
      <w:r w:rsidR="00AB21A3" w:rsidRPr="00D00F16">
        <w:rPr>
          <w:rFonts w:cs="Times New Roman"/>
          <w:i w:val="0"/>
          <w:iCs w:val="0"/>
          <w:color w:val="auto"/>
          <w:sz w:val="24"/>
          <w:szCs w:val="24"/>
        </w:rPr>
        <w:t>)</w:t>
      </w:r>
      <w:r w:rsidRPr="00D00F16">
        <w:rPr>
          <w:rFonts w:cs="Times New Roman"/>
          <w:i w:val="0"/>
          <w:iCs w:val="0"/>
          <w:color w:val="auto"/>
          <w:sz w:val="24"/>
          <w:szCs w:val="24"/>
        </w:rPr>
        <w:t xml:space="preserve"> </w:t>
      </w:r>
      <w:bookmarkEnd w:id="27"/>
      <w:r w:rsidR="002873E8">
        <w:rPr>
          <w:rFonts w:cs="Times New Roman"/>
          <w:i w:val="0"/>
          <w:iCs w:val="0"/>
          <w:color w:val="auto"/>
          <w:sz w:val="24"/>
          <w:szCs w:val="24"/>
        </w:rPr>
        <w:t xml:space="preserve">Coverage of </w:t>
      </w:r>
      <w:proofErr w:type="spellStart"/>
      <w:r w:rsidR="002873E8">
        <w:rPr>
          <w:rFonts w:cs="Times New Roman"/>
          <w:i w:val="0"/>
          <w:iCs w:val="0"/>
          <w:color w:val="auto"/>
          <w:sz w:val="24"/>
          <w:szCs w:val="24"/>
        </w:rPr>
        <w:t>Wa</w:t>
      </w:r>
      <w:proofErr w:type="spellEnd"/>
    </w:p>
    <w:tbl>
      <w:tblPr>
        <w:tblStyle w:val="TableGrid"/>
        <w:tblW w:w="8399"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2037"/>
        <w:gridCol w:w="2385"/>
        <w:gridCol w:w="2800"/>
      </w:tblGrid>
      <w:tr w:rsidR="003F590C" w:rsidRPr="00D00F16" w14:paraId="7B017624" w14:textId="77777777" w:rsidTr="002873E8">
        <w:trPr>
          <w:trHeight w:val="70"/>
        </w:trPr>
        <w:tc>
          <w:tcPr>
            <w:tcW w:w="1177" w:type="dxa"/>
            <w:tcBorders>
              <w:top w:val="single" w:sz="4" w:space="0" w:color="auto"/>
              <w:bottom w:val="single" w:sz="4" w:space="0" w:color="auto"/>
            </w:tcBorders>
          </w:tcPr>
          <w:p w14:paraId="3B954E56" w14:textId="77777777" w:rsidR="003E09C9" w:rsidRPr="00167449" w:rsidRDefault="003E09C9" w:rsidP="002873E8">
            <w:pPr>
              <w:spacing w:line="240" w:lineRule="auto"/>
              <w:ind w:left="0"/>
              <w:jc w:val="both"/>
              <w:rPr>
                <w:b/>
                <w:bCs/>
                <w:sz w:val="24"/>
                <w:szCs w:val="24"/>
              </w:rPr>
            </w:pPr>
            <w:r w:rsidRPr="00167449">
              <w:rPr>
                <w:b/>
                <w:bCs/>
                <w:sz w:val="24"/>
                <w:szCs w:val="24"/>
              </w:rPr>
              <w:t>S/N</w:t>
            </w:r>
          </w:p>
        </w:tc>
        <w:tc>
          <w:tcPr>
            <w:tcW w:w="2037" w:type="dxa"/>
            <w:tcBorders>
              <w:top w:val="single" w:sz="4" w:space="0" w:color="auto"/>
              <w:bottom w:val="single" w:sz="4" w:space="0" w:color="auto"/>
            </w:tcBorders>
          </w:tcPr>
          <w:p w14:paraId="69EB1A1F" w14:textId="46DDD3C1" w:rsidR="003E09C9" w:rsidRPr="00167449" w:rsidRDefault="00167449" w:rsidP="002873E8">
            <w:pPr>
              <w:spacing w:line="240" w:lineRule="auto"/>
              <w:ind w:left="0"/>
              <w:jc w:val="both"/>
              <w:rPr>
                <w:b/>
                <w:bCs/>
                <w:sz w:val="24"/>
                <w:szCs w:val="24"/>
              </w:rPr>
            </w:pPr>
            <w:r>
              <w:rPr>
                <w:b/>
                <w:bCs/>
                <w:sz w:val="24"/>
                <w:szCs w:val="24"/>
              </w:rPr>
              <w:t>LULC</w:t>
            </w:r>
          </w:p>
        </w:tc>
        <w:tc>
          <w:tcPr>
            <w:tcW w:w="2385" w:type="dxa"/>
            <w:tcBorders>
              <w:top w:val="single" w:sz="4" w:space="0" w:color="auto"/>
              <w:bottom w:val="single" w:sz="4" w:space="0" w:color="auto"/>
            </w:tcBorders>
          </w:tcPr>
          <w:p w14:paraId="7B561224" w14:textId="4806183D" w:rsidR="003E09C9" w:rsidRPr="00167449" w:rsidRDefault="003E09C9" w:rsidP="002873E8">
            <w:pPr>
              <w:spacing w:line="240" w:lineRule="auto"/>
              <w:ind w:left="0"/>
              <w:jc w:val="both"/>
              <w:rPr>
                <w:b/>
                <w:bCs/>
                <w:sz w:val="24"/>
                <w:szCs w:val="24"/>
              </w:rPr>
            </w:pPr>
            <w:r w:rsidRPr="00167449">
              <w:rPr>
                <w:b/>
                <w:bCs/>
                <w:sz w:val="24"/>
                <w:szCs w:val="24"/>
              </w:rPr>
              <w:t>Area (</w:t>
            </w:r>
            <w:r w:rsidR="005257CF" w:rsidRPr="00167449">
              <w:rPr>
                <w:b/>
                <w:bCs/>
                <w:sz w:val="24"/>
                <w:szCs w:val="24"/>
              </w:rPr>
              <w:t>k</w:t>
            </w:r>
            <w:r w:rsidRPr="00167449">
              <w:rPr>
                <w:b/>
                <w:bCs/>
                <w:sz w:val="24"/>
                <w:szCs w:val="24"/>
              </w:rPr>
              <w:t>m</w:t>
            </w:r>
            <w:r w:rsidRPr="00167449">
              <w:rPr>
                <w:b/>
                <w:bCs/>
                <w:sz w:val="24"/>
                <w:szCs w:val="24"/>
                <w:vertAlign w:val="superscript"/>
              </w:rPr>
              <w:t>2</w:t>
            </w:r>
            <w:r w:rsidRPr="00167449">
              <w:rPr>
                <w:b/>
                <w:bCs/>
                <w:sz w:val="24"/>
                <w:szCs w:val="24"/>
              </w:rPr>
              <w:t>)</w:t>
            </w:r>
          </w:p>
        </w:tc>
        <w:tc>
          <w:tcPr>
            <w:tcW w:w="2800" w:type="dxa"/>
            <w:tcBorders>
              <w:top w:val="single" w:sz="4" w:space="0" w:color="auto"/>
              <w:bottom w:val="single" w:sz="4" w:space="0" w:color="auto"/>
            </w:tcBorders>
          </w:tcPr>
          <w:p w14:paraId="3002EB16" w14:textId="77777777" w:rsidR="003E09C9" w:rsidRPr="00167449" w:rsidRDefault="003E09C9" w:rsidP="002873E8">
            <w:pPr>
              <w:spacing w:line="240" w:lineRule="auto"/>
              <w:ind w:left="0"/>
              <w:jc w:val="both"/>
              <w:rPr>
                <w:b/>
                <w:bCs/>
                <w:sz w:val="24"/>
                <w:szCs w:val="24"/>
              </w:rPr>
            </w:pPr>
            <w:r w:rsidRPr="00167449">
              <w:rPr>
                <w:b/>
                <w:bCs/>
                <w:sz w:val="24"/>
                <w:szCs w:val="24"/>
              </w:rPr>
              <w:t>Percentage (%)</w:t>
            </w:r>
          </w:p>
        </w:tc>
      </w:tr>
      <w:tr w:rsidR="003F590C" w:rsidRPr="00D00F16" w14:paraId="54D6393C" w14:textId="77777777" w:rsidTr="002873E8">
        <w:trPr>
          <w:trHeight w:val="70"/>
        </w:trPr>
        <w:tc>
          <w:tcPr>
            <w:tcW w:w="1177" w:type="dxa"/>
            <w:tcBorders>
              <w:top w:val="single" w:sz="4" w:space="0" w:color="auto"/>
            </w:tcBorders>
          </w:tcPr>
          <w:p w14:paraId="021E4A67" w14:textId="77777777" w:rsidR="003E09C9" w:rsidRPr="00D00F16" w:rsidRDefault="003E09C9" w:rsidP="002873E8">
            <w:pPr>
              <w:spacing w:line="240" w:lineRule="auto"/>
              <w:ind w:left="0"/>
              <w:jc w:val="both"/>
              <w:rPr>
                <w:sz w:val="24"/>
                <w:szCs w:val="24"/>
              </w:rPr>
            </w:pPr>
            <w:r w:rsidRPr="00D00F16">
              <w:rPr>
                <w:sz w:val="24"/>
                <w:szCs w:val="24"/>
              </w:rPr>
              <w:t>1</w:t>
            </w:r>
          </w:p>
        </w:tc>
        <w:tc>
          <w:tcPr>
            <w:tcW w:w="2037" w:type="dxa"/>
            <w:tcBorders>
              <w:top w:val="single" w:sz="4" w:space="0" w:color="auto"/>
            </w:tcBorders>
          </w:tcPr>
          <w:p w14:paraId="5F1906B1" w14:textId="77777777" w:rsidR="003E09C9" w:rsidRPr="00D00F16" w:rsidRDefault="003E09C9" w:rsidP="002873E8">
            <w:pPr>
              <w:spacing w:line="240" w:lineRule="auto"/>
              <w:ind w:left="0"/>
              <w:jc w:val="both"/>
              <w:rPr>
                <w:sz w:val="24"/>
                <w:szCs w:val="24"/>
              </w:rPr>
            </w:pPr>
            <w:r w:rsidRPr="00D00F16">
              <w:rPr>
                <w:sz w:val="24"/>
                <w:szCs w:val="24"/>
              </w:rPr>
              <w:t>Water</w:t>
            </w:r>
          </w:p>
        </w:tc>
        <w:tc>
          <w:tcPr>
            <w:tcW w:w="2385" w:type="dxa"/>
            <w:tcBorders>
              <w:top w:val="single" w:sz="4" w:space="0" w:color="auto"/>
            </w:tcBorders>
          </w:tcPr>
          <w:p w14:paraId="5E2293C3" w14:textId="77777777" w:rsidR="003E09C9" w:rsidRPr="00D00F16" w:rsidRDefault="003E09C9" w:rsidP="002873E8">
            <w:pPr>
              <w:spacing w:line="240" w:lineRule="auto"/>
              <w:ind w:left="0"/>
              <w:jc w:val="both"/>
              <w:rPr>
                <w:sz w:val="24"/>
                <w:szCs w:val="24"/>
              </w:rPr>
            </w:pPr>
            <w:r w:rsidRPr="00D00F16">
              <w:rPr>
                <w:sz w:val="24"/>
                <w:szCs w:val="24"/>
              </w:rPr>
              <w:t>1.64</w:t>
            </w:r>
          </w:p>
        </w:tc>
        <w:tc>
          <w:tcPr>
            <w:tcW w:w="2800" w:type="dxa"/>
            <w:tcBorders>
              <w:top w:val="single" w:sz="4" w:space="0" w:color="auto"/>
            </w:tcBorders>
          </w:tcPr>
          <w:p w14:paraId="6F8B7A0D" w14:textId="77777777" w:rsidR="003E09C9" w:rsidRPr="00D00F16" w:rsidRDefault="003E09C9" w:rsidP="002873E8">
            <w:pPr>
              <w:spacing w:line="240" w:lineRule="auto"/>
              <w:ind w:left="0"/>
              <w:jc w:val="both"/>
              <w:rPr>
                <w:sz w:val="24"/>
                <w:szCs w:val="24"/>
              </w:rPr>
            </w:pPr>
            <w:r w:rsidRPr="00D00F16">
              <w:rPr>
                <w:sz w:val="24"/>
                <w:szCs w:val="24"/>
              </w:rPr>
              <w:t>0.28</w:t>
            </w:r>
          </w:p>
        </w:tc>
      </w:tr>
      <w:tr w:rsidR="003F590C" w:rsidRPr="00D00F16" w14:paraId="30C0C240" w14:textId="77777777" w:rsidTr="002873E8">
        <w:trPr>
          <w:trHeight w:val="108"/>
        </w:trPr>
        <w:tc>
          <w:tcPr>
            <w:tcW w:w="1177" w:type="dxa"/>
          </w:tcPr>
          <w:p w14:paraId="395E9E05" w14:textId="77777777" w:rsidR="003E09C9" w:rsidRPr="00D00F16" w:rsidRDefault="003E09C9" w:rsidP="002873E8">
            <w:pPr>
              <w:spacing w:line="240" w:lineRule="auto"/>
              <w:ind w:left="0"/>
              <w:jc w:val="both"/>
              <w:rPr>
                <w:sz w:val="24"/>
                <w:szCs w:val="24"/>
              </w:rPr>
            </w:pPr>
            <w:r w:rsidRPr="00D00F16">
              <w:rPr>
                <w:sz w:val="24"/>
                <w:szCs w:val="24"/>
              </w:rPr>
              <w:t>2</w:t>
            </w:r>
          </w:p>
        </w:tc>
        <w:tc>
          <w:tcPr>
            <w:tcW w:w="2037" w:type="dxa"/>
          </w:tcPr>
          <w:p w14:paraId="7DE0FCE1" w14:textId="77777777" w:rsidR="003E09C9" w:rsidRPr="00D00F16" w:rsidRDefault="003E09C9" w:rsidP="002873E8">
            <w:pPr>
              <w:spacing w:line="240" w:lineRule="auto"/>
              <w:ind w:left="0"/>
              <w:jc w:val="both"/>
              <w:rPr>
                <w:sz w:val="24"/>
                <w:szCs w:val="24"/>
              </w:rPr>
            </w:pPr>
            <w:r w:rsidRPr="00D00F16">
              <w:rPr>
                <w:sz w:val="24"/>
                <w:szCs w:val="24"/>
              </w:rPr>
              <w:t>Bare land</w:t>
            </w:r>
          </w:p>
        </w:tc>
        <w:tc>
          <w:tcPr>
            <w:tcW w:w="2385" w:type="dxa"/>
          </w:tcPr>
          <w:p w14:paraId="3B52467D" w14:textId="77777777" w:rsidR="003E09C9" w:rsidRPr="00D00F16" w:rsidRDefault="003E09C9" w:rsidP="002873E8">
            <w:pPr>
              <w:spacing w:line="240" w:lineRule="auto"/>
              <w:ind w:left="0"/>
              <w:jc w:val="both"/>
              <w:rPr>
                <w:sz w:val="24"/>
                <w:szCs w:val="24"/>
              </w:rPr>
            </w:pPr>
            <w:r w:rsidRPr="00D00F16">
              <w:rPr>
                <w:sz w:val="24"/>
                <w:szCs w:val="24"/>
              </w:rPr>
              <w:t>66.84</w:t>
            </w:r>
          </w:p>
        </w:tc>
        <w:tc>
          <w:tcPr>
            <w:tcW w:w="2800" w:type="dxa"/>
          </w:tcPr>
          <w:p w14:paraId="5E6701E6" w14:textId="77777777" w:rsidR="003E09C9" w:rsidRPr="00D00F16" w:rsidRDefault="003E09C9" w:rsidP="002873E8">
            <w:pPr>
              <w:spacing w:line="240" w:lineRule="auto"/>
              <w:ind w:left="0"/>
              <w:jc w:val="both"/>
              <w:rPr>
                <w:sz w:val="24"/>
                <w:szCs w:val="24"/>
              </w:rPr>
            </w:pPr>
            <w:r w:rsidRPr="00D00F16">
              <w:rPr>
                <w:sz w:val="24"/>
                <w:szCs w:val="24"/>
              </w:rPr>
              <w:t>11.54</w:t>
            </w:r>
          </w:p>
        </w:tc>
      </w:tr>
      <w:tr w:rsidR="003F590C" w:rsidRPr="00D00F16" w14:paraId="7BDDAA7E" w14:textId="77777777" w:rsidTr="002873E8">
        <w:trPr>
          <w:trHeight w:val="90"/>
        </w:trPr>
        <w:tc>
          <w:tcPr>
            <w:tcW w:w="1177" w:type="dxa"/>
          </w:tcPr>
          <w:p w14:paraId="6DE8E817" w14:textId="77777777" w:rsidR="003E09C9" w:rsidRPr="00D00F16" w:rsidRDefault="003E09C9" w:rsidP="002873E8">
            <w:pPr>
              <w:spacing w:line="240" w:lineRule="auto"/>
              <w:ind w:left="0"/>
              <w:jc w:val="both"/>
              <w:rPr>
                <w:sz w:val="24"/>
                <w:szCs w:val="24"/>
              </w:rPr>
            </w:pPr>
            <w:r w:rsidRPr="00D00F16">
              <w:rPr>
                <w:sz w:val="24"/>
                <w:szCs w:val="24"/>
              </w:rPr>
              <w:t>3</w:t>
            </w:r>
          </w:p>
        </w:tc>
        <w:tc>
          <w:tcPr>
            <w:tcW w:w="2037" w:type="dxa"/>
          </w:tcPr>
          <w:p w14:paraId="1B1CA834" w14:textId="77777777" w:rsidR="003E09C9" w:rsidRPr="00D00F16" w:rsidRDefault="003E09C9" w:rsidP="002873E8">
            <w:pPr>
              <w:spacing w:line="240" w:lineRule="auto"/>
              <w:ind w:left="0"/>
              <w:jc w:val="both"/>
              <w:rPr>
                <w:sz w:val="24"/>
                <w:szCs w:val="24"/>
              </w:rPr>
            </w:pPr>
            <w:r w:rsidRPr="00D00F16">
              <w:rPr>
                <w:sz w:val="24"/>
                <w:szCs w:val="24"/>
              </w:rPr>
              <w:t>Forest</w:t>
            </w:r>
          </w:p>
        </w:tc>
        <w:tc>
          <w:tcPr>
            <w:tcW w:w="2385" w:type="dxa"/>
          </w:tcPr>
          <w:p w14:paraId="356D9175" w14:textId="77777777" w:rsidR="003E09C9" w:rsidRPr="00D00F16" w:rsidRDefault="003E09C9" w:rsidP="002873E8">
            <w:pPr>
              <w:spacing w:line="240" w:lineRule="auto"/>
              <w:ind w:left="0"/>
              <w:jc w:val="both"/>
              <w:rPr>
                <w:sz w:val="24"/>
                <w:szCs w:val="24"/>
              </w:rPr>
            </w:pPr>
            <w:r w:rsidRPr="00D00F16">
              <w:rPr>
                <w:sz w:val="24"/>
                <w:szCs w:val="24"/>
              </w:rPr>
              <w:t>75.13</w:t>
            </w:r>
          </w:p>
        </w:tc>
        <w:tc>
          <w:tcPr>
            <w:tcW w:w="2800" w:type="dxa"/>
          </w:tcPr>
          <w:p w14:paraId="477202AE" w14:textId="77777777" w:rsidR="003E09C9" w:rsidRPr="00D00F16" w:rsidRDefault="003E09C9" w:rsidP="002873E8">
            <w:pPr>
              <w:spacing w:line="240" w:lineRule="auto"/>
              <w:ind w:left="0"/>
              <w:jc w:val="both"/>
              <w:rPr>
                <w:sz w:val="24"/>
                <w:szCs w:val="24"/>
              </w:rPr>
            </w:pPr>
            <w:r w:rsidRPr="00D00F16">
              <w:rPr>
                <w:sz w:val="24"/>
                <w:szCs w:val="24"/>
              </w:rPr>
              <w:t>12.97</w:t>
            </w:r>
          </w:p>
        </w:tc>
      </w:tr>
      <w:tr w:rsidR="003F590C" w:rsidRPr="00D00F16" w14:paraId="2DE885E8" w14:textId="77777777" w:rsidTr="002873E8">
        <w:trPr>
          <w:trHeight w:val="80"/>
        </w:trPr>
        <w:tc>
          <w:tcPr>
            <w:tcW w:w="1177" w:type="dxa"/>
          </w:tcPr>
          <w:p w14:paraId="01E2A973" w14:textId="77777777" w:rsidR="003E09C9" w:rsidRPr="00D00F16" w:rsidRDefault="003E09C9" w:rsidP="002873E8">
            <w:pPr>
              <w:spacing w:line="240" w:lineRule="auto"/>
              <w:ind w:left="0"/>
              <w:jc w:val="both"/>
              <w:rPr>
                <w:sz w:val="24"/>
                <w:szCs w:val="24"/>
              </w:rPr>
            </w:pPr>
            <w:r w:rsidRPr="00D00F16">
              <w:rPr>
                <w:sz w:val="24"/>
                <w:szCs w:val="24"/>
              </w:rPr>
              <w:t>4</w:t>
            </w:r>
          </w:p>
        </w:tc>
        <w:tc>
          <w:tcPr>
            <w:tcW w:w="2037" w:type="dxa"/>
          </w:tcPr>
          <w:p w14:paraId="6F8B560C" w14:textId="77777777" w:rsidR="003E09C9" w:rsidRPr="00D00F16" w:rsidRDefault="003E09C9" w:rsidP="002873E8">
            <w:pPr>
              <w:spacing w:line="240" w:lineRule="auto"/>
              <w:ind w:left="0"/>
              <w:jc w:val="both"/>
              <w:rPr>
                <w:sz w:val="24"/>
                <w:szCs w:val="24"/>
              </w:rPr>
            </w:pPr>
            <w:r w:rsidRPr="00D00F16">
              <w:rPr>
                <w:sz w:val="24"/>
                <w:szCs w:val="24"/>
              </w:rPr>
              <w:t xml:space="preserve">Vegetation </w:t>
            </w:r>
          </w:p>
        </w:tc>
        <w:tc>
          <w:tcPr>
            <w:tcW w:w="2385" w:type="dxa"/>
          </w:tcPr>
          <w:p w14:paraId="4F71102F" w14:textId="77777777" w:rsidR="003E09C9" w:rsidRPr="00D00F16" w:rsidRDefault="003E09C9" w:rsidP="002873E8">
            <w:pPr>
              <w:spacing w:line="240" w:lineRule="auto"/>
              <w:ind w:left="0"/>
              <w:jc w:val="both"/>
              <w:rPr>
                <w:sz w:val="24"/>
                <w:szCs w:val="24"/>
              </w:rPr>
            </w:pPr>
            <w:r w:rsidRPr="00D00F16">
              <w:rPr>
                <w:sz w:val="24"/>
                <w:szCs w:val="24"/>
              </w:rPr>
              <w:t>167.38</w:t>
            </w:r>
          </w:p>
        </w:tc>
        <w:tc>
          <w:tcPr>
            <w:tcW w:w="2800" w:type="dxa"/>
          </w:tcPr>
          <w:p w14:paraId="3F86B55D" w14:textId="77777777" w:rsidR="003E09C9" w:rsidRPr="00D00F16" w:rsidRDefault="003E09C9" w:rsidP="002873E8">
            <w:pPr>
              <w:spacing w:line="240" w:lineRule="auto"/>
              <w:ind w:left="0"/>
              <w:jc w:val="both"/>
              <w:rPr>
                <w:sz w:val="24"/>
                <w:szCs w:val="24"/>
              </w:rPr>
            </w:pPr>
            <w:r w:rsidRPr="00D00F16">
              <w:rPr>
                <w:sz w:val="24"/>
                <w:szCs w:val="24"/>
              </w:rPr>
              <w:t>28.89</w:t>
            </w:r>
          </w:p>
        </w:tc>
      </w:tr>
      <w:tr w:rsidR="003F590C" w:rsidRPr="00D00F16" w14:paraId="2B0A33E5" w14:textId="77777777" w:rsidTr="002873E8">
        <w:trPr>
          <w:trHeight w:val="80"/>
        </w:trPr>
        <w:tc>
          <w:tcPr>
            <w:tcW w:w="1177" w:type="dxa"/>
            <w:tcBorders>
              <w:bottom w:val="nil"/>
            </w:tcBorders>
          </w:tcPr>
          <w:p w14:paraId="4C65D5F2" w14:textId="77777777" w:rsidR="003E09C9" w:rsidRPr="00D00F16" w:rsidRDefault="003E09C9" w:rsidP="002873E8">
            <w:pPr>
              <w:spacing w:line="240" w:lineRule="auto"/>
              <w:ind w:left="0"/>
              <w:jc w:val="both"/>
              <w:rPr>
                <w:sz w:val="24"/>
                <w:szCs w:val="24"/>
              </w:rPr>
            </w:pPr>
            <w:r w:rsidRPr="00D00F16">
              <w:rPr>
                <w:sz w:val="24"/>
                <w:szCs w:val="24"/>
              </w:rPr>
              <w:t>5</w:t>
            </w:r>
          </w:p>
        </w:tc>
        <w:tc>
          <w:tcPr>
            <w:tcW w:w="2037" w:type="dxa"/>
            <w:tcBorders>
              <w:bottom w:val="nil"/>
            </w:tcBorders>
          </w:tcPr>
          <w:p w14:paraId="79CD7562" w14:textId="77777777" w:rsidR="003E09C9" w:rsidRPr="00D00F16" w:rsidRDefault="003E09C9" w:rsidP="002873E8">
            <w:pPr>
              <w:spacing w:line="240" w:lineRule="auto"/>
              <w:ind w:left="0"/>
              <w:jc w:val="both"/>
              <w:rPr>
                <w:sz w:val="24"/>
                <w:szCs w:val="24"/>
              </w:rPr>
            </w:pPr>
            <w:r w:rsidRPr="00D00F16">
              <w:rPr>
                <w:sz w:val="24"/>
                <w:szCs w:val="24"/>
              </w:rPr>
              <w:t>Agriculture</w:t>
            </w:r>
          </w:p>
        </w:tc>
        <w:tc>
          <w:tcPr>
            <w:tcW w:w="2385" w:type="dxa"/>
            <w:tcBorders>
              <w:bottom w:val="nil"/>
            </w:tcBorders>
          </w:tcPr>
          <w:p w14:paraId="5A1D33F3" w14:textId="77777777" w:rsidR="003E09C9" w:rsidRPr="00D00F16" w:rsidRDefault="003E09C9" w:rsidP="002873E8">
            <w:pPr>
              <w:spacing w:line="240" w:lineRule="auto"/>
              <w:ind w:left="0"/>
              <w:jc w:val="both"/>
              <w:rPr>
                <w:sz w:val="24"/>
                <w:szCs w:val="24"/>
              </w:rPr>
            </w:pPr>
            <w:r w:rsidRPr="00D00F16">
              <w:rPr>
                <w:sz w:val="24"/>
                <w:szCs w:val="24"/>
              </w:rPr>
              <w:t>260.46</w:t>
            </w:r>
          </w:p>
        </w:tc>
        <w:tc>
          <w:tcPr>
            <w:tcW w:w="2800" w:type="dxa"/>
            <w:tcBorders>
              <w:bottom w:val="nil"/>
            </w:tcBorders>
          </w:tcPr>
          <w:p w14:paraId="2D5EDB27" w14:textId="77777777" w:rsidR="003E09C9" w:rsidRPr="00D00F16" w:rsidRDefault="003E09C9" w:rsidP="002873E8">
            <w:pPr>
              <w:spacing w:line="240" w:lineRule="auto"/>
              <w:ind w:left="0"/>
              <w:jc w:val="both"/>
              <w:rPr>
                <w:sz w:val="24"/>
                <w:szCs w:val="24"/>
              </w:rPr>
            </w:pPr>
            <w:r w:rsidRPr="00D00F16">
              <w:rPr>
                <w:sz w:val="24"/>
                <w:szCs w:val="24"/>
              </w:rPr>
              <w:t>44.96</w:t>
            </w:r>
          </w:p>
        </w:tc>
      </w:tr>
      <w:tr w:rsidR="003F590C" w:rsidRPr="00D00F16" w14:paraId="710BDF3A" w14:textId="77777777" w:rsidTr="002873E8">
        <w:trPr>
          <w:trHeight w:val="80"/>
        </w:trPr>
        <w:tc>
          <w:tcPr>
            <w:tcW w:w="1177" w:type="dxa"/>
            <w:tcBorders>
              <w:top w:val="nil"/>
              <w:bottom w:val="single" w:sz="4" w:space="0" w:color="auto"/>
            </w:tcBorders>
          </w:tcPr>
          <w:p w14:paraId="4175B208" w14:textId="77777777" w:rsidR="003E09C9" w:rsidRPr="00D00F16" w:rsidRDefault="003E09C9" w:rsidP="002873E8">
            <w:pPr>
              <w:spacing w:line="240" w:lineRule="auto"/>
              <w:ind w:left="0"/>
              <w:jc w:val="both"/>
              <w:rPr>
                <w:sz w:val="24"/>
                <w:szCs w:val="24"/>
              </w:rPr>
            </w:pPr>
            <w:r w:rsidRPr="00D00F16">
              <w:rPr>
                <w:sz w:val="24"/>
                <w:szCs w:val="24"/>
              </w:rPr>
              <w:t>6</w:t>
            </w:r>
          </w:p>
        </w:tc>
        <w:tc>
          <w:tcPr>
            <w:tcW w:w="2037" w:type="dxa"/>
            <w:tcBorders>
              <w:top w:val="nil"/>
              <w:bottom w:val="single" w:sz="4" w:space="0" w:color="auto"/>
            </w:tcBorders>
          </w:tcPr>
          <w:p w14:paraId="5B3BAE94" w14:textId="77777777" w:rsidR="003E09C9" w:rsidRPr="00D00F16" w:rsidRDefault="003E09C9" w:rsidP="002873E8">
            <w:pPr>
              <w:spacing w:line="240" w:lineRule="auto"/>
              <w:ind w:left="0"/>
              <w:jc w:val="both"/>
              <w:rPr>
                <w:sz w:val="24"/>
                <w:szCs w:val="24"/>
              </w:rPr>
            </w:pPr>
            <w:r w:rsidRPr="00D00F16">
              <w:rPr>
                <w:sz w:val="24"/>
                <w:szCs w:val="24"/>
              </w:rPr>
              <w:t>Settlement</w:t>
            </w:r>
          </w:p>
        </w:tc>
        <w:tc>
          <w:tcPr>
            <w:tcW w:w="2385" w:type="dxa"/>
            <w:tcBorders>
              <w:top w:val="nil"/>
              <w:bottom w:val="single" w:sz="4" w:space="0" w:color="auto"/>
            </w:tcBorders>
          </w:tcPr>
          <w:p w14:paraId="1BA53D28" w14:textId="77777777" w:rsidR="003E09C9" w:rsidRPr="00D00F16" w:rsidRDefault="003E09C9" w:rsidP="002873E8">
            <w:pPr>
              <w:spacing w:line="240" w:lineRule="auto"/>
              <w:ind w:left="0"/>
              <w:jc w:val="both"/>
              <w:rPr>
                <w:sz w:val="24"/>
                <w:szCs w:val="24"/>
              </w:rPr>
            </w:pPr>
            <w:r w:rsidRPr="00D00F16">
              <w:rPr>
                <w:sz w:val="24"/>
                <w:szCs w:val="24"/>
              </w:rPr>
              <w:t>7.84</w:t>
            </w:r>
          </w:p>
        </w:tc>
        <w:tc>
          <w:tcPr>
            <w:tcW w:w="2800" w:type="dxa"/>
            <w:tcBorders>
              <w:top w:val="nil"/>
              <w:bottom w:val="single" w:sz="4" w:space="0" w:color="auto"/>
            </w:tcBorders>
          </w:tcPr>
          <w:p w14:paraId="2D27F5C2" w14:textId="77777777" w:rsidR="003E09C9" w:rsidRPr="00D00F16" w:rsidRDefault="003E09C9" w:rsidP="002873E8">
            <w:pPr>
              <w:spacing w:line="240" w:lineRule="auto"/>
              <w:ind w:left="0"/>
              <w:jc w:val="both"/>
              <w:rPr>
                <w:sz w:val="24"/>
                <w:szCs w:val="24"/>
              </w:rPr>
            </w:pPr>
            <w:r w:rsidRPr="00D00F16">
              <w:rPr>
                <w:sz w:val="24"/>
                <w:szCs w:val="24"/>
              </w:rPr>
              <w:t>1.35</w:t>
            </w:r>
          </w:p>
        </w:tc>
      </w:tr>
      <w:tr w:rsidR="003F590C" w:rsidRPr="00D00F16" w14:paraId="6F820CE0" w14:textId="77777777" w:rsidTr="002873E8">
        <w:trPr>
          <w:trHeight w:val="170"/>
        </w:trPr>
        <w:tc>
          <w:tcPr>
            <w:tcW w:w="1177" w:type="dxa"/>
            <w:tcBorders>
              <w:top w:val="single" w:sz="4" w:space="0" w:color="auto"/>
              <w:bottom w:val="single" w:sz="4" w:space="0" w:color="auto"/>
            </w:tcBorders>
          </w:tcPr>
          <w:p w14:paraId="6F7FA669" w14:textId="77777777" w:rsidR="003E09C9" w:rsidRPr="00167449" w:rsidRDefault="003E09C9" w:rsidP="002873E8">
            <w:pPr>
              <w:spacing w:line="240" w:lineRule="auto"/>
              <w:ind w:left="0"/>
              <w:jc w:val="both"/>
              <w:rPr>
                <w:b/>
                <w:bCs/>
                <w:sz w:val="24"/>
                <w:szCs w:val="24"/>
              </w:rPr>
            </w:pPr>
          </w:p>
        </w:tc>
        <w:tc>
          <w:tcPr>
            <w:tcW w:w="2037" w:type="dxa"/>
            <w:tcBorders>
              <w:top w:val="single" w:sz="4" w:space="0" w:color="auto"/>
              <w:bottom w:val="single" w:sz="4" w:space="0" w:color="auto"/>
            </w:tcBorders>
          </w:tcPr>
          <w:p w14:paraId="0F1FEB2E" w14:textId="77777777" w:rsidR="003E09C9" w:rsidRPr="00167449" w:rsidRDefault="003E09C9" w:rsidP="002873E8">
            <w:pPr>
              <w:spacing w:line="240" w:lineRule="auto"/>
              <w:ind w:left="0"/>
              <w:jc w:val="both"/>
              <w:rPr>
                <w:b/>
                <w:bCs/>
                <w:sz w:val="24"/>
                <w:szCs w:val="24"/>
              </w:rPr>
            </w:pPr>
            <w:r w:rsidRPr="00167449">
              <w:rPr>
                <w:b/>
                <w:bCs/>
                <w:sz w:val="24"/>
                <w:szCs w:val="24"/>
              </w:rPr>
              <w:t>Total</w:t>
            </w:r>
          </w:p>
        </w:tc>
        <w:tc>
          <w:tcPr>
            <w:tcW w:w="2385" w:type="dxa"/>
            <w:tcBorders>
              <w:top w:val="single" w:sz="4" w:space="0" w:color="auto"/>
              <w:bottom w:val="single" w:sz="4" w:space="0" w:color="auto"/>
            </w:tcBorders>
          </w:tcPr>
          <w:p w14:paraId="568DFFE1" w14:textId="77777777" w:rsidR="003E09C9" w:rsidRPr="00167449" w:rsidRDefault="003E09C9" w:rsidP="002873E8">
            <w:pPr>
              <w:spacing w:line="240" w:lineRule="auto"/>
              <w:ind w:left="0"/>
              <w:jc w:val="both"/>
              <w:rPr>
                <w:b/>
                <w:bCs/>
                <w:sz w:val="24"/>
                <w:szCs w:val="24"/>
              </w:rPr>
            </w:pPr>
            <w:r w:rsidRPr="00167449">
              <w:rPr>
                <w:b/>
                <w:bCs/>
                <w:sz w:val="24"/>
                <w:szCs w:val="24"/>
              </w:rPr>
              <w:t>579.29</w:t>
            </w:r>
          </w:p>
        </w:tc>
        <w:tc>
          <w:tcPr>
            <w:tcW w:w="2800" w:type="dxa"/>
            <w:tcBorders>
              <w:top w:val="single" w:sz="4" w:space="0" w:color="auto"/>
              <w:bottom w:val="single" w:sz="4" w:space="0" w:color="auto"/>
            </w:tcBorders>
          </w:tcPr>
          <w:p w14:paraId="209E2F1C" w14:textId="77777777" w:rsidR="003E09C9" w:rsidRPr="00167449" w:rsidRDefault="003E09C9" w:rsidP="002873E8">
            <w:pPr>
              <w:spacing w:line="240" w:lineRule="auto"/>
              <w:ind w:left="0"/>
              <w:jc w:val="both"/>
              <w:rPr>
                <w:b/>
                <w:bCs/>
                <w:sz w:val="24"/>
                <w:szCs w:val="24"/>
              </w:rPr>
            </w:pPr>
            <w:r w:rsidRPr="00167449">
              <w:rPr>
                <w:b/>
                <w:bCs/>
                <w:sz w:val="24"/>
                <w:szCs w:val="24"/>
              </w:rPr>
              <w:t>100.00</w:t>
            </w:r>
          </w:p>
        </w:tc>
      </w:tr>
    </w:tbl>
    <w:p w14:paraId="293A844C" w14:textId="4FBE51D4" w:rsidR="009C16E8" w:rsidRDefault="00C01B38" w:rsidP="00C01B38">
      <w:pPr>
        <w:pStyle w:val="NoSpacing"/>
        <w:spacing w:line="276" w:lineRule="auto"/>
        <w:ind w:left="0" w:firstLine="0"/>
        <w:rPr>
          <w:b/>
          <w:bCs/>
          <w:sz w:val="24"/>
        </w:rPr>
      </w:pPr>
      <w:r w:rsidRPr="00C01B38">
        <w:rPr>
          <w:b/>
          <w:bCs/>
          <w:sz w:val="24"/>
        </w:rPr>
        <w:t>Soil</w:t>
      </w:r>
      <w:r>
        <w:rPr>
          <w:b/>
          <w:bCs/>
          <w:sz w:val="24"/>
        </w:rPr>
        <w:t xml:space="preserve"> Type</w:t>
      </w:r>
    </w:p>
    <w:p w14:paraId="491DEB4E" w14:textId="1BD8E4AF" w:rsidR="006E59B7" w:rsidRDefault="006E59B7" w:rsidP="00C01B38">
      <w:pPr>
        <w:pStyle w:val="NoSpacing"/>
        <w:spacing w:line="276" w:lineRule="auto"/>
        <w:ind w:left="0" w:firstLine="0"/>
        <w:rPr>
          <w:sz w:val="24"/>
        </w:rPr>
      </w:pPr>
      <w:r w:rsidRPr="00772F24">
        <w:rPr>
          <w:sz w:val="24"/>
        </w:rPr>
        <w:t>Soil type plays a</w:t>
      </w:r>
      <w:r w:rsidRPr="006E59B7">
        <w:rPr>
          <w:sz w:val="24"/>
        </w:rPr>
        <w:t xml:space="preserve">n important </w:t>
      </w:r>
      <w:r w:rsidRPr="00772F24">
        <w:rPr>
          <w:sz w:val="24"/>
        </w:rPr>
        <w:t xml:space="preserve">role in influencing infiltration, runoff, and consequently, groundwater recharge (Falah </w:t>
      </w:r>
      <w:r w:rsidRPr="006E59B7">
        <w:rPr>
          <w:sz w:val="24"/>
        </w:rPr>
        <w:t>and</w:t>
      </w:r>
      <w:r w:rsidRPr="00772F24">
        <w:rPr>
          <w:sz w:val="24"/>
        </w:rPr>
        <w:t xml:space="preserve"> </w:t>
      </w:r>
      <w:proofErr w:type="spellStart"/>
      <w:r w:rsidRPr="00772F24">
        <w:rPr>
          <w:sz w:val="24"/>
        </w:rPr>
        <w:t>Zeinivand</w:t>
      </w:r>
      <w:proofErr w:type="spellEnd"/>
      <w:r w:rsidRPr="00772F24">
        <w:rPr>
          <w:sz w:val="24"/>
        </w:rPr>
        <w:t xml:space="preserve">, 2019). The infiltration capacity of soils determines how much rainfall percolates into the subsurface to replenish aquifers, making it a key factor in groundwater potential </w:t>
      </w:r>
      <w:proofErr w:type="spellStart"/>
      <w:proofErr w:type="gramStart"/>
      <w:r w:rsidRPr="00772F24">
        <w:rPr>
          <w:sz w:val="24"/>
        </w:rPr>
        <w:t>mapping.The</w:t>
      </w:r>
      <w:proofErr w:type="spellEnd"/>
      <w:proofErr w:type="gramEnd"/>
      <w:r w:rsidRPr="00772F24">
        <w:rPr>
          <w:sz w:val="24"/>
        </w:rPr>
        <w:t xml:space="preserve"> major soil types identified in the </w:t>
      </w:r>
      <w:proofErr w:type="spellStart"/>
      <w:r w:rsidRPr="00772F24">
        <w:rPr>
          <w:sz w:val="24"/>
        </w:rPr>
        <w:t>Wa</w:t>
      </w:r>
      <w:proofErr w:type="spellEnd"/>
      <w:r w:rsidRPr="00772F24">
        <w:rPr>
          <w:sz w:val="24"/>
        </w:rPr>
        <w:t xml:space="preserve"> Municipality, as shown in Figure 5, are</w:t>
      </w:r>
      <w:r w:rsidRPr="006E59B7">
        <w:rPr>
          <w:sz w:val="24"/>
        </w:rPr>
        <w:t xml:space="preserve">; </w:t>
      </w:r>
      <w:r w:rsidRPr="00772F24">
        <w:rPr>
          <w:sz w:val="24"/>
        </w:rPr>
        <w:t xml:space="preserve">Ferric </w:t>
      </w:r>
      <w:proofErr w:type="spellStart"/>
      <w:r w:rsidRPr="006E59B7">
        <w:rPr>
          <w:sz w:val="24"/>
        </w:rPr>
        <w:t>l</w:t>
      </w:r>
      <w:r w:rsidRPr="00772F24">
        <w:rPr>
          <w:sz w:val="24"/>
        </w:rPr>
        <w:t>uvisols</w:t>
      </w:r>
      <w:proofErr w:type="spellEnd"/>
      <w:r w:rsidRPr="00772F24">
        <w:rPr>
          <w:sz w:val="24"/>
        </w:rPr>
        <w:t xml:space="preserve"> – covering approximately 96.5% of the total land area</w:t>
      </w:r>
      <w:r w:rsidRPr="006E59B7">
        <w:rPr>
          <w:sz w:val="24"/>
        </w:rPr>
        <w:t>, and l</w:t>
      </w:r>
      <w:r w:rsidRPr="00772F24">
        <w:rPr>
          <w:sz w:val="24"/>
        </w:rPr>
        <w:t>ithosols – accounting for the remaining 3.5%</w:t>
      </w:r>
      <w:r w:rsidRPr="006E59B7">
        <w:rPr>
          <w:sz w:val="24"/>
        </w:rPr>
        <w:t xml:space="preserve">. </w:t>
      </w:r>
      <w:r w:rsidRPr="00772F24">
        <w:rPr>
          <w:sz w:val="24"/>
        </w:rPr>
        <w:t xml:space="preserve">Ferric </w:t>
      </w:r>
      <w:proofErr w:type="spellStart"/>
      <w:r w:rsidRPr="006E59B7">
        <w:rPr>
          <w:sz w:val="24"/>
        </w:rPr>
        <w:t>l</w:t>
      </w:r>
      <w:r w:rsidRPr="00772F24">
        <w:rPr>
          <w:sz w:val="24"/>
        </w:rPr>
        <w:t>uvisols</w:t>
      </w:r>
      <w:proofErr w:type="spellEnd"/>
      <w:r w:rsidRPr="00772F24">
        <w:rPr>
          <w:sz w:val="24"/>
        </w:rPr>
        <w:t xml:space="preserve"> are moderately well-drained soils with good structure and moderate porosity, which enhance infiltration and percolation. These soils are generally fertile and support agricultural activities, which indirectly influence recharge by promoting vegetation cover and reducing surface runoff.</w:t>
      </w:r>
      <w:r w:rsidRPr="006E59B7">
        <w:rPr>
          <w:sz w:val="24"/>
        </w:rPr>
        <w:t xml:space="preserve"> </w:t>
      </w:r>
      <w:r w:rsidRPr="00772F24">
        <w:rPr>
          <w:sz w:val="24"/>
        </w:rPr>
        <w:t xml:space="preserve">On the other hand, Lithosols are characterized by coarse textures and macropores, which allow for rapid infiltration of surface water. Despite their limited areal extent, Lithosols were assigned a higher weight than </w:t>
      </w:r>
      <w:proofErr w:type="spellStart"/>
      <w:r w:rsidRPr="00772F24">
        <w:rPr>
          <w:sz w:val="24"/>
        </w:rPr>
        <w:t>Luvisols</w:t>
      </w:r>
      <w:proofErr w:type="spellEnd"/>
      <w:r w:rsidRPr="00772F24">
        <w:rPr>
          <w:sz w:val="24"/>
        </w:rPr>
        <w:t xml:space="preserve"> in the Analytical Hierarchy Process (AHP) due to their superior drainage characteristics and enhanced permeability, which significantly favor groundwater recharge (</w:t>
      </w:r>
      <w:proofErr w:type="spellStart"/>
      <w:r w:rsidRPr="00772F24">
        <w:rPr>
          <w:sz w:val="24"/>
        </w:rPr>
        <w:t>Ifediegwu</w:t>
      </w:r>
      <w:proofErr w:type="spellEnd"/>
      <w:r w:rsidRPr="00772F24">
        <w:rPr>
          <w:sz w:val="24"/>
        </w:rPr>
        <w:t>, 2022).</w:t>
      </w:r>
      <w:r w:rsidRPr="006E59B7">
        <w:rPr>
          <w:sz w:val="24"/>
        </w:rPr>
        <w:t xml:space="preserve"> </w:t>
      </w:r>
      <w:r w:rsidRPr="00772F24">
        <w:rPr>
          <w:sz w:val="24"/>
        </w:rPr>
        <w:t>Whil</w:t>
      </w:r>
      <w:r w:rsidRPr="006E59B7">
        <w:rPr>
          <w:sz w:val="24"/>
        </w:rPr>
        <w:t>st</w:t>
      </w:r>
      <w:r w:rsidRPr="00772F24">
        <w:rPr>
          <w:sz w:val="24"/>
        </w:rPr>
        <w:t xml:space="preserve"> Ferric </w:t>
      </w:r>
      <w:proofErr w:type="spellStart"/>
      <w:r w:rsidRPr="00772F24">
        <w:rPr>
          <w:sz w:val="24"/>
        </w:rPr>
        <w:t>Luvisols</w:t>
      </w:r>
      <w:proofErr w:type="spellEnd"/>
      <w:r w:rsidRPr="00772F24">
        <w:rPr>
          <w:sz w:val="24"/>
        </w:rPr>
        <w:t xml:space="preserve"> dominate the municipality, the high infiltration capacity of Lithosols, though spatially limited, contributes meaningfully to groundwater occurrence in localized areas. Therefore, both soil types were considered essential in determining groundwater potential, with Lithosols exerting a greater influence per unit area due to their higher recharge potential.</w:t>
      </w:r>
    </w:p>
    <w:p w14:paraId="16CF9B2E" w14:textId="77777777" w:rsidR="00217248" w:rsidRPr="00C01B38" w:rsidRDefault="00217248" w:rsidP="00C01B38">
      <w:pPr>
        <w:pStyle w:val="NoSpacing"/>
        <w:spacing w:line="276" w:lineRule="auto"/>
        <w:ind w:left="0" w:firstLine="0"/>
        <w:rPr>
          <w:b/>
          <w:bCs/>
          <w:sz w:val="24"/>
        </w:rPr>
      </w:pPr>
    </w:p>
    <w:p w14:paraId="49609C22" w14:textId="77777777"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07169AED" wp14:editId="74F17831">
            <wp:extent cx="4838700" cy="37058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4859842" cy="3722056"/>
                    </a:xfrm>
                    <a:prstGeom prst="rect">
                      <a:avLst/>
                    </a:prstGeom>
                  </pic:spPr>
                </pic:pic>
              </a:graphicData>
            </a:graphic>
          </wp:inline>
        </w:drawing>
      </w:r>
    </w:p>
    <w:p w14:paraId="1A52932E" w14:textId="2B20C1D4" w:rsidR="003E09C9" w:rsidRPr="00D00F16" w:rsidRDefault="009E2A68" w:rsidP="006E0E57">
      <w:pPr>
        <w:pStyle w:val="Caption"/>
        <w:spacing w:after="0" w:line="276" w:lineRule="auto"/>
        <w:ind w:left="0"/>
        <w:jc w:val="both"/>
        <w:rPr>
          <w:rFonts w:cs="Times New Roman"/>
          <w:i w:val="0"/>
          <w:iCs w:val="0"/>
          <w:color w:val="auto"/>
          <w:sz w:val="24"/>
          <w:szCs w:val="24"/>
        </w:rPr>
      </w:pPr>
      <w:bookmarkStart w:id="28" w:name="_Toc138777753"/>
      <w:r w:rsidRPr="006E59B7">
        <w:rPr>
          <w:rFonts w:cs="Times New Roman"/>
          <w:b/>
          <w:bCs/>
          <w:i w:val="0"/>
          <w:iCs w:val="0"/>
          <w:color w:val="auto"/>
          <w:sz w:val="24"/>
          <w:szCs w:val="24"/>
        </w:rPr>
        <w:t>Fig</w:t>
      </w:r>
      <w:r w:rsidR="006E59B7" w:rsidRPr="006E59B7">
        <w:rPr>
          <w:rFonts w:cs="Times New Roman"/>
          <w:b/>
          <w:bCs/>
          <w:i w:val="0"/>
          <w:iCs w:val="0"/>
          <w:color w:val="auto"/>
          <w:sz w:val="24"/>
          <w:szCs w:val="24"/>
        </w:rPr>
        <w:t>ure</w:t>
      </w:r>
      <w:r w:rsidR="003E09C9" w:rsidRPr="006E59B7">
        <w:rPr>
          <w:rFonts w:cs="Times New Roman"/>
          <w:b/>
          <w:bCs/>
          <w:i w:val="0"/>
          <w:iCs w:val="0"/>
          <w:color w:val="auto"/>
          <w:sz w:val="24"/>
          <w:szCs w:val="24"/>
        </w:rPr>
        <w:t xml:space="preserve"> </w:t>
      </w:r>
      <w:r w:rsidR="00B51A12" w:rsidRPr="006E59B7">
        <w:rPr>
          <w:rFonts w:cs="Times New Roman"/>
          <w:b/>
          <w:bCs/>
          <w:i w:val="0"/>
          <w:iCs w:val="0"/>
          <w:color w:val="auto"/>
          <w:sz w:val="24"/>
          <w:szCs w:val="24"/>
        </w:rPr>
        <w:t>5</w:t>
      </w:r>
      <w:r w:rsidR="006E59B7" w:rsidRPr="006E59B7">
        <w:rPr>
          <w:rFonts w:cs="Times New Roman"/>
          <w:b/>
          <w:bCs/>
          <w:i w:val="0"/>
          <w:iCs w:val="0"/>
          <w:noProof/>
          <w:color w:val="auto"/>
          <w:sz w:val="24"/>
          <w:szCs w:val="24"/>
        </w:rPr>
        <w:t>:</w:t>
      </w:r>
      <w:r w:rsidR="003E09C9" w:rsidRPr="00D00F16">
        <w:rPr>
          <w:rFonts w:cs="Times New Roman"/>
          <w:i w:val="0"/>
          <w:iCs w:val="0"/>
          <w:color w:val="auto"/>
          <w:sz w:val="24"/>
          <w:szCs w:val="24"/>
        </w:rPr>
        <w:t xml:space="preserve"> Soil Map of </w:t>
      </w:r>
      <w:proofErr w:type="spellStart"/>
      <w:r w:rsidR="003E09C9" w:rsidRPr="00D00F16">
        <w:rPr>
          <w:rFonts w:cs="Times New Roman"/>
          <w:i w:val="0"/>
          <w:iCs w:val="0"/>
          <w:color w:val="auto"/>
          <w:sz w:val="24"/>
          <w:szCs w:val="24"/>
        </w:rPr>
        <w:t>Wa</w:t>
      </w:r>
      <w:bookmarkEnd w:id="28"/>
      <w:proofErr w:type="spellEnd"/>
      <w:r w:rsidR="00725669" w:rsidRPr="00D00F16">
        <w:rPr>
          <w:rFonts w:cs="Times New Roman"/>
          <w:i w:val="0"/>
          <w:iCs w:val="0"/>
          <w:color w:val="auto"/>
          <w:sz w:val="24"/>
          <w:szCs w:val="24"/>
        </w:rPr>
        <w:t xml:space="preserve"> </w:t>
      </w:r>
      <w:r w:rsidR="006E59B7">
        <w:rPr>
          <w:rFonts w:cs="Times New Roman"/>
          <w:i w:val="0"/>
          <w:iCs w:val="0"/>
          <w:color w:val="auto"/>
          <w:sz w:val="24"/>
          <w:szCs w:val="24"/>
        </w:rPr>
        <w:t>M</w:t>
      </w:r>
      <w:r w:rsidR="00725669" w:rsidRPr="00D00F16">
        <w:rPr>
          <w:rFonts w:cs="Times New Roman"/>
          <w:i w:val="0"/>
          <w:iCs w:val="0"/>
          <w:color w:val="auto"/>
          <w:sz w:val="24"/>
          <w:szCs w:val="24"/>
        </w:rPr>
        <w:t>unicipality</w:t>
      </w:r>
    </w:p>
    <w:p w14:paraId="6CE50DF2" w14:textId="77777777" w:rsidR="003E09C9" w:rsidRPr="00D00F16" w:rsidRDefault="003E09C9" w:rsidP="006E0E57">
      <w:pPr>
        <w:spacing w:after="0" w:line="276" w:lineRule="auto"/>
        <w:ind w:left="0"/>
        <w:rPr>
          <w:rFonts w:cs="Times New Roman"/>
        </w:rPr>
      </w:pPr>
    </w:p>
    <w:p w14:paraId="675921D7" w14:textId="085C65C4" w:rsidR="00FA7CA5" w:rsidRPr="00FA7CA5" w:rsidRDefault="00FA7CA5" w:rsidP="00C87B06">
      <w:pPr>
        <w:spacing w:after="0" w:line="240" w:lineRule="auto"/>
        <w:ind w:left="0"/>
        <w:rPr>
          <w:b/>
          <w:bCs/>
        </w:rPr>
      </w:pPr>
      <w:r w:rsidRPr="00FA7CA5">
        <w:rPr>
          <w:b/>
          <w:bCs/>
        </w:rPr>
        <w:t>Lineament Density</w:t>
      </w:r>
    </w:p>
    <w:p w14:paraId="17033B48" w14:textId="77777777" w:rsidR="00C87B06" w:rsidRPr="00C87B06" w:rsidRDefault="00C87B06" w:rsidP="008F0500">
      <w:pPr>
        <w:spacing w:after="100" w:afterAutospacing="1" w:line="240" w:lineRule="auto"/>
        <w:ind w:left="0"/>
        <w:jc w:val="both"/>
        <w:rPr>
          <w:rFonts w:eastAsia="Times New Roman" w:cs="Times New Roman"/>
          <w:color w:val="000000"/>
        </w:rPr>
      </w:pPr>
      <w:r w:rsidRPr="00C87B06">
        <w:rPr>
          <w:rFonts w:eastAsia="Times New Roman" w:cs="Times New Roman"/>
          <w:color w:val="000000"/>
        </w:rPr>
        <w:t xml:space="preserve">Lineament density plays an important role in groundwater recharge, as areas with higher density typically correspond to fractured or weathered zones that allow for greater percolation of surface water into aquifers (Bhuvaneswaran </w:t>
      </w:r>
      <w:r w:rsidRPr="00C87B06">
        <w:rPr>
          <w:rFonts w:eastAsia="Times New Roman" w:cs="Times New Roman"/>
          <w:i/>
          <w:iCs/>
          <w:color w:val="000000"/>
        </w:rPr>
        <w:t>et al.,</w:t>
      </w:r>
      <w:r w:rsidRPr="00C87B06">
        <w:rPr>
          <w:rFonts w:eastAsia="Times New Roman" w:cs="Times New Roman"/>
          <w:color w:val="000000"/>
        </w:rPr>
        <w:t xml:space="preserve"> 2015). Studies have consistently shown a positive correlation between high lineament density and groundwater potential (Steven </w:t>
      </w:r>
      <w:r w:rsidRPr="00C87B06">
        <w:rPr>
          <w:rFonts w:eastAsia="Times New Roman" w:cs="Times New Roman"/>
          <w:i/>
          <w:iCs/>
          <w:color w:val="000000"/>
        </w:rPr>
        <w:t>et al.,</w:t>
      </w:r>
      <w:r w:rsidRPr="00C87B06">
        <w:rPr>
          <w:rFonts w:eastAsia="Times New Roman" w:cs="Times New Roman"/>
          <w:color w:val="000000"/>
        </w:rPr>
        <w:t xml:space="preserve"> 2022). In the </w:t>
      </w:r>
      <w:proofErr w:type="spellStart"/>
      <w:r w:rsidRPr="00C87B06">
        <w:rPr>
          <w:rFonts w:eastAsia="Times New Roman" w:cs="Times New Roman"/>
          <w:color w:val="000000"/>
        </w:rPr>
        <w:t>Wa</w:t>
      </w:r>
      <w:proofErr w:type="spellEnd"/>
      <w:r w:rsidRPr="00C87B06">
        <w:rPr>
          <w:rFonts w:eastAsia="Times New Roman" w:cs="Times New Roman"/>
          <w:color w:val="000000"/>
        </w:rPr>
        <w:t xml:space="preserve"> Municipality, the basement rocks exhibit notably high lineament densities, as illustrated in Figure 6, indicating favorable conditions for groundwater accumulation. Due to its significant influence on groundwater movement and storage, lineament density was ranked second in importance, with a normalized weight of 18.92% in the AHP framework (Table 7).</w:t>
      </w:r>
    </w:p>
    <w:p w14:paraId="1706D61A" w14:textId="3DD2B0C0" w:rsidR="003E09C9" w:rsidRPr="006C07BD" w:rsidRDefault="00C87B06" w:rsidP="006C07BD">
      <w:pPr>
        <w:spacing w:before="100" w:beforeAutospacing="1" w:after="100" w:afterAutospacing="1" w:line="240" w:lineRule="auto"/>
        <w:ind w:left="0"/>
        <w:jc w:val="both"/>
        <w:rPr>
          <w:rFonts w:eastAsia="Times New Roman" w:cs="Times New Roman"/>
        </w:rPr>
      </w:pPr>
      <w:r w:rsidRPr="00C87B06">
        <w:rPr>
          <w:rFonts w:eastAsia="Times New Roman" w:cs="Times New Roman"/>
          <w:color w:val="000000"/>
        </w:rPr>
        <w:t xml:space="preserve">For the purpose of analysis, lineament density values were classified into five distinct </w:t>
      </w:r>
      <w:proofErr w:type="spellStart"/>
      <w:proofErr w:type="gramStart"/>
      <w:r w:rsidRPr="00C87B06">
        <w:rPr>
          <w:rFonts w:eastAsia="Times New Roman" w:cs="Times New Roman"/>
          <w:color w:val="000000"/>
        </w:rPr>
        <w:t>categories:Very</w:t>
      </w:r>
      <w:proofErr w:type="spellEnd"/>
      <w:proofErr w:type="gramEnd"/>
      <w:r w:rsidRPr="00C87B06">
        <w:rPr>
          <w:rFonts w:eastAsia="Times New Roman" w:cs="Times New Roman"/>
          <w:color w:val="000000"/>
        </w:rPr>
        <w:t xml:space="preserve"> Low (0.00 – 0.32 km/km²), Low (0.33 – 0.63 km/km²), Moderate (0.64 – 0.95 km/km²), High (0.96 – 1.30 km/km²), and Very High (1.31 – 1.60 km/km²). Areas falling under the high and very high-density classes are considered to have the greatest groundwater potential, while areas with low lineament density correspond to less fractured and less permeable zones, which limit groundwater infiltration and storage. The study revealed that, lineament density serves as a primary structural control on groundwater occurrence in the </w:t>
      </w:r>
      <w:proofErr w:type="spellStart"/>
      <w:r w:rsidRPr="00C87B06">
        <w:rPr>
          <w:rFonts w:eastAsia="Times New Roman" w:cs="Times New Roman"/>
          <w:color w:val="000000"/>
        </w:rPr>
        <w:t>Wa</w:t>
      </w:r>
      <w:proofErr w:type="spellEnd"/>
      <w:r w:rsidRPr="00C87B06">
        <w:rPr>
          <w:rFonts w:eastAsia="Times New Roman" w:cs="Times New Roman"/>
          <w:color w:val="000000"/>
        </w:rPr>
        <w:t xml:space="preserve"> Municipality, particularly in the hard rock terrains typical of the region.</w:t>
      </w:r>
    </w:p>
    <w:p w14:paraId="7C504F5A" w14:textId="77777777"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49C063E5" wp14:editId="76617D7B">
            <wp:extent cx="4886325" cy="37960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4902892" cy="3808924"/>
                    </a:xfrm>
                    <a:prstGeom prst="rect">
                      <a:avLst/>
                    </a:prstGeom>
                  </pic:spPr>
                </pic:pic>
              </a:graphicData>
            </a:graphic>
          </wp:inline>
        </w:drawing>
      </w:r>
    </w:p>
    <w:p w14:paraId="30011A78" w14:textId="11C348D0" w:rsidR="003E09C9" w:rsidRPr="00D00F16" w:rsidRDefault="009E2A68" w:rsidP="006E0E57">
      <w:pPr>
        <w:pStyle w:val="Caption"/>
        <w:spacing w:after="0" w:line="276" w:lineRule="auto"/>
        <w:ind w:left="0"/>
        <w:jc w:val="both"/>
        <w:rPr>
          <w:rFonts w:cs="Times New Roman"/>
          <w:i w:val="0"/>
          <w:iCs w:val="0"/>
          <w:color w:val="auto"/>
          <w:sz w:val="24"/>
          <w:szCs w:val="24"/>
        </w:rPr>
      </w:pPr>
      <w:bookmarkStart w:id="29" w:name="_Toc138777754"/>
      <w:r w:rsidRPr="00EB2307">
        <w:rPr>
          <w:rFonts w:cs="Times New Roman"/>
          <w:b/>
          <w:bCs/>
          <w:i w:val="0"/>
          <w:iCs w:val="0"/>
          <w:color w:val="auto"/>
          <w:sz w:val="24"/>
          <w:szCs w:val="24"/>
        </w:rPr>
        <w:t>Fig</w:t>
      </w:r>
      <w:r w:rsidR="00EB2307" w:rsidRPr="00EB2307">
        <w:rPr>
          <w:rFonts w:cs="Times New Roman"/>
          <w:b/>
          <w:bCs/>
          <w:i w:val="0"/>
          <w:iCs w:val="0"/>
          <w:color w:val="auto"/>
          <w:sz w:val="24"/>
          <w:szCs w:val="24"/>
        </w:rPr>
        <w:t>ure</w:t>
      </w:r>
      <w:r w:rsidR="003E09C9" w:rsidRPr="00EB2307">
        <w:rPr>
          <w:rFonts w:cs="Times New Roman"/>
          <w:b/>
          <w:bCs/>
          <w:i w:val="0"/>
          <w:iCs w:val="0"/>
          <w:color w:val="auto"/>
          <w:sz w:val="24"/>
          <w:szCs w:val="24"/>
        </w:rPr>
        <w:t xml:space="preserve"> </w:t>
      </w:r>
      <w:r w:rsidR="00B51A12" w:rsidRPr="00EB2307">
        <w:rPr>
          <w:rFonts w:cs="Times New Roman"/>
          <w:b/>
          <w:bCs/>
          <w:i w:val="0"/>
          <w:iCs w:val="0"/>
          <w:color w:val="auto"/>
          <w:sz w:val="24"/>
          <w:szCs w:val="24"/>
        </w:rPr>
        <w:t>6</w:t>
      </w:r>
      <w:r w:rsidR="00EB2307" w:rsidRPr="00EB2307">
        <w:rPr>
          <w:rFonts w:cs="Times New Roman"/>
          <w:b/>
          <w:bCs/>
          <w:i w:val="0"/>
          <w:iCs w:val="0"/>
          <w:color w:val="auto"/>
          <w:sz w:val="24"/>
          <w:szCs w:val="24"/>
        </w:rPr>
        <w:t>:</w:t>
      </w:r>
      <w:r w:rsidR="003E09C9" w:rsidRPr="00D00F16">
        <w:rPr>
          <w:rFonts w:cs="Times New Roman"/>
          <w:i w:val="0"/>
          <w:iCs w:val="0"/>
          <w:color w:val="auto"/>
          <w:sz w:val="24"/>
          <w:szCs w:val="24"/>
        </w:rPr>
        <w:t xml:space="preserve"> Lineament Density of </w:t>
      </w:r>
      <w:r w:rsidR="00725669" w:rsidRPr="00D00F16">
        <w:rPr>
          <w:rFonts w:cs="Times New Roman"/>
          <w:i w:val="0"/>
          <w:iCs w:val="0"/>
          <w:color w:val="auto"/>
          <w:sz w:val="24"/>
          <w:szCs w:val="24"/>
        </w:rPr>
        <w:t xml:space="preserve">the </w:t>
      </w:r>
      <w:proofErr w:type="spellStart"/>
      <w:r w:rsidR="003E09C9" w:rsidRPr="00D00F16">
        <w:rPr>
          <w:rFonts w:cs="Times New Roman"/>
          <w:i w:val="0"/>
          <w:iCs w:val="0"/>
          <w:color w:val="auto"/>
          <w:sz w:val="24"/>
          <w:szCs w:val="24"/>
        </w:rPr>
        <w:t>Wa</w:t>
      </w:r>
      <w:bookmarkEnd w:id="29"/>
      <w:proofErr w:type="spellEnd"/>
      <w:r w:rsidR="00725669" w:rsidRPr="00D00F16">
        <w:rPr>
          <w:rFonts w:cs="Times New Roman"/>
          <w:i w:val="0"/>
          <w:iCs w:val="0"/>
          <w:color w:val="auto"/>
          <w:sz w:val="24"/>
          <w:szCs w:val="24"/>
        </w:rPr>
        <w:t xml:space="preserve"> </w:t>
      </w:r>
      <w:r w:rsidR="00527334">
        <w:rPr>
          <w:rFonts w:cs="Times New Roman"/>
          <w:i w:val="0"/>
          <w:iCs w:val="0"/>
          <w:color w:val="auto"/>
          <w:sz w:val="24"/>
          <w:szCs w:val="24"/>
        </w:rPr>
        <w:t>M</w:t>
      </w:r>
      <w:r w:rsidR="00725669" w:rsidRPr="00D00F16">
        <w:rPr>
          <w:rFonts w:cs="Times New Roman"/>
          <w:i w:val="0"/>
          <w:iCs w:val="0"/>
          <w:color w:val="auto"/>
          <w:sz w:val="24"/>
          <w:szCs w:val="24"/>
        </w:rPr>
        <w:t>unicipality</w:t>
      </w:r>
    </w:p>
    <w:p w14:paraId="3561414A" w14:textId="77777777" w:rsidR="003E09C9" w:rsidRDefault="003E09C9" w:rsidP="006E0E57">
      <w:pPr>
        <w:spacing w:after="0" w:line="276" w:lineRule="auto"/>
        <w:ind w:left="0"/>
        <w:rPr>
          <w:rFonts w:cs="Times New Roman"/>
        </w:rPr>
      </w:pPr>
    </w:p>
    <w:p w14:paraId="64906E0E" w14:textId="4B4CEDB0" w:rsidR="009A12D5" w:rsidRPr="009A12D5" w:rsidRDefault="009A12D5" w:rsidP="006E0E57">
      <w:pPr>
        <w:spacing w:after="0" w:line="276" w:lineRule="auto"/>
        <w:ind w:left="0"/>
        <w:rPr>
          <w:rFonts w:cs="Times New Roman"/>
          <w:b/>
          <w:bCs/>
        </w:rPr>
      </w:pPr>
      <w:r w:rsidRPr="009A12D5">
        <w:rPr>
          <w:rFonts w:cs="Times New Roman"/>
          <w:b/>
          <w:bCs/>
        </w:rPr>
        <w:t>Elevation</w:t>
      </w:r>
    </w:p>
    <w:p w14:paraId="3535AAFE" w14:textId="024D1B58" w:rsidR="003E09C9" w:rsidRDefault="003E09C9" w:rsidP="006E0E57">
      <w:pPr>
        <w:spacing w:after="0" w:line="276" w:lineRule="auto"/>
        <w:ind w:left="0"/>
        <w:jc w:val="both"/>
        <w:rPr>
          <w:rFonts w:cs="Times New Roman"/>
        </w:rPr>
      </w:pPr>
      <w:r w:rsidRPr="00D00F16">
        <w:rPr>
          <w:rFonts w:cs="Times New Roman"/>
        </w:rPr>
        <w:t xml:space="preserve">Elevation </w:t>
      </w:r>
      <w:r w:rsidR="00D24F36" w:rsidRPr="008536DD">
        <w:rPr>
          <w:rFonts w:cs="Times New Roman"/>
          <w:highlight w:val="green"/>
        </w:rPr>
        <w:t>has</w:t>
      </w:r>
      <w:r w:rsidRPr="008536DD">
        <w:rPr>
          <w:rFonts w:cs="Times New Roman"/>
          <w:highlight w:val="green"/>
        </w:rPr>
        <w:t xml:space="preserve"> an </w:t>
      </w:r>
      <w:r w:rsidR="008536DD" w:rsidRPr="008536DD">
        <w:rPr>
          <w:rFonts w:cs="Times New Roman"/>
          <w:highlight w:val="green"/>
        </w:rPr>
        <w:t>important</w:t>
      </w:r>
      <w:r w:rsidRPr="008536DD">
        <w:rPr>
          <w:rFonts w:cs="Times New Roman"/>
          <w:highlight w:val="green"/>
        </w:rPr>
        <w:t xml:space="preserve"> </w:t>
      </w:r>
      <w:r w:rsidR="00656E77" w:rsidRPr="008536DD">
        <w:rPr>
          <w:rFonts w:cs="Times New Roman"/>
          <w:highlight w:val="green"/>
        </w:rPr>
        <w:t>influence</w:t>
      </w:r>
      <w:r w:rsidRPr="00D00F16">
        <w:rPr>
          <w:rFonts w:cs="Times New Roman"/>
        </w:rPr>
        <w:t xml:space="preserve"> in groundwater </w:t>
      </w:r>
      <w:r w:rsidR="00656E77" w:rsidRPr="00D00F16">
        <w:rPr>
          <w:rFonts w:cs="Times New Roman"/>
        </w:rPr>
        <w:t xml:space="preserve">occurrence </w:t>
      </w:r>
      <w:r w:rsidRPr="00D00F16">
        <w:rPr>
          <w:rFonts w:cs="Times New Roman"/>
        </w:rPr>
        <w:t xml:space="preserve">due to its impact on runoff and infiltration </w:t>
      </w:r>
      <w:r w:rsidRPr="00D00F16">
        <w:rPr>
          <w:rFonts w:cs="Times New Roman"/>
        </w:rPr>
        <w:fldChar w:fldCharType="begin" w:fldLock="1"/>
      </w:r>
      <w:r w:rsidR="00622464">
        <w:rPr>
          <w:rFonts w:cs="Times New Roman"/>
        </w:rPr>
        <w:instrText>ADDIN CSL_CITATION {"citationItems":[{"id":"ITEM-1","itemData":{"DOI":"10.46717/igj.55.2E.11ms-2022-11-25","author":[{"dropping-particle":"","family":"Al-gburi","given":"Madyan Raad","non-dropping-particle":"","parse-names":false,"suffix":""}],"id":"ITEM-1","issue":"December","issued":{"date-parts":[["2022"]]},"title":"Delineation of Groundwater Potential Using GIS, RS and AHP Techniques of the Chia Sur Sub-basin in Sulaymaniyah-Kirkuk, Northeastern Iraq","type":"article-journal"},"uris":["http://www.mendeley.com/documents/?uuid=9915e15f-5af9-4097-9e81-5f2b57854142"]}],"mendeley":{"formattedCitation":"(Al-gburi, 2022)","plainTextFormattedCitation":"(Al-gburi, 2022)","previouslyFormattedCitation":"(Al-gburi, 2022)"},"properties":{"noteIndex":0},"schema":"https://github.com/citation-style-language/schema/raw/master/csl-citation.json"}</w:instrText>
      </w:r>
      <w:r w:rsidRPr="00D00F16">
        <w:rPr>
          <w:rFonts w:cs="Times New Roman"/>
        </w:rPr>
        <w:fldChar w:fldCharType="separate"/>
      </w:r>
      <w:r w:rsidR="00622464" w:rsidRPr="00622464">
        <w:rPr>
          <w:rFonts w:cs="Times New Roman"/>
          <w:noProof/>
        </w:rPr>
        <w:t>(Al-gburi, 2022)</w:t>
      </w:r>
      <w:r w:rsidRPr="00D00F16">
        <w:rPr>
          <w:rFonts w:cs="Times New Roman"/>
        </w:rPr>
        <w:fldChar w:fldCharType="end"/>
      </w:r>
      <w:r w:rsidRPr="00D00F16">
        <w:rPr>
          <w:rFonts w:cs="Times New Roman"/>
        </w:rPr>
        <w:t xml:space="preserve">. </w:t>
      </w:r>
      <w:r w:rsidR="009A12D5">
        <w:rPr>
          <w:rFonts w:cs="Times New Roman"/>
        </w:rPr>
        <w:t>As presented in Figure 7, t</w:t>
      </w:r>
      <w:r w:rsidRPr="00D00F16">
        <w:rPr>
          <w:rFonts w:cs="Times New Roman"/>
        </w:rPr>
        <w:t>he elevation</w:t>
      </w:r>
      <w:r w:rsidR="00662F92" w:rsidRPr="00D00F16">
        <w:rPr>
          <w:rFonts w:cs="Times New Roman"/>
        </w:rPr>
        <w:t xml:space="preserve"> of the </w:t>
      </w:r>
      <w:proofErr w:type="spellStart"/>
      <w:r w:rsidR="00662F92" w:rsidRPr="00D00F16">
        <w:rPr>
          <w:rFonts w:cs="Times New Roman"/>
        </w:rPr>
        <w:t>Wa</w:t>
      </w:r>
      <w:proofErr w:type="spellEnd"/>
      <w:r w:rsidR="00662F92" w:rsidRPr="00D00F16">
        <w:rPr>
          <w:rFonts w:cs="Times New Roman"/>
        </w:rPr>
        <w:t xml:space="preserve"> Municipality </w:t>
      </w:r>
      <w:r w:rsidRPr="00D00F16">
        <w:rPr>
          <w:rFonts w:cs="Times New Roman"/>
        </w:rPr>
        <w:t xml:space="preserve">ranges from 248-283 (very low), 283-301 (low), 301-318 (moderate), 318-335 (high) and 335-369 m (very high). Runoff is high in areas of high elevation leading to </w:t>
      </w:r>
      <w:r w:rsidR="009C16E8" w:rsidRPr="00D00F16">
        <w:rPr>
          <w:rFonts w:cs="Times New Roman"/>
        </w:rPr>
        <w:t xml:space="preserve">a </w:t>
      </w:r>
      <w:r w:rsidRPr="00D00F16">
        <w:rPr>
          <w:rFonts w:cs="Times New Roman"/>
        </w:rPr>
        <w:t xml:space="preserve">low infiltration rate and the </w:t>
      </w:r>
      <w:r w:rsidRPr="00795829">
        <w:rPr>
          <w:rFonts w:cs="Times New Roman"/>
          <w:highlight w:val="green"/>
        </w:rPr>
        <w:t>v</w:t>
      </w:r>
      <w:r w:rsidR="00795829" w:rsidRPr="00795829">
        <w:rPr>
          <w:rFonts w:cs="Times New Roman"/>
          <w:highlight w:val="green"/>
        </w:rPr>
        <w:t>ice</w:t>
      </w:r>
      <w:r w:rsidRPr="00795829">
        <w:rPr>
          <w:rFonts w:cs="Times New Roman"/>
          <w:highlight w:val="green"/>
        </w:rPr>
        <w:t xml:space="preserve"> versa</w:t>
      </w:r>
      <w:r w:rsidRPr="00D00F16">
        <w:rPr>
          <w:rFonts w:cs="Times New Roman"/>
        </w:rPr>
        <w:t xml:space="preserve">. Groundwater possibly occurred in areas of low elevation </w:t>
      </w:r>
      <w:r w:rsidR="00D24F36" w:rsidRPr="00D00F16">
        <w:rPr>
          <w:rFonts w:cs="Times New Roman"/>
        </w:rPr>
        <w:t>because</w:t>
      </w:r>
      <w:r w:rsidRPr="00D00F16">
        <w:rPr>
          <w:rFonts w:cs="Times New Roman"/>
        </w:rPr>
        <w:t xml:space="preserve"> of low runoff and high rate of infiltration. More weight was therefore assigned to the lowest elevation.</w:t>
      </w:r>
    </w:p>
    <w:p w14:paraId="6138022B" w14:textId="77777777" w:rsidR="00AD0A4D" w:rsidRPr="00D00F16" w:rsidRDefault="00AD0A4D" w:rsidP="006E0E57">
      <w:pPr>
        <w:spacing w:after="0" w:line="276" w:lineRule="auto"/>
        <w:ind w:left="0"/>
        <w:jc w:val="both"/>
        <w:rPr>
          <w:rFonts w:cs="Times New Roman"/>
        </w:rPr>
      </w:pPr>
    </w:p>
    <w:p w14:paraId="66EDA837" w14:textId="611AA2FD"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48B1CA59" wp14:editId="34402002">
            <wp:extent cx="5586448" cy="4321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586448" cy="4321225"/>
                    </a:xfrm>
                    <a:prstGeom prst="rect">
                      <a:avLst/>
                    </a:prstGeom>
                  </pic:spPr>
                </pic:pic>
              </a:graphicData>
            </a:graphic>
          </wp:inline>
        </w:drawing>
      </w:r>
    </w:p>
    <w:p w14:paraId="465B2CEF" w14:textId="17E4E38B" w:rsidR="003E09C9" w:rsidRPr="00D00F16" w:rsidRDefault="009E2A68" w:rsidP="006E0E57">
      <w:pPr>
        <w:pStyle w:val="Caption"/>
        <w:spacing w:after="0" w:line="276" w:lineRule="auto"/>
        <w:ind w:left="0"/>
        <w:jc w:val="both"/>
        <w:rPr>
          <w:rFonts w:cs="Times New Roman"/>
          <w:i w:val="0"/>
          <w:iCs w:val="0"/>
          <w:color w:val="auto"/>
          <w:sz w:val="24"/>
          <w:szCs w:val="24"/>
        </w:rPr>
      </w:pPr>
      <w:bookmarkStart w:id="30" w:name="_Toc138777755"/>
      <w:r w:rsidRPr="002951EE">
        <w:rPr>
          <w:rFonts w:cs="Times New Roman"/>
          <w:b/>
          <w:bCs/>
          <w:i w:val="0"/>
          <w:iCs w:val="0"/>
          <w:color w:val="auto"/>
          <w:sz w:val="24"/>
          <w:szCs w:val="24"/>
        </w:rPr>
        <w:t>Fig</w:t>
      </w:r>
      <w:r w:rsidR="00DE05AB" w:rsidRPr="002951EE">
        <w:rPr>
          <w:rFonts w:cs="Times New Roman"/>
          <w:b/>
          <w:bCs/>
          <w:i w:val="0"/>
          <w:iCs w:val="0"/>
          <w:color w:val="auto"/>
          <w:sz w:val="24"/>
          <w:szCs w:val="24"/>
        </w:rPr>
        <w:t>ure</w:t>
      </w:r>
      <w:r w:rsidR="00B51A12" w:rsidRPr="002951EE">
        <w:rPr>
          <w:rFonts w:cs="Times New Roman"/>
          <w:b/>
          <w:bCs/>
          <w:i w:val="0"/>
          <w:iCs w:val="0"/>
          <w:color w:val="auto"/>
          <w:sz w:val="24"/>
          <w:szCs w:val="24"/>
        </w:rPr>
        <w:t xml:space="preserve"> 7</w:t>
      </w:r>
      <w:r w:rsidR="00DE05AB" w:rsidRPr="002951EE">
        <w:rPr>
          <w:rFonts w:cs="Times New Roman"/>
          <w:b/>
          <w:bCs/>
          <w:i w:val="0"/>
          <w:iCs w:val="0"/>
          <w:noProof/>
          <w:color w:val="auto"/>
          <w:sz w:val="24"/>
          <w:szCs w:val="24"/>
        </w:rPr>
        <w:t>:</w:t>
      </w:r>
      <w:r w:rsidR="003E09C9" w:rsidRPr="00D00F16">
        <w:rPr>
          <w:rFonts w:cs="Times New Roman"/>
          <w:i w:val="0"/>
          <w:iCs w:val="0"/>
          <w:color w:val="auto"/>
          <w:sz w:val="24"/>
          <w:szCs w:val="24"/>
        </w:rPr>
        <w:t xml:space="preserve"> Elevation Map of </w:t>
      </w:r>
      <w:r w:rsidR="00725669" w:rsidRPr="00D00F16">
        <w:rPr>
          <w:rFonts w:cs="Times New Roman"/>
          <w:i w:val="0"/>
          <w:iCs w:val="0"/>
          <w:color w:val="auto"/>
          <w:sz w:val="24"/>
          <w:szCs w:val="24"/>
        </w:rPr>
        <w:t xml:space="preserve">the </w:t>
      </w:r>
      <w:r w:rsidR="003E09C9" w:rsidRPr="00D00F16">
        <w:rPr>
          <w:rFonts w:cs="Times New Roman"/>
          <w:i w:val="0"/>
          <w:iCs w:val="0"/>
          <w:color w:val="auto"/>
          <w:sz w:val="24"/>
          <w:szCs w:val="24"/>
        </w:rPr>
        <w:t>WA</w:t>
      </w:r>
      <w:bookmarkEnd w:id="30"/>
      <w:r w:rsidR="00725669" w:rsidRPr="00D00F16">
        <w:rPr>
          <w:rFonts w:cs="Times New Roman"/>
          <w:i w:val="0"/>
          <w:iCs w:val="0"/>
          <w:color w:val="auto"/>
          <w:sz w:val="24"/>
          <w:szCs w:val="24"/>
        </w:rPr>
        <w:t xml:space="preserve"> municipality</w:t>
      </w:r>
    </w:p>
    <w:p w14:paraId="32D79654" w14:textId="77777777" w:rsidR="003E09C9" w:rsidRDefault="003E09C9" w:rsidP="006E0E57">
      <w:pPr>
        <w:spacing w:after="0" w:line="276" w:lineRule="auto"/>
        <w:ind w:left="0"/>
        <w:rPr>
          <w:rFonts w:cs="Times New Roman"/>
        </w:rPr>
      </w:pPr>
    </w:p>
    <w:p w14:paraId="13AEF5A0" w14:textId="35F11EE2" w:rsidR="003E09C9" w:rsidRDefault="005055DD" w:rsidP="002B5939">
      <w:pPr>
        <w:spacing w:after="0" w:line="276" w:lineRule="auto"/>
        <w:ind w:left="0"/>
        <w:rPr>
          <w:rFonts w:cs="Times New Roman"/>
          <w:b/>
          <w:bCs/>
        </w:rPr>
      </w:pPr>
      <w:r w:rsidRPr="005055DD">
        <w:rPr>
          <w:rFonts w:cs="Times New Roman"/>
          <w:b/>
          <w:bCs/>
        </w:rPr>
        <w:t>Drainage Density</w:t>
      </w:r>
    </w:p>
    <w:p w14:paraId="55BA00B7" w14:textId="29EE64E1" w:rsidR="003E09C9" w:rsidRPr="00D00F16" w:rsidRDefault="00656E77" w:rsidP="006E0E57">
      <w:pPr>
        <w:spacing w:after="0" w:line="276" w:lineRule="auto"/>
        <w:ind w:left="0"/>
        <w:jc w:val="both"/>
        <w:rPr>
          <w:rFonts w:cs="Times New Roman"/>
          <w:lang w:val="en-GB"/>
        </w:rPr>
      </w:pPr>
      <w:bookmarkStart w:id="31" w:name="_Hlk140933401"/>
      <w:r>
        <w:rPr>
          <w:rFonts w:cs="Times New Roman"/>
        </w:rPr>
        <w:t>D</w:t>
      </w:r>
      <w:r w:rsidR="00D24F36" w:rsidRPr="00D00F16">
        <w:rPr>
          <w:rFonts w:cs="Times New Roman"/>
        </w:rPr>
        <w:t xml:space="preserve">rainage density </w:t>
      </w:r>
      <w:r>
        <w:rPr>
          <w:rFonts w:cs="Times New Roman"/>
        </w:rPr>
        <w:t>refers to</w:t>
      </w:r>
      <w:r w:rsidR="00D24F36" w:rsidRPr="00D00F16">
        <w:rPr>
          <w:rFonts w:cs="Times New Roman"/>
        </w:rPr>
        <w:t xml:space="preserve"> the proportion of the surface area of the drained basin to the sum of the lengths of the watercourses in the basin </w:t>
      </w:r>
      <w:r w:rsidR="00254F0F" w:rsidRPr="00D00F16">
        <w:rPr>
          <w:rFonts w:cs="Times New Roman"/>
        </w:rPr>
        <w:fldChar w:fldCharType="begin" w:fldLock="1"/>
      </w:r>
      <w:r w:rsidR="00622464">
        <w:rPr>
          <w:rFonts w:cs="Times New Roman"/>
        </w:rPr>
        <w:instrText>ADDIN CSL_CITATION {"citationItems":[{"id":"ITEM-1","itemData":{"DOI":"10.1016/j.catena.2018.10.037","ISSN":"03418162","abstract":"Many regions in arid and semi-arid lands suffer from water resource scarcity due to climatic constraints combined with a rapid increase in domestic water consumption due to population and industry growth. The increased demand for high-quality and sustainable water assets creates an urgent need to investigate groundwater resources as an alternative solution. In this study, weighted overlay analysis based on an analytical hierarchy process and supported by a random forest machine learning technique was utilized to explore groundwater potential zones in the northern United Arab Emirates (UAE). Toward that end, eight thematic layers were prepared and processed in a geographic information science environment to produce the groundwater potential map (GPM): elevation, slope, precipitation, geology, geomorphology, drainage stream density, major fracture, and lineament density. The resultant GPM was classified in five potential groundwater zones ranging from very high to very low. The GPM was validated based on existing well distribution and selected wellfield yielding production. It was found that 81.7% of existing wells are located in the moderate-high zone and higher. Single-parameter sensitivity analysis technique revealed that the geology, precipitation, and geomorphology were the most significant factors, with a mean effective weight of 42.7%, 34.22%, and 32.23%, respectively. This research provides substantial insights for local water managers and authorities by providing a GPM as well as geo-hydrological findings in order to achieve sustainable groundwater management in the UAE.","author":[{"dropping-particle":"","family":"Al-Ruzouq","given":"Rami","non-dropping-particle":"","parse-names":false,"suffix":""},{"dropping-particle":"","family":"Shanableh","given":"Abdallah","non-dropping-particle":"","parse-names":false,"suffix":""},{"dropping-particle":"","family":"Merabtene","given":"Tarek","non-dropping-particle":"","parse-names":false,"suffix":""},{"dropping-particle":"","family":"Siddique","given":"Mohsin","non-dropping-particle":"","parse-names":false,"suffix":""},{"dropping-particle":"","family":"Khalil","given":"Mohamad Ali","non-dropping-particle":"","parse-names":false,"suffix":""},{"dropping-particle":"","family":"Idris","given":"Ala Eldin","non-dropping-particle":"","parse-names":false,"suffix":""},{"dropping-particle":"","family":"Almulla","given":"Esam","non-dropping-particle":"","parse-names":false,"suffix":""}],"container-title":"Catena","id":"ITEM-1","issue":"October 2018","issued":{"date-parts":[["2019"]]},"page":"511-524","publisher":"Elsevier","title":"Potential groundwater zone mapping based on geo-hydrological considerations and multi-criteria spatial analysis: North UAE","type":"article-journal","volume":"173"},"uris":["http://www.mendeley.com/documents/?uuid=9e021ab0-e5ae-4af3-b458-d615e4539d54"]}],"mendeley":{"formattedCitation":"(Al-Ruzouq et al., 2019)","plainTextFormattedCitation":"(Al-Ruzouq et al., 2019)","previouslyFormattedCitation":"(Al-Ruzouq et al., 2019)"},"properties":{"noteIndex":0},"schema":"https://github.com/citation-style-language/schema/raw/master/csl-citation.json"}</w:instrText>
      </w:r>
      <w:r w:rsidR="00254F0F" w:rsidRPr="00D00F16">
        <w:rPr>
          <w:rFonts w:cs="Times New Roman"/>
        </w:rPr>
        <w:fldChar w:fldCharType="separate"/>
      </w:r>
      <w:r w:rsidR="00622464" w:rsidRPr="00622464">
        <w:rPr>
          <w:rFonts w:cs="Times New Roman"/>
          <w:noProof/>
        </w:rPr>
        <w:t xml:space="preserve">(Al-Ruzouq </w:t>
      </w:r>
      <w:r w:rsidR="00622464" w:rsidRPr="0059123E">
        <w:rPr>
          <w:rFonts w:cs="Times New Roman"/>
          <w:i/>
          <w:noProof/>
        </w:rPr>
        <w:t>et al</w:t>
      </w:r>
      <w:r w:rsidR="00622464" w:rsidRPr="00622464">
        <w:rPr>
          <w:rFonts w:cs="Times New Roman"/>
          <w:noProof/>
        </w:rPr>
        <w:t>., 2019)</w:t>
      </w:r>
      <w:r w:rsidR="00254F0F" w:rsidRPr="00D00F16">
        <w:rPr>
          <w:rFonts w:cs="Times New Roman"/>
        </w:rPr>
        <w:fldChar w:fldCharType="end"/>
      </w:r>
      <w:r w:rsidR="00254F0F" w:rsidRPr="00D00F16">
        <w:rPr>
          <w:rFonts w:cs="Times New Roman"/>
        </w:rPr>
        <w:t>.</w:t>
      </w:r>
      <w:r w:rsidR="003E09C9" w:rsidRPr="00D00F16">
        <w:rPr>
          <w:rFonts w:cs="Times New Roman"/>
        </w:rPr>
        <w:t xml:space="preserve"> </w:t>
      </w:r>
      <w:r>
        <w:rPr>
          <w:rFonts w:cs="Times New Roman"/>
        </w:rPr>
        <w:t>It’s a</w:t>
      </w:r>
      <w:r w:rsidR="003E09C9" w:rsidRPr="00D00F16">
        <w:rPr>
          <w:rFonts w:cs="Times New Roman"/>
        </w:rPr>
        <w:t xml:space="preserve"> </w:t>
      </w:r>
      <w:r w:rsidRPr="00D00F16">
        <w:rPr>
          <w:rFonts w:cs="Times New Roman"/>
        </w:rPr>
        <w:t>vital</w:t>
      </w:r>
      <w:r w:rsidR="003E09C9" w:rsidRPr="00D00F16">
        <w:rPr>
          <w:rFonts w:cs="Times New Roman"/>
        </w:rPr>
        <w:t xml:space="preserve"> </w:t>
      </w:r>
      <w:r>
        <w:rPr>
          <w:rFonts w:cs="Times New Roman"/>
        </w:rPr>
        <w:t>criterion in</w:t>
      </w:r>
      <w:r w:rsidR="003E09C9" w:rsidRPr="00D00F16">
        <w:rPr>
          <w:rFonts w:cs="Times New Roman"/>
        </w:rPr>
        <w:t xml:space="preserve"> </w:t>
      </w:r>
      <w:r>
        <w:rPr>
          <w:rFonts w:cs="Times New Roman"/>
        </w:rPr>
        <w:t xml:space="preserve">assessing the prospects of </w:t>
      </w:r>
      <w:r w:rsidR="003E09C9" w:rsidRPr="00D00F16">
        <w:rPr>
          <w:rFonts w:cs="Times New Roman"/>
        </w:rPr>
        <w:t>groundwater.</w:t>
      </w:r>
      <w:r w:rsidR="00A26056">
        <w:rPr>
          <w:rFonts w:cs="Times New Roman"/>
        </w:rPr>
        <w:t xml:space="preserve"> </w:t>
      </w:r>
      <w:r w:rsidR="003E09C9" w:rsidRPr="00D00F16">
        <w:rPr>
          <w:rFonts w:cs="Times New Roman"/>
        </w:rPr>
        <w:t xml:space="preserve">Typically, </w:t>
      </w:r>
      <w:r w:rsidR="00D24F36" w:rsidRPr="00D00F16">
        <w:rPr>
          <w:rFonts w:cs="Times New Roman"/>
        </w:rPr>
        <w:t>Groundwater occurrence is negatively correlated with drainage density; areas with lower drainage densit</w:t>
      </w:r>
      <w:r w:rsidR="00AD2BAE">
        <w:rPr>
          <w:rFonts w:cs="Times New Roman"/>
        </w:rPr>
        <w:t>ies</w:t>
      </w:r>
      <w:r w:rsidR="00D24F36" w:rsidRPr="00D00F16">
        <w:rPr>
          <w:rFonts w:cs="Times New Roman"/>
        </w:rPr>
        <w:t xml:space="preserve"> are potential groundwater zones while areas of higher drainage density have low potential for groundwater occurrence</w:t>
      </w:r>
      <w:r w:rsidR="003E09C9" w:rsidRPr="00D00F16">
        <w:rPr>
          <w:rFonts w:cs="Times New Roman"/>
        </w:rPr>
        <w:t xml:space="preserve"> </w:t>
      </w:r>
      <w:r w:rsidR="00254F0F" w:rsidRPr="00D00F16">
        <w:rPr>
          <w:rFonts w:cs="Times New Roman"/>
        </w:rPr>
        <w:fldChar w:fldCharType="begin" w:fldLock="1"/>
      </w:r>
      <w:r w:rsidR="0059123E">
        <w:rPr>
          <w:rFonts w:cs="Times New Roman"/>
        </w:rPr>
        <w:instrText>ADDIN CSL_CITATION {"citationItems":[{"id":"ITEM-1","itemData":{"DOI":"10.1016/j.gsf.2011.10.007","ISSN":"1674-9871","author":[{"dropping-particle":"","family":"Magesh","given":"N S","non-dropping-particle":"","parse-names":false,"suffix":""},{"dropping-particle":"","family":"Chandrasekar","given":"N","non-dropping-particle":"","parse-names":false,"suffix":""},{"dropping-particle":"","family":"Soundranayagam","given":"John Prince","non-dropping-particle":"","parse-names":false,"suffix":""}],"container-title":"Geoscience Frontiers","id":"ITEM-1","issue":"2","issued":{"date-parts":[["2012"]]},"page":"189-196","publisher":"Elsevier B.V.","title":"Delineation of groundwater potential zones in Theni district , Tamil Nadu , using remote sensing , GIS and MIF techniques","type":"article-journal","volume":"3"},"uris":["http://www.mendeley.com/documents/?uuid=235bb80a-7bbd-4995-be5c-528c822faa43"]}],"mendeley":{"formattedCitation":"(Magesh et al., 2012)","manualFormatting":"(Magesh et al., 2012; Alrawi et al., 2022)","plainTextFormattedCitation":"(Magesh et al., 2012)","previouslyFormattedCitation":"(Magesh et al., 2012)"},"properties":{"noteIndex":0},"schema":"https://github.com/citation-style-language/schema/raw/master/csl-citation.json"}</w:instrText>
      </w:r>
      <w:r w:rsidR="00254F0F" w:rsidRPr="00D00F16">
        <w:rPr>
          <w:rFonts w:cs="Times New Roman"/>
        </w:rPr>
        <w:fldChar w:fldCharType="separate"/>
      </w:r>
      <w:r w:rsidR="00622464" w:rsidRPr="00622464">
        <w:rPr>
          <w:rFonts w:cs="Times New Roman"/>
          <w:noProof/>
        </w:rPr>
        <w:t xml:space="preserve">(Magesh </w:t>
      </w:r>
      <w:r w:rsidR="00622464" w:rsidRPr="0059123E">
        <w:rPr>
          <w:rFonts w:cs="Times New Roman"/>
          <w:i/>
          <w:noProof/>
        </w:rPr>
        <w:t>et al</w:t>
      </w:r>
      <w:r w:rsidR="00622464" w:rsidRPr="00622464">
        <w:rPr>
          <w:rFonts w:cs="Times New Roman"/>
          <w:noProof/>
        </w:rPr>
        <w:t>., 2012)</w:t>
      </w:r>
      <w:r w:rsidR="00254F0F" w:rsidRPr="00D00F16">
        <w:rPr>
          <w:rFonts w:cs="Times New Roman"/>
        </w:rPr>
        <w:fldChar w:fldCharType="end"/>
      </w:r>
      <w:r w:rsidR="00254F0F" w:rsidRPr="00D00F16">
        <w:rPr>
          <w:rFonts w:cs="Times New Roman"/>
          <w:lang w:val="en-GB"/>
        </w:rPr>
        <w:t>.</w:t>
      </w:r>
      <w:r w:rsidR="003E09C9" w:rsidRPr="00D00F16">
        <w:rPr>
          <w:rFonts w:cs="Times New Roman"/>
        </w:rPr>
        <w:t xml:space="preserve"> </w:t>
      </w:r>
      <w:r w:rsidR="00D24F36" w:rsidRPr="00D00F16">
        <w:rPr>
          <w:rFonts w:cs="Times New Roman"/>
        </w:rPr>
        <w:t>However, a number of factors including</w:t>
      </w:r>
      <w:r w:rsidR="00AD2BAE">
        <w:rPr>
          <w:rFonts w:cs="Times New Roman"/>
        </w:rPr>
        <w:t>;</w:t>
      </w:r>
      <w:r w:rsidR="00D24F36" w:rsidRPr="00D00F16">
        <w:rPr>
          <w:rFonts w:cs="Times New Roman"/>
        </w:rPr>
        <w:t xml:space="preserve"> </w:t>
      </w:r>
      <w:r w:rsidRPr="00D00F16">
        <w:rPr>
          <w:rFonts w:cs="Times New Roman"/>
        </w:rPr>
        <w:t>rainfall</w:t>
      </w:r>
      <w:r w:rsidR="00C126A2">
        <w:rPr>
          <w:rFonts w:cs="Times New Roman"/>
        </w:rPr>
        <w:t>,</w:t>
      </w:r>
      <w:r w:rsidRPr="00D00F16">
        <w:rPr>
          <w:rFonts w:cs="Times New Roman"/>
        </w:rPr>
        <w:t xml:space="preserve"> </w:t>
      </w:r>
      <w:r w:rsidR="00D24F36" w:rsidRPr="00D00F16">
        <w:rPr>
          <w:rFonts w:cs="Times New Roman"/>
        </w:rPr>
        <w:t xml:space="preserve">slope gradient, </w:t>
      </w:r>
      <w:r w:rsidR="00C126A2" w:rsidRPr="00D00F16">
        <w:rPr>
          <w:rFonts w:cs="Times New Roman"/>
        </w:rPr>
        <w:t>vegetation cover</w:t>
      </w:r>
      <w:r w:rsidR="00C126A2">
        <w:rPr>
          <w:rFonts w:cs="Times New Roman"/>
        </w:rPr>
        <w:t>,</w:t>
      </w:r>
      <w:r w:rsidR="00C126A2" w:rsidRPr="00D00F16">
        <w:rPr>
          <w:rFonts w:cs="Times New Roman"/>
        </w:rPr>
        <w:t xml:space="preserve"> </w:t>
      </w:r>
      <w:r w:rsidR="00D24F36" w:rsidRPr="00D00F16">
        <w:rPr>
          <w:rFonts w:cs="Times New Roman"/>
        </w:rPr>
        <w:t>soil absorption capacity, climate, terrain, and subsurface properties, affect the drainage system</w:t>
      </w:r>
      <w:r w:rsidR="003E09C9" w:rsidRPr="00D00F16">
        <w:rPr>
          <w:rFonts w:cs="Times New Roman"/>
        </w:rPr>
        <w:t xml:space="preserve"> </w:t>
      </w:r>
      <w:r w:rsidR="003E09C9" w:rsidRPr="00D00F16">
        <w:rPr>
          <w:rFonts w:cs="Times New Roman"/>
        </w:rPr>
        <w:fldChar w:fldCharType="begin" w:fldLock="1"/>
      </w:r>
      <w:r w:rsidR="00622464">
        <w:rPr>
          <w:rFonts w:cs="Times New Roman"/>
        </w:rPr>
        <w:instrText>ADDIN CSL_CITATION {"citationItems":[{"id":"ITEM-1","itemData":{"DOI":"10.1007/978-3-030-62397-5","ISBN":"9783030623975","author":[{"dropping-particle":"","family":"Mif","given":"Factor","non-dropping-particle":"","parse-names":false,"suffix":""},{"dropping-particle":"","family":"Study","given":"G I S A","non-dropping-particle":"","parse-names":false,"suffix":""},{"dropping-particle":"","family":"Bengal","given":"West","non-dropping-particle":"","parse-names":false,"suffix":""}],"id":"ITEM-1","issue":"February","issued":{"date-parts":[["2021"]]},"title":"Delineating the Status of Groundwater in a Plateau Fringe Region Using Multi- Delineating the Status of Groundwater in a Plateau Fringe Region Using Multi-influencing Factor ( MIF ) and GIS : A Study of Bankura District , West Bengal , India","type":"article-journal"},"uris":["http://www.mendeley.com/documents/?uuid=02656931-8a9e-46a5-8522-610c69edcba5"]}],"mendeley":{"formattedCitation":"(Mif et al., 2021)","plainTextFormattedCitation":"(Mif et al., 2021)","previouslyFormattedCitation":"(Mif et al., 2021)"},"properties":{"noteIndex":0},"schema":"https://github.com/citation-style-language/schema/raw/master/csl-citation.json"}</w:instrText>
      </w:r>
      <w:r w:rsidR="003E09C9" w:rsidRPr="00D00F16">
        <w:rPr>
          <w:rFonts w:cs="Times New Roman"/>
        </w:rPr>
        <w:fldChar w:fldCharType="separate"/>
      </w:r>
      <w:r w:rsidR="00622464" w:rsidRPr="00622464">
        <w:rPr>
          <w:rFonts w:cs="Times New Roman"/>
          <w:noProof/>
        </w:rPr>
        <w:t xml:space="preserve">(Mif </w:t>
      </w:r>
      <w:r w:rsidR="00622464" w:rsidRPr="0059123E">
        <w:rPr>
          <w:rFonts w:cs="Times New Roman"/>
          <w:i/>
          <w:noProof/>
        </w:rPr>
        <w:t>et al</w:t>
      </w:r>
      <w:r w:rsidR="00622464" w:rsidRPr="00622464">
        <w:rPr>
          <w:rFonts w:cs="Times New Roman"/>
          <w:noProof/>
        </w:rPr>
        <w:t>., 2021)</w:t>
      </w:r>
      <w:r w:rsidR="003E09C9" w:rsidRPr="00D00F16">
        <w:rPr>
          <w:rFonts w:cs="Times New Roman"/>
        </w:rPr>
        <w:fldChar w:fldCharType="end"/>
      </w:r>
      <w:r w:rsidR="003E09C9" w:rsidRPr="00D00F16">
        <w:rPr>
          <w:rFonts w:cs="Times New Roman"/>
        </w:rPr>
        <w:t>.</w:t>
      </w:r>
      <w:r w:rsidR="003E09C9" w:rsidRPr="00D00F16">
        <w:rPr>
          <w:rFonts w:cs="Times New Roman"/>
          <w:lang w:val="en-GB"/>
        </w:rPr>
        <w:t xml:space="preserve"> </w:t>
      </w:r>
      <w:r w:rsidR="00254F0F" w:rsidRPr="00D00F16">
        <w:rPr>
          <w:rFonts w:cs="Times New Roman"/>
          <w:lang w:val="en-GB"/>
        </w:rPr>
        <w:t>A study</w:t>
      </w:r>
      <w:r w:rsidR="003E09C9" w:rsidRPr="00D00F16">
        <w:rPr>
          <w:rFonts w:cs="Times New Roman"/>
          <w:lang w:val="en-GB"/>
        </w:rPr>
        <w:t xml:space="preserve"> indicated that </w:t>
      </w:r>
      <w:r w:rsidR="00D24F36" w:rsidRPr="00D00F16">
        <w:rPr>
          <w:rFonts w:cs="Times New Roman"/>
          <w:lang w:val="en-GB"/>
        </w:rPr>
        <w:t>the underlying rocks' high permeability causes poor drainage density</w:t>
      </w:r>
      <w:r w:rsidR="003E09C9" w:rsidRPr="00D00F16">
        <w:rPr>
          <w:rFonts w:cs="Times New Roman"/>
          <w:lang w:val="en-GB"/>
        </w:rPr>
        <w:t xml:space="preserve"> due to high penetration into the porous underlying rock</w:t>
      </w:r>
      <w:r w:rsidR="00254F0F" w:rsidRPr="00D00F16">
        <w:rPr>
          <w:rFonts w:cs="Times New Roman"/>
          <w:lang w:val="en-GB"/>
        </w:rPr>
        <w:t xml:space="preserve"> </w:t>
      </w:r>
      <w:r w:rsidR="00254F0F" w:rsidRPr="00D00F16">
        <w:rPr>
          <w:rFonts w:cs="Times New Roman"/>
          <w:lang w:val="en-GB"/>
        </w:rPr>
        <w:fldChar w:fldCharType="begin" w:fldLock="1"/>
      </w:r>
      <w:r w:rsidR="00622464">
        <w:rPr>
          <w:rFonts w:cs="Times New Roman"/>
          <w:lang w:val="en-GB"/>
        </w:rPr>
        <w:instrText>ADDIN CSL_CITATION {"citationItems":[{"id":"ITEM-1","itemData":{"DOI":"10.1016/j.envsoft.2020.104868","ISSN":"13648152","abstract":"In Shanxi Province, China, groundwater is a major problem and exploration of groundwater potential zones (GWPZs) is a great necessity. This paper contributed to integrate RS-GIS to delineate GWPZ and applied Fuzzy-AHP method in a single platform. The main objective includes delineation GWPZs with RS and geo-environmental factors using Fuzzy-AHP method. Fuzzy-AHP method was employed to calculate weight of factors. RS-GIS was used to create maps and discover groundwater availability. GWPZs were classified in five separate classes. Results indicated that 13.26%, 27.02%, 26.35%, 23.64%, and 9.71% area classified as very good, good, moderate, poor, and very poor GWPZs. The validated analytical results revealed 82.5%, 12.3%, 3.5%, and 1.7% existing water wells exhibited in very good, good, moderate, and poor/very poor GWPZs. This indicates Fuzzy-AHP model generated findings were in very good agreement with ground-truth data. This RS-GIS based Fuzzy-AHP method is proficient and efficient in identification and delineation of GWPZs.","author":[{"dropping-particle":"","family":"Shao","given":"Zhenfeng","non-dropping-particle":"","parse-names":false,"suffix":""},{"dropping-particle":"","family":"Huq","given":"Md Enamul","non-dropping-particle":"","parse-names":false,"suffix":""},{"dropping-particle":"","family":"Cai","given":"Bowen","non-dropping-particle":"","parse-names":false,"suffix":""},{"dropping-particle":"","family":"Altan","given":"Orhan","non-dropping-particle":"","parse-names":false,"suffix":""},{"dropping-particle":"","family":"Li","given":"Yan","non-dropping-particle":"","parse-names":false,"suffix":""}],"container-title":"Environmental Modelling and Software","id":"ITEM-1","issued":{"date-parts":[["2020"]]},"page":"104868","publisher":"Elsevier Ltd","title":"Integrated remote sensing and GIS approach using Fuzzy-AHP to delineate and identify groundwater potential zones in semi-arid Shanxi Province, China","type":"article-journal","volume":"134"},"uris":["http://www.mendeley.com/documents/?uuid=b753d42e-cd4d-4ab6-9c01-bba4fb7e1497"]}],"mendeley":{"formattedCitation":"(Shao et al., 2020)","plainTextFormattedCitation":"(Shao et al., 2020)","previouslyFormattedCitation":"(Shao et al., 2020)"},"properties":{"noteIndex":0},"schema":"https://github.com/citation-style-language/schema/raw/master/csl-citation.json"}</w:instrText>
      </w:r>
      <w:r w:rsidR="00254F0F" w:rsidRPr="00D00F16">
        <w:rPr>
          <w:rFonts w:cs="Times New Roman"/>
          <w:lang w:val="en-GB"/>
        </w:rPr>
        <w:fldChar w:fldCharType="separate"/>
      </w:r>
      <w:r w:rsidR="00622464" w:rsidRPr="00622464">
        <w:rPr>
          <w:rFonts w:cs="Times New Roman"/>
          <w:noProof/>
          <w:lang w:val="en-GB"/>
        </w:rPr>
        <w:t xml:space="preserve">(Shao </w:t>
      </w:r>
      <w:r w:rsidR="00622464" w:rsidRPr="0059123E">
        <w:rPr>
          <w:rFonts w:cs="Times New Roman"/>
          <w:i/>
          <w:noProof/>
          <w:lang w:val="en-GB"/>
        </w:rPr>
        <w:t>et al</w:t>
      </w:r>
      <w:r w:rsidR="00622464" w:rsidRPr="00622464">
        <w:rPr>
          <w:rFonts w:cs="Times New Roman"/>
          <w:noProof/>
          <w:lang w:val="en-GB"/>
        </w:rPr>
        <w:t>., 2020)</w:t>
      </w:r>
      <w:r w:rsidR="00254F0F" w:rsidRPr="00D00F16">
        <w:rPr>
          <w:rFonts w:cs="Times New Roman"/>
          <w:lang w:val="en-GB"/>
        </w:rPr>
        <w:fldChar w:fldCharType="end"/>
      </w:r>
      <w:r w:rsidR="003E09C9" w:rsidRPr="00D00F16">
        <w:rPr>
          <w:rFonts w:cs="Times New Roman"/>
          <w:lang w:val="en-GB"/>
        </w:rPr>
        <w:t xml:space="preserve">. </w:t>
      </w:r>
    </w:p>
    <w:bookmarkEnd w:id="31"/>
    <w:p w14:paraId="5BBA5F0B" w14:textId="00EEEC35" w:rsidR="003E09C9" w:rsidRPr="00D00F16" w:rsidRDefault="005055DD" w:rsidP="006E0E57">
      <w:pPr>
        <w:spacing w:after="0" w:line="276" w:lineRule="auto"/>
        <w:ind w:left="0"/>
        <w:jc w:val="both"/>
        <w:rPr>
          <w:rFonts w:cs="Times New Roman"/>
        </w:rPr>
      </w:pPr>
      <w:r>
        <w:rPr>
          <w:rFonts w:cs="Times New Roman"/>
        </w:rPr>
        <w:t>As presented in Figure 8, t</w:t>
      </w:r>
      <w:r w:rsidR="003E09C9" w:rsidRPr="00D00F16">
        <w:rPr>
          <w:rFonts w:cs="Times New Roman"/>
        </w:rPr>
        <w:t xml:space="preserve">he drainage density of the </w:t>
      </w:r>
      <w:r w:rsidR="00F91FFB" w:rsidRPr="00D00F16">
        <w:rPr>
          <w:rFonts w:cs="Times New Roman"/>
        </w:rPr>
        <w:t>municipality</w:t>
      </w:r>
      <w:r w:rsidR="003E09C9" w:rsidRPr="00D00F16">
        <w:rPr>
          <w:rFonts w:cs="Times New Roman"/>
        </w:rPr>
        <w:t xml:space="preserve"> ranges </w:t>
      </w:r>
      <w:r w:rsidR="009C16E8" w:rsidRPr="00D00F16">
        <w:rPr>
          <w:rFonts w:cs="Times New Roman"/>
        </w:rPr>
        <w:t xml:space="preserve">from </w:t>
      </w:r>
      <w:r w:rsidR="003E09C9" w:rsidRPr="00D00F16">
        <w:rPr>
          <w:rFonts w:cs="Times New Roman"/>
        </w:rPr>
        <w:t>0.00 – 0.21, 0.22 – 0.54, 0.55 – 0.89, 0.90 – 1.30</w:t>
      </w:r>
      <w:r w:rsidR="009C16E8" w:rsidRPr="00D00F16">
        <w:rPr>
          <w:rFonts w:cs="Times New Roman"/>
        </w:rPr>
        <w:t>,</w:t>
      </w:r>
      <w:r w:rsidR="003E09C9" w:rsidRPr="00D00F16">
        <w:rPr>
          <w:rFonts w:cs="Times New Roman"/>
        </w:rPr>
        <w:t xml:space="preserve"> and 1.40 – 2.00 km/km</w:t>
      </w:r>
      <w:r w:rsidR="003E09C9" w:rsidRPr="00D00F16">
        <w:rPr>
          <w:rFonts w:cs="Times New Roman"/>
          <w:vertAlign w:val="superscript"/>
        </w:rPr>
        <w:t>2</w:t>
      </w:r>
      <w:r w:rsidR="003E09C9" w:rsidRPr="00D00F16">
        <w:rPr>
          <w:rFonts w:cs="Times New Roman"/>
        </w:rPr>
        <w:t xml:space="preserve"> representing very low, low, moderate, high, and very high drainage density. </w:t>
      </w:r>
    </w:p>
    <w:p w14:paraId="17DD1EC9" w14:textId="77777777"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6117832C" wp14:editId="19434539">
            <wp:extent cx="5943598" cy="457915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943598" cy="4579154"/>
                    </a:xfrm>
                    <a:prstGeom prst="rect">
                      <a:avLst/>
                    </a:prstGeom>
                  </pic:spPr>
                </pic:pic>
              </a:graphicData>
            </a:graphic>
          </wp:inline>
        </w:drawing>
      </w:r>
    </w:p>
    <w:p w14:paraId="18F2CD2E" w14:textId="4B50D0EA"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32" w:name="_Toc138777756"/>
      <w:r w:rsidRPr="00C6672C">
        <w:rPr>
          <w:rFonts w:cs="Times New Roman"/>
          <w:b/>
          <w:bCs/>
          <w:i w:val="0"/>
          <w:iCs w:val="0"/>
          <w:color w:val="auto"/>
          <w:sz w:val="24"/>
          <w:szCs w:val="24"/>
        </w:rPr>
        <w:t>Fig</w:t>
      </w:r>
      <w:r w:rsidR="00C6672C" w:rsidRPr="00C6672C">
        <w:rPr>
          <w:rFonts w:cs="Times New Roman"/>
          <w:b/>
          <w:bCs/>
          <w:i w:val="0"/>
          <w:iCs w:val="0"/>
          <w:color w:val="auto"/>
          <w:sz w:val="24"/>
          <w:szCs w:val="24"/>
        </w:rPr>
        <w:t xml:space="preserve">ure </w:t>
      </w:r>
      <w:r w:rsidR="00B51A12" w:rsidRPr="00C6672C">
        <w:rPr>
          <w:rFonts w:cs="Times New Roman"/>
          <w:b/>
          <w:bCs/>
          <w:i w:val="0"/>
          <w:iCs w:val="0"/>
          <w:color w:val="auto"/>
          <w:sz w:val="24"/>
          <w:szCs w:val="24"/>
        </w:rPr>
        <w:t>8</w:t>
      </w:r>
      <w:r w:rsidR="00C6672C" w:rsidRPr="00C6672C">
        <w:rPr>
          <w:rFonts w:cs="Times New Roman"/>
          <w:b/>
          <w:bCs/>
          <w:i w:val="0"/>
          <w:iCs w:val="0"/>
          <w:color w:val="auto"/>
          <w:sz w:val="24"/>
          <w:szCs w:val="24"/>
        </w:rPr>
        <w:t>:</w:t>
      </w:r>
      <w:r w:rsidR="00C6672C">
        <w:rPr>
          <w:rFonts w:cs="Times New Roman"/>
          <w:i w:val="0"/>
          <w:iCs w:val="0"/>
          <w:color w:val="auto"/>
          <w:sz w:val="24"/>
          <w:szCs w:val="24"/>
        </w:rPr>
        <w:t xml:space="preserve"> </w:t>
      </w:r>
      <w:r w:rsidRPr="00D00F16">
        <w:rPr>
          <w:rFonts w:cs="Times New Roman"/>
          <w:i w:val="0"/>
          <w:iCs w:val="0"/>
          <w:color w:val="auto"/>
          <w:sz w:val="24"/>
          <w:szCs w:val="24"/>
        </w:rPr>
        <w:t xml:space="preserve"> Drainage </w:t>
      </w:r>
      <w:r w:rsidR="00AF495A">
        <w:rPr>
          <w:rFonts w:cs="Times New Roman"/>
          <w:i w:val="0"/>
          <w:iCs w:val="0"/>
          <w:color w:val="auto"/>
          <w:sz w:val="24"/>
          <w:szCs w:val="24"/>
        </w:rPr>
        <w:t>D</w:t>
      </w:r>
      <w:r w:rsidRPr="00D00F16">
        <w:rPr>
          <w:rFonts w:cs="Times New Roman"/>
          <w:i w:val="0"/>
          <w:iCs w:val="0"/>
          <w:color w:val="auto"/>
          <w:sz w:val="24"/>
          <w:szCs w:val="24"/>
        </w:rPr>
        <w:t xml:space="preserve">ensity </w:t>
      </w:r>
      <w:r w:rsidR="00C6672C">
        <w:rPr>
          <w:rFonts w:cs="Times New Roman"/>
          <w:i w:val="0"/>
          <w:iCs w:val="0"/>
          <w:color w:val="auto"/>
          <w:sz w:val="24"/>
          <w:szCs w:val="24"/>
        </w:rPr>
        <w:t>M</w:t>
      </w:r>
      <w:r w:rsidRPr="00D00F16">
        <w:rPr>
          <w:rFonts w:cs="Times New Roman"/>
          <w:i w:val="0"/>
          <w:iCs w:val="0"/>
          <w:color w:val="auto"/>
          <w:sz w:val="24"/>
          <w:szCs w:val="24"/>
        </w:rPr>
        <w:t xml:space="preserve">ap of </w:t>
      </w:r>
      <w:proofErr w:type="spellStart"/>
      <w:r w:rsidRPr="00D00F16">
        <w:rPr>
          <w:rFonts w:cs="Times New Roman"/>
          <w:i w:val="0"/>
          <w:iCs w:val="0"/>
          <w:color w:val="auto"/>
          <w:sz w:val="24"/>
          <w:szCs w:val="24"/>
        </w:rPr>
        <w:t>Wa</w:t>
      </w:r>
      <w:bookmarkEnd w:id="32"/>
      <w:proofErr w:type="spellEnd"/>
      <w:r w:rsidR="00C6672C">
        <w:rPr>
          <w:rFonts w:cs="Times New Roman"/>
          <w:i w:val="0"/>
          <w:iCs w:val="0"/>
          <w:color w:val="auto"/>
          <w:sz w:val="24"/>
          <w:szCs w:val="24"/>
        </w:rPr>
        <w:t xml:space="preserve"> Municipality</w:t>
      </w:r>
    </w:p>
    <w:p w14:paraId="35B60E1E" w14:textId="77777777" w:rsidR="003E09C9" w:rsidRDefault="003E09C9" w:rsidP="006E0E57">
      <w:pPr>
        <w:spacing w:after="0" w:line="276" w:lineRule="auto"/>
        <w:ind w:left="0"/>
        <w:rPr>
          <w:rFonts w:cs="Times New Roman"/>
        </w:rPr>
      </w:pPr>
    </w:p>
    <w:p w14:paraId="2448556A" w14:textId="400945AC" w:rsidR="003E09C9" w:rsidRPr="00634D03" w:rsidRDefault="00634D03" w:rsidP="00634D03">
      <w:pPr>
        <w:spacing w:after="0" w:line="276" w:lineRule="auto"/>
        <w:ind w:left="0"/>
        <w:rPr>
          <w:rFonts w:cs="Times New Roman"/>
          <w:b/>
          <w:bCs/>
        </w:rPr>
      </w:pPr>
      <w:r w:rsidRPr="00634D03">
        <w:rPr>
          <w:rFonts w:cs="Times New Roman"/>
          <w:b/>
          <w:bCs/>
        </w:rPr>
        <w:t>Slope</w:t>
      </w:r>
    </w:p>
    <w:p w14:paraId="0380393A" w14:textId="219A837D" w:rsidR="003E09C9" w:rsidRPr="00D00F16" w:rsidRDefault="003E09C9" w:rsidP="006E0E57">
      <w:pPr>
        <w:spacing w:after="0" w:line="276" w:lineRule="auto"/>
        <w:ind w:left="0"/>
        <w:jc w:val="both"/>
        <w:rPr>
          <w:rFonts w:cs="Times New Roman"/>
        </w:rPr>
      </w:pPr>
      <w:r w:rsidRPr="00D00F16">
        <w:rPr>
          <w:rFonts w:cs="Times New Roman"/>
        </w:rPr>
        <w:t xml:space="preserve">The nature of the topography directly influences rainfall infiltration and is considered and deemed a cardinal factor in determining groundwater availability </w:t>
      </w:r>
      <w:r w:rsidRPr="00D00F16">
        <w:rPr>
          <w:rFonts w:cs="Times New Roman"/>
        </w:rPr>
        <w:fldChar w:fldCharType="begin" w:fldLock="1"/>
      </w:r>
      <w:r w:rsidR="0059123E">
        <w:rPr>
          <w:rFonts w:cs="Times New Roman"/>
        </w:rPr>
        <w:instrText>ADDIN CSL_CITATION {"citationItems":[{"id":"ITEM-1","itemData":{"author":[{"dropping-particle":"","family":"Manugula","given":"Ss","non-dropping-particle":"","parse-names":false,"suffix":""},{"dropping-particle":"","family":"Singh","given":"Surendra Pal","non-dropping-particle":"","parse-names":false,"suffix":""}],"id":"ITEM-1","issue":"February","issued":{"date-parts":[["2022"]]},"title":"AHP and GIS Techniques for the Demarcation of Groundwater Potential Zones in a Part of Granitic Bundelkhand , India- A Case Study of District Jhansi","type":"article-journal"},"uris":["http://www.mendeley.com/documents/?uuid=3fc065a5-ca75-4f49-bd67-f3a9bbc94390"]}],"mendeley":{"formattedCitation":"(Manugula &amp; Singh, 2022)","manualFormatting":"(Manugula and Singh, 2022)","plainTextFormattedCitation":"(Manugula &amp; Singh, 2022)","previouslyFormattedCitation":"(Manugula &amp; Singh, 2022)"},"properties":{"noteIndex":0},"schema":"https://github.com/citation-style-language/schema/raw/master/csl-citation.json"}</w:instrText>
      </w:r>
      <w:r w:rsidRPr="00D00F16">
        <w:rPr>
          <w:rFonts w:cs="Times New Roman"/>
        </w:rPr>
        <w:fldChar w:fldCharType="separate"/>
      </w:r>
      <w:r w:rsidR="00622464" w:rsidRPr="00622464">
        <w:rPr>
          <w:rFonts w:cs="Times New Roman"/>
          <w:noProof/>
        </w:rPr>
        <w:t xml:space="preserve">(Manugula </w:t>
      </w:r>
      <w:r w:rsidR="0059123E">
        <w:rPr>
          <w:rFonts w:cs="Times New Roman"/>
          <w:noProof/>
        </w:rPr>
        <w:t>and</w:t>
      </w:r>
      <w:r w:rsidR="00622464" w:rsidRPr="00622464">
        <w:rPr>
          <w:rFonts w:cs="Times New Roman"/>
          <w:noProof/>
        </w:rPr>
        <w:t xml:space="preserve"> Singh, 2022)</w:t>
      </w:r>
      <w:r w:rsidRPr="00D00F16">
        <w:rPr>
          <w:rFonts w:cs="Times New Roman"/>
        </w:rPr>
        <w:fldChar w:fldCharType="end"/>
      </w:r>
      <w:r w:rsidRPr="00D00F16">
        <w:rPr>
          <w:rFonts w:cs="Times New Roman"/>
        </w:rPr>
        <w:t xml:space="preserve">. </w:t>
      </w:r>
      <w:r w:rsidRPr="00D00F16">
        <w:rPr>
          <w:rFonts w:cs="Times New Roman"/>
          <w:lang w:val="en-GB"/>
        </w:rPr>
        <w:t xml:space="preserve">The slope of the </w:t>
      </w:r>
      <w:proofErr w:type="spellStart"/>
      <w:r w:rsidRPr="00D00F16">
        <w:rPr>
          <w:rFonts w:cs="Times New Roman"/>
          <w:lang w:val="en-GB"/>
        </w:rPr>
        <w:t>Wa</w:t>
      </w:r>
      <w:proofErr w:type="spellEnd"/>
      <w:r w:rsidRPr="00D00F16">
        <w:rPr>
          <w:rFonts w:cs="Times New Roman"/>
          <w:lang w:val="en-GB"/>
        </w:rPr>
        <w:t xml:space="preserve"> Municipal</w:t>
      </w:r>
      <w:r w:rsidR="00725669" w:rsidRPr="00D00F16">
        <w:rPr>
          <w:rFonts w:cs="Times New Roman"/>
          <w:lang w:val="en-GB"/>
        </w:rPr>
        <w:t>ity</w:t>
      </w:r>
      <w:r w:rsidRPr="00D00F16">
        <w:rPr>
          <w:rFonts w:cs="Times New Roman"/>
          <w:lang w:val="en-GB"/>
        </w:rPr>
        <w:t xml:space="preserve"> is grouped into five </w:t>
      </w:r>
      <w:r w:rsidR="00634D03">
        <w:rPr>
          <w:rFonts w:cs="Times New Roman"/>
          <w:lang w:val="en-GB"/>
        </w:rPr>
        <w:t xml:space="preserve">(5) </w:t>
      </w:r>
      <w:r w:rsidRPr="00D00F16">
        <w:rPr>
          <w:rFonts w:cs="Times New Roman"/>
          <w:lang w:val="en-GB"/>
        </w:rPr>
        <w:t>classes</w:t>
      </w:r>
      <w:r w:rsidR="00AD2BAE">
        <w:rPr>
          <w:rFonts w:cs="Times New Roman"/>
          <w:lang w:val="en-GB"/>
        </w:rPr>
        <w:t>;</w:t>
      </w:r>
      <w:r w:rsidRPr="00D00F16">
        <w:rPr>
          <w:rFonts w:cs="Times New Roman"/>
          <w:lang w:val="en-GB"/>
        </w:rPr>
        <w:t xml:space="preserve"> 0-1</w:t>
      </w:r>
      <w:r w:rsidRPr="00D00F16">
        <w:rPr>
          <w:rFonts w:ascii="Cambria Math" w:hAnsi="Cambria Math" w:cs="Cambria Math"/>
          <w:lang w:val="en-GB"/>
        </w:rPr>
        <w:t>⁰</w:t>
      </w:r>
      <w:r w:rsidRPr="00D00F16">
        <w:rPr>
          <w:rFonts w:cs="Times New Roman"/>
          <w:lang w:val="en-GB"/>
        </w:rPr>
        <w:t xml:space="preserve"> (very low), 1-2</w:t>
      </w:r>
      <w:r w:rsidRPr="00D00F16">
        <w:rPr>
          <w:rFonts w:ascii="Cambria Math" w:hAnsi="Cambria Math" w:cs="Cambria Math"/>
          <w:lang w:val="en-GB"/>
        </w:rPr>
        <w:t>⁰</w:t>
      </w:r>
      <w:r w:rsidRPr="00D00F16">
        <w:rPr>
          <w:rFonts w:cs="Times New Roman"/>
          <w:lang w:val="en-GB"/>
        </w:rPr>
        <w:t xml:space="preserve"> (low), 2-4</w:t>
      </w:r>
      <w:r w:rsidRPr="00D00F16">
        <w:rPr>
          <w:rFonts w:ascii="Cambria Math" w:hAnsi="Cambria Math" w:cs="Cambria Math"/>
          <w:lang w:val="en-GB"/>
        </w:rPr>
        <w:t>⁰</w:t>
      </w:r>
      <w:r w:rsidRPr="00D00F16">
        <w:rPr>
          <w:rFonts w:cs="Times New Roman"/>
          <w:lang w:val="en-GB"/>
        </w:rPr>
        <w:t xml:space="preserve"> (moderate), 4-5</w:t>
      </w:r>
      <w:r w:rsidRPr="00D00F16">
        <w:rPr>
          <w:rFonts w:ascii="Cambria Math" w:hAnsi="Cambria Math" w:cs="Cambria Math"/>
          <w:lang w:val="en-GB"/>
        </w:rPr>
        <w:t>⁰</w:t>
      </w:r>
      <w:r w:rsidRPr="00D00F16">
        <w:rPr>
          <w:rFonts w:cs="Times New Roman"/>
          <w:lang w:val="en-GB"/>
        </w:rPr>
        <w:t xml:space="preserve"> (high)</w:t>
      </w:r>
      <w:r w:rsidR="009C16E8" w:rsidRPr="00D00F16">
        <w:rPr>
          <w:rFonts w:cs="Times New Roman"/>
          <w:lang w:val="en-GB"/>
        </w:rPr>
        <w:t>,</w:t>
      </w:r>
      <w:r w:rsidRPr="00D00F16">
        <w:rPr>
          <w:rFonts w:cs="Times New Roman"/>
          <w:lang w:val="en-GB"/>
        </w:rPr>
        <w:t xml:space="preserve"> and 5-18</w:t>
      </w:r>
      <w:r w:rsidRPr="00D00F16">
        <w:rPr>
          <w:rFonts w:ascii="Cambria Math" w:hAnsi="Cambria Math" w:cs="Cambria Math"/>
          <w:lang w:val="en-GB"/>
        </w:rPr>
        <w:t>⁰</w:t>
      </w:r>
      <w:r w:rsidRPr="00D00F16">
        <w:rPr>
          <w:rFonts w:cs="Times New Roman"/>
          <w:lang w:val="en-GB"/>
        </w:rPr>
        <w:t xml:space="preserve"> (very high) </w:t>
      </w:r>
      <w:r w:rsidR="002C0331">
        <w:rPr>
          <w:rFonts w:cs="Times New Roman"/>
          <w:lang w:val="en-GB"/>
        </w:rPr>
        <w:t>(</w:t>
      </w:r>
      <w:r w:rsidR="009C16E8" w:rsidRPr="00D00F16">
        <w:rPr>
          <w:rFonts w:cs="Times New Roman"/>
          <w:lang w:val="en-GB"/>
        </w:rPr>
        <w:t>F</w:t>
      </w:r>
      <w:r w:rsidR="00634D03">
        <w:rPr>
          <w:rFonts w:cs="Times New Roman"/>
          <w:lang w:val="en-GB"/>
        </w:rPr>
        <w:t>igure</w:t>
      </w:r>
      <w:r w:rsidRPr="00D00F16">
        <w:rPr>
          <w:rFonts w:cs="Times New Roman"/>
          <w:lang w:val="en-GB"/>
        </w:rPr>
        <w:t xml:space="preserve"> 9</w:t>
      </w:r>
      <w:r w:rsidR="002C0331">
        <w:rPr>
          <w:rFonts w:cs="Times New Roman"/>
          <w:lang w:val="en-GB"/>
        </w:rPr>
        <w:t>)</w:t>
      </w:r>
      <w:r w:rsidRPr="00D00F16">
        <w:rPr>
          <w:rFonts w:cs="Times New Roman"/>
          <w:lang w:val="en-GB"/>
        </w:rPr>
        <w:t xml:space="preserve">. The </w:t>
      </w:r>
      <w:r w:rsidR="00F91FFB" w:rsidRPr="00D00F16">
        <w:rPr>
          <w:rFonts w:cs="Times New Roman"/>
          <w:lang w:val="en-GB"/>
        </w:rPr>
        <w:t>municipality</w:t>
      </w:r>
      <w:r w:rsidRPr="00D00F16">
        <w:rPr>
          <w:rFonts w:cs="Times New Roman"/>
          <w:lang w:val="en-GB"/>
        </w:rPr>
        <w:t xml:space="preserve"> therefore has a flat to gentle slope and may not entertain much runoff than infiltration. </w:t>
      </w:r>
      <w:r w:rsidRPr="00D00F16">
        <w:rPr>
          <w:rFonts w:cs="Times New Roman"/>
        </w:rPr>
        <w:t xml:space="preserve">There is an indirect relationship between slope and groundwater recharge potential. High runoff is observed in steeply sloping areas as rainwater runs off rapidly on slope surfaces, with little or no infiltration or recharge. Groundwater potential is therefore low in these areas. However, flat and gently sloping areas have less runoff and high groundwater potential. Previous research which is consistent with this research had it that, gentle slopes have the affinity to hold rainfall longer to facilitate infiltration leading to groundwater recharge and possible occurrence </w:t>
      </w:r>
      <w:r w:rsidRPr="00D00F16">
        <w:rPr>
          <w:rFonts w:cs="Times New Roman"/>
        </w:rPr>
        <w:fldChar w:fldCharType="begin" w:fldLock="1"/>
      </w:r>
      <w:r w:rsidR="00622464">
        <w:rPr>
          <w:rFonts w:cs="Times New Roman"/>
        </w:rPr>
        <w:instrText>ADDIN CSL_CITATION {"citationItems":[{"id":"ITEM-1","itemData":{"DOI":"10.1016/j.heliyon.2021.e06762","ISSN":"2405-8440","author":[{"dropping-particle":"","family":"Abdullateef","given":"Lawal","non-dropping-particle":"","parse-names":false,"suffix":""},{"dropping-particle":"","family":"Tijani","given":"Moshood N","non-dropping-particle":"","parse-names":false,"suffix":""},{"dropping-particle":"","family":"Nuru","given":"Nabage A","non-dropping-particle":"","parse-names":false,"suffix":""},{"dropping-particle":"","family":"John","given":"Shirputda","non-dropping-particle":"","parse-names":false,"suffix":""},{"dropping-particle":"","family":"Mustapha","given":"Aliyu","non-dropping-particle":"","parse-names":false,"suffix":""}],"container-title":"Heliyon","id":"ITEM-1","issue":"December 2020","issued":{"date-parts":[["2021"]]},"page":"e06762","publisher":"Elsevier Ltd","title":"Heliyon Assessment of groundwater recharge potential in a typical geological transition zone in Bauchi , NE-Nigeria using remote sensing / GIS and MCDA approaches","type":"article-journal","volume":"7"},"uris":["http://www.mendeley.com/documents/?uuid=1d6126d5-03bd-4945-803b-64ad59d52fc4"]},{"id":"ITEM-2","itemData":{"DOI":"10.1016/j.ecolind.2021.107685","ISSN":"1470-160X","author":[{"dropping-particle":"","family":"Doke","given":"Arjun B","non-dropping-particle":"","parse-names":false,"suffix":""},{"dropping-particle":"","family":"Zolekar","given":"Rajendra B","non-dropping-particle":"","parse-names":false,"suffix":""},{"dropping-particle":"","family":"Patel","given":"Hemlata","non-dropping-particle":"","parse-names":false,"suffix":""},{"dropping-particle":"","family":"Das","given":"Sumit","non-dropping-particle":"","parse-names":false,"suffix":""}],"container-title":"Ecological Indicators","id":"ITEM-2","issue":"May","issued":{"date-parts":[["2021"]]},"page":"107685","publisher":"Elsevier Ltd","title":"Geospatial mapping of groundwater potential zones using multi-criteria decision-making AHP approach in a hardrock basaltic terrain in India","type":"article-journal","volume":"127"},"uris":["http://www.mendeley.com/documents/?uuid=e7e73971-f215-44d9-9320-fc0dd0e2b5d9"]},{"id":"ITEM-3","itemData":{"DOI":"10.1016/j.hydres.2023.05.003","ISSN":"2589-7578","author":[{"dropping-particle":"","family":"Falowo","given":"Olumuyiwa O","non-dropping-particle":"","parse-names":false,"suffix":""},{"dropping-particle":"","family":"Sc","given":"B","non-dropping-particle":"","parse-names":false,"suffix":""},{"dropping-particle":"","family":"Tech","given":"M","non-dropping-particle":"","parse-names":false,"suffix":""},{"dropping-particle":"","family":"Phil","given":"M","non-dropping-particle":"","parse-names":false,"suffix":""},{"dropping-particle":"","family":"Bamoyegun","given":"Opeyemi A","non-dropping-particle":"","parse-names":false,"suffix":""},{"dropping-particle":"","family":"Sc","given":"B","non-dropping-particle":"","parse-names":false,"suffix":""}],"container-title":"HydroResearch","id":"ITEM-3","issued":{"date-parts":[["2023"]]},"page":"184-202","publisher":"The Authors","title":"HydroResearch AHP GIS-supported overlay / index models in Okeigbo , southwestern Nigeria , for groundwater susceptibility zonation","type":"article-journal","volume":"6"},"uris":["http://www.mendeley.com/documents/?uuid=a8a7f2e4-401b-4747-996b-94deaab608b0"]}],"mendeley":{"formattedCitation":"(Abdullateef et al., 2021; Doke et al., 2021; Falowo et al., 2023)","plainTextFormattedCitation":"(Abdullateef et al., 2021; Doke et al., 2021; Falowo et al., 2023)","previouslyFormattedCitation":"(Abdullateef et al., 2021; Doke et al., 2021; Falowo et al., 2023)"},"properties":{"noteIndex":0},"schema":"https://github.com/citation-style-language/schema/raw/master/csl-citation.json"}</w:instrText>
      </w:r>
      <w:r w:rsidRPr="00D00F16">
        <w:rPr>
          <w:rFonts w:cs="Times New Roman"/>
        </w:rPr>
        <w:fldChar w:fldCharType="separate"/>
      </w:r>
      <w:r w:rsidR="00622464" w:rsidRPr="00622464">
        <w:rPr>
          <w:rFonts w:cs="Times New Roman"/>
          <w:noProof/>
        </w:rPr>
        <w:t xml:space="preserve">(Abdullateef </w:t>
      </w:r>
      <w:r w:rsidR="00622464" w:rsidRPr="0059123E">
        <w:rPr>
          <w:rFonts w:cs="Times New Roman"/>
          <w:i/>
          <w:noProof/>
        </w:rPr>
        <w:t>et al</w:t>
      </w:r>
      <w:r w:rsidR="00622464" w:rsidRPr="00622464">
        <w:rPr>
          <w:rFonts w:cs="Times New Roman"/>
          <w:noProof/>
        </w:rPr>
        <w:t xml:space="preserve">., 2021; Doke </w:t>
      </w:r>
      <w:r w:rsidR="00622464" w:rsidRPr="0059123E">
        <w:rPr>
          <w:rFonts w:cs="Times New Roman"/>
          <w:i/>
          <w:noProof/>
        </w:rPr>
        <w:t>et al</w:t>
      </w:r>
      <w:r w:rsidR="00622464" w:rsidRPr="00622464">
        <w:rPr>
          <w:rFonts w:cs="Times New Roman"/>
          <w:noProof/>
        </w:rPr>
        <w:t xml:space="preserve">., 2021; Falowo </w:t>
      </w:r>
      <w:r w:rsidR="00622464" w:rsidRPr="0059123E">
        <w:rPr>
          <w:rFonts w:cs="Times New Roman"/>
          <w:i/>
          <w:noProof/>
        </w:rPr>
        <w:t>et al</w:t>
      </w:r>
      <w:r w:rsidR="00622464" w:rsidRPr="00622464">
        <w:rPr>
          <w:rFonts w:cs="Times New Roman"/>
          <w:noProof/>
        </w:rPr>
        <w:t>., 2023)</w:t>
      </w:r>
      <w:r w:rsidRPr="00D00F16">
        <w:rPr>
          <w:rFonts w:cs="Times New Roman"/>
        </w:rPr>
        <w:fldChar w:fldCharType="end"/>
      </w:r>
      <w:r w:rsidRPr="00D00F16">
        <w:rPr>
          <w:rFonts w:cs="Times New Roman"/>
        </w:rPr>
        <w:t>.</w:t>
      </w:r>
    </w:p>
    <w:p w14:paraId="692028C1" w14:textId="77777777" w:rsidR="003E09C9" w:rsidRPr="00D00F16" w:rsidRDefault="003E09C9" w:rsidP="006E0E57">
      <w:pPr>
        <w:keepNext/>
        <w:spacing w:after="0" w:line="276" w:lineRule="auto"/>
        <w:ind w:left="0"/>
        <w:jc w:val="both"/>
        <w:rPr>
          <w:rFonts w:cs="Times New Roman"/>
        </w:rPr>
      </w:pPr>
      <w:r w:rsidRPr="00D00F16">
        <w:rPr>
          <w:rFonts w:cs="Times New Roman"/>
          <w:noProof/>
        </w:rPr>
        <w:drawing>
          <wp:inline distT="0" distB="0" distL="0" distR="0" wp14:anchorId="2D3CDE21" wp14:editId="5FE3E83C">
            <wp:extent cx="5879995" cy="4592781"/>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5879995" cy="4592781"/>
                    </a:xfrm>
                    <a:prstGeom prst="rect">
                      <a:avLst/>
                    </a:prstGeom>
                  </pic:spPr>
                </pic:pic>
              </a:graphicData>
            </a:graphic>
          </wp:inline>
        </w:drawing>
      </w:r>
    </w:p>
    <w:p w14:paraId="11C86748" w14:textId="0C6F1112" w:rsidR="003E09C9" w:rsidRPr="00D00F16" w:rsidRDefault="003E09C9" w:rsidP="006E0E57">
      <w:pPr>
        <w:pStyle w:val="Caption"/>
        <w:spacing w:after="0" w:line="276" w:lineRule="auto"/>
        <w:ind w:left="0"/>
        <w:jc w:val="both"/>
        <w:rPr>
          <w:rFonts w:cs="Times New Roman"/>
          <w:i w:val="0"/>
          <w:iCs w:val="0"/>
          <w:color w:val="auto"/>
          <w:sz w:val="24"/>
          <w:szCs w:val="24"/>
        </w:rPr>
      </w:pPr>
      <w:bookmarkStart w:id="33" w:name="_Toc138777757"/>
      <w:r w:rsidRPr="00CB3384">
        <w:rPr>
          <w:rFonts w:cs="Times New Roman"/>
          <w:b/>
          <w:bCs/>
          <w:i w:val="0"/>
          <w:iCs w:val="0"/>
          <w:color w:val="auto"/>
          <w:sz w:val="24"/>
          <w:szCs w:val="24"/>
        </w:rPr>
        <w:t>Fig</w:t>
      </w:r>
      <w:r w:rsidR="00CB3384" w:rsidRPr="00CB3384">
        <w:rPr>
          <w:rFonts w:cs="Times New Roman"/>
          <w:b/>
          <w:bCs/>
          <w:i w:val="0"/>
          <w:iCs w:val="0"/>
          <w:color w:val="auto"/>
          <w:sz w:val="24"/>
          <w:szCs w:val="24"/>
        </w:rPr>
        <w:t>ure</w:t>
      </w:r>
      <w:r w:rsidRPr="00CB3384">
        <w:rPr>
          <w:rFonts w:cs="Times New Roman"/>
          <w:b/>
          <w:bCs/>
          <w:i w:val="0"/>
          <w:iCs w:val="0"/>
          <w:color w:val="auto"/>
          <w:sz w:val="24"/>
          <w:szCs w:val="24"/>
        </w:rPr>
        <w:t xml:space="preserve"> </w:t>
      </w:r>
      <w:r w:rsidR="00B51A12" w:rsidRPr="00CB3384">
        <w:rPr>
          <w:rFonts w:cs="Times New Roman"/>
          <w:b/>
          <w:bCs/>
          <w:i w:val="0"/>
          <w:iCs w:val="0"/>
          <w:color w:val="auto"/>
          <w:sz w:val="24"/>
          <w:szCs w:val="24"/>
        </w:rPr>
        <w:t>9</w:t>
      </w:r>
      <w:r w:rsidR="00CB3384" w:rsidRPr="00CB3384">
        <w:rPr>
          <w:rFonts w:cs="Times New Roman"/>
          <w:b/>
          <w:bCs/>
          <w:i w:val="0"/>
          <w:iCs w:val="0"/>
          <w:color w:val="auto"/>
          <w:sz w:val="24"/>
          <w:szCs w:val="24"/>
        </w:rPr>
        <w:t>:</w:t>
      </w:r>
      <w:r w:rsidRPr="00D00F16">
        <w:rPr>
          <w:rFonts w:cs="Times New Roman"/>
          <w:i w:val="0"/>
          <w:iCs w:val="0"/>
          <w:color w:val="auto"/>
          <w:sz w:val="24"/>
          <w:szCs w:val="24"/>
        </w:rPr>
        <w:t xml:space="preserve"> Slope Map of </w:t>
      </w:r>
      <w:proofErr w:type="spellStart"/>
      <w:r w:rsidRPr="00D00F16">
        <w:rPr>
          <w:rFonts w:cs="Times New Roman"/>
          <w:i w:val="0"/>
          <w:iCs w:val="0"/>
          <w:color w:val="auto"/>
          <w:sz w:val="24"/>
          <w:szCs w:val="24"/>
        </w:rPr>
        <w:t>Wa</w:t>
      </w:r>
      <w:bookmarkEnd w:id="33"/>
      <w:proofErr w:type="spellEnd"/>
      <w:r w:rsidR="00CB3384">
        <w:rPr>
          <w:rFonts w:cs="Times New Roman"/>
          <w:i w:val="0"/>
          <w:iCs w:val="0"/>
          <w:color w:val="auto"/>
          <w:sz w:val="24"/>
          <w:szCs w:val="24"/>
        </w:rPr>
        <w:t xml:space="preserve"> Municipality</w:t>
      </w:r>
    </w:p>
    <w:p w14:paraId="41D9B2D6" w14:textId="77777777" w:rsidR="009638F3" w:rsidRDefault="009638F3" w:rsidP="006E0E57">
      <w:pPr>
        <w:spacing w:after="0" w:line="276" w:lineRule="auto"/>
        <w:ind w:left="0"/>
        <w:rPr>
          <w:rFonts w:cs="Times New Roman"/>
          <w:b/>
          <w:bCs/>
        </w:rPr>
      </w:pPr>
    </w:p>
    <w:p w14:paraId="502EEF9A" w14:textId="7D22F9E5" w:rsidR="003E09C9" w:rsidRPr="009638F3" w:rsidRDefault="009638F3" w:rsidP="006E0E57">
      <w:pPr>
        <w:spacing w:after="0" w:line="276" w:lineRule="auto"/>
        <w:ind w:left="0"/>
        <w:rPr>
          <w:rFonts w:cs="Times New Roman"/>
          <w:b/>
          <w:bCs/>
        </w:rPr>
      </w:pPr>
      <w:r w:rsidRPr="009638F3">
        <w:rPr>
          <w:rFonts w:cs="Times New Roman"/>
          <w:b/>
          <w:bCs/>
        </w:rPr>
        <w:t>Topographic Wetness Index (TWI)</w:t>
      </w:r>
    </w:p>
    <w:p w14:paraId="36DB45E7" w14:textId="4B917291" w:rsidR="003E09C9" w:rsidRPr="00D00F16" w:rsidRDefault="003E09C9" w:rsidP="006E0E57">
      <w:pPr>
        <w:spacing w:after="0" w:line="276" w:lineRule="auto"/>
        <w:ind w:left="0"/>
        <w:jc w:val="both"/>
        <w:rPr>
          <w:rFonts w:cs="Times New Roman"/>
        </w:rPr>
      </w:pPr>
      <w:r w:rsidRPr="00D00F16">
        <w:rPr>
          <w:rFonts w:cs="Times New Roman"/>
        </w:rPr>
        <w:t xml:space="preserve">Among the groundwater potential influencing factors is the TWI. TWI has been extensively utilized to explain how topographic features affect the intensity and distribution of saturated </w:t>
      </w:r>
      <w:r w:rsidR="00D24F36" w:rsidRPr="00D00F16">
        <w:rPr>
          <w:rFonts w:cs="Times New Roman"/>
        </w:rPr>
        <w:t>ar</w:t>
      </w:r>
      <w:r w:rsidRPr="00D00F16">
        <w:rPr>
          <w:rFonts w:cs="Times New Roman"/>
        </w:rPr>
        <w:t>e</w:t>
      </w:r>
      <w:r w:rsidR="00D24F36" w:rsidRPr="00D00F16">
        <w:rPr>
          <w:rFonts w:cs="Times New Roman"/>
        </w:rPr>
        <w:t>a</w:t>
      </w:r>
      <w:r w:rsidRPr="00D00F16">
        <w:rPr>
          <w:rFonts w:cs="Times New Roman"/>
        </w:rPr>
        <w:t xml:space="preserve">s that </w:t>
      </w:r>
      <w:r w:rsidR="00D24F36" w:rsidRPr="00D00F16">
        <w:rPr>
          <w:rFonts w:cs="Times New Roman"/>
        </w:rPr>
        <w:t>cause</w:t>
      </w:r>
      <w:r w:rsidRPr="00D00F16">
        <w:rPr>
          <w:rFonts w:cs="Times New Roman"/>
        </w:rPr>
        <w:t xml:space="preserve"> surface runoff</w:t>
      </w:r>
      <w:r w:rsidR="00254F0F" w:rsidRPr="00D00F16">
        <w:rPr>
          <w:rFonts w:cs="Times New Roman"/>
        </w:rPr>
        <w:t xml:space="preserve"> </w:t>
      </w:r>
      <w:r w:rsidR="00254F0F" w:rsidRPr="00D00F16">
        <w:rPr>
          <w:rFonts w:cs="Times New Roman"/>
        </w:rPr>
        <w:fldChar w:fldCharType="begin" w:fldLock="1"/>
      </w:r>
      <w:r w:rsidR="00622464">
        <w:rPr>
          <w:rFonts w:cs="Times New Roman"/>
        </w:rPr>
        <w:instrText>ADDIN CSL_CITATION {"citationItems":[{"id":"ITEM-1","itemData":{"DOI":"10.1007/s12145-015-0220-8","author":[{"dropping-particle":"","family":"Razandi","given":"Yousef","non-dropping-particle":"","parse-names":false,"suffix":""},{"dropping-particle":"","family":"Pourghasemi","given":"Hamid Reza","non-dropping-particle":"","parse-names":false,"suffix":""},{"dropping-particle":"","family":"Neisani","given":"Najmeh Samani","non-dropping-particle":"","parse-names":false,"suffix":""}],"id":"ITEM-1","issued":{"date-parts":[["2015"]]},"title":"Application of analytical hierarchy process , frequency ratio , and certainty factor models for groundwater potential mapping using GIS","type":"article-journal"},"uris":["http://www.mendeley.com/documents/?uuid=0f505248-3d77-4a9a-95b6-3e9a64cdc000"]}],"mendeley":{"formattedCitation":"(Razandi et al., 2015)","plainTextFormattedCitation":"(Razandi et al., 2015)","previouslyFormattedCitation":"(Razandi et al., 2015)"},"properties":{"noteIndex":0},"schema":"https://github.com/citation-style-language/schema/raw/master/csl-citation.json"}</w:instrText>
      </w:r>
      <w:r w:rsidR="00254F0F" w:rsidRPr="00D00F16">
        <w:rPr>
          <w:rFonts w:cs="Times New Roman"/>
        </w:rPr>
        <w:fldChar w:fldCharType="separate"/>
      </w:r>
      <w:r w:rsidR="00622464" w:rsidRPr="00622464">
        <w:rPr>
          <w:rFonts w:cs="Times New Roman"/>
          <w:noProof/>
        </w:rPr>
        <w:t xml:space="preserve">(Razandi </w:t>
      </w:r>
      <w:r w:rsidR="00622464" w:rsidRPr="0059123E">
        <w:rPr>
          <w:rFonts w:cs="Times New Roman"/>
          <w:i/>
          <w:noProof/>
        </w:rPr>
        <w:t>et al</w:t>
      </w:r>
      <w:r w:rsidR="00622464" w:rsidRPr="00622464">
        <w:rPr>
          <w:rFonts w:cs="Times New Roman"/>
          <w:noProof/>
        </w:rPr>
        <w:t>., 2015)</w:t>
      </w:r>
      <w:r w:rsidR="00254F0F" w:rsidRPr="00D00F16">
        <w:rPr>
          <w:rFonts w:cs="Times New Roman"/>
        </w:rPr>
        <w:fldChar w:fldCharType="end"/>
      </w:r>
      <w:r w:rsidRPr="00D00F16">
        <w:rPr>
          <w:rFonts w:cs="Times New Roman"/>
        </w:rPr>
        <w:t>. The TWI</w:t>
      </w:r>
      <w:r w:rsidR="00AD2BAE">
        <w:rPr>
          <w:rFonts w:cs="Times New Roman"/>
        </w:rPr>
        <w:t xml:space="preserve"> </w:t>
      </w:r>
      <w:r w:rsidR="00AD2BAE" w:rsidRPr="00D00F16">
        <w:rPr>
          <w:rFonts w:cs="Times New Roman"/>
        </w:rPr>
        <w:t>(</w:t>
      </w:r>
      <w:r w:rsidR="00AD2BAE">
        <w:rPr>
          <w:rFonts w:cs="Times New Roman"/>
        </w:rPr>
        <w:t>F</w:t>
      </w:r>
      <w:r w:rsidR="00AD2BAE" w:rsidRPr="00D00F16">
        <w:rPr>
          <w:rFonts w:cs="Times New Roman"/>
        </w:rPr>
        <w:t>ig</w:t>
      </w:r>
      <w:r w:rsidR="00E13130">
        <w:rPr>
          <w:rFonts w:cs="Times New Roman"/>
        </w:rPr>
        <w:t>ure</w:t>
      </w:r>
      <w:r w:rsidR="00AD2BAE" w:rsidRPr="00D00F16">
        <w:rPr>
          <w:rFonts w:cs="Times New Roman"/>
        </w:rPr>
        <w:t xml:space="preserve"> 10)</w:t>
      </w:r>
      <w:r w:rsidRPr="00D00F16">
        <w:rPr>
          <w:rFonts w:cs="Times New Roman"/>
        </w:rPr>
        <w:t xml:space="preserve"> of the </w:t>
      </w:r>
      <w:r w:rsidR="00F91FFB" w:rsidRPr="00D00F16">
        <w:rPr>
          <w:rFonts w:cs="Times New Roman"/>
        </w:rPr>
        <w:t>municipality</w:t>
      </w:r>
      <w:r w:rsidRPr="00D00F16">
        <w:rPr>
          <w:rFonts w:cs="Times New Roman"/>
        </w:rPr>
        <w:t xml:space="preserve"> ranges</w:t>
      </w:r>
      <w:r w:rsidR="00AD2BAE">
        <w:rPr>
          <w:rFonts w:cs="Times New Roman"/>
        </w:rPr>
        <w:t>;</w:t>
      </w:r>
      <w:r w:rsidRPr="00D00F16">
        <w:rPr>
          <w:rFonts w:cs="Times New Roman"/>
        </w:rPr>
        <w:t xml:space="preserve"> 4.66-6.94 (Very low), 6.94-7.96 (Low), 7.96-9.31 (Moderate), 9.31-10.94 (High) and 10.94-16.51 (Very high). </w:t>
      </w:r>
      <w:r w:rsidR="00D24F36" w:rsidRPr="00D00F16">
        <w:rPr>
          <w:rFonts w:cs="Times New Roman"/>
        </w:rPr>
        <w:t>TWI and groundwater are directly related,</w:t>
      </w:r>
      <w:r w:rsidRPr="00D00F16">
        <w:rPr>
          <w:rFonts w:cs="Times New Roman"/>
        </w:rPr>
        <w:t xml:space="preserve"> </w:t>
      </w:r>
      <w:r w:rsidR="004947F9">
        <w:rPr>
          <w:rFonts w:cs="Times New Roman"/>
        </w:rPr>
        <w:t>the</w:t>
      </w:r>
      <w:r w:rsidRPr="00D00F16">
        <w:rPr>
          <w:rFonts w:cs="Times New Roman"/>
        </w:rPr>
        <w:t xml:space="preserve"> higher </w:t>
      </w:r>
      <w:r w:rsidR="004947F9">
        <w:rPr>
          <w:rFonts w:cs="Times New Roman"/>
        </w:rPr>
        <w:t xml:space="preserve"> the </w:t>
      </w:r>
      <w:r w:rsidRPr="00D00F16">
        <w:rPr>
          <w:rFonts w:cs="Times New Roman"/>
        </w:rPr>
        <w:t xml:space="preserve">TWI value </w:t>
      </w:r>
      <w:r w:rsidR="00656E77">
        <w:rPr>
          <w:rFonts w:cs="Times New Roman"/>
        </w:rPr>
        <w:t>the</w:t>
      </w:r>
      <w:r w:rsidRPr="00D00F16">
        <w:rPr>
          <w:rFonts w:cs="Times New Roman"/>
        </w:rPr>
        <w:t xml:space="preserve"> high</w:t>
      </w:r>
      <w:r w:rsidR="004947F9">
        <w:rPr>
          <w:rFonts w:cs="Times New Roman"/>
        </w:rPr>
        <w:t xml:space="preserve">er the area’s </w:t>
      </w:r>
      <w:r w:rsidRPr="00D00F16">
        <w:rPr>
          <w:rFonts w:cs="Times New Roman"/>
        </w:rPr>
        <w:t xml:space="preserve"> potential</w:t>
      </w:r>
      <w:r w:rsidR="004947F9">
        <w:rPr>
          <w:rFonts w:cs="Times New Roman"/>
        </w:rPr>
        <w:t xml:space="preserve"> for</w:t>
      </w:r>
      <w:r w:rsidRPr="00D00F16">
        <w:rPr>
          <w:rFonts w:cs="Times New Roman"/>
        </w:rPr>
        <w:t xml:space="preserve"> </w:t>
      </w:r>
      <w:r w:rsidR="004947F9" w:rsidRPr="00D00F16">
        <w:rPr>
          <w:rFonts w:cs="Times New Roman"/>
        </w:rPr>
        <w:t xml:space="preserve">groundwater </w:t>
      </w:r>
      <w:r w:rsidRPr="00D00F16">
        <w:rPr>
          <w:rFonts w:cs="Times New Roman"/>
        </w:rPr>
        <w:t>and vice versa</w:t>
      </w:r>
      <w:r w:rsidR="00254F0F" w:rsidRPr="00D00F16">
        <w:rPr>
          <w:rFonts w:cs="Times New Roman"/>
        </w:rPr>
        <w:t xml:space="preserve"> </w:t>
      </w:r>
      <w:r w:rsidR="00254F0F" w:rsidRPr="00D00F16">
        <w:rPr>
          <w:rFonts w:cs="Times New Roman"/>
        </w:rPr>
        <w:fldChar w:fldCharType="begin" w:fldLock="1"/>
      </w:r>
      <w:r w:rsidR="00622464">
        <w:rPr>
          <w:rFonts w:cs="Times New Roman"/>
        </w:rPr>
        <w:instrText>ADDIN CSL_CITATION {"citationItems":[{"id":"ITEM-1","itemData":{"DOI":"10.1038/s41598-019-38567-x","ISSN":"20452322","PMID":"30765790","abstract":"Over-exploitation of groundwater and marked changes in climate over the years have imposed immense pressure on the global groundwater resources. As demand of potable water increases across the globe for human consumption, agriculture and industrial uses, the need to evaluate the groundwater potential and productivity of aquifers also increases. In the recent years, geographic information system based studies have gained much prominence in groundwater exploration because it is rapid and will provide first - hand information on the resource for further developments. Therefore, the present study has been undertaken with an objective to delineate the groundwater potential of a small tropical river basin located in the western side of the Western Ghats in India as an example. A combination of geographical information system and analytical hierarchical process techniques (AHP) was used in the present study. A total of 12 thematic layers such as Geology, Geomorphology, Land Use/Land Cover, Lineament density, Drainage density, Rainfall, Soil, Slope, Roughness, Topographic Wetness Index, Topographic Position Index and Curvature were prepared and studied for groundwater potential zone demarcation. Weights assigned to each class in all the thematic maps are based on their characteristics and water potential capacity through AHP method. The accuracy of the output was cross-validated with information on groundwater prospects of the area and the overall accuracy of the method comes to around 85%. The groundwater potential zone map thus obtained was categorized into five classes-very high, high, moderate, low and very low. The study reveals that about 59% of the river basin is covered under moderate groundwater potential zone. The low and high groundwater potential zones are observed in 29% and 11% respectively. Area under very high and very low potential zones are recorded only in very limited areas in the basin.","author":[{"dropping-particle":"","family":"Arulbalaji","given":"P.","non-dropping-particle":"","parse-names":false,"suffix":""},{"dropping-particle":"","family":"Padmalal","given":"D.","non-dropping-particle":"","parse-names":false,"suffix":""},{"dropping-particle":"","family":"Sreelash","given":"K.","non-dropping-particle":"","parse-names":false,"suffix":""}],"container-title":"Scientific Reports","id":"ITEM-1","issue":"1","issued":{"date-parts":[["2019"]]},"page":"1-17","publisher":"Springer US","title":"GIS and AHP Techniques Based Delineation of Groundwater Potential Zones: a case study from Southern Western Ghats, India","type":"article-journal","volume":"9"},"uris":["http://www.mendeley.com/documents/?uuid=3acf9e5a-ee91-4305-91e1-636c6f07d73a"]}],"mendeley":{"formattedCitation":"(Arulbalaji et al., 2019)","plainTextFormattedCitation":"(Arulbalaji et al., 2019)","previouslyFormattedCitation":"(Arulbalaji et al., 2019)"},"properties":{"noteIndex":0},"schema":"https://github.com/citation-style-language/schema/raw/master/csl-citation.json"}</w:instrText>
      </w:r>
      <w:r w:rsidR="00254F0F" w:rsidRPr="00D00F16">
        <w:rPr>
          <w:rFonts w:cs="Times New Roman"/>
        </w:rPr>
        <w:fldChar w:fldCharType="separate"/>
      </w:r>
      <w:r w:rsidR="00622464" w:rsidRPr="00622464">
        <w:rPr>
          <w:rFonts w:cs="Times New Roman"/>
          <w:noProof/>
        </w:rPr>
        <w:t xml:space="preserve">(Arulbalaji </w:t>
      </w:r>
      <w:r w:rsidR="00622464" w:rsidRPr="0059123E">
        <w:rPr>
          <w:rFonts w:cs="Times New Roman"/>
          <w:i/>
          <w:noProof/>
        </w:rPr>
        <w:t>et al</w:t>
      </w:r>
      <w:r w:rsidR="00622464" w:rsidRPr="00622464">
        <w:rPr>
          <w:rFonts w:cs="Times New Roman"/>
          <w:noProof/>
        </w:rPr>
        <w:t>., 2019)</w:t>
      </w:r>
      <w:r w:rsidR="00254F0F" w:rsidRPr="00D00F16">
        <w:rPr>
          <w:rFonts w:cs="Times New Roman"/>
        </w:rPr>
        <w:fldChar w:fldCharType="end"/>
      </w:r>
      <w:r w:rsidR="00254F0F" w:rsidRPr="00D00F16">
        <w:rPr>
          <w:rFonts w:cs="Times New Roman"/>
        </w:rPr>
        <w:t>.</w:t>
      </w:r>
    </w:p>
    <w:p w14:paraId="151579A0" w14:textId="77777777" w:rsidR="003E09C9" w:rsidRPr="00D00F16" w:rsidRDefault="003E09C9" w:rsidP="006E0E57">
      <w:pPr>
        <w:keepNext/>
        <w:spacing w:after="0" w:line="276" w:lineRule="auto"/>
        <w:ind w:left="0"/>
        <w:rPr>
          <w:rFonts w:cs="Times New Roman"/>
        </w:rPr>
      </w:pPr>
      <w:r w:rsidRPr="00D00F16">
        <w:rPr>
          <w:rFonts w:cs="Times New Roman"/>
          <w:noProof/>
        </w:rPr>
        <w:drawing>
          <wp:inline distT="0" distB="0" distL="0" distR="0" wp14:anchorId="29703AF8" wp14:editId="6BF64415">
            <wp:extent cx="5939106" cy="4582409"/>
            <wp:effectExtent l="0" t="0" r="5080" b="8890"/>
            <wp:docPr id="176113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30202"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939106" cy="4582409"/>
                    </a:xfrm>
                    <a:prstGeom prst="rect">
                      <a:avLst/>
                    </a:prstGeom>
                  </pic:spPr>
                </pic:pic>
              </a:graphicData>
            </a:graphic>
          </wp:inline>
        </w:drawing>
      </w:r>
    </w:p>
    <w:p w14:paraId="73E7A645" w14:textId="012B5623" w:rsidR="003E09C9" w:rsidRPr="00D00F16" w:rsidRDefault="003E09C9" w:rsidP="006E0E57">
      <w:pPr>
        <w:pStyle w:val="Caption"/>
        <w:spacing w:after="0" w:line="276" w:lineRule="auto"/>
        <w:ind w:left="0"/>
        <w:rPr>
          <w:rFonts w:cs="Times New Roman"/>
          <w:i w:val="0"/>
          <w:iCs w:val="0"/>
          <w:color w:val="auto"/>
          <w:sz w:val="24"/>
          <w:szCs w:val="24"/>
        </w:rPr>
      </w:pPr>
      <w:bookmarkStart w:id="34" w:name="_Toc138777758"/>
      <w:r w:rsidRPr="006B08DE">
        <w:rPr>
          <w:rFonts w:cs="Times New Roman"/>
          <w:b/>
          <w:bCs/>
          <w:i w:val="0"/>
          <w:iCs w:val="0"/>
          <w:color w:val="auto"/>
          <w:sz w:val="24"/>
          <w:szCs w:val="24"/>
        </w:rPr>
        <w:t>Fig</w:t>
      </w:r>
      <w:r w:rsidR="006B08DE" w:rsidRPr="006B08DE">
        <w:rPr>
          <w:rFonts w:cs="Times New Roman"/>
          <w:b/>
          <w:bCs/>
          <w:i w:val="0"/>
          <w:iCs w:val="0"/>
          <w:color w:val="auto"/>
          <w:sz w:val="24"/>
          <w:szCs w:val="24"/>
        </w:rPr>
        <w:t>ure</w:t>
      </w:r>
      <w:r w:rsidRPr="006B08DE">
        <w:rPr>
          <w:rFonts w:cs="Times New Roman"/>
          <w:b/>
          <w:bCs/>
          <w:i w:val="0"/>
          <w:iCs w:val="0"/>
          <w:color w:val="auto"/>
          <w:sz w:val="24"/>
          <w:szCs w:val="24"/>
        </w:rPr>
        <w:t xml:space="preserve"> </w:t>
      </w:r>
      <w:r w:rsidR="00B51A12" w:rsidRPr="006B08DE">
        <w:rPr>
          <w:rFonts w:cs="Times New Roman"/>
          <w:b/>
          <w:bCs/>
          <w:i w:val="0"/>
          <w:iCs w:val="0"/>
          <w:color w:val="auto"/>
          <w:sz w:val="24"/>
          <w:szCs w:val="24"/>
        </w:rPr>
        <w:t>10</w:t>
      </w:r>
      <w:r w:rsidR="006B08DE" w:rsidRPr="006B08DE">
        <w:rPr>
          <w:rFonts w:cs="Times New Roman"/>
          <w:b/>
          <w:bCs/>
          <w:i w:val="0"/>
          <w:iCs w:val="0"/>
          <w:color w:val="auto"/>
          <w:sz w:val="24"/>
          <w:szCs w:val="24"/>
        </w:rPr>
        <w:t>:</w:t>
      </w:r>
      <w:r w:rsidRPr="00D00F16">
        <w:rPr>
          <w:rFonts w:cs="Times New Roman"/>
          <w:i w:val="0"/>
          <w:iCs w:val="0"/>
          <w:color w:val="auto"/>
          <w:sz w:val="24"/>
          <w:szCs w:val="24"/>
        </w:rPr>
        <w:t xml:space="preserve"> T</w:t>
      </w:r>
      <w:r w:rsidR="00745F53" w:rsidRPr="00D00F16">
        <w:rPr>
          <w:rFonts w:cs="Times New Roman"/>
          <w:i w:val="0"/>
          <w:iCs w:val="0"/>
          <w:color w:val="auto"/>
          <w:sz w:val="24"/>
          <w:szCs w:val="24"/>
        </w:rPr>
        <w:t xml:space="preserve">opographic </w:t>
      </w:r>
      <w:r w:rsidRPr="00D00F16">
        <w:rPr>
          <w:rFonts w:cs="Times New Roman"/>
          <w:i w:val="0"/>
          <w:iCs w:val="0"/>
          <w:color w:val="auto"/>
          <w:sz w:val="24"/>
          <w:szCs w:val="24"/>
        </w:rPr>
        <w:t>W</w:t>
      </w:r>
      <w:r w:rsidR="00D74D49" w:rsidRPr="00D00F16">
        <w:rPr>
          <w:rFonts w:cs="Times New Roman"/>
          <w:i w:val="0"/>
          <w:iCs w:val="0"/>
          <w:color w:val="auto"/>
          <w:sz w:val="24"/>
          <w:szCs w:val="24"/>
        </w:rPr>
        <w:t xml:space="preserve">etness </w:t>
      </w:r>
      <w:r w:rsidRPr="00D00F16">
        <w:rPr>
          <w:rFonts w:cs="Times New Roman"/>
          <w:i w:val="0"/>
          <w:iCs w:val="0"/>
          <w:color w:val="auto"/>
          <w:sz w:val="24"/>
          <w:szCs w:val="24"/>
        </w:rPr>
        <w:t>I</w:t>
      </w:r>
      <w:bookmarkEnd w:id="34"/>
      <w:r w:rsidR="00D74D49" w:rsidRPr="00D00F16">
        <w:rPr>
          <w:rFonts w:cs="Times New Roman"/>
          <w:i w:val="0"/>
          <w:iCs w:val="0"/>
          <w:color w:val="auto"/>
          <w:sz w:val="24"/>
          <w:szCs w:val="24"/>
        </w:rPr>
        <w:t>ndex</w:t>
      </w:r>
    </w:p>
    <w:p w14:paraId="5C1AD9E1" w14:textId="77777777" w:rsidR="00DB7FF5" w:rsidRDefault="00DB7FF5" w:rsidP="006E0E57">
      <w:pPr>
        <w:spacing w:after="0" w:line="276" w:lineRule="auto"/>
        <w:ind w:left="0"/>
        <w:rPr>
          <w:rFonts w:cs="Times New Roman"/>
          <w:b/>
          <w:bCs/>
        </w:rPr>
      </w:pPr>
    </w:p>
    <w:p w14:paraId="18E29948" w14:textId="396E6B65" w:rsidR="003E09C9" w:rsidRPr="00DB7FF5" w:rsidRDefault="00DB7FF5" w:rsidP="006E0E57">
      <w:pPr>
        <w:spacing w:after="0" w:line="276" w:lineRule="auto"/>
        <w:ind w:left="0"/>
        <w:rPr>
          <w:rFonts w:cs="Times New Roman"/>
          <w:b/>
          <w:bCs/>
        </w:rPr>
      </w:pPr>
      <w:r w:rsidRPr="00DB7FF5">
        <w:rPr>
          <w:rFonts w:cs="Times New Roman"/>
          <w:b/>
          <w:bCs/>
        </w:rPr>
        <w:t>Rainfall</w:t>
      </w:r>
    </w:p>
    <w:p w14:paraId="6F47F269" w14:textId="4E51E50B" w:rsidR="003E09C9" w:rsidRPr="00D00F16" w:rsidRDefault="003E09C9" w:rsidP="006E0E57">
      <w:pPr>
        <w:spacing w:after="0" w:line="276" w:lineRule="auto"/>
        <w:ind w:left="0"/>
        <w:jc w:val="both"/>
        <w:rPr>
          <w:rFonts w:cs="Times New Roman"/>
          <w:lang w:val="en-GB"/>
        </w:rPr>
      </w:pPr>
      <w:bookmarkStart w:id="35" w:name="_Hlk167306904"/>
      <w:r w:rsidRPr="00D00F16">
        <w:rPr>
          <w:rFonts w:cs="Times New Roman"/>
          <w:lang w:val="en-GB"/>
        </w:rPr>
        <w:t xml:space="preserve">The groundwater system is recharged by </w:t>
      </w:r>
      <w:r w:rsidR="004947F9" w:rsidRPr="00D00F16">
        <w:rPr>
          <w:rFonts w:cs="Times New Roman"/>
          <w:lang w:val="en-GB"/>
        </w:rPr>
        <w:t xml:space="preserve">precipitation </w:t>
      </w:r>
      <w:r w:rsidR="004947F9">
        <w:rPr>
          <w:rFonts w:cs="Times New Roman"/>
          <w:lang w:val="en-GB"/>
        </w:rPr>
        <w:t xml:space="preserve">such as </w:t>
      </w:r>
      <w:r w:rsidRPr="00D00F16">
        <w:rPr>
          <w:rFonts w:cs="Times New Roman"/>
          <w:lang w:val="en-GB"/>
        </w:rPr>
        <w:t>rainfall, which is one of the most significant sources of</w:t>
      </w:r>
      <w:r w:rsidR="004947F9">
        <w:rPr>
          <w:rFonts w:cs="Times New Roman"/>
          <w:lang w:val="en-GB"/>
        </w:rPr>
        <w:t xml:space="preserve"> </w:t>
      </w:r>
      <w:proofErr w:type="spellStart"/>
      <w:r w:rsidR="004947F9">
        <w:rPr>
          <w:rFonts w:cs="Times New Roman"/>
          <w:lang w:val="en-GB"/>
        </w:rPr>
        <w:t>acquifer</w:t>
      </w:r>
      <w:proofErr w:type="spellEnd"/>
      <w:r w:rsidR="004947F9">
        <w:rPr>
          <w:rFonts w:cs="Times New Roman"/>
          <w:lang w:val="en-GB"/>
        </w:rPr>
        <w:t xml:space="preserve"> recharge</w:t>
      </w:r>
      <w:r w:rsidRPr="00D00F16">
        <w:rPr>
          <w:rFonts w:cs="Times New Roman"/>
          <w:lang w:val="en-GB"/>
        </w:rPr>
        <w:t xml:space="preserve"> </w:t>
      </w:r>
      <w:r w:rsidR="00DB7FF5">
        <w:rPr>
          <w:rFonts w:cs="Times New Roman"/>
          <w:lang w:val="en-GB"/>
        </w:rPr>
        <w:t>(</w:t>
      </w:r>
      <w:r w:rsidR="00254F0F" w:rsidRPr="00D00F16">
        <w:rPr>
          <w:rFonts w:cs="Times New Roman"/>
          <w:lang w:val="en-GB"/>
        </w:rPr>
        <w:fldChar w:fldCharType="begin" w:fldLock="1"/>
      </w:r>
      <w:r w:rsidR="00622464">
        <w:rPr>
          <w:rFonts w:cs="Times New Roman"/>
          <w:lang w:val="en-GB"/>
        </w:rPr>
        <w:instrText>ADDIN CSL_CITATION {"citationItems":[{"id":"ITEM-1","itemData":{"author":[{"dropping-particle":"","family":"Models","given":"F R","non-dropping-particle":"","parse-names":false,"suffix":""},{"dropping-particle":"","family":"Ahmadi","given":"Hemayatullah","non-dropping-particle":"","parse-names":false,"suffix":""},{"dropping-particle":"","family":"Kaya","given":"Ozumcan Alara","non-dropping-particle":"","parse-names":false,"suffix":""},{"dropping-particle":"","family":"Babadagi","given":"Ebru","non-dropping-particle":"","parse-names":false,"suffix":""},{"dropping-particle":"","family":"Savas","given":"Turan","non-dropping-particle":"","parse-names":false,"suffix":""},{"dropping-particle":"","family":"Pekkan","given":"Emrah","non-dropping-particle":"","parse-names":false,"suffix":""}],"id":"ITEM-1","issued":{"date-parts":[["2021"]]},"page":"1-15","title":"GIS-Based Groundwater Potentiality Mapping Using AHP and","type":"article-journal"},"uris":["http://www.mendeley.com/documents/?uuid=18ec644f-bd78-47d7-acaf-252d9806a66e"]}],"mendeley":{"formattedCitation":"(Models et al., 2021)","plainTextFormattedCitation":"(Models et al., 2021)","previouslyFormattedCitation":"(Models et al., 2021)"},"properties":{"noteIndex":0},"schema":"https://github.com/citation-style-language/schema/raw/master/csl-citation.json"}</w:instrText>
      </w:r>
      <w:r w:rsidR="00254F0F" w:rsidRPr="00D00F16">
        <w:rPr>
          <w:rFonts w:cs="Times New Roman"/>
          <w:lang w:val="en-GB"/>
        </w:rPr>
        <w:fldChar w:fldCharType="separate"/>
      </w:r>
      <w:r w:rsidR="00CF7481" w:rsidRPr="00CF7481">
        <w:rPr>
          <w:rFonts w:cs="Times New Roman"/>
          <w:lang w:val="en-GB"/>
        </w:rPr>
        <w:t xml:space="preserve">Models </w:t>
      </w:r>
      <w:r w:rsidR="00CF7481" w:rsidRPr="00BC2895">
        <w:rPr>
          <w:rFonts w:cs="Times New Roman"/>
          <w:i/>
          <w:iCs/>
          <w:lang w:val="en-GB"/>
        </w:rPr>
        <w:t xml:space="preserve">et al., </w:t>
      </w:r>
      <w:r w:rsidR="00CF7481" w:rsidRPr="00CF7481">
        <w:rPr>
          <w:rFonts w:cs="Times New Roman"/>
          <w:lang w:val="en-GB"/>
        </w:rPr>
        <w:t>2021)</w:t>
      </w:r>
      <w:r w:rsidR="00254F0F" w:rsidRPr="00D00F16">
        <w:rPr>
          <w:rFonts w:cs="Times New Roman"/>
          <w:lang w:val="en-GB"/>
        </w:rPr>
        <w:fldChar w:fldCharType="end"/>
      </w:r>
      <w:r w:rsidR="00254F0F" w:rsidRPr="00D00F16">
        <w:rPr>
          <w:rFonts w:cs="Times New Roman"/>
          <w:lang w:val="en-GB"/>
        </w:rPr>
        <w:t>.</w:t>
      </w:r>
      <w:r w:rsidRPr="00D00F16">
        <w:rPr>
          <w:rFonts w:cs="Times New Roman"/>
          <w:lang w:val="en-GB"/>
        </w:rPr>
        <w:t xml:space="preserve"> This shows that areas with higher rainfall distribution have higher groundwater recharge provided there is less runoff. On the other hand, areas with lower annual rainfall distribution have less groundwater recharge. </w:t>
      </w:r>
      <w:r w:rsidR="00E23A25">
        <w:rPr>
          <w:rFonts w:cs="Times New Roman"/>
          <w:lang w:val="en-GB"/>
        </w:rPr>
        <w:t xml:space="preserve">As presented in </w:t>
      </w:r>
      <w:r w:rsidR="0028699B">
        <w:rPr>
          <w:rFonts w:cs="Times New Roman"/>
          <w:lang w:val="en-GB"/>
        </w:rPr>
        <w:t>F</w:t>
      </w:r>
      <w:r w:rsidR="00E23A25">
        <w:rPr>
          <w:rFonts w:cs="Times New Roman"/>
          <w:lang w:val="en-GB"/>
        </w:rPr>
        <w:t>igure 11, t</w:t>
      </w:r>
      <w:r w:rsidRPr="00D00F16">
        <w:rPr>
          <w:rFonts w:cs="Times New Roman"/>
          <w:lang w:val="en-GB"/>
        </w:rPr>
        <w:t xml:space="preserve">he rainfall distribution of the </w:t>
      </w:r>
      <w:r w:rsidR="00D24F36" w:rsidRPr="00D00F16">
        <w:rPr>
          <w:rFonts w:cs="Times New Roman"/>
          <w:lang w:val="en-GB"/>
        </w:rPr>
        <w:t>municipality</w:t>
      </w:r>
      <w:r w:rsidRPr="00D00F16">
        <w:rPr>
          <w:rFonts w:cs="Times New Roman"/>
          <w:lang w:val="en-GB"/>
        </w:rPr>
        <w:t xml:space="preserve"> range</w:t>
      </w:r>
      <w:r w:rsidR="00A04A1E">
        <w:rPr>
          <w:rFonts w:cs="Times New Roman"/>
          <w:lang w:val="en-GB"/>
        </w:rPr>
        <w:t>s</w:t>
      </w:r>
      <w:r w:rsidRPr="00D00F16">
        <w:rPr>
          <w:rFonts w:cs="Times New Roman"/>
          <w:lang w:val="en-GB"/>
        </w:rPr>
        <w:t xml:space="preserve"> from</w:t>
      </w:r>
      <w:r w:rsidR="00A04A1E">
        <w:rPr>
          <w:rFonts w:cs="Times New Roman"/>
          <w:lang w:val="en-GB"/>
        </w:rPr>
        <w:t>;</w:t>
      </w:r>
      <w:r w:rsidRPr="00D00F16">
        <w:rPr>
          <w:rFonts w:cs="Times New Roman"/>
          <w:lang w:val="en-GB"/>
        </w:rPr>
        <w:t xml:space="preserve"> 832-892 mm (very low), 892-938 mm (low), 938-990 mm (moderate), 990-1051 mm (high)</w:t>
      </w:r>
      <w:r w:rsidR="009C16E8" w:rsidRPr="00D00F16">
        <w:rPr>
          <w:rFonts w:cs="Times New Roman"/>
          <w:lang w:val="en-GB"/>
        </w:rPr>
        <w:t>,</w:t>
      </w:r>
      <w:r w:rsidRPr="00D00F16">
        <w:rPr>
          <w:rFonts w:cs="Times New Roman"/>
          <w:lang w:val="en-GB"/>
        </w:rPr>
        <w:t xml:space="preserve"> and 990-1142 mm (very high). Rainfall rank</w:t>
      </w:r>
      <w:r w:rsidR="009C16E8" w:rsidRPr="00D00F16">
        <w:rPr>
          <w:rFonts w:cs="Times New Roman"/>
          <w:lang w:val="en-GB"/>
        </w:rPr>
        <w:t>s</w:t>
      </w:r>
      <w:r w:rsidRPr="00D00F16">
        <w:rPr>
          <w:rFonts w:cs="Times New Roman"/>
          <w:lang w:val="en-GB"/>
        </w:rPr>
        <w:t xml:space="preserve"> third among the nine </w:t>
      </w:r>
      <w:r w:rsidR="00E23A25">
        <w:rPr>
          <w:rFonts w:cs="Times New Roman"/>
          <w:lang w:val="en-GB"/>
        </w:rPr>
        <w:t xml:space="preserve">(9) </w:t>
      </w:r>
      <w:r w:rsidRPr="00D00F16">
        <w:rPr>
          <w:rFonts w:cs="Times New Roman"/>
          <w:lang w:val="en-GB"/>
        </w:rPr>
        <w:t>factors with an assigned weigh</w:t>
      </w:r>
      <w:r w:rsidR="009C16E8" w:rsidRPr="00D00F16">
        <w:rPr>
          <w:rFonts w:cs="Times New Roman"/>
          <w:lang w:val="en-GB"/>
        </w:rPr>
        <w:t>t</w:t>
      </w:r>
      <w:r w:rsidRPr="00D00F16">
        <w:rPr>
          <w:rFonts w:cs="Times New Roman"/>
          <w:lang w:val="en-GB"/>
        </w:rPr>
        <w:t xml:space="preserve"> of 12.97% because</w:t>
      </w:r>
      <w:r w:rsidR="004947F9">
        <w:rPr>
          <w:rFonts w:cs="Times New Roman"/>
          <w:lang w:val="en-GB"/>
        </w:rPr>
        <w:t xml:space="preserve"> it’s</w:t>
      </w:r>
      <w:r w:rsidRPr="00D00F16">
        <w:rPr>
          <w:rFonts w:cs="Times New Roman"/>
          <w:lang w:val="en-GB"/>
        </w:rPr>
        <w:t xml:space="preserve"> the ma</w:t>
      </w:r>
      <w:r w:rsidR="00D24F36" w:rsidRPr="00D00F16">
        <w:rPr>
          <w:rFonts w:cs="Times New Roman"/>
          <w:lang w:val="en-GB"/>
        </w:rPr>
        <w:t>in</w:t>
      </w:r>
      <w:r w:rsidRPr="00D00F16">
        <w:rPr>
          <w:rFonts w:cs="Times New Roman"/>
          <w:lang w:val="en-GB"/>
        </w:rPr>
        <w:t xml:space="preserve"> </w:t>
      </w:r>
      <w:r w:rsidR="00D24F36" w:rsidRPr="00D00F16">
        <w:rPr>
          <w:rFonts w:cs="Times New Roman"/>
          <w:lang w:val="en-GB"/>
        </w:rPr>
        <w:t xml:space="preserve">source </w:t>
      </w:r>
      <w:r w:rsidR="00567D44">
        <w:rPr>
          <w:rFonts w:cs="Times New Roman"/>
          <w:lang w:val="en-GB"/>
        </w:rPr>
        <w:t>of</w:t>
      </w:r>
      <w:r w:rsidRPr="00D00F16">
        <w:rPr>
          <w:rFonts w:cs="Times New Roman"/>
          <w:lang w:val="en-GB"/>
        </w:rPr>
        <w:t xml:space="preserve"> </w:t>
      </w:r>
      <w:r w:rsidR="00567D44" w:rsidRPr="00D00F16">
        <w:rPr>
          <w:rFonts w:cs="Times New Roman"/>
          <w:lang w:val="en-GB"/>
        </w:rPr>
        <w:t>groundwater recharge</w:t>
      </w:r>
      <w:r w:rsidR="00567D44">
        <w:rPr>
          <w:rFonts w:cs="Times New Roman"/>
          <w:lang w:val="en-GB"/>
        </w:rPr>
        <w:t xml:space="preserve"> via</w:t>
      </w:r>
      <w:r w:rsidR="00567D44" w:rsidRPr="00D00F16">
        <w:rPr>
          <w:rFonts w:cs="Times New Roman"/>
          <w:lang w:val="en-GB"/>
        </w:rPr>
        <w:t xml:space="preserve"> </w:t>
      </w:r>
      <w:r w:rsidRPr="00D00F16">
        <w:rPr>
          <w:rFonts w:cs="Times New Roman"/>
          <w:lang w:val="en-GB"/>
        </w:rPr>
        <w:t xml:space="preserve">infiltration and percolation </w:t>
      </w:r>
      <w:r w:rsidRPr="00D00F16">
        <w:rPr>
          <w:rFonts w:cs="Times New Roman"/>
          <w:lang w:val="en-GB"/>
        </w:rPr>
        <w:fldChar w:fldCharType="begin" w:fldLock="1"/>
      </w:r>
      <w:r w:rsidR="00622464">
        <w:rPr>
          <w:rFonts w:cs="Times New Roman"/>
          <w:lang w:val="en-GB"/>
        </w:rPr>
        <w:instrText>ADDIN CSL_CITATION {"citationItems":[{"id":"ITEM-1","itemData":{"DOI":"10.3390/w15030419","ISSN":"20734441","abstract":"Groundwater is an essential source of water especially in arid and semi-arid regions of the world. The demand for water due to exponential increase in population has created stresses on available groundwater resources. Further, climate change has affected the quantity of water globally. Many parts of Indian cities are experiencing water scarcity. Thus, assessment of groundwater potential is necessary for sustainable utilization and management of water resources. We utilized a novel ensemble approach using artificial neural network multi-layer perceptron (ANN-MLP), random forest (RF), M5 prime (M5P) and support vector machine for regression (SMOReg) models for assessing groundwater potential in the Parbhani district of Maharashtra in India. Ten site-specific influencing factors, elevation, slope, aspect, drainage density, rainfall, water table depth, lineament density, land use land cover, geomorphology, and soil types, were integrated for preparation of groundwater potential zones. The results revealed that the largest area of the district was found under moderate category GWP zone followed by poor, good, very good and very poor. Spatial distribution of GWP zones showed that Poor GWPZs are spread over north, central and southern parts of the district. Very poor GWPZs are mostly found in the north-western and southern parts of the district. The study calls for policy implications to conserve and manage groundwater in these parts. The ensembled model has proved to be effective for assessment of GWP zones. The outcome of the study may help stakeholders efficiently utilize groundwater and devise suitable strategies for its management. Other geographical regions may find the methodology adopted in this study effective for groundwater potential assessment.","author":[{"dropping-particle":"","family":"Masroor","given":"Md","non-dropping-particle":"","parse-names":false,"suffix":""},{"dropping-particle":"","family":"Sajjad","given":"Haroon","non-dropping-particle":"","parse-names":false,"suffix":""},{"dropping-particle":"","family":"Kumar","given":"Pankaj","non-dropping-particle":"","parse-names":false,"suffix":""},{"dropping-particle":"","family":"Saha","given":"Tamal Kanti","non-dropping-particle":"","parse-names":false,"suffix":""},{"dropping-particle":"","family":"Rahaman","given":"Md Hibjur","non-dropping-particle":"","parse-names":false,"suffix":""},{"dropping-particle":"","family":"Choudhari","given":"Pandurang","non-dropping-particle":"","parse-names":false,"suffix":""},{"dropping-particle":"","family":"Kulimushi","given":"Luc Cimusa","non-dropping-particle":"","parse-names":false,"suffix":""},{"dropping-particle":"","family":"Pal","given":"Swades","non-dropping-particle":"","parse-names":false,"suffix":""},{"dropping-particle":"","family":"Saito","given":"Osamu","non-dropping-particle":"","parse-names":false,"suffix":""}],"container-title":"Water (Switzerland)","id":"ITEM-1","issue":"3","issued":{"date-parts":[["2023"]]},"title":"Novel Ensemble Machine Learning Modeling Approach for Groundwater Potential Mapping in Parbhani District of Maharashtra, India","type":"article-journal","volume":"15"},"uris":["http://www.mendeley.com/documents/?uuid=d581307e-5fc7-4b46-baf5-cbe10f26d8f7"]}],"mendeley":{"formattedCitation":"(Masroor et al., 2023)","plainTextFormattedCitation":"(Masroor et al., 2023)","previouslyFormattedCitation":"(Masroor et al., 2023)"},"properties":{"noteIndex":0},"schema":"https://github.com/citation-style-language/schema/raw/master/csl-citation.json"}</w:instrText>
      </w:r>
      <w:r w:rsidRPr="00D00F16">
        <w:rPr>
          <w:rFonts w:cs="Times New Roman"/>
          <w:lang w:val="en-GB"/>
        </w:rPr>
        <w:fldChar w:fldCharType="separate"/>
      </w:r>
      <w:r w:rsidR="00622464" w:rsidRPr="00622464">
        <w:rPr>
          <w:rFonts w:cs="Times New Roman"/>
          <w:noProof/>
          <w:lang w:val="en-GB"/>
        </w:rPr>
        <w:t xml:space="preserve">(Masroor </w:t>
      </w:r>
      <w:r w:rsidR="00622464" w:rsidRPr="0059123E">
        <w:rPr>
          <w:rFonts w:cs="Times New Roman"/>
          <w:i/>
          <w:noProof/>
          <w:lang w:val="en-GB"/>
        </w:rPr>
        <w:t>et al</w:t>
      </w:r>
      <w:r w:rsidR="00622464" w:rsidRPr="00622464">
        <w:rPr>
          <w:rFonts w:cs="Times New Roman"/>
          <w:noProof/>
          <w:lang w:val="en-GB"/>
        </w:rPr>
        <w:t>., 2023)</w:t>
      </w:r>
      <w:r w:rsidRPr="00D00F16">
        <w:rPr>
          <w:rFonts w:cs="Times New Roman"/>
          <w:lang w:val="en-GB"/>
        </w:rPr>
        <w:fldChar w:fldCharType="end"/>
      </w:r>
      <w:bookmarkEnd w:id="35"/>
      <w:r w:rsidRPr="00D00F16">
        <w:rPr>
          <w:rFonts w:cs="Times New Roman"/>
          <w:lang w:val="en-GB"/>
        </w:rPr>
        <w:t>.</w:t>
      </w:r>
    </w:p>
    <w:p w14:paraId="362BA766" w14:textId="77777777" w:rsidR="003E09C9" w:rsidRPr="00D00F16" w:rsidRDefault="003E09C9" w:rsidP="006E0E57">
      <w:pPr>
        <w:keepNext/>
        <w:spacing w:after="0" w:line="276" w:lineRule="auto"/>
        <w:ind w:left="0"/>
        <w:rPr>
          <w:rFonts w:cs="Times New Roman"/>
        </w:rPr>
      </w:pPr>
      <w:r w:rsidRPr="00D00F16">
        <w:rPr>
          <w:rFonts w:cs="Times New Roman"/>
          <w:noProof/>
        </w:rPr>
        <w:drawing>
          <wp:inline distT="0" distB="0" distL="0" distR="0" wp14:anchorId="0EDAB03F" wp14:editId="6F88CEE5">
            <wp:extent cx="5556025" cy="4289819"/>
            <wp:effectExtent l="0" t="0" r="6985" b="0"/>
            <wp:docPr id="1199671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71676" name="Picture 1199671676"/>
                    <pic:cNvPicPr/>
                  </pic:nvPicPr>
                  <pic:blipFill>
                    <a:blip r:embed="rId26">
                      <a:extLst>
                        <a:ext uri="{28A0092B-C50C-407E-A947-70E740481C1C}">
                          <a14:useLocalDpi xmlns:a14="http://schemas.microsoft.com/office/drawing/2010/main" val="0"/>
                        </a:ext>
                      </a:extLst>
                    </a:blip>
                    <a:stretch>
                      <a:fillRect/>
                    </a:stretch>
                  </pic:blipFill>
                  <pic:spPr>
                    <a:xfrm>
                      <a:off x="0" y="0"/>
                      <a:ext cx="5556025" cy="4289819"/>
                    </a:xfrm>
                    <a:prstGeom prst="rect">
                      <a:avLst/>
                    </a:prstGeom>
                  </pic:spPr>
                </pic:pic>
              </a:graphicData>
            </a:graphic>
          </wp:inline>
        </w:drawing>
      </w:r>
    </w:p>
    <w:p w14:paraId="43C1B445" w14:textId="1963B2EE" w:rsidR="003E09C9" w:rsidRPr="00D00F16" w:rsidRDefault="003E09C9" w:rsidP="006E0E57">
      <w:pPr>
        <w:pStyle w:val="Caption"/>
        <w:spacing w:after="0" w:line="276" w:lineRule="auto"/>
        <w:ind w:left="0"/>
        <w:rPr>
          <w:rFonts w:cs="Times New Roman"/>
          <w:i w:val="0"/>
          <w:iCs w:val="0"/>
          <w:color w:val="auto"/>
          <w:sz w:val="24"/>
          <w:szCs w:val="24"/>
        </w:rPr>
      </w:pPr>
      <w:bookmarkStart w:id="36" w:name="_Toc138777759"/>
      <w:r w:rsidRPr="00E23A25">
        <w:rPr>
          <w:rFonts w:cs="Times New Roman"/>
          <w:b/>
          <w:bCs/>
          <w:i w:val="0"/>
          <w:iCs w:val="0"/>
          <w:color w:val="auto"/>
          <w:sz w:val="24"/>
          <w:szCs w:val="24"/>
        </w:rPr>
        <w:t>Fig</w:t>
      </w:r>
      <w:r w:rsidR="00E23A25" w:rsidRPr="00E23A25">
        <w:rPr>
          <w:rFonts w:cs="Times New Roman"/>
          <w:b/>
          <w:bCs/>
          <w:i w:val="0"/>
          <w:iCs w:val="0"/>
          <w:color w:val="auto"/>
          <w:sz w:val="24"/>
          <w:szCs w:val="24"/>
        </w:rPr>
        <w:t xml:space="preserve">ure </w:t>
      </w:r>
      <w:r w:rsidR="00B51A12" w:rsidRPr="00E23A25">
        <w:rPr>
          <w:rFonts w:cs="Times New Roman"/>
          <w:b/>
          <w:bCs/>
          <w:i w:val="0"/>
          <w:iCs w:val="0"/>
          <w:color w:val="auto"/>
          <w:sz w:val="24"/>
          <w:szCs w:val="24"/>
        </w:rPr>
        <w:t>11</w:t>
      </w:r>
      <w:r w:rsidR="00E23A25" w:rsidRPr="00E23A25">
        <w:rPr>
          <w:rFonts w:cs="Times New Roman"/>
          <w:b/>
          <w:bCs/>
          <w:i w:val="0"/>
          <w:iCs w:val="0"/>
          <w:color w:val="auto"/>
          <w:sz w:val="24"/>
          <w:szCs w:val="24"/>
        </w:rPr>
        <w:t>:</w:t>
      </w:r>
      <w:r w:rsidRPr="00D00F16">
        <w:rPr>
          <w:rFonts w:cs="Times New Roman"/>
          <w:i w:val="0"/>
          <w:iCs w:val="0"/>
          <w:color w:val="auto"/>
          <w:sz w:val="24"/>
          <w:szCs w:val="24"/>
        </w:rPr>
        <w:t xml:space="preserve"> Rainfall of </w:t>
      </w:r>
      <w:proofErr w:type="spellStart"/>
      <w:r w:rsidRPr="00D00F16">
        <w:rPr>
          <w:rFonts w:cs="Times New Roman"/>
          <w:i w:val="0"/>
          <w:iCs w:val="0"/>
          <w:color w:val="auto"/>
          <w:sz w:val="24"/>
          <w:szCs w:val="24"/>
        </w:rPr>
        <w:t>Wa</w:t>
      </w:r>
      <w:proofErr w:type="spellEnd"/>
      <w:r w:rsidRPr="00D00F16">
        <w:rPr>
          <w:rFonts w:cs="Times New Roman"/>
          <w:i w:val="0"/>
          <w:iCs w:val="0"/>
          <w:color w:val="auto"/>
          <w:sz w:val="24"/>
          <w:szCs w:val="24"/>
        </w:rPr>
        <w:t xml:space="preserve"> </w:t>
      </w:r>
      <w:r w:rsidR="00E23A25">
        <w:rPr>
          <w:rFonts w:cs="Times New Roman"/>
          <w:i w:val="0"/>
          <w:iCs w:val="0"/>
          <w:color w:val="auto"/>
          <w:sz w:val="24"/>
          <w:szCs w:val="24"/>
        </w:rPr>
        <w:t>M</w:t>
      </w:r>
      <w:r w:rsidRPr="00D00F16">
        <w:rPr>
          <w:rFonts w:cs="Times New Roman"/>
          <w:i w:val="0"/>
          <w:iCs w:val="0"/>
          <w:color w:val="auto"/>
          <w:sz w:val="24"/>
          <w:szCs w:val="24"/>
        </w:rPr>
        <w:t>unicipal</w:t>
      </w:r>
      <w:bookmarkEnd w:id="36"/>
      <w:r w:rsidR="00725669" w:rsidRPr="00D00F16">
        <w:rPr>
          <w:rFonts w:cs="Times New Roman"/>
          <w:i w:val="0"/>
          <w:iCs w:val="0"/>
          <w:color w:val="auto"/>
          <w:sz w:val="24"/>
          <w:szCs w:val="24"/>
        </w:rPr>
        <w:t>ity</w:t>
      </w:r>
    </w:p>
    <w:p w14:paraId="792D8817" w14:textId="77777777" w:rsidR="003E09C9" w:rsidRPr="00D00F16" w:rsidRDefault="003E09C9" w:rsidP="006E0E57">
      <w:pPr>
        <w:spacing w:after="0" w:line="276" w:lineRule="auto"/>
        <w:ind w:left="0"/>
        <w:rPr>
          <w:rFonts w:cs="Times New Roman"/>
        </w:rPr>
      </w:pPr>
    </w:p>
    <w:p w14:paraId="62CAD011" w14:textId="54550D26" w:rsidR="003E09C9" w:rsidRPr="004D25D4" w:rsidRDefault="003E09C9" w:rsidP="006E0E57">
      <w:pPr>
        <w:pStyle w:val="Heading2"/>
        <w:spacing w:before="0" w:line="276" w:lineRule="auto"/>
        <w:ind w:left="0"/>
        <w:rPr>
          <w:rFonts w:ascii="Times New Roman" w:hAnsi="Times New Roman" w:cs="Times New Roman"/>
          <w:b/>
          <w:color w:val="auto"/>
          <w:sz w:val="24"/>
          <w:szCs w:val="24"/>
          <w:lang w:val="en-GB"/>
        </w:rPr>
      </w:pPr>
      <w:bookmarkStart w:id="37" w:name="_Toc139901857"/>
      <w:r w:rsidRPr="004D25D4">
        <w:rPr>
          <w:rFonts w:ascii="Times New Roman" w:hAnsi="Times New Roman" w:cs="Times New Roman"/>
          <w:b/>
          <w:color w:val="auto"/>
          <w:sz w:val="24"/>
          <w:szCs w:val="24"/>
          <w:lang w:val="en-GB"/>
        </w:rPr>
        <w:t>Weight Assignment to the Thematic Factors</w:t>
      </w:r>
      <w:bookmarkEnd w:id="37"/>
    </w:p>
    <w:p w14:paraId="199D03CE" w14:textId="2B5F96E8" w:rsidR="003E09C9" w:rsidRPr="00D00F16" w:rsidRDefault="003E09C9" w:rsidP="006E0E57">
      <w:pPr>
        <w:spacing w:after="0" w:line="276" w:lineRule="auto"/>
        <w:ind w:left="0"/>
        <w:jc w:val="both"/>
        <w:rPr>
          <w:rFonts w:cs="Times New Roman"/>
          <w:lang w:val="en-GB"/>
        </w:rPr>
      </w:pPr>
      <w:r w:rsidRPr="00D00F16">
        <w:rPr>
          <w:rFonts w:cs="Times New Roman"/>
          <w:lang w:val="en-GB"/>
        </w:rPr>
        <w:t>Nine </w:t>
      </w:r>
      <w:r w:rsidR="004D25D4">
        <w:rPr>
          <w:rFonts w:cs="Times New Roman"/>
          <w:lang w:val="en-GB"/>
        </w:rPr>
        <w:t xml:space="preserve">(7) </w:t>
      </w:r>
      <w:r w:rsidRPr="00D00F16">
        <w:rPr>
          <w:rFonts w:cs="Times New Roman"/>
          <w:lang w:val="en-GB"/>
        </w:rPr>
        <w:t xml:space="preserve">factors which include geology, </w:t>
      </w:r>
      <w:r w:rsidR="004D25D4">
        <w:rPr>
          <w:rFonts w:cs="Times New Roman"/>
          <w:lang w:val="en-GB"/>
        </w:rPr>
        <w:t>r</w:t>
      </w:r>
      <w:r w:rsidRPr="00D00F16">
        <w:rPr>
          <w:rFonts w:cs="Times New Roman"/>
          <w:lang w:val="en-GB"/>
        </w:rPr>
        <w:t xml:space="preserve">ainfall, LULC, </w:t>
      </w:r>
      <w:r w:rsidR="004D25D4">
        <w:rPr>
          <w:rFonts w:cs="Times New Roman"/>
          <w:lang w:val="en-GB"/>
        </w:rPr>
        <w:t>s</w:t>
      </w:r>
      <w:r w:rsidRPr="00D00F16">
        <w:rPr>
          <w:rFonts w:cs="Times New Roman"/>
          <w:lang w:val="en-GB"/>
        </w:rPr>
        <w:t>oil, lineament density</w:t>
      </w:r>
      <w:r w:rsidR="001E65C3">
        <w:rPr>
          <w:rFonts w:cs="Times New Roman"/>
          <w:lang w:val="en-GB"/>
        </w:rPr>
        <w:t>,</w:t>
      </w:r>
      <w:r w:rsidR="001E65C3" w:rsidRPr="001E65C3">
        <w:rPr>
          <w:rFonts w:cs="Times New Roman"/>
          <w:lang w:val="en-GB"/>
        </w:rPr>
        <w:t xml:space="preserve"> </w:t>
      </w:r>
      <w:r w:rsidR="001E65C3" w:rsidRPr="00D00F16">
        <w:rPr>
          <w:rFonts w:cs="Times New Roman"/>
          <w:lang w:val="en-GB"/>
        </w:rPr>
        <w:t>slope</w:t>
      </w:r>
      <w:r w:rsidRPr="00D00F16">
        <w:rPr>
          <w:rFonts w:cs="Times New Roman"/>
          <w:lang w:val="en-GB"/>
        </w:rPr>
        <w:t>, drainage density</w:t>
      </w:r>
      <w:r w:rsidR="009C16E8" w:rsidRPr="00D00F16">
        <w:rPr>
          <w:rFonts w:cs="Times New Roman"/>
          <w:lang w:val="en-GB"/>
        </w:rPr>
        <w:t>,</w:t>
      </w:r>
      <w:r w:rsidRPr="00D00F16">
        <w:rPr>
          <w:rFonts w:cs="Times New Roman"/>
          <w:lang w:val="en-GB"/>
        </w:rPr>
        <w:t xml:space="preserve"> and elevation were chosen</w:t>
      </w:r>
      <w:r w:rsidR="001E65C3">
        <w:rPr>
          <w:rFonts w:cs="Times New Roman"/>
          <w:lang w:val="en-GB"/>
        </w:rPr>
        <w:t xml:space="preserve"> </w:t>
      </w:r>
      <w:r w:rsidRPr="00D00F16">
        <w:rPr>
          <w:rFonts w:cs="Times New Roman"/>
          <w:lang w:val="en-GB"/>
        </w:rPr>
        <w:t>to delineate the zones of groundwater occurrence in the </w:t>
      </w:r>
      <w:r w:rsidR="00F91FFB" w:rsidRPr="00D00F16">
        <w:rPr>
          <w:rFonts w:cs="Times New Roman"/>
          <w:lang w:val="en-GB"/>
        </w:rPr>
        <w:t>municipality</w:t>
      </w:r>
      <w:r w:rsidRPr="00D00F16">
        <w:rPr>
          <w:rFonts w:cs="Times New Roman"/>
          <w:lang w:val="en-GB"/>
        </w:rPr>
        <w:t xml:space="preserve">. These nine </w:t>
      </w:r>
      <w:r w:rsidR="004D25D4">
        <w:rPr>
          <w:rFonts w:cs="Times New Roman"/>
          <w:lang w:val="en-GB"/>
        </w:rPr>
        <w:t xml:space="preserve">(9) </w:t>
      </w:r>
      <w:r w:rsidRPr="00D00F16">
        <w:rPr>
          <w:rFonts w:cs="Times New Roman"/>
          <w:lang w:val="en-GB"/>
        </w:rPr>
        <w:t xml:space="preserve">factors were integrated using the overlay analysis tool in ArcMap where weights </w:t>
      </w:r>
      <w:r w:rsidR="009C16E8" w:rsidRPr="00D00F16">
        <w:rPr>
          <w:rFonts w:cs="Times New Roman"/>
          <w:lang w:val="en-GB"/>
        </w:rPr>
        <w:t xml:space="preserve">were </w:t>
      </w:r>
      <w:r w:rsidRPr="00D00F16">
        <w:rPr>
          <w:rFonts w:cs="Times New Roman"/>
          <w:lang w:val="en-GB"/>
        </w:rPr>
        <w:t xml:space="preserve">assigned to them according to their level of influence in groundwater occurrences. The analytic hierarchy process (AHP) was utilized in the </w:t>
      </w:r>
      <w:r w:rsidR="001E65C3" w:rsidRPr="00D00F16">
        <w:rPr>
          <w:rFonts w:cs="Times New Roman"/>
          <w:lang w:val="en-GB"/>
        </w:rPr>
        <w:t xml:space="preserve">assignment </w:t>
      </w:r>
      <w:r w:rsidR="001E65C3">
        <w:rPr>
          <w:rFonts w:cs="Times New Roman"/>
          <w:lang w:val="en-GB"/>
        </w:rPr>
        <w:t xml:space="preserve">of </w:t>
      </w:r>
      <w:r w:rsidRPr="00D00F16">
        <w:rPr>
          <w:rFonts w:cs="Times New Roman"/>
          <w:lang w:val="en-GB"/>
        </w:rPr>
        <w:t>weight</w:t>
      </w:r>
      <w:r w:rsidR="001E65C3">
        <w:rPr>
          <w:rFonts w:cs="Times New Roman"/>
          <w:lang w:val="en-GB"/>
        </w:rPr>
        <w:t>s</w:t>
      </w:r>
      <w:r w:rsidRPr="00D00F16">
        <w:rPr>
          <w:rFonts w:cs="Times New Roman"/>
          <w:lang w:val="en-GB"/>
        </w:rPr>
        <w:t xml:space="preserve">. AHP is a Multi-Criteria Decision-Making (MCDM) </w:t>
      </w:r>
      <w:r w:rsidR="00567D44" w:rsidRPr="00D00F16">
        <w:rPr>
          <w:rFonts w:cs="Times New Roman"/>
          <w:lang w:val="en-GB"/>
        </w:rPr>
        <w:t>instrument</w:t>
      </w:r>
      <w:r w:rsidRPr="00D00F16">
        <w:rPr>
          <w:rFonts w:cs="Times New Roman"/>
          <w:lang w:val="en-GB"/>
        </w:rPr>
        <w:t xml:space="preserve"> </w:t>
      </w:r>
      <w:r w:rsidR="00567D44">
        <w:rPr>
          <w:rFonts w:cs="Times New Roman"/>
          <w:lang w:val="en-GB"/>
        </w:rPr>
        <w:t>use</w:t>
      </w:r>
      <w:r w:rsidRPr="00D00F16">
        <w:rPr>
          <w:rFonts w:cs="Times New Roman"/>
          <w:lang w:val="en-GB"/>
        </w:rPr>
        <w:t xml:space="preserve"> in complex situations such as groundwater studies </w:t>
      </w:r>
      <w:r w:rsidRPr="00D00F16">
        <w:rPr>
          <w:rFonts w:cs="Times New Roman"/>
          <w:lang w:val="en-GB"/>
        </w:rPr>
        <w:fldChar w:fldCharType="begin" w:fldLock="1"/>
      </w:r>
      <w:r w:rsidR="00622464">
        <w:rPr>
          <w:rFonts w:cs="Times New Roman"/>
          <w:lang w:val="en-GB"/>
        </w:rPr>
        <w:instrText>ADDIN CSL_CITATION {"citationItems":[{"id":"ITEM-1","itemData":{"author":[{"dropping-particle":"","family":"Mustapha","given":"","non-dropping-particle":"","parse-names":false,"suffix":""},{"dropping-particle":"","family":"Boutaleb","given":"Said","non-dropping-particle":"","parse-names":false,"suffix":""},{"dropping-particle":"","family":"Ibraheem","given":"Ismael M","non-dropping-particle":"","parse-names":false,"suffix":""},{"dropping-particle":"","family":"Abioui","given":"Mohamed","non-dropping-particle":"","parse-names":false,"suffix":""},{"dropping-particle":"","family":"Echogdali","given":"Fatima Zahra","non-dropping-particle":"","parse-names":false,"suffix":""},{"dropping-particle":"","family":"Faik","given":"Farid","non-dropping-particle":"","parse-names":false,"suffix":""}],"container-title":"Water","id":"ITEM-1","issued":{"date-parts":[["2023"]]},"title":"Delineation of Groundwater Potential Area using an AHP ,","type":"article-journal"},"uris":["http://www.mendeley.com/documents/?uuid=efd7d381-2a10-4605-9224-ad503547cb4a"]}],"mendeley":{"formattedCitation":"(Mustapha et al., 2023)","plainTextFormattedCitation":"(Mustapha et al., 2023)","previouslyFormattedCitation":"(Mustapha et al., 2023)"},"properties":{"noteIndex":0},"schema":"https://github.com/citation-style-language/schema/raw/master/csl-citation.json"}</w:instrText>
      </w:r>
      <w:r w:rsidRPr="00D00F16">
        <w:rPr>
          <w:rFonts w:cs="Times New Roman"/>
          <w:lang w:val="en-GB"/>
        </w:rPr>
        <w:fldChar w:fldCharType="separate"/>
      </w:r>
      <w:r w:rsidR="00622464" w:rsidRPr="00622464">
        <w:rPr>
          <w:rFonts w:cs="Times New Roman"/>
          <w:noProof/>
          <w:lang w:val="en-GB"/>
        </w:rPr>
        <w:t xml:space="preserve">(Mustapha </w:t>
      </w:r>
      <w:r w:rsidR="00622464" w:rsidRPr="0059123E">
        <w:rPr>
          <w:rFonts w:cs="Times New Roman"/>
          <w:i/>
          <w:noProof/>
          <w:lang w:val="en-GB"/>
        </w:rPr>
        <w:t>et al</w:t>
      </w:r>
      <w:r w:rsidR="00622464" w:rsidRPr="00622464">
        <w:rPr>
          <w:rFonts w:cs="Times New Roman"/>
          <w:noProof/>
          <w:lang w:val="en-GB"/>
        </w:rPr>
        <w:t>., 2023)</w:t>
      </w:r>
      <w:r w:rsidRPr="00D00F16">
        <w:rPr>
          <w:rFonts w:cs="Times New Roman"/>
          <w:lang w:val="en-GB"/>
        </w:rPr>
        <w:fldChar w:fldCharType="end"/>
      </w:r>
      <w:r w:rsidRPr="00D00F16">
        <w:rPr>
          <w:rFonts w:cs="Times New Roman"/>
          <w:lang w:val="en-GB"/>
        </w:rPr>
        <w:t>where the criterion with the highest impact on groundwater potential is identified by the expert</w:t>
      </w:r>
      <w:r w:rsidR="009C16E8" w:rsidRPr="00D00F16">
        <w:rPr>
          <w:rFonts w:cs="Times New Roman"/>
          <w:lang w:val="en-GB"/>
        </w:rPr>
        <w:t>'</w:t>
      </w:r>
      <w:r w:rsidRPr="00D00F16">
        <w:rPr>
          <w:rFonts w:cs="Times New Roman"/>
          <w:lang w:val="en-GB"/>
        </w:rPr>
        <w:t xml:space="preserve">s own judgment and knowledge of the physical and environmental factors (thematic factors) of the </w:t>
      </w:r>
      <w:r w:rsidR="00F91FFB" w:rsidRPr="00D00F16">
        <w:rPr>
          <w:rFonts w:cs="Times New Roman"/>
          <w:lang w:val="en-GB"/>
        </w:rPr>
        <w:t>municipality</w:t>
      </w:r>
      <w:r w:rsidRPr="00D00F16">
        <w:rPr>
          <w:rFonts w:cs="Times New Roman"/>
          <w:lang w:val="en-GB"/>
        </w:rPr>
        <w:t>. Using the pairwise comparison matrix, the various factors and their classes were paired, compared</w:t>
      </w:r>
      <w:r w:rsidR="009C16E8" w:rsidRPr="00D00F16">
        <w:rPr>
          <w:rFonts w:cs="Times New Roman"/>
          <w:lang w:val="en-GB"/>
        </w:rPr>
        <w:t>,</w:t>
      </w:r>
      <w:r w:rsidRPr="00D00F16">
        <w:rPr>
          <w:rFonts w:cs="Times New Roman"/>
          <w:lang w:val="en-GB"/>
        </w:rPr>
        <w:t xml:space="preserve"> and </w:t>
      </w:r>
      <w:r w:rsidR="00567D44">
        <w:rPr>
          <w:rFonts w:cs="Times New Roman"/>
          <w:lang w:val="en-GB"/>
        </w:rPr>
        <w:t>assign weight</w:t>
      </w:r>
      <w:r w:rsidRPr="00D00F16">
        <w:rPr>
          <w:rFonts w:cs="Times New Roman"/>
          <w:lang w:val="en-GB"/>
        </w:rPr>
        <w:t xml:space="preserve"> </w:t>
      </w:r>
      <w:r w:rsidR="00567D44">
        <w:rPr>
          <w:rFonts w:cs="Times New Roman"/>
          <w:lang w:val="en-GB"/>
        </w:rPr>
        <w:t>depending</w:t>
      </w:r>
      <w:r w:rsidRPr="00D00F16">
        <w:rPr>
          <w:rFonts w:cs="Times New Roman"/>
          <w:lang w:val="en-GB"/>
        </w:rPr>
        <w:t xml:space="preserve"> on their relative i</w:t>
      </w:r>
      <w:r w:rsidR="00567D44">
        <w:rPr>
          <w:rFonts w:cs="Times New Roman"/>
          <w:lang w:val="en-GB"/>
        </w:rPr>
        <w:t>nfluence</w:t>
      </w:r>
      <w:r w:rsidRPr="00D00F16">
        <w:rPr>
          <w:rFonts w:cs="Times New Roman"/>
          <w:lang w:val="en-GB"/>
        </w:rPr>
        <w:t xml:space="preserve"> on groundwater potential. Saaty’s Scale of Relative Importance (Table 5) was therefore used for rating (1-9) the thematic factors and their classes based on their influences on groundwater potential. </w:t>
      </w:r>
    </w:p>
    <w:p w14:paraId="364D96FF" w14:textId="77777777" w:rsidR="009C16E8" w:rsidRPr="00D00F16" w:rsidRDefault="009C16E8" w:rsidP="006E0E57">
      <w:pPr>
        <w:spacing w:after="0" w:line="276" w:lineRule="auto"/>
        <w:ind w:left="0"/>
        <w:jc w:val="both"/>
        <w:rPr>
          <w:rFonts w:cs="Times New Roman"/>
          <w:lang w:val="en-GB"/>
        </w:rPr>
      </w:pPr>
    </w:p>
    <w:p w14:paraId="37A7B154" w14:textId="41D7875B" w:rsidR="003E09C9" w:rsidRPr="00D00F16" w:rsidRDefault="003E09C9" w:rsidP="006E0E57">
      <w:pPr>
        <w:pStyle w:val="Caption"/>
        <w:keepNext/>
        <w:spacing w:after="0" w:line="276" w:lineRule="auto"/>
        <w:ind w:left="0"/>
        <w:rPr>
          <w:rFonts w:cs="Times New Roman"/>
          <w:i w:val="0"/>
          <w:iCs w:val="0"/>
          <w:color w:val="auto"/>
          <w:sz w:val="24"/>
          <w:szCs w:val="24"/>
        </w:rPr>
      </w:pPr>
      <w:bookmarkStart w:id="38" w:name="_Toc138764724"/>
      <w:r w:rsidRPr="004D25D4">
        <w:rPr>
          <w:rFonts w:cs="Times New Roman"/>
          <w:b/>
          <w:bCs/>
          <w:i w:val="0"/>
          <w:iCs w:val="0"/>
          <w:color w:val="auto"/>
          <w:sz w:val="24"/>
          <w:szCs w:val="24"/>
        </w:rPr>
        <w:t xml:space="preserve">Table </w:t>
      </w:r>
      <w:r w:rsidR="00203C5D">
        <w:rPr>
          <w:rFonts w:cs="Times New Roman"/>
          <w:b/>
          <w:bCs/>
          <w:i w:val="0"/>
          <w:iCs w:val="0"/>
          <w:color w:val="auto"/>
          <w:sz w:val="24"/>
          <w:szCs w:val="24"/>
        </w:rPr>
        <w:t>4</w:t>
      </w:r>
      <w:r w:rsidR="004D25D4" w:rsidRPr="004D25D4">
        <w:rPr>
          <w:rFonts w:cs="Times New Roman"/>
          <w:b/>
          <w:bCs/>
          <w:i w:val="0"/>
          <w:iCs w:val="0"/>
          <w:color w:val="auto"/>
          <w:sz w:val="24"/>
          <w:szCs w:val="24"/>
        </w:rPr>
        <w:t>:</w:t>
      </w:r>
      <w:r w:rsidR="004D25D4">
        <w:rPr>
          <w:rFonts w:cs="Times New Roman"/>
          <w:i w:val="0"/>
          <w:iCs w:val="0"/>
          <w:color w:val="auto"/>
          <w:sz w:val="24"/>
          <w:szCs w:val="24"/>
        </w:rPr>
        <w:t xml:space="preserve"> </w:t>
      </w:r>
      <w:r w:rsidRPr="00D00F16">
        <w:rPr>
          <w:rFonts w:cs="Times New Roman"/>
          <w:i w:val="0"/>
          <w:iCs w:val="0"/>
          <w:color w:val="auto"/>
          <w:sz w:val="24"/>
          <w:szCs w:val="24"/>
        </w:rPr>
        <w:t>Scale of Relative Importance</w:t>
      </w:r>
      <w:bookmarkEnd w:id="38"/>
    </w:p>
    <w:tbl>
      <w:tblPr>
        <w:tblStyle w:val="TableGrid"/>
        <w:tblW w:w="8913"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125"/>
      </w:tblGrid>
      <w:tr w:rsidR="003F590C" w:rsidRPr="00D00F16" w14:paraId="168F8FDD" w14:textId="77777777" w:rsidTr="00037F25">
        <w:tc>
          <w:tcPr>
            <w:tcW w:w="4788" w:type="dxa"/>
            <w:tcBorders>
              <w:top w:val="single" w:sz="4" w:space="0" w:color="auto"/>
              <w:bottom w:val="single" w:sz="4" w:space="0" w:color="auto"/>
            </w:tcBorders>
          </w:tcPr>
          <w:p w14:paraId="374AC5E6" w14:textId="77777777" w:rsidR="003E09C9" w:rsidRPr="00D00F16" w:rsidRDefault="003E09C9" w:rsidP="006E0E57">
            <w:pPr>
              <w:spacing w:line="276" w:lineRule="auto"/>
              <w:ind w:left="0"/>
              <w:rPr>
                <w:b/>
                <w:bCs/>
                <w:sz w:val="24"/>
                <w:szCs w:val="24"/>
              </w:rPr>
            </w:pPr>
            <w:r w:rsidRPr="00D00F16">
              <w:rPr>
                <w:b/>
                <w:bCs/>
                <w:sz w:val="24"/>
                <w:szCs w:val="24"/>
              </w:rPr>
              <w:t>Level of Importance</w:t>
            </w:r>
          </w:p>
        </w:tc>
        <w:tc>
          <w:tcPr>
            <w:tcW w:w="4125" w:type="dxa"/>
            <w:tcBorders>
              <w:top w:val="single" w:sz="4" w:space="0" w:color="auto"/>
              <w:bottom w:val="single" w:sz="4" w:space="0" w:color="auto"/>
            </w:tcBorders>
          </w:tcPr>
          <w:p w14:paraId="4A96CEFD" w14:textId="77777777" w:rsidR="003E09C9" w:rsidRPr="00D00F16" w:rsidRDefault="003E09C9" w:rsidP="006E0E57">
            <w:pPr>
              <w:spacing w:line="276" w:lineRule="auto"/>
              <w:ind w:left="0"/>
              <w:rPr>
                <w:b/>
                <w:bCs/>
                <w:sz w:val="24"/>
                <w:szCs w:val="24"/>
              </w:rPr>
            </w:pPr>
            <w:r w:rsidRPr="00D00F16">
              <w:rPr>
                <w:b/>
                <w:bCs/>
                <w:sz w:val="24"/>
                <w:szCs w:val="24"/>
              </w:rPr>
              <w:t>Description</w:t>
            </w:r>
          </w:p>
        </w:tc>
      </w:tr>
      <w:tr w:rsidR="003F590C" w:rsidRPr="00D00F16" w14:paraId="7CFFE195" w14:textId="77777777" w:rsidTr="00037F25">
        <w:tc>
          <w:tcPr>
            <w:tcW w:w="4788" w:type="dxa"/>
            <w:tcBorders>
              <w:top w:val="single" w:sz="4" w:space="0" w:color="auto"/>
            </w:tcBorders>
          </w:tcPr>
          <w:p w14:paraId="1C8EBD7F" w14:textId="77777777" w:rsidR="003E09C9" w:rsidRPr="00D00F16" w:rsidRDefault="003E09C9" w:rsidP="006E0E57">
            <w:pPr>
              <w:spacing w:line="276" w:lineRule="auto"/>
              <w:ind w:left="0"/>
              <w:rPr>
                <w:sz w:val="24"/>
                <w:szCs w:val="24"/>
              </w:rPr>
            </w:pPr>
            <w:r w:rsidRPr="00D00F16">
              <w:rPr>
                <w:sz w:val="24"/>
                <w:szCs w:val="24"/>
              </w:rPr>
              <w:t>1</w:t>
            </w:r>
          </w:p>
        </w:tc>
        <w:tc>
          <w:tcPr>
            <w:tcW w:w="4125" w:type="dxa"/>
            <w:tcBorders>
              <w:top w:val="single" w:sz="4" w:space="0" w:color="auto"/>
            </w:tcBorders>
          </w:tcPr>
          <w:p w14:paraId="2B086B0F" w14:textId="77777777" w:rsidR="003E09C9" w:rsidRPr="00D00F16" w:rsidRDefault="003E09C9" w:rsidP="006E0E57">
            <w:pPr>
              <w:spacing w:line="276" w:lineRule="auto"/>
              <w:ind w:left="0"/>
              <w:rPr>
                <w:sz w:val="24"/>
                <w:szCs w:val="24"/>
              </w:rPr>
            </w:pPr>
            <w:r w:rsidRPr="00D00F16">
              <w:rPr>
                <w:sz w:val="24"/>
                <w:szCs w:val="24"/>
              </w:rPr>
              <w:t>Equal importance</w:t>
            </w:r>
          </w:p>
        </w:tc>
      </w:tr>
      <w:tr w:rsidR="003F590C" w:rsidRPr="00D00F16" w14:paraId="76D4D78D" w14:textId="77777777" w:rsidTr="00037F25">
        <w:tc>
          <w:tcPr>
            <w:tcW w:w="4788" w:type="dxa"/>
          </w:tcPr>
          <w:p w14:paraId="7F7E07BD" w14:textId="77777777" w:rsidR="003E09C9" w:rsidRPr="00D00F16" w:rsidRDefault="003E09C9" w:rsidP="006E0E57">
            <w:pPr>
              <w:spacing w:line="276" w:lineRule="auto"/>
              <w:ind w:left="0"/>
              <w:rPr>
                <w:sz w:val="24"/>
                <w:szCs w:val="24"/>
              </w:rPr>
            </w:pPr>
            <w:r w:rsidRPr="00D00F16">
              <w:rPr>
                <w:sz w:val="24"/>
                <w:szCs w:val="24"/>
              </w:rPr>
              <w:t>3</w:t>
            </w:r>
          </w:p>
        </w:tc>
        <w:tc>
          <w:tcPr>
            <w:tcW w:w="4125" w:type="dxa"/>
          </w:tcPr>
          <w:p w14:paraId="20FBCC2E" w14:textId="77777777" w:rsidR="003E09C9" w:rsidRPr="00D00F16" w:rsidRDefault="003E09C9" w:rsidP="006E0E57">
            <w:pPr>
              <w:spacing w:line="276" w:lineRule="auto"/>
              <w:ind w:left="0"/>
              <w:rPr>
                <w:sz w:val="24"/>
                <w:szCs w:val="24"/>
              </w:rPr>
            </w:pPr>
            <w:r w:rsidRPr="00D00F16">
              <w:rPr>
                <w:sz w:val="24"/>
                <w:szCs w:val="24"/>
              </w:rPr>
              <w:t>Moderate importance</w:t>
            </w:r>
          </w:p>
        </w:tc>
      </w:tr>
      <w:tr w:rsidR="003F590C" w:rsidRPr="00D00F16" w14:paraId="2D63DFFC" w14:textId="77777777" w:rsidTr="00037F25">
        <w:tc>
          <w:tcPr>
            <w:tcW w:w="4788" w:type="dxa"/>
          </w:tcPr>
          <w:p w14:paraId="5E5E2A11" w14:textId="77777777" w:rsidR="003E09C9" w:rsidRPr="00D00F16" w:rsidRDefault="003E09C9" w:rsidP="006E0E57">
            <w:pPr>
              <w:spacing w:line="276" w:lineRule="auto"/>
              <w:ind w:left="0"/>
              <w:rPr>
                <w:sz w:val="24"/>
                <w:szCs w:val="24"/>
              </w:rPr>
            </w:pPr>
            <w:r w:rsidRPr="00D00F16">
              <w:rPr>
                <w:sz w:val="24"/>
                <w:szCs w:val="24"/>
              </w:rPr>
              <w:t>5</w:t>
            </w:r>
          </w:p>
        </w:tc>
        <w:tc>
          <w:tcPr>
            <w:tcW w:w="4125" w:type="dxa"/>
          </w:tcPr>
          <w:p w14:paraId="5D80B31A" w14:textId="77777777" w:rsidR="003E09C9" w:rsidRPr="00D00F16" w:rsidRDefault="003E09C9" w:rsidP="006E0E57">
            <w:pPr>
              <w:spacing w:line="276" w:lineRule="auto"/>
              <w:ind w:left="0"/>
              <w:rPr>
                <w:sz w:val="24"/>
                <w:szCs w:val="24"/>
              </w:rPr>
            </w:pPr>
            <w:r w:rsidRPr="00D00F16">
              <w:rPr>
                <w:sz w:val="24"/>
                <w:szCs w:val="24"/>
              </w:rPr>
              <w:t>Strong importance</w:t>
            </w:r>
          </w:p>
        </w:tc>
      </w:tr>
      <w:tr w:rsidR="003F590C" w:rsidRPr="00D00F16" w14:paraId="71739892" w14:textId="77777777" w:rsidTr="00037F25">
        <w:tc>
          <w:tcPr>
            <w:tcW w:w="4788" w:type="dxa"/>
          </w:tcPr>
          <w:p w14:paraId="6B94A3D5" w14:textId="77777777" w:rsidR="003E09C9" w:rsidRPr="00D00F16" w:rsidRDefault="003E09C9" w:rsidP="006E0E57">
            <w:pPr>
              <w:spacing w:line="276" w:lineRule="auto"/>
              <w:ind w:left="0"/>
              <w:rPr>
                <w:sz w:val="24"/>
                <w:szCs w:val="24"/>
              </w:rPr>
            </w:pPr>
            <w:r w:rsidRPr="00D00F16">
              <w:rPr>
                <w:sz w:val="24"/>
                <w:szCs w:val="24"/>
              </w:rPr>
              <w:t>7</w:t>
            </w:r>
          </w:p>
        </w:tc>
        <w:tc>
          <w:tcPr>
            <w:tcW w:w="4125" w:type="dxa"/>
          </w:tcPr>
          <w:p w14:paraId="405E01B0" w14:textId="77777777" w:rsidR="003E09C9" w:rsidRPr="00D00F16" w:rsidRDefault="003E09C9" w:rsidP="006E0E57">
            <w:pPr>
              <w:spacing w:line="276" w:lineRule="auto"/>
              <w:ind w:left="0"/>
              <w:rPr>
                <w:sz w:val="24"/>
                <w:szCs w:val="24"/>
              </w:rPr>
            </w:pPr>
            <w:r w:rsidRPr="00D00F16">
              <w:rPr>
                <w:sz w:val="24"/>
                <w:szCs w:val="24"/>
              </w:rPr>
              <w:t>Very strong importance</w:t>
            </w:r>
          </w:p>
        </w:tc>
      </w:tr>
      <w:tr w:rsidR="003F590C" w:rsidRPr="00D00F16" w14:paraId="446CEA2B" w14:textId="77777777" w:rsidTr="00037F25">
        <w:tc>
          <w:tcPr>
            <w:tcW w:w="4788" w:type="dxa"/>
          </w:tcPr>
          <w:p w14:paraId="7AB11EDC" w14:textId="77777777" w:rsidR="003E09C9" w:rsidRPr="00D00F16" w:rsidRDefault="003E09C9" w:rsidP="006E0E57">
            <w:pPr>
              <w:spacing w:line="276" w:lineRule="auto"/>
              <w:ind w:left="0"/>
              <w:rPr>
                <w:sz w:val="24"/>
                <w:szCs w:val="24"/>
              </w:rPr>
            </w:pPr>
            <w:r w:rsidRPr="00D00F16">
              <w:rPr>
                <w:sz w:val="24"/>
                <w:szCs w:val="24"/>
              </w:rPr>
              <w:t>9</w:t>
            </w:r>
          </w:p>
        </w:tc>
        <w:tc>
          <w:tcPr>
            <w:tcW w:w="4125" w:type="dxa"/>
          </w:tcPr>
          <w:p w14:paraId="77F9C7A5" w14:textId="77777777" w:rsidR="003E09C9" w:rsidRPr="00D00F16" w:rsidRDefault="003E09C9" w:rsidP="006E0E57">
            <w:pPr>
              <w:spacing w:line="276" w:lineRule="auto"/>
              <w:ind w:left="0"/>
              <w:rPr>
                <w:sz w:val="24"/>
                <w:szCs w:val="24"/>
              </w:rPr>
            </w:pPr>
            <w:r w:rsidRPr="00D00F16">
              <w:rPr>
                <w:sz w:val="24"/>
                <w:szCs w:val="24"/>
              </w:rPr>
              <w:t>Extreme importance</w:t>
            </w:r>
          </w:p>
        </w:tc>
      </w:tr>
      <w:tr w:rsidR="003F590C" w:rsidRPr="00D00F16" w14:paraId="1CC7DE38" w14:textId="77777777" w:rsidTr="00037F25">
        <w:tc>
          <w:tcPr>
            <w:tcW w:w="4788" w:type="dxa"/>
          </w:tcPr>
          <w:p w14:paraId="21605CBF" w14:textId="77777777" w:rsidR="003E09C9" w:rsidRPr="00D00F16" w:rsidRDefault="003E09C9" w:rsidP="006E0E57">
            <w:pPr>
              <w:spacing w:line="276" w:lineRule="auto"/>
              <w:ind w:left="0"/>
              <w:rPr>
                <w:sz w:val="24"/>
                <w:szCs w:val="24"/>
              </w:rPr>
            </w:pPr>
            <w:r w:rsidRPr="00D00F16">
              <w:rPr>
                <w:sz w:val="24"/>
                <w:szCs w:val="24"/>
              </w:rPr>
              <w:t>2, 4, 6 and 8</w:t>
            </w:r>
          </w:p>
        </w:tc>
        <w:tc>
          <w:tcPr>
            <w:tcW w:w="4125" w:type="dxa"/>
          </w:tcPr>
          <w:p w14:paraId="08D2DF29" w14:textId="77777777" w:rsidR="003E09C9" w:rsidRPr="00D00F16" w:rsidRDefault="003E09C9" w:rsidP="006E0E57">
            <w:pPr>
              <w:spacing w:line="276" w:lineRule="auto"/>
              <w:ind w:left="0"/>
              <w:rPr>
                <w:sz w:val="24"/>
                <w:szCs w:val="24"/>
              </w:rPr>
            </w:pPr>
            <w:r w:rsidRPr="00D00F16">
              <w:rPr>
                <w:sz w:val="24"/>
                <w:szCs w:val="24"/>
              </w:rPr>
              <w:t>Middle values</w:t>
            </w:r>
          </w:p>
        </w:tc>
      </w:tr>
    </w:tbl>
    <w:p w14:paraId="3AA4D845" w14:textId="77777777" w:rsidR="003E09C9" w:rsidRPr="00D00F16" w:rsidRDefault="003E09C9" w:rsidP="006E0E57">
      <w:pPr>
        <w:spacing w:after="0" w:line="276" w:lineRule="auto"/>
        <w:ind w:left="0"/>
        <w:jc w:val="both"/>
        <w:rPr>
          <w:rFonts w:cs="Times New Roman"/>
          <w:lang w:val="en-GB"/>
        </w:rPr>
      </w:pPr>
    </w:p>
    <w:p w14:paraId="08019848" w14:textId="6C9BAE68" w:rsidR="003E09C9" w:rsidRPr="00D00F16" w:rsidRDefault="003E09C9" w:rsidP="006E0E57">
      <w:pPr>
        <w:pStyle w:val="Caption"/>
        <w:keepNext/>
        <w:spacing w:after="0" w:line="276" w:lineRule="auto"/>
        <w:ind w:left="0"/>
        <w:rPr>
          <w:rFonts w:cs="Times New Roman"/>
          <w:i w:val="0"/>
          <w:iCs w:val="0"/>
          <w:color w:val="auto"/>
          <w:sz w:val="24"/>
          <w:szCs w:val="24"/>
        </w:rPr>
      </w:pPr>
      <w:bookmarkStart w:id="39" w:name="_Toc138764725"/>
      <w:r w:rsidRPr="004D25D4">
        <w:rPr>
          <w:rFonts w:cs="Times New Roman"/>
          <w:b/>
          <w:bCs/>
          <w:i w:val="0"/>
          <w:iCs w:val="0"/>
          <w:color w:val="auto"/>
          <w:sz w:val="24"/>
          <w:szCs w:val="24"/>
        </w:rPr>
        <w:t xml:space="preserve">Table </w:t>
      </w:r>
      <w:r w:rsidR="00203C5D">
        <w:rPr>
          <w:rFonts w:cs="Times New Roman"/>
          <w:b/>
          <w:bCs/>
          <w:i w:val="0"/>
          <w:iCs w:val="0"/>
          <w:color w:val="auto"/>
          <w:sz w:val="24"/>
          <w:szCs w:val="24"/>
        </w:rPr>
        <w:t>5</w:t>
      </w:r>
      <w:r w:rsidR="004D25D4" w:rsidRPr="004D25D4">
        <w:rPr>
          <w:rFonts w:cs="Times New Roman"/>
          <w:b/>
          <w:bCs/>
          <w:i w:val="0"/>
          <w:iCs w:val="0"/>
          <w:color w:val="auto"/>
          <w:sz w:val="24"/>
          <w:szCs w:val="24"/>
        </w:rPr>
        <w:t>:</w:t>
      </w:r>
      <w:r w:rsidR="004D25D4">
        <w:rPr>
          <w:rFonts w:cs="Times New Roman"/>
          <w:i w:val="0"/>
          <w:iCs w:val="0"/>
          <w:color w:val="auto"/>
          <w:sz w:val="24"/>
          <w:szCs w:val="24"/>
        </w:rPr>
        <w:t xml:space="preserve"> </w:t>
      </w:r>
      <w:r w:rsidRPr="00D00F16">
        <w:rPr>
          <w:rFonts w:cs="Times New Roman"/>
          <w:i w:val="0"/>
          <w:iCs w:val="0"/>
          <w:color w:val="auto"/>
          <w:sz w:val="24"/>
          <w:szCs w:val="24"/>
        </w:rPr>
        <w:t>Assigned Normalized Weight for the factors and their classes</w:t>
      </w:r>
      <w:bookmarkEnd w:id="39"/>
    </w:p>
    <w:tbl>
      <w:tblPr>
        <w:tblStyle w:val="TableGrid"/>
        <w:tblW w:w="9558" w:type="dxa"/>
        <w:tblInd w:w="-2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1"/>
        <w:gridCol w:w="2107"/>
        <w:gridCol w:w="972"/>
        <w:gridCol w:w="1378"/>
        <w:gridCol w:w="1937"/>
        <w:gridCol w:w="1653"/>
      </w:tblGrid>
      <w:tr w:rsidR="003F590C" w:rsidRPr="00D00F16" w14:paraId="1927A108" w14:textId="77777777" w:rsidTr="004D25D4">
        <w:trPr>
          <w:trHeight w:val="260"/>
        </w:trPr>
        <w:tc>
          <w:tcPr>
            <w:tcW w:w="1511" w:type="dxa"/>
            <w:tcBorders>
              <w:top w:val="single" w:sz="4" w:space="0" w:color="auto"/>
              <w:bottom w:val="single" w:sz="4" w:space="0" w:color="auto"/>
            </w:tcBorders>
          </w:tcPr>
          <w:p w14:paraId="403BBE66" w14:textId="77777777" w:rsidR="003E09C9" w:rsidRPr="004D25D4" w:rsidRDefault="003E09C9" w:rsidP="004D25D4">
            <w:pPr>
              <w:spacing w:line="240" w:lineRule="auto"/>
              <w:ind w:left="0"/>
              <w:jc w:val="both"/>
              <w:rPr>
                <w:b/>
                <w:bCs/>
                <w:lang w:val="en-GB"/>
              </w:rPr>
            </w:pPr>
            <w:bookmarkStart w:id="40" w:name="_Hlk139546558"/>
            <w:r w:rsidRPr="004D25D4">
              <w:rPr>
                <w:b/>
                <w:bCs/>
                <w:lang w:val="en-GB"/>
              </w:rPr>
              <w:t>Thematic Factor</w:t>
            </w:r>
          </w:p>
        </w:tc>
        <w:tc>
          <w:tcPr>
            <w:tcW w:w="2107" w:type="dxa"/>
            <w:tcBorders>
              <w:top w:val="single" w:sz="4" w:space="0" w:color="auto"/>
              <w:bottom w:val="single" w:sz="4" w:space="0" w:color="auto"/>
            </w:tcBorders>
          </w:tcPr>
          <w:p w14:paraId="4F042A64" w14:textId="77777777" w:rsidR="003E09C9" w:rsidRPr="004D25D4" w:rsidRDefault="003E09C9" w:rsidP="004D25D4">
            <w:pPr>
              <w:spacing w:line="240" w:lineRule="auto"/>
              <w:ind w:left="0"/>
              <w:rPr>
                <w:b/>
                <w:bCs/>
                <w:lang w:val="en-GB"/>
              </w:rPr>
            </w:pPr>
            <w:r w:rsidRPr="004D25D4">
              <w:rPr>
                <w:b/>
                <w:bCs/>
                <w:lang w:val="en-GB"/>
              </w:rPr>
              <w:t>Classes</w:t>
            </w:r>
          </w:p>
        </w:tc>
        <w:tc>
          <w:tcPr>
            <w:tcW w:w="972" w:type="dxa"/>
            <w:tcBorders>
              <w:top w:val="single" w:sz="4" w:space="0" w:color="auto"/>
              <w:bottom w:val="single" w:sz="4" w:space="0" w:color="auto"/>
            </w:tcBorders>
          </w:tcPr>
          <w:p w14:paraId="6DDB2846" w14:textId="77777777" w:rsidR="003E09C9" w:rsidRPr="004D25D4" w:rsidRDefault="003E09C9" w:rsidP="004D25D4">
            <w:pPr>
              <w:spacing w:line="240" w:lineRule="auto"/>
              <w:ind w:left="0"/>
              <w:jc w:val="both"/>
              <w:rPr>
                <w:b/>
                <w:bCs/>
                <w:lang w:val="en-GB"/>
              </w:rPr>
            </w:pPr>
            <w:r w:rsidRPr="004D25D4">
              <w:rPr>
                <w:b/>
                <w:bCs/>
                <w:lang w:val="en-GB"/>
              </w:rPr>
              <w:t xml:space="preserve">Rank </w:t>
            </w:r>
          </w:p>
        </w:tc>
        <w:tc>
          <w:tcPr>
            <w:tcW w:w="1378" w:type="dxa"/>
            <w:tcBorders>
              <w:top w:val="single" w:sz="4" w:space="0" w:color="auto"/>
              <w:bottom w:val="single" w:sz="4" w:space="0" w:color="auto"/>
            </w:tcBorders>
          </w:tcPr>
          <w:p w14:paraId="0BA4FF7E" w14:textId="77777777" w:rsidR="003E09C9" w:rsidRPr="004D25D4" w:rsidRDefault="003E09C9" w:rsidP="004D25D4">
            <w:pPr>
              <w:spacing w:line="240" w:lineRule="auto"/>
              <w:ind w:left="0"/>
              <w:jc w:val="both"/>
              <w:rPr>
                <w:b/>
                <w:bCs/>
                <w:lang w:val="en-GB"/>
              </w:rPr>
            </w:pPr>
            <w:r w:rsidRPr="004D25D4">
              <w:rPr>
                <w:b/>
                <w:bCs/>
                <w:lang w:val="en-GB"/>
              </w:rPr>
              <w:t>Rate</w:t>
            </w:r>
          </w:p>
        </w:tc>
        <w:tc>
          <w:tcPr>
            <w:tcW w:w="1937" w:type="dxa"/>
            <w:tcBorders>
              <w:top w:val="single" w:sz="4" w:space="0" w:color="auto"/>
              <w:bottom w:val="single" w:sz="4" w:space="0" w:color="auto"/>
            </w:tcBorders>
          </w:tcPr>
          <w:p w14:paraId="53EA3434" w14:textId="77777777" w:rsidR="003E09C9" w:rsidRPr="004D25D4" w:rsidRDefault="003E09C9" w:rsidP="004D25D4">
            <w:pPr>
              <w:spacing w:line="240" w:lineRule="auto"/>
              <w:ind w:left="0"/>
              <w:rPr>
                <w:b/>
                <w:bCs/>
                <w:lang w:val="en-GB"/>
              </w:rPr>
            </w:pPr>
            <w:r w:rsidRPr="004D25D4">
              <w:rPr>
                <w:b/>
                <w:bCs/>
                <w:lang w:val="en-GB"/>
              </w:rPr>
              <w:t>Normalized weight of classes</w:t>
            </w:r>
          </w:p>
        </w:tc>
        <w:tc>
          <w:tcPr>
            <w:tcW w:w="1653" w:type="dxa"/>
            <w:tcBorders>
              <w:top w:val="single" w:sz="4" w:space="0" w:color="auto"/>
              <w:bottom w:val="single" w:sz="4" w:space="0" w:color="auto"/>
            </w:tcBorders>
          </w:tcPr>
          <w:p w14:paraId="5AE187E7" w14:textId="77777777" w:rsidR="003E09C9" w:rsidRPr="004D25D4" w:rsidRDefault="003E09C9" w:rsidP="004D25D4">
            <w:pPr>
              <w:spacing w:line="240" w:lineRule="auto"/>
              <w:ind w:left="0"/>
              <w:rPr>
                <w:b/>
                <w:bCs/>
                <w:lang w:val="en-GB"/>
              </w:rPr>
            </w:pPr>
            <w:r w:rsidRPr="004D25D4">
              <w:rPr>
                <w:b/>
                <w:bCs/>
                <w:lang w:val="en-GB"/>
              </w:rPr>
              <w:t>Normalized weight of factors</w:t>
            </w:r>
          </w:p>
        </w:tc>
      </w:tr>
      <w:tr w:rsidR="003F590C" w:rsidRPr="00D00F16" w14:paraId="13FC47A5" w14:textId="77777777" w:rsidTr="004D25D4">
        <w:trPr>
          <w:trHeight w:val="1052"/>
        </w:trPr>
        <w:tc>
          <w:tcPr>
            <w:tcW w:w="1511" w:type="dxa"/>
            <w:tcBorders>
              <w:top w:val="single" w:sz="4" w:space="0" w:color="auto"/>
            </w:tcBorders>
          </w:tcPr>
          <w:p w14:paraId="205969E7" w14:textId="77777777" w:rsidR="003E09C9" w:rsidRPr="004D25D4" w:rsidRDefault="003E09C9" w:rsidP="004D25D4">
            <w:pPr>
              <w:spacing w:line="240" w:lineRule="auto"/>
              <w:ind w:left="0"/>
              <w:jc w:val="both"/>
              <w:rPr>
                <w:lang w:val="en-GB"/>
              </w:rPr>
            </w:pPr>
            <w:r w:rsidRPr="004D25D4">
              <w:rPr>
                <w:lang w:val="en-GB"/>
              </w:rPr>
              <w:t>Geology</w:t>
            </w:r>
          </w:p>
        </w:tc>
        <w:tc>
          <w:tcPr>
            <w:tcW w:w="2107" w:type="dxa"/>
            <w:tcBorders>
              <w:top w:val="single" w:sz="4" w:space="0" w:color="auto"/>
            </w:tcBorders>
          </w:tcPr>
          <w:p w14:paraId="21408D06" w14:textId="77777777" w:rsidR="003E09C9" w:rsidRPr="004D25D4" w:rsidRDefault="003E09C9" w:rsidP="004D25D4">
            <w:pPr>
              <w:spacing w:line="240" w:lineRule="auto"/>
              <w:ind w:left="0"/>
            </w:pPr>
            <w:proofErr w:type="spellStart"/>
            <w:r w:rsidRPr="004D25D4">
              <w:t>Tamnean</w:t>
            </w:r>
            <w:proofErr w:type="spellEnd"/>
            <w:r w:rsidRPr="004D25D4">
              <w:t xml:space="preserve"> Plutonic suite</w:t>
            </w:r>
          </w:p>
          <w:p w14:paraId="446EEB4F" w14:textId="700722D4" w:rsidR="003E09C9" w:rsidRPr="004D25D4" w:rsidRDefault="003E09C9" w:rsidP="004D25D4">
            <w:pPr>
              <w:spacing w:line="240" w:lineRule="auto"/>
              <w:ind w:left="0"/>
            </w:pPr>
            <w:proofErr w:type="spellStart"/>
            <w:r w:rsidRPr="004D25D4">
              <w:t>Birimian</w:t>
            </w:r>
            <w:proofErr w:type="spellEnd"/>
            <w:r w:rsidRPr="004D25D4">
              <w:t xml:space="preserve"> supergroup Eburnean plutonic suite</w:t>
            </w:r>
          </w:p>
          <w:p w14:paraId="6E45FE27" w14:textId="52F01C3B" w:rsidR="003E09C9" w:rsidRPr="004D25D4" w:rsidRDefault="003E09C9" w:rsidP="004D25D4">
            <w:pPr>
              <w:spacing w:line="240" w:lineRule="auto"/>
              <w:ind w:left="0"/>
              <w:rPr>
                <w:lang w:val="en-GB"/>
              </w:rPr>
            </w:pPr>
            <w:r w:rsidRPr="004D25D4">
              <w:t xml:space="preserve">Mesozoic </w:t>
            </w:r>
          </w:p>
        </w:tc>
        <w:tc>
          <w:tcPr>
            <w:tcW w:w="972" w:type="dxa"/>
            <w:tcBorders>
              <w:top w:val="single" w:sz="4" w:space="0" w:color="auto"/>
            </w:tcBorders>
          </w:tcPr>
          <w:p w14:paraId="0E3410D0" w14:textId="77777777" w:rsidR="003E09C9" w:rsidRPr="004D25D4" w:rsidRDefault="003E09C9" w:rsidP="004D25D4">
            <w:pPr>
              <w:spacing w:line="240" w:lineRule="auto"/>
              <w:ind w:left="0"/>
              <w:jc w:val="both"/>
              <w:rPr>
                <w:lang w:val="en-GB"/>
              </w:rPr>
            </w:pPr>
            <w:r w:rsidRPr="004D25D4">
              <w:rPr>
                <w:lang w:val="en-GB"/>
              </w:rPr>
              <w:t>5</w:t>
            </w:r>
          </w:p>
          <w:p w14:paraId="58D12AAF" w14:textId="62F5D884" w:rsidR="003E09C9" w:rsidRPr="004D25D4" w:rsidRDefault="003E09C9" w:rsidP="004D25D4">
            <w:pPr>
              <w:spacing w:line="240" w:lineRule="auto"/>
              <w:ind w:left="0"/>
              <w:jc w:val="both"/>
              <w:rPr>
                <w:lang w:val="en-GB"/>
              </w:rPr>
            </w:pPr>
            <w:r w:rsidRPr="004D25D4">
              <w:rPr>
                <w:lang w:val="en-GB"/>
              </w:rPr>
              <w:t>9</w:t>
            </w:r>
          </w:p>
          <w:p w14:paraId="6B5F6D9D" w14:textId="77777777" w:rsidR="003E09C9" w:rsidRPr="004D25D4" w:rsidRDefault="003E09C9" w:rsidP="004D25D4">
            <w:pPr>
              <w:spacing w:line="240" w:lineRule="auto"/>
              <w:ind w:left="0"/>
              <w:jc w:val="both"/>
              <w:rPr>
                <w:lang w:val="en-GB"/>
              </w:rPr>
            </w:pPr>
            <w:r w:rsidRPr="004D25D4">
              <w:rPr>
                <w:lang w:val="en-GB"/>
              </w:rPr>
              <w:t>7</w:t>
            </w:r>
          </w:p>
          <w:p w14:paraId="46FD2269" w14:textId="77777777" w:rsidR="003E09C9" w:rsidRPr="004D25D4" w:rsidRDefault="003E09C9" w:rsidP="004D25D4">
            <w:pPr>
              <w:spacing w:line="240" w:lineRule="auto"/>
              <w:ind w:left="0"/>
              <w:jc w:val="both"/>
              <w:rPr>
                <w:lang w:val="en-GB"/>
              </w:rPr>
            </w:pPr>
          </w:p>
          <w:p w14:paraId="483A9AD2" w14:textId="53273E6F" w:rsidR="003E09C9" w:rsidRPr="004D25D4" w:rsidRDefault="003E09C9" w:rsidP="004D25D4">
            <w:pPr>
              <w:spacing w:line="240" w:lineRule="auto"/>
              <w:ind w:left="0"/>
              <w:jc w:val="both"/>
              <w:rPr>
                <w:lang w:val="en-GB"/>
              </w:rPr>
            </w:pPr>
            <w:r w:rsidRPr="004D25D4">
              <w:rPr>
                <w:lang w:val="en-GB"/>
              </w:rPr>
              <w:t>3</w:t>
            </w:r>
          </w:p>
        </w:tc>
        <w:tc>
          <w:tcPr>
            <w:tcW w:w="1378" w:type="dxa"/>
            <w:tcBorders>
              <w:top w:val="single" w:sz="4" w:space="0" w:color="auto"/>
            </w:tcBorders>
          </w:tcPr>
          <w:p w14:paraId="6FF8018B" w14:textId="43BBB121" w:rsidR="003E09C9" w:rsidRPr="004D25D4" w:rsidRDefault="003E09C9" w:rsidP="004D25D4">
            <w:pPr>
              <w:spacing w:line="240" w:lineRule="auto"/>
              <w:ind w:left="0"/>
              <w:jc w:val="both"/>
              <w:rPr>
                <w:lang w:val="en-GB"/>
              </w:rPr>
            </w:pPr>
            <w:r w:rsidRPr="004D25D4">
              <w:rPr>
                <w:lang w:val="en-GB"/>
              </w:rPr>
              <w:t>Poor</w:t>
            </w:r>
          </w:p>
          <w:p w14:paraId="3B2EEAEB" w14:textId="0C801FA4" w:rsidR="003E09C9" w:rsidRPr="004D25D4" w:rsidRDefault="003E09C9" w:rsidP="004D25D4">
            <w:pPr>
              <w:spacing w:line="240" w:lineRule="auto"/>
              <w:ind w:left="0"/>
              <w:jc w:val="both"/>
              <w:rPr>
                <w:lang w:val="en-GB"/>
              </w:rPr>
            </w:pPr>
            <w:r w:rsidRPr="004D25D4">
              <w:rPr>
                <w:lang w:val="en-GB"/>
              </w:rPr>
              <w:t>Very good</w:t>
            </w:r>
          </w:p>
          <w:p w14:paraId="11F710BE" w14:textId="77777777" w:rsidR="003E09C9" w:rsidRPr="004D25D4" w:rsidRDefault="003E09C9" w:rsidP="004D25D4">
            <w:pPr>
              <w:spacing w:line="240" w:lineRule="auto"/>
              <w:ind w:left="0"/>
              <w:jc w:val="both"/>
              <w:rPr>
                <w:lang w:val="en-GB"/>
              </w:rPr>
            </w:pPr>
            <w:r w:rsidRPr="004D25D4">
              <w:rPr>
                <w:lang w:val="en-GB"/>
              </w:rPr>
              <w:t xml:space="preserve">Good </w:t>
            </w:r>
          </w:p>
          <w:p w14:paraId="4E49F48E" w14:textId="77777777" w:rsidR="003E09C9" w:rsidRPr="004D25D4" w:rsidRDefault="003E09C9" w:rsidP="004D25D4">
            <w:pPr>
              <w:spacing w:line="240" w:lineRule="auto"/>
              <w:ind w:left="0"/>
              <w:jc w:val="both"/>
              <w:rPr>
                <w:lang w:val="en-GB"/>
              </w:rPr>
            </w:pPr>
          </w:p>
          <w:p w14:paraId="27AE74F7" w14:textId="77777777" w:rsidR="003E09C9" w:rsidRPr="004D25D4" w:rsidRDefault="003E09C9" w:rsidP="004D25D4">
            <w:pPr>
              <w:spacing w:line="240" w:lineRule="auto"/>
              <w:ind w:left="0"/>
              <w:jc w:val="both"/>
              <w:rPr>
                <w:lang w:val="en-GB"/>
              </w:rPr>
            </w:pPr>
            <w:r w:rsidRPr="004D25D4">
              <w:rPr>
                <w:lang w:val="en-GB"/>
              </w:rPr>
              <w:t>Very poor</w:t>
            </w:r>
          </w:p>
        </w:tc>
        <w:tc>
          <w:tcPr>
            <w:tcW w:w="1937" w:type="dxa"/>
            <w:tcBorders>
              <w:top w:val="single" w:sz="4" w:space="0" w:color="auto"/>
            </w:tcBorders>
          </w:tcPr>
          <w:p w14:paraId="60B9C615" w14:textId="12871323" w:rsidR="003E09C9" w:rsidRPr="004D25D4" w:rsidRDefault="003E09C9" w:rsidP="004D25D4">
            <w:pPr>
              <w:spacing w:line="240" w:lineRule="auto"/>
              <w:ind w:left="0"/>
              <w:rPr>
                <w:lang w:val="en-GB"/>
              </w:rPr>
            </w:pPr>
            <w:r w:rsidRPr="004D25D4">
              <w:rPr>
                <w:lang w:val="en-GB"/>
              </w:rPr>
              <w:t>0.079</w:t>
            </w:r>
          </w:p>
          <w:p w14:paraId="2620003F" w14:textId="5C8B9986" w:rsidR="003E09C9" w:rsidRPr="004D25D4" w:rsidRDefault="003E09C9" w:rsidP="004D25D4">
            <w:pPr>
              <w:spacing w:line="240" w:lineRule="auto"/>
              <w:ind w:left="0"/>
              <w:rPr>
                <w:lang w:val="en-GB"/>
              </w:rPr>
            </w:pPr>
            <w:r w:rsidRPr="004D25D4">
              <w:rPr>
                <w:lang w:val="en-GB"/>
              </w:rPr>
              <w:t>0.716</w:t>
            </w:r>
          </w:p>
          <w:p w14:paraId="34B633F3" w14:textId="77777777" w:rsidR="003E09C9" w:rsidRPr="004D25D4" w:rsidRDefault="003E09C9" w:rsidP="004D25D4">
            <w:pPr>
              <w:spacing w:line="240" w:lineRule="auto"/>
              <w:ind w:left="0"/>
              <w:rPr>
                <w:lang w:val="en-GB"/>
              </w:rPr>
            </w:pPr>
            <w:r w:rsidRPr="004D25D4">
              <w:rPr>
                <w:lang w:val="en-GB"/>
              </w:rPr>
              <w:t>0.145</w:t>
            </w:r>
          </w:p>
          <w:p w14:paraId="4CF3BA8F" w14:textId="77777777" w:rsidR="003E09C9" w:rsidRPr="004D25D4" w:rsidRDefault="003E09C9" w:rsidP="004D25D4">
            <w:pPr>
              <w:spacing w:line="240" w:lineRule="auto"/>
              <w:ind w:left="0"/>
              <w:jc w:val="both"/>
              <w:rPr>
                <w:lang w:val="en-GB"/>
              </w:rPr>
            </w:pPr>
          </w:p>
          <w:p w14:paraId="2CCCC398" w14:textId="77777777" w:rsidR="003E09C9" w:rsidRPr="004D25D4" w:rsidRDefault="003E09C9" w:rsidP="004D25D4">
            <w:pPr>
              <w:spacing w:line="240" w:lineRule="auto"/>
              <w:ind w:left="0"/>
              <w:jc w:val="both"/>
              <w:rPr>
                <w:lang w:val="en-GB"/>
              </w:rPr>
            </w:pPr>
            <w:r w:rsidRPr="004D25D4">
              <w:rPr>
                <w:lang w:val="en-GB"/>
              </w:rPr>
              <w:t>0.06</w:t>
            </w:r>
          </w:p>
        </w:tc>
        <w:tc>
          <w:tcPr>
            <w:tcW w:w="1653" w:type="dxa"/>
            <w:tcBorders>
              <w:top w:val="single" w:sz="4" w:space="0" w:color="auto"/>
            </w:tcBorders>
          </w:tcPr>
          <w:p w14:paraId="46786660" w14:textId="77777777" w:rsidR="003E09C9" w:rsidRPr="004D25D4" w:rsidRDefault="003E09C9" w:rsidP="004D25D4">
            <w:pPr>
              <w:spacing w:line="240" w:lineRule="auto"/>
              <w:ind w:left="0"/>
              <w:jc w:val="both"/>
              <w:rPr>
                <w:lang w:val="en-GB"/>
              </w:rPr>
            </w:pPr>
            <w:r w:rsidRPr="004D25D4">
              <w:rPr>
                <w:lang w:val="en-GB"/>
              </w:rPr>
              <w:t>0.1994</w:t>
            </w:r>
          </w:p>
        </w:tc>
      </w:tr>
      <w:tr w:rsidR="003F590C" w:rsidRPr="00D00F16" w14:paraId="28C638A7" w14:textId="77777777" w:rsidTr="004D25D4">
        <w:trPr>
          <w:trHeight w:val="810"/>
        </w:trPr>
        <w:tc>
          <w:tcPr>
            <w:tcW w:w="1511" w:type="dxa"/>
          </w:tcPr>
          <w:p w14:paraId="50554574" w14:textId="77777777" w:rsidR="003E09C9" w:rsidRPr="004D25D4" w:rsidRDefault="003E09C9" w:rsidP="004D25D4">
            <w:pPr>
              <w:spacing w:line="240" w:lineRule="auto"/>
              <w:ind w:left="0"/>
              <w:jc w:val="both"/>
              <w:rPr>
                <w:lang w:val="en-GB"/>
              </w:rPr>
            </w:pPr>
            <w:r w:rsidRPr="004D25D4">
              <w:rPr>
                <w:lang w:val="en-GB"/>
              </w:rPr>
              <w:t>LULC</w:t>
            </w:r>
          </w:p>
        </w:tc>
        <w:tc>
          <w:tcPr>
            <w:tcW w:w="2107" w:type="dxa"/>
          </w:tcPr>
          <w:p w14:paraId="72565C0A" w14:textId="77777777" w:rsidR="003E09C9" w:rsidRPr="004D25D4" w:rsidRDefault="003E09C9" w:rsidP="004D25D4">
            <w:pPr>
              <w:spacing w:line="240" w:lineRule="auto"/>
              <w:ind w:left="0"/>
              <w:rPr>
                <w:lang w:val="en-GB"/>
              </w:rPr>
            </w:pPr>
            <w:r w:rsidRPr="004D25D4">
              <w:rPr>
                <w:lang w:val="en-GB"/>
              </w:rPr>
              <w:t>Agriculture land</w:t>
            </w:r>
          </w:p>
          <w:p w14:paraId="7615D0DC" w14:textId="77777777" w:rsidR="003E09C9" w:rsidRPr="004D25D4" w:rsidRDefault="003E09C9" w:rsidP="004D25D4">
            <w:pPr>
              <w:spacing w:line="240" w:lineRule="auto"/>
              <w:ind w:left="0"/>
              <w:rPr>
                <w:lang w:val="en-GB"/>
              </w:rPr>
            </w:pPr>
            <w:r w:rsidRPr="004D25D4">
              <w:rPr>
                <w:lang w:val="en-GB"/>
              </w:rPr>
              <w:t xml:space="preserve">Bare land </w:t>
            </w:r>
          </w:p>
          <w:p w14:paraId="3DFA710C" w14:textId="77777777" w:rsidR="003E09C9" w:rsidRPr="004D25D4" w:rsidRDefault="003E09C9" w:rsidP="004D25D4">
            <w:pPr>
              <w:spacing w:line="240" w:lineRule="auto"/>
              <w:ind w:left="0"/>
              <w:rPr>
                <w:lang w:val="en-GB"/>
              </w:rPr>
            </w:pPr>
            <w:r w:rsidRPr="004D25D4">
              <w:rPr>
                <w:lang w:val="en-GB"/>
              </w:rPr>
              <w:t xml:space="preserve">Forest </w:t>
            </w:r>
          </w:p>
          <w:p w14:paraId="4BCFAD34" w14:textId="77777777" w:rsidR="003E09C9" w:rsidRPr="004D25D4" w:rsidRDefault="003E09C9" w:rsidP="004D25D4">
            <w:pPr>
              <w:spacing w:line="240" w:lineRule="auto"/>
              <w:ind w:left="0"/>
              <w:rPr>
                <w:lang w:val="en-GB"/>
              </w:rPr>
            </w:pPr>
            <w:r w:rsidRPr="004D25D4">
              <w:rPr>
                <w:lang w:val="en-GB"/>
              </w:rPr>
              <w:t>Settlement</w:t>
            </w:r>
          </w:p>
          <w:p w14:paraId="7934878B" w14:textId="77777777" w:rsidR="003E09C9" w:rsidRPr="004D25D4" w:rsidRDefault="003E09C9" w:rsidP="004D25D4">
            <w:pPr>
              <w:spacing w:line="240" w:lineRule="auto"/>
              <w:ind w:left="0"/>
              <w:rPr>
                <w:lang w:val="en-GB"/>
              </w:rPr>
            </w:pPr>
            <w:r w:rsidRPr="004D25D4">
              <w:rPr>
                <w:lang w:val="en-GB"/>
              </w:rPr>
              <w:t>Vegetation</w:t>
            </w:r>
          </w:p>
          <w:p w14:paraId="6F40CFA9" w14:textId="553626AD" w:rsidR="003E09C9" w:rsidRPr="004D25D4" w:rsidRDefault="003E09C9" w:rsidP="004D25D4">
            <w:pPr>
              <w:spacing w:line="240" w:lineRule="auto"/>
              <w:ind w:left="0"/>
              <w:rPr>
                <w:lang w:val="en-GB"/>
              </w:rPr>
            </w:pPr>
            <w:r w:rsidRPr="004D25D4">
              <w:rPr>
                <w:lang w:val="en-GB"/>
              </w:rPr>
              <w:t>Waterbody</w:t>
            </w:r>
          </w:p>
        </w:tc>
        <w:tc>
          <w:tcPr>
            <w:tcW w:w="972" w:type="dxa"/>
          </w:tcPr>
          <w:p w14:paraId="246B8374" w14:textId="77777777" w:rsidR="003E09C9" w:rsidRPr="004D25D4" w:rsidRDefault="003E09C9" w:rsidP="004D25D4">
            <w:pPr>
              <w:spacing w:line="240" w:lineRule="auto"/>
              <w:ind w:left="0"/>
              <w:jc w:val="both"/>
              <w:rPr>
                <w:lang w:val="en-GB"/>
              </w:rPr>
            </w:pPr>
            <w:r w:rsidRPr="004D25D4">
              <w:rPr>
                <w:lang w:val="en-GB"/>
              </w:rPr>
              <w:t>3</w:t>
            </w:r>
          </w:p>
          <w:p w14:paraId="4B9EB2C3" w14:textId="77777777" w:rsidR="003E09C9" w:rsidRPr="004D25D4" w:rsidRDefault="003E09C9" w:rsidP="004D25D4">
            <w:pPr>
              <w:spacing w:line="240" w:lineRule="auto"/>
              <w:ind w:left="0"/>
              <w:jc w:val="both"/>
              <w:rPr>
                <w:lang w:val="en-GB"/>
              </w:rPr>
            </w:pPr>
            <w:r w:rsidRPr="004D25D4">
              <w:rPr>
                <w:lang w:val="en-GB"/>
              </w:rPr>
              <w:t>1</w:t>
            </w:r>
          </w:p>
          <w:p w14:paraId="223CB078" w14:textId="77777777" w:rsidR="003E09C9" w:rsidRPr="004D25D4" w:rsidRDefault="003E09C9" w:rsidP="004D25D4">
            <w:pPr>
              <w:spacing w:line="240" w:lineRule="auto"/>
              <w:ind w:left="0"/>
              <w:jc w:val="both"/>
              <w:rPr>
                <w:lang w:val="en-GB"/>
              </w:rPr>
            </w:pPr>
            <w:r w:rsidRPr="004D25D4">
              <w:rPr>
                <w:lang w:val="en-GB"/>
              </w:rPr>
              <w:t>7</w:t>
            </w:r>
          </w:p>
          <w:p w14:paraId="0D4AA5F7" w14:textId="77777777" w:rsidR="003E09C9" w:rsidRPr="004D25D4" w:rsidRDefault="003E09C9" w:rsidP="004D25D4">
            <w:pPr>
              <w:spacing w:line="240" w:lineRule="auto"/>
              <w:ind w:left="0"/>
              <w:jc w:val="both"/>
              <w:rPr>
                <w:lang w:val="en-GB"/>
              </w:rPr>
            </w:pPr>
            <w:r w:rsidRPr="004D25D4">
              <w:rPr>
                <w:lang w:val="en-GB"/>
              </w:rPr>
              <w:t>3</w:t>
            </w:r>
          </w:p>
          <w:p w14:paraId="03CDBB51" w14:textId="77777777" w:rsidR="003E09C9" w:rsidRPr="004D25D4" w:rsidRDefault="003E09C9" w:rsidP="004D25D4">
            <w:pPr>
              <w:spacing w:line="240" w:lineRule="auto"/>
              <w:ind w:left="0"/>
              <w:jc w:val="both"/>
              <w:rPr>
                <w:lang w:val="en-GB"/>
              </w:rPr>
            </w:pPr>
            <w:r w:rsidRPr="004D25D4">
              <w:rPr>
                <w:lang w:val="en-GB"/>
              </w:rPr>
              <w:t>5</w:t>
            </w:r>
          </w:p>
          <w:p w14:paraId="0697C9F4" w14:textId="77777777" w:rsidR="003E09C9" w:rsidRPr="004D25D4" w:rsidRDefault="003E09C9" w:rsidP="004D25D4">
            <w:pPr>
              <w:spacing w:line="240" w:lineRule="auto"/>
              <w:ind w:left="0"/>
              <w:jc w:val="both"/>
              <w:rPr>
                <w:lang w:val="en-GB"/>
              </w:rPr>
            </w:pPr>
            <w:r w:rsidRPr="004D25D4">
              <w:rPr>
                <w:lang w:val="en-GB"/>
              </w:rPr>
              <w:t>9</w:t>
            </w:r>
          </w:p>
        </w:tc>
        <w:tc>
          <w:tcPr>
            <w:tcW w:w="1378" w:type="dxa"/>
          </w:tcPr>
          <w:p w14:paraId="082B399C" w14:textId="77777777" w:rsidR="003E09C9" w:rsidRPr="004D25D4" w:rsidRDefault="003E09C9" w:rsidP="004D25D4">
            <w:pPr>
              <w:spacing w:line="240" w:lineRule="auto"/>
              <w:ind w:left="0"/>
              <w:jc w:val="both"/>
              <w:rPr>
                <w:lang w:val="en-GB"/>
              </w:rPr>
            </w:pPr>
            <w:r w:rsidRPr="004D25D4">
              <w:rPr>
                <w:lang w:val="en-GB"/>
              </w:rPr>
              <w:t>Moderate</w:t>
            </w:r>
          </w:p>
          <w:p w14:paraId="7D4DD056" w14:textId="77777777" w:rsidR="003E09C9" w:rsidRPr="004D25D4" w:rsidRDefault="003E09C9" w:rsidP="004D25D4">
            <w:pPr>
              <w:spacing w:line="240" w:lineRule="auto"/>
              <w:ind w:left="0"/>
              <w:jc w:val="both"/>
              <w:rPr>
                <w:lang w:val="en-GB"/>
              </w:rPr>
            </w:pPr>
            <w:r w:rsidRPr="004D25D4">
              <w:rPr>
                <w:lang w:val="en-GB"/>
              </w:rPr>
              <w:t>Very poor</w:t>
            </w:r>
          </w:p>
          <w:p w14:paraId="2D3E7C10" w14:textId="77777777" w:rsidR="003E09C9" w:rsidRPr="004D25D4" w:rsidRDefault="003E09C9" w:rsidP="004D25D4">
            <w:pPr>
              <w:spacing w:line="240" w:lineRule="auto"/>
              <w:ind w:left="0"/>
              <w:jc w:val="both"/>
              <w:rPr>
                <w:lang w:val="en-GB"/>
              </w:rPr>
            </w:pPr>
            <w:r w:rsidRPr="004D25D4">
              <w:rPr>
                <w:lang w:val="en-GB"/>
              </w:rPr>
              <w:t xml:space="preserve">Good </w:t>
            </w:r>
          </w:p>
          <w:p w14:paraId="512A3F5D" w14:textId="77777777" w:rsidR="003E09C9" w:rsidRPr="004D25D4" w:rsidRDefault="003E09C9" w:rsidP="004D25D4">
            <w:pPr>
              <w:spacing w:line="240" w:lineRule="auto"/>
              <w:ind w:left="0"/>
              <w:jc w:val="both"/>
              <w:rPr>
                <w:lang w:val="en-GB"/>
              </w:rPr>
            </w:pPr>
            <w:r w:rsidRPr="004D25D4">
              <w:rPr>
                <w:lang w:val="en-GB"/>
              </w:rPr>
              <w:t>Poor</w:t>
            </w:r>
          </w:p>
          <w:p w14:paraId="5CCDAC8C" w14:textId="77777777" w:rsidR="003E09C9" w:rsidRPr="004D25D4" w:rsidRDefault="003E09C9" w:rsidP="004D25D4">
            <w:pPr>
              <w:spacing w:line="240" w:lineRule="auto"/>
              <w:ind w:left="0"/>
              <w:jc w:val="both"/>
              <w:rPr>
                <w:lang w:val="en-GB"/>
              </w:rPr>
            </w:pPr>
            <w:r w:rsidRPr="004D25D4">
              <w:rPr>
                <w:lang w:val="en-GB"/>
              </w:rPr>
              <w:t>Good</w:t>
            </w:r>
          </w:p>
          <w:p w14:paraId="596167ED"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08DCCC9D" w14:textId="77777777" w:rsidR="003E09C9" w:rsidRPr="004D25D4" w:rsidRDefault="003E09C9" w:rsidP="004D25D4">
            <w:pPr>
              <w:spacing w:line="240" w:lineRule="auto"/>
              <w:ind w:left="0"/>
              <w:jc w:val="both"/>
              <w:rPr>
                <w:lang w:val="en-GB"/>
              </w:rPr>
            </w:pPr>
            <w:r w:rsidRPr="004D25D4">
              <w:rPr>
                <w:lang w:val="en-GB"/>
              </w:rPr>
              <w:t>0.112</w:t>
            </w:r>
          </w:p>
          <w:p w14:paraId="19A24A86" w14:textId="77777777" w:rsidR="003E09C9" w:rsidRPr="004D25D4" w:rsidRDefault="003E09C9" w:rsidP="004D25D4">
            <w:pPr>
              <w:spacing w:line="240" w:lineRule="auto"/>
              <w:ind w:left="0"/>
              <w:jc w:val="both"/>
              <w:rPr>
                <w:lang w:val="en-GB"/>
              </w:rPr>
            </w:pPr>
            <w:r w:rsidRPr="004D25D4">
              <w:rPr>
                <w:lang w:val="en-GB"/>
              </w:rPr>
              <w:t>0.032</w:t>
            </w:r>
          </w:p>
          <w:p w14:paraId="0211C5F5" w14:textId="77777777" w:rsidR="003E09C9" w:rsidRPr="004D25D4" w:rsidRDefault="003E09C9" w:rsidP="004D25D4">
            <w:pPr>
              <w:spacing w:line="240" w:lineRule="auto"/>
              <w:ind w:left="0"/>
              <w:jc w:val="both"/>
              <w:rPr>
                <w:lang w:val="en-GB"/>
              </w:rPr>
            </w:pPr>
            <w:r w:rsidRPr="004D25D4">
              <w:rPr>
                <w:lang w:val="en-GB"/>
              </w:rPr>
              <w:t>0.288</w:t>
            </w:r>
          </w:p>
          <w:p w14:paraId="7EE40238" w14:textId="77777777" w:rsidR="003E09C9" w:rsidRPr="004D25D4" w:rsidRDefault="003E09C9" w:rsidP="004D25D4">
            <w:pPr>
              <w:spacing w:line="240" w:lineRule="auto"/>
              <w:ind w:left="0"/>
              <w:jc w:val="both"/>
              <w:rPr>
                <w:lang w:val="en-GB"/>
              </w:rPr>
            </w:pPr>
            <w:r w:rsidRPr="004D25D4">
              <w:rPr>
                <w:lang w:val="en-GB"/>
              </w:rPr>
              <w:t>0.033</w:t>
            </w:r>
          </w:p>
          <w:p w14:paraId="0C3623B9" w14:textId="77777777" w:rsidR="003E09C9" w:rsidRPr="004D25D4" w:rsidRDefault="003E09C9" w:rsidP="004D25D4">
            <w:pPr>
              <w:spacing w:line="240" w:lineRule="auto"/>
              <w:ind w:left="0"/>
              <w:jc w:val="both"/>
              <w:rPr>
                <w:lang w:val="en-GB"/>
              </w:rPr>
            </w:pPr>
            <w:r w:rsidRPr="004D25D4">
              <w:rPr>
                <w:lang w:val="en-GB"/>
              </w:rPr>
              <w:t>0.143</w:t>
            </w:r>
          </w:p>
          <w:p w14:paraId="140520B0" w14:textId="77777777" w:rsidR="003E09C9" w:rsidRPr="004D25D4" w:rsidRDefault="003E09C9" w:rsidP="004D25D4">
            <w:pPr>
              <w:spacing w:line="240" w:lineRule="auto"/>
              <w:ind w:left="0"/>
              <w:jc w:val="both"/>
              <w:rPr>
                <w:lang w:val="en-GB"/>
              </w:rPr>
            </w:pPr>
            <w:r w:rsidRPr="004D25D4">
              <w:rPr>
                <w:lang w:val="en-GB"/>
              </w:rPr>
              <w:t>0.391</w:t>
            </w:r>
          </w:p>
        </w:tc>
        <w:tc>
          <w:tcPr>
            <w:tcW w:w="1653" w:type="dxa"/>
          </w:tcPr>
          <w:p w14:paraId="23C3C76C" w14:textId="77777777" w:rsidR="003E09C9" w:rsidRPr="004D25D4" w:rsidRDefault="003E09C9" w:rsidP="004D25D4">
            <w:pPr>
              <w:spacing w:line="240" w:lineRule="auto"/>
              <w:ind w:left="0"/>
              <w:jc w:val="both"/>
              <w:rPr>
                <w:lang w:val="en-GB"/>
              </w:rPr>
            </w:pPr>
            <w:r w:rsidRPr="004D25D4">
              <w:rPr>
                <w:lang w:val="en-GB"/>
              </w:rPr>
              <w:t>0.1013</w:t>
            </w:r>
          </w:p>
        </w:tc>
      </w:tr>
      <w:tr w:rsidR="003F590C" w:rsidRPr="00D00F16" w14:paraId="7991710C" w14:textId="77777777" w:rsidTr="004D25D4">
        <w:trPr>
          <w:trHeight w:val="225"/>
        </w:trPr>
        <w:tc>
          <w:tcPr>
            <w:tcW w:w="1511" w:type="dxa"/>
          </w:tcPr>
          <w:p w14:paraId="57781DE8" w14:textId="77777777" w:rsidR="003E09C9" w:rsidRPr="004D25D4" w:rsidRDefault="003E09C9" w:rsidP="004D25D4">
            <w:pPr>
              <w:spacing w:line="240" w:lineRule="auto"/>
              <w:ind w:left="0"/>
              <w:jc w:val="both"/>
              <w:rPr>
                <w:lang w:val="en-GB"/>
              </w:rPr>
            </w:pPr>
            <w:r w:rsidRPr="004D25D4">
              <w:rPr>
                <w:lang w:val="en-GB"/>
              </w:rPr>
              <w:t>Soil</w:t>
            </w:r>
          </w:p>
        </w:tc>
        <w:tc>
          <w:tcPr>
            <w:tcW w:w="2107" w:type="dxa"/>
          </w:tcPr>
          <w:p w14:paraId="362032CF" w14:textId="63400D29" w:rsidR="003E09C9" w:rsidRPr="004D25D4" w:rsidRDefault="003E09C9" w:rsidP="004D25D4">
            <w:pPr>
              <w:autoSpaceDE w:val="0"/>
              <w:autoSpaceDN w:val="0"/>
              <w:adjustRightInd w:val="0"/>
              <w:spacing w:line="240" w:lineRule="auto"/>
              <w:ind w:left="0"/>
              <w:jc w:val="both"/>
            </w:pPr>
            <w:r w:rsidRPr="004D25D4">
              <w:t xml:space="preserve">Ferric </w:t>
            </w:r>
            <w:proofErr w:type="spellStart"/>
            <w:r w:rsidR="00631F27" w:rsidRPr="004D25D4">
              <w:t>Luvisols</w:t>
            </w:r>
            <w:proofErr w:type="spellEnd"/>
          </w:p>
          <w:p w14:paraId="0C4A0DC3" w14:textId="77777777" w:rsidR="003E09C9" w:rsidRPr="004D25D4" w:rsidRDefault="003E09C9" w:rsidP="004D25D4">
            <w:pPr>
              <w:autoSpaceDE w:val="0"/>
              <w:autoSpaceDN w:val="0"/>
              <w:adjustRightInd w:val="0"/>
              <w:spacing w:line="240" w:lineRule="auto"/>
              <w:ind w:left="0"/>
              <w:jc w:val="both"/>
            </w:pPr>
            <w:r w:rsidRPr="004D25D4">
              <w:t>Lithosols</w:t>
            </w:r>
          </w:p>
        </w:tc>
        <w:tc>
          <w:tcPr>
            <w:tcW w:w="972" w:type="dxa"/>
          </w:tcPr>
          <w:p w14:paraId="0FFEAE29" w14:textId="77777777" w:rsidR="003E09C9" w:rsidRPr="004D25D4" w:rsidRDefault="003E09C9" w:rsidP="004D25D4">
            <w:pPr>
              <w:spacing w:line="240" w:lineRule="auto"/>
              <w:ind w:left="0"/>
              <w:jc w:val="both"/>
              <w:rPr>
                <w:lang w:val="en-GB"/>
              </w:rPr>
            </w:pPr>
            <w:r w:rsidRPr="004D25D4">
              <w:rPr>
                <w:lang w:val="en-GB"/>
              </w:rPr>
              <w:t>5</w:t>
            </w:r>
          </w:p>
          <w:p w14:paraId="386C16D7" w14:textId="77777777" w:rsidR="003E09C9" w:rsidRPr="004D25D4" w:rsidRDefault="003E09C9" w:rsidP="004D25D4">
            <w:pPr>
              <w:spacing w:line="240" w:lineRule="auto"/>
              <w:ind w:left="0"/>
              <w:jc w:val="both"/>
              <w:rPr>
                <w:lang w:val="en-GB"/>
              </w:rPr>
            </w:pPr>
            <w:r w:rsidRPr="004D25D4">
              <w:rPr>
                <w:lang w:val="en-GB"/>
              </w:rPr>
              <w:t>7</w:t>
            </w:r>
          </w:p>
        </w:tc>
        <w:tc>
          <w:tcPr>
            <w:tcW w:w="1378" w:type="dxa"/>
          </w:tcPr>
          <w:p w14:paraId="25B4F592" w14:textId="77777777" w:rsidR="003E09C9" w:rsidRPr="004D25D4" w:rsidRDefault="003E09C9" w:rsidP="004D25D4">
            <w:pPr>
              <w:spacing w:line="240" w:lineRule="auto"/>
              <w:ind w:left="0"/>
              <w:jc w:val="both"/>
              <w:rPr>
                <w:lang w:val="en-GB"/>
              </w:rPr>
            </w:pPr>
            <w:r w:rsidRPr="004D25D4">
              <w:rPr>
                <w:lang w:val="en-GB"/>
              </w:rPr>
              <w:t xml:space="preserve">Moderate </w:t>
            </w:r>
          </w:p>
          <w:p w14:paraId="2A3DB61C"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1C80225F" w14:textId="77777777" w:rsidR="003E09C9" w:rsidRPr="004D25D4" w:rsidRDefault="003E09C9" w:rsidP="004D25D4">
            <w:pPr>
              <w:spacing w:line="240" w:lineRule="auto"/>
              <w:ind w:left="0"/>
              <w:jc w:val="both"/>
              <w:rPr>
                <w:lang w:val="en-GB"/>
              </w:rPr>
            </w:pPr>
            <w:r w:rsidRPr="004D25D4">
              <w:rPr>
                <w:lang w:val="en-GB"/>
              </w:rPr>
              <w:t>0.333</w:t>
            </w:r>
          </w:p>
          <w:p w14:paraId="7AB353F3" w14:textId="77777777" w:rsidR="003E09C9" w:rsidRPr="004D25D4" w:rsidRDefault="003E09C9" w:rsidP="004D25D4">
            <w:pPr>
              <w:spacing w:line="240" w:lineRule="auto"/>
              <w:ind w:left="0"/>
              <w:jc w:val="both"/>
              <w:rPr>
                <w:lang w:val="en-GB"/>
              </w:rPr>
            </w:pPr>
            <w:r w:rsidRPr="004D25D4">
              <w:rPr>
                <w:lang w:val="en-GB"/>
              </w:rPr>
              <w:t>0.667</w:t>
            </w:r>
          </w:p>
        </w:tc>
        <w:tc>
          <w:tcPr>
            <w:tcW w:w="1653" w:type="dxa"/>
          </w:tcPr>
          <w:p w14:paraId="4CA88F62" w14:textId="77777777" w:rsidR="003E09C9" w:rsidRPr="004D25D4" w:rsidRDefault="003E09C9" w:rsidP="004D25D4">
            <w:pPr>
              <w:spacing w:line="240" w:lineRule="auto"/>
              <w:ind w:left="0"/>
              <w:jc w:val="both"/>
              <w:rPr>
                <w:lang w:val="en-GB"/>
              </w:rPr>
            </w:pPr>
            <w:r w:rsidRPr="004D25D4">
              <w:rPr>
                <w:lang w:val="en-GB"/>
              </w:rPr>
              <w:t>0.0980</w:t>
            </w:r>
          </w:p>
        </w:tc>
      </w:tr>
      <w:tr w:rsidR="003F590C" w:rsidRPr="00D00F16" w14:paraId="13680973" w14:textId="77777777" w:rsidTr="004D25D4">
        <w:trPr>
          <w:trHeight w:val="963"/>
        </w:trPr>
        <w:tc>
          <w:tcPr>
            <w:tcW w:w="1511" w:type="dxa"/>
          </w:tcPr>
          <w:p w14:paraId="5BAAE061" w14:textId="4C5FE44F" w:rsidR="003E09C9" w:rsidRPr="004D25D4" w:rsidRDefault="003E09C9" w:rsidP="004D25D4">
            <w:pPr>
              <w:spacing w:line="240" w:lineRule="auto"/>
              <w:ind w:left="0"/>
              <w:jc w:val="both"/>
              <w:rPr>
                <w:lang w:val="en-GB"/>
              </w:rPr>
            </w:pPr>
            <w:r w:rsidRPr="004D25D4">
              <w:rPr>
                <w:lang w:val="en-GB"/>
              </w:rPr>
              <w:t>Lineament density (</w:t>
            </w:r>
            <w:r w:rsidR="005257CF" w:rsidRPr="004D25D4">
              <w:rPr>
                <w:lang w:val="en-GB"/>
              </w:rPr>
              <w:t>k</w:t>
            </w:r>
            <w:r w:rsidRPr="004D25D4">
              <w:rPr>
                <w:lang w:val="en-GB"/>
              </w:rPr>
              <w:t>m/</w:t>
            </w:r>
            <w:r w:rsidR="005257CF" w:rsidRPr="004D25D4">
              <w:rPr>
                <w:lang w:val="en-GB"/>
              </w:rPr>
              <w:t>k</w:t>
            </w:r>
            <w:r w:rsidRPr="004D25D4">
              <w:rPr>
                <w:lang w:val="en-GB"/>
              </w:rPr>
              <w:t>m</w:t>
            </w:r>
            <w:r w:rsidRPr="004D25D4">
              <w:rPr>
                <w:vertAlign w:val="superscript"/>
                <w:lang w:val="en-GB"/>
              </w:rPr>
              <w:t>2</w:t>
            </w:r>
            <w:r w:rsidRPr="004D25D4">
              <w:rPr>
                <w:lang w:val="en-GB"/>
              </w:rPr>
              <w:t>)</w:t>
            </w:r>
          </w:p>
        </w:tc>
        <w:tc>
          <w:tcPr>
            <w:tcW w:w="2107" w:type="dxa"/>
          </w:tcPr>
          <w:p w14:paraId="456ECF5E" w14:textId="77777777" w:rsidR="003E09C9" w:rsidRPr="004D25D4" w:rsidRDefault="003E09C9" w:rsidP="004D25D4">
            <w:pPr>
              <w:spacing w:line="240" w:lineRule="auto"/>
              <w:ind w:left="0"/>
            </w:pPr>
            <w:r w:rsidRPr="004D25D4">
              <w:t>0.00-0.32</w:t>
            </w:r>
          </w:p>
          <w:p w14:paraId="471612BA" w14:textId="77777777" w:rsidR="003E09C9" w:rsidRPr="004D25D4" w:rsidRDefault="003E09C9" w:rsidP="004D25D4">
            <w:pPr>
              <w:spacing w:line="240" w:lineRule="auto"/>
              <w:ind w:left="0"/>
            </w:pPr>
            <w:r w:rsidRPr="004D25D4">
              <w:t xml:space="preserve">0.33–0.63 </w:t>
            </w:r>
          </w:p>
          <w:p w14:paraId="34D951A6" w14:textId="77777777" w:rsidR="003E09C9" w:rsidRPr="004D25D4" w:rsidRDefault="003E09C9" w:rsidP="004D25D4">
            <w:pPr>
              <w:spacing w:line="240" w:lineRule="auto"/>
              <w:ind w:left="0"/>
            </w:pPr>
            <w:r w:rsidRPr="004D25D4">
              <w:t>0.64-0.95</w:t>
            </w:r>
          </w:p>
          <w:p w14:paraId="101E0C3F" w14:textId="77777777" w:rsidR="003E09C9" w:rsidRPr="004D25D4" w:rsidRDefault="003E09C9" w:rsidP="004D25D4">
            <w:pPr>
              <w:spacing w:line="240" w:lineRule="auto"/>
              <w:ind w:left="0"/>
            </w:pPr>
            <w:r w:rsidRPr="004D25D4">
              <w:t xml:space="preserve">0.96-1.30 </w:t>
            </w:r>
          </w:p>
          <w:p w14:paraId="6BC8968A" w14:textId="77777777" w:rsidR="003E09C9" w:rsidRPr="004D25D4" w:rsidRDefault="003E09C9" w:rsidP="004D25D4">
            <w:pPr>
              <w:spacing w:line="240" w:lineRule="auto"/>
              <w:ind w:left="0"/>
            </w:pPr>
            <w:r w:rsidRPr="004D25D4">
              <w:t>1.40-1.60</w:t>
            </w:r>
          </w:p>
        </w:tc>
        <w:tc>
          <w:tcPr>
            <w:tcW w:w="972" w:type="dxa"/>
          </w:tcPr>
          <w:p w14:paraId="09441B2E" w14:textId="77777777" w:rsidR="003E09C9" w:rsidRPr="004D25D4" w:rsidRDefault="003E09C9" w:rsidP="004D25D4">
            <w:pPr>
              <w:spacing w:line="240" w:lineRule="auto"/>
              <w:ind w:left="0"/>
              <w:jc w:val="both"/>
              <w:rPr>
                <w:lang w:val="en-GB"/>
              </w:rPr>
            </w:pPr>
            <w:r w:rsidRPr="004D25D4">
              <w:rPr>
                <w:lang w:val="en-GB"/>
              </w:rPr>
              <w:t>1</w:t>
            </w:r>
          </w:p>
          <w:p w14:paraId="14D36EAF" w14:textId="77777777" w:rsidR="003E09C9" w:rsidRPr="004D25D4" w:rsidRDefault="003E09C9" w:rsidP="004D25D4">
            <w:pPr>
              <w:spacing w:line="240" w:lineRule="auto"/>
              <w:ind w:left="0"/>
              <w:jc w:val="both"/>
              <w:rPr>
                <w:lang w:val="en-GB"/>
              </w:rPr>
            </w:pPr>
            <w:r w:rsidRPr="004D25D4">
              <w:rPr>
                <w:lang w:val="en-GB"/>
              </w:rPr>
              <w:t>3</w:t>
            </w:r>
          </w:p>
          <w:p w14:paraId="0E49E12E" w14:textId="77777777" w:rsidR="003E09C9" w:rsidRPr="004D25D4" w:rsidRDefault="003E09C9" w:rsidP="004D25D4">
            <w:pPr>
              <w:spacing w:line="240" w:lineRule="auto"/>
              <w:ind w:left="0"/>
              <w:jc w:val="both"/>
              <w:rPr>
                <w:lang w:val="en-GB"/>
              </w:rPr>
            </w:pPr>
            <w:r w:rsidRPr="004D25D4">
              <w:rPr>
                <w:lang w:val="en-GB"/>
              </w:rPr>
              <w:t>5</w:t>
            </w:r>
          </w:p>
          <w:p w14:paraId="43505EA1" w14:textId="77777777" w:rsidR="003E09C9" w:rsidRPr="004D25D4" w:rsidRDefault="003E09C9" w:rsidP="004D25D4">
            <w:pPr>
              <w:spacing w:line="240" w:lineRule="auto"/>
              <w:ind w:left="0"/>
              <w:jc w:val="both"/>
              <w:rPr>
                <w:lang w:val="en-GB"/>
              </w:rPr>
            </w:pPr>
            <w:r w:rsidRPr="004D25D4">
              <w:rPr>
                <w:lang w:val="en-GB"/>
              </w:rPr>
              <w:t>7</w:t>
            </w:r>
          </w:p>
          <w:p w14:paraId="7D4B13D0" w14:textId="77777777" w:rsidR="003E09C9" w:rsidRPr="004D25D4" w:rsidRDefault="003E09C9" w:rsidP="004D25D4">
            <w:pPr>
              <w:spacing w:line="240" w:lineRule="auto"/>
              <w:ind w:left="0"/>
              <w:jc w:val="both"/>
              <w:rPr>
                <w:lang w:val="en-GB"/>
              </w:rPr>
            </w:pPr>
            <w:r w:rsidRPr="004D25D4">
              <w:rPr>
                <w:lang w:val="en-GB"/>
              </w:rPr>
              <w:t>9</w:t>
            </w:r>
          </w:p>
        </w:tc>
        <w:tc>
          <w:tcPr>
            <w:tcW w:w="1378" w:type="dxa"/>
          </w:tcPr>
          <w:p w14:paraId="4443FDC9" w14:textId="77777777" w:rsidR="003E09C9" w:rsidRPr="004D25D4" w:rsidRDefault="003E09C9" w:rsidP="004D25D4">
            <w:pPr>
              <w:spacing w:line="240" w:lineRule="auto"/>
              <w:ind w:left="0"/>
              <w:jc w:val="both"/>
              <w:rPr>
                <w:lang w:val="en-GB"/>
              </w:rPr>
            </w:pPr>
            <w:r w:rsidRPr="004D25D4">
              <w:rPr>
                <w:lang w:val="en-GB"/>
              </w:rPr>
              <w:t xml:space="preserve">Very poor </w:t>
            </w:r>
          </w:p>
          <w:p w14:paraId="7F6BDF28" w14:textId="77777777" w:rsidR="003E09C9" w:rsidRPr="004D25D4" w:rsidRDefault="003E09C9" w:rsidP="004D25D4">
            <w:pPr>
              <w:spacing w:line="240" w:lineRule="auto"/>
              <w:ind w:left="0"/>
              <w:jc w:val="both"/>
              <w:rPr>
                <w:lang w:val="en-GB"/>
              </w:rPr>
            </w:pPr>
            <w:r w:rsidRPr="004D25D4">
              <w:rPr>
                <w:lang w:val="en-GB"/>
              </w:rPr>
              <w:t xml:space="preserve">Poor </w:t>
            </w:r>
          </w:p>
          <w:p w14:paraId="685D0B3F" w14:textId="77777777" w:rsidR="003E09C9" w:rsidRPr="004D25D4" w:rsidRDefault="003E09C9" w:rsidP="004D25D4">
            <w:pPr>
              <w:spacing w:line="240" w:lineRule="auto"/>
              <w:ind w:left="0"/>
              <w:jc w:val="both"/>
              <w:rPr>
                <w:lang w:val="en-GB"/>
              </w:rPr>
            </w:pPr>
            <w:r w:rsidRPr="004D25D4">
              <w:rPr>
                <w:lang w:val="en-GB"/>
              </w:rPr>
              <w:t>Moderate</w:t>
            </w:r>
          </w:p>
          <w:p w14:paraId="54856AB1" w14:textId="77777777" w:rsidR="003E09C9" w:rsidRPr="004D25D4" w:rsidRDefault="003E09C9" w:rsidP="004D25D4">
            <w:pPr>
              <w:spacing w:line="240" w:lineRule="auto"/>
              <w:ind w:left="0"/>
              <w:jc w:val="both"/>
              <w:rPr>
                <w:lang w:val="en-GB"/>
              </w:rPr>
            </w:pPr>
            <w:r w:rsidRPr="004D25D4">
              <w:rPr>
                <w:lang w:val="en-GB"/>
              </w:rPr>
              <w:t>Good</w:t>
            </w:r>
          </w:p>
          <w:p w14:paraId="1D5AFD57"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46B5C1CE" w14:textId="77777777" w:rsidR="003E09C9" w:rsidRPr="004D25D4" w:rsidRDefault="003E09C9" w:rsidP="004D25D4">
            <w:pPr>
              <w:spacing w:line="240" w:lineRule="auto"/>
              <w:ind w:left="0"/>
              <w:jc w:val="both"/>
              <w:rPr>
                <w:lang w:val="en-GB"/>
              </w:rPr>
            </w:pPr>
            <w:r w:rsidRPr="004D25D4">
              <w:rPr>
                <w:lang w:val="en-GB"/>
              </w:rPr>
              <w:t>0.513</w:t>
            </w:r>
          </w:p>
          <w:p w14:paraId="45D8D573" w14:textId="77777777" w:rsidR="003E09C9" w:rsidRPr="004D25D4" w:rsidRDefault="003E09C9" w:rsidP="004D25D4">
            <w:pPr>
              <w:spacing w:line="240" w:lineRule="auto"/>
              <w:ind w:left="0"/>
              <w:jc w:val="both"/>
              <w:rPr>
                <w:lang w:val="en-GB"/>
              </w:rPr>
            </w:pPr>
            <w:r w:rsidRPr="004D25D4">
              <w:rPr>
                <w:lang w:val="en-GB"/>
              </w:rPr>
              <w:t>0.261</w:t>
            </w:r>
          </w:p>
          <w:p w14:paraId="2A817FE9" w14:textId="77777777" w:rsidR="003E09C9" w:rsidRPr="004D25D4" w:rsidRDefault="003E09C9" w:rsidP="004D25D4">
            <w:pPr>
              <w:spacing w:line="240" w:lineRule="auto"/>
              <w:ind w:left="0"/>
              <w:jc w:val="both"/>
              <w:rPr>
                <w:lang w:val="en-GB"/>
              </w:rPr>
            </w:pPr>
            <w:r w:rsidRPr="004D25D4">
              <w:rPr>
                <w:lang w:val="en-GB"/>
              </w:rPr>
              <w:t>0.129</w:t>
            </w:r>
          </w:p>
          <w:p w14:paraId="4514CD09" w14:textId="77777777" w:rsidR="003E09C9" w:rsidRPr="004D25D4" w:rsidRDefault="003E09C9" w:rsidP="004D25D4">
            <w:pPr>
              <w:spacing w:line="240" w:lineRule="auto"/>
              <w:ind w:left="0"/>
              <w:jc w:val="both"/>
              <w:rPr>
                <w:lang w:val="en-GB"/>
              </w:rPr>
            </w:pPr>
            <w:r w:rsidRPr="004D25D4">
              <w:rPr>
                <w:lang w:val="en-GB"/>
              </w:rPr>
              <w:t>0.063</w:t>
            </w:r>
          </w:p>
          <w:p w14:paraId="4A0A9F5F" w14:textId="77777777" w:rsidR="003E09C9" w:rsidRPr="004D25D4" w:rsidRDefault="003E09C9" w:rsidP="004D25D4">
            <w:pPr>
              <w:spacing w:line="240" w:lineRule="auto"/>
              <w:ind w:left="0"/>
              <w:jc w:val="both"/>
              <w:rPr>
                <w:lang w:val="en-GB"/>
              </w:rPr>
            </w:pPr>
            <w:r w:rsidRPr="004D25D4">
              <w:rPr>
                <w:lang w:val="en-GB"/>
              </w:rPr>
              <w:t>0.033</w:t>
            </w:r>
          </w:p>
        </w:tc>
        <w:tc>
          <w:tcPr>
            <w:tcW w:w="1653" w:type="dxa"/>
          </w:tcPr>
          <w:p w14:paraId="1490D5D5" w14:textId="77777777" w:rsidR="003E09C9" w:rsidRPr="004D25D4" w:rsidRDefault="003E09C9" w:rsidP="004D25D4">
            <w:pPr>
              <w:spacing w:line="240" w:lineRule="auto"/>
              <w:ind w:left="0"/>
              <w:jc w:val="both"/>
              <w:rPr>
                <w:lang w:val="en-GB"/>
              </w:rPr>
            </w:pPr>
            <w:r w:rsidRPr="004D25D4">
              <w:rPr>
                <w:lang w:val="en-GB"/>
              </w:rPr>
              <w:t>0.1892</w:t>
            </w:r>
          </w:p>
        </w:tc>
      </w:tr>
      <w:tr w:rsidR="003F590C" w:rsidRPr="00D00F16" w14:paraId="7DD9A3B5" w14:textId="77777777" w:rsidTr="004D25D4">
        <w:trPr>
          <w:trHeight w:val="873"/>
        </w:trPr>
        <w:tc>
          <w:tcPr>
            <w:tcW w:w="1511" w:type="dxa"/>
          </w:tcPr>
          <w:p w14:paraId="193F35AE" w14:textId="77777777" w:rsidR="003E09C9" w:rsidRPr="004D25D4" w:rsidRDefault="003E09C9" w:rsidP="004D25D4">
            <w:pPr>
              <w:spacing w:line="240" w:lineRule="auto"/>
              <w:ind w:left="0"/>
              <w:jc w:val="both"/>
              <w:rPr>
                <w:lang w:val="en-GB"/>
              </w:rPr>
            </w:pPr>
            <w:r w:rsidRPr="004D25D4">
              <w:rPr>
                <w:lang w:val="en-GB"/>
              </w:rPr>
              <w:t>Elevation (m)</w:t>
            </w:r>
          </w:p>
        </w:tc>
        <w:tc>
          <w:tcPr>
            <w:tcW w:w="2107" w:type="dxa"/>
          </w:tcPr>
          <w:p w14:paraId="28FB10D4" w14:textId="77777777" w:rsidR="003E09C9" w:rsidRPr="004D25D4" w:rsidRDefault="003E09C9" w:rsidP="004D25D4">
            <w:pPr>
              <w:spacing w:line="240" w:lineRule="auto"/>
              <w:ind w:left="0"/>
              <w:rPr>
                <w:lang w:val="en-GB"/>
              </w:rPr>
            </w:pPr>
            <w:r w:rsidRPr="004D25D4">
              <w:rPr>
                <w:lang w:val="en-GB"/>
              </w:rPr>
              <w:t>248-283</w:t>
            </w:r>
          </w:p>
          <w:p w14:paraId="42C16CD5" w14:textId="77777777" w:rsidR="003E09C9" w:rsidRPr="004D25D4" w:rsidRDefault="003E09C9" w:rsidP="004D25D4">
            <w:pPr>
              <w:spacing w:line="240" w:lineRule="auto"/>
              <w:ind w:left="0"/>
              <w:rPr>
                <w:lang w:val="en-GB"/>
              </w:rPr>
            </w:pPr>
            <w:r w:rsidRPr="004D25D4">
              <w:rPr>
                <w:lang w:val="en-GB"/>
              </w:rPr>
              <w:t>283-301</w:t>
            </w:r>
          </w:p>
          <w:p w14:paraId="1178FCBA" w14:textId="77777777" w:rsidR="003E09C9" w:rsidRPr="004D25D4" w:rsidRDefault="003E09C9" w:rsidP="004D25D4">
            <w:pPr>
              <w:spacing w:line="240" w:lineRule="auto"/>
              <w:ind w:left="0"/>
              <w:rPr>
                <w:lang w:val="en-GB"/>
              </w:rPr>
            </w:pPr>
            <w:r w:rsidRPr="004D25D4">
              <w:rPr>
                <w:lang w:val="en-GB"/>
              </w:rPr>
              <w:t>301-318</w:t>
            </w:r>
          </w:p>
          <w:p w14:paraId="69841AC6" w14:textId="77777777" w:rsidR="003E09C9" w:rsidRPr="004D25D4" w:rsidRDefault="003E09C9" w:rsidP="004D25D4">
            <w:pPr>
              <w:spacing w:line="240" w:lineRule="auto"/>
              <w:ind w:left="0"/>
              <w:rPr>
                <w:lang w:val="en-GB"/>
              </w:rPr>
            </w:pPr>
            <w:r w:rsidRPr="004D25D4">
              <w:rPr>
                <w:lang w:val="en-GB"/>
              </w:rPr>
              <w:t>318-335</w:t>
            </w:r>
          </w:p>
          <w:p w14:paraId="0C040868" w14:textId="77777777" w:rsidR="003E09C9" w:rsidRPr="004D25D4" w:rsidRDefault="003E09C9" w:rsidP="004D25D4">
            <w:pPr>
              <w:spacing w:line="240" w:lineRule="auto"/>
              <w:ind w:left="0"/>
              <w:rPr>
                <w:lang w:val="en-GB"/>
              </w:rPr>
            </w:pPr>
            <w:r w:rsidRPr="004D25D4">
              <w:rPr>
                <w:lang w:val="en-GB"/>
              </w:rPr>
              <w:t>335-369</w:t>
            </w:r>
          </w:p>
        </w:tc>
        <w:tc>
          <w:tcPr>
            <w:tcW w:w="972" w:type="dxa"/>
          </w:tcPr>
          <w:p w14:paraId="11C33588" w14:textId="77777777" w:rsidR="003E09C9" w:rsidRPr="004D25D4" w:rsidRDefault="003E09C9" w:rsidP="004D25D4">
            <w:pPr>
              <w:spacing w:line="240" w:lineRule="auto"/>
              <w:ind w:left="0"/>
              <w:jc w:val="both"/>
              <w:rPr>
                <w:lang w:val="en-GB"/>
              </w:rPr>
            </w:pPr>
            <w:r w:rsidRPr="004D25D4">
              <w:rPr>
                <w:lang w:val="en-GB"/>
              </w:rPr>
              <w:t>9</w:t>
            </w:r>
          </w:p>
          <w:p w14:paraId="08E95B48" w14:textId="77777777" w:rsidR="003E09C9" w:rsidRPr="004D25D4" w:rsidRDefault="003E09C9" w:rsidP="004D25D4">
            <w:pPr>
              <w:spacing w:line="240" w:lineRule="auto"/>
              <w:ind w:left="0"/>
              <w:jc w:val="both"/>
              <w:rPr>
                <w:lang w:val="en-GB"/>
              </w:rPr>
            </w:pPr>
            <w:r w:rsidRPr="004D25D4">
              <w:rPr>
                <w:lang w:val="en-GB"/>
              </w:rPr>
              <w:t>7</w:t>
            </w:r>
          </w:p>
          <w:p w14:paraId="7B5F8775" w14:textId="77777777" w:rsidR="003E09C9" w:rsidRPr="004D25D4" w:rsidRDefault="003E09C9" w:rsidP="004D25D4">
            <w:pPr>
              <w:spacing w:line="240" w:lineRule="auto"/>
              <w:ind w:left="0"/>
              <w:jc w:val="both"/>
              <w:rPr>
                <w:lang w:val="en-GB"/>
              </w:rPr>
            </w:pPr>
            <w:r w:rsidRPr="004D25D4">
              <w:rPr>
                <w:lang w:val="en-GB"/>
              </w:rPr>
              <w:t>5</w:t>
            </w:r>
          </w:p>
          <w:p w14:paraId="1ADC9D73" w14:textId="77777777" w:rsidR="003E09C9" w:rsidRPr="004D25D4" w:rsidRDefault="003E09C9" w:rsidP="004D25D4">
            <w:pPr>
              <w:spacing w:line="240" w:lineRule="auto"/>
              <w:ind w:left="0"/>
              <w:jc w:val="both"/>
              <w:rPr>
                <w:lang w:val="en-GB"/>
              </w:rPr>
            </w:pPr>
            <w:r w:rsidRPr="004D25D4">
              <w:rPr>
                <w:lang w:val="en-GB"/>
              </w:rPr>
              <w:t>3</w:t>
            </w:r>
          </w:p>
          <w:p w14:paraId="1C9107B1" w14:textId="77777777" w:rsidR="003E09C9" w:rsidRPr="004D25D4" w:rsidRDefault="003E09C9" w:rsidP="004D25D4">
            <w:pPr>
              <w:spacing w:line="240" w:lineRule="auto"/>
              <w:ind w:left="0"/>
              <w:jc w:val="both"/>
              <w:rPr>
                <w:lang w:val="en-GB"/>
              </w:rPr>
            </w:pPr>
            <w:r w:rsidRPr="004D25D4">
              <w:rPr>
                <w:lang w:val="en-GB"/>
              </w:rPr>
              <w:t>1</w:t>
            </w:r>
          </w:p>
        </w:tc>
        <w:tc>
          <w:tcPr>
            <w:tcW w:w="1378" w:type="dxa"/>
          </w:tcPr>
          <w:p w14:paraId="02E0CCA6" w14:textId="77777777" w:rsidR="003E09C9" w:rsidRPr="004D25D4" w:rsidRDefault="003E09C9" w:rsidP="004D25D4">
            <w:pPr>
              <w:spacing w:line="240" w:lineRule="auto"/>
              <w:ind w:left="0"/>
              <w:jc w:val="both"/>
              <w:rPr>
                <w:lang w:val="en-GB"/>
              </w:rPr>
            </w:pPr>
            <w:r w:rsidRPr="004D25D4">
              <w:rPr>
                <w:lang w:val="en-GB"/>
              </w:rPr>
              <w:t xml:space="preserve">Very good </w:t>
            </w:r>
          </w:p>
          <w:p w14:paraId="0517AA64" w14:textId="77777777" w:rsidR="003E09C9" w:rsidRPr="004D25D4" w:rsidRDefault="003E09C9" w:rsidP="004D25D4">
            <w:pPr>
              <w:spacing w:line="240" w:lineRule="auto"/>
              <w:ind w:left="0"/>
              <w:jc w:val="both"/>
              <w:rPr>
                <w:lang w:val="en-GB"/>
              </w:rPr>
            </w:pPr>
            <w:r w:rsidRPr="004D25D4">
              <w:rPr>
                <w:lang w:val="en-GB"/>
              </w:rPr>
              <w:t>Good</w:t>
            </w:r>
          </w:p>
          <w:p w14:paraId="77F066A4" w14:textId="77777777" w:rsidR="003E09C9" w:rsidRPr="004D25D4" w:rsidRDefault="003E09C9" w:rsidP="004D25D4">
            <w:pPr>
              <w:spacing w:line="240" w:lineRule="auto"/>
              <w:ind w:left="0"/>
              <w:jc w:val="both"/>
              <w:rPr>
                <w:lang w:val="en-GB"/>
              </w:rPr>
            </w:pPr>
            <w:r w:rsidRPr="004D25D4">
              <w:rPr>
                <w:lang w:val="en-GB"/>
              </w:rPr>
              <w:t>Moderate</w:t>
            </w:r>
          </w:p>
          <w:p w14:paraId="5C9E87C5" w14:textId="77777777" w:rsidR="003E09C9" w:rsidRPr="004D25D4" w:rsidRDefault="003E09C9" w:rsidP="004D25D4">
            <w:pPr>
              <w:spacing w:line="240" w:lineRule="auto"/>
              <w:ind w:left="0"/>
              <w:jc w:val="both"/>
              <w:rPr>
                <w:lang w:val="en-GB"/>
              </w:rPr>
            </w:pPr>
            <w:r w:rsidRPr="004D25D4">
              <w:rPr>
                <w:lang w:val="en-GB"/>
              </w:rPr>
              <w:t>Poor</w:t>
            </w:r>
          </w:p>
          <w:p w14:paraId="48CB7858" w14:textId="77777777" w:rsidR="003E09C9" w:rsidRPr="004D25D4" w:rsidRDefault="003E09C9" w:rsidP="004D25D4">
            <w:pPr>
              <w:spacing w:line="240" w:lineRule="auto"/>
              <w:ind w:left="0"/>
              <w:jc w:val="both"/>
              <w:rPr>
                <w:lang w:val="en-GB"/>
              </w:rPr>
            </w:pPr>
            <w:r w:rsidRPr="004D25D4">
              <w:rPr>
                <w:lang w:val="en-GB"/>
              </w:rPr>
              <w:t>Very poor</w:t>
            </w:r>
          </w:p>
        </w:tc>
        <w:tc>
          <w:tcPr>
            <w:tcW w:w="1937" w:type="dxa"/>
          </w:tcPr>
          <w:p w14:paraId="40D49166" w14:textId="77777777" w:rsidR="003E09C9" w:rsidRPr="004D25D4" w:rsidRDefault="003E09C9" w:rsidP="004D25D4">
            <w:pPr>
              <w:spacing w:line="240" w:lineRule="auto"/>
              <w:ind w:left="0"/>
              <w:jc w:val="both"/>
              <w:rPr>
                <w:lang w:val="en-GB"/>
              </w:rPr>
            </w:pPr>
            <w:r w:rsidRPr="004D25D4">
              <w:rPr>
                <w:lang w:val="en-GB"/>
              </w:rPr>
              <w:t>0.513</w:t>
            </w:r>
          </w:p>
          <w:p w14:paraId="35DAD032" w14:textId="77777777" w:rsidR="003E09C9" w:rsidRPr="004D25D4" w:rsidRDefault="003E09C9" w:rsidP="004D25D4">
            <w:pPr>
              <w:spacing w:line="240" w:lineRule="auto"/>
              <w:ind w:left="0"/>
              <w:jc w:val="both"/>
              <w:rPr>
                <w:lang w:val="en-GB"/>
              </w:rPr>
            </w:pPr>
            <w:r w:rsidRPr="004D25D4">
              <w:rPr>
                <w:lang w:val="en-GB"/>
              </w:rPr>
              <w:t>0.261</w:t>
            </w:r>
          </w:p>
          <w:p w14:paraId="2671D559" w14:textId="77777777" w:rsidR="003E09C9" w:rsidRPr="004D25D4" w:rsidRDefault="003E09C9" w:rsidP="004D25D4">
            <w:pPr>
              <w:spacing w:line="240" w:lineRule="auto"/>
              <w:ind w:left="0"/>
              <w:jc w:val="both"/>
              <w:rPr>
                <w:lang w:val="en-GB"/>
              </w:rPr>
            </w:pPr>
            <w:r w:rsidRPr="004D25D4">
              <w:rPr>
                <w:lang w:val="en-GB"/>
              </w:rPr>
              <w:t>0.129</w:t>
            </w:r>
          </w:p>
          <w:p w14:paraId="7812803C" w14:textId="77777777" w:rsidR="003E09C9" w:rsidRPr="004D25D4" w:rsidRDefault="003E09C9" w:rsidP="004D25D4">
            <w:pPr>
              <w:spacing w:line="240" w:lineRule="auto"/>
              <w:ind w:left="0"/>
              <w:jc w:val="both"/>
              <w:rPr>
                <w:lang w:val="en-GB"/>
              </w:rPr>
            </w:pPr>
            <w:r w:rsidRPr="004D25D4">
              <w:rPr>
                <w:lang w:val="en-GB"/>
              </w:rPr>
              <w:t>0.063</w:t>
            </w:r>
          </w:p>
          <w:p w14:paraId="78CE73E1" w14:textId="77777777" w:rsidR="003E09C9" w:rsidRPr="004D25D4" w:rsidRDefault="003E09C9" w:rsidP="004D25D4">
            <w:pPr>
              <w:spacing w:line="240" w:lineRule="auto"/>
              <w:ind w:left="0"/>
              <w:jc w:val="both"/>
              <w:rPr>
                <w:lang w:val="en-GB"/>
              </w:rPr>
            </w:pPr>
            <w:r w:rsidRPr="004D25D4">
              <w:rPr>
                <w:lang w:val="en-GB"/>
              </w:rPr>
              <w:t>0.033</w:t>
            </w:r>
          </w:p>
        </w:tc>
        <w:tc>
          <w:tcPr>
            <w:tcW w:w="1653" w:type="dxa"/>
          </w:tcPr>
          <w:p w14:paraId="23408922" w14:textId="77777777" w:rsidR="003E09C9" w:rsidRPr="004D25D4" w:rsidRDefault="003E09C9" w:rsidP="004D25D4">
            <w:pPr>
              <w:spacing w:line="240" w:lineRule="auto"/>
              <w:ind w:left="0"/>
              <w:jc w:val="both"/>
              <w:rPr>
                <w:lang w:val="en-GB"/>
              </w:rPr>
            </w:pPr>
            <w:r w:rsidRPr="004D25D4">
              <w:rPr>
                <w:lang w:val="en-GB"/>
              </w:rPr>
              <w:t>0.0388</w:t>
            </w:r>
          </w:p>
        </w:tc>
      </w:tr>
      <w:tr w:rsidR="003F590C" w:rsidRPr="00D00F16" w14:paraId="6445FF25" w14:textId="77777777" w:rsidTr="004D25D4">
        <w:trPr>
          <w:trHeight w:val="522"/>
        </w:trPr>
        <w:tc>
          <w:tcPr>
            <w:tcW w:w="1511" w:type="dxa"/>
          </w:tcPr>
          <w:p w14:paraId="216A4619" w14:textId="5AC72E7B" w:rsidR="003E09C9" w:rsidRPr="004D25D4" w:rsidRDefault="003E09C9" w:rsidP="004D25D4">
            <w:pPr>
              <w:spacing w:line="240" w:lineRule="auto"/>
              <w:ind w:left="0"/>
              <w:jc w:val="both"/>
              <w:rPr>
                <w:lang w:val="en-GB"/>
              </w:rPr>
            </w:pPr>
            <w:r w:rsidRPr="004D25D4">
              <w:rPr>
                <w:lang w:val="en-GB"/>
              </w:rPr>
              <w:t>Drainage density (</w:t>
            </w:r>
            <w:r w:rsidR="005257CF" w:rsidRPr="004D25D4">
              <w:rPr>
                <w:lang w:val="en-GB"/>
              </w:rPr>
              <w:t>k</w:t>
            </w:r>
            <w:r w:rsidRPr="004D25D4">
              <w:rPr>
                <w:lang w:val="en-GB"/>
              </w:rPr>
              <w:t>m/</w:t>
            </w:r>
            <w:r w:rsidR="005257CF" w:rsidRPr="004D25D4">
              <w:rPr>
                <w:lang w:val="en-GB"/>
              </w:rPr>
              <w:t>k</w:t>
            </w:r>
            <w:r w:rsidRPr="004D25D4">
              <w:rPr>
                <w:lang w:val="en-GB"/>
              </w:rPr>
              <w:t>m</w:t>
            </w:r>
            <w:r w:rsidRPr="004D25D4">
              <w:rPr>
                <w:vertAlign w:val="superscript"/>
                <w:lang w:val="en-GB"/>
              </w:rPr>
              <w:t>2</w:t>
            </w:r>
            <w:r w:rsidRPr="004D25D4">
              <w:rPr>
                <w:lang w:val="en-GB"/>
              </w:rPr>
              <w:t>)</w:t>
            </w:r>
          </w:p>
        </w:tc>
        <w:tc>
          <w:tcPr>
            <w:tcW w:w="2107" w:type="dxa"/>
          </w:tcPr>
          <w:p w14:paraId="051003EE" w14:textId="77777777" w:rsidR="003E09C9" w:rsidRPr="004D25D4" w:rsidRDefault="003E09C9" w:rsidP="004D25D4">
            <w:pPr>
              <w:spacing w:line="240" w:lineRule="auto"/>
              <w:ind w:left="0"/>
            </w:pPr>
            <w:r w:rsidRPr="004D25D4">
              <w:t>0.00–0.21</w:t>
            </w:r>
          </w:p>
          <w:p w14:paraId="52736294" w14:textId="77777777" w:rsidR="003E09C9" w:rsidRPr="004D25D4" w:rsidRDefault="003E09C9" w:rsidP="004D25D4">
            <w:pPr>
              <w:spacing w:line="240" w:lineRule="auto"/>
              <w:ind w:left="0"/>
            </w:pPr>
            <w:r w:rsidRPr="004D25D4">
              <w:t>0.22–0.54</w:t>
            </w:r>
          </w:p>
          <w:p w14:paraId="2F99AC8C" w14:textId="77777777" w:rsidR="003E09C9" w:rsidRPr="004D25D4" w:rsidRDefault="003E09C9" w:rsidP="004D25D4">
            <w:pPr>
              <w:spacing w:line="240" w:lineRule="auto"/>
              <w:ind w:left="0"/>
            </w:pPr>
            <w:r w:rsidRPr="004D25D4">
              <w:t xml:space="preserve">0.55–0.89 </w:t>
            </w:r>
          </w:p>
          <w:p w14:paraId="357D361A" w14:textId="77777777" w:rsidR="003E09C9" w:rsidRPr="004D25D4" w:rsidRDefault="003E09C9" w:rsidP="004D25D4">
            <w:pPr>
              <w:spacing w:line="240" w:lineRule="auto"/>
              <w:ind w:left="0"/>
            </w:pPr>
            <w:r w:rsidRPr="004D25D4">
              <w:t xml:space="preserve">0.90-1.30 </w:t>
            </w:r>
          </w:p>
          <w:p w14:paraId="1F91429D" w14:textId="77777777" w:rsidR="003E09C9" w:rsidRPr="004D25D4" w:rsidRDefault="003E09C9" w:rsidP="004D25D4">
            <w:pPr>
              <w:spacing w:line="240" w:lineRule="auto"/>
              <w:ind w:left="0"/>
              <w:rPr>
                <w:lang w:val="en-GB"/>
              </w:rPr>
            </w:pPr>
            <w:r w:rsidRPr="004D25D4">
              <w:t>1.40–2.00</w:t>
            </w:r>
          </w:p>
        </w:tc>
        <w:tc>
          <w:tcPr>
            <w:tcW w:w="972" w:type="dxa"/>
          </w:tcPr>
          <w:p w14:paraId="22B5393C" w14:textId="77777777" w:rsidR="003E09C9" w:rsidRPr="004D25D4" w:rsidRDefault="003E09C9" w:rsidP="004D25D4">
            <w:pPr>
              <w:spacing w:line="240" w:lineRule="auto"/>
              <w:ind w:left="0"/>
              <w:jc w:val="both"/>
              <w:rPr>
                <w:lang w:val="en-GB"/>
              </w:rPr>
            </w:pPr>
            <w:r w:rsidRPr="004D25D4">
              <w:rPr>
                <w:lang w:val="en-GB"/>
              </w:rPr>
              <w:t>9</w:t>
            </w:r>
          </w:p>
          <w:p w14:paraId="1D616F1E" w14:textId="77777777" w:rsidR="003E09C9" w:rsidRPr="004D25D4" w:rsidRDefault="003E09C9" w:rsidP="004D25D4">
            <w:pPr>
              <w:spacing w:line="240" w:lineRule="auto"/>
              <w:ind w:left="0"/>
              <w:jc w:val="both"/>
              <w:rPr>
                <w:lang w:val="en-GB"/>
              </w:rPr>
            </w:pPr>
            <w:r w:rsidRPr="004D25D4">
              <w:rPr>
                <w:lang w:val="en-GB"/>
              </w:rPr>
              <w:t>7</w:t>
            </w:r>
          </w:p>
          <w:p w14:paraId="3DF08DD7" w14:textId="77777777" w:rsidR="003E09C9" w:rsidRPr="004D25D4" w:rsidRDefault="003E09C9" w:rsidP="004D25D4">
            <w:pPr>
              <w:spacing w:line="240" w:lineRule="auto"/>
              <w:ind w:left="0"/>
              <w:jc w:val="both"/>
              <w:rPr>
                <w:lang w:val="en-GB"/>
              </w:rPr>
            </w:pPr>
            <w:r w:rsidRPr="004D25D4">
              <w:rPr>
                <w:lang w:val="en-GB"/>
              </w:rPr>
              <w:t>5</w:t>
            </w:r>
          </w:p>
          <w:p w14:paraId="507E56EF" w14:textId="77777777" w:rsidR="003E09C9" w:rsidRPr="004D25D4" w:rsidRDefault="003E09C9" w:rsidP="004D25D4">
            <w:pPr>
              <w:spacing w:line="240" w:lineRule="auto"/>
              <w:ind w:left="0"/>
              <w:jc w:val="both"/>
              <w:rPr>
                <w:lang w:val="en-GB"/>
              </w:rPr>
            </w:pPr>
            <w:r w:rsidRPr="004D25D4">
              <w:rPr>
                <w:lang w:val="en-GB"/>
              </w:rPr>
              <w:t>3</w:t>
            </w:r>
          </w:p>
          <w:p w14:paraId="19D9E2E5" w14:textId="77777777" w:rsidR="003E09C9" w:rsidRPr="004D25D4" w:rsidRDefault="003E09C9" w:rsidP="004D25D4">
            <w:pPr>
              <w:spacing w:line="240" w:lineRule="auto"/>
              <w:ind w:left="0"/>
              <w:jc w:val="both"/>
              <w:rPr>
                <w:lang w:val="en-GB"/>
              </w:rPr>
            </w:pPr>
            <w:r w:rsidRPr="004D25D4">
              <w:rPr>
                <w:lang w:val="en-GB"/>
              </w:rPr>
              <w:t>1</w:t>
            </w:r>
          </w:p>
        </w:tc>
        <w:tc>
          <w:tcPr>
            <w:tcW w:w="1378" w:type="dxa"/>
          </w:tcPr>
          <w:p w14:paraId="56E23D63" w14:textId="77777777" w:rsidR="003E09C9" w:rsidRPr="004D25D4" w:rsidRDefault="003E09C9" w:rsidP="004D25D4">
            <w:pPr>
              <w:spacing w:line="240" w:lineRule="auto"/>
              <w:ind w:left="0"/>
              <w:jc w:val="both"/>
              <w:rPr>
                <w:lang w:val="en-GB"/>
              </w:rPr>
            </w:pPr>
            <w:r w:rsidRPr="004D25D4">
              <w:rPr>
                <w:lang w:val="en-GB"/>
              </w:rPr>
              <w:t>Very good</w:t>
            </w:r>
          </w:p>
          <w:p w14:paraId="4059E2C5" w14:textId="77777777" w:rsidR="003E09C9" w:rsidRPr="004D25D4" w:rsidRDefault="003E09C9" w:rsidP="004D25D4">
            <w:pPr>
              <w:spacing w:line="240" w:lineRule="auto"/>
              <w:ind w:left="0"/>
              <w:jc w:val="both"/>
              <w:rPr>
                <w:lang w:val="en-GB"/>
              </w:rPr>
            </w:pPr>
            <w:r w:rsidRPr="004D25D4">
              <w:rPr>
                <w:lang w:val="en-GB"/>
              </w:rPr>
              <w:t>Good</w:t>
            </w:r>
          </w:p>
          <w:p w14:paraId="535D774E" w14:textId="77777777" w:rsidR="003E09C9" w:rsidRPr="004D25D4" w:rsidRDefault="003E09C9" w:rsidP="004D25D4">
            <w:pPr>
              <w:spacing w:line="240" w:lineRule="auto"/>
              <w:ind w:left="0"/>
              <w:jc w:val="both"/>
              <w:rPr>
                <w:lang w:val="en-GB"/>
              </w:rPr>
            </w:pPr>
            <w:r w:rsidRPr="004D25D4">
              <w:rPr>
                <w:lang w:val="en-GB"/>
              </w:rPr>
              <w:t>Moderate</w:t>
            </w:r>
          </w:p>
          <w:p w14:paraId="43B6E013" w14:textId="77777777" w:rsidR="003E09C9" w:rsidRPr="004D25D4" w:rsidRDefault="003E09C9" w:rsidP="004D25D4">
            <w:pPr>
              <w:spacing w:line="240" w:lineRule="auto"/>
              <w:ind w:left="0"/>
              <w:jc w:val="both"/>
              <w:rPr>
                <w:lang w:val="en-GB"/>
              </w:rPr>
            </w:pPr>
            <w:r w:rsidRPr="004D25D4">
              <w:rPr>
                <w:lang w:val="en-GB"/>
              </w:rPr>
              <w:t xml:space="preserve">Poor </w:t>
            </w:r>
          </w:p>
          <w:p w14:paraId="59BF1297" w14:textId="77777777" w:rsidR="003E09C9" w:rsidRPr="004D25D4" w:rsidRDefault="003E09C9" w:rsidP="004D25D4">
            <w:pPr>
              <w:spacing w:line="240" w:lineRule="auto"/>
              <w:ind w:left="0"/>
              <w:jc w:val="both"/>
              <w:rPr>
                <w:lang w:val="en-GB"/>
              </w:rPr>
            </w:pPr>
            <w:r w:rsidRPr="004D25D4">
              <w:rPr>
                <w:lang w:val="en-GB"/>
              </w:rPr>
              <w:t>Very poor</w:t>
            </w:r>
          </w:p>
        </w:tc>
        <w:tc>
          <w:tcPr>
            <w:tcW w:w="1937" w:type="dxa"/>
          </w:tcPr>
          <w:p w14:paraId="123914F5" w14:textId="77777777" w:rsidR="003E09C9" w:rsidRPr="004D25D4" w:rsidRDefault="003E09C9" w:rsidP="004D25D4">
            <w:pPr>
              <w:spacing w:line="240" w:lineRule="auto"/>
              <w:ind w:left="0"/>
              <w:jc w:val="both"/>
              <w:rPr>
                <w:lang w:val="en-GB"/>
              </w:rPr>
            </w:pPr>
            <w:r w:rsidRPr="004D25D4">
              <w:rPr>
                <w:lang w:val="en-GB"/>
              </w:rPr>
              <w:t>0.507</w:t>
            </w:r>
          </w:p>
          <w:p w14:paraId="32E5B646" w14:textId="77777777" w:rsidR="003E09C9" w:rsidRPr="004D25D4" w:rsidRDefault="003E09C9" w:rsidP="004D25D4">
            <w:pPr>
              <w:spacing w:line="240" w:lineRule="auto"/>
              <w:ind w:left="0"/>
              <w:jc w:val="both"/>
              <w:rPr>
                <w:lang w:val="en-GB"/>
              </w:rPr>
            </w:pPr>
            <w:r w:rsidRPr="004D25D4">
              <w:rPr>
                <w:lang w:val="en-GB"/>
              </w:rPr>
              <w:t>0.285</w:t>
            </w:r>
          </w:p>
          <w:p w14:paraId="318E68E8" w14:textId="77777777" w:rsidR="003E09C9" w:rsidRPr="004D25D4" w:rsidRDefault="003E09C9" w:rsidP="004D25D4">
            <w:pPr>
              <w:spacing w:line="240" w:lineRule="auto"/>
              <w:ind w:left="0"/>
              <w:jc w:val="both"/>
              <w:rPr>
                <w:lang w:val="en-GB"/>
              </w:rPr>
            </w:pPr>
            <w:r w:rsidRPr="004D25D4">
              <w:rPr>
                <w:lang w:val="en-GB"/>
              </w:rPr>
              <w:t>0.124</w:t>
            </w:r>
          </w:p>
          <w:p w14:paraId="3F5B5F14" w14:textId="77777777" w:rsidR="003E09C9" w:rsidRPr="004D25D4" w:rsidRDefault="003E09C9" w:rsidP="004D25D4">
            <w:pPr>
              <w:spacing w:line="240" w:lineRule="auto"/>
              <w:ind w:left="0"/>
              <w:jc w:val="both"/>
              <w:rPr>
                <w:lang w:val="en-GB"/>
              </w:rPr>
            </w:pPr>
            <w:r w:rsidRPr="004D25D4">
              <w:rPr>
                <w:lang w:val="en-GB"/>
              </w:rPr>
              <w:t>0.046</w:t>
            </w:r>
          </w:p>
          <w:p w14:paraId="2F5B5117" w14:textId="77777777" w:rsidR="003E09C9" w:rsidRPr="004D25D4" w:rsidRDefault="003E09C9" w:rsidP="004D25D4">
            <w:pPr>
              <w:spacing w:line="240" w:lineRule="auto"/>
              <w:ind w:left="0"/>
              <w:jc w:val="both"/>
              <w:rPr>
                <w:lang w:val="en-GB"/>
              </w:rPr>
            </w:pPr>
            <w:r w:rsidRPr="004D25D4">
              <w:rPr>
                <w:lang w:val="en-GB"/>
              </w:rPr>
              <w:t>0.038</w:t>
            </w:r>
          </w:p>
        </w:tc>
        <w:tc>
          <w:tcPr>
            <w:tcW w:w="1653" w:type="dxa"/>
          </w:tcPr>
          <w:p w14:paraId="5D42BC7D" w14:textId="77777777" w:rsidR="003E09C9" w:rsidRPr="004D25D4" w:rsidRDefault="003E09C9" w:rsidP="004D25D4">
            <w:pPr>
              <w:spacing w:line="240" w:lineRule="auto"/>
              <w:ind w:left="0"/>
              <w:jc w:val="both"/>
              <w:rPr>
                <w:lang w:val="en-GB"/>
              </w:rPr>
            </w:pPr>
            <w:r w:rsidRPr="004D25D4">
              <w:rPr>
                <w:lang w:val="en-GB"/>
              </w:rPr>
              <w:t>0.1025</w:t>
            </w:r>
          </w:p>
        </w:tc>
      </w:tr>
      <w:tr w:rsidR="003F590C" w:rsidRPr="00D00F16" w14:paraId="640B51F7" w14:textId="77777777" w:rsidTr="004D25D4">
        <w:trPr>
          <w:trHeight w:val="810"/>
        </w:trPr>
        <w:tc>
          <w:tcPr>
            <w:tcW w:w="1511" w:type="dxa"/>
          </w:tcPr>
          <w:p w14:paraId="6C5A1252" w14:textId="77777777" w:rsidR="003E09C9" w:rsidRPr="004D25D4" w:rsidRDefault="003E09C9" w:rsidP="004D25D4">
            <w:pPr>
              <w:spacing w:line="240" w:lineRule="auto"/>
              <w:ind w:left="0"/>
              <w:jc w:val="both"/>
              <w:rPr>
                <w:lang w:val="en-GB"/>
              </w:rPr>
            </w:pPr>
            <w:r w:rsidRPr="004D25D4">
              <w:rPr>
                <w:lang w:val="en-GB"/>
              </w:rPr>
              <w:t>Slope (⁰)</w:t>
            </w:r>
          </w:p>
        </w:tc>
        <w:tc>
          <w:tcPr>
            <w:tcW w:w="2107" w:type="dxa"/>
          </w:tcPr>
          <w:p w14:paraId="567DB27F" w14:textId="77777777" w:rsidR="003E09C9" w:rsidRPr="004D25D4" w:rsidRDefault="003E09C9" w:rsidP="004D25D4">
            <w:pPr>
              <w:spacing w:line="240" w:lineRule="auto"/>
              <w:ind w:left="0"/>
              <w:rPr>
                <w:lang w:val="en-GB"/>
              </w:rPr>
            </w:pPr>
            <w:r w:rsidRPr="004D25D4">
              <w:rPr>
                <w:lang w:val="en-GB"/>
              </w:rPr>
              <w:t>0-1</w:t>
            </w:r>
          </w:p>
          <w:p w14:paraId="2F35A2C1" w14:textId="77777777" w:rsidR="003E09C9" w:rsidRPr="004D25D4" w:rsidRDefault="003E09C9" w:rsidP="004D25D4">
            <w:pPr>
              <w:spacing w:line="240" w:lineRule="auto"/>
              <w:ind w:left="0"/>
              <w:rPr>
                <w:lang w:val="en-GB"/>
              </w:rPr>
            </w:pPr>
            <w:r w:rsidRPr="004D25D4">
              <w:rPr>
                <w:lang w:val="en-GB"/>
              </w:rPr>
              <w:t>1-2</w:t>
            </w:r>
          </w:p>
          <w:p w14:paraId="37B1A02E" w14:textId="77777777" w:rsidR="003E09C9" w:rsidRPr="004D25D4" w:rsidRDefault="003E09C9" w:rsidP="004D25D4">
            <w:pPr>
              <w:spacing w:line="240" w:lineRule="auto"/>
              <w:ind w:left="0"/>
              <w:rPr>
                <w:lang w:val="en-GB"/>
              </w:rPr>
            </w:pPr>
            <w:r w:rsidRPr="004D25D4">
              <w:rPr>
                <w:lang w:val="en-GB"/>
              </w:rPr>
              <w:t>2-4</w:t>
            </w:r>
          </w:p>
          <w:p w14:paraId="345AC4ED" w14:textId="77777777" w:rsidR="003E09C9" w:rsidRPr="004D25D4" w:rsidRDefault="003E09C9" w:rsidP="004D25D4">
            <w:pPr>
              <w:spacing w:line="240" w:lineRule="auto"/>
              <w:ind w:left="0"/>
              <w:rPr>
                <w:lang w:val="en-GB"/>
              </w:rPr>
            </w:pPr>
            <w:r w:rsidRPr="004D25D4">
              <w:rPr>
                <w:lang w:val="en-GB"/>
              </w:rPr>
              <w:t>4-5</w:t>
            </w:r>
          </w:p>
          <w:p w14:paraId="19418520" w14:textId="77777777" w:rsidR="003E09C9" w:rsidRPr="004D25D4" w:rsidRDefault="003E09C9" w:rsidP="004D25D4">
            <w:pPr>
              <w:spacing w:line="240" w:lineRule="auto"/>
              <w:ind w:left="0"/>
              <w:rPr>
                <w:lang w:val="en-GB"/>
              </w:rPr>
            </w:pPr>
            <w:r w:rsidRPr="004D25D4">
              <w:rPr>
                <w:lang w:val="en-GB"/>
              </w:rPr>
              <w:t>5-18</w:t>
            </w:r>
          </w:p>
        </w:tc>
        <w:tc>
          <w:tcPr>
            <w:tcW w:w="972" w:type="dxa"/>
          </w:tcPr>
          <w:p w14:paraId="019CEBFA" w14:textId="77777777" w:rsidR="003E09C9" w:rsidRPr="004D25D4" w:rsidRDefault="003E09C9" w:rsidP="004D25D4">
            <w:pPr>
              <w:spacing w:line="240" w:lineRule="auto"/>
              <w:ind w:left="0"/>
              <w:jc w:val="both"/>
              <w:rPr>
                <w:lang w:val="en-GB"/>
              </w:rPr>
            </w:pPr>
            <w:r w:rsidRPr="004D25D4">
              <w:rPr>
                <w:lang w:val="en-GB"/>
              </w:rPr>
              <w:t>9</w:t>
            </w:r>
          </w:p>
          <w:p w14:paraId="7C159701" w14:textId="77777777" w:rsidR="003E09C9" w:rsidRPr="004D25D4" w:rsidRDefault="003E09C9" w:rsidP="004D25D4">
            <w:pPr>
              <w:spacing w:line="240" w:lineRule="auto"/>
              <w:ind w:left="0"/>
              <w:jc w:val="both"/>
              <w:rPr>
                <w:lang w:val="en-GB"/>
              </w:rPr>
            </w:pPr>
            <w:r w:rsidRPr="004D25D4">
              <w:rPr>
                <w:lang w:val="en-GB"/>
              </w:rPr>
              <w:t>7</w:t>
            </w:r>
          </w:p>
          <w:p w14:paraId="634F029D" w14:textId="77777777" w:rsidR="003E09C9" w:rsidRPr="004D25D4" w:rsidRDefault="003E09C9" w:rsidP="004D25D4">
            <w:pPr>
              <w:spacing w:line="240" w:lineRule="auto"/>
              <w:ind w:left="0"/>
              <w:jc w:val="both"/>
              <w:rPr>
                <w:lang w:val="en-GB"/>
              </w:rPr>
            </w:pPr>
            <w:r w:rsidRPr="004D25D4">
              <w:rPr>
                <w:lang w:val="en-GB"/>
              </w:rPr>
              <w:t>5</w:t>
            </w:r>
          </w:p>
          <w:p w14:paraId="69243326" w14:textId="77777777" w:rsidR="003E09C9" w:rsidRPr="004D25D4" w:rsidRDefault="003E09C9" w:rsidP="004D25D4">
            <w:pPr>
              <w:spacing w:line="240" w:lineRule="auto"/>
              <w:ind w:left="0"/>
              <w:jc w:val="both"/>
              <w:rPr>
                <w:lang w:val="en-GB"/>
              </w:rPr>
            </w:pPr>
            <w:r w:rsidRPr="004D25D4">
              <w:rPr>
                <w:lang w:val="en-GB"/>
              </w:rPr>
              <w:t>3</w:t>
            </w:r>
          </w:p>
          <w:p w14:paraId="2CCB2B26" w14:textId="77777777" w:rsidR="003E09C9" w:rsidRPr="004D25D4" w:rsidRDefault="003E09C9" w:rsidP="004D25D4">
            <w:pPr>
              <w:spacing w:line="240" w:lineRule="auto"/>
              <w:ind w:left="0"/>
              <w:jc w:val="both"/>
              <w:rPr>
                <w:lang w:val="en-GB"/>
              </w:rPr>
            </w:pPr>
            <w:r w:rsidRPr="004D25D4">
              <w:rPr>
                <w:lang w:val="en-GB"/>
              </w:rPr>
              <w:t>1</w:t>
            </w:r>
          </w:p>
        </w:tc>
        <w:tc>
          <w:tcPr>
            <w:tcW w:w="1378" w:type="dxa"/>
          </w:tcPr>
          <w:p w14:paraId="09430B54" w14:textId="77777777" w:rsidR="003E09C9" w:rsidRPr="004D25D4" w:rsidRDefault="003E09C9" w:rsidP="004D25D4">
            <w:pPr>
              <w:spacing w:line="240" w:lineRule="auto"/>
              <w:ind w:left="0"/>
              <w:jc w:val="both"/>
              <w:rPr>
                <w:lang w:val="en-GB"/>
              </w:rPr>
            </w:pPr>
            <w:r w:rsidRPr="004D25D4">
              <w:rPr>
                <w:lang w:val="en-GB"/>
              </w:rPr>
              <w:t>Very good</w:t>
            </w:r>
          </w:p>
          <w:p w14:paraId="6C1643AB" w14:textId="77777777" w:rsidR="003E09C9" w:rsidRPr="004D25D4" w:rsidRDefault="003E09C9" w:rsidP="004D25D4">
            <w:pPr>
              <w:spacing w:line="240" w:lineRule="auto"/>
              <w:ind w:left="0"/>
              <w:jc w:val="both"/>
              <w:rPr>
                <w:lang w:val="en-GB"/>
              </w:rPr>
            </w:pPr>
            <w:r w:rsidRPr="004D25D4">
              <w:rPr>
                <w:lang w:val="en-GB"/>
              </w:rPr>
              <w:t>Good</w:t>
            </w:r>
          </w:p>
          <w:p w14:paraId="2D2EF321" w14:textId="77777777" w:rsidR="003E09C9" w:rsidRPr="004D25D4" w:rsidRDefault="003E09C9" w:rsidP="004D25D4">
            <w:pPr>
              <w:spacing w:line="240" w:lineRule="auto"/>
              <w:ind w:left="0"/>
              <w:jc w:val="both"/>
              <w:rPr>
                <w:lang w:val="en-GB"/>
              </w:rPr>
            </w:pPr>
            <w:r w:rsidRPr="004D25D4">
              <w:rPr>
                <w:lang w:val="en-GB"/>
              </w:rPr>
              <w:t>Moderate</w:t>
            </w:r>
          </w:p>
          <w:p w14:paraId="7D320423" w14:textId="77777777" w:rsidR="003E09C9" w:rsidRPr="004D25D4" w:rsidRDefault="003E09C9" w:rsidP="004D25D4">
            <w:pPr>
              <w:spacing w:line="240" w:lineRule="auto"/>
              <w:ind w:left="0"/>
              <w:jc w:val="both"/>
              <w:rPr>
                <w:lang w:val="en-GB"/>
              </w:rPr>
            </w:pPr>
            <w:r w:rsidRPr="004D25D4">
              <w:rPr>
                <w:lang w:val="en-GB"/>
              </w:rPr>
              <w:t>Poor</w:t>
            </w:r>
          </w:p>
          <w:p w14:paraId="02D5BA0A" w14:textId="77777777" w:rsidR="003E09C9" w:rsidRPr="004D25D4" w:rsidRDefault="003E09C9" w:rsidP="004D25D4">
            <w:pPr>
              <w:spacing w:line="240" w:lineRule="auto"/>
              <w:ind w:left="0"/>
              <w:jc w:val="both"/>
              <w:rPr>
                <w:lang w:val="en-GB"/>
              </w:rPr>
            </w:pPr>
            <w:r w:rsidRPr="004D25D4">
              <w:rPr>
                <w:lang w:val="en-GB"/>
              </w:rPr>
              <w:t>Very poor</w:t>
            </w:r>
          </w:p>
        </w:tc>
        <w:tc>
          <w:tcPr>
            <w:tcW w:w="1937" w:type="dxa"/>
          </w:tcPr>
          <w:p w14:paraId="5C4EC6E8" w14:textId="77777777" w:rsidR="003E09C9" w:rsidRPr="004D25D4" w:rsidRDefault="003E09C9" w:rsidP="004D25D4">
            <w:pPr>
              <w:spacing w:line="240" w:lineRule="auto"/>
              <w:ind w:left="0"/>
              <w:jc w:val="both"/>
              <w:rPr>
                <w:lang w:val="en-GB"/>
              </w:rPr>
            </w:pPr>
            <w:r w:rsidRPr="004D25D4">
              <w:rPr>
                <w:lang w:val="en-GB"/>
              </w:rPr>
              <w:t>0.515</w:t>
            </w:r>
          </w:p>
          <w:p w14:paraId="553191BE" w14:textId="77777777" w:rsidR="003E09C9" w:rsidRPr="004D25D4" w:rsidRDefault="003E09C9" w:rsidP="004D25D4">
            <w:pPr>
              <w:spacing w:line="240" w:lineRule="auto"/>
              <w:ind w:left="0"/>
              <w:jc w:val="both"/>
              <w:rPr>
                <w:lang w:val="en-GB"/>
              </w:rPr>
            </w:pPr>
            <w:r w:rsidRPr="004D25D4">
              <w:rPr>
                <w:lang w:val="en-GB"/>
              </w:rPr>
              <w:t>0.264</w:t>
            </w:r>
          </w:p>
          <w:p w14:paraId="69B1003C" w14:textId="77777777" w:rsidR="003E09C9" w:rsidRPr="004D25D4" w:rsidRDefault="003E09C9" w:rsidP="004D25D4">
            <w:pPr>
              <w:spacing w:line="240" w:lineRule="auto"/>
              <w:ind w:left="0"/>
              <w:jc w:val="both"/>
              <w:rPr>
                <w:lang w:val="en-GB"/>
              </w:rPr>
            </w:pPr>
            <w:r w:rsidRPr="004D25D4">
              <w:rPr>
                <w:lang w:val="en-GB"/>
              </w:rPr>
              <w:t>0.118</w:t>
            </w:r>
          </w:p>
          <w:p w14:paraId="4662F24F" w14:textId="77777777" w:rsidR="003E09C9" w:rsidRPr="004D25D4" w:rsidRDefault="003E09C9" w:rsidP="004D25D4">
            <w:pPr>
              <w:spacing w:line="240" w:lineRule="auto"/>
              <w:ind w:left="0"/>
              <w:jc w:val="both"/>
              <w:rPr>
                <w:lang w:val="en-GB"/>
              </w:rPr>
            </w:pPr>
            <w:r w:rsidRPr="004D25D4">
              <w:rPr>
                <w:lang w:val="en-GB"/>
              </w:rPr>
              <w:t>0.066</w:t>
            </w:r>
          </w:p>
          <w:p w14:paraId="5CF6ABD8" w14:textId="77777777" w:rsidR="003E09C9" w:rsidRPr="004D25D4" w:rsidRDefault="003E09C9" w:rsidP="004D25D4">
            <w:pPr>
              <w:spacing w:line="240" w:lineRule="auto"/>
              <w:ind w:left="0"/>
              <w:jc w:val="both"/>
              <w:rPr>
                <w:lang w:val="en-GB"/>
              </w:rPr>
            </w:pPr>
            <w:r w:rsidRPr="004D25D4">
              <w:rPr>
                <w:lang w:val="en-GB"/>
              </w:rPr>
              <w:t>0.037</w:t>
            </w:r>
          </w:p>
        </w:tc>
        <w:tc>
          <w:tcPr>
            <w:tcW w:w="1653" w:type="dxa"/>
          </w:tcPr>
          <w:p w14:paraId="7E2B73ED" w14:textId="77777777" w:rsidR="003E09C9" w:rsidRPr="004D25D4" w:rsidRDefault="003E09C9" w:rsidP="004D25D4">
            <w:pPr>
              <w:spacing w:line="240" w:lineRule="auto"/>
              <w:ind w:left="0"/>
              <w:jc w:val="both"/>
              <w:rPr>
                <w:lang w:val="en-GB"/>
              </w:rPr>
            </w:pPr>
            <w:r w:rsidRPr="004D25D4">
              <w:rPr>
                <w:lang w:val="en-GB"/>
              </w:rPr>
              <w:t>0.0585</w:t>
            </w:r>
          </w:p>
        </w:tc>
      </w:tr>
      <w:tr w:rsidR="003F590C" w:rsidRPr="00D00F16" w14:paraId="01EBF61F" w14:textId="77777777" w:rsidTr="004D25D4">
        <w:trPr>
          <w:trHeight w:val="259"/>
        </w:trPr>
        <w:tc>
          <w:tcPr>
            <w:tcW w:w="1511" w:type="dxa"/>
          </w:tcPr>
          <w:p w14:paraId="21546F23" w14:textId="77777777" w:rsidR="003E09C9" w:rsidRPr="004D25D4" w:rsidRDefault="003E09C9" w:rsidP="004D25D4">
            <w:pPr>
              <w:spacing w:line="240" w:lineRule="auto"/>
              <w:ind w:left="0"/>
              <w:jc w:val="both"/>
              <w:rPr>
                <w:lang w:val="en-GB"/>
              </w:rPr>
            </w:pPr>
            <w:r w:rsidRPr="004D25D4">
              <w:rPr>
                <w:lang w:val="en-GB"/>
              </w:rPr>
              <w:t>TWI</w:t>
            </w:r>
          </w:p>
        </w:tc>
        <w:tc>
          <w:tcPr>
            <w:tcW w:w="2107" w:type="dxa"/>
          </w:tcPr>
          <w:p w14:paraId="3F38559A" w14:textId="77777777" w:rsidR="003E09C9" w:rsidRPr="004D25D4" w:rsidRDefault="003E09C9" w:rsidP="004D25D4">
            <w:pPr>
              <w:spacing w:line="240" w:lineRule="auto"/>
              <w:ind w:left="0"/>
            </w:pPr>
            <w:r w:rsidRPr="004D25D4">
              <w:t>4.66-6.94</w:t>
            </w:r>
          </w:p>
          <w:p w14:paraId="6F38BE26" w14:textId="77777777" w:rsidR="003E09C9" w:rsidRPr="004D25D4" w:rsidRDefault="003E09C9" w:rsidP="004D25D4">
            <w:pPr>
              <w:spacing w:line="240" w:lineRule="auto"/>
              <w:ind w:left="0"/>
            </w:pPr>
            <w:r w:rsidRPr="004D25D4">
              <w:t>6.94-7.96</w:t>
            </w:r>
          </w:p>
          <w:p w14:paraId="6EE3A366" w14:textId="77777777" w:rsidR="003E09C9" w:rsidRPr="004D25D4" w:rsidRDefault="003E09C9" w:rsidP="004D25D4">
            <w:pPr>
              <w:spacing w:line="240" w:lineRule="auto"/>
              <w:ind w:left="0"/>
            </w:pPr>
            <w:r w:rsidRPr="004D25D4">
              <w:t>7.96-9.31</w:t>
            </w:r>
          </w:p>
          <w:p w14:paraId="2E0079F7" w14:textId="77777777" w:rsidR="003E09C9" w:rsidRPr="004D25D4" w:rsidRDefault="003E09C9" w:rsidP="004D25D4">
            <w:pPr>
              <w:spacing w:line="240" w:lineRule="auto"/>
              <w:ind w:left="0"/>
            </w:pPr>
            <w:r w:rsidRPr="004D25D4">
              <w:t>9.31-10.94</w:t>
            </w:r>
          </w:p>
          <w:p w14:paraId="6353C096" w14:textId="77777777" w:rsidR="003E09C9" w:rsidRPr="004D25D4" w:rsidRDefault="003E09C9" w:rsidP="004D25D4">
            <w:pPr>
              <w:spacing w:line="240" w:lineRule="auto"/>
              <w:ind w:left="0"/>
            </w:pPr>
            <w:r w:rsidRPr="004D25D4">
              <w:t>10.94-16.51</w:t>
            </w:r>
          </w:p>
        </w:tc>
        <w:tc>
          <w:tcPr>
            <w:tcW w:w="972" w:type="dxa"/>
          </w:tcPr>
          <w:p w14:paraId="1F101BC0" w14:textId="77777777" w:rsidR="003E09C9" w:rsidRPr="004D25D4" w:rsidRDefault="003E09C9" w:rsidP="004D25D4">
            <w:pPr>
              <w:spacing w:line="240" w:lineRule="auto"/>
              <w:ind w:left="0"/>
              <w:jc w:val="both"/>
              <w:rPr>
                <w:lang w:val="en-GB"/>
              </w:rPr>
            </w:pPr>
            <w:r w:rsidRPr="004D25D4">
              <w:rPr>
                <w:lang w:val="en-GB"/>
              </w:rPr>
              <w:t>1</w:t>
            </w:r>
          </w:p>
          <w:p w14:paraId="480565BF" w14:textId="77777777" w:rsidR="003E09C9" w:rsidRPr="004D25D4" w:rsidRDefault="003E09C9" w:rsidP="004D25D4">
            <w:pPr>
              <w:spacing w:line="240" w:lineRule="auto"/>
              <w:ind w:left="0"/>
              <w:jc w:val="both"/>
              <w:rPr>
                <w:lang w:val="en-GB"/>
              </w:rPr>
            </w:pPr>
            <w:r w:rsidRPr="004D25D4">
              <w:rPr>
                <w:lang w:val="en-GB"/>
              </w:rPr>
              <w:t>3</w:t>
            </w:r>
          </w:p>
          <w:p w14:paraId="121D37CA" w14:textId="77777777" w:rsidR="003E09C9" w:rsidRPr="004D25D4" w:rsidRDefault="003E09C9" w:rsidP="004D25D4">
            <w:pPr>
              <w:spacing w:line="240" w:lineRule="auto"/>
              <w:ind w:left="0"/>
              <w:jc w:val="both"/>
              <w:rPr>
                <w:lang w:val="en-GB"/>
              </w:rPr>
            </w:pPr>
            <w:r w:rsidRPr="004D25D4">
              <w:rPr>
                <w:lang w:val="en-GB"/>
              </w:rPr>
              <w:t>5</w:t>
            </w:r>
          </w:p>
          <w:p w14:paraId="05F20D57" w14:textId="77777777" w:rsidR="003E09C9" w:rsidRPr="004D25D4" w:rsidRDefault="003E09C9" w:rsidP="004D25D4">
            <w:pPr>
              <w:spacing w:line="240" w:lineRule="auto"/>
              <w:ind w:left="0"/>
              <w:jc w:val="both"/>
              <w:rPr>
                <w:lang w:val="en-GB"/>
              </w:rPr>
            </w:pPr>
            <w:r w:rsidRPr="004D25D4">
              <w:rPr>
                <w:lang w:val="en-GB"/>
              </w:rPr>
              <w:t>7</w:t>
            </w:r>
          </w:p>
          <w:p w14:paraId="31F664A0" w14:textId="77777777" w:rsidR="003E09C9" w:rsidRPr="004D25D4" w:rsidRDefault="003E09C9" w:rsidP="004D25D4">
            <w:pPr>
              <w:spacing w:line="240" w:lineRule="auto"/>
              <w:ind w:left="0"/>
              <w:jc w:val="both"/>
              <w:rPr>
                <w:lang w:val="en-GB"/>
              </w:rPr>
            </w:pPr>
            <w:r w:rsidRPr="004D25D4">
              <w:rPr>
                <w:lang w:val="en-GB"/>
              </w:rPr>
              <w:t>9</w:t>
            </w:r>
          </w:p>
        </w:tc>
        <w:tc>
          <w:tcPr>
            <w:tcW w:w="1378" w:type="dxa"/>
          </w:tcPr>
          <w:p w14:paraId="547F136F" w14:textId="77777777" w:rsidR="003E09C9" w:rsidRPr="004D25D4" w:rsidRDefault="003E09C9" w:rsidP="004D25D4">
            <w:pPr>
              <w:spacing w:line="240" w:lineRule="auto"/>
              <w:ind w:left="0"/>
              <w:jc w:val="both"/>
              <w:rPr>
                <w:lang w:val="en-GB"/>
              </w:rPr>
            </w:pPr>
            <w:r w:rsidRPr="004D25D4">
              <w:rPr>
                <w:lang w:val="en-GB"/>
              </w:rPr>
              <w:t>Very poor</w:t>
            </w:r>
          </w:p>
          <w:p w14:paraId="2A1963D7" w14:textId="77777777" w:rsidR="003E09C9" w:rsidRPr="004D25D4" w:rsidRDefault="003E09C9" w:rsidP="004D25D4">
            <w:pPr>
              <w:spacing w:line="240" w:lineRule="auto"/>
              <w:ind w:left="0"/>
              <w:jc w:val="both"/>
              <w:rPr>
                <w:lang w:val="en-GB"/>
              </w:rPr>
            </w:pPr>
            <w:r w:rsidRPr="004D25D4">
              <w:rPr>
                <w:lang w:val="en-GB"/>
              </w:rPr>
              <w:t>Poor</w:t>
            </w:r>
          </w:p>
          <w:p w14:paraId="2B17F2C4" w14:textId="77777777" w:rsidR="003E09C9" w:rsidRPr="004D25D4" w:rsidRDefault="003E09C9" w:rsidP="004D25D4">
            <w:pPr>
              <w:spacing w:line="240" w:lineRule="auto"/>
              <w:ind w:left="0"/>
              <w:jc w:val="both"/>
              <w:rPr>
                <w:lang w:val="en-GB"/>
              </w:rPr>
            </w:pPr>
            <w:r w:rsidRPr="004D25D4">
              <w:rPr>
                <w:lang w:val="en-GB"/>
              </w:rPr>
              <w:t>Moderate</w:t>
            </w:r>
          </w:p>
          <w:p w14:paraId="50C923DE" w14:textId="77777777" w:rsidR="003E09C9" w:rsidRPr="004D25D4" w:rsidRDefault="003E09C9" w:rsidP="004D25D4">
            <w:pPr>
              <w:spacing w:line="240" w:lineRule="auto"/>
              <w:ind w:left="0"/>
              <w:jc w:val="both"/>
              <w:rPr>
                <w:lang w:val="en-GB"/>
              </w:rPr>
            </w:pPr>
            <w:r w:rsidRPr="004D25D4">
              <w:rPr>
                <w:lang w:val="en-GB"/>
              </w:rPr>
              <w:t>Good</w:t>
            </w:r>
          </w:p>
          <w:p w14:paraId="4F71CD3F"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5BDBBC4E" w14:textId="77777777" w:rsidR="003E09C9" w:rsidRPr="004D25D4" w:rsidRDefault="003E09C9" w:rsidP="004D25D4">
            <w:pPr>
              <w:spacing w:line="240" w:lineRule="auto"/>
              <w:ind w:left="0"/>
              <w:jc w:val="both"/>
              <w:rPr>
                <w:lang w:val="en-GB"/>
              </w:rPr>
            </w:pPr>
            <w:r w:rsidRPr="004D25D4">
              <w:rPr>
                <w:lang w:val="en-GB"/>
              </w:rPr>
              <w:t>0.09</w:t>
            </w:r>
          </w:p>
          <w:p w14:paraId="17D3F50C" w14:textId="77777777" w:rsidR="003E09C9" w:rsidRPr="004D25D4" w:rsidRDefault="003E09C9" w:rsidP="004D25D4">
            <w:pPr>
              <w:spacing w:line="240" w:lineRule="auto"/>
              <w:ind w:left="0"/>
              <w:jc w:val="both"/>
              <w:rPr>
                <w:lang w:val="en-GB"/>
              </w:rPr>
            </w:pPr>
            <w:r w:rsidRPr="004D25D4">
              <w:rPr>
                <w:lang w:val="en-GB"/>
              </w:rPr>
              <w:t>0.114</w:t>
            </w:r>
          </w:p>
          <w:p w14:paraId="396C98BD" w14:textId="77777777" w:rsidR="003E09C9" w:rsidRPr="004D25D4" w:rsidRDefault="003E09C9" w:rsidP="004D25D4">
            <w:pPr>
              <w:spacing w:line="240" w:lineRule="auto"/>
              <w:ind w:left="0"/>
              <w:jc w:val="both"/>
              <w:rPr>
                <w:lang w:val="en-GB"/>
              </w:rPr>
            </w:pPr>
            <w:r w:rsidRPr="004D25D4">
              <w:rPr>
                <w:lang w:val="en-GB"/>
              </w:rPr>
              <w:t>0.183</w:t>
            </w:r>
          </w:p>
          <w:p w14:paraId="162C5A29" w14:textId="77777777" w:rsidR="003E09C9" w:rsidRPr="004D25D4" w:rsidRDefault="003E09C9" w:rsidP="004D25D4">
            <w:pPr>
              <w:spacing w:line="240" w:lineRule="auto"/>
              <w:ind w:left="0"/>
              <w:jc w:val="both"/>
              <w:rPr>
                <w:lang w:val="en-GB"/>
              </w:rPr>
            </w:pPr>
            <w:r w:rsidRPr="004D25D4">
              <w:rPr>
                <w:lang w:val="en-GB"/>
              </w:rPr>
              <w:t>0.271</w:t>
            </w:r>
          </w:p>
          <w:p w14:paraId="3E8BA605" w14:textId="77777777" w:rsidR="003E09C9" w:rsidRPr="004D25D4" w:rsidRDefault="003E09C9" w:rsidP="004D25D4">
            <w:pPr>
              <w:spacing w:line="240" w:lineRule="auto"/>
              <w:ind w:left="0"/>
              <w:jc w:val="both"/>
              <w:rPr>
                <w:lang w:val="en-GB"/>
              </w:rPr>
            </w:pPr>
            <w:r w:rsidRPr="004D25D4">
              <w:rPr>
                <w:lang w:val="en-GB"/>
              </w:rPr>
              <w:t>0.342</w:t>
            </w:r>
          </w:p>
        </w:tc>
        <w:tc>
          <w:tcPr>
            <w:tcW w:w="1653" w:type="dxa"/>
          </w:tcPr>
          <w:p w14:paraId="0E6CE077" w14:textId="77777777" w:rsidR="003E09C9" w:rsidRPr="004D25D4" w:rsidRDefault="003E09C9" w:rsidP="004D25D4">
            <w:pPr>
              <w:spacing w:line="240" w:lineRule="auto"/>
              <w:ind w:left="0"/>
              <w:jc w:val="both"/>
              <w:rPr>
                <w:lang w:val="en-GB"/>
              </w:rPr>
            </w:pPr>
            <w:r w:rsidRPr="004D25D4">
              <w:rPr>
                <w:lang w:val="en-GB"/>
              </w:rPr>
              <w:t>0.0808</w:t>
            </w:r>
          </w:p>
        </w:tc>
      </w:tr>
      <w:tr w:rsidR="003F590C" w:rsidRPr="00D00F16" w14:paraId="640A978F" w14:textId="77777777" w:rsidTr="003423C0">
        <w:trPr>
          <w:trHeight w:val="900"/>
        </w:trPr>
        <w:tc>
          <w:tcPr>
            <w:tcW w:w="1511" w:type="dxa"/>
          </w:tcPr>
          <w:p w14:paraId="544DC247" w14:textId="77777777" w:rsidR="003E09C9" w:rsidRPr="004D25D4" w:rsidRDefault="003E09C9" w:rsidP="004D25D4">
            <w:pPr>
              <w:spacing w:line="240" w:lineRule="auto"/>
              <w:ind w:left="0"/>
              <w:jc w:val="both"/>
              <w:rPr>
                <w:lang w:val="en-GB"/>
              </w:rPr>
            </w:pPr>
            <w:r w:rsidRPr="004D25D4">
              <w:rPr>
                <w:lang w:val="en-GB"/>
              </w:rPr>
              <w:t>Rainfall (mm)</w:t>
            </w:r>
          </w:p>
        </w:tc>
        <w:tc>
          <w:tcPr>
            <w:tcW w:w="2107" w:type="dxa"/>
          </w:tcPr>
          <w:p w14:paraId="4622EE6B" w14:textId="77777777" w:rsidR="003E09C9" w:rsidRPr="004D25D4" w:rsidRDefault="003E09C9" w:rsidP="004D25D4">
            <w:pPr>
              <w:spacing w:line="240" w:lineRule="auto"/>
              <w:ind w:left="0"/>
              <w:rPr>
                <w:lang w:val="en-GB"/>
              </w:rPr>
            </w:pPr>
            <w:r w:rsidRPr="004D25D4">
              <w:rPr>
                <w:lang w:val="en-GB"/>
              </w:rPr>
              <w:t>832-892</w:t>
            </w:r>
          </w:p>
          <w:p w14:paraId="45215A6F" w14:textId="77777777" w:rsidR="003E09C9" w:rsidRPr="004D25D4" w:rsidRDefault="003E09C9" w:rsidP="004D25D4">
            <w:pPr>
              <w:spacing w:line="240" w:lineRule="auto"/>
              <w:ind w:left="0"/>
              <w:rPr>
                <w:lang w:val="en-GB"/>
              </w:rPr>
            </w:pPr>
            <w:r w:rsidRPr="004D25D4">
              <w:rPr>
                <w:lang w:val="en-GB"/>
              </w:rPr>
              <w:t>892-938</w:t>
            </w:r>
          </w:p>
          <w:p w14:paraId="2B972CD1" w14:textId="77777777" w:rsidR="003E09C9" w:rsidRPr="004D25D4" w:rsidRDefault="003E09C9" w:rsidP="004D25D4">
            <w:pPr>
              <w:spacing w:line="240" w:lineRule="auto"/>
              <w:ind w:left="0"/>
              <w:rPr>
                <w:lang w:val="en-GB"/>
              </w:rPr>
            </w:pPr>
            <w:r w:rsidRPr="004D25D4">
              <w:rPr>
                <w:lang w:val="en-GB"/>
              </w:rPr>
              <w:t>938-990</w:t>
            </w:r>
          </w:p>
          <w:p w14:paraId="619F1541" w14:textId="77777777" w:rsidR="003E09C9" w:rsidRPr="004D25D4" w:rsidRDefault="003E09C9" w:rsidP="004D25D4">
            <w:pPr>
              <w:spacing w:line="240" w:lineRule="auto"/>
              <w:ind w:left="0"/>
              <w:rPr>
                <w:lang w:val="en-GB"/>
              </w:rPr>
            </w:pPr>
            <w:r w:rsidRPr="004D25D4">
              <w:rPr>
                <w:lang w:val="en-GB"/>
              </w:rPr>
              <w:t>990-1,051</w:t>
            </w:r>
          </w:p>
          <w:p w14:paraId="2EFF5BD2" w14:textId="77777777" w:rsidR="003E09C9" w:rsidRPr="004D25D4" w:rsidRDefault="003E09C9" w:rsidP="004D25D4">
            <w:pPr>
              <w:spacing w:line="240" w:lineRule="auto"/>
              <w:ind w:left="0"/>
              <w:rPr>
                <w:lang w:val="en-GB"/>
              </w:rPr>
            </w:pPr>
            <w:r w:rsidRPr="004D25D4">
              <w:rPr>
                <w:lang w:val="en-GB"/>
              </w:rPr>
              <w:t>1,051-1,142</w:t>
            </w:r>
          </w:p>
        </w:tc>
        <w:tc>
          <w:tcPr>
            <w:tcW w:w="972" w:type="dxa"/>
          </w:tcPr>
          <w:p w14:paraId="15724EC6" w14:textId="77777777" w:rsidR="003E09C9" w:rsidRPr="004D25D4" w:rsidRDefault="003E09C9" w:rsidP="004D25D4">
            <w:pPr>
              <w:spacing w:line="240" w:lineRule="auto"/>
              <w:ind w:left="0"/>
              <w:jc w:val="both"/>
              <w:rPr>
                <w:lang w:val="en-GB"/>
              </w:rPr>
            </w:pPr>
            <w:r w:rsidRPr="004D25D4">
              <w:rPr>
                <w:lang w:val="en-GB"/>
              </w:rPr>
              <w:t>1</w:t>
            </w:r>
          </w:p>
          <w:p w14:paraId="5D44C058" w14:textId="77777777" w:rsidR="003E09C9" w:rsidRPr="004D25D4" w:rsidRDefault="003E09C9" w:rsidP="004D25D4">
            <w:pPr>
              <w:spacing w:line="240" w:lineRule="auto"/>
              <w:ind w:left="0"/>
              <w:jc w:val="both"/>
              <w:rPr>
                <w:lang w:val="en-GB"/>
              </w:rPr>
            </w:pPr>
            <w:r w:rsidRPr="004D25D4">
              <w:rPr>
                <w:lang w:val="en-GB"/>
              </w:rPr>
              <w:t>3</w:t>
            </w:r>
          </w:p>
          <w:p w14:paraId="3193D593" w14:textId="77777777" w:rsidR="003E09C9" w:rsidRPr="004D25D4" w:rsidRDefault="003E09C9" w:rsidP="004D25D4">
            <w:pPr>
              <w:spacing w:line="240" w:lineRule="auto"/>
              <w:ind w:left="0"/>
              <w:jc w:val="both"/>
              <w:rPr>
                <w:lang w:val="en-GB"/>
              </w:rPr>
            </w:pPr>
            <w:r w:rsidRPr="004D25D4">
              <w:rPr>
                <w:lang w:val="en-GB"/>
              </w:rPr>
              <w:t>5</w:t>
            </w:r>
          </w:p>
          <w:p w14:paraId="0F752792" w14:textId="77777777" w:rsidR="003E09C9" w:rsidRPr="004D25D4" w:rsidRDefault="003E09C9" w:rsidP="004D25D4">
            <w:pPr>
              <w:spacing w:line="240" w:lineRule="auto"/>
              <w:ind w:left="0"/>
              <w:jc w:val="both"/>
              <w:rPr>
                <w:lang w:val="en-GB"/>
              </w:rPr>
            </w:pPr>
            <w:r w:rsidRPr="004D25D4">
              <w:rPr>
                <w:lang w:val="en-GB"/>
              </w:rPr>
              <w:t>7</w:t>
            </w:r>
          </w:p>
          <w:p w14:paraId="1C7BC43D" w14:textId="77777777" w:rsidR="003E09C9" w:rsidRPr="004D25D4" w:rsidRDefault="003E09C9" w:rsidP="004D25D4">
            <w:pPr>
              <w:spacing w:line="240" w:lineRule="auto"/>
              <w:ind w:left="0"/>
              <w:jc w:val="both"/>
              <w:rPr>
                <w:lang w:val="en-GB"/>
              </w:rPr>
            </w:pPr>
            <w:r w:rsidRPr="004D25D4">
              <w:rPr>
                <w:lang w:val="en-GB"/>
              </w:rPr>
              <w:t>9</w:t>
            </w:r>
          </w:p>
        </w:tc>
        <w:tc>
          <w:tcPr>
            <w:tcW w:w="1378" w:type="dxa"/>
          </w:tcPr>
          <w:p w14:paraId="5324147A" w14:textId="77777777" w:rsidR="003E09C9" w:rsidRPr="004D25D4" w:rsidRDefault="003E09C9" w:rsidP="004D25D4">
            <w:pPr>
              <w:spacing w:line="240" w:lineRule="auto"/>
              <w:ind w:left="0"/>
              <w:jc w:val="both"/>
              <w:rPr>
                <w:lang w:val="en-GB"/>
              </w:rPr>
            </w:pPr>
            <w:r w:rsidRPr="004D25D4">
              <w:rPr>
                <w:lang w:val="en-GB"/>
              </w:rPr>
              <w:t>Very poor</w:t>
            </w:r>
          </w:p>
          <w:p w14:paraId="2A326EA1" w14:textId="77777777" w:rsidR="003E09C9" w:rsidRPr="004D25D4" w:rsidRDefault="003E09C9" w:rsidP="004D25D4">
            <w:pPr>
              <w:spacing w:line="240" w:lineRule="auto"/>
              <w:ind w:left="0"/>
              <w:jc w:val="both"/>
              <w:rPr>
                <w:lang w:val="en-GB"/>
              </w:rPr>
            </w:pPr>
            <w:r w:rsidRPr="004D25D4">
              <w:rPr>
                <w:lang w:val="en-GB"/>
              </w:rPr>
              <w:t>Poor</w:t>
            </w:r>
          </w:p>
          <w:p w14:paraId="6BCAD5F3" w14:textId="77777777" w:rsidR="003E09C9" w:rsidRPr="004D25D4" w:rsidRDefault="003E09C9" w:rsidP="004D25D4">
            <w:pPr>
              <w:spacing w:line="240" w:lineRule="auto"/>
              <w:ind w:left="0"/>
              <w:jc w:val="both"/>
              <w:rPr>
                <w:lang w:val="en-GB"/>
              </w:rPr>
            </w:pPr>
            <w:r w:rsidRPr="004D25D4">
              <w:rPr>
                <w:lang w:val="en-GB"/>
              </w:rPr>
              <w:t>Moderate</w:t>
            </w:r>
          </w:p>
          <w:p w14:paraId="5F7EC5B5" w14:textId="77777777" w:rsidR="003E09C9" w:rsidRPr="004D25D4" w:rsidRDefault="003E09C9" w:rsidP="004D25D4">
            <w:pPr>
              <w:spacing w:line="240" w:lineRule="auto"/>
              <w:ind w:left="0"/>
              <w:jc w:val="both"/>
              <w:rPr>
                <w:lang w:val="en-GB"/>
              </w:rPr>
            </w:pPr>
            <w:r w:rsidRPr="004D25D4">
              <w:rPr>
                <w:lang w:val="en-GB"/>
              </w:rPr>
              <w:t xml:space="preserve">Good </w:t>
            </w:r>
          </w:p>
          <w:p w14:paraId="1D73A977" w14:textId="77777777" w:rsidR="003E09C9" w:rsidRPr="004D25D4" w:rsidRDefault="003E09C9" w:rsidP="004D25D4">
            <w:pPr>
              <w:spacing w:line="240" w:lineRule="auto"/>
              <w:ind w:left="0"/>
              <w:jc w:val="both"/>
              <w:rPr>
                <w:lang w:val="en-GB"/>
              </w:rPr>
            </w:pPr>
            <w:r w:rsidRPr="004D25D4">
              <w:rPr>
                <w:lang w:val="en-GB"/>
              </w:rPr>
              <w:t>Very good</w:t>
            </w:r>
          </w:p>
        </w:tc>
        <w:tc>
          <w:tcPr>
            <w:tcW w:w="1937" w:type="dxa"/>
          </w:tcPr>
          <w:p w14:paraId="7939059B" w14:textId="77777777" w:rsidR="003E09C9" w:rsidRPr="004D25D4" w:rsidRDefault="003E09C9" w:rsidP="004D25D4">
            <w:pPr>
              <w:spacing w:line="240" w:lineRule="auto"/>
              <w:ind w:left="0"/>
              <w:jc w:val="both"/>
              <w:rPr>
                <w:lang w:val="en-GB"/>
              </w:rPr>
            </w:pPr>
            <w:r w:rsidRPr="004D25D4">
              <w:rPr>
                <w:lang w:val="en-GB"/>
              </w:rPr>
              <w:t>0.079</w:t>
            </w:r>
          </w:p>
          <w:p w14:paraId="1B99012C" w14:textId="77777777" w:rsidR="003E09C9" w:rsidRPr="004D25D4" w:rsidRDefault="003E09C9" w:rsidP="004D25D4">
            <w:pPr>
              <w:spacing w:line="240" w:lineRule="auto"/>
              <w:ind w:left="0"/>
              <w:jc w:val="both"/>
              <w:rPr>
                <w:lang w:val="en-GB"/>
              </w:rPr>
            </w:pPr>
            <w:r w:rsidRPr="004D25D4">
              <w:rPr>
                <w:lang w:val="en-GB"/>
              </w:rPr>
              <w:t>0.112</w:t>
            </w:r>
          </w:p>
          <w:p w14:paraId="57CEC42F" w14:textId="77777777" w:rsidR="003E09C9" w:rsidRPr="004D25D4" w:rsidRDefault="003E09C9" w:rsidP="004D25D4">
            <w:pPr>
              <w:spacing w:line="240" w:lineRule="auto"/>
              <w:ind w:left="0"/>
              <w:jc w:val="both"/>
              <w:rPr>
                <w:lang w:val="en-GB"/>
              </w:rPr>
            </w:pPr>
            <w:r w:rsidRPr="004D25D4">
              <w:rPr>
                <w:lang w:val="en-GB"/>
              </w:rPr>
              <w:t>0.172</w:t>
            </w:r>
          </w:p>
          <w:p w14:paraId="324918B1" w14:textId="77777777" w:rsidR="003E09C9" w:rsidRPr="004D25D4" w:rsidRDefault="003E09C9" w:rsidP="004D25D4">
            <w:pPr>
              <w:spacing w:line="240" w:lineRule="auto"/>
              <w:ind w:left="0"/>
              <w:jc w:val="both"/>
              <w:rPr>
                <w:lang w:val="en-GB"/>
              </w:rPr>
            </w:pPr>
            <w:r w:rsidRPr="004D25D4">
              <w:rPr>
                <w:lang w:val="en-GB"/>
              </w:rPr>
              <w:t>0.267</w:t>
            </w:r>
          </w:p>
          <w:p w14:paraId="3944FB12" w14:textId="77777777" w:rsidR="003E09C9" w:rsidRPr="004D25D4" w:rsidRDefault="003E09C9" w:rsidP="004D25D4">
            <w:pPr>
              <w:spacing w:line="240" w:lineRule="auto"/>
              <w:ind w:left="0"/>
              <w:jc w:val="both"/>
              <w:rPr>
                <w:lang w:val="en-GB"/>
              </w:rPr>
            </w:pPr>
            <w:r w:rsidRPr="004D25D4">
              <w:rPr>
                <w:lang w:val="en-GB"/>
              </w:rPr>
              <w:t>0.366</w:t>
            </w:r>
          </w:p>
        </w:tc>
        <w:tc>
          <w:tcPr>
            <w:tcW w:w="1653" w:type="dxa"/>
          </w:tcPr>
          <w:p w14:paraId="2660A0EE" w14:textId="77777777" w:rsidR="003E09C9" w:rsidRPr="004D25D4" w:rsidRDefault="003E09C9" w:rsidP="004D25D4">
            <w:pPr>
              <w:spacing w:line="240" w:lineRule="auto"/>
              <w:ind w:left="0"/>
              <w:jc w:val="both"/>
              <w:rPr>
                <w:lang w:val="en-GB"/>
              </w:rPr>
            </w:pPr>
            <w:r w:rsidRPr="004D25D4">
              <w:rPr>
                <w:lang w:val="en-GB"/>
              </w:rPr>
              <w:t>0.1297</w:t>
            </w:r>
          </w:p>
        </w:tc>
      </w:tr>
    </w:tbl>
    <w:p w14:paraId="718856A2" w14:textId="3587AC5E" w:rsidR="003E09C9" w:rsidRPr="00D00F16" w:rsidRDefault="003E09C9" w:rsidP="006E0E57">
      <w:pPr>
        <w:pStyle w:val="Caption"/>
        <w:keepNext/>
        <w:spacing w:after="0" w:line="276" w:lineRule="auto"/>
        <w:ind w:left="0"/>
        <w:jc w:val="both"/>
        <w:rPr>
          <w:rFonts w:cs="Times New Roman"/>
          <w:i w:val="0"/>
          <w:iCs w:val="0"/>
          <w:color w:val="auto"/>
          <w:sz w:val="24"/>
          <w:szCs w:val="24"/>
        </w:rPr>
      </w:pPr>
      <w:bookmarkStart w:id="41" w:name="_Toc138764726"/>
      <w:bookmarkEnd w:id="40"/>
      <w:r w:rsidRPr="003423C0">
        <w:rPr>
          <w:rFonts w:cs="Times New Roman"/>
          <w:b/>
          <w:bCs/>
          <w:i w:val="0"/>
          <w:iCs w:val="0"/>
          <w:color w:val="auto"/>
          <w:sz w:val="24"/>
          <w:szCs w:val="24"/>
        </w:rPr>
        <w:t xml:space="preserve">Table </w:t>
      </w:r>
      <w:r w:rsidR="00203C5D">
        <w:rPr>
          <w:rFonts w:cs="Times New Roman"/>
          <w:b/>
          <w:bCs/>
          <w:i w:val="0"/>
          <w:iCs w:val="0"/>
          <w:color w:val="auto"/>
          <w:sz w:val="24"/>
          <w:szCs w:val="24"/>
        </w:rPr>
        <w:t>6</w:t>
      </w:r>
      <w:r w:rsidR="003423C0" w:rsidRPr="003423C0">
        <w:rPr>
          <w:rFonts w:cs="Times New Roman"/>
          <w:b/>
          <w:bCs/>
          <w:i w:val="0"/>
          <w:iCs w:val="0"/>
          <w:color w:val="auto"/>
          <w:sz w:val="24"/>
          <w:szCs w:val="24"/>
        </w:rPr>
        <w:t>:</w:t>
      </w:r>
      <w:r w:rsidRPr="00D00F16">
        <w:rPr>
          <w:rFonts w:cs="Times New Roman"/>
          <w:i w:val="0"/>
          <w:iCs w:val="0"/>
          <w:color w:val="auto"/>
          <w:sz w:val="24"/>
          <w:szCs w:val="24"/>
        </w:rPr>
        <w:t xml:space="preserve"> Pairwise Comparison Matrix</w:t>
      </w:r>
      <w:bookmarkEnd w:id="41"/>
    </w:p>
    <w:tbl>
      <w:tblPr>
        <w:tblStyle w:val="TableGrid"/>
        <w:tblW w:w="9540" w:type="dxa"/>
        <w:tblInd w:w="-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2"/>
        <w:gridCol w:w="648"/>
        <w:gridCol w:w="540"/>
        <w:gridCol w:w="540"/>
        <w:gridCol w:w="720"/>
        <w:gridCol w:w="540"/>
        <w:gridCol w:w="720"/>
        <w:gridCol w:w="360"/>
        <w:gridCol w:w="450"/>
        <w:gridCol w:w="720"/>
        <w:gridCol w:w="1080"/>
        <w:gridCol w:w="1800"/>
      </w:tblGrid>
      <w:tr w:rsidR="003F590C" w:rsidRPr="00D00F16" w14:paraId="743A7B51" w14:textId="77777777" w:rsidTr="003423C0">
        <w:trPr>
          <w:cantSplit/>
          <w:trHeight w:val="1142"/>
        </w:trPr>
        <w:tc>
          <w:tcPr>
            <w:tcW w:w="1422" w:type="dxa"/>
            <w:tcBorders>
              <w:top w:val="single" w:sz="4" w:space="0" w:color="auto"/>
              <w:bottom w:val="single" w:sz="4" w:space="0" w:color="auto"/>
            </w:tcBorders>
          </w:tcPr>
          <w:p w14:paraId="12C02641" w14:textId="77777777" w:rsidR="00180E14" w:rsidRPr="00D00F16" w:rsidRDefault="00180E14" w:rsidP="003423C0">
            <w:pPr>
              <w:spacing w:line="240" w:lineRule="auto"/>
              <w:ind w:left="0"/>
              <w:rPr>
                <w:sz w:val="24"/>
                <w:szCs w:val="24"/>
              </w:rPr>
            </w:pPr>
            <w:r w:rsidRPr="00D00F16">
              <w:rPr>
                <w:sz w:val="24"/>
                <w:szCs w:val="24"/>
              </w:rPr>
              <w:t>Matrix</w:t>
            </w:r>
          </w:p>
        </w:tc>
        <w:tc>
          <w:tcPr>
            <w:tcW w:w="648" w:type="dxa"/>
            <w:tcBorders>
              <w:top w:val="single" w:sz="4" w:space="0" w:color="auto"/>
              <w:bottom w:val="single" w:sz="4" w:space="0" w:color="auto"/>
            </w:tcBorders>
            <w:textDirection w:val="btLr"/>
          </w:tcPr>
          <w:p w14:paraId="70883A4A" w14:textId="77777777" w:rsidR="00180E14" w:rsidRPr="00D00F16" w:rsidRDefault="00180E14" w:rsidP="003423C0">
            <w:pPr>
              <w:spacing w:line="240" w:lineRule="auto"/>
              <w:ind w:left="0"/>
              <w:rPr>
                <w:sz w:val="24"/>
                <w:szCs w:val="24"/>
              </w:rPr>
            </w:pPr>
            <w:r w:rsidRPr="00D00F16">
              <w:rPr>
                <w:sz w:val="24"/>
                <w:szCs w:val="24"/>
              </w:rPr>
              <w:t>Geology</w:t>
            </w:r>
          </w:p>
        </w:tc>
        <w:tc>
          <w:tcPr>
            <w:tcW w:w="540" w:type="dxa"/>
            <w:tcBorders>
              <w:top w:val="single" w:sz="4" w:space="0" w:color="auto"/>
              <w:bottom w:val="single" w:sz="4" w:space="0" w:color="auto"/>
            </w:tcBorders>
            <w:textDirection w:val="btLr"/>
          </w:tcPr>
          <w:p w14:paraId="35312F4E" w14:textId="77777777" w:rsidR="00180E14" w:rsidRPr="00D00F16" w:rsidRDefault="00180E14" w:rsidP="003423C0">
            <w:pPr>
              <w:spacing w:line="240" w:lineRule="auto"/>
              <w:ind w:left="0"/>
              <w:rPr>
                <w:sz w:val="24"/>
                <w:szCs w:val="24"/>
              </w:rPr>
            </w:pPr>
            <w:r w:rsidRPr="00D00F16">
              <w:rPr>
                <w:sz w:val="24"/>
                <w:szCs w:val="24"/>
              </w:rPr>
              <w:t xml:space="preserve">Rainfall </w:t>
            </w:r>
          </w:p>
        </w:tc>
        <w:tc>
          <w:tcPr>
            <w:tcW w:w="540" w:type="dxa"/>
            <w:tcBorders>
              <w:top w:val="single" w:sz="4" w:space="0" w:color="auto"/>
              <w:bottom w:val="single" w:sz="4" w:space="0" w:color="auto"/>
            </w:tcBorders>
            <w:textDirection w:val="btLr"/>
          </w:tcPr>
          <w:p w14:paraId="3AF09815" w14:textId="77777777" w:rsidR="00180E14" w:rsidRPr="00D00F16" w:rsidRDefault="00180E14" w:rsidP="003423C0">
            <w:pPr>
              <w:spacing w:line="240" w:lineRule="auto"/>
              <w:ind w:left="0"/>
              <w:rPr>
                <w:sz w:val="24"/>
                <w:szCs w:val="24"/>
              </w:rPr>
            </w:pPr>
            <w:r w:rsidRPr="00D00F16">
              <w:rPr>
                <w:sz w:val="24"/>
                <w:szCs w:val="24"/>
              </w:rPr>
              <w:t>TWI</w:t>
            </w:r>
          </w:p>
        </w:tc>
        <w:tc>
          <w:tcPr>
            <w:tcW w:w="720" w:type="dxa"/>
            <w:tcBorders>
              <w:top w:val="single" w:sz="4" w:space="0" w:color="auto"/>
              <w:bottom w:val="single" w:sz="4" w:space="0" w:color="auto"/>
            </w:tcBorders>
            <w:textDirection w:val="btLr"/>
          </w:tcPr>
          <w:p w14:paraId="3B0721D0" w14:textId="77777777" w:rsidR="00180E14" w:rsidRPr="00D00F16" w:rsidRDefault="00180E14" w:rsidP="003423C0">
            <w:pPr>
              <w:spacing w:line="240" w:lineRule="auto"/>
              <w:ind w:left="0"/>
              <w:rPr>
                <w:sz w:val="24"/>
                <w:szCs w:val="24"/>
              </w:rPr>
            </w:pPr>
            <w:r w:rsidRPr="00D00F16">
              <w:rPr>
                <w:sz w:val="24"/>
                <w:szCs w:val="24"/>
              </w:rPr>
              <w:t>Lineament density</w:t>
            </w:r>
          </w:p>
        </w:tc>
        <w:tc>
          <w:tcPr>
            <w:tcW w:w="540" w:type="dxa"/>
            <w:tcBorders>
              <w:top w:val="single" w:sz="4" w:space="0" w:color="auto"/>
              <w:bottom w:val="single" w:sz="4" w:space="0" w:color="auto"/>
            </w:tcBorders>
            <w:textDirection w:val="btLr"/>
          </w:tcPr>
          <w:p w14:paraId="1BA90DA5" w14:textId="77777777" w:rsidR="00180E14" w:rsidRPr="00D00F16" w:rsidRDefault="00180E14" w:rsidP="003423C0">
            <w:pPr>
              <w:spacing w:line="240" w:lineRule="auto"/>
              <w:ind w:left="0"/>
              <w:rPr>
                <w:sz w:val="24"/>
                <w:szCs w:val="24"/>
              </w:rPr>
            </w:pPr>
            <w:r w:rsidRPr="00D00F16">
              <w:rPr>
                <w:sz w:val="24"/>
                <w:szCs w:val="24"/>
              </w:rPr>
              <w:t>LULC</w:t>
            </w:r>
          </w:p>
        </w:tc>
        <w:tc>
          <w:tcPr>
            <w:tcW w:w="720" w:type="dxa"/>
            <w:tcBorders>
              <w:top w:val="single" w:sz="4" w:space="0" w:color="auto"/>
              <w:bottom w:val="single" w:sz="4" w:space="0" w:color="auto"/>
            </w:tcBorders>
            <w:textDirection w:val="btLr"/>
          </w:tcPr>
          <w:p w14:paraId="0658ACB6" w14:textId="77777777" w:rsidR="002917CA" w:rsidRPr="00D00F16" w:rsidRDefault="00180E14" w:rsidP="003423C0">
            <w:pPr>
              <w:spacing w:line="240" w:lineRule="auto"/>
              <w:ind w:left="0"/>
              <w:rPr>
                <w:sz w:val="24"/>
                <w:szCs w:val="24"/>
              </w:rPr>
            </w:pPr>
            <w:r w:rsidRPr="00D00F16">
              <w:rPr>
                <w:sz w:val="24"/>
                <w:szCs w:val="24"/>
              </w:rPr>
              <w:t>Drainage</w:t>
            </w:r>
          </w:p>
          <w:p w14:paraId="3F7D27B1" w14:textId="27B28302" w:rsidR="00180E14" w:rsidRPr="00D00F16" w:rsidRDefault="00180E14" w:rsidP="003423C0">
            <w:pPr>
              <w:spacing w:line="240" w:lineRule="auto"/>
              <w:ind w:left="0"/>
              <w:rPr>
                <w:sz w:val="24"/>
                <w:szCs w:val="24"/>
              </w:rPr>
            </w:pPr>
            <w:r w:rsidRPr="00D00F16">
              <w:rPr>
                <w:sz w:val="24"/>
                <w:szCs w:val="24"/>
              </w:rPr>
              <w:t xml:space="preserve"> density</w:t>
            </w:r>
          </w:p>
        </w:tc>
        <w:tc>
          <w:tcPr>
            <w:tcW w:w="360" w:type="dxa"/>
            <w:tcBorders>
              <w:top w:val="single" w:sz="4" w:space="0" w:color="auto"/>
              <w:bottom w:val="single" w:sz="4" w:space="0" w:color="auto"/>
            </w:tcBorders>
            <w:textDirection w:val="btLr"/>
          </w:tcPr>
          <w:p w14:paraId="3F688658" w14:textId="77777777" w:rsidR="00180E14" w:rsidRPr="00D00F16" w:rsidRDefault="00180E14" w:rsidP="003423C0">
            <w:pPr>
              <w:spacing w:line="240" w:lineRule="auto"/>
              <w:ind w:left="0"/>
              <w:rPr>
                <w:sz w:val="24"/>
                <w:szCs w:val="24"/>
              </w:rPr>
            </w:pPr>
            <w:r w:rsidRPr="00D00F16">
              <w:rPr>
                <w:sz w:val="24"/>
                <w:szCs w:val="24"/>
              </w:rPr>
              <w:t>Elevation</w:t>
            </w:r>
          </w:p>
        </w:tc>
        <w:tc>
          <w:tcPr>
            <w:tcW w:w="450" w:type="dxa"/>
            <w:tcBorders>
              <w:top w:val="single" w:sz="4" w:space="0" w:color="auto"/>
              <w:bottom w:val="single" w:sz="4" w:space="0" w:color="auto"/>
            </w:tcBorders>
            <w:textDirection w:val="btLr"/>
          </w:tcPr>
          <w:p w14:paraId="27F6BE07" w14:textId="77777777" w:rsidR="00180E14" w:rsidRPr="00D00F16" w:rsidRDefault="00180E14" w:rsidP="003423C0">
            <w:pPr>
              <w:spacing w:line="240" w:lineRule="auto"/>
              <w:ind w:left="0"/>
              <w:rPr>
                <w:sz w:val="24"/>
                <w:szCs w:val="24"/>
              </w:rPr>
            </w:pPr>
            <w:r w:rsidRPr="00D00F16">
              <w:rPr>
                <w:sz w:val="24"/>
                <w:szCs w:val="24"/>
              </w:rPr>
              <w:t>Slope</w:t>
            </w:r>
          </w:p>
        </w:tc>
        <w:tc>
          <w:tcPr>
            <w:tcW w:w="720" w:type="dxa"/>
            <w:tcBorders>
              <w:top w:val="single" w:sz="4" w:space="0" w:color="auto"/>
              <w:bottom w:val="single" w:sz="4" w:space="0" w:color="auto"/>
            </w:tcBorders>
            <w:textDirection w:val="btLr"/>
          </w:tcPr>
          <w:p w14:paraId="3FE4E723" w14:textId="77777777" w:rsidR="00180E14" w:rsidRPr="00D00F16" w:rsidRDefault="00180E14" w:rsidP="003423C0">
            <w:pPr>
              <w:spacing w:line="240" w:lineRule="auto"/>
              <w:ind w:left="0"/>
              <w:rPr>
                <w:sz w:val="24"/>
                <w:szCs w:val="24"/>
              </w:rPr>
            </w:pPr>
            <w:r w:rsidRPr="00D00F16">
              <w:rPr>
                <w:sz w:val="24"/>
                <w:szCs w:val="24"/>
              </w:rPr>
              <w:t>Soil</w:t>
            </w:r>
          </w:p>
        </w:tc>
        <w:tc>
          <w:tcPr>
            <w:tcW w:w="1080" w:type="dxa"/>
            <w:tcBorders>
              <w:top w:val="single" w:sz="4" w:space="0" w:color="auto"/>
              <w:bottom w:val="single" w:sz="4" w:space="0" w:color="auto"/>
            </w:tcBorders>
          </w:tcPr>
          <w:p w14:paraId="4B840653" w14:textId="5E03A624" w:rsidR="00180E14" w:rsidRPr="00D00F16" w:rsidRDefault="00180E14" w:rsidP="003423C0">
            <w:pPr>
              <w:spacing w:line="240" w:lineRule="auto"/>
              <w:ind w:left="0"/>
              <w:rPr>
                <w:sz w:val="24"/>
                <w:szCs w:val="24"/>
              </w:rPr>
            </w:pPr>
            <w:r w:rsidRPr="00D00F16">
              <w:rPr>
                <w:sz w:val="24"/>
                <w:szCs w:val="24"/>
              </w:rPr>
              <w:t>Weight</w:t>
            </w:r>
          </w:p>
        </w:tc>
        <w:tc>
          <w:tcPr>
            <w:tcW w:w="1800" w:type="dxa"/>
            <w:tcBorders>
              <w:top w:val="single" w:sz="4" w:space="0" w:color="auto"/>
              <w:bottom w:val="single" w:sz="4" w:space="0" w:color="auto"/>
            </w:tcBorders>
          </w:tcPr>
          <w:p w14:paraId="22F38B7A" w14:textId="7D3229C4" w:rsidR="00180E14" w:rsidRPr="00D00F16" w:rsidRDefault="00180E14" w:rsidP="003423C0">
            <w:pPr>
              <w:spacing w:line="240" w:lineRule="auto"/>
              <w:ind w:left="0"/>
              <w:rPr>
                <w:sz w:val="24"/>
                <w:szCs w:val="24"/>
              </w:rPr>
            </w:pPr>
            <w:r w:rsidRPr="00D00F16">
              <w:rPr>
                <w:sz w:val="24"/>
                <w:szCs w:val="24"/>
              </w:rPr>
              <w:t>Normalize Principal Eigenvector</w:t>
            </w:r>
            <w:r w:rsidR="005E1616" w:rsidRPr="00D00F16">
              <w:rPr>
                <w:sz w:val="24"/>
                <w:szCs w:val="24"/>
              </w:rPr>
              <w:t xml:space="preserve"> (%)</w:t>
            </w:r>
          </w:p>
        </w:tc>
      </w:tr>
      <w:tr w:rsidR="003F590C" w:rsidRPr="00D00F16" w14:paraId="56EC01F5" w14:textId="77777777" w:rsidTr="003423C0">
        <w:trPr>
          <w:trHeight w:val="143"/>
        </w:trPr>
        <w:tc>
          <w:tcPr>
            <w:tcW w:w="1422" w:type="dxa"/>
            <w:tcBorders>
              <w:top w:val="single" w:sz="4" w:space="0" w:color="auto"/>
            </w:tcBorders>
          </w:tcPr>
          <w:p w14:paraId="0299D4E1" w14:textId="77777777" w:rsidR="00180E14" w:rsidRPr="00D00F16" w:rsidRDefault="00180E14" w:rsidP="003423C0">
            <w:pPr>
              <w:spacing w:line="240" w:lineRule="auto"/>
              <w:ind w:left="0"/>
              <w:rPr>
                <w:sz w:val="24"/>
                <w:szCs w:val="24"/>
              </w:rPr>
            </w:pPr>
            <w:r w:rsidRPr="00D00F16">
              <w:rPr>
                <w:sz w:val="24"/>
                <w:szCs w:val="24"/>
              </w:rPr>
              <w:t>Geology</w:t>
            </w:r>
          </w:p>
        </w:tc>
        <w:tc>
          <w:tcPr>
            <w:tcW w:w="648" w:type="dxa"/>
            <w:tcBorders>
              <w:top w:val="single" w:sz="4" w:space="0" w:color="auto"/>
            </w:tcBorders>
            <w:shd w:val="clear" w:color="auto" w:fill="FFFFFF" w:themeFill="background1"/>
          </w:tcPr>
          <w:p w14:paraId="6288785A" w14:textId="77777777" w:rsidR="00180E14" w:rsidRPr="00D00F16" w:rsidRDefault="00180E14" w:rsidP="003423C0">
            <w:pPr>
              <w:spacing w:line="240" w:lineRule="auto"/>
              <w:ind w:left="0"/>
              <w:rPr>
                <w:sz w:val="24"/>
                <w:szCs w:val="24"/>
              </w:rPr>
            </w:pPr>
            <w:r w:rsidRPr="00D00F16">
              <w:rPr>
                <w:sz w:val="24"/>
                <w:szCs w:val="24"/>
              </w:rPr>
              <w:t>1</w:t>
            </w:r>
          </w:p>
        </w:tc>
        <w:tc>
          <w:tcPr>
            <w:tcW w:w="540" w:type="dxa"/>
            <w:tcBorders>
              <w:top w:val="single" w:sz="4" w:space="0" w:color="auto"/>
            </w:tcBorders>
            <w:shd w:val="clear" w:color="auto" w:fill="FFFFFF" w:themeFill="background1"/>
          </w:tcPr>
          <w:p w14:paraId="287E12E1" w14:textId="77777777" w:rsidR="00180E14" w:rsidRPr="00D00F16" w:rsidRDefault="00180E14" w:rsidP="003423C0">
            <w:pPr>
              <w:spacing w:line="240" w:lineRule="auto"/>
              <w:ind w:left="0"/>
              <w:rPr>
                <w:sz w:val="24"/>
                <w:szCs w:val="24"/>
              </w:rPr>
            </w:pPr>
            <w:r w:rsidRPr="00D00F16">
              <w:rPr>
                <w:sz w:val="24"/>
                <w:szCs w:val="24"/>
              </w:rPr>
              <w:t>3</w:t>
            </w:r>
          </w:p>
        </w:tc>
        <w:tc>
          <w:tcPr>
            <w:tcW w:w="540" w:type="dxa"/>
            <w:tcBorders>
              <w:top w:val="single" w:sz="4" w:space="0" w:color="auto"/>
            </w:tcBorders>
            <w:shd w:val="clear" w:color="auto" w:fill="FFFFFF" w:themeFill="background1"/>
          </w:tcPr>
          <w:p w14:paraId="07A707BA" w14:textId="77777777" w:rsidR="00180E14" w:rsidRPr="00D00F16" w:rsidRDefault="00180E14" w:rsidP="003423C0">
            <w:pPr>
              <w:spacing w:line="240" w:lineRule="auto"/>
              <w:ind w:left="0"/>
              <w:rPr>
                <w:sz w:val="24"/>
                <w:szCs w:val="24"/>
              </w:rPr>
            </w:pPr>
            <w:r w:rsidRPr="00D00F16">
              <w:rPr>
                <w:sz w:val="24"/>
                <w:szCs w:val="24"/>
              </w:rPr>
              <w:t>3</w:t>
            </w:r>
          </w:p>
        </w:tc>
        <w:tc>
          <w:tcPr>
            <w:tcW w:w="720" w:type="dxa"/>
            <w:tcBorders>
              <w:top w:val="single" w:sz="4" w:space="0" w:color="auto"/>
            </w:tcBorders>
            <w:shd w:val="clear" w:color="auto" w:fill="FFFFFF" w:themeFill="background1"/>
          </w:tcPr>
          <w:p w14:paraId="2DE010B6" w14:textId="77777777" w:rsidR="00180E14" w:rsidRPr="00D00F16" w:rsidRDefault="00180E14" w:rsidP="003423C0">
            <w:pPr>
              <w:spacing w:line="240" w:lineRule="auto"/>
              <w:ind w:left="0"/>
              <w:rPr>
                <w:sz w:val="24"/>
                <w:szCs w:val="24"/>
              </w:rPr>
            </w:pPr>
            <w:r w:rsidRPr="00D00F16">
              <w:rPr>
                <w:sz w:val="24"/>
                <w:szCs w:val="24"/>
              </w:rPr>
              <w:t>1</w:t>
            </w:r>
          </w:p>
        </w:tc>
        <w:tc>
          <w:tcPr>
            <w:tcW w:w="540" w:type="dxa"/>
            <w:tcBorders>
              <w:top w:val="single" w:sz="4" w:space="0" w:color="auto"/>
            </w:tcBorders>
            <w:shd w:val="clear" w:color="auto" w:fill="FFFFFF" w:themeFill="background1"/>
          </w:tcPr>
          <w:p w14:paraId="07EDDB0E" w14:textId="77777777" w:rsidR="00180E14" w:rsidRPr="00D00F16" w:rsidRDefault="00180E14" w:rsidP="003423C0">
            <w:pPr>
              <w:spacing w:line="240" w:lineRule="auto"/>
              <w:ind w:left="0"/>
              <w:rPr>
                <w:sz w:val="24"/>
                <w:szCs w:val="24"/>
              </w:rPr>
            </w:pPr>
            <w:r w:rsidRPr="00D00F16">
              <w:rPr>
                <w:sz w:val="24"/>
                <w:szCs w:val="24"/>
              </w:rPr>
              <w:t>3</w:t>
            </w:r>
          </w:p>
        </w:tc>
        <w:tc>
          <w:tcPr>
            <w:tcW w:w="720" w:type="dxa"/>
            <w:tcBorders>
              <w:top w:val="single" w:sz="4" w:space="0" w:color="auto"/>
            </w:tcBorders>
            <w:shd w:val="clear" w:color="auto" w:fill="FFFFFF" w:themeFill="background1"/>
          </w:tcPr>
          <w:p w14:paraId="4AF95FC2" w14:textId="77777777" w:rsidR="00180E14" w:rsidRPr="00D00F16" w:rsidRDefault="00180E14" w:rsidP="003423C0">
            <w:pPr>
              <w:spacing w:line="240" w:lineRule="auto"/>
              <w:ind w:left="0"/>
              <w:rPr>
                <w:sz w:val="24"/>
                <w:szCs w:val="24"/>
              </w:rPr>
            </w:pPr>
            <w:r w:rsidRPr="00D00F16">
              <w:rPr>
                <w:sz w:val="24"/>
                <w:szCs w:val="24"/>
              </w:rPr>
              <w:t>2</w:t>
            </w:r>
          </w:p>
        </w:tc>
        <w:tc>
          <w:tcPr>
            <w:tcW w:w="360" w:type="dxa"/>
            <w:tcBorders>
              <w:top w:val="single" w:sz="4" w:space="0" w:color="auto"/>
            </w:tcBorders>
            <w:shd w:val="clear" w:color="auto" w:fill="FFFFFF" w:themeFill="background1"/>
          </w:tcPr>
          <w:p w14:paraId="5BDB6DBE" w14:textId="77777777" w:rsidR="00180E14" w:rsidRPr="00D00F16" w:rsidRDefault="00180E14" w:rsidP="003423C0">
            <w:pPr>
              <w:spacing w:line="240" w:lineRule="auto"/>
              <w:ind w:left="0"/>
              <w:rPr>
                <w:sz w:val="24"/>
                <w:szCs w:val="24"/>
              </w:rPr>
            </w:pPr>
            <w:r w:rsidRPr="00D00F16">
              <w:rPr>
                <w:sz w:val="24"/>
                <w:szCs w:val="24"/>
              </w:rPr>
              <w:t>5</w:t>
            </w:r>
          </w:p>
        </w:tc>
        <w:tc>
          <w:tcPr>
            <w:tcW w:w="450" w:type="dxa"/>
            <w:tcBorders>
              <w:top w:val="single" w:sz="4" w:space="0" w:color="auto"/>
            </w:tcBorders>
            <w:shd w:val="clear" w:color="auto" w:fill="FFFFFF" w:themeFill="background1"/>
          </w:tcPr>
          <w:p w14:paraId="0C0DEAD1" w14:textId="77777777" w:rsidR="00180E14" w:rsidRPr="00D00F16" w:rsidRDefault="00180E14" w:rsidP="003423C0">
            <w:pPr>
              <w:spacing w:line="240" w:lineRule="auto"/>
              <w:ind w:left="0"/>
              <w:rPr>
                <w:sz w:val="24"/>
                <w:szCs w:val="24"/>
              </w:rPr>
            </w:pPr>
            <w:r w:rsidRPr="00D00F16">
              <w:rPr>
                <w:sz w:val="24"/>
                <w:szCs w:val="24"/>
              </w:rPr>
              <w:t>3</w:t>
            </w:r>
          </w:p>
        </w:tc>
        <w:tc>
          <w:tcPr>
            <w:tcW w:w="720" w:type="dxa"/>
            <w:tcBorders>
              <w:top w:val="single" w:sz="4" w:space="0" w:color="auto"/>
            </w:tcBorders>
            <w:shd w:val="clear" w:color="auto" w:fill="FFFFFF" w:themeFill="background1"/>
          </w:tcPr>
          <w:p w14:paraId="0CF610C5" w14:textId="77777777" w:rsidR="00180E14" w:rsidRPr="00D00F16" w:rsidRDefault="00180E14" w:rsidP="003423C0">
            <w:pPr>
              <w:spacing w:line="240" w:lineRule="auto"/>
              <w:ind w:left="0"/>
              <w:rPr>
                <w:sz w:val="24"/>
                <w:szCs w:val="24"/>
              </w:rPr>
            </w:pPr>
            <w:r w:rsidRPr="00D00F16">
              <w:rPr>
                <w:sz w:val="24"/>
                <w:szCs w:val="24"/>
              </w:rPr>
              <w:t>1</w:t>
            </w:r>
          </w:p>
        </w:tc>
        <w:tc>
          <w:tcPr>
            <w:tcW w:w="1080" w:type="dxa"/>
            <w:tcBorders>
              <w:top w:val="single" w:sz="4" w:space="0" w:color="auto"/>
            </w:tcBorders>
            <w:shd w:val="clear" w:color="auto" w:fill="FFFFFF" w:themeFill="background1"/>
          </w:tcPr>
          <w:p w14:paraId="56EE1BEC" w14:textId="77777777" w:rsidR="00180E14" w:rsidRPr="00D00F16" w:rsidRDefault="00180E14" w:rsidP="003423C0">
            <w:pPr>
              <w:spacing w:line="240" w:lineRule="auto"/>
              <w:ind w:left="0"/>
              <w:rPr>
                <w:sz w:val="24"/>
                <w:szCs w:val="24"/>
              </w:rPr>
            </w:pPr>
            <w:r w:rsidRPr="00D00F16">
              <w:rPr>
                <w:sz w:val="24"/>
                <w:szCs w:val="24"/>
              </w:rPr>
              <w:t>0.1994</w:t>
            </w:r>
          </w:p>
        </w:tc>
        <w:tc>
          <w:tcPr>
            <w:tcW w:w="1800" w:type="dxa"/>
            <w:tcBorders>
              <w:top w:val="single" w:sz="4" w:space="0" w:color="auto"/>
            </w:tcBorders>
          </w:tcPr>
          <w:p w14:paraId="07B21C15" w14:textId="08794156" w:rsidR="00180E14" w:rsidRPr="00D00F16" w:rsidRDefault="00180E14" w:rsidP="003423C0">
            <w:pPr>
              <w:spacing w:line="240" w:lineRule="auto"/>
              <w:ind w:left="0"/>
              <w:rPr>
                <w:sz w:val="24"/>
                <w:szCs w:val="24"/>
              </w:rPr>
            </w:pPr>
            <w:r w:rsidRPr="00D00F16">
              <w:rPr>
                <w:sz w:val="24"/>
                <w:szCs w:val="24"/>
              </w:rPr>
              <w:t xml:space="preserve">19.94 </w:t>
            </w:r>
          </w:p>
        </w:tc>
      </w:tr>
      <w:tr w:rsidR="003F590C" w:rsidRPr="00D00F16" w14:paraId="04568B42" w14:textId="77777777" w:rsidTr="003423C0">
        <w:trPr>
          <w:trHeight w:val="225"/>
        </w:trPr>
        <w:tc>
          <w:tcPr>
            <w:tcW w:w="1422" w:type="dxa"/>
          </w:tcPr>
          <w:p w14:paraId="3713F3EA" w14:textId="77777777" w:rsidR="00180E14" w:rsidRPr="00D00F16" w:rsidRDefault="00180E14" w:rsidP="003423C0">
            <w:pPr>
              <w:spacing w:line="240" w:lineRule="auto"/>
              <w:ind w:left="0"/>
              <w:rPr>
                <w:sz w:val="24"/>
                <w:szCs w:val="24"/>
              </w:rPr>
            </w:pPr>
            <w:r w:rsidRPr="00D00F16">
              <w:rPr>
                <w:sz w:val="24"/>
                <w:szCs w:val="24"/>
              </w:rPr>
              <w:t>Rainfall</w:t>
            </w:r>
          </w:p>
        </w:tc>
        <w:tc>
          <w:tcPr>
            <w:tcW w:w="648" w:type="dxa"/>
            <w:shd w:val="clear" w:color="auto" w:fill="FFFFFF" w:themeFill="background1"/>
          </w:tcPr>
          <w:p w14:paraId="13811EAB"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5B82449C"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2F8F013F"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1C2F88EF"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66A4F165"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60CD8ED9"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48EE0EE5" w14:textId="77777777" w:rsidR="00180E14" w:rsidRPr="00D00F16" w:rsidRDefault="00180E14" w:rsidP="003423C0">
            <w:pPr>
              <w:spacing w:line="240" w:lineRule="auto"/>
              <w:ind w:left="0"/>
              <w:rPr>
                <w:sz w:val="24"/>
                <w:szCs w:val="24"/>
              </w:rPr>
            </w:pPr>
            <w:r w:rsidRPr="00D00F16">
              <w:rPr>
                <w:sz w:val="24"/>
                <w:szCs w:val="24"/>
              </w:rPr>
              <w:t>3</w:t>
            </w:r>
          </w:p>
        </w:tc>
        <w:tc>
          <w:tcPr>
            <w:tcW w:w="450" w:type="dxa"/>
            <w:shd w:val="clear" w:color="auto" w:fill="FFFFFF" w:themeFill="background1"/>
          </w:tcPr>
          <w:p w14:paraId="6FBE4EE4"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72E569A6"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66130A00" w14:textId="77777777" w:rsidR="00180E14" w:rsidRPr="00D00F16" w:rsidRDefault="00180E14" w:rsidP="003423C0">
            <w:pPr>
              <w:spacing w:line="240" w:lineRule="auto"/>
              <w:ind w:left="0"/>
              <w:rPr>
                <w:sz w:val="24"/>
                <w:szCs w:val="24"/>
              </w:rPr>
            </w:pPr>
            <w:r w:rsidRPr="00D00F16">
              <w:rPr>
                <w:sz w:val="24"/>
                <w:szCs w:val="24"/>
              </w:rPr>
              <w:t>0.1297</w:t>
            </w:r>
          </w:p>
        </w:tc>
        <w:tc>
          <w:tcPr>
            <w:tcW w:w="1800" w:type="dxa"/>
          </w:tcPr>
          <w:p w14:paraId="03739638" w14:textId="2ECC40E8" w:rsidR="00180E14" w:rsidRPr="00D00F16" w:rsidRDefault="00180E14" w:rsidP="003423C0">
            <w:pPr>
              <w:spacing w:line="240" w:lineRule="auto"/>
              <w:ind w:left="0"/>
              <w:rPr>
                <w:sz w:val="24"/>
                <w:szCs w:val="24"/>
              </w:rPr>
            </w:pPr>
            <w:r w:rsidRPr="00D00F16">
              <w:rPr>
                <w:sz w:val="24"/>
                <w:szCs w:val="24"/>
              </w:rPr>
              <w:t xml:space="preserve">12.97 </w:t>
            </w:r>
          </w:p>
        </w:tc>
      </w:tr>
      <w:tr w:rsidR="003F590C" w:rsidRPr="00D00F16" w14:paraId="4C5D8663" w14:textId="77777777" w:rsidTr="003423C0">
        <w:trPr>
          <w:trHeight w:val="80"/>
        </w:trPr>
        <w:tc>
          <w:tcPr>
            <w:tcW w:w="1422" w:type="dxa"/>
          </w:tcPr>
          <w:p w14:paraId="07291D33" w14:textId="77777777" w:rsidR="00180E14" w:rsidRPr="00D00F16" w:rsidRDefault="00180E14" w:rsidP="003423C0">
            <w:pPr>
              <w:spacing w:line="240" w:lineRule="auto"/>
              <w:ind w:left="0"/>
              <w:rPr>
                <w:sz w:val="24"/>
                <w:szCs w:val="24"/>
              </w:rPr>
            </w:pPr>
            <w:r w:rsidRPr="00D00F16">
              <w:rPr>
                <w:sz w:val="24"/>
                <w:szCs w:val="24"/>
              </w:rPr>
              <w:t>TWI</w:t>
            </w:r>
          </w:p>
        </w:tc>
        <w:tc>
          <w:tcPr>
            <w:tcW w:w="648" w:type="dxa"/>
            <w:shd w:val="clear" w:color="auto" w:fill="FFFFFF" w:themeFill="background1"/>
          </w:tcPr>
          <w:p w14:paraId="4F51E62C"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13F80C1D"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2DF57E1E"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3DF4069C"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55AE73F9"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20A4077A"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4FBF9C00" w14:textId="77777777" w:rsidR="00180E14" w:rsidRPr="00D00F16" w:rsidRDefault="00180E14" w:rsidP="003423C0">
            <w:pPr>
              <w:spacing w:line="240" w:lineRule="auto"/>
              <w:ind w:left="0"/>
              <w:rPr>
                <w:sz w:val="24"/>
                <w:szCs w:val="24"/>
              </w:rPr>
            </w:pPr>
            <w:r w:rsidRPr="00D00F16">
              <w:rPr>
                <w:sz w:val="24"/>
                <w:szCs w:val="24"/>
              </w:rPr>
              <w:t>5</w:t>
            </w:r>
          </w:p>
        </w:tc>
        <w:tc>
          <w:tcPr>
            <w:tcW w:w="450" w:type="dxa"/>
            <w:shd w:val="clear" w:color="auto" w:fill="FFFFFF" w:themeFill="background1"/>
          </w:tcPr>
          <w:p w14:paraId="04D08D30"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4FC50E1A"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55BAE6F7" w14:textId="77777777" w:rsidR="00180E14" w:rsidRPr="00D00F16" w:rsidRDefault="00180E14" w:rsidP="003423C0">
            <w:pPr>
              <w:spacing w:line="240" w:lineRule="auto"/>
              <w:ind w:left="0"/>
              <w:rPr>
                <w:sz w:val="24"/>
                <w:szCs w:val="24"/>
              </w:rPr>
            </w:pPr>
            <w:r w:rsidRPr="00D00F16">
              <w:rPr>
                <w:sz w:val="24"/>
                <w:szCs w:val="24"/>
              </w:rPr>
              <w:t>0.0808</w:t>
            </w:r>
          </w:p>
        </w:tc>
        <w:tc>
          <w:tcPr>
            <w:tcW w:w="1800" w:type="dxa"/>
          </w:tcPr>
          <w:p w14:paraId="7E3B84AB" w14:textId="1F7080BC" w:rsidR="00180E14" w:rsidRPr="00D00F16" w:rsidRDefault="00180E14" w:rsidP="003423C0">
            <w:pPr>
              <w:spacing w:line="240" w:lineRule="auto"/>
              <w:ind w:left="0"/>
              <w:rPr>
                <w:sz w:val="24"/>
                <w:szCs w:val="24"/>
              </w:rPr>
            </w:pPr>
            <w:r w:rsidRPr="00D00F16">
              <w:rPr>
                <w:sz w:val="24"/>
                <w:szCs w:val="24"/>
              </w:rPr>
              <w:t xml:space="preserve">8.08 </w:t>
            </w:r>
          </w:p>
        </w:tc>
      </w:tr>
      <w:tr w:rsidR="003F590C" w:rsidRPr="00D00F16" w14:paraId="2AF56A8F" w14:textId="77777777" w:rsidTr="003423C0">
        <w:trPr>
          <w:trHeight w:val="387"/>
        </w:trPr>
        <w:tc>
          <w:tcPr>
            <w:tcW w:w="1422" w:type="dxa"/>
          </w:tcPr>
          <w:p w14:paraId="3AF95DF4" w14:textId="77777777" w:rsidR="00180E14" w:rsidRPr="00D00F16" w:rsidRDefault="00180E14" w:rsidP="003423C0">
            <w:pPr>
              <w:spacing w:line="240" w:lineRule="auto"/>
              <w:ind w:left="0"/>
              <w:rPr>
                <w:sz w:val="24"/>
                <w:szCs w:val="24"/>
              </w:rPr>
            </w:pPr>
            <w:r w:rsidRPr="00D00F16">
              <w:rPr>
                <w:sz w:val="24"/>
                <w:szCs w:val="24"/>
              </w:rPr>
              <w:t>Lineament density</w:t>
            </w:r>
          </w:p>
        </w:tc>
        <w:tc>
          <w:tcPr>
            <w:tcW w:w="648" w:type="dxa"/>
            <w:shd w:val="clear" w:color="auto" w:fill="FFFFFF" w:themeFill="background1"/>
          </w:tcPr>
          <w:p w14:paraId="0B963941"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1D1F1D66" w14:textId="77777777" w:rsidR="00180E14" w:rsidRPr="00D00F16" w:rsidRDefault="00180E14" w:rsidP="003423C0">
            <w:pPr>
              <w:spacing w:line="240" w:lineRule="auto"/>
              <w:ind w:left="0"/>
              <w:rPr>
                <w:sz w:val="24"/>
                <w:szCs w:val="24"/>
              </w:rPr>
            </w:pPr>
            <w:r w:rsidRPr="00D00F16">
              <w:rPr>
                <w:sz w:val="24"/>
                <w:szCs w:val="24"/>
              </w:rPr>
              <w:t>3</w:t>
            </w:r>
          </w:p>
        </w:tc>
        <w:tc>
          <w:tcPr>
            <w:tcW w:w="540" w:type="dxa"/>
            <w:shd w:val="clear" w:color="auto" w:fill="FFFFFF" w:themeFill="background1"/>
          </w:tcPr>
          <w:p w14:paraId="4DB7A107"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18A9749E"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37EB9A87"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649411AB"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1F76CB27" w14:textId="77777777" w:rsidR="00180E14" w:rsidRPr="00D00F16" w:rsidRDefault="00180E14" w:rsidP="003423C0">
            <w:pPr>
              <w:spacing w:line="240" w:lineRule="auto"/>
              <w:ind w:left="0"/>
              <w:rPr>
                <w:sz w:val="24"/>
                <w:szCs w:val="24"/>
              </w:rPr>
            </w:pPr>
            <w:r w:rsidRPr="00D00F16">
              <w:rPr>
                <w:sz w:val="24"/>
                <w:szCs w:val="24"/>
              </w:rPr>
              <w:t>5</w:t>
            </w:r>
          </w:p>
        </w:tc>
        <w:tc>
          <w:tcPr>
            <w:tcW w:w="450" w:type="dxa"/>
            <w:shd w:val="clear" w:color="auto" w:fill="FFFFFF" w:themeFill="background1"/>
          </w:tcPr>
          <w:p w14:paraId="2B5C5E94"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11A50B37"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03AC0058" w14:textId="77777777" w:rsidR="00180E14" w:rsidRPr="00D00F16" w:rsidRDefault="00180E14" w:rsidP="003423C0">
            <w:pPr>
              <w:spacing w:line="240" w:lineRule="auto"/>
              <w:ind w:left="0"/>
              <w:rPr>
                <w:sz w:val="24"/>
                <w:szCs w:val="24"/>
              </w:rPr>
            </w:pPr>
            <w:r w:rsidRPr="00D00F16">
              <w:rPr>
                <w:sz w:val="24"/>
                <w:szCs w:val="24"/>
              </w:rPr>
              <w:t>0.1892</w:t>
            </w:r>
          </w:p>
        </w:tc>
        <w:tc>
          <w:tcPr>
            <w:tcW w:w="1800" w:type="dxa"/>
          </w:tcPr>
          <w:p w14:paraId="7895EEC1" w14:textId="47F2009A" w:rsidR="00180E14" w:rsidRPr="00D00F16" w:rsidRDefault="00180E14" w:rsidP="003423C0">
            <w:pPr>
              <w:spacing w:line="240" w:lineRule="auto"/>
              <w:ind w:left="0"/>
              <w:rPr>
                <w:sz w:val="24"/>
                <w:szCs w:val="24"/>
              </w:rPr>
            </w:pPr>
            <w:r w:rsidRPr="00D00F16">
              <w:rPr>
                <w:sz w:val="24"/>
                <w:szCs w:val="24"/>
              </w:rPr>
              <w:t>18.92</w:t>
            </w:r>
          </w:p>
        </w:tc>
      </w:tr>
      <w:tr w:rsidR="003F590C" w:rsidRPr="00D00F16" w14:paraId="57129068" w14:textId="77777777" w:rsidTr="003423C0">
        <w:trPr>
          <w:trHeight w:val="467"/>
        </w:trPr>
        <w:tc>
          <w:tcPr>
            <w:tcW w:w="1422" w:type="dxa"/>
          </w:tcPr>
          <w:p w14:paraId="2405C0F3" w14:textId="77777777" w:rsidR="00180E14" w:rsidRPr="00D00F16" w:rsidRDefault="00180E14" w:rsidP="003423C0">
            <w:pPr>
              <w:spacing w:line="240" w:lineRule="auto"/>
              <w:ind w:left="0"/>
              <w:rPr>
                <w:sz w:val="24"/>
                <w:szCs w:val="24"/>
                <w:u w:val="single"/>
              </w:rPr>
            </w:pPr>
            <w:r w:rsidRPr="00D00F16">
              <w:rPr>
                <w:sz w:val="24"/>
                <w:szCs w:val="24"/>
              </w:rPr>
              <w:t>LULC</w:t>
            </w:r>
          </w:p>
        </w:tc>
        <w:tc>
          <w:tcPr>
            <w:tcW w:w="648" w:type="dxa"/>
            <w:shd w:val="clear" w:color="auto" w:fill="FFFFFF" w:themeFill="background1"/>
          </w:tcPr>
          <w:p w14:paraId="0BC7EB52"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0F9B4F61"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5441049E"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5D5B0D12"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0911460E"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76B94ABE" w14:textId="77777777" w:rsidR="00180E14" w:rsidRPr="00D00F16" w:rsidRDefault="00180E14" w:rsidP="003423C0">
            <w:pPr>
              <w:spacing w:line="240" w:lineRule="auto"/>
              <w:ind w:left="0"/>
              <w:rPr>
                <w:sz w:val="24"/>
                <w:szCs w:val="24"/>
              </w:rPr>
            </w:pPr>
            <w:r w:rsidRPr="00D00F16">
              <w:rPr>
                <w:sz w:val="24"/>
                <w:szCs w:val="24"/>
              </w:rPr>
              <w:t>3</w:t>
            </w:r>
          </w:p>
        </w:tc>
        <w:tc>
          <w:tcPr>
            <w:tcW w:w="360" w:type="dxa"/>
            <w:shd w:val="clear" w:color="auto" w:fill="FFFFFF" w:themeFill="background1"/>
          </w:tcPr>
          <w:p w14:paraId="3D755C0D" w14:textId="77777777" w:rsidR="00180E14" w:rsidRPr="00D00F16" w:rsidRDefault="00180E14" w:rsidP="003423C0">
            <w:pPr>
              <w:spacing w:line="240" w:lineRule="auto"/>
              <w:ind w:left="0"/>
              <w:rPr>
                <w:sz w:val="24"/>
                <w:szCs w:val="24"/>
              </w:rPr>
            </w:pPr>
            <w:r w:rsidRPr="00D00F16">
              <w:rPr>
                <w:sz w:val="24"/>
                <w:szCs w:val="24"/>
              </w:rPr>
              <w:t>5</w:t>
            </w:r>
          </w:p>
        </w:tc>
        <w:tc>
          <w:tcPr>
            <w:tcW w:w="450" w:type="dxa"/>
            <w:shd w:val="clear" w:color="auto" w:fill="FFFFFF" w:themeFill="background1"/>
          </w:tcPr>
          <w:p w14:paraId="5A593078"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2AA54BF4"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225F99BF" w14:textId="77777777" w:rsidR="00180E14" w:rsidRPr="00D00F16" w:rsidRDefault="00180E14" w:rsidP="003423C0">
            <w:pPr>
              <w:spacing w:line="240" w:lineRule="auto"/>
              <w:ind w:left="0"/>
              <w:rPr>
                <w:sz w:val="24"/>
                <w:szCs w:val="24"/>
              </w:rPr>
            </w:pPr>
            <w:r w:rsidRPr="00D00F16">
              <w:rPr>
                <w:sz w:val="24"/>
                <w:szCs w:val="24"/>
              </w:rPr>
              <w:t>0.1013</w:t>
            </w:r>
          </w:p>
        </w:tc>
        <w:tc>
          <w:tcPr>
            <w:tcW w:w="1800" w:type="dxa"/>
          </w:tcPr>
          <w:p w14:paraId="489A0083" w14:textId="7356CA77" w:rsidR="00180E14" w:rsidRPr="00D00F16" w:rsidRDefault="00180E14" w:rsidP="003423C0">
            <w:pPr>
              <w:spacing w:line="240" w:lineRule="auto"/>
              <w:ind w:left="0"/>
              <w:rPr>
                <w:sz w:val="24"/>
                <w:szCs w:val="24"/>
              </w:rPr>
            </w:pPr>
            <w:r w:rsidRPr="00D00F16">
              <w:rPr>
                <w:sz w:val="24"/>
                <w:szCs w:val="24"/>
              </w:rPr>
              <w:t>10.13</w:t>
            </w:r>
          </w:p>
        </w:tc>
      </w:tr>
      <w:tr w:rsidR="003F590C" w:rsidRPr="00D00F16" w14:paraId="3880C105" w14:textId="77777777" w:rsidTr="003423C0">
        <w:trPr>
          <w:trHeight w:val="387"/>
        </w:trPr>
        <w:tc>
          <w:tcPr>
            <w:tcW w:w="1422" w:type="dxa"/>
          </w:tcPr>
          <w:p w14:paraId="7E3AD86B" w14:textId="77777777" w:rsidR="00180E14" w:rsidRPr="00D00F16" w:rsidRDefault="00180E14" w:rsidP="003423C0">
            <w:pPr>
              <w:spacing w:line="240" w:lineRule="auto"/>
              <w:ind w:left="0"/>
              <w:rPr>
                <w:sz w:val="24"/>
                <w:szCs w:val="24"/>
              </w:rPr>
            </w:pPr>
            <w:r w:rsidRPr="00D00F16">
              <w:rPr>
                <w:sz w:val="24"/>
                <w:szCs w:val="24"/>
              </w:rPr>
              <w:t>Drainage density</w:t>
            </w:r>
          </w:p>
        </w:tc>
        <w:tc>
          <w:tcPr>
            <w:tcW w:w="648" w:type="dxa"/>
            <w:shd w:val="clear" w:color="auto" w:fill="FFFFFF" w:themeFill="background1"/>
          </w:tcPr>
          <w:p w14:paraId="328D7DA1" w14:textId="77777777" w:rsidR="00180E14" w:rsidRPr="00D00F16" w:rsidRDefault="00180E14" w:rsidP="003423C0">
            <w:pPr>
              <w:spacing w:line="240" w:lineRule="auto"/>
              <w:ind w:left="0"/>
              <w:rPr>
                <w:sz w:val="24"/>
                <w:szCs w:val="24"/>
              </w:rPr>
            </w:pPr>
            <w:r w:rsidRPr="00D00F16">
              <w:rPr>
                <w:sz w:val="24"/>
                <w:szCs w:val="24"/>
              </w:rPr>
              <w:t>1/2</w:t>
            </w:r>
          </w:p>
        </w:tc>
        <w:tc>
          <w:tcPr>
            <w:tcW w:w="540" w:type="dxa"/>
            <w:shd w:val="clear" w:color="auto" w:fill="FFFFFF" w:themeFill="background1"/>
          </w:tcPr>
          <w:p w14:paraId="79194D98"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5AC2C4B1"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7D009988"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1B0EF171" w14:textId="77777777" w:rsidR="00180E14" w:rsidRPr="00D00F16" w:rsidRDefault="00180E14" w:rsidP="003423C0">
            <w:pPr>
              <w:spacing w:line="240" w:lineRule="auto"/>
              <w:ind w:left="0"/>
              <w:rPr>
                <w:sz w:val="24"/>
                <w:szCs w:val="24"/>
              </w:rPr>
            </w:pPr>
            <w:r w:rsidRPr="00D00F16">
              <w:rPr>
                <w:sz w:val="24"/>
                <w:szCs w:val="24"/>
              </w:rPr>
              <w:t>1/3</w:t>
            </w:r>
          </w:p>
        </w:tc>
        <w:tc>
          <w:tcPr>
            <w:tcW w:w="720" w:type="dxa"/>
            <w:shd w:val="clear" w:color="auto" w:fill="FFFFFF" w:themeFill="background1"/>
          </w:tcPr>
          <w:p w14:paraId="2751396B"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72148EA4" w14:textId="77777777" w:rsidR="00180E14" w:rsidRPr="00D00F16" w:rsidRDefault="00180E14" w:rsidP="003423C0">
            <w:pPr>
              <w:spacing w:line="240" w:lineRule="auto"/>
              <w:ind w:left="0"/>
              <w:rPr>
                <w:sz w:val="24"/>
                <w:szCs w:val="24"/>
              </w:rPr>
            </w:pPr>
            <w:r w:rsidRPr="00D00F16">
              <w:rPr>
                <w:sz w:val="24"/>
                <w:szCs w:val="24"/>
              </w:rPr>
              <w:t>3</w:t>
            </w:r>
          </w:p>
        </w:tc>
        <w:tc>
          <w:tcPr>
            <w:tcW w:w="450" w:type="dxa"/>
            <w:shd w:val="clear" w:color="auto" w:fill="FFFFFF" w:themeFill="background1"/>
          </w:tcPr>
          <w:p w14:paraId="19B12271" w14:textId="77777777" w:rsidR="00180E14" w:rsidRPr="00D00F16" w:rsidRDefault="00180E14" w:rsidP="003423C0">
            <w:pPr>
              <w:spacing w:line="240" w:lineRule="auto"/>
              <w:ind w:left="0"/>
              <w:rPr>
                <w:sz w:val="24"/>
                <w:szCs w:val="24"/>
              </w:rPr>
            </w:pPr>
            <w:r w:rsidRPr="00D00F16">
              <w:rPr>
                <w:sz w:val="24"/>
                <w:szCs w:val="24"/>
              </w:rPr>
              <w:t>3</w:t>
            </w:r>
          </w:p>
        </w:tc>
        <w:tc>
          <w:tcPr>
            <w:tcW w:w="720" w:type="dxa"/>
            <w:shd w:val="clear" w:color="auto" w:fill="FFFFFF" w:themeFill="background1"/>
          </w:tcPr>
          <w:p w14:paraId="3B82FC14"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2B0D597E" w14:textId="77777777" w:rsidR="00180E14" w:rsidRPr="00D00F16" w:rsidRDefault="00180E14" w:rsidP="003423C0">
            <w:pPr>
              <w:spacing w:line="240" w:lineRule="auto"/>
              <w:ind w:left="0"/>
              <w:rPr>
                <w:sz w:val="24"/>
                <w:szCs w:val="24"/>
              </w:rPr>
            </w:pPr>
            <w:r w:rsidRPr="00D00F16">
              <w:rPr>
                <w:sz w:val="24"/>
                <w:szCs w:val="24"/>
              </w:rPr>
              <w:t>0.1025</w:t>
            </w:r>
          </w:p>
        </w:tc>
        <w:tc>
          <w:tcPr>
            <w:tcW w:w="1800" w:type="dxa"/>
          </w:tcPr>
          <w:p w14:paraId="3A2F0287" w14:textId="5F190762" w:rsidR="00180E14" w:rsidRPr="00D00F16" w:rsidRDefault="00180E14" w:rsidP="003423C0">
            <w:pPr>
              <w:spacing w:line="240" w:lineRule="auto"/>
              <w:ind w:left="0"/>
              <w:rPr>
                <w:sz w:val="24"/>
                <w:szCs w:val="24"/>
              </w:rPr>
            </w:pPr>
            <w:r w:rsidRPr="00D00F16">
              <w:rPr>
                <w:sz w:val="24"/>
                <w:szCs w:val="24"/>
              </w:rPr>
              <w:t>10.25</w:t>
            </w:r>
          </w:p>
        </w:tc>
      </w:tr>
      <w:tr w:rsidR="003F590C" w:rsidRPr="00D00F16" w14:paraId="47E2CBE4" w14:textId="77777777" w:rsidTr="003423C0">
        <w:trPr>
          <w:trHeight w:val="440"/>
        </w:trPr>
        <w:tc>
          <w:tcPr>
            <w:tcW w:w="1422" w:type="dxa"/>
          </w:tcPr>
          <w:p w14:paraId="3E79BDB3" w14:textId="77777777" w:rsidR="00180E14" w:rsidRPr="00D00F16" w:rsidRDefault="00180E14" w:rsidP="003423C0">
            <w:pPr>
              <w:spacing w:line="240" w:lineRule="auto"/>
              <w:ind w:left="0"/>
              <w:rPr>
                <w:sz w:val="24"/>
                <w:szCs w:val="24"/>
              </w:rPr>
            </w:pPr>
            <w:r w:rsidRPr="00D00F16">
              <w:rPr>
                <w:sz w:val="24"/>
                <w:szCs w:val="24"/>
              </w:rPr>
              <w:t>elevation</w:t>
            </w:r>
          </w:p>
        </w:tc>
        <w:tc>
          <w:tcPr>
            <w:tcW w:w="648" w:type="dxa"/>
            <w:shd w:val="clear" w:color="auto" w:fill="FFFFFF" w:themeFill="background1"/>
          </w:tcPr>
          <w:p w14:paraId="5F6F508B" w14:textId="77777777" w:rsidR="00180E14" w:rsidRPr="00D00F16" w:rsidRDefault="00180E14" w:rsidP="003423C0">
            <w:pPr>
              <w:spacing w:line="240" w:lineRule="auto"/>
              <w:ind w:left="0"/>
              <w:rPr>
                <w:sz w:val="24"/>
                <w:szCs w:val="24"/>
              </w:rPr>
            </w:pPr>
            <w:r w:rsidRPr="00D00F16">
              <w:rPr>
                <w:sz w:val="24"/>
                <w:szCs w:val="24"/>
              </w:rPr>
              <w:t>1/5</w:t>
            </w:r>
          </w:p>
        </w:tc>
        <w:tc>
          <w:tcPr>
            <w:tcW w:w="540" w:type="dxa"/>
            <w:shd w:val="clear" w:color="auto" w:fill="FFFFFF" w:themeFill="background1"/>
          </w:tcPr>
          <w:p w14:paraId="4C71E081"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47BE7FF1" w14:textId="77777777" w:rsidR="00180E14" w:rsidRPr="00D00F16" w:rsidRDefault="00180E14" w:rsidP="003423C0">
            <w:pPr>
              <w:spacing w:line="240" w:lineRule="auto"/>
              <w:ind w:left="0"/>
              <w:rPr>
                <w:sz w:val="24"/>
                <w:szCs w:val="24"/>
              </w:rPr>
            </w:pPr>
            <w:r w:rsidRPr="00D00F16">
              <w:rPr>
                <w:sz w:val="24"/>
                <w:szCs w:val="24"/>
              </w:rPr>
              <w:t>1/5</w:t>
            </w:r>
          </w:p>
        </w:tc>
        <w:tc>
          <w:tcPr>
            <w:tcW w:w="720" w:type="dxa"/>
            <w:shd w:val="clear" w:color="auto" w:fill="FFFFFF" w:themeFill="background1"/>
          </w:tcPr>
          <w:p w14:paraId="723F1A89" w14:textId="77777777" w:rsidR="00180E14" w:rsidRPr="00D00F16" w:rsidRDefault="00180E14" w:rsidP="003423C0">
            <w:pPr>
              <w:spacing w:line="240" w:lineRule="auto"/>
              <w:ind w:left="0"/>
              <w:rPr>
                <w:sz w:val="24"/>
                <w:szCs w:val="24"/>
              </w:rPr>
            </w:pPr>
            <w:r w:rsidRPr="00D00F16">
              <w:rPr>
                <w:sz w:val="24"/>
                <w:szCs w:val="24"/>
              </w:rPr>
              <w:t>1/5</w:t>
            </w:r>
          </w:p>
        </w:tc>
        <w:tc>
          <w:tcPr>
            <w:tcW w:w="540" w:type="dxa"/>
            <w:shd w:val="clear" w:color="auto" w:fill="FFFFFF" w:themeFill="background1"/>
          </w:tcPr>
          <w:p w14:paraId="79E9FFBD" w14:textId="17D00ECA" w:rsidR="00180E14" w:rsidRPr="00D00F16" w:rsidRDefault="00180E14" w:rsidP="003423C0">
            <w:pPr>
              <w:spacing w:line="240" w:lineRule="auto"/>
              <w:ind w:left="0"/>
              <w:rPr>
                <w:sz w:val="24"/>
                <w:szCs w:val="24"/>
              </w:rPr>
            </w:pPr>
            <w:r w:rsidRPr="00D00F16">
              <w:rPr>
                <w:sz w:val="24"/>
                <w:szCs w:val="24"/>
              </w:rPr>
              <w:t>1</w:t>
            </w:r>
            <w:r w:rsidR="005E1616" w:rsidRPr="00D00F16">
              <w:rPr>
                <w:sz w:val="24"/>
                <w:szCs w:val="24"/>
              </w:rPr>
              <w:t>/5</w:t>
            </w:r>
          </w:p>
        </w:tc>
        <w:tc>
          <w:tcPr>
            <w:tcW w:w="720" w:type="dxa"/>
            <w:shd w:val="clear" w:color="auto" w:fill="FFFFFF" w:themeFill="background1"/>
          </w:tcPr>
          <w:p w14:paraId="2104ED2C" w14:textId="77777777" w:rsidR="00180E14" w:rsidRPr="00D00F16" w:rsidRDefault="00180E14" w:rsidP="003423C0">
            <w:pPr>
              <w:spacing w:line="240" w:lineRule="auto"/>
              <w:ind w:left="0"/>
              <w:rPr>
                <w:sz w:val="24"/>
                <w:szCs w:val="24"/>
              </w:rPr>
            </w:pPr>
            <w:r w:rsidRPr="00D00F16">
              <w:rPr>
                <w:sz w:val="24"/>
                <w:szCs w:val="24"/>
              </w:rPr>
              <w:t>1/3</w:t>
            </w:r>
          </w:p>
        </w:tc>
        <w:tc>
          <w:tcPr>
            <w:tcW w:w="360" w:type="dxa"/>
            <w:shd w:val="clear" w:color="auto" w:fill="FFFFFF" w:themeFill="background1"/>
          </w:tcPr>
          <w:p w14:paraId="550B8008" w14:textId="77777777" w:rsidR="00180E14" w:rsidRPr="00D00F16" w:rsidRDefault="00180E14" w:rsidP="003423C0">
            <w:pPr>
              <w:spacing w:line="240" w:lineRule="auto"/>
              <w:ind w:left="0"/>
              <w:rPr>
                <w:sz w:val="24"/>
                <w:szCs w:val="24"/>
              </w:rPr>
            </w:pPr>
            <w:r w:rsidRPr="00D00F16">
              <w:rPr>
                <w:sz w:val="24"/>
                <w:szCs w:val="24"/>
              </w:rPr>
              <w:t>1</w:t>
            </w:r>
          </w:p>
        </w:tc>
        <w:tc>
          <w:tcPr>
            <w:tcW w:w="450" w:type="dxa"/>
            <w:shd w:val="clear" w:color="auto" w:fill="FFFFFF" w:themeFill="background1"/>
          </w:tcPr>
          <w:p w14:paraId="353BA4F3"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4C33C349"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78D7AC85" w14:textId="77777777" w:rsidR="00180E14" w:rsidRPr="00D00F16" w:rsidRDefault="00180E14" w:rsidP="003423C0">
            <w:pPr>
              <w:spacing w:line="240" w:lineRule="auto"/>
              <w:ind w:left="0"/>
              <w:rPr>
                <w:sz w:val="24"/>
                <w:szCs w:val="24"/>
              </w:rPr>
            </w:pPr>
            <w:r w:rsidRPr="00D00F16">
              <w:rPr>
                <w:sz w:val="24"/>
                <w:szCs w:val="24"/>
              </w:rPr>
              <w:t>0.0388</w:t>
            </w:r>
          </w:p>
        </w:tc>
        <w:tc>
          <w:tcPr>
            <w:tcW w:w="1800" w:type="dxa"/>
          </w:tcPr>
          <w:p w14:paraId="050264D4" w14:textId="5E3D2273" w:rsidR="00180E14" w:rsidRPr="00D00F16" w:rsidRDefault="00180E14" w:rsidP="003423C0">
            <w:pPr>
              <w:spacing w:line="240" w:lineRule="auto"/>
              <w:ind w:left="0"/>
              <w:rPr>
                <w:sz w:val="24"/>
                <w:szCs w:val="24"/>
              </w:rPr>
            </w:pPr>
            <w:r w:rsidRPr="00D00F16">
              <w:rPr>
                <w:sz w:val="24"/>
                <w:szCs w:val="24"/>
              </w:rPr>
              <w:t xml:space="preserve">3.88 </w:t>
            </w:r>
          </w:p>
        </w:tc>
      </w:tr>
      <w:tr w:rsidR="003F590C" w:rsidRPr="00D00F16" w14:paraId="02188390" w14:textId="77777777" w:rsidTr="003423C0">
        <w:trPr>
          <w:trHeight w:val="440"/>
        </w:trPr>
        <w:tc>
          <w:tcPr>
            <w:tcW w:w="1422" w:type="dxa"/>
          </w:tcPr>
          <w:p w14:paraId="62B4D07A" w14:textId="77777777" w:rsidR="00180E14" w:rsidRPr="00D00F16" w:rsidRDefault="00180E14" w:rsidP="003423C0">
            <w:pPr>
              <w:spacing w:line="240" w:lineRule="auto"/>
              <w:ind w:left="0"/>
              <w:rPr>
                <w:sz w:val="24"/>
                <w:szCs w:val="24"/>
              </w:rPr>
            </w:pPr>
            <w:r w:rsidRPr="00D00F16">
              <w:rPr>
                <w:sz w:val="24"/>
                <w:szCs w:val="24"/>
              </w:rPr>
              <w:t>Slope</w:t>
            </w:r>
          </w:p>
        </w:tc>
        <w:tc>
          <w:tcPr>
            <w:tcW w:w="648" w:type="dxa"/>
            <w:shd w:val="clear" w:color="auto" w:fill="FFFFFF" w:themeFill="background1"/>
          </w:tcPr>
          <w:p w14:paraId="4DAED2AD"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46D52870"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7A7D389C"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30F1B667" w14:textId="77777777" w:rsidR="00180E14" w:rsidRPr="00D00F16" w:rsidRDefault="00180E14" w:rsidP="003423C0">
            <w:pPr>
              <w:spacing w:line="240" w:lineRule="auto"/>
              <w:ind w:left="0"/>
              <w:rPr>
                <w:sz w:val="24"/>
                <w:szCs w:val="24"/>
              </w:rPr>
            </w:pPr>
            <w:r w:rsidRPr="00D00F16">
              <w:rPr>
                <w:sz w:val="24"/>
                <w:szCs w:val="24"/>
              </w:rPr>
              <w:t>1/3</w:t>
            </w:r>
          </w:p>
        </w:tc>
        <w:tc>
          <w:tcPr>
            <w:tcW w:w="540" w:type="dxa"/>
            <w:shd w:val="clear" w:color="auto" w:fill="FFFFFF" w:themeFill="background1"/>
          </w:tcPr>
          <w:p w14:paraId="43EF5F77"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512E2E19" w14:textId="77777777" w:rsidR="00180E14" w:rsidRPr="00D00F16" w:rsidRDefault="00180E14" w:rsidP="003423C0">
            <w:pPr>
              <w:spacing w:line="240" w:lineRule="auto"/>
              <w:ind w:left="0"/>
              <w:rPr>
                <w:sz w:val="24"/>
                <w:szCs w:val="24"/>
              </w:rPr>
            </w:pPr>
            <w:r w:rsidRPr="00D00F16">
              <w:rPr>
                <w:sz w:val="24"/>
                <w:szCs w:val="24"/>
              </w:rPr>
              <w:t>1/3</w:t>
            </w:r>
          </w:p>
        </w:tc>
        <w:tc>
          <w:tcPr>
            <w:tcW w:w="360" w:type="dxa"/>
            <w:shd w:val="clear" w:color="auto" w:fill="FFFFFF" w:themeFill="background1"/>
          </w:tcPr>
          <w:p w14:paraId="73AB5510" w14:textId="77777777" w:rsidR="00180E14" w:rsidRPr="00D00F16" w:rsidRDefault="00180E14" w:rsidP="003423C0">
            <w:pPr>
              <w:spacing w:line="240" w:lineRule="auto"/>
              <w:ind w:left="0"/>
              <w:rPr>
                <w:sz w:val="24"/>
                <w:szCs w:val="24"/>
              </w:rPr>
            </w:pPr>
            <w:r w:rsidRPr="00D00F16">
              <w:rPr>
                <w:sz w:val="24"/>
                <w:szCs w:val="24"/>
              </w:rPr>
              <w:t>1</w:t>
            </w:r>
          </w:p>
        </w:tc>
        <w:tc>
          <w:tcPr>
            <w:tcW w:w="450" w:type="dxa"/>
            <w:shd w:val="clear" w:color="auto" w:fill="FFFFFF" w:themeFill="background1"/>
          </w:tcPr>
          <w:p w14:paraId="0EEB3ACE"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713BAB34"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1923D6D7" w14:textId="77777777" w:rsidR="00180E14" w:rsidRPr="00D00F16" w:rsidRDefault="00180E14" w:rsidP="003423C0">
            <w:pPr>
              <w:spacing w:line="240" w:lineRule="auto"/>
              <w:ind w:left="0"/>
              <w:rPr>
                <w:sz w:val="24"/>
                <w:szCs w:val="24"/>
              </w:rPr>
            </w:pPr>
            <w:r w:rsidRPr="00D00F16">
              <w:rPr>
                <w:sz w:val="24"/>
                <w:szCs w:val="24"/>
              </w:rPr>
              <w:t>0.0585</w:t>
            </w:r>
          </w:p>
        </w:tc>
        <w:tc>
          <w:tcPr>
            <w:tcW w:w="1800" w:type="dxa"/>
          </w:tcPr>
          <w:p w14:paraId="0EF5ADC8" w14:textId="6A5F8C89" w:rsidR="00180E14" w:rsidRPr="00D00F16" w:rsidRDefault="00180E14" w:rsidP="003423C0">
            <w:pPr>
              <w:spacing w:line="240" w:lineRule="auto"/>
              <w:ind w:left="0"/>
              <w:rPr>
                <w:sz w:val="24"/>
                <w:szCs w:val="24"/>
              </w:rPr>
            </w:pPr>
            <w:r w:rsidRPr="00D00F16">
              <w:rPr>
                <w:sz w:val="24"/>
                <w:szCs w:val="24"/>
              </w:rPr>
              <w:t xml:space="preserve">5.85 </w:t>
            </w:r>
          </w:p>
        </w:tc>
      </w:tr>
      <w:tr w:rsidR="003F590C" w:rsidRPr="00D00F16" w14:paraId="4BC90691" w14:textId="77777777" w:rsidTr="003423C0">
        <w:trPr>
          <w:trHeight w:val="440"/>
        </w:trPr>
        <w:tc>
          <w:tcPr>
            <w:tcW w:w="1422" w:type="dxa"/>
          </w:tcPr>
          <w:p w14:paraId="017BDDBE" w14:textId="77777777" w:rsidR="00180E14" w:rsidRPr="00D00F16" w:rsidRDefault="00180E14" w:rsidP="003423C0">
            <w:pPr>
              <w:spacing w:line="240" w:lineRule="auto"/>
              <w:ind w:left="0"/>
              <w:rPr>
                <w:sz w:val="24"/>
                <w:szCs w:val="24"/>
              </w:rPr>
            </w:pPr>
            <w:r w:rsidRPr="00D00F16">
              <w:rPr>
                <w:sz w:val="24"/>
                <w:szCs w:val="24"/>
              </w:rPr>
              <w:t>Soil</w:t>
            </w:r>
          </w:p>
        </w:tc>
        <w:tc>
          <w:tcPr>
            <w:tcW w:w="648" w:type="dxa"/>
            <w:shd w:val="clear" w:color="auto" w:fill="FFFFFF" w:themeFill="background1"/>
          </w:tcPr>
          <w:p w14:paraId="07F67EDF"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166DE802"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116A4185"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3460381B" w14:textId="77777777" w:rsidR="00180E14" w:rsidRPr="00D00F16" w:rsidRDefault="00180E14" w:rsidP="003423C0">
            <w:pPr>
              <w:spacing w:line="240" w:lineRule="auto"/>
              <w:ind w:left="0"/>
              <w:rPr>
                <w:sz w:val="24"/>
                <w:szCs w:val="24"/>
              </w:rPr>
            </w:pPr>
            <w:r w:rsidRPr="00D00F16">
              <w:rPr>
                <w:sz w:val="24"/>
                <w:szCs w:val="24"/>
              </w:rPr>
              <w:t>1</w:t>
            </w:r>
          </w:p>
        </w:tc>
        <w:tc>
          <w:tcPr>
            <w:tcW w:w="540" w:type="dxa"/>
            <w:shd w:val="clear" w:color="auto" w:fill="FFFFFF" w:themeFill="background1"/>
          </w:tcPr>
          <w:p w14:paraId="6A5536F5"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622A4E89" w14:textId="77777777" w:rsidR="00180E14" w:rsidRPr="00D00F16" w:rsidRDefault="00180E14" w:rsidP="003423C0">
            <w:pPr>
              <w:spacing w:line="240" w:lineRule="auto"/>
              <w:ind w:left="0"/>
              <w:rPr>
                <w:sz w:val="24"/>
                <w:szCs w:val="24"/>
              </w:rPr>
            </w:pPr>
            <w:r w:rsidRPr="00D00F16">
              <w:rPr>
                <w:sz w:val="24"/>
                <w:szCs w:val="24"/>
              </w:rPr>
              <w:t>1</w:t>
            </w:r>
          </w:p>
        </w:tc>
        <w:tc>
          <w:tcPr>
            <w:tcW w:w="360" w:type="dxa"/>
            <w:shd w:val="clear" w:color="auto" w:fill="FFFFFF" w:themeFill="background1"/>
          </w:tcPr>
          <w:p w14:paraId="0C13CF70" w14:textId="77777777" w:rsidR="00180E14" w:rsidRPr="00D00F16" w:rsidRDefault="00180E14" w:rsidP="003423C0">
            <w:pPr>
              <w:spacing w:line="240" w:lineRule="auto"/>
              <w:ind w:left="0"/>
              <w:rPr>
                <w:sz w:val="24"/>
                <w:szCs w:val="24"/>
              </w:rPr>
            </w:pPr>
            <w:r w:rsidRPr="00D00F16">
              <w:rPr>
                <w:sz w:val="24"/>
                <w:szCs w:val="24"/>
              </w:rPr>
              <w:t>1</w:t>
            </w:r>
          </w:p>
        </w:tc>
        <w:tc>
          <w:tcPr>
            <w:tcW w:w="450" w:type="dxa"/>
            <w:shd w:val="clear" w:color="auto" w:fill="FFFFFF" w:themeFill="background1"/>
          </w:tcPr>
          <w:p w14:paraId="6F09C437" w14:textId="77777777" w:rsidR="00180E14" w:rsidRPr="00D00F16" w:rsidRDefault="00180E14" w:rsidP="003423C0">
            <w:pPr>
              <w:spacing w:line="240" w:lineRule="auto"/>
              <w:ind w:left="0"/>
              <w:rPr>
                <w:sz w:val="24"/>
                <w:szCs w:val="24"/>
              </w:rPr>
            </w:pPr>
            <w:r w:rsidRPr="00D00F16">
              <w:rPr>
                <w:sz w:val="24"/>
                <w:szCs w:val="24"/>
              </w:rPr>
              <w:t>1</w:t>
            </w:r>
          </w:p>
        </w:tc>
        <w:tc>
          <w:tcPr>
            <w:tcW w:w="720" w:type="dxa"/>
            <w:shd w:val="clear" w:color="auto" w:fill="FFFFFF" w:themeFill="background1"/>
          </w:tcPr>
          <w:p w14:paraId="64B96B96" w14:textId="77777777" w:rsidR="00180E14" w:rsidRPr="00D00F16" w:rsidRDefault="00180E14" w:rsidP="003423C0">
            <w:pPr>
              <w:spacing w:line="240" w:lineRule="auto"/>
              <w:ind w:left="0"/>
              <w:rPr>
                <w:sz w:val="24"/>
                <w:szCs w:val="24"/>
              </w:rPr>
            </w:pPr>
            <w:r w:rsidRPr="00D00F16">
              <w:rPr>
                <w:sz w:val="24"/>
                <w:szCs w:val="24"/>
              </w:rPr>
              <w:t>1</w:t>
            </w:r>
          </w:p>
        </w:tc>
        <w:tc>
          <w:tcPr>
            <w:tcW w:w="1080" w:type="dxa"/>
            <w:shd w:val="clear" w:color="auto" w:fill="FFFFFF" w:themeFill="background1"/>
          </w:tcPr>
          <w:p w14:paraId="38615234" w14:textId="77777777" w:rsidR="00180E14" w:rsidRPr="00D00F16" w:rsidRDefault="00180E14" w:rsidP="003423C0">
            <w:pPr>
              <w:spacing w:line="240" w:lineRule="auto"/>
              <w:ind w:left="0"/>
              <w:rPr>
                <w:sz w:val="24"/>
                <w:szCs w:val="24"/>
              </w:rPr>
            </w:pPr>
            <w:r w:rsidRPr="00D00F16">
              <w:rPr>
                <w:sz w:val="24"/>
                <w:szCs w:val="24"/>
              </w:rPr>
              <w:t>0.0998</w:t>
            </w:r>
          </w:p>
        </w:tc>
        <w:tc>
          <w:tcPr>
            <w:tcW w:w="1800" w:type="dxa"/>
          </w:tcPr>
          <w:p w14:paraId="089B6046" w14:textId="6E9F6026" w:rsidR="00180E14" w:rsidRPr="00D00F16" w:rsidRDefault="00180E14" w:rsidP="003423C0">
            <w:pPr>
              <w:spacing w:line="240" w:lineRule="auto"/>
              <w:ind w:left="0"/>
              <w:rPr>
                <w:sz w:val="24"/>
                <w:szCs w:val="24"/>
              </w:rPr>
            </w:pPr>
            <w:r w:rsidRPr="00D00F16">
              <w:rPr>
                <w:sz w:val="24"/>
                <w:szCs w:val="24"/>
              </w:rPr>
              <w:t xml:space="preserve">9.98 </w:t>
            </w:r>
          </w:p>
        </w:tc>
      </w:tr>
    </w:tbl>
    <w:p w14:paraId="21091768" w14:textId="72E33DA0" w:rsidR="00180E14" w:rsidRPr="00D00F16" w:rsidRDefault="00180E14" w:rsidP="006E0E57">
      <w:pPr>
        <w:keepNext/>
        <w:spacing w:after="0" w:line="276" w:lineRule="auto"/>
        <w:ind w:left="0"/>
        <w:jc w:val="both"/>
        <w:rPr>
          <w:rFonts w:cs="Times New Roman"/>
        </w:rPr>
      </w:pPr>
    </w:p>
    <w:p w14:paraId="1297E962" w14:textId="5C73FB3B" w:rsidR="003E09C9" w:rsidRPr="00D00F16" w:rsidRDefault="003E09C9" w:rsidP="006E0E57">
      <w:pPr>
        <w:spacing w:after="0" w:line="276" w:lineRule="auto"/>
        <w:ind w:left="0"/>
        <w:jc w:val="both"/>
        <w:rPr>
          <w:rFonts w:cs="Times New Roman"/>
        </w:rPr>
      </w:pPr>
      <w:r w:rsidRPr="00D00F16">
        <w:rPr>
          <w:rFonts w:cs="Times New Roman"/>
        </w:rPr>
        <w:t>A consistency ratio</w:t>
      </w:r>
      <w:r w:rsidR="00E27789" w:rsidRPr="00D00F16">
        <w:rPr>
          <w:rFonts w:cs="Times New Roman"/>
        </w:rPr>
        <w:t xml:space="preserve"> (CR)</w:t>
      </w:r>
      <w:r w:rsidRPr="00D00F16">
        <w:rPr>
          <w:rFonts w:cs="Times New Roman"/>
        </w:rPr>
        <w:t xml:space="preserve"> was c</w:t>
      </w:r>
      <w:r w:rsidR="00E27789" w:rsidRPr="00D00F16">
        <w:rPr>
          <w:rFonts w:cs="Times New Roman"/>
        </w:rPr>
        <w:t>ompu</w:t>
      </w:r>
      <w:r w:rsidRPr="00D00F16">
        <w:rPr>
          <w:rFonts w:cs="Times New Roman"/>
        </w:rPr>
        <w:t xml:space="preserve">ted to determine </w:t>
      </w:r>
      <w:r w:rsidR="00BC59DA">
        <w:rPr>
          <w:rFonts w:cs="Times New Roman"/>
        </w:rPr>
        <w:t>if</w:t>
      </w:r>
      <w:r w:rsidRPr="00D00F16">
        <w:rPr>
          <w:rFonts w:cs="Times New Roman"/>
        </w:rPr>
        <w:t xml:space="preserve"> </w:t>
      </w:r>
      <w:r w:rsidR="00E27789" w:rsidRPr="00D00F16">
        <w:rPr>
          <w:rFonts w:cs="Times New Roman"/>
        </w:rPr>
        <w:t>the</w:t>
      </w:r>
      <w:r w:rsidRPr="00D00F16">
        <w:rPr>
          <w:rFonts w:cs="Times New Roman"/>
        </w:rPr>
        <w:t xml:space="preserve"> thematic factors and their subclasses </w:t>
      </w:r>
      <w:r w:rsidR="00E27789" w:rsidRPr="00D00F16">
        <w:rPr>
          <w:rFonts w:cs="Times New Roman"/>
        </w:rPr>
        <w:t xml:space="preserve">have </w:t>
      </w:r>
      <w:r w:rsidRPr="00D00F16">
        <w:rPr>
          <w:rFonts w:cs="Times New Roman"/>
        </w:rPr>
        <w:t>consistent</w:t>
      </w:r>
      <w:r w:rsidR="00E27789" w:rsidRPr="00D00F16">
        <w:rPr>
          <w:rFonts w:cs="Times New Roman"/>
        </w:rPr>
        <w:t xml:space="preserve"> weights</w:t>
      </w:r>
      <w:r w:rsidRPr="00D00F16">
        <w:rPr>
          <w:rFonts w:cs="Times New Roman"/>
        </w:rPr>
        <w:t xml:space="preserve">. Using </w:t>
      </w:r>
      <w:r w:rsidR="008D0EE0">
        <w:rPr>
          <w:rFonts w:cs="Times New Roman"/>
        </w:rPr>
        <w:t>Eq.</w:t>
      </w:r>
      <w:r w:rsidR="002C0331">
        <w:rPr>
          <w:rFonts w:cs="Times New Roman"/>
        </w:rPr>
        <w:t xml:space="preserve"> </w:t>
      </w:r>
      <w:r w:rsidR="008D0EE0">
        <w:rPr>
          <w:rFonts w:cs="Times New Roman"/>
        </w:rPr>
        <w:t>(6)</w:t>
      </w:r>
      <w:r w:rsidRPr="00D00F16">
        <w:rPr>
          <w:rFonts w:cs="Times New Roman"/>
        </w:rPr>
        <w:t xml:space="preserve"> </w:t>
      </w:r>
      <w:r w:rsidRPr="00D00F16">
        <w:rPr>
          <w:rFonts w:cs="Times New Roman"/>
        </w:rPr>
        <w:fldChar w:fldCharType="begin" w:fldLock="1"/>
      </w:r>
      <w:r w:rsidR="00622464">
        <w:rPr>
          <w:rFonts w:cs="Times New Roman"/>
        </w:rPr>
        <w:instrText>ADDIN CSL_CITATION {"citationItems":[{"id":"ITEM-1","itemData":{"DOI":"10.1007/978-1-4613-2805-6_12","abstract":"The Analytic Hierarchy Process (AHP) is a problem solving framework. It is a systematic procedure for representing the elements of any problem. It organizes the basic rationality by breaking down a problem into its smaller constituent parts and then calls for only simple pairwise comparison judgments, to develop priorities in each hierarchy.","author":[{"dropping-particle":"","family":"Saaty","given":"Thomas L.","non-dropping-particle":"","parse-names":false,"suffix":""}],"container-title":"Quantitative Assessment in Arms Control","id":"ITEM-1","issued":{"date-parts":[["1984"]]},"page":"285-308","title":"The Analytic Hierarchy Process: Decision Making in Complex Environments","type":"article-journal"},"uris":["http://www.mendeley.com/documents/?uuid=5f88a8bd-aea7-4694-966f-5e6851410edb"]}],"mendeley":{"formattedCitation":"(Saaty, 1984)","plainTextFormattedCitation":"(Saaty, 1984)","previouslyFormattedCitation":"(Saaty, 1984)"},"properties":{"noteIndex":0},"schema":"https://github.com/citation-style-language/schema/raw/master/csl-citation.json"}</w:instrText>
      </w:r>
      <w:r w:rsidRPr="00D00F16">
        <w:rPr>
          <w:rFonts w:cs="Times New Roman"/>
        </w:rPr>
        <w:fldChar w:fldCharType="separate"/>
      </w:r>
      <w:r w:rsidR="00622464" w:rsidRPr="00622464">
        <w:rPr>
          <w:rFonts w:cs="Times New Roman"/>
          <w:noProof/>
        </w:rPr>
        <w:t>(Saaty, 1984)</w:t>
      </w:r>
      <w:r w:rsidRPr="00D00F16">
        <w:rPr>
          <w:rFonts w:cs="Times New Roman"/>
        </w:rPr>
        <w:fldChar w:fldCharType="end"/>
      </w:r>
      <w:r w:rsidRPr="00D00F16">
        <w:rPr>
          <w:rFonts w:cs="Times New Roman"/>
        </w:rPr>
        <w:t xml:space="preserve"> the consistency ratio (CR) was derived </w:t>
      </w:r>
      <w:r w:rsidR="00E27789" w:rsidRPr="00D00F16">
        <w:rPr>
          <w:rFonts w:cs="Times New Roman"/>
        </w:rPr>
        <w:t>by dividing</w:t>
      </w:r>
      <w:r w:rsidRPr="00D00F16">
        <w:rPr>
          <w:rFonts w:cs="Times New Roman"/>
        </w:rPr>
        <w:t xml:space="preserve"> consistency index (CI) </w:t>
      </w:r>
      <w:r w:rsidR="00E27789" w:rsidRPr="00D00F16">
        <w:rPr>
          <w:rFonts w:cs="Times New Roman"/>
        </w:rPr>
        <w:t>by</w:t>
      </w:r>
      <w:r w:rsidRPr="00D00F16">
        <w:rPr>
          <w:rFonts w:cs="Times New Roman"/>
        </w:rPr>
        <w:t xml:space="preserve"> </w:t>
      </w:r>
      <w:bookmarkStart w:id="42" w:name="_Hlk132724895"/>
      <w:r w:rsidRPr="00D00F16">
        <w:rPr>
          <w:rFonts w:cs="Times New Roman"/>
        </w:rPr>
        <w:t>random consistency index (RCI).</w:t>
      </w:r>
      <w:bookmarkEnd w:id="42"/>
    </w:p>
    <w:p w14:paraId="68E0FFAF" w14:textId="6D394A34" w:rsidR="003E09C9" w:rsidRPr="00D00F16" w:rsidRDefault="003E09C9" w:rsidP="006E0E57">
      <w:pPr>
        <w:spacing w:after="0" w:line="276" w:lineRule="auto"/>
        <w:ind w:left="0"/>
        <w:jc w:val="both"/>
        <w:rPr>
          <w:rFonts w:eastAsiaTheme="minorEastAsia" w:cs="Times New Roman"/>
        </w:rPr>
      </w:pPr>
      <m:oMath>
        <m:r>
          <w:rPr>
            <w:rFonts w:ascii="Cambria Math" w:eastAsiaTheme="minorEastAsia" w:hAnsi="Cambria Math" w:cs="Times New Roman"/>
          </w:rPr>
          <m:t>CR=</m:t>
        </m:r>
        <m:f>
          <m:fPr>
            <m:ctrlPr>
              <w:rPr>
                <w:rFonts w:ascii="Cambria Math" w:hAnsi="Cambria Math" w:cs="Times New Roman"/>
                <w:i/>
              </w:rPr>
            </m:ctrlPr>
          </m:fPr>
          <m:num>
            <m:r>
              <w:rPr>
                <w:rFonts w:ascii="Cambria Math" w:hAnsi="Cambria Math" w:cs="Times New Roman"/>
              </w:rPr>
              <m:t>CI</m:t>
            </m:r>
          </m:num>
          <m:den>
            <m:r>
              <w:rPr>
                <w:rFonts w:ascii="Cambria Math" w:hAnsi="Cambria Math" w:cs="Times New Roman"/>
              </w:rPr>
              <m:t>RCI</m:t>
            </m:r>
          </m:den>
        </m:f>
      </m:oMath>
      <w:r w:rsidRPr="00D00F16">
        <w:rPr>
          <w:rFonts w:eastAsiaTheme="minorEastAsia" w:cs="Times New Roman"/>
        </w:rPr>
        <w:t xml:space="preserve">  </w:t>
      </w:r>
      <w:r w:rsidR="0040619A">
        <w:rPr>
          <w:rFonts w:eastAsiaTheme="minorEastAsia" w:cs="Times New Roman"/>
        </w:rPr>
        <w:t>…………..</w:t>
      </w:r>
      <w:r w:rsidRPr="00D00F16">
        <w:rPr>
          <w:rFonts w:eastAsiaTheme="minorEastAsia" w:cs="Times New Roman"/>
        </w:rPr>
        <w:t xml:space="preserve"> (6)     </w:t>
      </w:r>
    </w:p>
    <w:p w14:paraId="1ABDC76D" w14:textId="4A82CD4B" w:rsidR="003E09C9" w:rsidRPr="00D00F16" w:rsidRDefault="003E09C9" w:rsidP="006E0E57">
      <w:pPr>
        <w:spacing w:after="0" w:line="276" w:lineRule="auto"/>
        <w:ind w:left="0"/>
        <w:jc w:val="both"/>
        <w:rPr>
          <w:rFonts w:cs="Times New Roman"/>
          <w:lang w:val="en-GB"/>
        </w:rPr>
      </w:pPr>
      <w:r w:rsidRPr="00D00F16">
        <w:rPr>
          <w:rFonts w:eastAsiaTheme="minorEastAsia" w:cs="Times New Roman"/>
        </w:rPr>
        <w:t xml:space="preserve"> </w:t>
      </w:r>
      <w:r w:rsidR="0040619A">
        <w:rPr>
          <w:rFonts w:eastAsiaTheme="minorEastAsia" w:cs="Times New Roman"/>
        </w:rPr>
        <w:t>W</w:t>
      </w:r>
      <w:r w:rsidRPr="00D00F16">
        <w:rPr>
          <w:rFonts w:eastAsiaTheme="minorEastAsia" w:cs="Times New Roman"/>
        </w:rPr>
        <w:t xml:space="preserve">here, </w:t>
      </w:r>
      <w:r w:rsidRPr="00D00F16">
        <w:rPr>
          <w:rFonts w:cs="Times New Roman"/>
          <w:lang w:val="en-GB"/>
        </w:rPr>
        <w:t>the consistency index (CI) was determined by applying the primary eigenvalue</w:t>
      </w:r>
      <w:r w:rsidR="00E27789" w:rsidRPr="00D00F16">
        <w:rPr>
          <w:rFonts w:cs="Times New Roman"/>
          <w:lang w:val="en-GB"/>
        </w:rPr>
        <w:t xml:space="preserve"> </w:t>
      </w:r>
      <w:r w:rsidR="00E27789" w:rsidRPr="00D00F16">
        <w:rPr>
          <w:rFonts w:cs="Times New Roman"/>
          <w:lang w:val="en-GB"/>
        </w:rPr>
        <w:fldChar w:fldCharType="begin" w:fldLock="1"/>
      </w:r>
      <w:r w:rsidR="00622464">
        <w:rPr>
          <w:rFonts w:cs="Times New Roman"/>
          <w:lang w:val="en-GB"/>
        </w:rPr>
        <w:instrText>ADDIN CSL_CITATION {"citationItems":[{"id":"ITEM-1","itemData":{"DOI":"10.1007/978-1-4613-2805-6_12","abstract":"The Analytic Hierarchy Process (AHP) is a problem solving framework. It is a systematic procedure for representing the elements of any problem. It organizes the basic rationality by breaking down a problem into its smaller constituent parts and then calls for only simple pairwise comparison judgments, to develop priorities in each hierarchy.","author":[{"dropping-particle":"","family":"Saaty","given":"Thomas L.","non-dropping-particle":"","parse-names":false,"suffix":""}],"container-title":"Quantitative Assessment in Arms Control","id":"ITEM-1","issued":{"date-parts":[["1984"]]},"page":"285-308","title":"The Analytic Hierarchy Process: Decision Making in Complex Environments","type":"article-journal"},"uris":["http://www.mendeley.com/documents/?uuid=5f88a8bd-aea7-4694-966f-5e6851410edb"]}],"mendeley":{"formattedCitation":"(Saaty, 1984)","plainTextFormattedCitation":"(Saaty, 1984)","previouslyFormattedCitation":"(Saaty, 1984)"},"properties":{"noteIndex":0},"schema":"https://github.com/citation-style-language/schema/raw/master/csl-citation.json"}</w:instrText>
      </w:r>
      <w:r w:rsidR="00E27789" w:rsidRPr="00D00F16">
        <w:rPr>
          <w:rFonts w:cs="Times New Roman"/>
          <w:lang w:val="en-GB"/>
        </w:rPr>
        <w:fldChar w:fldCharType="separate"/>
      </w:r>
      <w:r w:rsidR="00622464" w:rsidRPr="00622464">
        <w:rPr>
          <w:rFonts w:cs="Times New Roman"/>
          <w:noProof/>
          <w:lang w:val="en-GB"/>
        </w:rPr>
        <w:t>(Saaty, 1984)</w:t>
      </w:r>
      <w:r w:rsidR="00E27789" w:rsidRPr="00D00F16">
        <w:rPr>
          <w:rFonts w:cs="Times New Roman"/>
          <w:lang w:val="en-GB"/>
        </w:rPr>
        <w:fldChar w:fldCharType="end"/>
      </w:r>
      <w:r w:rsidR="00E27789" w:rsidRPr="00D00F16">
        <w:rPr>
          <w:rFonts w:cs="Times New Roman"/>
          <w:lang w:val="en-GB"/>
        </w:rPr>
        <w:t>.</w:t>
      </w:r>
    </w:p>
    <w:p w14:paraId="7D9854D2" w14:textId="5AB3C883" w:rsidR="003E09C9" w:rsidRPr="00D00F16" w:rsidRDefault="003E09C9" w:rsidP="006E0E57">
      <w:pPr>
        <w:spacing w:after="0" w:line="276" w:lineRule="auto"/>
        <w:ind w:left="0"/>
        <w:jc w:val="both"/>
        <w:rPr>
          <w:rFonts w:eastAsiaTheme="minorEastAsia" w:cs="Times New Roman"/>
          <w:lang w:val="en-GB"/>
        </w:rPr>
      </w:pPr>
      <m:oMath>
        <m:r>
          <w:rPr>
            <w:rFonts w:ascii="Cambria Math" w:hAnsi="Cambria Math" w:cs="Times New Roman"/>
            <w:lang w:val="en-GB"/>
          </w:rPr>
          <m:t>CI=</m:t>
        </m:r>
        <m:f>
          <m:fPr>
            <m:ctrlPr>
              <w:rPr>
                <w:rFonts w:ascii="Cambria Math" w:hAnsi="Cambria Math" w:cs="Times New Roman"/>
                <w:i/>
                <w:lang w:val="en-GB"/>
              </w:rPr>
            </m:ctrlPr>
          </m:fPr>
          <m:num>
            <w:bookmarkStart w:id="43" w:name="_Hlk132391985"/>
            <m:r>
              <w:rPr>
                <w:rFonts w:ascii="Cambria Math" w:hAnsi="Cambria Math" w:cs="Times New Roman"/>
                <w:lang w:val="en-GB"/>
              </w:rPr>
              <m:t>λmax</m:t>
            </m:r>
            <w:bookmarkEnd w:id="43"/>
            <m:r>
              <w:rPr>
                <w:rFonts w:ascii="Cambria Math" w:hAnsi="Cambria Math" w:cs="Times New Roman"/>
                <w:lang w:val="en-GB"/>
              </w:rPr>
              <m:t>-n</m:t>
            </m:r>
          </m:num>
          <m:den>
            <m:r>
              <w:rPr>
                <w:rFonts w:ascii="Cambria Math" w:hAnsi="Cambria Math" w:cs="Times New Roman"/>
                <w:lang w:val="en-GB"/>
              </w:rPr>
              <m:t>n-1</m:t>
            </m:r>
          </m:den>
        </m:f>
      </m:oMath>
      <w:r w:rsidRPr="00D00F16">
        <w:rPr>
          <w:rFonts w:eastAsiaTheme="minorEastAsia" w:cs="Times New Roman"/>
          <w:lang w:val="en-GB"/>
        </w:rPr>
        <w:t xml:space="preserve">   </w:t>
      </w:r>
      <w:r w:rsidR="0040619A">
        <w:rPr>
          <w:rFonts w:eastAsiaTheme="minorEastAsia" w:cs="Times New Roman"/>
          <w:lang w:val="en-GB"/>
        </w:rPr>
        <w:t>……</w:t>
      </w:r>
      <w:r w:rsidRPr="00D00F16">
        <w:rPr>
          <w:rFonts w:eastAsiaTheme="minorEastAsia" w:cs="Times New Roman"/>
          <w:lang w:val="en-GB"/>
        </w:rPr>
        <w:t xml:space="preserve">   (7)</w:t>
      </w:r>
    </w:p>
    <w:p w14:paraId="506DB9B3" w14:textId="278B4CB5" w:rsidR="003E09C9" w:rsidRDefault="00F8513B" w:rsidP="006E0E57">
      <w:pPr>
        <w:spacing w:after="0" w:line="276" w:lineRule="auto"/>
        <w:ind w:left="0"/>
        <w:jc w:val="both"/>
        <w:rPr>
          <w:rFonts w:cs="Times New Roman"/>
        </w:rPr>
      </w:pPr>
      <w:r>
        <w:rPr>
          <w:rFonts w:cs="Times New Roman"/>
          <w:lang w:val="en-GB"/>
        </w:rPr>
        <w:t>W</w:t>
      </w:r>
      <w:r w:rsidR="003E09C9" w:rsidRPr="00D00F16">
        <w:rPr>
          <w:rFonts w:cs="Times New Roman"/>
          <w:lang w:val="en-GB"/>
        </w:rPr>
        <w:t>here</w:t>
      </w:r>
      <w:r>
        <w:rPr>
          <w:rFonts w:cs="Times New Roman"/>
          <w:lang w:val="en-GB"/>
        </w:rPr>
        <w:t>;</w:t>
      </w:r>
      <w:r w:rsidR="003E09C9" w:rsidRPr="00D00F16">
        <w:rPr>
          <w:rFonts w:cs="Times New Roman"/>
          <w:lang w:val="en-GB"/>
        </w:rPr>
        <w:t xml:space="preserve"> </w:t>
      </w:r>
      <w:proofErr w:type="spellStart"/>
      <w:r w:rsidR="003E09C9" w:rsidRPr="00D00F16">
        <w:rPr>
          <w:rFonts w:cs="Times New Roman"/>
          <w:lang w:val="en-GB"/>
        </w:rPr>
        <w:t>λmax</w:t>
      </w:r>
      <w:proofErr w:type="spellEnd"/>
      <w:r w:rsidR="003E09C9" w:rsidRPr="00D00F16">
        <w:rPr>
          <w:rFonts w:cs="Times New Roman"/>
          <w:lang w:val="en-GB"/>
        </w:rPr>
        <w:t xml:space="preserve"> is denoted as the consistency vector</w:t>
      </w:r>
      <w:r w:rsidR="00BC59DA">
        <w:rPr>
          <w:rFonts w:cs="Times New Roman"/>
          <w:lang w:val="en-GB"/>
        </w:rPr>
        <w:t xml:space="preserve"> and</w:t>
      </w:r>
      <w:r w:rsidR="003E09C9" w:rsidRPr="00D00F16">
        <w:rPr>
          <w:rFonts w:cs="Times New Roman"/>
          <w:lang w:val="en-GB"/>
        </w:rPr>
        <w:t xml:space="preserve"> n </w:t>
      </w:r>
      <w:r w:rsidR="00BC59DA">
        <w:rPr>
          <w:rFonts w:cs="Times New Roman"/>
          <w:lang w:val="en-GB"/>
        </w:rPr>
        <w:t>i</w:t>
      </w:r>
      <w:r w:rsidR="003E09C9" w:rsidRPr="00D00F16">
        <w:rPr>
          <w:rFonts w:cs="Times New Roman"/>
          <w:lang w:val="en-GB"/>
        </w:rPr>
        <w:t>s the number of layers utilized.</w:t>
      </w:r>
      <w:r w:rsidR="008261D4" w:rsidRPr="00D00F16">
        <w:rPr>
          <w:rFonts w:cs="Times New Roman"/>
          <w:lang w:val="en-GB"/>
        </w:rPr>
        <w:t xml:space="preserve"> </w:t>
      </w:r>
      <w:r w:rsidR="003E09C9" w:rsidRPr="00D00F16">
        <w:rPr>
          <w:rFonts w:cs="Times New Roman"/>
        </w:rPr>
        <w:t xml:space="preserve">A consistency ratio of 0.088 &lt; 0.1 was obtained. A consistency ratio smaller or equal to 0.1 is deemed acceptable for more than </w:t>
      </w:r>
      <w:r w:rsidR="009C16E8" w:rsidRPr="00D00F16">
        <w:rPr>
          <w:rFonts w:cs="Times New Roman"/>
        </w:rPr>
        <w:t xml:space="preserve">a </w:t>
      </w:r>
      <w:r w:rsidR="003E09C9" w:rsidRPr="00D00F16">
        <w:rPr>
          <w:rFonts w:cs="Times New Roman"/>
        </w:rPr>
        <w:t>4x4 matrix whereas a CR greater than 0.1 is unacceptable and the process need</w:t>
      </w:r>
      <w:r w:rsidR="009C16E8" w:rsidRPr="00D00F16">
        <w:rPr>
          <w:rFonts w:cs="Times New Roman"/>
        </w:rPr>
        <w:t>s</w:t>
      </w:r>
      <w:r w:rsidR="003E09C9" w:rsidRPr="00D00F16">
        <w:rPr>
          <w:rFonts w:cs="Times New Roman"/>
        </w:rPr>
        <w:t xml:space="preserve"> to be revise</w:t>
      </w:r>
      <w:r w:rsidR="009C16E8" w:rsidRPr="00D00F16">
        <w:rPr>
          <w:rFonts w:cs="Times New Roman"/>
        </w:rPr>
        <w:t>d</w:t>
      </w:r>
      <w:r w:rsidR="003E09C9" w:rsidRPr="00D00F16">
        <w:rPr>
          <w:rFonts w:cs="Times New Roman"/>
        </w:rPr>
        <w:t>. This indicates clearly that the weigh</w:t>
      </w:r>
      <w:r w:rsidR="009C16E8" w:rsidRPr="00D00F16">
        <w:rPr>
          <w:rFonts w:cs="Times New Roman"/>
        </w:rPr>
        <w:t>t</w:t>
      </w:r>
      <w:r w:rsidR="003E09C9" w:rsidRPr="00D00F16">
        <w:rPr>
          <w:rFonts w:cs="Times New Roman"/>
        </w:rPr>
        <w:t>s assigned were consistent, hence a valid result.</w:t>
      </w:r>
    </w:p>
    <w:p w14:paraId="7DCC48E4" w14:textId="77777777" w:rsidR="00F8513B" w:rsidRPr="00D00F16" w:rsidRDefault="00F8513B" w:rsidP="006E0E57">
      <w:pPr>
        <w:spacing w:after="0" w:line="276" w:lineRule="auto"/>
        <w:ind w:left="0"/>
        <w:jc w:val="both"/>
        <w:rPr>
          <w:rFonts w:cs="Times New Roman"/>
        </w:rPr>
      </w:pPr>
    </w:p>
    <w:p w14:paraId="2C7DB132" w14:textId="1F434C0E" w:rsidR="003E09C9" w:rsidRPr="00207C48" w:rsidRDefault="008B18C5" w:rsidP="006E0E57">
      <w:pPr>
        <w:pStyle w:val="Heading3"/>
        <w:spacing w:before="0" w:line="276" w:lineRule="auto"/>
        <w:ind w:left="0"/>
        <w:rPr>
          <w:rFonts w:ascii="Times New Roman" w:hAnsi="Times New Roman" w:cs="Times New Roman"/>
          <w:b/>
          <w:color w:val="auto"/>
        </w:rPr>
      </w:pPr>
      <w:bookmarkStart w:id="44" w:name="_Toc139901859"/>
      <w:r w:rsidRPr="00207C48">
        <w:rPr>
          <w:rFonts w:ascii="Times New Roman" w:eastAsiaTheme="minorEastAsia" w:hAnsi="Times New Roman" w:cs="Times New Roman"/>
          <w:b/>
          <w:color w:val="auto"/>
        </w:rPr>
        <w:t xml:space="preserve">Distribution </w:t>
      </w:r>
      <w:r>
        <w:rPr>
          <w:rFonts w:ascii="Times New Roman" w:eastAsiaTheme="minorEastAsia" w:hAnsi="Times New Roman" w:cs="Times New Roman"/>
          <w:b/>
          <w:color w:val="auto"/>
        </w:rPr>
        <w:t xml:space="preserve">of </w:t>
      </w:r>
      <w:r w:rsidR="003E09C9" w:rsidRPr="00207C48">
        <w:rPr>
          <w:rFonts w:ascii="Times New Roman" w:eastAsiaTheme="minorEastAsia" w:hAnsi="Times New Roman" w:cs="Times New Roman"/>
          <w:b/>
          <w:color w:val="auto"/>
        </w:rPr>
        <w:t>Groundwater Potential Zones</w:t>
      </w:r>
      <w:bookmarkEnd w:id="44"/>
      <w:r w:rsidR="002F23D0">
        <w:rPr>
          <w:rFonts w:ascii="Times New Roman" w:eastAsiaTheme="minorEastAsia" w:hAnsi="Times New Roman" w:cs="Times New Roman"/>
          <w:b/>
          <w:color w:val="auto"/>
        </w:rPr>
        <w:t xml:space="preserve"> in the Municipality</w:t>
      </w:r>
    </w:p>
    <w:p w14:paraId="4B57385C" w14:textId="77777777" w:rsidR="00C05868" w:rsidRPr="00C05868" w:rsidRDefault="00C05868" w:rsidP="00A012C8">
      <w:pPr>
        <w:spacing w:after="100" w:afterAutospacing="1" w:line="240" w:lineRule="auto"/>
        <w:ind w:left="0"/>
        <w:jc w:val="both"/>
        <w:rPr>
          <w:rFonts w:eastAsia="Times New Roman" w:cs="Times New Roman"/>
        </w:rPr>
      </w:pPr>
      <w:r w:rsidRPr="00C05868">
        <w:rPr>
          <w:rFonts w:eastAsia="Times New Roman" w:cs="Times New Roman"/>
        </w:rPr>
        <w:t xml:space="preserve">The groundwater potential zones in the </w:t>
      </w:r>
      <w:proofErr w:type="spellStart"/>
      <w:r w:rsidRPr="00C05868">
        <w:rPr>
          <w:rFonts w:eastAsia="Times New Roman" w:cs="Times New Roman"/>
        </w:rPr>
        <w:t>Wa</w:t>
      </w:r>
      <w:proofErr w:type="spellEnd"/>
      <w:r w:rsidRPr="00C05868">
        <w:rPr>
          <w:rFonts w:eastAsia="Times New Roman" w:cs="Times New Roman"/>
        </w:rPr>
        <w:t xml:space="preserve"> Municipality were delineated and categorized into Very High, High, Moderate, and Low potential classes (Figure 12). These classifications were derived from the integration of nine thematic layers through the Analytic Hierarchy Process (AHP) within a GIS environment.</w:t>
      </w:r>
    </w:p>
    <w:p w14:paraId="6C19FFC1" w14:textId="004246B6"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The Very High Potential Zone, covering approximately 185.33 km² </w:t>
      </w:r>
      <w:r w:rsidR="00E16BEA">
        <w:rPr>
          <w:rFonts w:eastAsia="Times New Roman" w:cs="Times New Roman"/>
        </w:rPr>
        <w:t>(</w:t>
      </w:r>
      <w:r w:rsidRPr="00C05868">
        <w:rPr>
          <w:rFonts w:eastAsia="Times New Roman" w:cs="Times New Roman"/>
        </w:rPr>
        <w:t>32.31%</w:t>
      </w:r>
      <w:r w:rsidR="00E16BEA">
        <w:rPr>
          <w:rFonts w:eastAsia="Times New Roman" w:cs="Times New Roman"/>
        </w:rPr>
        <w:t>)</w:t>
      </w:r>
      <w:r w:rsidRPr="00C05868">
        <w:rPr>
          <w:rFonts w:eastAsia="Times New Roman" w:cs="Times New Roman"/>
        </w:rPr>
        <w:t xml:space="preserve"> of the total municipal area, includes communities such as </w:t>
      </w:r>
      <w:proofErr w:type="spellStart"/>
      <w:r w:rsidRPr="00C05868">
        <w:rPr>
          <w:rFonts w:eastAsia="Times New Roman" w:cs="Times New Roman"/>
        </w:rPr>
        <w:t>Dondoli</w:t>
      </w:r>
      <w:proofErr w:type="spellEnd"/>
      <w:r w:rsidRPr="00C05868">
        <w:rPr>
          <w:rFonts w:eastAsia="Times New Roman" w:cs="Times New Roman"/>
        </w:rPr>
        <w:t xml:space="preserve">, Kpaguri, Nakori, Sombo, Kambali, and </w:t>
      </w:r>
      <w:proofErr w:type="spellStart"/>
      <w:r w:rsidRPr="00C05868">
        <w:rPr>
          <w:rFonts w:eastAsia="Times New Roman" w:cs="Times New Roman"/>
        </w:rPr>
        <w:t>Kolipara</w:t>
      </w:r>
      <w:proofErr w:type="spellEnd"/>
      <w:r w:rsidRPr="00C05868">
        <w:rPr>
          <w:rFonts w:eastAsia="Times New Roman" w:cs="Times New Roman"/>
        </w:rPr>
        <w:t xml:space="preserve">. These findings are consistent with previous vertical electrical sounding studies conducted in the Upper West Region, which identified </w:t>
      </w:r>
      <w:proofErr w:type="spellStart"/>
      <w:r w:rsidRPr="00C05868">
        <w:rPr>
          <w:rFonts w:eastAsia="Times New Roman" w:cs="Times New Roman"/>
        </w:rPr>
        <w:t>Dondoli</w:t>
      </w:r>
      <w:proofErr w:type="spellEnd"/>
      <w:r w:rsidRPr="00C05868">
        <w:rPr>
          <w:rFonts w:eastAsia="Times New Roman" w:cs="Times New Roman"/>
        </w:rPr>
        <w:t xml:space="preserve"> and Kpaguri as having significant groundwater potential for irrigation purposes (Abdul-Ganiyu and </w:t>
      </w:r>
      <w:proofErr w:type="spellStart"/>
      <w:r w:rsidRPr="00C05868">
        <w:rPr>
          <w:rFonts w:eastAsia="Times New Roman" w:cs="Times New Roman"/>
        </w:rPr>
        <w:t>Kpiebaya</w:t>
      </w:r>
      <w:proofErr w:type="spellEnd"/>
      <w:r w:rsidRPr="00C05868">
        <w:rPr>
          <w:rFonts w:eastAsia="Times New Roman" w:cs="Times New Roman"/>
        </w:rPr>
        <w:t xml:space="preserve">, 2020). Similarly, areas such as </w:t>
      </w:r>
      <w:proofErr w:type="spellStart"/>
      <w:r w:rsidRPr="00C05868">
        <w:rPr>
          <w:rFonts w:eastAsia="Times New Roman" w:cs="Times New Roman"/>
        </w:rPr>
        <w:t>Piisi</w:t>
      </w:r>
      <w:proofErr w:type="spellEnd"/>
      <w:r w:rsidRPr="00C05868">
        <w:rPr>
          <w:rFonts w:eastAsia="Times New Roman" w:cs="Times New Roman"/>
        </w:rPr>
        <w:t xml:space="preserve"> and </w:t>
      </w:r>
      <w:proofErr w:type="spellStart"/>
      <w:r w:rsidRPr="00C05868">
        <w:rPr>
          <w:rFonts w:eastAsia="Times New Roman" w:cs="Times New Roman"/>
        </w:rPr>
        <w:t>Kumfabiala</w:t>
      </w:r>
      <w:proofErr w:type="spellEnd"/>
      <w:r w:rsidRPr="00C05868">
        <w:rPr>
          <w:rFonts w:eastAsia="Times New Roman" w:cs="Times New Roman"/>
        </w:rPr>
        <w:t xml:space="preserve"> fall within the very high potential zone due to their low elevation (Pande </w:t>
      </w:r>
      <w:r w:rsidRPr="00C05868">
        <w:rPr>
          <w:rFonts w:eastAsia="Times New Roman" w:cs="Times New Roman"/>
          <w:i/>
          <w:iCs/>
        </w:rPr>
        <w:t>et al.,</w:t>
      </w:r>
      <w:r w:rsidRPr="00C05868">
        <w:rPr>
          <w:rFonts w:eastAsia="Times New Roman" w:cs="Times New Roman"/>
        </w:rPr>
        <w:t xml:space="preserve"> 2018) and high lineament density.</w:t>
      </w:r>
    </w:p>
    <w:p w14:paraId="3C758341" w14:textId="77777777"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This zone is predominantly underlain by the </w:t>
      </w:r>
      <w:proofErr w:type="spellStart"/>
      <w:r w:rsidRPr="00C05868">
        <w:rPr>
          <w:rFonts w:eastAsia="Times New Roman" w:cs="Times New Roman"/>
        </w:rPr>
        <w:t>Birimian</w:t>
      </w:r>
      <w:proofErr w:type="spellEnd"/>
      <w:r w:rsidRPr="00C05868">
        <w:rPr>
          <w:rFonts w:eastAsia="Times New Roman" w:cs="Times New Roman"/>
        </w:rPr>
        <w:t xml:space="preserve"> Plutonic Suite, a geologic formation known for its fractured rock systems and associated secondary porosity, which enhance groundwater storage and movement (</w:t>
      </w:r>
      <w:proofErr w:type="spellStart"/>
      <w:r w:rsidRPr="00C05868">
        <w:rPr>
          <w:rFonts w:eastAsia="Times New Roman" w:cs="Times New Roman"/>
        </w:rPr>
        <w:t>Chegbeleh</w:t>
      </w:r>
      <w:proofErr w:type="spellEnd"/>
      <w:r w:rsidRPr="00C05868">
        <w:rPr>
          <w:rFonts w:eastAsia="Times New Roman" w:cs="Times New Roman"/>
        </w:rPr>
        <w:t xml:space="preserve"> </w:t>
      </w:r>
      <w:r w:rsidRPr="00C05868">
        <w:rPr>
          <w:rFonts w:eastAsia="Times New Roman" w:cs="Times New Roman"/>
          <w:i/>
          <w:iCs/>
        </w:rPr>
        <w:t>et al.,</w:t>
      </w:r>
      <w:r w:rsidRPr="00C05868">
        <w:rPr>
          <w:rFonts w:eastAsia="Times New Roman" w:cs="Times New Roman"/>
        </w:rPr>
        <w:t xml:space="preserve"> 2020). The combination of favorable rainfall levels (Masroor </w:t>
      </w:r>
      <w:r w:rsidRPr="00C05868">
        <w:rPr>
          <w:rFonts w:eastAsia="Times New Roman" w:cs="Times New Roman"/>
          <w:i/>
          <w:iCs/>
        </w:rPr>
        <w:t>et al.,</w:t>
      </w:r>
      <w:r w:rsidRPr="00C05868">
        <w:rPr>
          <w:rFonts w:eastAsia="Times New Roman" w:cs="Times New Roman"/>
        </w:rPr>
        <w:t xml:space="preserve"> 2023), high lineament density, and low to moderate elevation creates ideal conditions for groundwater accumulation. This supports findings by Danso and Ma (2023), who emphasized the significance of lineament density as a key determinant of groundwater occurrence.</w:t>
      </w:r>
    </w:p>
    <w:p w14:paraId="03391D13" w14:textId="77777777"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The High Potential Zone occupies 112.39 km², accounting for 19.59% of the municipal area. These zones are evenly distributed across the municipality, excluding the far eastern part, which is characterized by higher elevations, lower rainfall, lower lineament density, and higher drainage density, resulting in less favorable conditions for infiltration and recharge (Hagos and </w:t>
      </w:r>
      <w:proofErr w:type="spellStart"/>
      <w:r w:rsidRPr="00C05868">
        <w:rPr>
          <w:rFonts w:eastAsia="Times New Roman" w:cs="Times New Roman"/>
        </w:rPr>
        <w:t>Andualem</w:t>
      </w:r>
      <w:proofErr w:type="spellEnd"/>
      <w:r w:rsidRPr="00C05868">
        <w:rPr>
          <w:rFonts w:eastAsia="Times New Roman" w:cs="Times New Roman"/>
        </w:rPr>
        <w:t>, 2021).</w:t>
      </w:r>
    </w:p>
    <w:p w14:paraId="411D07D1" w14:textId="77777777"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The Moderate Potential Zone spans 130.15 km² (22.69%), serving as a transition between high and low potential areas. In contrast, the Low Potential Zone, covering 145.71 km² (25.40%), is predominantly found in the eastern portions of the municipality, notably in </w:t>
      </w:r>
      <w:proofErr w:type="spellStart"/>
      <w:r w:rsidRPr="00C05868">
        <w:rPr>
          <w:rFonts w:eastAsia="Times New Roman" w:cs="Times New Roman"/>
        </w:rPr>
        <w:t>Nyagli</w:t>
      </w:r>
      <w:proofErr w:type="spellEnd"/>
      <w:r w:rsidRPr="00C05868">
        <w:rPr>
          <w:rFonts w:eastAsia="Times New Roman" w:cs="Times New Roman"/>
        </w:rPr>
        <w:t xml:space="preserve">, </w:t>
      </w:r>
      <w:proofErr w:type="spellStart"/>
      <w:r w:rsidRPr="00C05868">
        <w:rPr>
          <w:rFonts w:eastAsia="Times New Roman" w:cs="Times New Roman"/>
        </w:rPr>
        <w:t>Tabiasi</w:t>
      </w:r>
      <w:proofErr w:type="spellEnd"/>
      <w:r w:rsidRPr="00C05868">
        <w:rPr>
          <w:rFonts w:eastAsia="Times New Roman" w:cs="Times New Roman"/>
        </w:rPr>
        <w:t xml:space="preserve">, </w:t>
      </w:r>
      <w:proofErr w:type="spellStart"/>
      <w:r w:rsidRPr="00C05868">
        <w:rPr>
          <w:rFonts w:eastAsia="Times New Roman" w:cs="Times New Roman"/>
        </w:rPr>
        <w:t>Kpangkole</w:t>
      </w:r>
      <w:proofErr w:type="spellEnd"/>
      <w:r w:rsidRPr="00C05868">
        <w:rPr>
          <w:rFonts w:eastAsia="Times New Roman" w:cs="Times New Roman"/>
        </w:rPr>
        <w:t xml:space="preserve">, </w:t>
      </w:r>
      <w:proofErr w:type="spellStart"/>
      <w:r w:rsidRPr="00C05868">
        <w:rPr>
          <w:rFonts w:eastAsia="Times New Roman" w:cs="Times New Roman"/>
        </w:rPr>
        <w:t>Kadoli</w:t>
      </w:r>
      <w:proofErr w:type="spellEnd"/>
      <w:r w:rsidRPr="00C05868">
        <w:rPr>
          <w:rFonts w:eastAsia="Times New Roman" w:cs="Times New Roman"/>
        </w:rPr>
        <w:t xml:space="preserve">, </w:t>
      </w:r>
      <w:proofErr w:type="spellStart"/>
      <w:r w:rsidRPr="00C05868">
        <w:rPr>
          <w:rFonts w:eastAsia="Times New Roman" w:cs="Times New Roman"/>
        </w:rPr>
        <w:t>Konjiahi</w:t>
      </w:r>
      <w:proofErr w:type="spellEnd"/>
      <w:r w:rsidRPr="00C05868">
        <w:rPr>
          <w:rFonts w:eastAsia="Times New Roman" w:cs="Times New Roman"/>
        </w:rPr>
        <w:t xml:space="preserve">, and </w:t>
      </w:r>
      <w:proofErr w:type="spellStart"/>
      <w:r w:rsidRPr="00C05868">
        <w:rPr>
          <w:rFonts w:eastAsia="Times New Roman" w:cs="Times New Roman"/>
        </w:rPr>
        <w:t>Kperisi</w:t>
      </w:r>
      <w:proofErr w:type="spellEnd"/>
      <w:r w:rsidRPr="00C05868">
        <w:rPr>
          <w:rFonts w:eastAsia="Times New Roman" w:cs="Times New Roman"/>
        </w:rPr>
        <w:t xml:space="preserve">. These areas are underlain by the Eburnean Plutonic Suite, with limited rainfall (832–892 mm) and high elevations (335–369 m), which contribute to increased surface runoff and reduced groundwater infiltration (Manu </w:t>
      </w:r>
      <w:r w:rsidRPr="00C05868">
        <w:rPr>
          <w:rFonts w:eastAsia="Times New Roman" w:cs="Times New Roman"/>
          <w:i/>
          <w:iCs/>
        </w:rPr>
        <w:t>et al.,</w:t>
      </w:r>
      <w:r w:rsidRPr="00C05868">
        <w:rPr>
          <w:rFonts w:eastAsia="Times New Roman" w:cs="Times New Roman"/>
        </w:rPr>
        <w:t xml:space="preserve"> 2016).</w:t>
      </w:r>
    </w:p>
    <w:p w14:paraId="11C1B353" w14:textId="77777777" w:rsidR="00C05868" w:rsidRPr="00C05868" w:rsidRDefault="00C05868" w:rsidP="00C05868">
      <w:pPr>
        <w:spacing w:before="100" w:beforeAutospacing="1" w:after="100" w:afterAutospacing="1" w:line="240" w:lineRule="auto"/>
        <w:ind w:left="0"/>
        <w:jc w:val="both"/>
        <w:rPr>
          <w:rFonts w:eastAsia="Times New Roman" w:cs="Times New Roman"/>
        </w:rPr>
      </w:pPr>
      <w:r w:rsidRPr="00C05868">
        <w:rPr>
          <w:rFonts w:eastAsia="Times New Roman" w:cs="Times New Roman"/>
        </w:rPr>
        <w:t xml:space="preserve">The spatial distribution of groundwater potential in the </w:t>
      </w:r>
      <w:proofErr w:type="spellStart"/>
      <w:r w:rsidRPr="00C05868">
        <w:rPr>
          <w:rFonts w:eastAsia="Times New Roman" w:cs="Times New Roman"/>
        </w:rPr>
        <w:t>Wa</w:t>
      </w:r>
      <w:proofErr w:type="spellEnd"/>
      <w:r w:rsidRPr="00C05868">
        <w:rPr>
          <w:rFonts w:eastAsia="Times New Roman" w:cs="Times New Roman"/>
        </w:rPr>
        <w:t xml:space="preserve"> Municipality confirms that geological formations, lineament density, rainfall distribution, and elevation are the dominant factors influencing groundwater occurrence. These findings demonstrate the critical role of physical and environmental parameters in controlling the availability, movement, and storage of groundwater, and underscore the importance of spatial analysis tools in guiding sustainable groundwater resource management.</w:t>
      </w:r>
    </w:p>
    <w:p w14:paraId="47A09028" w14:textId="77777777" w:rsidR="003E09C9" w:rsidRPr="00D00F16" w:rsidRDefault="003E09C9" w:rsidP="006E0E57">
      <w:pPr>
        <w:spacing w:after="0" w:line="276" w:lineRule="auto"/>
        <w:ind w:left="0"/>
        <w:jc w:val="both"/>
        <w:rPr>
          <w:rFonts w:cs="Times New Roman"/>
        </w:rPr>
      </w:pPr>
    </w:p>
    <w:p w14:paraId="75C7359C" w14:textId="77777777" w:rsidR="003E09C9" w:rsidRPr="00D00F16" w:rsidRDefault="003E09C9" w:rsidP="006E0E57">
      <w:pPr>
        <w:pStyle w:val="Caption"/>
        <w:keepNext/>
        <w:spacing w:after="0" w:line="276" w:lineRule="auto"/>
        <w:ind w:left="0"/>
        <w:rPr>
          <w:rFonts w:cs="Times New Roman"/>
          <w:color w:val="auto"/>
          <w:sz w:val="24"/>
          <w:szCs w:val="24"/>
        </w:rPr>
      </w:pPr>
      <w:bookmarkStart w:id="45" w:name="_Toc138686496"/>
      <w:r w:rsidRPr="00D00F16">
        <w:rPr>
          <w:rFonts w:cs="Times New Roman"/>
          <w:noProof/>
          <w:color w:val="auto"/>
          <w:sz w:val="24"/>
          <w:szCs w:val="24"/>
        </w:rPr>
        <w:drawing>
          <wp:inline distT="0" distB="0" distL="0" distR="0" wp14:anchorId="23E41962" wp14:editId="6FD1ABA6">
            <wp:extent cx="5879168" cy="4542994"/>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9168" cy="4542994"/>
                    </a:xfrm>
                    <a:prstGeom prst="rect">
                      <a:avLst/>
                    </a:prstGeom>
                  </pic:spPr>
                </pic:pic>
              </a:graphicData>
            </a:graphic>
          </wp:inline>
        </w:drawing>
      </w:r>
    </w:p>
    <w:p w14:paraId="7660A757" w14:textId="7D481368" w:rsidR="003E09C9" w:rsidRPr="00D00F16" w:rsidRDefault="009E2A68" w:rsidP="006E0E57">
      <w:pPr>
        <w:pStyle w:val="Caption"/>
        <w:spacing w:after="0" w:line="276" w:lineRule="auto"/>
        <w:ind w:left="0"/>
        <w:rPr>
          <w:rFonts w:cs="Times New Roman"/>
          <w:i w:val="0"/>
          <w:iCs w:val="0"/>
          <w:color w:val="auto"/>
          <w:sz w:val="24"/>
          <w:szCs w:val="24"/>
        </w:rPr>
      </w:pPr>
      <w:bookmarkStart w:id="46" w:name="_Toc138777760"/>
      <w:r w:rsidRPr="003712E6">
        <w:rPr>
          <w:rFonts w:cs="Times New Roman"/>
          <w:b/>
          <w:bCs/>
          <w:i w:val="0"/>
          <w:iCs w:val="0"/>
          <w:color w:val="auto"/>
          <w:sz w:val="24"/>
          <w:szCs w:val="24"/>
        </w:rPr>
        <w:t>Fig</w:t>
      </w:r>
      <w:r w:rsidR="003712E6" w:rsidRPr="003712E6">
        <w:rPr>
          <w:rFonts w:cs="Times New Roman"/>
          <w:b/>
          <w:bCs/>
          <w:i w:val="0"/>
          <w:iCs w:val="0"/>
          <w:color w:val="auto"/>
          <w:sz w:val="24"/>
          <w:szCs w:val="24"/>
        </w:rPr>
        <w:t xml:space="preserve">ure </w:t>
      </w:r>
      <w:r w:rsidR="00B51A12" w:rsidRPr="003712E6">
        <w:rPr>
          <w:rFonts w:cs="Times New Roman"/>
          <w:b/>
          <w:bCs/>
          <w:i w:val="0"/>
          <w:iCs w:val="0"/>
          <w:color w:val="auto"/>
          <w:sz w:val="24"/>
          <w:szCs w:val="24"/>
        </w:rPr>
        <w:t>12</w:t>
      </w:r>
      <w:r w:rsidR="003712E6" w:rsidRPr="003712E6">
        <w:rPr>
          <w:rFonts w:cs="Times New Roman"/>
          <w:b/>
          <w:bCs/>
          <w:i w:val="0"/>
          <w:iCs w:val="0"/>
          <w:color w:val="auto"/>
          <w:sz w:val="24"/>
          <w:szCs w:val="24"/>
        </w:rPr>
        <w:t>:</w:t>
      </w:r>
      <w:r w:rsidR="003E09C9" w:rsidRPr="00D00F16">
        <w:rPr>
          <w:rFonts w:cs="Times New Roman"/>
          <w:i w:val="0"/>
          <w:iCs w:val="0"/>
          <w:color w:val="auto"/>
          <w:sz w:val="24"/>
          <w:szCs w:val="24"/>
        </w:rPr>
        <w:t xml:space="preserve"> </w:t>
      </w:r>
      <w:bookmarkStart w:id="47" w:name="_Hlk206236456"/>
      <w:r w:rsidR="003E09C9" w:rsidRPr="00D00F16">
        <w:rPr>
          <w:rFonts w:cs="Times New Roman"/>
          <w:i w:val="0"/>
          <w:iCs w:val="0"/>
          <w:color w:val="auto"/>
          <w:sz w:val="24"/>
          <w:szCs w:val="24"/>
        </w:rPr>
        <w:t>Groundwater Potential Zones</w:t>
      </w:r>
      <w:bookmarkEnd w:id="46"/>
      <w:r w:rsidR="003712E6">
        <w:rPr>
          <w:rFonts w:cs="Times New Roman"/>
          <w:i w:val="0"/>
          <w:iCs w:val="0"/>
          <w:color w:val="auto"/>
          <w:sz w:val="24"/>
          <w:szCs w:val="24"/>
        </w:rPr>
        <w:t xml:space="preserve"> of </w:t>
      </w:r>
      <w:proofErr w:type="spellStart"/>
      <w:r w:rsidR="003712E6">
        <w:rPr>
          <w:rFonts w:cs="Times New Roman"/>
          <w:i w:val="0"/>
          <w:iCs w:val="0"/>
          <w:color w:val="auto"/>
          <w:sz w:val="24"/>
          <w:szCs w:val="24"/>
        </w:rPr>
        <w:t>Wa</w:t>
      </w:r>
      <w:proofErr w:type="spellEnd"/>
      <w:r w:rsidR="003712E6">
        <w:rPr>
          <w:rFonts w:cs="Times New Roman"/>
          <w:i w:val="0"/>
          <w:iCs w:val="0"/>
          <w:color w:val="auto"/>
          <w:sz w:val="24"/>
          <w:szCs w:val="24"/>
        </w:rPr>
        <w:t xml:space="preserve"> Municipality</w:t>
      </w:r>
      <w:bookmarkEnd w:id="47"/>
    </w:p>
    <w:bookmarkEnd w:id="45"/>
    <w:p w14:paraId="7500B69A" w14:textId="77777777" w:rsidR="003E09C9" w:rsidRPr="00D00F16" w:rsidRDefault="003E09C9" w:rsidP="006E0E57">
      <w:pPr>
        <w:spacing w:after="0" w:line="276" w:lineRule="auto"/>
        <w:ind w:left="0"/>
        <w:rPr>
          <w:rFonts w:cs="Times New Roman"/>
        </w:rPr>
      </w:pPr>
    </w:p>
    <w:p w14:paraId="376A37D8" w14:textId="78314381" w:rsidR="003E09C9" w:rsidRPr="00D00F16" w:rsidRDefault="003E09C9" w:rsidP="006E0E57">
      <w:pPr>
        <w:pStyle w:val="Caption"/>
        <w:keepNext/>
        <w:spacing w:after="0" w:line="276" w:lineRule="auto"/>
        <w:ind w:left="0"/>
        <w:rPr>
          <w:rFonts w:cs="Times New Roman"/>
          <w:i w:val="0"/>
          <w:iCs w:val="0"/>
          <w:color w:val="auto"/>
          <w:sz w:val="24"/>
          <w:szCs w:val="24"/>
        </w:rPr>
      </w:pPr>
      <w:bookmarkStart w:id="48" w:name="_Toc138764727"/>
      <w:r w:rsidRPr="003712E6">
        <w:rPr>
          <w:rFonts w:cs="Times New Roman"/>
          <w:b/>
          <w:bCs/>
          <w:i w:val="0"/>
          <w:iCs w:val="0"/>
          <w:color w:val="auto"/>
          <w:sz w:val="24"/>
          <w:szCs w:val="24"/>
        </w:rPr>
        <w:t xml:space="preserve">Table </w:t>
      </w:r>
      <w:r w:rsidR="00203C5D">
        <w:rPr>
          <w:rFonts w:cs="Times New Roman"/>
          <w:b/>
          <w:bCs/>
          <w:i w:val="0"/>
          <w:iCs w:val="0"/>
          <w:color w:val="auto"/>
          <w:sz w:val="24"/>
          <w:szCs w:val="24"/>
        </w:rPr>
        <w:t>7</w:t>
      </w:r>
      <w:r w:rsidR="003712E6" w:rsidRPr="003712E6">
        <w:rPr>
          <w:rFonts w:cs="Times New Roman"/>
          <w:b/>
          <w:bCs/>
          <w:i w:val="0"/>
          <w:iCs w:val="0"/>
          <w:color w:val="auto"/>
          <w:sz w:val="24"/>
          <w:szCs w:val="24"/>
        </w:rPr>
        <w:t>:</w:t>
      </w:r>
      <w:r w:rsidR="003712E6">
        <w:rPr>
          <w:rFonts w:cs="Times New Roman"/>
          <w:i w:val="0"/>
          <w:iCs w:val="0"/>
          <w:color w:val="auto"/>
          <w:sz w:val="24"/>
          <w:szCs w:val="24"/>
        </w:rPr>
        <w:t xml:space="preserve"> </w:t>
      </w:r>
      <w:r w:rsidRPr="00D00F16">
        <w:rPr>
          <w:rFonts w:cs="Times New Roman"/>
          <w:i w:val="0"/>
          <w:iCs w:val="0"/>
          <w:color w:val="auto"/>
          <w:sz w:val="24"/>
          <w:szCs w:val="24"/>
        </w:rPr>
        <w:t xml:space="preserve"> </w:t>
      </w:r>
      <w:bookmarkEnd w:id="48"/>
      <w:r w:rsidR="003712E6">
        <w:rPr>
          <w:rFonts w:cs="Times New Roman"/>
          <w:i w:val="0"/>
          <w:iCs w:val="0"/>
          <w:color w:val="auto"/>
          <w:sz w:val="24"/>
          <w:szCs w:val="24"/>
        </w:rPr>
        <w:t xml:space="preserve">Classification of </w:t>
      </w:r>
      <w:r w:rsidR="003712E6" w:rsidRPr="00D00F16">
        <w:rPr>
          <w:rFonts w:cs="Times New Roman"/>
          <w:i w:val="0"/>
          <w:iCs w:val="0"/>
          <w:color w:val="auto"/>
          <w:sz w:val="24"/>
          <w:szCs w:val="24"/>
        </w:rPr>
        <w:t>Groundwater Potential Zones</w:t>
      </w:r>
      <w:r w:rsidR="003712E6">
        <w:rPr>
          <w:rFonts w:cs="Times New Roman"/>
          <w:i w:val="0"/>
          <w:iCs w:val="0"/>
          <w:color w:val="auto"/>
          <w:sz w:val="24"/>
          <w:szCs w:val="24"/>
        </w:rPr>
        <w:t xml:space="preserve"> of </w:t>
      </w:r>
      <w:proofErr w:type="spellStart"/>
      <w:r w:rsidR="003712E6">
        <w:rPr>
          <w:rFonts w:cs="Times New Roman"/>
          <w:i w:val="0"/>
          <w:iCs w:val="0"/>
          <w:color w:val="auto"/>
          <w:sz w:val="24"/>
          <w:szCs w:val="24"/>
        </w:rPr>
        <w:t>Wa</w:t>
      </w:r>
      <w:proofErr w:type="spellEnd"/>
      <w:r w:rsidR="003712E6">
        <w:rPr>
          <w:rFonts w:cs="Times New Roman"/>
          <w:i w:val="0"/>
          <w:iCs w:val="0"/>
          <w:color w:val="auto"/>
          <w:sz w:val="24"/>
          <w:szCs w:val="24"/>
        </w:rPr>
        <w:t xml:space="preserve"> Municipality</w:t>
      </w:r>
    </w:p>
    <w:tbl>
      <w:tblPr>
        <w:tblStyle w:val="TableGrid"/>
        <w:tblW w:w="7848"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070"/>
        <w:gridCol w:w="2970"/>
      </w:tblGrid>
      <w:tr w:rsidR="003F590C" w:rsidRPr="00D00F16" w14:paraId="7B00D577" w14:textId="77777777" w:rsidTr="00D32E7E">
        <w:trPr>
          <w:trHeight w:val="225"/>
        </w:trPr>
        <w:tc>
          <w:tcPr>
            <w:tcW w:w="2808" w:type="dxa"/>
            <w:tcBorders>
              <w:top w:val="single" w:sz="4" w:space="0" w:color="auto"/>
              <w:bottom w:val="single" w:sz="4" w:space="0" w:color="auto"/>
            </w:tcBorders>
          </w:tcPr>
          <w:p w14:paraId="00ED23BA" w14:textId="77777777" w:rsidR="003E09C9" w:rsidRPr="003712E6" w:rsidRDefault="003E09C9" w:rsidP="006E0E57">
            <w:pPr>
              <w:spacing w:line="276" w:lineRule="auto"/>
              <w:ind w:left="0"/>
              <w:rPr>
                <w:b/>
                <w:bCs/>
                <w:sz w:val="24"/>
                <w:szCs w:val="24"/>
              </w:rPr>
            </w:pPr>
            <w:r w:rsidRPr="003712E6">
              <w:rPr>
                <w:b/>
                <w:bCs/>
                <w:sz w:val="24"/>
                <w:szCs w:val="24"/>
              </w:rPr>
              <w:t>Classes of GWPZs</w:t>
            </w:r>
          </w:p>
        </w:tc>
        <w:tc>
          <w:tcPr>
            <w:tcW w:w="2070" w:type="dxa"/>
            <w:tcBorders>
              <w:top w:val="single" w:sz="4" w:space="0" w:color="auto"/>
              <w:bottom w:val="single" w:sz="4" w:space="0" w:color="auto"/>
            </w:tcBorders>
          </w:tcPr>
          <w:p w14:paraId="24804A46" w14:textId="3ECF34A1" w:rsidR="003E09C9" w:rsidRPr="003712E6" w:rsidRDefault="003E09C9" w:rsidP="006E0E57">
            <w:pPr>
              <w:spacing w:line="276" w:lineRule="auto"/>
              <w:ind w:left="0"/>
              <w:rPr>
                <w:b/>
                <w:bCs/>
                <w:sz w:val="24"/>
                <w:szCs w:val="24"/>
              </w:rPr>
            </w:pPr>
            <w:r w:rsidRPr="003712E6">
              <w:rPr>
                <w:b/>
                <w:bCs/>
                <w:sz w:val="24"/>
                <w:szCs w:val="24"/>
              </w:rPr>
              <w:t>Area (</w:t>
            </w:r>
            <w:r w:rsidR="005257CF" w:rsidRPr="003712E6">
              <w:rPr>
                <w:b/>
                <w:bCs/>
                <w:sz w:val="24"/>
                <w:szCs w:val="24"/>
              </w:rPr>
              <w:t>k</w:t>
            </w:r>
            <w:r w:rsidRPr="003712E6">
              <w:rPr>
                <w:b/>
                <w:bCs/>
                <w:sz w:val="24"/>
                <w:szCs w:val="24"/>
              </w:rPr>
              <w:t>m</w:t>
            </w:r>
            <w:r w:rsidRPr="003712E6">
              <w:rPr>
                <w:b/>
                <w:bCs/>
                <w:sz w:val="24"/>
                <w:szCs w:val="24"/>
                <w:vertAlign w:val="superscript"/>
              </w:rPr>
              <w:t>2</w:t>
            </w:r>
            <w:r w:rsidRPr="003712E6">
              <w:rPr>
                <w:b/>
                <w:bCs/>
                <w:sz w:val="24"/>
                <w:szCs w:val="24"/>
              </w:rPr>
              <w:t>)</w:t>
            </w:r>
          </w:p>
        </w:tc>
        <w:tc>
          <w:tcPr>
            <w:tcW w:w="2970" w:type="dxa"/>
            <w:tcBorders>
              <w:top w:val="single" w:sz="4" w:space="0" w:color="auto"/>
              <w:bottom w:val="single" w:sz="4" w:space="0" w:color="auto"/>
            </w:tcBorders>
          </w:tcPr>
          <w:p w14:paraId="68AE1FA4" w14:textId="77777777" w:rsidR="003E09C9" w:rsidRPr="003712E6" w:rsidRDefault="003E09C9" w:rsidP="006E0E57">
            <w:pPr>
              <w:spacing w:line="276" w:lineRule="auto"/>
              <w:ind w:left="0"/>
              <w:rPr>
                <w:b/>
                <w:bCs/>
                <w:sz w:val="24"/>
                <w:szCs w:val="24"/>
              </w:rPr>
            </w:pPr>
            <w:r w:rsidRPr="003712E6">
              <w:rPr>
                <w:b/>
                <w:bCs/>
                <w:sz w:val="24"/>
                <w:szCs w:val="24"/>
              </w:rPr>
              <w:t>Percentage (%)</w:t>
            </w:r>
          </w:p>
        </w:tc>
      </w:tr>
      <w:tr w:rsidR="003F590C" w:rsidRPr="00D00F16" w14:paraId="065612B5" w14:textId="77777777" w:rsidTr="00D32E7E">
        <w:trPr>
          <w:trHeight w:val="270"/>
        </w:trPr>
        <w:tc>
          <w:tcPr>
            <w:tcW w:w="2808" w:type="dxa"/>
            <w:tcBorders>
              <w:top w:val="single" w:sz="4" w:space="0" w:color="auto"/>
            </w:tcBorders>
          </w:tcPr>
          <w:p w14:paraId="6A0A3A8D" w14:textId="77777777" w:rsidR="003E09C9" w:rsidRPr="00D00F16" w:rsidRDefault="003E09C9" w:rsidP="006E0E57">
            <w:pPr>
              <w:spacing w:line="276" w:lineRule="auto"/>
              <w:ind w:left="0"/>
              <w:rPr>
                <w:sz w:val="24"/>
                <w:szCs w:val="24"/>
              </w:rPr>
            </w:pPr>
            <w:r w:rsidRPr="00D00F16">
              <w:rPr>
                <w:sz w:val="24"/>
                <w:szCs w:val="24"/>
              </w:rPr>
              <w:t xml:space="preserve">Low </w:t>
            </w:r>
          </w:p>
        </w:tc>
        <w:tc>
          <w:tcPr>
            <w:tcW w:w="2070" w:type="dxa"/>
            <w:tcBorders>
              <w:top w:val="single" w:sz="4" w:space="0" w:color="auto"/>
            </w:tcBorders>
            <w:vAlign w:val="bottom"/>
          </w:tcPr>
          <w:p w14:paraId="25752B09" w14:textId="77777777" w:rsidR="003E09C9" w:rsidRPr="00D00F16" w:rsidRDefault="003E09C9" w:rsidP="006E0E57">
            <w:pPr>
              <w:spacing w:line="276" w:lineRule="auto"/>
              <w:ind w:left="0"/>
              <w:rPr>
                <w:sz w:val="24"/>
                <w:szCs w:val="24"/>
              </w:rPr>
            </w:pPr>
            <w:r w:rsidRPr="00D00F16">
              <w:rPr>
                <w:sz w:val="24"/>
                <w:szCs w:val="24"/>
              </w:rPr>
              <w:t>145.71</w:t>
            </w:r>
          </w:p>
        </w:tc>
        <w:tc>
          <w:tcPr>
            <w:tcW w:w="2970" w:type="dxa"/>
            <w:tcBorders>
              <w:top w:val="single" w:sz="4" w:space="0" w:color="auto"/>
            </w:tcBorders>
            <w:vAlign w:val="bottom"/>
          </w:tcPr>
          <w:p w14:paraId="1B00BCC2" w14:textId="77777777" w:rsidR="003E09C9" w:rsidRPr="00D00F16" w:rsidRDefault="003E09C9" w:rsidP="006E0E57">
            <w:pPr>
              <w:spacing w:line="276" w:lineRule="auto"/>
              <w:ind w:left="0"/>
              <w:rPr>
                <w:sz w:val="24"/>
                <w:szCs w:val="24"/>
              </w:rPr>
            </w:pPr>
            <w:r w:rsidRPr="00D00F16">
              <w:rPr>
                <w:sz w:val="24"/>
                <w:szCs w:val="24"/>
              </w:rPr>
              <w:t>25.40</w:t>
            </w:r>
          </w:p>
        </w:tc>
      </w:tr>
      <w:tr w:rsidR="003F590C" w:rsidRPr="00D00F16" w14:paraId="489A8C97" w14:textId="77777777" w:rsidTr="00D32E7E">
        <w:trPr>
          <w:trHeight w:val="255"/>
        </w:trPr>
        <w:tc>
          <w:tcPr>
            <w:tcW w:w="2808" w:type="dxa"/>
          </w:tcPr>
          <w:p w14:paraId="2F184E05" w14:textId="77777777" w:rsidR="003E09C9" w:rsidRPr="00D00F16" w:rsidRDefault="003E09C9" w:rsidP="006E0E57">
            <w:pPr>
              <w:spacing w:line="276" w:lineRule="auto"/>
              <w:ind w:left="0"/>
              <w:rPr>
                <w:sz w:val="24"/>
                <w:szCs w:val="24"/>
              </w:rPr>
            </w:pPr>
            <w:r w:rsidRPr="00D00F16">
              <w:rPr>
                <w:sz w:val="24"/>
                <w:szCs w:val="24"/>
              </w:rPr>
              <w:t>Moderate</w:t>
            </w:r>
          </w:p>
        </w:tc>
        <w:tc>
          <w:tcPr>
            <w:tcW w:w="2070" w:type="dxa"/>
            <w:vAlign w:val="bottom"/>
          </w:tcPr>
          <w:p w14:paraId="5275EC5C" w14:textId="77777777" w:rsidR="003E09C9" w:rsidRPr="00D00F16" w:rsidRDefault="003E09C9" w:rsidP="006E0E57">
            <w:pPr>
              <w:spacing w:line="276" w:lineRule="auto"/>
              <w:ind w:left="0"/>
              <w:rPr>
                <w:sz w:val="24"/>
                <w:szCs w:val="24"/>
              </w:rPr>
            </w:pPr>
            <w:r w:rsidRPr="00D00F16">
              <w:rPr>
                <w:sz w:val="24"/>
                <w:szCs w:val="24"/>
              </w:rPr>
              <w:t>130.15</w:t>
            </w:r>
          </w:p>
        </w:tc>
        <w:tc>
          <w:tcPr>
            <w:tcW w:w="2970" w:type="dxa"/>
            <w:vAlign w:val="bottom"/>
          </w:tcPr>
          <w:p w14:paraId="10F95766" w14:textId="77777777" w:rsidR="003E09C9" w:rsidRPr="00D00F16" w:rsidRDefault="003E09C9" w:rsidP="006E0E57">
            <w:pPr>
              <w:spacing w:line="276" w:lineRule="auto"/>
              <w:ind w:left="0"/>
              <w:rPr>
                <w:sz w:val="24"/>
                <w:szCs w:val="24"/>
              </w:rPr>
            </w:pPr>
            <w:r w:rsidRPr="00D00F16">
              <w:rPr>
                <w:sz w:val="24"/>
                <w:szCs w:val="24"/>
              </w:rPr>
              <w:t>22.69</w:t>
            </w:r>
          </w:p>
        </w:tc>
      </w:tr>
      <w:tr w:rsidR="003F590C" w:rsidRPr="00D00F16" w14:paraId="46C9C8BA" w14:textId="77777777" w:rsidTr="00D32E7E">
        <w:trPr>
          <w:trHeight w:val="270"/>
        </w:trPr>
        <w:tc>
          <w:tcPr>
            <w:tcW w:w="2808" w:type="dxa"/>
          </w:tcPr>
          <w:p w14:paraId="6C1060F5" w14:textId="77777777" w:rsidR="003E09C9" w:rsidRPr="00D00F16" w:rsidRDefault="003E09C9" w:rsidP="006E0E57">
            <w:pPr>
              <w:spacing w:line="276" w:lineRule="auto"/>
              <w:ind w:left="0"/>
              <w:rPr>
                <w:sz w:val="24"/>
                <w:szCs w:val="24"/>
              </w:rPr>
            </w:pPr>
            <w:r w:rsidRPr="00D00F16">
              <w:rPr>
                <w:sz w:val="24"/>
                <w:szCs w:val="24"/>
              </w:rPr>
              <w:t>High</w:t>
            </w:r>
          </w:p>
        </w:tc>
        <w:tc>
          <w:tcPr>
            <w:tcW w:w="2070" w:type="dxa"/>
            <w:vAlign w:val="bottom"/>
          </w:tcPr>
          <w:p w14:paraId="4B648A9E" w14:textId="77777777" w:rsidR="003E09C9" w:rsidRPr="00D00F16" w:rsidRDefault="003E09C9" w:rsidP="006E0E57">
            <w:pPr>
              <w:spacing w:line="276" w:lineRule="auto"/>
              <w:ind w:left="0"/>
              <w:rPr>
                <w:sz w:val="24"/>
                <w:szCs w:val="24"/>
              </w:rPr>
            </w:pPr>
            <w:r w:rsidRPr="00D00F16">
              <w:rPr>
                <w:sz w:val="24"/>
                <w:szCs w:val="24"/>
              </w:rPr>
              <w:t>112.39</w:t>
            </w:r>
          </w:p>
        </w:tc>
        <w:tc>
          <w:tcPr>
            <w:tcW w:w="2970" w:type="dxa"/>
            <w:vAlign w:val="bottom"/>
          </w:tcPr>
          <w:p w14:paraId="6B26B3BA" w14:textId="77777777" w:rsidR="003E09C9" w:rsidRPr="00D00F16" w:rsidRDefault="003E09C9" w:rsidP="006E0E57">
            <w:pPr>
              <w:spacing w:line="276" w:lineRule="auto"/>
              <w:ind w:left="0"/>
              <w:rPr>
                <w:sz w:val="24"/>
                <w:szCs w:val="24"/>
              </w:rPr>
            </w:pPr>
            <w:r w:rsidRPr="00D00F16">
              <w:rPr>
                <w:sz w:val="24"/>
                <w:szCs w:val="24"/>
              </w:rPr>
              <w:t>19.59</w:t>
            </w:r>
          </w:p>
        </w:tc>
      </w:tr>
      <w:tr w:rsidR="003F590C" w:rsidRPr="00D00F16" w14:paraId="176AA5CA" w14:textId="77777777" w:rsidTr="00D32E7E">
        <w:trPr>
          <w:trHeight w:val="255"/>
        </w:trPr>
        <w:tc>
          <w:tcPr>
            <w:tcW w:w="2808" w:type="dxa"/>
          </w:tcPr>
          <w:p w14:paraId="46265F9C" w14:textId="77777777" w:rsidR="003E09C9" w:rsidRPr="00D00F16" w:rsidRDefault="003E09C9" w:rsidP="006E0E57">
            <w:pPr>
              <w:spacing w:line="276" w:lineRule="auto"/>
              <w:ind w:left="0"/>
              <w:rPr>
                <w:sz w:val="24"/>
                <w:szCs w:val="24"/>
              </w:rPr>
            </w:pPr>
            <w:r w:rsidRPr="00D00F16">
              <w:rPr>
                <w:sz w:val="24"/>
                <w:szCs w:val="24"/>
              </w:rPr>
              <w:t>Very high</w:t>
            </w:r>
          </w:p>
        </w:tc>
        <w:tc>
          <w:tcPr>
            <w:tcW w:w="2070" w:type="dxa"/>
            <w:vAlign w:val="bottom"/>
          </w:tcPr>
          <w:p w14:paraId="492ECDEC" w14:textId="77777777" w:rsidR="003E09C9" w:rsidRPr="00D00F16" w:rsidRDefault="003E09C9" w:rsidP="006E0E57">
            <w:pPr>
              <w:spacing w:line="276" w:lineRule="auto"/>
              <w:ind w:left="0"/>
              <w:rPr>
                <w:sz w:val="24"/>
                <w:szCs w:val="24"/>
              </w:rPr>
            </w:pPr>
            <w:r w:rsidRPr="00D00F16">
              <w:rPr>
                <w:sz w:val="24"/>
                <w:szCs w:val="24"/>
              </w:rPr>
              <w:t>185.33</w:t>
            </w:r>
          </w:p>
        </w:tc>
        <w:tc>
          <w:tcPr>
            <w:tcW w:w="2970" w:type="dxa"/>
            <w:vAlign w:val="bottom"/>
          </w:tcPr>
          <w:p w14:paraId="239E9FF1" w14:textId="77777777" w:rsidR="003E09C9" w:rsidRPr="00D00F16" w:rsidRDefault="003E09C9" w:rsidP="006E0E57">
            <w:pPr>
              <w:spacing w:line="276" w:lineRule="auto"/>
              <w:ind w:left="0"/>
              <w:rPr>
                <w:sz w:val="24"/>
                <w:szCs w:val="24"/>
              </w:rPr>
            </w:pPr>
            <w:r w:rsidRPr="00D00F16">
              <w:rPr>
                <w:sz w:val="24"/>
                <w:szCs w:val="24"/>
              </w:rPr>
              <w:t>32.31</w:t>
            </w:r>
          </w:p>
        </w:tc>
      </w:tr>
    </w:tbl>
    <w:p w14:paraId="7166E390" w14:textId="2C6B2932" w:rsidR="003E09C9" w:rsidRDefault="003E09C9" w:rsidP="006E0E57">
      <w:pPr>
        <w:pStyle w:val="Heading2"/>
        <w:spacing w:before="0" w:line="276" w:lineRule="auto"/>
        <w:ind w:left="0"/>
        <w:rPr>
          <w:rFonts w:ascii="Times New Roman" w:hAnsi="Times New Roman" w:cs="Times New Roman"/>
          <w:b/>
          <w:bCs/>
          <w:color w:val="auto"/>
          <w:sz w:val="24"/>
          <w:szCs w:val="24"/>
        </w:rPr>
      </w:pPr>
    </w:p>
    <w:p w14:paraId="2FD5E8D7" w14:textId="3406794C" w:rsidR="00BD412F" w:rsidRDefault="00BD412F" w:rsidP="00BD412F">
      <w:pPr>
        <w:spacing w:line="240" w:lineRule="auto"/>
        <w:ind w:left="0"/>
        <w:rPr>
          <w:rFonts w:eastAsia="Times New Roman" w:cs="Times New Roman"/>
          <w:b/>
          <w:bCs/>
        </w:rPr>
      </w:pPr>
      <w:r w:rsidRPr="00C608F5">
        <w:rPr>
          <w:rFonts w:eastAsia="Times New Roman" w:cs="Times New Roman"/>
          <w:b/>
          <w:bCs/>
        </w:rPr>
        <w:t>Validation of the Groundwater Potential Map</w:t>
      </w:r>
    </w:p>
    <w:p w14:paraId="597FDFF6" w14:textId="77777777" w:rsidR="00BD412F" w:rsidRPr="00BD412F" w:rsidRDefault="00BD412F" w:rsidP="00230025">
      <w:pPr>
        <w:spacing w:after="100" w:afterAutospacing="1" w:line="240" w:lineRule="auto"/>
        <w:ind w:left="0"/>
        <w:jc w:val="both"/>
        <w:rPr>
          <w:rFonts w:eastAsia="Times New Roman" w:cs="Times New Roman"/>
          <w:color w:val="000000"/>
        </w:rPr>
      </w:pPr>
      <w:r w:rsidRPr="00BD412F">
        <w:rPr>
          <w:rFonts w:eastAsia="Times New Roman" w:cs="Times New Roman"/>
          <w:color w:val="000000"/>
        </w:rPr>
        <w:t xml:space="preserve">To assess the accuracy and reliability of the groundwater potential (GWP) map generated through GIS-based weighted overlay analysis, hydrogeological data including static water levels and tube well yield were obtained from the Community Water and Sanitation Agency (CWSA) in </w:t>
      </w:r>
      <w:proofErr w:type="spellStart"/>
      <w:r w:rsidRPr="00BD412F">
        <w:rPr>
          <w:rFonts w:eastAsia="Times New Roman" w:cs="Times New Roman"/>
          <w:color w:val="000000"/>
        </w:rPr>
        <w:t>Wa</w:t>
      </w:r>
      <w:proofErr w:type="spellEnd"/>
      <w:r w:rsidRPr="00BD412F">
        <w:rPr>
          <w:rFonts w:eastAsia="Times New Roman" w:cs="Times New Roman"/>
          <w:color w:val="000000"/>
        </w:rPr>
        <w:t xml:space="preserve">. These datasets were interpolated using the Inverse Distance Weighted (IDW) method in ArcMap 10.8. Validation followed methodologies referenced in previous groundwater studies (Nithya </w:t>
      </w:r>
      <w:r w:rsidRPr="00BD412F">
        <w:rPr>
          <w:rFonts w:eastAsia="Times New Roman" w:cs="Times New Roman"/>
          <w:i/>
          <w:iCs/>
          <w:color w:val="000000"/>
        </w:rPr>
        <w:t>et al.,</w:t>
      </w:r>
      <w:r w:rsidRPr="00BD412F">
        <w:rPr>
          <w:rFonts w:eastAsia="Times New Roman" w:cs="Times New Roman"/>
          <w:color w:val="000000"/>
        </w:rPr>
        <w:t xml:space="preserve"> 2019; Abdullateef </w:t>
      </w:r>
      <w:r w:rsidRPr="00BD412F">
        <w:rPr>
          <w:rFonts w:eastAsia="Times New Roman" w:cs="Times New Roman"/>
          <w:i/>
          <w:iCs/>
          <w:color w:val="000000"/>
        </w:rPr>
        <w:t>et al.,</w:t>
      </w:r>
      <w:r w:rsidRPr="00BD412F">
        <w:rPr>
          <w:rFonts w:eastAsia="Times New Roman" w:cs="Times New Roman"/>
          <w:color w:val="000000"/>
        </w:rPr>
        <w:t xml:space="preserve"> 2021; Mustapha </w:t>
      </w:r>
      <w:r w:rsidRPr="00BD412F">
        <w:rPr>
          <w:rFonts w:eastAsia="Times New Roman" w:cs="Times New Roman"/>
          <w:i/>
          <w:iCs/>
          <w:color w:val="000000"/>
        </w:rPr>
        <w:t>et al.,</w:t>
      </w:r>
      <w:r w:rsidRPr="00BD412F">
        <w:rPr>
          <w:rFonts w:eastAsia="Times New Roman" w:cs="Times New Roman"/>
          <w:color w:val="000000"/>
        </w:rPr>
        <w:t xml:space="preserve"> 2023).</w:t>
      </w:r>
    </w:p>
    <w:p w14:paraId="19BFD2C9" w14:textId="77777777" w:rsidR="00BD412F" w:rsidRPr="00BD412F" w:rsidRDefault="00BD412F" w:rsidP="00BD412F">
      <w:pPr>
        <w:spacing w:before="100" w:beforeAutospacing="1" w:after="100" w:afterAutospacing="1" w:line="240" w:lineRule="auto"/>
        <w:ind w:left="0"/>
        <w:outlineLvl w:val="3"/>
        <w:rPr>
          <w:rFonts w:eastAsia="Times New Roman" w:cs="Times New Roman"/>
          <w:b/>
          <w:bCs/>
          <w:color w:val="000000"/>
        </w:rPr>
      </w:pPr>
      <w:r w:rsidRPr="00BD412F">
        <w:rPr>
          <w:rFonts w:eastAsia="Times New Roman" w:cs="Times New Roman"/>
          <w:b/>
          <w:bCs/>
          <w:color w:val="000000"/>
        </w:rPr>
        <w:t>Spatial Validation Using Tube Well Yield</w:t>
      </w:r>
    </w:p>
    <w:p w14:paraId="4FDB0938" w14:textId="55A0C5DE" w:rsidR="00BD412F" w:rsidRPr="00BD412F" w:rsidRDefault="00BD412F" w:rsidP="00230025">
      <w:pPr>
        <w:spacing w:before="100" w:beforeAutospacing="1" w:after="100" w:afterAutospacing="1" w:line="240" w:lineRule="auto"/>
        <w:ind w:left="0"/>
        <w:jc w:val="both"/>
        <w:rPr>
          <w:rFonts w:eastAsia="Times New Roman" w:cs="Times New Roman"/>
          <w:color w:val="000000"/>
        </w:rPr>
      </w:pPr>
      <w:r w:rsidRPr="00BD412F">
        <w:rPr>
          <w:rFonts w:eastAsia="Times New Roman" w:cs="Times New Roman"/>
          <w:color w:val="000000"/>
        </w:rPr>
        <w:t>The validation focused on comparing well yield data with the classified GWP zones. The comparison revealed a strong correlation between areas of high yield and those delineated as high or very high potential on the GWP map.</w:t>
      </w:r>
      <w:r w:rsidR="00230025">
        <w:rPr>
          <w:rFonts w:eastAsia="Times New Roman" w:cs="Times New Roman"/>
          <w:color w:val="000000"/>
        </w:rPr>
        <w:t xml:space="preserve"> </w:t>
      </w:r>
      <w:r w:rsidRPr="00BD412F">
        <w:rPr>
          <w:rFonts w:eastAsia="Times New Roman" w:cs="Times New Roman"/>
          <w:color w:val="000000"/>
        </w:rPr>
        <w:t>In the eastern parts of the municipality</w:t>
      </w:r>
      <w:r>
        <w:rPr>
          <w:rFonts w:eastAsia="Times New Roman" w:cs="Times New Roman"/>
          <w:color w:val="000000"/>
        </w:rPr>
        <w:t xml:space="preserve"> namely; </w:t>
      </w:r>
      <w:proofErr w:type="spellStart"/>
      <w:r w:rsidRPr="00BD412F">
        <w:rPr>
          <w:rFonts w:eastAsia="Times New Roman" w:cs="Times New Roman"/>
          <w:color w:val="000000"/>
        </w:rPr>
        <w:t>Tabiasi</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Nyagli</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Kpangkole</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Charingu</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Kadoli</w:t>
      </w:r>
      <w:proofErr w:type="spellEnd"/>
      <w:r w:rsidRPr="00BD412F">
        <w:rPr>
          <w:rFonts w:eastAsia="Times New Roman" w:cs="Times New Roman"/>
          <w:color w:val="000000"/>
        </w:rPr>
        <w:t xml:space="preserve">, and </w:t>
      </w:r>
      <w:proofErr w:type="spellStart"/>
      <w:r w:rsidRPr="00BD412F">
        <w:rPr>
          <w:rFonts w:eastAsia="Times New Roman" w:cs="Times New Roman"/>
          <w:color w:val="000000"/>
        </w:rPr>
        <w:t>Jonga</w:t>
      </w:r>
      <w:proofErr w:type="spellEnd"/>
      <w:r>
        <w:rPr>
          <w:rFonts w:eastAsia="Times New Roman" w:cs="Times New Roman"/>
          <w:color w:val="000000"/>
        </w:rPr>
        <w:t xml:space="preserve">, </w:t>
      </w:r>
      <w:r w:rsidRPr="00BD412F">
        <w:rPr>
          <w:rFonts w:eastAsia="Times New Roman" w:cs="Times New Roman"/>
          <w:color w:val="000000"/>
        </w:rPr>
        <w:t>tube wells showed low yields ranging from 9–34 liters per minute (L/min), with an average depth of 70 meters. These areas correspond with the low to moderate GWP zones on the potential map. The low groundwater productivity in these areas can be attributed to higher elevations and sparser rainfall, as supported by Figures 7 and 11.</w:t>
      </w:r>
      <w:r w:rsidR="00230025">
        <w:rPr>
          <w:rFonts w:eastAsia="Times New Roman" w:cs="Times New Roman"/>
          <w:color w:val="000000"/>
        </w:rPr>
        <w:t xml:space="preserve"> </w:t>
      </w:r>
      <w:r w:rsidRPr="00BD412F">
        <w:rPr>
          <w:rFonts w:eastAsia="Times New Roman" w:cs="Times New Roman"/>
          <w:color w:val="000000"/>
        </w:rPr>
        <w:t xml:space="preserve">In contrast, the central </w:t>
      </w:r>
      <w:r>
        <w:rPr>
          <w:rFonts w:eastAsia="Times New Roman" w:cs="Times New Roman"/>
          <w:color w:val="000000"/>
        </w:rPr>
        <w:t xml:space="preserve">parts of the municipality </w:t>
      </w:r>
      <w:r w:rsidRPr="00BD412F">
        <w:rPr>
          <w:rFonts w:eastAsia="Times New Roman" w:cs="Times New Roman"/>
          <w:color w:val="000000"/>
        </w:rPr>
        <w:t xml:space="preserve">including </w:t>
      </w:r>
      <w:proofErr w:type="spellStart"/>
      <w:r w:rsidRPr="00BD412F">
        <w:rPr>
          <w:rFonts w:eastAsia="Times New Roman" w:cs="Times New Roman"/>
          <w:color w:val="000000"/>
        </w:rPr>
        <w:t>Kpongu</w:t>
      </w:r>
      <w:proofErr w:type="spellEnd"/>
      <w:r w:rsidRPr="00BD412F">
        <w:rPr>
          <w:rFonts w:eastAsia="Times New Roman" w:cs="Times New Roman"/>
          <w:color w:val="000000"/>
        </w:rPr>
        <w:t xml:space="preserve">, </w:t>
      </w:r>
      <w:proofErr w:type="spellStart"/>
      <w:r w:rsidRPr="00BD412F">
        <w:rPr>
          <w:rFonts w:eastAsia="Times New Roman" w:cs="Times New Roman"/>
          <w:color w:val="000000"/>
        </w:rPr>
        <w:t>Wa</w:t>
      </w:r>
      <w:proofErr w:type="spellEnd"/>
      <w:r w:rsidRPr="00BD412F">
        <w:rPr>
          <w:rFonts w:eastAsia="Times New Roman" w:cs="Times New Roman"/>
          <w:color w:val="000000"/>
        </w:rPr>
        <w:t xml:space="preserve"> Technical, </w:t>
      </w:r>
      <w:proofErr w:type="spellStart"/>
      <w:r w:rsidRPr="00BD412F">
        <w:rPr>
          <w:rFonts w:eastAsia="Times New Roman" w:cs="Times New Roman"/>
          <w:color w:val="000000"/>
        </w:rPr>
        <w:t>Dondoli</w:t>
      </w:r>
      <w:proofErr w:type="spellEnd"/>
      <w:r w:rsidRPr="00BD412F">
        <w:rPr>
          <w:rFonts w:eastAsia="Times New Roman" w:cs="Times New Roman"/>
          <w:color w:val="000000"/>
        </w:rPr>
        <w:t xml:space="preserve">, Kambali, Sombo, and </w:t>
      </w:r>
      <w:proofErr w:type="spellStart"/>
      <w:r w:rsidRPr="00BD412F">
        <w:rPr>
          <w:rFonts w:eastAsia="Times New Roman" w:cs="Times New Roman"/>
          <w:color w:val="000000"/>
        </w:rPr>
        <w:t>Bamahu</w:t>
      </w:r>
      <w:proofErr w:type="spellEnd"/>
      <w:r>
        <w:rPr>
          <w:rFonts w:eastAsia="Times New Roman" w:cs="Times New Roman"/>
          <w:color w:val="000000"/>
        </w:rPr>
        <w:t xml:space="preserve"> </w:t>
      </w:r>
      <w:r w:rsidRPr="00BD412F">
        <w:rPr>
          <w:rFonts w:eastAsia="Times New Roman" w:cs="Times New Roman"/>
          <w:color w:val="000000"/>
        </w:rPr>
        <w:t>exhibited high tube well yields between 106–130 L/min. These areas align with the very high GWP zones on the map, validating the model’s predictions.</w:t>
      </w:r>
    </w:p>
    <w:p w14:paraId="02A33A5F" w14:textId="7E9B7AA7" w:rsidR="00BD412F" w:rsidRPr="00576A71" w:rsidRDefault="00265F1C" w:rsidP="00265F1C">
      <w:pPr>
        <w:spacing w:after="0" w:line="240" w:lineRule="auto"/>
        <w:ind w:left="0"/>
        <w:rPr>
          <w:b/>
          <w:bCs/>
          <w:sz w:val="22"/>
          <w:szCs w:val="22"/>
          <w:highlight w:val="green"/>
        </w:rPr>
      </w:pPr>
      <w:r w:rsidRPr="00576A71">
        <w:rPr>
          <w:b/>
          <w:bCs/>
          <w:sz w:val="22"/>
          <w:szCs w:val="22"/>
          <w:highlight w:val="green"/>
        </w:rPr>
        <w:t xml:space="preserve">Groundwater Yield in </w:t>
      </w:r>
      <w:proofErr w:type="spellStart"/>
      <w:r w:rsidRPr="00576A71">
        <w:rPr>
          <w:b/>
          <w:bCs/>
          <w:sz w:val="22"/>
          <w:szCs w:val="22"/>
          <w:highlight w:val="green"/>
        </w:rPr>
        <w:t>Wa</w:t>
      </w:r>
      <w:proofErr w:type="spellEnd"/>
      <w:r w:rsidRPr="00576A71">
        <w:rPr>
          <w:b/>
          <w:bCs/>
          <w:sz w:val="22"/>
          <w:szCs w:val="22"/>
          <w:highlight w:val="green"/>
        </w:rPr>
        <w:t xml:space="preserve"> Municipality </w:t>
      </w:r>
    </w:p>
    <w:p w14:paraId="4132FB22" w14:textId="64986D33" w:rsidR="00265F1C" w:rsidRPr="00265F1C" w:rsidRDefault="00265F1C" w:rsidP="00265F1C">
      <w:pPr>
        <w:spacing w:after="0" w:line="240" w:lineRule="auto"/>
        <w:ind w:left="0"/>
        <w:jc w:val="both"/>
        <w:rPr>
          <w:rFonts w:eastAsia="Times New Roman" w:cs="Times New Roman"/>
        </w:rPr>
      </w:pPr>
      <w:r w:rsidRPr="00265F1C">
        <w:rPr>
          <w:rFonts w:eastAsia="Times New Roman" w:cs="Times New Roman"/>
          <w:highlight w:val="green"/>
        </w:rPr>
        <w:t xml:space="preserve">The spatial distribution of tube-well yields in the </w:t>
      </w:r>
      <w:proofErr w:type="spellStart"/>
      <w:r w:rsidRPr="00265F1C">
        <w:rPr>
          <w:rFonts w:eastAsia="Times New Roman" w:cs="Times New Roman"/>
          <w:highlight w:val="green"/>
        </w:rPr>
        <w:t>Wa</w:t>
      </w:r>
      <w:proofErr w:type="spellEnd"/>
      <w:r w:rsidRPr="00265F1C">
        <w:rPr>
          <w:rFonts w:eastAsia="Times New Roman" w:cs="Times New Roman"/>
          <w:highlight w:val="green"/>
        </w:rPr>
        <w:t xml:space="preserve"> Municipality is presented in Figure 13. Tube wells in the eastern part of the Municipality, including </w:t>
      </w:r>
      <w:proofErr w:type="spellStart"/>
      <w:r w:rsidRPr="00265F1C">
        <w:rPr>
          <w:rFonts w:eastAsia="Times New Roman" w:cs="Times New Roman"/>
          <w:highlight w:val="green"/>
        </w:rPr>
        <w:t>Tabiasi</w:t>
      </w:r>
      <w:proofErr w:type="spellEnd"/>
      <w:r w:rsidRPr="00265F1C">
        <w:rPr>
          <w:rFonts w:eastAsia="Times New Roman" w:cs="Times New Roman"/>
          <w:highlight w:val="green"/>
        </w:rPr>
        <w:t xml:space="preserve">, </w:t>
      </w:r>
      <w:proofErr w:type="spellStart"/>
      <w:r w:rsidRPr="00265F1C">
        <w:rPr>
          <w:rFonts w:eastAsia="Times New Roman" w:cs="Times New Roman"/>
          <w:highlight w:val="green"/>
        </w:rPr>
        <w:t>Nyagli</w:t>
      </w:r>
      <w:proofErr w:type="spellEnd"/>
      <w:r w:rsidRPr="00265F1C">
        <w:rPr>
          <w:rFonts w:eastAsia="Times New Roman" w:cs="Times New Roman"/>
          <w:highlight w:val="green"/>
        </w:rPr>
        <w:t xml:space="preserve">, </w:t>
      </w:r>
      <w:proofErr w:type="spellStart"/>
      <w:r w:rsidRPr="00265F1C">
        <w:rPr>
          <w:rFonts w:eastAsia="Times New Roman" w:cs="Times New Roman"/>
          <w:highlight w:val="green"/>
        </w:rPr>
        <w:t>Kpangkole</w:t>
      </w:r>
      <w:proofErr w:type="spellEnd"/>
      <w:r w:rsidRPr="00265F1C">
        <w:rPr>
          <w:rFonts w:eastAsia="Times New Roman" w:cs="Times New Roman"/>
          <w:highlight w:val="green"/>
        </w:rPr>
        <w:t xml:space="preserve">, </w:t>
      </w:r>
      <w:proofErr w:type="spellStart"/>
      <w:r w:rsidRPr="00265F1C">
        <w:rPr>
          <w:rFonts w:eastAsia="Times New Roman" w:cs="Times New Roman"/>
          <w:highlight w:val="green"/>
        </w:rPr>
        <w:t>Charingu</w:t>
      </w:r>
      <w:proofErr w:type="spellEnd"/>
      <w:r w:rsidRPr="00265F1C">
        <w:rPr>
          <w:rFonts w:eastAsia="Times New Roman" w:cs="Times New Roman"/>
          <w:highlight w:val="green"/>
        </w:rPr>
        <w:t xml:space="preserve">, </w:t>
      </w:r>
      <w:proofErr w:type="spellStart"/>
      <w:r w:rsidRPr="00265F1C">
        <w:rPr>
          <w:rFonts w:eastAsia="Times New Roman" w:cs="Times New Roman"/>
          <w:highlight w:val="green"/>
        </w:rPr>
        <w:t>Kadoli</w:t>
      </w:r>
      <w:proofErr w:type="spellEnd"/>
      <w:r w:rsidRPr="00265F1C">
        <w:rPr>
          <w:rFonts w:eastAsia="Times New Roman" w:cs="Times New Roman"/>
          <w:highlight w:val="green"/>
        </w:rPr>
        <w:t xml:space="preserve">, and </w:t>
      </w:r>
      <w:proofErr w:type="spellStart"/>
      <w:r w:rsidRPr="00265F1C">
        <w:rPr>
          <w:rFonts w:eastAsia="Times New Roman" w:cs="Times New Roman"/>
          <w:highlight w:val="green"/>
        </w:rPr>
        <w:t>Jonga</w:t>
      </w:r>
      <w:proofErr w:type="spellEnd"/>
      <w:r w:rsidRPr="00265F1C">
        <w:rPr>
          <w:rFonts w:eastAsia="Times New Roman" w:cs="Times New Roman"/>
          <w:highlight w:val="green"/>
        </w:rPr>
        <w:t>, record low yields ranging from 9 to 34 L/min, with an average drilling depth of approximately 70 m. These low yields are consistent with the groundwater potential (GWP) map, which classifies these areas as having low to moderate groundwater potential, likely influenced by higher elevations and relatively low rainfall distribution.</w:t>
      </w:r>
      <w:r w:rsidRPr="00576A71">
        <w:rPr>
          <w:rFonts w:eastAsia="Times New Roman" w:cs="Times New Roman"/>
          <w:highlight w:val="green"/>
        </w:rPr>
        <w:t xml:space="preserve"> </w:t>
      </w:r>
      <w:proofErr w:type="gramStart"/>
      <w:r w:rsidRPr="00265F1C">
        <w:rPr>
          <w:rFonts w:eastAsia="Times New Roman" w:cs="Times New Roman"/>
          <w:highlight w:val="green"/>
        </w:rPr>
        <w:t>Conversely</w:t>
      </w:r>
      <w:proofErr w:type="gramEnd"/>
      <w:r w:rsidRPr="00265F1C">
        <w:rPr>
          <w:rFonts w:eastAsia="Times New Roman" w:cs="Times New Roman"/>
          <w:highlight w:val="green"/>
        </w:rPr>
        <w:t xml:space="preserve">, very high yields (106–130 L/min) are observed in </w:t>
      </w:r>
      <w:proofErr w:type="spellStart"/>
      <w:r w:rsidRPr="00265F1C">
        <w:rPr>
          <w:rFonts w:eastAsia="Times New Roman" w:cs="Times New Roman"/>
          <w:highlight w:val="green"/>
        </w:rPr>
        <w:t>Wa</w:t>
      </w:r>
      <w:proofErr w:type="spellEnd"/>
      <w:r w:rsidRPr="00265F1C">
        <w:rPr>
          <w:rFonts w:eastAsia="Times New Roman" w:cs="Times New Roman"/>
          <w:highlight w:val="green"/>
        </w:rPr>
        <w:t xml:space="preserve"> Central and the western parts of the Municipality, notably in </w:t>
      </w:r>
      <w:proofErr w:type="spellStart"/>
      <w:r w:rsidRPr="00265F1C">
        <w:rPr>
          <w:rFonts w:eastAsia="Times New Roman" w:cs="Times New Roman"/>
          <w:highlight w:val="green"/>
        </w:rPr>
        <w:t>Kpongu</w:t>
      </w:r>
      <w:proofErr w:type="spellEnd"/>
      <w:r w:rsidRPr="00265F1C">
        <w:rPr>
          <w:rFonts w:eastAsia="Times New Roman" w:cs="Times New Roman"/>
          <w:highlight w:val="green"/>
        </w:rPr>
        <w:t xml:space="preserve">, </w:t>
      </w:r>
      <w:proofErr w:type="spellStart"/>
      <w:r w:rsidRPr="00265F1C">
        <w:rPr>
          <w:rFonts w:eastAsia="Times New Roman" w:cs="Times New Roman"/>
          <w:highlight w:val="green"/>
        </w:rPr>
        <w:t>Wa</w:t>
      </w:r>
      <w:proofErr w:type="spellEnd"/>
      <w:r w:rsidRPr="00265F1C">
        <w:rPr>
          <w:rFonts w:eastAsia="Times New Roman" w:cs="Times New Roman"/>
          <w:highlight w:val="green"/>
        </w:rPr>
        <w:t xml:space="preserve"> Technical, </w:t>
      </w:r>
      <w:proofErr w:type="spellStart"/>
      <w:r w:rsidRPr="00265F1C">
        <w:rPr>
          <w:rFonts w:eastAsia="Times New Roman" w:cs="Times New Roman"/>
          <w:highlight w:val="green"/>
        </w:rPr>
        <w:t>Dondoli</w:t>
      </w:r>
      <w:proofErr w:type="spellEnd"/>
      <w:r w:rsidRPr="00265F1C">
        <w:rPr>
          <w:rFonts w:eastAsia="Times New Roman" w:cs="Times New Roman"/>
          <w:highlight w:val="green"/>
        </w:rPr>
        <w:t>, Kambali, Sombo, and Bamahu. These high-yielding zones closely correspond with areas delineated as very high groundwater potential on the GWP map.</w:t>
      </w:r>
      <w:r w:rsidRPr="00576A71">
        <w:rPr>
          <w:rFonts w:eastAsia="Times New Roman" w:cs="Times New Roman"/>
          <w:highlight w:val="green"/>
        </w:rPr>
        <w:t xml:space="preserve"> </w:t>
      </w:r>
      <w:proofErr w:type="gramStart"/>
      <w:r w:rsidRPr="00265F1C">
        <w:rPr>
          <w:rFonts w:eastAsia="Times New Roman" w:cs="Times New Roman"/>
          <w:highlight w:val="green"/>
        </w:rPr>
        <w:t>Cross</w:t>
      </w:r>
      <w:proofErr w:type="gramEnd"/>
      <w:r w:rsidRPr="00265F1C">
        <w:rPr>
          <w:rFonts w:eastAsia="Times New Roman" w:cs="Times New Roman"/>
          <w:highlight w:val="green"/>
        </w:rPr>
        <w:t>-validation of observed well yields with the groundwater potential classes indicates a strong level of agreement. Of the eight wells in the very high yield category (80–130 L/min), seven occur within zones mapped as very high potential. The single well classified as high yield (60–70 L/min) also corresponds with a high-potential zone. In the moderate yield category, three out of five wells align with moderate groundwater potential areas, while nineteen out of twenty-six low-yield wells occur within zones of low groundwater potential. Overall, approximately 87% of the sampled tube-well yield data is consistent with the delineated groundwater potential map, confirming the reliability of the groundwater prospect assessment (</w:t>
      </w:r>
      <w:proofErr w:type="spellStart"/>
      <w:r w:rsidRPr="00265F1C">
        <w:rPr>
          <w:rFonts w:eastAsia="Times New Roman" w:cs="Times New Roman"/>
          <w:highlight w:val="green"/>
        </w:rPr>
        <w:t>Ifediegwu</w:t>
      </w:r>
      <w:proofErr w:type="spellEnd"/>
      <w:r w:rsidRPr="00265F1C">
        <w:rPr>
          <w:rFonts w:eastAsia="Times New Roman" w:cs="Times New Roman"/>
          <w:highlight w:val="green"/>
        </w:rPr>
        <w:t>, 2022).</w:t>
      </w:r>
    </w:p>
    <w:p w14:paraId="7252D7F1" w14:textId="77777777" w:rsidR="003E09C9" w:rsidRPr="00D00F16" w:rsidRDefault="003E09C9" w:rsidP="006E0E57">
      <w:pPr>
        <w:spacing w:after="0" w:line="276" w:lineRule="auto"/>
        <w:ind w:left="0"/>
        <w:rPr>
          <w:rFonts w:cs="Times New Roman"/>
        </w:rPr>
      </w:pPr>
    </w:p>
    <w:p w14:paraId="6F331B9A" w14:textId="77777777" w:rsidR="003E09C9" w:rsidRPr="00D00F16" w:rsidRDefault="003E09C9" w:rsidP="006E0E57">
      <w:pPr>
        <w:keepNext/>
        <w:spacing w:after="0" w:line="276" w:lineRule="auto"/>
        <w:ind w:left="0"/>
        <w:rPr>
          <w:rFonts w:cs="Times New Roman"/>
        </w:rPr>
      </w:pPr>
      <w:r w:rsidRPr="00D00F16">
        <w:rPr>
          <w:rFonts w:cs="Times New Roman"/>
          <w:noProof/>
        </w:rPr>
        <w:drawing>
          <wp:inline distT="0" distB="0" distL="0" distR="0" wp14:anchorId="40AEA406" wp14:editId="0A9FDD78">
            <wp:extent cx="5718311" cy="4418694"/>
            <wp:effectExtent l="0" t="0" r="0" b="1270"/>
            <wp:docPr id="989131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31679"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8311" cy="4418694"/>
                    </a:xfrm>
                    <a:prstGeom prst="rect">
                      <a:avLst/>
                    </a:prstGeom>
                  </pic:spPr>
                </pic:pic>
              </a:graphicData>
            </a:graphic>
          </wp:inline>
        </w:drawing>
      </w:r>
    </w:p>
    <w:p w14:paraId="16B6E83F" w14:textId="4E917287" w:rsidR="003E09C9" w:rsidRDefault="003E09C9" w:rsidP="006E0E57">
      <w:pPr>
        <w:pStyle w:val="Caption"/>
        <w:spacing w:after="0" w:line="276" w:lineRule="auto"/>
        <w:ind w:left="0"/>
        <w:rPr>
          <w:rFonts w:cs="Times New Roman"/>
          <w:i w:val="0"/>
          <w:color w:val="auto"/>
          <w:sz w:val="24"/>
          <w:szCs w:val="24"/>
        </w:rPr>
      </w:pPr>
      <w:bookmarkStart w:id="49" w:name="_Toc138777761"/>
      <w:r w:rsidRPr="00576A71">
        <w:rPr>
          <w:rFonts w:cs="Times New Roman"/>
          <w:b/>
          <w:bCs/>
          <w:i w:val="0"/>
          <w:color w:val="auto"/>
          <w:sz w:val="24"/>
          <w:szCs w:val="24"/>
          <w:highlight w:val="green"/>
        </w:rPr>
        <w:t>Fig</w:t>
      </w:r>
      <w:r w:rsidR="0010250B" w:rsidRPr="00576A71">
        <w:rPr>
          <w:rFonts w:cs="Times New Roman"/>
          <w:b/>
          <w:bCs/>
          <w:i w:val="0"/>
          <w:color w:val="auto"/>
          <w:sz w:val="24"/>
          <w:szCs w:val="24"/>
          <w:highlight w:val="green"/>
        </w:rPr>
        <w:t>ure</w:t>
      </w:r>
      <w:r w:rsidRPr="00576A71">
        <w:rPr>
          <w:rFonts w:cs="Times New Roman"/>
          <w:b/>
          <w:bCs/>
          <w:i w:val="0"/>
          <w:color w:val="auto"/>
          <w:sz w:val="24"/>
          <w:szCs w:val="24"/>
          <w:highlight w:val="green"/>
        </w:rPr>
        <w:t xml:space="preserve"> </w:t>
      </w:r>
      <w:r w:rsidR="00B51A12" w:rsidRPr="00576A71">
        <w:rPr>
          <w:rFonts w:cs="Times New Roman"/>
          <w:b/>
          <w:bCs/>
          <w:i w:val="0"/>
          <w:color w:val="auto"/>
          <w:sz w:val="24"/>
          <w:szCs w:val="24"/>
          <w:highlight w:val="green"/>
        </w:rPr>
        <w:t>13</w:t>
      </w:r>
      <w:r w:rsidR="0062189D" w:rsidRPr="00576A71">
        <w:rPr>
          <w:rFonts w:cs="Times New Roman"/>
          <w:b/>
          <w:bCs/>
          <w:i w:val="0"/>
          <w:color w:val="auto"/>
          <w:sz w:val="24"/>
          <w:szCs w:val="24"/>
          <w:highlight w:val="green"/>
        </w:rPr>
        <w:t>:</w:t>
      </w:r>
      <w:r w:rsidRPr="00576A71">
        <w:rPr>
          <w:rFonts w:cs="Times New Roman"/>
          <w:i w:val="0"/>
          <w:color w:val="auto"/>
          <w:sz w:val="24"/>
          <w:szCs w:val="24"/>
          <w:highlight w:val="green"/>
        </w:rPr>
        <w:t xml:space="preserve"> Groundwater </w:t>
      </w:r>
      <w:r w:rsidR="0010250B" w:rsidRPr="00576A71">
        <w:rPr>
          <w:rFonts w:cs="Times New Roman"/>
          <w:i w:val="0"/>
          <w:color w:val="auto"/>
          <w:sz w:val="24"/>
          <w:szCs w:val="24"/>
          <w:highlight w:val="green"/>
        </w:rPr>
        <w:t>Y</w:t>
      </w:r>
      <w:r w:rsidRPr="00576A71">
        <w:rPr>
          <w:rFonts w:cs="Times New Roman"/>
          <w:i w:val="0"/>
          <w:color w:val="auto"/>
          <w:sz w:val="24"/>
          <w:szCs w:val="24"/>
          <w:highlight w:val="green"/>
        </w:rPr>
        <w:t>ield</w:t>
      </w:r>
      <w:bookmarkEnd w:id="49"/>
      <w:r w:rsidR="006E24CA" w:rsidRPr="00576A71">
        <w:rPr>
          <w:rFonts w:cs="Times New Roman"/>
          <w:i w:val="0"/>
          <w:color w:val="auto"/>
          <w:sz w:val="24"/>
          <w:szCs w:val="24"/>
          <w:highlight w:val="green"/>
        </w:rPr>
        <w:t xml:space="preserve"> </w:t>
      </w:r>
      <w:r w:rsidR="00476F4E" w:rsidRPr="00576A71">
        <w:rPr>
          <w:rFonts w:cs="Times New Roman"/>
          <w:i w:val="0"/>
          <w:color w:val="auto"/>
          <w:sz w:val="24"/>
          <w:szCs w:val="24"/>
          <w:highlight w:val="green"/>
        </w:rPr>
        <w:t xml:space="preserve">in </w:t>
      </w:r>
      <w:proofErr w:type="spellStart"/>
      <w:r w:rsidR="00476F4E" w:rsidRPr="00576A71">
        <w:rPr>
          <w:rFonts w:cs="Times New Roman"/>
          <w:i w:val="0"/>
          <w:color w:val="auto"/>
          <w:sz w:val="24"/>
          <w:szCs w:val="24"/>
          <w:highlight w:val="green"/>
        </w:rPr>
        <w:t>Wa</w:t>
      </w:r>
      <w:proofErr w:type="spellEnd"/>
      <w:r w:rsidR="00476F4E" w:rsidRPr="00576A71">
        <w:rPr>
          <w:rFonts w:cs="Times New Roman"/>
          <w:i w:val="0"/>
          <w:color w:val="auto"/>
          <w:sz w:val="24"/>
          <w:szCs w:val="24"/>
          <w:highlight w:val="green"/>
        </w:rPr>
        <w:t xml:space="preserve"> Municipality</w:t>
      </w:r>
    </w:p>
    <w:p w14:paraId="059426BC" w14:textId="77777777" w:rsidR="00265F1C" w:rsidRDefault="00265F1C" w:rsidP="00265F1C">
      <w:pPr>
        <w:ind w:left="0"/>
      </w:pPr>
    </w:p>
    <w:p w14:paraId="3FA8262A" w14:textId="77777777" w:rsidR="00265F1C" w:rsidRPr="00BD412F" w:rsidRDefault="00265F1C" w:rsidP="00265F1C">
      <w:pPr>
        <w:spacing w:after="0" w:line="240" w:lineRule="auto"/>
        <w:ind w:left="0"/>
        <w:outlineLvl w:val="3"/>
        <w:rPr>
          <w:rFonts w:eastAsia="Times New Roman" w:cs="Times New Roman"/>
          <w:b/>
          <w:bCs/>
          <w:color w:val="000000"/>
        </w:rPr>
      </w:pPr>
      <w:bookmarkStart w:id="50" w:name="_Hlk206237360"/>
      <w:r w:rsidRPr="00BD412F">
        <w:rPr>
          <w:rFonts w:eastAsia="Times New Roman" w:cs="Times New Roman"/>
          <w:b/>
          <w:bCs/>
          <w:color w:val="000000"/>
        </w:rPr>
        <w:t>Cross-tabulation of Well Yields and GWP Zones</w:t>
      </w:r>
    </w:p>
    <w:bookmarkEnd w:id="50"/>
    <w:p w14:paraId="30CCF366" w14:textId="5DAE0D9E" w:rsidR="00265F1C" w:rsidRDefault="00F94DFE" w:rsidP="00F94DFE">
      <w:pPr>
        <w:spacing w:before="100" w:beforeAutospacing="1" w:after="100" w:afterAutospacing="1" w:line="240" w:lineRule="auto"/>
        <w:ind w:left="0"/>
        <w:jc w:val="both"/>
        <w:rPr>
          <w:rFonts w:eastAsia="Times New Roman" w:cs="Times New Roman"/>
          <w:color w:val="000000"/>
        </w:rPr>
      </w:pPr>
      <w:r w:rsidRPr="00F94DFE">
        <w:rPr>
          <w:rFonts w:eastAsia="Times New Roman" w:cs="Times New Roman"/>
          <w:color w:val="000000"/>
          <w:highlight w:val="green"/>
        </w:rPr>
        <w:t>Groundwater potential (GWP) zones were validated using observed tube-well yield data through a GIS-based spatial overlay analysis. Well locations were digitized as point features and overlaid on the classified GWP map. Each well was assigned a groundwater potential class based on its spatial position. Observed well yields were independently classified into yield categories, and a cross-tabulation was performed between yield classes and GWP classes. Wells were considered matching where the yield class corresponded to the groundwater potential class at the well location. The proportion of matching wells relative to the total number of sampled wells was calculated to assess the accuracy of the groundwater potential map.</w:t>
      </w:r>
      <w:r>
        <w:rPr>
          <w:rFonts w:eastAsia="Times New Roman" w:cs="Times New Roman"/>
          <w:color w:val="000000"/>
        </w:rPr>
        <w:t xml:space="preserve"> </w:t>
      </w:r>
      <w:proofErr w:type="gramStart"/>
      <w:r w:rsidR="00265F1C" w:rsidRPr="00BD412F">
        <w:rPr>
          <w:rFonts w:eastAsia="Times New Roman" w:cs="Times New Roman"/>
          <w:color w:val="000000"/>
        </w:rPr>
        <w:t>A</w:t>
      </w:r>
      <w:proofErr w:type="gramEnd"/>
      <w:r w:rsidR="00265F1C" w:rsidRPr="00BD412F">
        <w:rPr>
          <w:rFonts w:eastAsia="Times New Roman" w:cs="Times New Roman"/>
          <w:color w:val="000000"/>
        </w:rPr>
        <w:t xml:space="preserve"> statistical comparison of well yield categories with GWP classes further confirms the map’s accuracy</w:t>
      </w:r>
      <w:r w:rsidR="00265F1C">
        <w:rPr>
          <w:rFonts w:eastAsia="Times New Roman" w:cs="Times New Roman"/>
          <w:color w:val="000000"/>
        </w:rPr>
        <w:t xml:space="preserve"> as presented in Table 8.</w:t>
      </w:r>
    </w:p>
    <w:p w14:paraId="41A2573D" w14:textId="77777777" w:rsidR="00265F1C" w:rsidRDefault="00265F1C" w:rsidP="00265F1C">
      <w:pPr>
        <w:spacing w:before="100" w:beforeAutospacing="1" w:after="0" w:line="240" w:lineRule="auto"/>
        <w:ind w:left="0"/>
        <w:rPr>
          <w:rFonts w:eastAsia="Times New Roman" w:cs="Times New Roman"/>
          <w:color w:val="000000"/>
        </w:rPr>
      </w:pPr>
      <w:r w:rsidRPr="00BD412F">
        <w:rPr>
          <w:rFonts w:eastAsia="Times New Roman" w:cs="Times New Roman"/>
          <w:b/>
          <w:bCs/>
          <w:color w:val="000000"/>
        </w:rPr>
        <w:t xml:space="preserve">Table </w:t>
      </w:r>
      <w:r>
        <w:rPr>
          <w:rFonts w:eastAsia="Times New Roman" w:cs="Times New Roman"/>
          <w:b/>
          <w:bCs/>
          <w:color w:val="000000"/>
        </w:rPr>
        <w:t>8.</w:t>
      </w:r>
      <w:r>
        <w:rPr>
          <w:rFonts w:eastAsia="Times New Roman" w:cs="Times New Roman"/>
          <w:color w:val="000000"/>
        </w:rPr>
        <w:t xml:space="preserve"> </w:t>
      </w:r>
      <w:r w:rsidRPr="00BD412F">
        <w:rPr>
          <w:rFonts w:eastAsia="Times New Roman" w:cs="Times New Roman"/>
          <w:color w:val="000000"/>
        </w:rPr>
        <w:t>Cross-tabulation of Well Yields and GWP Zones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65F1C" w14:paraId="19ADF62E" w14:textId="77777777" w:rsidTr="00A62BB6">
        <w:tc>
          <w:tcPr>
            <w:tcW w:w="2337" w:type="dxa"/>
            <w:tcBorders>
              <w:top w:val="single" w:sz="4" w:space="0" w:color="auto"/>
              <w:bottom w:val="single" w:sz="4" w:space="0" w:color="auto"/>
            </w:tcBorders>
            <w:vAlign w:val="center"/>
          </w:tcPr>
          <w:p w14:paraId="0BF98812" w14:textId="77777777" w:rsidR="00265F1C" w:rsidRPr="00BD412F" w:rsidRDefault="00265F1C" w:rsidP="00A62BB6">
            <w:pPr>
              <w:spacing w:before="100" w:beforeAutospacing="1" w:after="100" w:afterAutospacing="1" w:line="240" w:lineRule="auto"/>
              <w:ind w:left="0"/>
              <w:rPr>
                <w:rFonts w:eastAsia="Times New Roman"/>
                <w:b/>
                <w:bCs/>
                <w:color w:val="000000"/>
              </w:rPr>
            </w:pPr>
            <w:r w:rsidRPr="00BD412F">
              <w:rPr>
                <w:rFonts w:eastAsia="Times New Roman"/>
                <w:b/>
                <w:bCs/>
                <w:color w:val="000000"/>
              </w:rPr>
              <w:t>Well Yield Class (L/min)</w:t>
            </w:r>
          </w:p>
        </w:tc>
        <w:tc>
          <w:tcPr>
            <w:tcW w:w="2337" w:type="dxa"/>
            <w:tcBorders>
              <w:top w:val="single" w:sz="4" w:space="0" w:color="auto"/>
              <w:bottom w:val="single" w:sz="4" w:space="0" w:color="auto"/>
            </w:tcBorders>
            <w:vAlign w:val="center"/>
          </w:tcPr>
          <w:p w14:paraId="7EE5C3E5" w14:textId="77777777" w:rsidR="00265F1C" w:rsidRPr="00BD412F" w:rsidRDefault="00265F1C" w:rsidP="00A62BB6">
            <w:pPr>
              <w:spacing w:before="100" w:beforeAutospacing="1" w:after="100" w:afterAutospacing="1" w:line="240" w:lineRule="auto"/>
              <w:ind w:left="0"/>
              <w:rPr>
                <w:rFonts w:eastAsia="Times New Roman"/>
                <w:b/>
                <w:bCs/>
                <w:color w:val="000000"/>
              </w:rPr>
            </w:pPr>
            <w:r w:rsidRPr="00BD412F">
              <w:rPr>
                <w:rFonts w:eastAsia="Times New Roman"/>
                <w:b/>
                <w:bCs/>
                <w:color w:val="000000"/>
              </w:rPr>
              <w:t>No. of Wells</w:t>
            </w:r>
          </w:p>
        </w:tc>
        <w:tc>
          <w:tcPr>
            <w:tcW w:w="2338" w:type="dxa"/>
            <w:tcBorders>
              <w:top w:val="single" w:sz="4" w:space="0" w:color="auto"/>
              <w:bottom w:val="single" w:sz="4" w:space="0" w:color="auto"/>
            </w:tcBorders>
            <w:vAlign w:val="center"/>
          </w:tcPr>
          <w:p w14:paraId="4F993295" w14:textId="77777777" w:rsidR="00265F1C" w:rsidRPr="00BD412F" w:rsidRDefault="00265F1C" w:rsidP="00A62BB6">
            <w:pPr>
              <w:spacing w:before="100" w:beforeAutospacing="1" w:after="100" w:afterAutospacing="1" w:line="240" w:lineRule="auto"/>
              <w:ind w:left="0"/>
              <w:rPr>
                <w:rFonts w:eastAsia="Times New Roman"/>
                <w:b/>
                <w:bCs/>
                <w:color w:val="000000"/>
              </w:rPr>
            </w:pPr>
            <w:r w:rsidRPr="00BD412F">
              <w:rPr>
                <w:rFonts w:eastAsia="Times New Roman"/>
                <w:b/>
                <w:bCs/>
                <w:color w:val="000000"/>
              </w:rPr>
              <w:t>Wells Matching GWP Zones</w:t>
            </w:r>
          </w:p>
        </w:tc>
        <w:tc>
          <w:tcPr>
            <w:tcW w:w="2338" w:type="dxa"/>
            <w:tcBorders>
              <w:top w:val="single" w:sz="4" w:space="0" w:color="auto"/>
              <w:bottom w:val="single" w:sz="4" w:space="0" w:color="auto"/>
            </w:tcBorders>
            <w:vAlign w:val="center"/>
          </w:tcPr>
          <w:p w14:paraId="43366ADA" w14:textId="77777777" w:rsidR="00265F1C" w:rsidRPr="00BD412F" w:rsidRDefault="00265F1C" w:rsidP="00A62BB6">
            <w:pPr>
              <w:spacing w:before="100" w:beforeAutospacing="1" w:after="100" w:afterAutospacing="1" w:line="240" w:lineRule="auto"/>
              <w:ind w:left="0"/>
              <w:rPr>
                <w:rFonts w:eastAsia="Times New Roman"/>
                <w:b/>
                <w:bCs/>
                <w:color w:val="000000"/>
              </w:rPr>
            </w:pPr>
            <w:r w:rsidRPr="00BD412F">
              <w:rPr>
                <w:rFonts w:eastAsia="Times New Roman"/>
                <w:b/>
                <w:bCs/>
                <w:color w:val="000000"/>
              </w:rPr>
              <w:t>Agreement (%)</w:t>
            </w:r>
          </w:p>
        </w:tc>
      </w:tr>
      <w:tr w:rsidR="00265F1C" w14:paraId="5FE32642" w14:textId="77777777" w:rsidTr="00A62BB6">
        <w:tc>
          <w:tcPr>
            <w:tcW w:w="2337" w:type="dxa"/>
            <w:tcBorders>
              <w:top w:val="single" w:sz="4" w:space="0" w:color="auto"/>
            </w:tcBorders>
            <w:vAlign w:val="center"/>
          </w:tcPr>
          <w:p w14:paraId="41C9F30A"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Very High (80–130)</w:t>
            </w:r>
          </w:p>
        </w:tc>
        <w:tc>
          <w:tcPr>
            <w:tcW w:w="2337" w:type="dxa"/>
            <w:tcBorders>
              <w:top w:val="single" w:sz="4" w:space="0" w:color="auto"/>
            </w:tcBorders>
            <w:vAlign w:val="center"/>
          </w:tcPr>
          <w:p w14:paraId="7B7DA68A"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8</w:t>
            </w:r>
          </w:p>
        </w:tc>
        <w:tc>
          <w:tcPr>
            <w:tcW w:w="2338" w:type="dxa"/>
            <w:tcBorders>
              <w:top w:val="single" w:sz="4" w:space="0" w:color="auto"/>
            </w:tcBorders>
            <w:vAlign w:val="center"/>
          </w:tcPr>
          <w:p w14:paraId="1E6AE928"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7</w:t>
            </w:r>
          </w:p>
        </w:tc>
        <w:tc>
          <w:tcPr>
            <w:tcW w:w="2338" w:type="dxa"/>
            <w:tcBorders>
              <w:top w:val="single" w:sz="4" w:space="0" w:color="auto"/>
            </w:tcBorders>
            <w:vAlign w:val="center"/>
          </w:tcPr>
          <w:p w14:paraId="067F621A"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87.5%</w:t>
            </w:r>
          </w:p>
        </w:tc>
      </w:tr>
      <w:tr w:rsidR="00265F1C" w14:paraId="38FD3E4D" w14:textId="77777777" w:rsidTr="00A62BB6">
        <w:tc>
          <w:tcPr>
            <w:tcW w:w="2337" w:type="dxa"/>
            <w:vAlign w:val="center"/>
          </w:tcPr>
          <w:p w14:paraId="283F8F44"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High (60–70)</w:t>
            </w:r>
          </w:p>
        </w:tc>
        <w:tc>
          <w:tcPr>
            <w:tcW w:w="2337" w:type="dxa"/>
            <w:vAlign w:val="center"/>
          </w:tcPr>
          <w:p w14:paraId="2967DCA6"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1</w:t>
            </w:r>
          </w:p>
        </w:tc>
        <w:tc>
          <w:tcPr>
            <w:tcW w:w="2338" w:type="dxa"/>
            <w:vAlign w:val="center"/>
          </w:tcPr>
          <w:p w14:paraId="1088A7F2"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1</w:t>
            </w:r>
          </w:p>
        </w:tc>
        <w:tc>
          <w:tcPr>
            <w:tcW w:w="2338" w:type="dxa"/>
            <w:vAlign w:val="center"/>
          </w:tcPr>
          <w:p w14:paraId="659FA802"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100%</w:t>
            </w:r>
          </w:p>
        </w:tc>
      </w:tr>
      <w:tr w:rsidR="00265F1C" w14:paraId="69636F98" w14:textId="77777777" w:rsidTr="00A62BB6">
        <w:tc>
          <w:tcPr>
            <w:tcW w:w="2337" w:type="dxa"/>
            <w:vAlign w:val="center"/>
          </w:tcPr>
          <w:p w14:paraId="664BE730"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Moderate (35–59)</w:t>
            </w:r>
          </w:p>
        </w:tc>
        <w:tc>
          <w:tcPr>
            <w:tcW w:w="2337" w:type="dxa"/>
            <w:vAlign w:val="center"/>
          </w:tcPr>
          <w:p w14:paraId="08F106C4"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5</w:t>
            </w:r>
          </w:p>
        </w:tc>
        <w:tc>
          <w:tcPr>
            <w:tcW w:w="2338" w:type="dxa"/>
            <w:vAlign w:val="center"/>
          </w:tcPr>
          <w:p w14:paraId="219D3704"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3</w:t>
            </w:r>
          </w:p>
        </w:tc>
        <w:tc>
          <w:tcPr>
            <w:tcW w:w="2338" w:type="dxa"/>
            <w:vAlign w:val="center"/>
          </w:tcPr>
          <w:p w14:paraId="27545591"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60%</w:t>
            </w:r>
          </w:p>
        </w:tc>
      </w:tr>
      <w:tr w:rsidR="00265F1C" w14:paraId="04E60A9A" w14:textId="77777777" w:rsidTr="00A62BB6">
        <w:tc>
          <w:tcPr>
            <w:tcW w:w="2337" w:type="dxa"/>
            <w:vAlign w:val="center"/>
          </w:tcPr>
          <w:p w14:paraId="26BD04D8"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Low (9–34)</w:t>
            </w:r>
          </w:p>
        </w:tc>
        <w:tc>
          <w:tcPr>
            <w:tcW w:w="2337" w:type="dxa"/>
            <w:vAlign w:val="center"/>
          </w:tcPr>
          <w:p w14:paraId="3C6F9827"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26</w:t>
            </w:r>
          </w:p>
        </w:tc>
        <w:tc>
          <w:tcPr>
            <w:tcW w:w="2338" w:type="dxa"/>
            <w:vAlign w:val="center"/>
          </w:tcPr>
          <w:p w14:paraId="202CE729"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19</w:t>
            </w:r>
          </w:p>
        </w:tc>
        <w:tc>
          <w:tcPr>
            <w:tcW w:w="2338" w:type="dxa"/>
            <w:vAlign w:val="center"/>
          </w:tcPr>
          <w:p w14:paraId="75ACE54F" w14:textId="77777777" w:rsidR="00265F1C" w:rsidRDefault="00265F1C" w:rsidP="00A62BB6">
            <w:pPr>
              <w:spacing w:before="100" w:beforeAutospacing="1" w:after="100" w:afterAutospacing="1" w:line="240" w:lineRule="auto"/>
              <w:ind w:left="0"/>
              <w:rPr>
                <w:rFonts w:eastAsia="Times New Roman"/>
                <w:color w:val="000000"/>
              </w:rPr>
            </w:pPr>
            <w:r w:rsidRPr="00BD412F">
              <w:rPr>
                <w:rFonts w:eastAsia="Times New Roman"/>
                <w:color w:val="000000"/>
              </w:rPr>
              <w:t>73%</w:t>
            </w:r>
          </w:p>
        </w:tc>
      </w:tr>
    </w:tbl>
    <w:p w14:paraId="08317603" w14:textId="77777777" w:rsidR="00265F1C" w:rsidRPr="00BD412F" w:rsidRDefault="00265F1C" w:rsidP="00265F1C">
      <w:pPr>
        <w:spacing w:before="100" w:beforeAutospacing="1" w:after="100" w:afterAutospacing="1" w:line="240" w:lineRule="auto"/>
        <w:ind w:left="0"/>
        <w:jc w:val="both"/>
        <w:rPr>
          <w:rFonts w:eastAsia="Times New Roman" w:cs="Times New Roman"/>
          <w:color w:val="000000"/>
        </w:rPr>
      </w:pPr>
      <w:r w:rsidRPr="00BD412F">
        <w:rPr>
          <w:rFonts w:eastAsia="Times New Roman" w:cs="Times New Roman"/>
          <w:color w:val="000000"/>
        </w:rPr>
        <w:t>Out of a total of 40 tube wells, approximately 87% were located in zones that accurately reflected their yield levels, demonstrating a high degree of agreement between observed well performance and the delineated groundwater potential map.</w:t>
      </w:r>
      <w:r>
        <w:rPr>
          <w:rFonts w:eastAsia="Times New Roman" w:cs="Times New Roman"/>
          <w:color w:val="000000"/>
        </w:rPr>
        <w:t xml:space="preserve"> </w:t>
      </w:r>
      <w:r w:rsidRPr="00BD412F">
        <w:rPr>
          <w:rFonts w:eastAsia="Times New Roman" w:cs="Times New Roman"/>
          <w:color w:val="000000"/>
        </w:rPr>
        <w:t xml:space="preserve">The validation results strongly support the reliability of the groundwater potential zones identified in the </w:t>
      </w:r>
      <w:proofErr w:type="spellStart"/>
      <w:r w:rsidRPr="00BD412F">
        <w:rPr>
          <w:rFonts w:eastAsia="Times New Roman" w:cs="Times New Roman"/>
          <w:color w:val="000000"/>
        </w:rPr>
        <w:t>Wa</w:t>
      </w:r>
      <w:proofErr w:type="spellEnd"/>
      <w:r w:rsidRPr="00BD412F">
        <w:rPr>
          <w:rFonts w:eastAsia="Times New Roman" w:cs="Times New Roman"/>
          <w:color w:val="000000"/>
        </w:rPr>
        <w:t xml:space="preserve"> Municipality. The 87% predictive accuracy confirms that the GIS-based AHP model, supported by thematic datasets and well yield information, is effective for identifying suitable areas for groundwater development, especially for irrigated agriculture and domestic water supply.</w:t>
      </w:r>
    </w:p>
    <w:p w14:paraId="22BD164A" w14:textId="77777777" w:rsidR="00265F1C" w:rsidRPr="00265F1C" w:rsidRDefault="00265F1C" w:rsidP="00265F1C">
      <w:pPr>
        <w:ind w:left="0"/>
      </w:pPr>
    </w:p>
    <w:bookmarkEnd w:id="18"/>
    <w:p w14:paraId="6AF345F4" w14:textId="77777777" w:rsidR="003E09C9" w:rsidRPr="00D00F16" w:rsidRDefault="003E09C9" w:rsidP="006E0E57">
      <w:pPr>
        <w:pStyle w:val="Caption"/>
        <w:spacing w:after="0" w:line="276" w:lineRule="auto"/>
        <w:ind w:left="0"/>
        <w:rPr>
          <w:rFonts w:cs="Times New Roman"/>
          <w:i w:val="0"/>
          <w:iCs w:val="0"/>
          <w:color w:val="auto"/>
          <w:sz w:val="24"/>
          <w:szCs w:val="24"/>
        </w:rPr>
      </w:pPr>
    </w:p>
    <w:p w14:paraId="3ACF7DE3" w14:textId="41BF31C5" w:rsidR="003E09C9" w:rsidRPr="0000442C" w:rsidRDefault="00344DBA" w:rsidP="006E0E57">
      <w:pPr>
        <w:pStyle w:val="Heading2"/>
        <w:spacing w:before="0" w:line="276" w:lineRule="auto"/>
        <w:ind w:left="0"/>
        <w:rPr>
          <w:rFonts w:ascii="Times New Roman" w:hAnsi="Times New Roman" w:cs="Times New Roman"/>
          <w:b/>
          <w:color w:val="auto"/>
          <w:sz w:val="24"/>
          <w:szCs w:val="24"/>
        </w:rPr>
      </w:pPr>
      <w:bookmarkStart w:id="51" w:name="_Toc139901863"/>
      <w:r w:rsidRPr="0000442C">
        <w:rPr>
          <w:rFonts w:ascii="Times New Roman" w:hAnsi="Times New Roman" w:cs="Times New Roman"/>
          <w:b/>
          <w:color w:val="auto"/>
          <w:sz w:val="24"/>
          <w:szCs w:val="24"/>
        </w:rPr>
        <w:t>CONCLUSION</w:t>
      </w:r>
      <w:bookmarkEnd w:id="51"/>
    </w:p>
    <w:p w14:paraId="7294BB2E" w14:textId="77777777" w:rsidR="00E710EE"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t xml:space="preserve">This study evaluated the groundwater potential of the </w:t>
      </w:r>
      <w:proofErr w:type="spellStart"/>
      <w:r w:rsidRPr="00E710EE">
        <w:rPr>
          <w:rFonts w:eastAsia="Times New Roman" w:cs="Times New Roman"/>
        </w:rPr>
        <w:t>Wa</w:t>
      </w:r>
      <w:proofErr w:type="spellEnd"/>
      <w:r w:rsidRPr="00E710EE">
        <w:rPr>
          <w:rFonts w:eastAsia="Times New Roman" w:cs="Times New Roman"/>
        </w:rPr>
        <w:t xml:space="preserve"> Municipality by analyzing the influence of physical and environmental factors through a geospatial multi-criteria decision-making approach. Using the Analytic Hierarchy Process (AHP), nine (9) thematic layers namely; geology, lineament density, land use/land cover, soil type, rainfall, elevation, slope, drainage density, and topographic wetness index (TWI) were assigned weights based on their relative importance to groundwater occurrence. The model achieved a consistency ratio of 0.088, indicating that the pairwise comparisons were logically sound and statistically acceptable.</w:t>
      </w:r>
    </w:p>
    <w:p w14:paraId="4EDDB6FE" w14:textId="77777777" w:rsidR="00E710EE"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t xml:space="preserve">The final groundwater potential map revealed the following spatial distribution across the municipality; Very High Potential (185.33 km², 32.31%), High Potential (112.39 km², 19.59%), Moderate Potential (130.15 km², 22.69%), and Low Potential (145.71 km², 25.40%). Zones identified as having very high and high groundwater potential are primarily located within geological formations of the </w:t>
      </w:r>
      <w:proofErr w:type="spellStart"/>
      <w:r w:rsidRPr="00E710EE">
        <w:rPr>
          <w:rFonts w:eastAsia="Times New Roman" w:cs="Times New Roman"/>
        </w:rPr>
        <w:t>Birimian</w:t>
      </w:r>
      <w:proofErr w:type="spellEnd"/>
      <w:r w:rsidRPr="00E710EE">
        <w:rPr>
          <w:rFonts w:eastAsia="Times New Roman" w:cs="Times New Roman"/>
        </w:rPr>
        <w:t xml:space="preserve"> Supergroup, which are known for their fractured rock systems that enhance groundwater storage and flow. Other influential factors included high lineament density, low slope, favorable land cover, and adequate rainfall.</w:t>
      </w:r>
    </w:p>
    <w:p w14:paraId="2AC1FBAD" w14:textId="77777777" w:rsidR="00E710EE"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t>Validation of the model using tube well yield data confirmed a strong correlation between observed yields and the predicted groundwater potential zones, with a prediction accuracy of approximately 87%. This confirms the reliability of the model and its practical application in water resource planning.</w:t>
      </w:r>
    </w:p>
    <w:p w14:paraId="6EE0E7AC" w14:textId="77777777" w:rsidR="00E710EE"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t xml:space="preserve">The study revealed that, the western portion of the </w:t>
      </w:r>
      <w:proofErr w:type="spellStart"/>
      <w:r w:rsidRPr="00E710EE">
        <w:rPr>
          <w:rFonts w:eastAsia="Times New Roman" w:cs="Times New Roman"/>
        </w:rPr>
        <w:t>Wa</w:t>
      </w:r>
      <w:proofErr w:type="spellEnd"/>
      <w:r w:rsidRPr="00E710EE">
        <w:rPr>
          <w:rFonts w:eastAsia="Times New Roman" w:cs="Times New Roman"/>
        </w:rPr>
        <w:t xml:space="preserve"> Municipality exhibits greater groundwater development potential compared to the eastern section. Given the increasing importance of irrigated agriculture in mitigating the impacts of climate variability, the results of this study provide a scientific basis for sustainable groundwater management and land use planning in the region.</w:t>
      </w:r>
    </w:p>
    <w:p w14:paraId="1C6C2353" w14:textId="4A9ECE0F" w:rsidR="00207C48" w:rsidRPr="00E710EE" w:rsidRDefault="00E710EE" w:rsidP="00E710EE">
      <w:pPr>
        <w:spacing w:before="100" w:beforeAutospacing="1" w:after="100" w:afterAutospacing="1" w:line="240" w:lineRule="auto"/>
        <w:ind w:left="0"/>
        <w:jc w:val="both"/>
        <w:rPr>
          <w:rFonts w:eastAsia="Times New Roman" w:cs="Times New Roman"/>
        </w:rPr>
      </w:pPr>
      <w:r w:rsidRPr="00E710EE">
        <w:rPr>
          <w:rFonts w:eastAsia="Times New Roman" w:cs="Times New Roman"/>
        </w:rPr>
        <w:t xml:space="preserve">The study recommended that to further improve groundwater sustainability; additional </w:t>
      </w:r>
      <w:proofErr w:type="spellStart"/>
      <w:r w:rsidRPr="00E710EE">
        <w:rPr>
          <w:rFonts w:eastAsia="Times New Roman" w:cs="Times New Roman"/>
        </w:rPr>
        <w:t>hydrochemical</w:t>
      </w:r>
      <w:proofErr w:type="spellEnd"/>
      <w:r w:rsidRPr="00E710EE">
        <w:rPr>
          <w:rFonts w:eastAsia="Times New Roman" w:cs="Times New Roman"/>
        </w:rPr>
        <w:t xml:space="preserve"> studies should be conducted to assess water quality for irrigation use, artificial recharge techniques such as injection wells, dugouts, and fish ponds should be implemented in low potential zones to enhance aquifer replenishment, and policy makers, planners, and agricultural stakeholders may adopt the results of this study to guide well drilling and water infrastructure development.</w:t>
      </w:r>
    </w:p>
    <w:p w14:paraId="1423543B" w14:textId="31689D61" w:rsidR="00170945" w:rsidRPr="00170945" w:rsidRDefault="00E710EE" w:rsidP="0047065B">
      <w:pPr>
        <w:spacing w:after="0" w:line="276" w:lineRule="auto"/>
        <w:ind w:left="0"/>
        <w:jc w:val="both"/>
        <w:rPr>
          <w:rFonts w:cs="Times New Roman"/>
          <w:b/>
          <w:bCs/>
        </w:rPr>
      </w:pPr>
      <w:r w:rsidRPr="00170945">
        <w:rPr>
          <w:rFonts w:cs="Times New Roman"/>
          <w:b/>
          <w:bCs/>
        </w:rPr>
        <w:t>DECLARATION OF COMPETING INTEREST</w:t>
      </w:r>
    </w:p>
    <w:p w14:paraId="2A6320BE" w14:textId="5D6BB784" w:rsidR="00170945" w:rsidRDefault="00170945" w:rsidP="0047065B">
      <w:pPr>
        <w:spacing w:after="0" w:line="276" w:lineRule="auto"/>
        <w:ind w:left="0"/>
        <w:jc w:val="both"/>
        <w:rPr>
          <w:rFonts w:cs="Times New Roman"/>
        </w:rPr>
      </w:pPr>
      <w:r w:rsidRPr="00170945">
        <w:rPr>
          <w:rFonts w:cs="Times New Roman"/>
        </w:rPr>
        <w:t xml:space="preserve">The authors declare that they have no known competing interests </w:t>
      </w:r>
      <w:r w:rsidR="00241A50">
        <w:rPr>
          <w:rFonts w:cs="Times New Roman"/>
        </w:rPr>
        <w:t>regarding the publication of</w:t>
      </w:r>
      <w:r w:rsidRPr="00170945">
        <w:rPr>
          <w:rFonts w:cs="Times New Roman"/>
        </w:rPr>
        <w:t xml:space="preserve"> this paper.</w:t>
      </w:r>
    </w:p>
    <w:p w14:paraId="7A63B91F" w14:textId="0612E630" w:rsidR="00137CE8" w:rsidRDefault="00137CE8" w:rsidP="0047065B">
      <w:pPr>
        <w:spacing w:after="0" w:line="276" w:lineRule="auto"/>
        <w:ind w:left="0"/>
        <w:jc w:val="both"/>
        <w:rPr>
          <w:rFonts w:cs="Times New Roman"/>
        </w:rPr>
      </w:pPr>
    </w:p>
    <w:p w14:paraId="67C1C3FC" w14:textId="77777777" w:rsidR="00FD5A4A" w:rsidRPr="00FD5A4A" w:rsidRDefault="00FD5A4A" w:rsidP="00FD5A4A">
      <w:pPr>
        <w:autoSpaceDE w:val="0"/>
        <w:autoSpaceDN w:val="0"/>
        <w:adjustRightInd w:val="0"/>
        <w:spacing w:after="0" w:line="240" w:lineRule="auto"/>
        <w:ind w:left="0"/>
        <w:jc w:val="both"/>
        <w:rPr>
          <w:rFonts w:eastAsia="Calibri" w:cs="Times New Roman"/>
          <w:b/>
          <w:bCs/>
          <w:highlight w:val="green"/>
        </w:rPr>
      </w:pPr>
      <w:r w:rsidRPr="00FD5A4A">
        <w:rPr>
          <w:rFonts w:eastAsia="Calibri" w:cs="Times New Roman"/>
          <w:b/>
          <w:bCs/>
          <w:highlight w:val="green"/>
        </w:rPr>
        <w:t>DISCLAIMER (ARTIFICIAL INTELLIGENCE)</w:t>
      </w:r>
    </w:p>
    <w:p w14:paraId="1E156428" w14:textId="0F887703" w:rsidR="0057783D" w:rsidRDefault="00FD5A4A" w:rsidP="00FD5A4A">
      <w:pPr>
        <w:spacing w:after="0" w:line="276" w:lineRule="auto"/>
        <w:ind w:left="0"/>
        <w:jc w:val="both"/>
        <w:rPr>
          <w:rFonts w:cs="Times New Roman"/>
        </w:rPr>
      </w:pPr>
      <w:r w:rsidRPr="00FD5A4A">
        <w:rPr>
          <w:rFonts w:eastAsia="Calibri" w:cs="Times New Roman"/>
          <w:highlight w:val="green"/>
        </w:rPr>
        <w:t xml:space="preserve">Author(s) hereby </w:t>
      </w:r>
      <w:proofErr w:type="gramStart"/>
      <w:r w:rsidRPr="00FD5A4A">
        <w:rPr>
          <w:rFonts w:eastAsia="Calibri" w:cs="Times New Roman"/>
          <w:highlight w:val="green"/>
        </w:rPr>
        <w:t>declare</w:t>
      </w:r>
      <w:proofErr w:type="gramEnd"/>
      <w:r w:rsidRPr="00FD5A4A">
        <w:rPr>
          <w:rFonts w:eastAsia="Calibri" w:cs="Times New Roman"/>
          <w:highlight w:val="green"/>
        </w:rPr>
        <w:t xml:space="preserve"> that NO generative AI technologies such as Large Language Models (ChatGPT, COPILOT, </w:t>
      </w:r>
      <w:proofErr w:type="spellStart"/>
      <w:r w:rsidRPr="00FD5A4A">
        <w:rPr>
          <w:rFonts w:eastAsia="Calibri" w:cs="Times New Roman"/>
          <w:highlight w:val="green"/>
        </w:rPr>
        <w:t>etc</w:t>
      </w:r>
      <w:proofErr w:type="spellEnd"/>
      <w:r w:rsidRPr="00FD5A4A">
        <w:rPr>
          <w:rFonts w:eastAsia="Calibri" w:cs="Times New Roman"/>
          <w:highlight w:val="green"/>
        </w:rPr>
        <w:t>) and text-to-image generators have been used during writing or editing of this manuscript.</w:t>
      </w:r>
    </w:p>
    <w:p w14:paraId="3CE90C24" w14:textId="77777777" w:rsidR="0057783D" w:rsidRPr="00170945" w:rsidRDefault="0057783D" w:rsidP="0047065B">
      <w:pPr>
        <w:spacing w:after="0" w:line="276" w:lineRule="auto"/>
        <w:ind w:left="0"/>
        <w:jc w:val="both"/>
        <w:rPr>
          <w:rFonts w:cs="Times New Roman"/>
        </w:rPr>
      </w:pPr>
    </w:p>
    <w:p w14:paraId="4329D24A" w14:textId="77777777" w:rsidR="00092FAB" w:rsidRDefault="00092FAB" w:rsidP="006E0E57">
      <w:pPr>
        <w:widowControl w:val="0"/>
        <w:autoSpaceDE w:val="0"/>
        <w:autoSpaceDN w:val="0"/>
        <w:adjustRightInd w:val="0"/>
        <w:spacing w:after="0" w:line="276" w:lineRule="auto"/>
        <w:ind w:left="640" w:hanging="640"/>
        <w:rPr>
          <w:b/>
          <w:bCs/>
        </w:rPr>
      </w:pPr>
      <w:bookmarkStart w:id="52" w:name="_Toc139901865"/>
    </w:p>
    <w:p w14:paraId="563A3E88" w14:textId="1A4AD067" w:rsidR="006C212D" w:rsidRPr="00241A50" w:rsidRDefault="003E09C9" w:rsidP="006E0E57">
      <w:pPr>
        <w:widowControl w:val="0"/>
        <w:autoSpaceDE w:val="0"/>
        <w:autoSpaceDN w:val="0"/>
        <w:adjustRightInd w:val="0"/>
        <w:spacing w:after="0" w:line="276" w:lineRule="auto"/>
        <w:ind w:left="640" w:hanging="640"/>
        <w:rPr>
          <w:b/>
          <w:bCs/>
        </w:rPr>
      </w:pPr>
      <w:r w:rsidRPr="00241A50">
        <w:rPr>
          <w:b/>
          <w:bCs/>
        </w:rPr>
        <w:t>REFERENCES</w:t>
      </w:r>
      <w:bookmarkEnd w:id="52"/>
    </w:p>
    <w:p w14:paraId="7CB97914" w14:textId="77777777" w:rsidR="006D4271" w:rsidRPr="00796DA8" w:rsidRDefault="003E09C9" w:rsidP="0098111A">
      <w:pPr>
        <w:widowControl w:val="0"/>
        <w:autoSpaceDE w:val="0"/>
        <w:autoSpaceDN w:val="0"/>
        <w:adjustRightInd w:val="0"/>
        <w:spacing w:after="0" w:line="240" w:lineRule="auto"/>
        <w:ind w:left="2520"/>
        <w:rPr>
          <w:rFonts w:cs="Times New Roman"/>
          <w:noProof/>
        </w:rPr>
      </w:pPr>
      <w:r w:rsidRPr="00D00F16">
        <w:rPr>
          <w:rFonts w:eastAsia="Times New Roman"/>
          <w:b/>
        </w:rPr>
        <w:fldChar w:fldCharType="begin" w:fldLock="1"/>
      </w:r>
      <w:r w:rsidRPr="00D00F16">
        <w:instrText xml:space="preserve">ADDIN Mendeley Bibliography CSL_BIBLIOGRAPHY </w:instrText>
      </w:r>
      <w:r w:rsidRPr="00D00F16">
        <w:rPr>
          <w:rFonts w:eastAsia="Times New Roman"/>
          <w:b/>
        </w:rPr>
        <w:fldChar w:fldCharType="separate"/>
      </w:r>
      <w:r w:rsidR="006D4271" w:rsidRPr="006D4271">
        <w:t xml:space="preserve"> </w:t>
      </w:r>
      <w:r w:rsidR="006D4271" w:rsidRPr="00796DA8">
        <w:rPr>
          <w:rFonts w:cs="Times New Roman"/>
          <w:noProof/>
        </w:rPr>
        <w:t>Abdul-Ganiyu, S., &amp; Prosper, K. (2020). Groundwater Resources as a Resilient Alternative for Irrigation in the Upper West Region of Ghana – A Study of Groundwater Potential. International Journal of Innovative Science and Research Technology, 5(6), 1121–1130. https://doi.org/10.38124/ijisrt20jun811</w:t>
      </w:r>
    </w:p>
    <w:p w14:paraId="078D7A9A"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Abdullateef, L., Tijani, M. N., Nuru, N. A., John, S., &amp; Mustapha, A. (2021). Assessment of groundwater recharge potential in a typical geological transition zone in Bauchi, NE-Nigeria using remote sensing/GIS and MCDA approaches. Heliyon, 7(4), e06762. https://doi.org/10.1016/j.heliyon.2021.e06762</w:t>
      </w:r>
    </w:p>
    <w:p w14:paraId="10379547"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Addo, K. A. (2010). Urban and peri-urban agriculture in developing countries studied using remote sensing and in situ methods. Remote Sensing, 2(2), 497–513. https://doi.org/10.3390/rs2020497</w:t>
      </w:r>
    </w:p>
    <w:p w14:paraId="1DEB1EED"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Adongo, T. A., Abagale, F. K., &amp; Agyare, W. A. (2021). Modelling and forecasting reservoir sedimentation of irrigation dams in the Guinea Savannah Ecological Zone of Ghana. Water Practice &amp; Technology, 16(4), 1355–1369. https://doi.org/10.2166/wpt.2021.073</w:t>
      </w:r>
    </w:p>
    <w:p w14:paraId="0FA87B5D"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Ramzi, M. S. M., &amp; Al-Gburi, M. R. G. (2022). Delineation of Groundwater Potential Using GIS, RS and AHP Techniques of the Chia Sur Sub-Basin in Sulaymaniyah-Kirkuk, Northeastern Iraq. Iraqi Geological Journal, 55(2E), 165-175. https://doi.org/10.46717/igj.55.2E.11ms-2022-11-25</w:t>
      </w:r>
    </w:p>
    <w:p w14:paraId="0960BC1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Al-Gburi, M. R. G., &amp; Ibrahiem Al-Tamimi, O. S. (2020). Groundwater vulnerability assessment using drastic model of up Al-Khassa dam sub-basin, Kirkuk, NE Iraq. Iraqi Geological Journal, 53(2), 12–24. https://doi.org/10.46717/igj.53.2E.2Ms-2020-11-24</w:t>
      </w:r>
    </w:p>
    <w:p w14:paraId="7295102F"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Al-Ruzouq, R., Shanableh, A., Merabtene, T., Siddique, M., Khalil, M. A., Idris, A. E., &amp; Almulla, E. (2019). Potential groundwater zone mapping based on geo-hydrological considerations and multi-criteria spatial analysis: North UAE. Catena, 173, 511–524. https://doi.org/10.1016/j.catena.2018.10.037</w:t>
      </w:r>
    </w:p>
    <w:p w14:paraId="244577F6"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Arulbalaji, P., Padmalal, D., &amp; Sreelash, K. (2019). GIS and AHP Techniques Based Delineation of Groundwater Potential Zones: a case study from Southern Western Ghats, India. Scientific Reports, 9(1), 2082. https://doi.org/10.1038/s41598-019-38567-x</w:t>
      </w:r>
    </w:p>
    <w:p w14:paraId="34F6ABC9" w14:textId="172291F1"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Bhadran, A., Girishbai, D., Jesiya, N. P., Gopinath, G., Krishnan, R. G., &amp; Vijesh, V. K. (2022). A GIS based Fuzzy-AHP for delineating groundwater potential zones in tropical river basin, southern part of India. </w:t>
      </w:r>
      <w:r w:rsidRPr="00796DA8">
        <w:rPr>
          <w:rFonts w:cs="Times New Roman"/>
          <w:i/>
          <w:iCs/>
          <w:noProof/>
        </w:rPr>
        <w:t>Geosystems and Geoenvironment</w:t>
      </w:r>
      <w:r w:rsidRPr="00796DA8">
        <w:rPr>
          <w:rFonts w:cs="Times New Roman"/>
          <w:noProof/>
        </w:rPr>
        <w:t xml:space="preserve">, </w:t>
      </w:r>
      <w:r w:rsidRPr="00796DA8">
        <w:rPr>
          <w:rFonts w:cs="Times New Roman"/>
          <w:i/>
          <w:iCs/>
          <w:noProof/>
        </w:rPr>
        <w:t>1</w:t>
      </w:r>
      <w:r w:rsidRPr="00796DA8">
        <w:rPr>
          <w:rFonts w:cs="Times New Roman"/>
          <w:noProof/>
        </w:rPr>
        <w:t>(4), 100093. https://doi.org/10.1016/j.geogeo.2022.100093</w:t>
      </w:r>
    </w:p>
    <w:p w14:paraId="7628FB15" w14:textId="77777777"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Bhuvaneswaran, C., Ganesh, A., &amp; Nevedita, S. (2015). Spatial analysis of groundwater potential zones using remote sensing, GIS and MIF techniques in uppar Odai sub-watershed, Nandiyar, Cauvery basin, Tamilnadu. </w:t>
      </w:r>
      <w:r w:rsidRPr="00796DA8">
        <w:rPr>
          <w:rFonts w:cs="Times New Roman"/>
          <w:i/>
          <w:iCs/>
          <w:noProof/>
        </w:rPr>
        <w:t>Int J Curr Res</w:t>
      </w:r>
      <w:r w:rsidRPr="00796DA8">
        <w:rPr>
          <w:rFonts w:cs="Times New Roman"/>
          <w:noProof/>
        </w:rPr>
        <w:t xml:space="preserve">, </w:t>
      </w:r>
      <w:r w:rsidRPr="00796DA8">
        <w:rPr>
          <w:rFonts w:cs="Times New Roman"/>
          <w:i/>
          <w:iCs/>
          <w:noProof/>
        </w:rPr>
        <w:t>7</w:t>
      </w:r>
      <w:r w:rsidRPr="00796DA8">
        <w:rPr>
          <w:rFonts w:cs="Times New Roman"/>
          <w:noProof/>
        </w:rPr>
        <w:t>(09), 20765–20774.</w:t>
      </w:r>
    </w:p>
    <w:p w14:paraId="7690CA7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Carrier, M.-A., Lefebvre, R., Racicot, J., &amp; Asare, E. B. (2008). Northern Ghana hydrogeological assessment project. In H. Jones (Ed.), Access to sanitation and safe water - Global partnerships and local actions: Proceedings of the 33rd WEDC International Conference (pp. 353-361). Loughborough University. https://repository.lboro.ac.uk/articles/conference_item/Northern_Ghana_hydrogeological_assessment_project/9370008/1</w:t>
      </w:r>
    </w:p>
    <w:p w14:paraId="2934410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Chatterjee, S., &amp; Dutta, S. (2022). Assessment of groundwater potential zone for sustainable water resource management in south-western part of Birbhum District, West Bengal. Applied Water Science, 12(3), 1–16. https://doi.org/10.1007/s13201-021-01549-4</w:t>
      </w:r>
    </w:p>
    <w:p w14:paraId="667FC91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Chegbeleh, L. P., Akurugu, B. A., &amp; Yidana, S. M. (2020). Assessment of Groundwater Quality in the Talensi District, Northern Ghana. Scientific World Journal, 2020, 8450860. https://doi.org/10.1155/2020/8450860</w:t>
      </w:r>
    </w:p>
    <w:p w14:paraId="237F50E6"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Danso, S. Y., &amp; Ma, Y. (2023). Geospatial techniques for groundwater potential zones delineation in a coastal municipality, Ghana. Egyptian Journal of Remote Sensing and Space Science, 26(1), 75–84. https://doi.org/10.1016/j.ejrs.2022.12.004</w:t>
      </w:r>
    </w:p>
    <w:p w14:paraId="56263F34"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Das, S. (2019). Comparison among influencing factor, frequency ratio, and analytical hierarchy process techniques for groundwater potential zonation in Vaitarna basin, Maharashtra, India. Groundwater for Sustainable Development, 8, 617–629. https://doi.org/10.1016/j.gsd.2019.03.003</w:t>
      </w:r>
    </w:p>
    <w:p w14:paraId="20C01633"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Doke, A. B., Zolekar, R. B., Patel, H., &amp; Das, S. (2021). Geospatial mapping of groundwater potential zones using multi-criteria decision-making AHP approach in a hardrock basaltic terrain in India. Ecological Indicators, 127, 107685. https://doi.org/10.1016/j.ecolind.2021.107685</w:t>
      </w:r>
    </w:p>
    <w:p w14:paraId="1D2F3B4A"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Falah, F., &amp; Zeinivand, H. (2019). GIS-Based Groundwater Potential Mapping in Khorramabad in Lorestan, Iran, Using Frequency Ratio (FR) and Weights of Evidence (WoE) Models. Water Resources, 46(5), 679–692. https://doi.org/10.1134/S0097807819050051</w:t>
      </w:r>
    </w:p>
    <w:p w14:paraId="0D6A3F4D"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Falowo, O. O., &amp; Bamoyegun, O. A. (2023). AHP GIS-supported overlay/index models in Okeigbo, southwestern Nigeria, for groundwater susceptibility zonation. HydroResearch, 6, 184–202. https://doi.org/10.1016/j.hydres.2023.05.003</w:t>
      </w:r>
    </w:p>
    <w:p w14:paraId="13C7026C"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Gebere, S. B., Alamirew, T., Merkel, B. J., &amp; Melesse, A. M. (2016). Land use and land cover change impact on groundwater recharge: The Case of Lake Haramaya watershed, Ethiopia. In Landscape dynamics, soils and hydrological processes in varied climates (pp. 93-110). Cham: Springer International Publishing. https://doi.org/10.1007/978-3-319-18787-7_6</w:t>
      </w:r>
    </w:p>
    <w:p w14:paraId="19592361"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Ghosh, A., Adhikary, P. P., Bera, B., Bhunia, G. S., &amp; Shit, P. K. (2022). Assessment of groundwater potential zone using MCDA and AHP techniques: case study from a tropical river basin of India. Applied Water Science, 12(3), 1–22. https://doi.org/10.1007/s13201-021-01548-5</w:t>
      </w:r>
    </w:p>
    <w:p w14:paraId="63655378"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Gyampo, M. A., Zango, M. S., &amp; Ampadu, B. (2014). Assessment of Drinking Water Quality of Groundwaters in Bunpkurugu-Yunyo District of Ghana. Environment and Pollution, 3(3). https://doi.org/10.5539/ep.v3n3p1</w:t>
      </w:r>
    </w:p>
    <w:p w14:paraId="76DF66EF"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Hagos, Y. G., &amp; Andualem, T. G. (2021). Geospatial and multi-criteria decision approach of groundwater potential zone identification in Cuma sub-basin, Southern Ethiopia. Heliyon, 7(9), e07963. https://doi.org/10.1016/j.heliyon.2021.e07963</w:t>
      </w:r>
    </w:p>
    <w:p w14:paraId="097CCFBD"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Ifediegwu, S. I. (2022). Assessment of groundwater potential zones using GIS and AHP techniques: a case study of the Lafia district, Nasarawa State, Nigeria. Applied Water Science, 12(1), 1–17. https://doi.org/10.1007/s13201-021-01556-5</w:t>
      </w:r>
    </w:p>
    <w:p w14:paraId="6E2A39D7" w14:textId="0F74A8CF" w:rsidR="007319A9" w:rsidRPr="00796DA8" w:rsidRDefault="007319A9" w:rsidP="0098111A">
      <w:pPr>
        <w:widowControl w:val="0"/>
        <w:autoSpaceDE w:val="0"/>
        <w:autoSpaceDN w:val="0"/>
        <w:adjustRightInd w:val="0"/>
        <w:spacing w:after="0" w:line="240" w:lineRule="auto"/>
        <w:ind w:left="2520"/>
        <w:rPr>
          <w:rFonts w:cs="Times New Roman"/>
          <w:noProof/>
        </w:rPr>
      </w:pPr>
      <w:r w:rsidRPr="00796DA8">
        <w:rPr>
          <w:rFonts w:cs="Times New Roman"/>
          <w:noProof/>
        </w:rPr>
        <w:t>ISRIC (2011). International Soil Reference and Information Centre soil shapefile (ISRIC, 2011)</w:t>
      </w:r>
    </w:p>
    <w:p w14:paraId="0B540B70"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Abdelaziz, K. K., Nicaise, Y., Séguis, L., Ouattara, I., Moussa, O., Auguste, K. K., Kamagaté, B., &amp; Diakaria, K. (2020). Influence of Land Use Land Cover Change on Groundwater Recharge in the Continental Terminal Area of Abidjan, Ivory Coast. Journal of Water Resource and Protection, 12(5), 431-453. https://doi.org/10.4236/jwarp.2020.125026</w:t>
      </w:r>
    </w:p>
    <w:p w14:paraId="1C19F670"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Kpiebaya, P., Abdul-Ganiyu, S., Amadu, I., &amp; Bismark, M. (2020). Assessment of Groundwater for Dry Season Farming in the Upper East Region of Ghana-Determining the Storage Capacity. International Journal of Creative Research Thoughts, 8(7), 4147–4159. http://www.ijcrt.org/papers/IJCRT2007438.pdf</w:t>
      </w:r>
    </w:p>
    <w:p w14:paraId="6F3EFF6E"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Kwami, I. A., Ishaku, J. M., Mukkafa, S., Haruna, A. I., &amp; Ankidawa, B. A. (2019). Delineation of aquifer potential zones using hydraulic parameters in Gombe and environs, North-Eastern, Nigeria. Heliyon, 5(7), e01927. https://doi.org/10.1016/j.heliyon.2019.e01927</w:t>
      </w:r>
    </w:p>
    <w:p w14:paraId="6920B7BC"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Magesh, N. S., Chandrasekar, N., &amp; Soundranayagam, J. P. (2012). Delineation of groundwater potential zones in Theni district, Tamil Nadu, using remote sensing, GIS and MIF techniques. Geoscience Frontiers, 3(2), 189–196. https://doi.org/10.1016/j.gsf.2011.10.007</w:t>
      </w:r>
    </w:p>
    <w:p w14:paraId="122BAAC5"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Manu, E., Agyekum, W. A., Duah, A. A., Mainoo, P. A., Okrah, C., &amp; Asare, V. S. (2016). Improving Access to Potable Water Supply using Integrated Geophysical Approach in a Rural Setting of Eastern Ghana. Elixir Environment and Forestry, 95, 40714–40719. https://www.elixirpublishers.com/articles/1462900000-0000000000-95-40714-40719.pdf</w:t>
      </w:r>
    </w:p>
    <w:p w14:paraId="50E2BFF0"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Ashok, P., Manugula, S. S., Pavani, C. S. L., Kumar, M. K., Singh, D., Singh, S. P., Rout, C., &amp; Chakravarti, A. (2022). AHP and GIS Techniques for the Demarcation of Groundwater Potential Zones in a Part of Granitic Bundelkhand, India- A Case Study of District Jhansi. International Journal of Mechanical Engineering, 7(2). https://www.researchgate.net/publication/358300000_AHP_and_GIS_Techniques_for_the_Demarcation_of_Groundwater_Potential_Zones_in_a_Part_of_Granitic_Bundelkhand_India-A_Case_Study_of_District_Jhansi_Chadetrik_Rout</w:t>
      </w:r>
    </w:p>
    <w:p w14:paraId="7BC0206C" w14:textId="4FFA502D"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Masroor, M., Sajjad, H., Kumar, P., Saha, T. K., Rahaman, M. H., Choudhari, P., Kulimushi, L. C., Pal, S., &amp; Saito, O. (2023). Novel Ensemble Machine Learning Modeling Approach for Groundwater Potential Mapping in Parbhani District of Maharashtra, India. </w:t>
      </w:r>
      <w:r w:rsidRPr="00796DA8">
        <w:rPr>
          <w:rFonts w:cs="Times New Roman"/>
          <w:i/>
          <w:iCs/>
          <w:noProof/>
        </w:rPr>
        <w:t>Water (Switzerland)</w:t>
      </w:r>
      <w:r w:rsidRPr="00796DA8">
        <w:rPr>
          <w:rFonts w:cs="Times New Roman"/>
          <w:noProof/>
        </w:rPr>
        <w:t xml:space="preserve">, </w:t>
      </w:r>
      <w:r w:rsidRPr="00796DA8">
        <w:rPr>
          <w:rFonts w:cs="Times New Roman"/>
          <w:i/>
          <w:iCs/>
          <w:noProof/>
        </w:rPr>
        <w:t>15</w:t>
      </w:r>
      <w:r w:rsidRPr="00796DA8">
        <w:rPr>
          <w:rFonts w:cs="Times New Roman"/>
          <w:noProof/>
        </w:rPr>
        <w:t>(3). https://doi.org/10.3390/w15030419</w:t>
      </w:r>
    </w:p>
    <w:p w14:paraId="4F761470" w14:textId="77777777" w:rsidR="006D4271" w:rsidRPr="00796DA8" w:rsidRDefault="006D4271" w:rsidP="0098111A">
      <w:pPr>
        <w:widowControl w:val="0"/>
        <w:autoSpaceDE w:val="0"/>
        <w:autoSpaceDN w:val="0"/>
        <w:adjustRightInd w:val="0"/>
        <w:spacing w:after="0" w:line="240" w:lineRule="auto"/>
        <w:ind w:left="2520"/>
        <w:rPr>
          <w:rFonts w:cs="Times New Roman"/>
          <w:noProof/>
        </w:rPr>
      </w:pPr>
      <w:r w:rsidRPr="00796DA8">
        <w:rPr>
          <w:rFonts w:cs="Times New Roman"/>
          <w:noProof/>
        </w:rPr>
        <w:t>Mahala, A. (2021). Delineating the Status of Groundwater in a Plateau Fringe Region Using Multi-influencing Factor (MIF) and GIS: A Study of Bankura District, West Bengal, India. In P. P. Adhikary, P. K. Shit, P. Santra, G. S. Bhunia, A. K. Tiwari, &amp; B. S. Chaudhary (Eds.), *Geostatistics and Geospatial Technologies for Groundwater Resources in India* (pp. 215-237). https://doi.org/10.1007/978-3-030-62397-5_11</w:t>
      </w:r>
    </w:p>
    <w:p w14:paraId="58876672"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Ahmadi, H., Kaya, O. A., Babadagi, E., Savas, T., &amp; Pekkan, E. (2021). GIS-Based Groundwater Potentiality Mapping Using AHP and FR Models in Central Antalya, Turkey. Environmental Sciences Proceedings, 5(1), 11. https://doi.org/10.3390/IECG2020-08741</w:t>
      </w:r>
    </w:p>
    <w:p w14:paraId="2B5B6AEC"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Muavhi, N., Thamaga, K. H., &amp; Mutoti, M. I. (2021). Mapping groundwater potential zones using relative frequency ratio, analytic hierarchy process and their hybrid models: Case of Nzhelele-Makhado area in South Africa. Geocarto International. https://doi.org/10.1080/10106049.2021.1936212</w:t>
      </w:r>
    </w:p>
    <w:p w14:paraId="16DA0DBD"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Ikirri, M., Boutaleb, S., Ibraheem, I. M., Abioui, M., Echogdali, F. Z., Abdelrahman, K., Id-Belqas, M., Abu-Alam, T., El Ayady, H., Essoussi, S., &amp; Faik, F. (2023). Delineation of Groundwater Potential Area using an AHP, Remote Sensing, and GIS Techniques in the Ifni Basin, Western Anti-Atlas, Morocco. Water, 15(7), 1436. https://doi.org/10.3390/w15071436</w:t>
      </w:r>
    </w:p>
    <w:p w14:paraId="0F38CCD7" w14:textId="43C5D06F"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Nithya, C. N., Srinivas, Y., Magesh, N. S., &amp; Kaliraj, S. (2019). Remote Sensing Applications : Society and Environment Assessment of groundwater potential zones in Chittar basin , Southern India using GIS based AHP technique. </w:t>
      </w:r>
      <w:r w:rsidRPr="00796DA8">
        <w:rPr>
          <w:rFonts w:cs="Times New Roman"/>
          <w:i/>
          <w:iCs/>
          <w:noProof/>
        </w:rPr>
        <w:t>Remote Sensing Applications: Society and Environment</w:t>
      </w:r>
      <w:r w:rsidRPr="00796DA8">
        <w:rPr>
          <w:rFonts w:cs="Times New Roman"/>
          <w:noProof/>
        </w:rPr>
        <w:t xml:space="preserve">, </w:t>
      </w:r>
      <w:r w:rsidRPr="00796DA8">
        <w:rPr>
          <w:rFonts w:cs="Times New Roman"/>
          <w:i/>
          <w:iCs/>
          <w:noProof/>
        </w:rPr>
        <w:t>15</w:t>
      </w:r>
      <w:r w:rsidRPr="00796DA8">
        <w:rPr>
          <w:rFonts w:cs="Times New Roman"/>
          <w:noProof/>
        </w:rPr>
        <w:t>(June), 100248. https://doi.org/10.1016/j.rsase.2019.100248</w:t>
      </w:r>
    </w:p>
    <w:p w14:paraId="3E27DB1D"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Oh, H. J., Kim, Y. S., Choi, J. K., Park, E., &amp; Lee, S. (2011). GIS mapping of regional probabilistic groundwater potential in the area of Pohang City, Korea. Journal of Hydrology, 399(3–4), 158–172. https://doi.org/10.1016/j.jhydrol.2010.12.027</w:t>
      </w:r>
    </w:p>
    <w:p w14:paraId="05218073"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Pande, C. B., Khadri, S. F. R., Moharir, K. N., &amp; Patode, R. S. (2018). Assessment of groundwater potential zonation of Mahesh River basin Akola and Buldhana districts, Maharashtra, India using remote sensing and GIS techniques. Sustainable Water Resources Management, 4(4), 965–979. https://doi.org/10.1007/s40899-017-0193-5</w:t>
      </w:r>
    </w:p>
    <w:p w14:paraId="66FD9CE3"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Razandi, Y., Pourghasemi, H. R., &amp; Neisani, N. S. (2015). Application of analytical hierarchy process, frequency ratio, and certainty factor models for groundwater potential mapping using GIS. Earth Science Informatics. https://doi.org/10.1007/s12145-015-0220-8</w:t>
      </w:r>
    </w:p>
    <w:p w14:paraId="283590D2"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Saaty, T. L. (1984). The Analytic Hierarchy Process: Decision Making in Complex Environments. In R. Avenhaus &amp; R. K. Huber (Eds.), Quantitative Assessment in Arms Control: Mathematical Modeling and Simulation in the Analysis of Arms Control Problems (pp. 285–308). Springer US. https://doi.org/10.1007/978-1-4613-2805-6_12</w:t>
      </w:r>
    </w:p>
    <w:p w14:paraId="1F7C7CF1" w14:textId="25C8ECEA" w:rsidR="00CF7481" w:rsidRPr="00796DA8" w:rsidRDefault="00CF7481" w:rsidP="0098111A">
      <w:pPr>
        <w:widowControl w:val="0"/>
        <w:autoSpaceDE w:val="0"/>
        <w:autoSpaceDN w:val="0"/>
        <w:adjustRightInd w:val="0"/>
        <w:spacing w:after="0" w:line="240" w:lineRule="auto"/>
        <w:ind w:left="2520"/>
        <w:rPr>
          <w:rFonts w:cs="Times New Roman"/>
          <w:noProof/>
        </w:rPr>
      </w:pPr>
      <w:r w:rsidRPr="00796DA8">
        <w:rPr>
          <w:rFonts w:cs="Times New Roman"/>
          <w:noProof/>
        </w:rPr>
        <w:t xml:space="preserve">Shao, Z., Huq, M. E., Cai, B., Altan, O., &amp; Li, Y. (2020). Integrated remote sensing and GIS approach using Fuzzy-AHP to delineate and identify groundwater potential zones in semi-arid Shanxi Province, China. </w:t>
      </w:r>
      <w:r w:rsidRPr="00796DA8">
        <w:rPr>
          <w:rFonts w:cs="Times New Roman"/>
          <w:i/>
          <w:iCs/>
          <w:noProof/>
        </w:rPr>
        <w:t>Environmental Modelling and Software</w:t>
      </w:r>
      <w:r w:rsidRPr="00796DA8">
        <w:rPr>
          <w:rFonts w:cs="Times New Roman"/>
          <w:noProof/>
        </w:rPr>
        <w:t xml:space="preserve">, </w:t>
      </w:r>
      <w:r w:rsidRPr="00796DA8">
        <w:rPr>
          <w:rFonts w:cs="Times New Roman"/>
          <w:i/>
          <w:iCs/>
          <w:noProof/>
        </w:rPr>
        <w:t>134</w:t>
      </w:r>
      <w:r w:rsidRPr="00796DA8">
        <w:rPr>
          <w:rFonts w:cs="Times New Roman"/>
          <w:noProof/>
        </w:rPr>
        <w:t>, 104868. https://doi.org/10.1016/j.envsoft.2020.104868</w:t>
      </w:r>
    </w:p>
    <w:p w14:paraId="26C64C6B"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Siddik, M. S., Tulip, S. S., Rahman, A., Islam, M. N., Haghighi, A. T., &amp; Mustafa, S. M. T. (2022). The impact of land use and land cover change on groundwater recharge in northwestern Bangladesh. Journal of Environmental Management. https://doi.org/10.1016/j.jenvman.2022.115130</w:t>
      </w:r>
    </w:p>
    <w:p w14:paraId="1E7F44D5"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Ejepu, J. S., Jimoh, M. O., Abdullahi, S., &amp; Mba, M. A. (2022). Groundwater Exploration Using Multi Criteria Decision Analysis and Analytic Hierarchy Process in Federal Capital Territory, Abuja, Central Nigeria. International Journal of Geosciences. https://doi.org/10.4236/ijg.2022.131003</w:t>
      </w:r>
    </w:p>
    <w:p w14:paraId="4EB4E168"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Yidana, S. M., Banoeng-Yakubo, B., Aliou, A. S., &amp; Akabzaa, T. M. (2012). Groundwater quality in some Voltaian and Birimian aquifers in northern Ghana—application of mulitvariate statistical methods and geographic information systems. Hydrological Sciences Journal, 57(6), 1168–1183. https://doi.org/10.1080/02626667.2012.693612</w:t>
      </w:r>
    </w:p>
    <w:p w14:paraId="09432193" w14:textId="77777777" w:rsidR="00796DA8"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Zango, M. S., Anim-Gyampo, M., Gibrilla, A., Pelig-Ba, K. B., &amp; Okofo, L. B. (2022). Groundwater recharge and dating in crystalline basement aquifers of Vea catchment: An integrated environmental tracers’ approach. Scientific African https://doi.org/10.1016/j.sciaf.2022.e01505</w:t>
      </w:r>
    </w:p>
    <w:p w14:paraId="7C3557EE" w14:textId="617504FD" w:rsidR="00CF7481" w:rsidRPr="00796DA8" w:rsidRDefault="00796DA8" w:rsidP="0098111A">
      <w:pPr>
        <w:widowControl w:val="0"/>
        <w:autoSpaceDE w:val="0"/>
        <w:autoSpaceDN w:val="0"/>
        <w:adjustRightInd w:val="0"/>
        <w:spacing w:after="0" w:line="240" w:lineRule="auto"/>
        <w:ind w:left="2520"/>
        <w:rPr>
          <w:rFonts w:cs="Times New Roman"/>
          <w:noProof/>
        </w:rPr>
      </w:pPr>
      <w:r w:rsidRPr="00796DA8">
        <w:rPr>
          <w:rFonts w:cs="Times New Roman"/>
          <w:noProof/>
        </w:rPr>
        <w:t>Zarate, E., Hobley, D. E. J., MacDonald, A. M., Swift, R. T., Chambers, J. E., Kashaigili, J. J., Mutayoba, E., Taylor, R. G., &amp; Cuthbert, M. O. (2021). The role of superficial geology in controlling groundwater recharge in the weathered crystalline basement of semi-arid Tanzania. Journal of Hydrology: Regional Studies, 36, 100833. https://doi.org/10.1016/j.ejrh.2021.100833</w:t>
      </w:r>
    </w:p>
    <w:p w14:paraId="1F6FFF82" w14:textId="3515872A" w:rsidR="003E09C9" w:rsidRPr="00D00F16" w:rsidRDefault="003E09C9" w:rsidP="0098111A">
      <w:pPr>
        <w:widowControl w:val="0"/>
        <w:autoSpaceDE w:val="0"/>
        <w:autoSpaceDN w:val="0"/>
        <w:adjustRightInd w:val="0"/>
        <w:spacing w:after="0" w:line="276" w:lineRule="auto"/>
        <w:ind w:left="0"/>
      </w:pPr>
      <w:r w:rsidRPr="00D00F16">
        <w:fldChar w:fldCharType="end"/>
      </w:r>
    </w:p>
    <w:sectPr w:rsidR="003E09C9" w:rsidRPr="00D00F16" w:rsidSect="00A40DCF">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7B6AC" w14:textId="77777777" w:rsidR="00C526D3" w:rsidRDefault="00C526D3" w:rsidP="008E0E8A">
      <w:pPr>
        <w:spacing w:after="0" w:line="240" w:lineRule="auto"/>
      </w:pPr>
      <w:r>
        <w:separator/>
      </w:r>
    </w:p>
  </w:endnote>
  <w:endnote w:type="continuationSeparator" w:id="0">
    <w:p w14:paraId="0993393B" w14:textId="77777777" w:rsidR="00C526D3" w:rsidRDefault="00C526D3" w:rsidP="008E0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1153" w14:textId="77777777" w:rsidR="00092FAB" w:rsidRDefault="00092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2623880"/>
      <w:docPartObj>
        <w:docPartGallery w:val="Page Numbers (Bottom of Page)"/>
        <w:docPartUnique/>
      </w:docPartObj>
    </w:sdtPr>
    <w:sdtEndPr>
      <w:rPr>
        <w:noProof/>
      </w:rPr>
    </w:sdtEndPr>
    <w:sdtContent>
      <w:p w14:paraId="0DDD674D" w14:textId="2C5A85CA" w:rsidR="00D03296" w:rsidRDefault="00D03296">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28A1ECCE" w14:textId="77777777" w:rsidR="00D03296" w:rsidRDefault="00D03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62139" w14:textId="77777777" w:rsidR="00092FAB" w:rsidRDefault="00092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3E8EC" w14:textId="77777777" w:rsidR="00C526D3" w:rsidRDefault="00C526D3" w:rsidP="008E0E8A">
      <w:pPr>
        <w:spacing w:after="0" w:line="240" w:lineRule="auto"/>
      </w:pPr>
      <w:r>
        <w:separator/>
      </w:r>
    </w:p>
  </w:footnote>
  <w:footnote w:type="continuationSeparator" w:id="0">
    <w:p w14:paraId="52B86194" w14:textId="77777777" w:rsidR="00C526D3" w:rsidRDefault="00C526D3" w:rsidP="008E0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F63DD" w14:textId="237D599D" w:rsidR="00092FAB" w:rsidRDefault="00000000">
    <w:pPr>
      <w:pStyle w:val="Header"/>
    </w:pPr>
    <w:r>
      <w:rPr>
        <w:noProof/>
      </w:rPr>
      <w:pict w14:anchorId="3F00F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764157" o:spid="_x0000_s1026"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9FE43" w14:textId="3CB908B2" w:rsidR="00092FAB" w:rsidRDefault="00000000">
    <w:pPr>
      <w:pStyle w:val="Header"/>
    </w:pPr>
    <w:r>
      <w:rPr>
        <w:noProof/>
      </w:rPr>
      <w:pict w14:anchorId="56D82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764158" o:spid="_x0000_s1027"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E9BD0" w14:textId="71AF49E6" w:rsidR="00092FAB" w:rsidRDefault="00000000">
    <w:pPr>
      <w:pStyle w:val="Header"/>
    </w:pPr>
    <w:r>
      <w:rPr>
        <w:noProof/>
      </w:rPr>
      <w:pict w14:anchorId="52145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764156" o:spid="_x0000_s1025"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40D30"/>
    <w:multiLevelType w:val="hybridMultilevel"/>
    <w:tmpl w:val="329292B8"/>
    <w:lvl w:ilvl="0" w:tplc="12386E8E">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D1376AA"/>
    <w:multiLevelType w:val="multilevel"/>
    <w:tmpl w:val="6ABC0974"/>
    <w:lvl w:ilvl="0">
      <w:start w:val="1"/>
      <w:numFmt w:val="decimal"/>
      <w:lvlText w:val="%1."/>
      <w:lvlJc w:val="left"/>
      <w:pPr>
        <w:ind w:left="1152" w:hanging="360"/>
      </w:pPr>
    </w:lvl>
    <w:lvl w:ilvl="1">
      <w:start w:val="3"/>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2" w15:restartNumberingAfterBreak="0">
    <w:nsid w:val="364E12AE"/>
    <w:multiLevelType w:val="hybridMultilevel"/>
    <w:tmpl w:val="696E409A"/>
    <w:lvl w:ilvl="0" w:tplc="64C4275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3AA45BE3"/>
    <w:multiLevelType w:val="hybridMultilevel"/>
    <w:tmpl w:val="CCD6DB06"/>
    <w:lvl w:ilvl="0" w:tplc="FFFFFFFF">
      <w:start w:val="1"/>
      <w:numFmt w:val="lowerRoman"/>
      <w:lvlText w:val="%1."/>
      <w:lvlJc w:val="right"/>
      <w:pPr>
        <w:ind w:left="504" w:hanging="360"/>
      </w:pPr>
      <w:rPr>
        <w:rFonts w:hint="default"/>
      </w:rPr>
    </w:lvl>
    <w:lvl w:ilvl="1" w:tplc="FFFFFFFF" w:tentative="1">
      <w:start w:val="1"/>
      <w:numFmt w:val="lowerLetter"/>
      <w:lvlText w:val="%2."/>
      <w:lvlJc w:val="left"/>
      <w:pPr>
        <w:ind w:left="1224" w:hanging="360"/>
      </w:p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4" w15:restartNumberingAfterBreak="0">
    <w:nsid w:val="3BCA7A12"/>
    <w:multiLevelType w:val="hybridMultilevel"/>
    <w:tmpl w:val="75F22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5E2520"/>
    <w:multiLevelType w:val="multilevel"/>
    <w:tmpl w:val="3C5E2520"/>
    <w:lvl w:ilvl="0">
      <w:start w:val="1"/>
      <w:numFmt w:val="decimal"/>
      <w:lvlText w:val="%1."/>
      <w:lvlJc w:val="left"/>
      <w:pPr>
        <w:ind w:left="2778" w:hanging="360"/>
      </w:pPr>
    </w:lvl>
    <w:lvl w:ilvl="1">
      <w:start w:val="1"/>
      <w:numFmt w:val="lowerLetter"/>
      <w:lvlText w:val="%2."/>
      <w:lvlJc w:val="left"/>
      <w:pPr>
        <w:ind w:left="3498" w:hanging="360"/>
      </w:pPr>
    </w:lvl>
    <w:lvl w:ilvl="2">
      <w:start w:val="1"/>
      <w:numFmt w:val="lowerRoman"/>
      <w:lvlText w:val="%3."/>
      <w:lvlJc w:val="right"/>
      <w:pPr>
        <w:ind w:left="4218" w:hanging="180"/>
      </w:pPr>
    </w:lvl>
    <w:lvl w:ilvl="3">
      <w:start w:val="1"/>
      <w:numFmt w:val="decimal"/>
      <w:lvlText w:val="%4."/>
      <w:lvlJc w:val="left"/>
      <w:pPr>
        <w:ind w:left="4938" w:hanging="360"/>
      </w:pPr>
    </w:lvl>
    <w:lvl w:ilvl="4">
      <w:start w:val="1"/>
      <w:numFmt w:val="lowerLetter"/>
      <w:lvlText w:val="%5."/>
      <w:lvlJc w:val="left"/>
      <w:pPr>
        <w:ind w:left="5658" w:hanging="360"/>
      </w:pPr>
    </w:lvl>
    <w:lvl w:ilvl="5">
      <w:start w:val="1"/>
      <w:numFmt w:val="lowerRoman"/>
      <w:lvlText w:val="%6."/>
      <w:lvlJc w:val="right"/>
      <w:pPr>
        <w:ind w:left="6378" w:hanging="180"/>
      </w:pPr>
    </w:lvl>
    <w:lvl w:ilvl="6">
      <w:start w:val="1"/>
      <w:numFmt w:val="decimal"/>
      <w:lvlText w:val="%7."/>
      <w:lvlJc w:val="left"/>
      <w:pPr>
        <w:ind w:left="7098" w:hanging="360"/>
      </w:pPr>
    </w:lvl>
    <w:lvl w:ilvl="7">
      <w:start w:val="1"/>
      <w:numFmt w:val="lowerLetter"/>
      <w:lvlText w:val="%8."/>
      <w:lvlJc w:val="left"/>
      <w:pPr>
        <w:ind w:left="7818" w:hanging="360"/>
      </w:pPr>
    </w:lvl>
    <w:lvl w:ilvl="8">
      <w:start w:val="1"/>
      <w:numFmt w:val="lowerRoman"/>
      <w:lvlText w:val="%9."/>
      <w:lvlJc w:val="right"/>
      <w:pPr>
        <w:ind w:left="8538" w:hanging="180"/>
      </w:pPr>
    </w:lvl>
  </w:abstractNum>
  <w:abstractNum w:abstractNumId="6" w15:restartNumberingAfterBreak="0">
    <w:nsid w:val="433F076F"/>
    <w:multiLevelType w:val="hybridMultilevel"/>
    <w:tmpl w:val="E6169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E66C5"/>
    <w:multiLevelType w:val="multilevel"/>
    <w:tmpl w:val="B1CA1B6A"/>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8" w15:restartNumberingAfterBreak="0">
    <w:nsid w:val="6B7E09C1"/>
    <w:multiLevelType w:val="hybridMultilevel"/>
    <w:tmpl w:val="AFF0264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16cid:durableId="2009400559">
    <w:abstractNumId w:val="5"/>
  </w:num>
  <w:num w:numId="2" w16cid:durableId="1818062433">
    <w:abstractNumId w:val="4"/>
  </w:num>
  <w:num w:numId="3" w16cid:durableId="301347441">
    <w:abstractNumId w:val="7"/>
  </w:num>
  <w:num w:numId="4" w16cid:durableId="1675381781">
    <w:abstractNumId w:val="1"/>
  </w:num>
  <w:num w:numId="5" w16cid:durableId="398289085">
    <w:abstractNumId w:val="8"/>
  </w:num>
  <w:num w:numId="6" w16cid:durableId="765810645">
    <w:abstractNumId w:val="0"/>
  </w:num>
  <w:num w:numId="7" w16cid:durableId="400757316">
    <w:abstractNumId w:val="2"/>
  </w:num>
  <w:num w:numId="8" w16cid:durableId="122235089">
    <w:abstractNumId w:val="3"/>
  </w:num>
  <w:num w:numId="9" w16cid:durableId="2197483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yNTU2NDAyMDQxMzdU0lEKTi0uzszPAykwrAUAZz8ucywAAAA="/>
  </w:docVars>
  <w:rsids>
    <w:rsidRoot w:val="00DF2CC7"/>
    <w:rsid w:val="0000442C"/>
    <w:rsid w:val="00005E54"/>
    <w:rsid w:val="00006C93"/>
    <w:rsid w:val="00011DE3"/>
    <w:rsid w:val="00017B78"/>
    <w:rsid w:val="00023432"/>
    <w:rsid w:val="00024812"/>
    <w:rsid w:val="000275D1"/>
    <w:rsid w:val="00031537"/>
    <w:rsid w:val="0003695D"/>
    <w:rsid w:val="00037F25"/>
    <w:rsid w:val="00040B93"/>
    <w:rsid w:val="0004556C"/>
    <w:rsid w:val="000535C2"/>
    <w:rsid w:val="00061F07"/>
    <w:rsid w:val="00083C0A"/>
    <w:rsid w:val="00084B9D"/>
    <w:rsid w:val="000906CE"/>
    <w:rsid w:val="00091ADA"/>
    <w:rsid w:val="00092FAB"/>
    <w:rsid w:val="00095412"/>
    <w:rsid w:val="000A44C6"/>
    <w:rsid w:val="000A6D61"/>
    <w:rsid w:val="000B027F"/>
    <w:rsid w:val="000C04FA"/>
    <w:rsid w:val="000C1158"/>
    <w:rsid w:val="000C25ED"/>
    <w:rsid w:val="000E2A6E"/>
    <w:rsid w:val="000E35E8"/>
    <w:rsid w:val="000E4061"/>
    <w:rsid w:val="000E56C1"/>
    <w:rsid w:val="000F7317"/>
    <w:rsid w:val="0010250B"/>
    <w:rsid w:val="00112B3D"/>
    <w:rsid w:val="00113992"/>
    <w:rsid w:val="001348D5"/>
    <w:rsid w:val="0013581F"/>
    <w:rsid w:val="00136F95"/>
    <w:rsid w:val="00137CE8"/>
    <w:rsid w:val="001402BE"/>
    <w:rsid w:val="00141C2C"/>
    <w:rsid w:val="0014492B"/>
    <w:rsid w:val="0014525C"/>
    <w:rsid w:val="00167449"/>
    <w:rsid w:val="00170945"/>
    <w:rsid w:val="00171EBD"/>
    <w:rsid w:val="001765D4"/>
    <w:rsid w:val="00180E14"/>
    <w:rsid w:val="001906E3"/>
    <w:rsid w:val="001922AA"/>
    <w:rsid w:val="001944CE"/>
    <w:rsid w:val="001A19A4"/>
    <w:rsid w:val="001A671E"/>
    <w:rsid w:val="001B39A6"/>
    <w:rsid w:val="001E0E9D"/>
    <w:rsid w:val="001E65C3"/>
    <w:rsid w:val="001F5E0F"/>
    <w:rsid w:val="00203C5D"/>
    <w:rsid w:val="00207AE5"/>
    <w:rsid w:val="00207C48"/>
    <w:rsid w:val="00207F75"/>
    <w:rsid w:val="00217248"/>
    <w:rsid w:val="00217999"/>
    <w:rsid w:val="00224CEB"/>
    <w:rsid w:val="00230025"/>
    <w:rsid w:val="00230D20"/>
    <w:rsid w:val="00231980"/>
    <w:rsid w:val="00237870"/>
    <w:rsid w:val="00240563"/>
    <w:rsid w:val="00241A50"/>
    <w:rsid w:val="0024263B"/>
    <w:rsid w:val="00244993"/>
    <w:rsid w:val="00254F0F"/>
    <w:rsid w:val="0025721E"/>
    <w:rsid w:val="00264E8F"/>
    <w:rsid w:val="00265F1C"/>
    <w:rsid w:val="00267FF3"/>
    <w:rsid w:val="0027072C"/>
    <w:rsid w:val="002712AD"/>
    <w:rsid w:val="00276A31"/>
    <w:rsid w:val="0028699B"/>
    <w:rsid w:val="002873E8"/>
    <w:rsid w:val="002917CA"/>
    <w:rsid w:val="002951EE"/>
    <w:rsid w:val="002A013D"/>
    <w:rsid w:val="002A02F5"/>
    <w:rsid w:val="002A0AFD"/>
    <w:rsid w:val="002A1E60"/>
    <w:rsid w:val="002A2397"/>
    <w:rsid w:val="002A4065"/>
    <w:rsid w:val="002A4451"/>
    <w:rsid w:val="002A7D74"/>
    <w:rsid w:val="002B0509"/>
    <w:rsid w:val="002B3159"/>
    <w:rsid w:val="002B5939"/>
    <w:rsid w:val="002C0331"/>
    <w:rsid w:val="002C11A3"/>
    <w:rsid w:val="002D0A5D"/>
    <w:rsid w:val="002D1788"/>
    <w:rsid w:val="002D51CE"/>
    <w:rsid w:val="002D7CC6"/>
    <w:rsid w:val="002F23D0"/>
    <w:rsid w:val="002F3127"/>
    <w:rsid w:val="0030606A"/>
    <w:rsid w:val="003109B8"/>
    <w:rsid w:val="00313AB8"/>
    <w:rsid w:val="00316761"/>
    <w:rsid w:val="0032198B"/>
    <w:rsid w:val="0032660A"/>
    <w:rsid w:val="00330E61"/>
    <w:rsid w:val="00333071"/>
    <w:rsid w:val="003350BA"/>
    <w:rsid w:val="0033553C"/>
    <w:rsid w:val="00337552"/>
    <w:rsid w:val="003423C0"/>
    <w:rsid w:val="003448CE"/>
    <w:rsid w:val="00344DBA"/>
    <w:rsid w:val="003460DA"/>
    <w:rsid w:val="0036185D"/>
    <w:rsid w:val="0036227A"/>
    <w:rsid w:val="003712E6"/>
    <w:rsid w:val="00373915"/>
    <w:rsid w:val="00373D46"/>
    <w:rsid w:val="00381A78"/>
    <w:rsid w:val="00391348"/>
    <w:rsid w:val="00392FF9"/>
    <w:rsid w:val="0039460F"/>
    <w:rsid w:val="003A371D"/>
    <w:rsid w:val="003B4DE7"/>
    <w:rsid w:val="003C01C4"/>
    <w:rsid w:val="003C2733"/>
    <w:rsid w:val="003C6053"/>
    <w:rsid w:val="003D3299"/>
    <w:rsid w:val="003D39DA"/>
    <w:rsid w:val="003D58C4"/>
    <w:rsid w:val="003D720E"/>
    <w:rsid w:val="003E0911"/>
    <w:rsid w:val="003E09C9"/>
    <w:rsid w:val="003E29D8"/>
    <w:rsid w:val="003E4DD2"/>
    <w:rsid w:val="003E50CC"/>
    <w:rsid w:val="003E54F7"/>
    <w:rsid w:val="003F590C"/>
    <w:rsid w:val="0040619A"/>
    <w:rsid w:val="004111A1"/>
    <w:rsid w:val="00421889"/>
    <w:rsid w:val="00422F18"/>
    <w:rsid w:val="00427199"/>
    <w:rsid w:val="00427DDD"/>
    <w:rsid w:val="00432373"/>
    <w:rsid w:val="004374BA"/>
    <w:rsid w:val="00443D67"/>
    <w:rsid w:val="00451C17"/>
    <w:rsid w:val="00451E7C"/>
    <w:rsid w:val="00452346"/>
    <w:rsid w:val="00455E9F"/>
    <w:rsid w:val="0046193F"/>
    <w:rsid w:val="004623E0"/>
    <w:rsid w:val="004624D5"/>
    <w:rsid w:val="00464779"/>
    <w:rsid w:val="0047065B"/>
    <w:rsid w:val="00471C10"/>
    <w:rsid w:val="004723B0"/>
    <w:rsid w:val="00473992"/>
    <w:rsid w:val="00474A2D"/>
    <w:rsid w:val="00476F4E"/>
    <w:rsid w:val="00481E2C"/>
    <w:rsid w:val="004864AB"/>
    <w:rsid w:val="004947F9"/>
    <w:rsid w:val="004B47EB"/>
    <w:rsid w:val="004C0E89"/>
    <w:rsid w:val="004C6B58"/>
    <w:rsid w:val="004D25D4"/>
    <w:rsid w:val="004D5375"/>
    <w:rsid w:val="004D5ED4"/>
    <w:rsid w:val="004E5400"/>
    <w:rsid w:val="004F2B7C"/>
    <w:rsid w:val="004F2DDE"/>
    <w:rsid w:val="004F580F"/>
    <w:rsid w:val="004F6B27"/>
    <w:rsid w:val="00502625"/>
    <w:rsid w:val="005055DD"/>
    <w:rsid w:val="0051182E"/>
    <w:rsid w:val="005132F5"/>
    <w:rsid w:val="00522F25"/>
    <w:rsid w:val="005257CF"/>
    <w:rsid w:val="00527334"/>
    <w:rsid w:val="00537236"/>
    <w:rsid w:val="0054643A"/>
    <w:rsid w:val="0054765A"/>
    <w:rsid w:val="00547B25"/>
    <w:rsid w:val="0055137D"/>
    <w:rsid w:val="00556201"/>
    <w:rsid w:val="00556218"/>
    <w:rsid w:val="005666CA"/>
    <w:rsid w:val="00567D44"/>
    <w:rsid w:val="00574B3E"/>
    <w:rsid w:val="00574DF3"/>
    <w:rsid w:val="00576A71"/>
    <w:rsid w:val="0057783D"/>
    <w:rsid w:val="00581466"/>
    <w:rsid w:val="00590EA2"/>
    <w:rsid w:val="0059123E"/>
    <w:rsid w:val="0059497D"/>
    <w:rsid w:val="00596689"/>
    <w:rsid w:val="005A5429"/>
    <w:rsid w:val="005B3C44"/>
    <w:rsid w:val="005C0E72"/>
    <w:rsid w:val="005C4B72"/>
    <w:rsid w:val="005C7CDA"/>
    <w:rsid w:val="005D7533"/>
    <w:rsid w:val="005D7A0E"/>
    <w:rsid w:val="005E1616"/>
    <w:rsid w:val="0060180A"/>
    <w:rsid w:val="0060369F"/>
    <w:rsid w:val="00605D05"/>
    <w:rsid w:val="006137C9"/>
    <w:rsid w:val="00613924"/>
    <w:rsid w:val="00616B50"/>
    <w:rsid w:val="0062189D"/>
    <w:rsid w:val="00622464"/>
    <w:rsid w:val="00631F27"/>
    <w:rsid w:val="00634B3E"/>
    <w:rsid w:val="00634D03"/>
    <w:rsid w:val="00642FD9"/>
    <w:rsid w:val="00643546"/>
    <w:rsid w:val="00646114"/>
    <w:rsid w:val="00646A3B"/>
    <w:rsid w:val="00653938"/>
    <w:rsid w:val="00656E77"/>
    <w:rsid w:val="006602E2"/>
    <w:rsid w:val="00662F92"/>
    <w:rsid w:val="00687640"/>
    <w:rsid w:val="006A4D8C"/>
    <w:rsid w:val="006A6ED9"/>
    <w:rsid w:val="006B08DE"/>
    <w:rsid w:val="006B3172"/>
    <w:rsid w:val="006B512C"/>
    <w:rsid w:val="006C07BD"/>
    <w:rsid w:val="006C1D60"/>
    <w:rsid w:val="006C1DCD"/>
    <w:rsid w:val="006C212D"/>
    <w:rsid w:val="006D4065"/>
    <w:rsid w:val="006D4271"/>
    <w:rsid w:val="006E0E57"/>
    <w:rsid w:val="006E24CA"/>
    <w:rsid w:val="006E3B5E"/>
    <w:rsid w:val="006E59B7"/>
    <w:rsid w:val="006F1B4E"/>
    <w:rsid w:val="006F57CF"/>
    <w:rsid w:val="00701D7B"/>
    <w:rsid w:val="007075B8"/>
    <w:rsid w:val="0071081A"/>
    <w:rsid w:val="00712398"/>
    <w:rsid w:val="007162C5"/>
    <w:rsid w:val="00725669"/>
    <w:rsid w:val="007319A9"/>
    <w:rsid w:val="00745F53"/>
    <w:rsid w:val="0075262A"/>
    <w:rsid w:val="00775742"/>
    <w:rsid w:val="007770E4"/>
    <w:rsid w:val="007821A1"/>
    <w:rsid w:val="00795829"/>
    <w:rsid w:val="00796DA8"/>
    <w:rsid w:val="007A7CB8"/>
    <w:rsid w:val="007D2C35"/>
    <w:rsid w:val="007D3D48"/>
    <w:rsid w:val="007D53C4"/>
    <w:rsid w:val="007D6677"/>
    <w:rsid w:val="007D6B12"/>
    <w:rsid w:val="007E117C"/>
    <w:rsid w:val="007E6DFB"/>
    <w:rsid w:val="007F1B1D"/>
    <w:rsid w:val="007F504C"/>
    <w:rsid w:val="008109F2"/>
    <w:rsid w:val="00810C4D"/>
    <w:rsid w:val="0082165B"/>
    <w:rsid w:val="008261D4"/>
    <w:rsid w:val="00826243"/>
    <w:rsid w:val="008303A9"/>
    <w:rsid w:val="0083052A"/>
    <w:rsid w:val="00832D01"/>
    <w:rsid w:val="008334C0"/>
    <w:rsid w:val="0083574E"/>
    <w:rsid w:val="00837467"/>
    <w:rsid w:val="008422A3"/>
    <w:rsid w:val="00843565"/>
    <w:rsid w:val="00847CBD"/>
    <w:rsid w:val="008536DD"/>
    <w:rsid w:val="00855113"/>
    <w:rsid w:val="0086061B"/>
    <w:rsid w:val="008618EA"/>
    <w:rsid w:val="00871C40"/>
    <w:rsid w:val="00874FBC"/>
    <w:rsid w:val="00882258"/>
    <w:rsid w:val="00884CFF"/>
    <w:rsid w:val="00886367"/>
    <w:rsid w:val="00891C3E"/>
    <w:rsid w:val="00897C9A"/>
    <w:rsid w:val="008A2CA9"/>
    <w:rsid w:val="008B18C5"/>
    <w:rsid w:val="008B4FA6"/>
    <w:rsid w:val="008B586F"/>
    <w:rsid w:val="008C3EA8"/>
    <w:rsid w:val="008C71F4"/>
    <w:rsid w:val="008D0EE0"/>
    <w:rsid w:val="008E0E8A"/>
    <w:rsid w:val="008E5718"/>
    <w:rsid w:val="008F01D6"/>
    <w:rsid w:val="008F0500"/>
    <w:rsid w:val="00902532"/>
    <w:rsid w:val="00907A2B"/>
    <w:rsid w:val="00911F09"/>
    <w:rsid w:val="00912CBB"/>
    <w:rsid w:val="0091349C"/>
    <w:rsid w:val="00917A63"/>
    <w:rsid w:val="009221D0"/>
    <w:rsid w:val="009348F4"/>
    <w:rsid w:val="00937D87"/>
    <w:rsid w:val="009527A5"/>
    <w:rsid w:val="00952EEA"/>
    <w:rsid w:val="009561B0"/>
    <w:rsid w:val="009638F3"/>
    <w:rsid w:val="00970BC2"/>
    <w:rsid w:val="0098111A"/>
    <w:rsid w:val="009908B9"/>
    <w:rsid w:val="00992DA3"/>
    <w:rsid w:val="009A12D5"/>
    <w:rsid w:val="009A6756"/>
    <w:rsid w:val="009B197C"/>
    <w:rsid w:val="009B3397"/>
    <w:rsid w:val="009B5416"/>
    <w:rsid w:val="009B6248"/>
    <w:rsid w:val="009C16E8"/>
    <w:rsid w:val="009C419B"/>
    <w:rsid w:val="009E172C"/>
    <w:rsid w:val="009E2A68"/>
    <w:rsid w:val="009E5F62"/>
    <w:rsid w:val="009E6B97"/>
    <w:rsid w:val="00A012C8"/>
    <w:rsid w:val="00A04A1E"/>
    <w:rsid w:val="00A06477"/>
    <w:rsid w:val="00A2418C"/>
    <w:rsid w:val="00A26056"/>
    <w:rsid w:val="00A40DCF"/>
    <w:rsid w:val="00A42735"/>
    <w:rsid w:val="00A55B8B"/>
    <w:rsid w:val="00A63259"/>
    <w:rsid w:val="00A7458D"/>
    <w:rsid w:val="00A749FF"/>
    <w:rsid w:val="00A74BB4"/>
    <w:rsid w:val="00A765B0"/>
    <w:rsid w:val="00A77020"/>
    <w:rsid w:val="00A86357"/>
    <w:rsid w:val="00A9495A"/>
    <w:rsid w:val="00A97B85"/>
    <w:rsid w:val="00AA28C1"/>
    <w:rsid w:val="00AA5043"/>
    <w:rsid w:val="00AB1587"/>
    <w:rsid w:val="00AB21A3"/>
    <w:rsid w:val="00AC1A97"/>
    <w:rsid w:val="00AD0A4D"/>
    <w:rsid w:val="00AD10F3"/>
    <w:rsid w:val="00AD28E7"/>
    <w:rsid w:val="00AD2BAE"/>
    <w:rsid w:val="00AE5CE1"/>
    <w:rsid w:val="00AF495A"/>
    <w:rsid w:val="00AF55FC"/>
    <w:rsid w:val="00B00CB8"/>
    <w:rsid w:val="00B06D07"/>
    <w:rsid w:val="00B13201"/>
    <w:rsid w:val="00B13DE2"/>
    <w:rsid w:val="00B179B1"/>
    <w:rsid w:val="00B203CB"/>
    <w:rsid w:val="00B2127A"/>
    <w:rsid w:val="00B216F3"/>
    <w:rsid w:val="00B23FCC"/>
    <w:rsid w:val="00B24F57"/>
    <w:rsid w:val="00B26723"/>
    <w:rsid w:val="00B348B5"/>
    <w:rsid w:val="00B348CC"/>
    <w:rsid w:val="00B378D0"/>
    <w:rsid w:val="00B413E2"/>
    <w:rsid w:val="00B51A12"/>
    <w:rsid w:val="00B53D39"/>
    <w:rsid w:val="00B615D1"/>
    <w:rsid w:val="00B75AF1"/>
    <w:rsid w:val="00B75BEF"/>
    <w:rsid w:val="00B84065"/>
    <w:rsid w:val="00B92C78"/>
    <w:rsid w:val="00B94198"/>
    <w:rsid w:val="00B9439F"/>
    <w:rsid w:val="00B944DC"/>
    <w:rsid w:val="00BA3AFB"/>
    <w:rsid w:val="00BB4343"/>
    <w:rsid w:val="00BC241B"/>
    <w:rsid w:val="00BC2895"/>
    <w:rsid w:val="00BC41D1"/>
    <w:rsid w:val="00BC59DA"/>
    <w:rsid w:val="00BD412F"/>
    <w:rsid w:val="00BE10E9"/>
    <w:rsid w:val="00BE6700"/>
    <w:rsid w:val="00BF02D1"/>
    <w:rsid w:val="00BF4E8D"/>
    <w:rsid w:val="00C01B38"/>
    <w:rsid w:val="00C045F1"/>
    <w:rsid w:val="00C04E24"/>
    <w:rsid w:val="00C05868"/>
    <w:rsid w:val="00C0774D"/>
    <w:rsid w:val="00C126A2"/>
    <w:rsid w:val="00C23A46"/>
    <w:rsid w:val="00C366E5"/>
    <w:rsid w:val="00C42B84"/>
    <w:rsid w:val="00C44699"/>
    <w:rsid w:val="00C50DF5"/>
    <w:rsid w:val="00C526D3"/>
    <w:rsid w:val="00C551F6"/>
    <w:rsid w:val="00C55513"/>
    <w:rsid w:val="00C60E15"/>
    <w:rsid w:val="00C6672C"/>
    <w:rsid w:val="00C72258"/>
    <w:rsid w:val="00C876A0"/>
    <w:rsid w:val="00C87B06"/>
    <w:rsid w:val="00C93AF6"/>
    <w:rsid w:val="00CA2767"/>
    <w:rsid w:val="00CA4C49"/>
    <w:rsid w:val="00CB2FA1"/>
    <w:rsid w:val="00CB3384"/>
    <w:rsid w:val="00CB6A2E"/>
    <w:rsid w:val="00CB75C2"/>
    <w:rsid w:val="00CB7AB4"/>
    <w:rsid w:val="00CD0750"/>
    <w:rsid w:val="00CD3FED"/>
    <w:rsid w:val="00CE1D47"/>
    <w:rsid w:val="00CE3CB6"/>
    <w:rsid w:val="00CE401E"/>
    <w:rsid w:val="00CF4DEF"/>
    <w:rsid w:val="00CF6901"/>
    <w:rsid w:val="00CF7481"/>
    <w:rsid w:val="00D00F16"/>
    <w:rsid w:val="00D03296"/>
    <w:rsid w:val="00D111C4"/>
    <w:rsid w:val="00D24F36"/>
    <w:rsid w:val="00D32E7E"/>
    <w:rsid w:val="00D35956"/>
    <w:rsid w:val="00D404E2"/>
    <w:rsid w:val="00D40B68"/>
    <w:rsid w:val="00D50239"/>
    <w:rsid w:val="00D537E4"/>
    <w:rsid w:val="00D55771"/>
    <w:rsid w:val="00D6571D"/>
    <w:rsid w:val="00D65AEA"/>
    <w:rsid w:val="00D72B49"/>
    <w:rsid w:val="00D74D49"/>
    <w:rsid w:val="00D96C19"/>
    <w:rsid w:val="00DA42F1"/>
    <w:rsid w:val="00DB33B6"/>
    <w:rsid w:val="00DB53D5"/>
    <w:rsid w:val="00DB7FF5"/>
    <w:rsid w:val="00DE05AB"/>
    <w:rsid w:val="00DE34D0"/>
    <w:rsid w:val="00DE3C60"/>
    <w:rsid w:val="00DE3FF4"/>
    <w:rsid w:val="00DF2CC7"/>
    <w:rsid w:val="00DF3387"/>
    <w:rsid w:val="00E022A1"/>
    <w:rsid w:val="00E0556C"/>
    <w:rsid w:val="00E072B4"/>
    <w:rsid w:val="00E10D6E"/>
    <w:rsid w:val="00E119E1"/>
    <w:rsid w:val="00E1215C"/>
    <w:rsid w:val="00E13130"/>
    <w:rsid w:val="00E16BEA"/>
    <w:rsid w:val="00E23A25"/>
    <w:rsid w:val="00E27789"/>
    <w:rsid w:val="00E417EF"/>
    <w:rsid w:val="00E4516A"/>
    <w:rsid w:val="00E53A69"/>
    <w:rsid w:val="00E63B6A"/>
    <w:rsid w:val="00E65E1D"/>
    <w:rsid w:val="00E66E64"/>
    <w:rsid w:val="00E70F12"/>
    <w:rsid w:val="00E710EE"/>
    <w:rsid w:val="00E84444"/>
    <w:rsid w:val="00EB0398"/>
    <w:rsid w:val="00EB2307"/>
    <w:rsid w:val="00EB260B"/>
    <w:rsid w:val="00EB2FCE"/>
    <w:rsid w:val="00EC0572"/>
    <w:rsid w:val="00EC23D8"/>
    <w:rsid w:val="00EC3E09"/>
    <w:rsid w:val="00ED1787"/>
    <w:rsid w:val="00ED1DBB"/>
    <w:rsid w:val="00ED2B46"/>
    <w:rsid w:val="00ED5CC1"/>
    <w:rsid w:val="00EE150F"/>
    <w:rsid w:val="00EE2A5B"/>
    <w:rsid w:val="00EE465E"/>
    <w:rsid w:val="00F02B09"/>
    <w:rsid w:val="00F04D3F"/>
    <w:rsid w:val="00F0510E"/>
    <w:rsid w:val="00F126FA"/>
    <w:rsid w:val="00F165E7"/>
    <w:rsid w:val="00F26A1D"/>
    <w:rsid w:val="00F52A76"/>
    <w:rsid w:val="00F64AB9"/>
    <w:rsid w:val="00F64C77"/>
    <w:rsid w:val="00F734D6"/>
    <w:rsid w:val="00F73B14"/>
    <w:rsid w:val="00F816B5"/>
    <w:rsid w:val="00F816D4"/>
    <w:rsid w:val="00F83E3B"/>
    <w:rsid w:val="00F8513B"/>
    <w:rsid w:val="00F85A61"/>
    <w:rsid w:val="00F87E00"/>
    <w:rsid w:val="00F907CF"/>
    <w:rsid w:val="00F91FFB"/>
    <w:rsid w:val="00F94BD6"/>
    <w:rsid w:val="00F94DFE"/>
    <w:rsid w:val="00F968C7"/>
    <w:rsid w:val="00FA25A8"/>
    <w:rsid w:val="00FA50AE"/>
    <w:rsid w:val="00FA64AC"/>
    <w:rsid w:val="00FA6EF7"/>
    <w:rsid w:val="00FA7CA5"/>
    <w:rsid w:val="00FB0F8C"/>
    <w:rsid w:val="00FB3188"/>
    <w:rsid w:val="00FB663D"/>
    <w:rsid w:val="00FB7D83"/>
    <w:rsid w:val="00FB7E83"/>
    <w:rsid w:val="00FC53F4"/>
    <w:rsid w:val="00FC77E1"/>
    <w:rsid w:val="00FD23A7"/>
    <w:rsid w:val="00FD5A4A"/>
    <w:rsid w:val="00FE143D"/>
    <w:rsid w:val="00FE1C6F"/>
    <w:rsid w:val="00FE6BA3"/>
    <w:rsid w:val="00FF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7208E"/>
  <w15:chartTrackingRefBased/>
  <w15:docId w15:val="{4C2E38DE-41CC-43B2-A795-44DF0FB2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CC7"/>
    <w:pPr>
      <w:spacing w:line="480" w:lineRule="auto"/>
      <w:ind w:left="432"/>
    </w:pPr>
    <w:rPr>
      <w:kern w:val="0"/>
      <w14:ligatures w14:val="none"/>
    </w:rPr>
  </w:style>
  <w:style w:type="paragraph" w:styleId="Heading1">
    <w:name w:val="heading 1"/>
    <w:next w:val="Normal"/>
    <w:link w:val="Heading1Char"/>
    <w:uiPriority w:val="9"/>
    <w:qFormat/>
    <w:rsid w:val="00DF2CC7"/>
    <w:pPr>
      <w:keepNext/>
      <w:keepLines/>
      <w:spacing w:after="379" w:line="265" w:lineRule="auto"/>
      <w:ind w:left="753" w:hanging="10"/>
      <w:outlineLvl w:val="0"/>
    </w:pPr>
    <w:rPr>
      <w:rFonts w:eastAsia="Times New Roman" w:cs="Times New Roman"/>
      <w:b/>
      <w:color w:val="000000"/>
      <w:kern w:val="0"/>
      <w:sz w:val="22"/>
      <w14:ligatures w14:val="none"/>
    </w:rPr>
  </w:style>
  <w:style w:type="paragraph" w:styleId="Heading2">
    <w:name w:val="heading 2"/>
    <w:basedOn w:val="Normal"/>
    <w:next w:val="Normal"/>
    <w:link w:val="Heading2Char"/>
    <w:uiPriority w:val="9"/>
    <w:unhideWhenUsed/>
    <w:qFormat/>
    <w:rsid w:val="005D75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84065"/>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840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4356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qFormat/>
    <w:rsid w:val="00FF040E"/>
    <w:pPr>
      <w:spacing w:before="120" w:after="280" w:line="259" w:lineRule="auto"/>
      <w:ind w:left="720"/>
    </w:pPr>
    <w:rPr>
      <w:kern w:val="2"/>
      <w14:ligatures w14:val="standardContextual"/>
    </w:rPr>
  </w:style>
  <w:style w:type="character" w:customStyle="1" w:styleId="StandardChar">
    <w:name w:val="Standard Char"/>
    <w:basedOn w:val="DefaultParagraphFont"/>
    <w:link w:val="Standard"/>
    <w:rsid w:val="00FF040E"/>
    <w:rPr>
      <w:rFonts w:ascii="Times New Roman" w:hAnsi="Times New Roman"/>
      <w:sz w:val="24"/>
    </w:rPr>
  </w:style>
  <w:style w:type="character" w:customStyle="1" w:styleId="Heading1Char">
    <w:name w:val="Heading 1 Char"/>
    <w:basedOn w:val="DefaultParagraphFont"/>
    <w:link w:val="Heading1"/>
    <w:uiPriority w:val="9"/>
    <w:qFormat/>
    <w:rsid w:val="00DF2CC7"/>
    <w:rPr>
      <w:rFonts w:eastAsia="Times New Roman" w:cs="Times New Roman"/>
      <w:b/>
      <w:color w:val="000000"/>
      <w:kern w:val="0"/>
      <w:sz w:val="22"/>
      <w14:ligatures w14:val="none"/>
    </w:rPr>
  </w:style>
  <w:style w:type="character" w:customStyle="1" w:styleId="Heading2Char">
    <w:name w:val="Heading 2 Char"/>
    <w:basedOn w:val="DefaultParagraphFont"/>
    <w:link w:val="Heading2"/>
    <w:uiPriority w:val="9"/>
    <w:qFormat/>
    <w:rsid w:val="005D7533"/>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B84065"/>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uiPriority w:val="9"/>
    <w:rsid w:val="00B84065"/>
    <w:rPr>
      <w:rFonts w:asciiTheme="majorHAnsi" w:eastAsiaTheme="majorEastAsia" w:hAnsiTheme="majorHAnsi" w:cstheme="majorBidi"/>
      <w:i/>
      <w:iCs/>
      <w:color w:val="2F5496" w:themeColor="accent1" w:themeShade="BF"/>
      <w:kern w:val="0"/>
      <w14:ligatures w14:val="none"/>
    </w:rPr>
  </w:style>
  <w:style w:type="paragraph" w:styleId="NoSpacing">
    <w:name w:val="No Spacing"/>
    <w:link w:val="NoSpacingChar"/>
    <w:uiPriority w:val="1"/>
    <w:qFormat/>
    <w:rsid w:val="00B84065"/>
    <w:pPr>
      <w:spacing w:after="0" w:line="240" w:lineRule="auto"/>
      <w:ind w:left="753" w:right="543" w:hanging="10"/>
      <w:jc w:val="both"/>
    </w:pPr>
    <w:rPr>
      <w:rFonts w:eastAsia="Times New Roman" w:cs="Times New Roman"/>
      <w:color w:val="000000"/>
      <w:kern w:val="0"/>
      <w:sz w:val="22"/>
      <w14:ligatures w14:val="none"/>
    </w:rPr>
  </w:style>
  <w:style w:type="table" w:styleId="TableGrid">
    <w:name w:val="Table Grid"/>
    <w:basedOn w:val="TableNormal"/>
    <w:uiPriority w:val="39"/>
    <w:rsid w:val="00B84065"/>
    <w:pPr>
      <w:spacing w:after="0" w:line="240" w:lineRule="auto"/>
      <w:ind w:left="432"/>
    </w:pPr>
    <w:rPr>
      <w:rFonts w:eastAsia="SimSu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84065"/>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B84065"/>
    <w:rPr>
      <w:rFonts w:eastAsia="Times New Roman" w:cs="Times New Roman"/>
      <w:color w:val="000000"/>
      <w:kern w:val="0"/>
      <w:sz w:val="22"/>
      <w14:ligatures w14:val="none"/>
    </w:rPr>
  </w:style>
  <w:style w:type="character" w:customStyle="1" w:styleId="Heading5Char">
    <w:name w:val="Heading 5 Char"/>
    <w:basedOn w:val="DefaultParagraphFont"/>
    <w:link w:val="Heading5"/>
    <w:uiPriority w:val="9"/>
    <w:rsid w:val="00843565"/>
    <w:rPr>
      <w:rFonts w:asciiTheme="majorHAnsi" w:eastAsiaTheme="majorEastAsia" w:hAnsiTheme="majorHAnsi" w:cstheme="majorBidi"/>
      <w:color w:val="2F5496" w:themeColor="accent1" w:themeShade="BF"/>
      <w:kern w:val="0"/>
      <w14:ligatures w14:val="none"/>
    </w:rPr>
  </w:style>
  <w:style w:type="character" w:styleId="Hyperlink">
    <w:name w:val="Hyperlink"/>
    <w:basedOn w:val="DefaultParagraphFont"/>
    <w:uiPriority w:val="99"/>
    <w:unhideWhenUsed/>
    <w:rsid w:val="00843565"/>
    <w:rPr>
      <w:color w:val="0000FF"/>
      <w:u w:val="single"/>
    </w:rPr>
  </w:style>
  <w:style w:type="paragraph" w:styleId="NormalWeb">
    <w:name w:val="Normal (Web)"/>
    <w:uiPriority w:val="99"/>
    <w:semiHidden/>
    <w:unhideWhenUsed/>
    <w:rsid w:val="00843565"/>
    <w:pPr>
      <w:spacing w:beforeAutospacing="1" w:after="0" w:afterAutospacing="1" w:line="240" w:lineRule="auto"/>
      <w:ind w:left="432"/>
    </w:pPr>
    <w:rPr>
      <w:rFonts w:eastAsia="SimSun" w:cs="Times New Roman"/>
      <w:kern w:val="0"/>
      <w:lang w:eastAsia="zh-CN"/>
      <w14:ligatures w14:val="none"/>
    </w:rPr>
  </w:style>
  <w:style w:type="paragraph" w:styleId="ListParagraph">
    <w:name w:val="List Paragraph"/>
    <w:basedOn w:val="Normal"/>
    <w:uiPriority w:val="34"/>
    <w:qFormat/>
    <w:rsid w:val="00843565"/>
    <w:pPr>
      <w:ind w:left="720"/>
      <w:contextualSpacing/>
    </w:pPr>
  </w:style>
  <w:style w:type="paragraph" w:styleId="Header">
    <w:name w:val="header"/>
    <w:basedOn w:val="Normal"/>
    <w:link w:val="HeaderChar"/>
    <w:uiPriority w:val="99"/>
    <w:unhideWhenUsed/>
    <w:rsid w:val="00843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565"/>
    <w:rPr>
      <w:kern w:val="0"/>
      <w14:ligatures w14:val="none"/>
    </w:rPr>
  </w:style>
  <w:style w:type="paragraph" w:styleId="Footer">
    <w:name w:val="footer"/>
    <w:basedOn w:val="Normal"/>
    <w:link w:val="FooterChar"/>
    <w:uiPriority w:val="99"/>
    <w:unhideWhenUsed/>
    <w:rsid w:val="00843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565"/>
    <w:rPr>
      <w:kern w:val="0"/>
      <w14:ligatures w14:val="none"/>
    </w:rPr>
  </w:style>
  <w:style w:type="character" w:styleId="PlaceholderText">
    <w:name w:val="Placeholder Text"/>
    <w:basedOn w:val="DefaultParagraphFont"/>
    <w:uiPriority w:val="99"/>
    <w:semiHidden/>
    <w:rsid w:val="00843565"/>
    <w:rPr>
      <w:color w:val="808080"/>
    </w:rPr>
  </w:style>
  <w:style w:type="character" w:customStyle="1" w:styleId="cursor-pointer">
    <w:name w:val="cursor-pointer"/>
    <w:basedOn w:val="DefaultParagraphFont"/>
    <w:rsid w:val="00843565"/>
  </w:style>
  <w:style w:type="paragraph" w:styleId="TOCHeading">
    <w:name w:val="TOC Heading"/>
    <w:basedOn w:val="Heading1"/>
    <w:next w:val="Normal"/>
    <w:uiPriority w:val="39"/>
    <w:unhideWhenUsed/>
    <w:qFormat/>
    <w:rsid w:val="00843565"/>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843565"/>
    <w:pPr>
      <w:spacing w:after="100"/>
      <w:ind w:left="0"/>
    </w:pPr>
  </w:style>
  <w:style w:type="paragraph" w:styleId="TOC2">
    <w:name w:val="toc 2"/>
    <w:basedOn w:val="Normal"/>
    <w:next w:val="Normal"/>
    <w:autoRedefine/>
    <w:uiPriority w:val="39"/>
    <w:unhideWhenUsed/>
    <w:rsid w:val="00843565"/>
    <w:pPr>
      <w:spacing w:after="100"/>
      <w:ind w:left="240"/>
    </w:pPr>
  </w:style>
  <w:style w:type="paragraph" w:styleId="TOC3">
    <w:name w:val="toc 3"/>
    <w:basedOn w:val="Normal"/>
    <w:next w:val="Normal"/>
    <w:autoRedefine/>
    <w:uiPriority w:val="39"/>
    <w:unhideWhenUsed/>
    <w:rsid w:val="00843565"/>
    <w:pPr>
      <w:spacing w:after="100"/>
      <w:ind w:left="480"/>
    </w:pPr>
  </w:style>
  <w:style w:type="paragraph" w:styleId="TableofFigures">
    <w:name w:val="table of figures"/>
    <w:basedOn w:val="Normal"/>
    <w:next w:val="Normal"/>
    <w:uiPriority w:val="99"/>
    <w:unhideWhenUsed/>
    <w:rsid w:val="00843565"/>
    <w:pPr>
      <w:spacing w:after="0"/>
      <w:ind w:left="0"/>
    </w:pPr>
  </w:style>
  <w:style w:type="character" w:styleId="Emphasis">
    <w:name w:val="Emphasis"/>
    <w:basedOn w:val="DefaultParagraphFont"/>
    <w:uiPriority w:val="20"/>
    <w:qFormat/>
    <w:rsid w:val="00CD0750"/>
    <w:rPr>
      <w:i/>
      <w:iCs/>
    </w:rPr>
  </w:style>
  <w:style w:type="character" w:styleId="LineNumber">
    <w:name w:val="line number"/>
    <w:basedOn w:val="DefaultParagraphFont"/>
    <w:uiPriority w:val="99"/>
    <w:semiHidden/>
    <w:unhideWhenUsed/>
    <w:rsid w:val="004623E0"/>
  </w:style>
  <w:style w:type="character" w:styleId="CommentReference">
    <w:name w:val="annotation reference"/>
    <w:basedOn w:val="DefaultParagraphFont"/>
    <w:uiPriority w:val="99"/>
    <w:semiHidden/>
    <w:unhideWhenUsed/>
    <w:rsid w:val="001906E3"/>
    <w:rPr>
      <w:sz w:val="16"/>
      <w:szCs w:val="16"/>
    </w:rPr>
  </w:style>
  <w:style w:type="paragraph" w:styleId="CommentText">
    <w:name w:val="annotation text"/>
    <w:basedOn w:val="Normal"/>
    <w:link w:val="CommentTextChar"/>
    <w:uiPriority w:val="99"/>
    <w:semiHidden/>
    <w:unhideWhenUsed/>
    <w:rsid w:val="001906E3"/>
    <w:pPr>
      <w:spacing w:line="240" w:lineRule="auto"/>
    </w:pPr>
    <w:rPr>
      <w:sz w:val="20"/>
      <w:szCs w:val="20"/>
    </w:rPr>
  </w:style>
  <w:style w:type="character" w:customStyle="1" w:styleId="CommentTextChar">
    <w:name w:val="Comment Text Char"/>
    <w:basedOn w:val="DefaultParagraphFont"/>
    <w:link w:val="CommentText"/>
    <w:uiPriority w:val="99"/>
    <w:semiHidden/>
    <w:rsid w:val="001906E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906E3"/>
    <w:rPr>
      <w:b/>
      <w:bCs/>
    </w:rPr>
  </w:style>
  <w:style w:type="character" w:customStyle="1" w:styleId="CommentSubjectChar">
    <w:name w:val="Comment Subject Char"/>
    <w:basedOn w:val="CommentTextChar"/>
    <w:link w:val="CommentSubject"/>
    <w:uiPriority w:val="99"/>
    <w:semiHidden/>
    <w:rsid w:val="001906E3"/>
    <w:rPr>
      <w:b/>
      <w:bCs/>
      <w:kern w:val="0"/>
      <w:sz w:val="20"/>
      <w:szCs w:val="20"/>
      <w14:ligatures w14:val="none"/>
    </w:rPr>
  </w:style>
  <w:style w:type="paragraph" w:styleId="BalloonText">
    <w:name w:val="Balloon Text"/>
    <w:basedOn w:val="Normal"/>
    <w:link w:val="BalloonTextChar"/>
    <w:uiPriority w:val="99"/>
    <w:semiHidden/>
    <w:unhideWhenUsed/>
    <w:rsid w:val="001906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6E3"/>
    <w:rPr>
      <w:rFonts w:ascii="Segoe UI" w:hAnsi="Segoe UI" w:cs="Segoe UI"/>
      <w:kern w:val="0"/>
      <w:sz w:val="18"/>
      <w:szCs w:val="18"/>
      <w14:ligatures w14:val="none"/>
    </w:rPr>
  </w:style>
  <w:style w:type="paragraph" w:styleId="Revision">
    <w:name w:val="Revision"/>
    <w:hidden/>
    <w:uiPriority w:val="99"/>
    <w:semiHidden/>
    <w:rsid w:val="0025721E"/>
    <w:pPr>
      <w:spacing w:after="0" w:line="240" w:lineRule="auto"/>
    </w:pPr>
    <w:rPr>
      <w:kern w:val="0"/>
      <w14:ligatures w14:val="none"/>
    </w:rPr>
  </w:style>
  <w:style w:type="character" w:styleId="UnresolvedMention">
    <w:name w:val="Unresolved Mention"/>
    <w:basedOn w:val="DefaultParagraphFont"/>
    <w:uiPriority w:val="99"/>
    <w:semiHidden/>
    <w:unhideWhenUsed/>
    <w:rsid w:val="00970BC2"/>
    <w:rPr>
      <w:color w:val="605E5C"/>
      <w:shd w:val="clear" w:color="auto" w:fill="E1DFDD"/>
    </w:rPr>
  </w:style>
  <w:style w:type="character" w:customStyle="1" w:styleId="mop">
    <w:name w:val="mop"/>
    <w:basedOn w:val="DefaultParagraphFont"/>
    <w:rsid w:val="008C71F4"/>
  </w:style>
  <w:style w:type="character" w:customStyle="1" w:styleId="mopen">
    <w:name w:val="mopen"/>
    <w:basedOn w:val="DefaultParagraphFont"/>
    <w:rsid w:val="008C71F4"/>
  </w:style>
  <w:style w:type="character" w:customStyle="1" w:styleId="mord">
    <w:name w:val="mord"/>
    <w:basedOn w:val="DefaultParagraphFont"/>
    <w:rsid w:val="008C71F4"/>
  </w:style>
  <w:style w:type="character" w:customStyle="1" w:styleId="mclose">
    <w:name w:val="mclose"/>
    <w:basedOn w:val="DefaultParagraphFont"/>
    <w:rsid w:val="008C7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942205">
      <w:bodyDiv w:val="1"/>
      <w:marLeft w:val="0"/>
      <w:marRight w:val="0"/>
      <w:marTop w:val="0"/>
      <w:marBottom w:val="0"/>
      <w:divBdr>
        <w:top w:val="none" w:sz="0" w:space="0" w:color="auto"/>
        <w:left w:val="none" w:sz="0" w:space="0" w:color="auto"/>
        <w:bottom w:val="none" w:sz="0" w:space="0" w:color="auto"/>
        <w:right w:val="none" w:sz="0" w:space="0" w:color="auto"/>
      </w:divBdr>
    </w:div>
    <w:div w:id="90996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wer.larc.nasa.gov"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ower.larc.nasa.gov/"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sric.org" TargetMode="External"/><Relationship Id="rId20" Type="http://schemas.openxmlformats.org/officeDocument/2006/relationships/image" Target="media/image5.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gs.earthexplorer.gov" TargetMode="External"/><Relationship Id="rId24" Type="http://schemas.openxmlformats.org/officeDocument/2006/relationships/image" Target="media/image9.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sgs.earthexplorer.gov"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www.usgs.earthexplorer.gov/" TargetMode="External"/><Relationship Id="rId19" Type="http://schemas.openxmlformats.org/officeDocument/2006/relationships/image" Target="media/image4.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sgs.earthexplorer.gov/"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gwcl.com.gh/upper-w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F2CC1-F6CE-463F-BE69-491F19DF3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31</Pages>
  <Words>13495</Words>
  <Characters>76925</Characters>
  <Application>Microsoft Office Word</Application>
  <DocSecurity>0</DocSecurity>
  <Lines>641</Lines>
  <Paragraphs>180</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Geology</vt:lpstr>
      <vt:lpstr>        Landuse and Landcover</vt:lpstr>
      <vt:lpstr>        Soil Type</vt:lpstr>
      <vt:lpstr>        Lineament Density </vt:lpstr>
      <vt:lpstr>        Elevation </vt:lpstr>
      <vt:lpstr>        Drainage Density</vt:lpstr>
      <vt:lpstr>        Slope</vt:lpstr>
      <vt:lpstr>        Topographic Wetness Index (TWI)</vt:lpstr>
      <vt:lpstr>        Rainfall</vt:lpstr>
      <vt:lpstr>    Mapping of Groundwater Potential Zones</vt:lpstr>
      <vt:lpstr>    </vt:lpstr>
      <vt:lpstr>    Weight Assignment to the Thematic Factors</vt:lpstr>
      <vt:lpstr>        Distribution of Groundwater Potential Zones in the Municipality</vt:lpstr>
      <vt:lpstr>    </vt:lpstr>
      <vt:lpstr>    CONCLUSION</vt:lpstr>
    </vt:vector>
  </TitlesOfParts>
  <Company/>
  <LinksUpToDate>false</LinksUpToDate>
  <CharactersWithSpaces>90240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sogfaa</dc:creator>
  <cp:keywords/>
  <dc:description/>
  <cp:lastModifiedBy>adongo apusiga</cp:lastModifiedBy>
  <cp:revision>16</cp:revision>
  <cp:lastPrinted>2025-08-16T12:29:00Z</cp:lastPrinted>
  <dcterms:created xsi:type="dcterms:W3CDTF">2025-12-29T01:23:00Z</dcterms:created>
  <dcterms:modified xsi:type="dcterms:W3CDTF">2025-12-29T02:37:00Z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http://www.zotero.org/styles/apa-numeric-superscript</vt:lpwstr>
  </property>
  <property fmtid="{D5CDD505-2E9C-101B-9397-08002B2CF9AE}" pid="9" name="Mendeley Recent Style Name 3_1">
    <vt:lpwstr>American Psychological Association 7th edition (numeric, superscript)</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b3a48441-286f-3a73-9a4a-ac7d5da09b19</vt:lpwstr>
  </property>
  <property fmtid="{D5CDD505-2E9C-101B-9397-08002B2CF9AE}" pid="24" name="Mendeley Citation Style_1">
    <vt:lpwstr>http://www.zotero.org/styles/apa</vt:lpwstr>
  </property>
</Properties>
</file>