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E5A" w:rsidRDefault="00841EDA" w:rsidP="008F713D">
      <w:pPr>
        <w:bidi w:val="0"/>
        <w:spacing w:before="100" w:beforeAutospacing="1" w:line="240" w:lineRule="auto"/>
        <w:jc w:val="center"/>
        <w:rPr>
          <w:rFonts w:asciiTheme="majorBidi" w:hAnsiTheme="majorBidi" w:cstheme="majorBidi"/>
          <w:b/>
          <w:bCs/>
          <w:sz w:val="24"/>
          <w:szCs w:val="24"/>
        </w:rPr>
      </w:pPr>
      <w:r w:rsidRPr="00841EDA">
        <w:rPr>
          <w:rFonts w:asciiTheme="majorBidi" w:hAnsiTheme="majorBidi" w:cstheme="majorBidi"/>
          <w:b/>
          <w:bCs/>
          <w:sz w:val="24"/>
          <w:szCs w:val="24"/>
        </w:rPr>
        <w:t>Biochemical and Histopathological Evaluation of Ginger Extract as a Hepatoprotective Agent Against Reality Extra-Induced Liver Toxicity in Albino Mice</w:t>
      </w:r>
    </w:p>
    <w:p w:rsidR="00E56E5A" w:rsidRPr="008F713D" w:rsidRDefault="00E56E5A" w:rsidP="00E56E5A">
      <w:pPr>
        <w:bidi w:val="0"/>
        <w:spacing w:after="0" w:line="240" w:lineRule="auto"/>
        <w:rPr>
          <w:rFonts w:asciiTheme="majorBidi" w:eastAsia="Times New Roman" w:hAnsiTheme="majorBidi" w:cstheme="majorBidi"/>
          <w:sz w:val="8"/>
          <w:szCs w:val="8"/>
        </w:rPr>
      </w:pPr>
    </w:p>
    <w:p w:rsidR="00E56E5A" w:rsidRPr="00015B1B" w:rsidRDefault="00E56E5A" w:rsidP="00015B1B">
      <w:pPr>
        <w:pBdr>
          <w:top w:val="single" w:sz="4" w:space="1" w:color="auto"/>
        </w:pBdr>
        <w:bidi w:val="0"/>
        <w:spacing w:after="0" w:line="480" w:lineRule="auto"/>
        <w:jc w:val="center"/>
        <w:outlineLvl w:val="2"/>
        <w:rPr>
          <w:rFonts w:asciiTheme="majorBidi" w:eastAsia="Times New Roman" w:hAnsiTheme="majorBidi" w:cstheme="majorBidi"/>
          <w:b/>
          <w:bCs/>
          <w:sz w:val="20"/>
          <w:szCs w:val="20"/>
        </w:rPr>
      </w:pPr>
      <w:r w:rsidRPr="00015B1B">
        <w:rPr>
          <w:rFonts w:asciiTheme="majorBidi" w:eastAsia="Times New Roman" w:hAnsiTheme="majorBidi" w:cstheme="majorBidi"/>
          <w:b/>
          <w:bCs/>
          <w:sz w:val="20"/>
          <w:szCs w:val="20"/>
        </w:rPr>
        <w:t>Abstract</w:t>
      </w:r>
    </w:p>
    <w:p w:rsidR="00B87ED5" w:rsidRPr="00B87ED5" w:rsidRDefault="00B87ED5" w:rsidP="00C93E5F">
      <w:pPr>
        <w:bidi w:val="0"/>
        <w:spacing w:after="100" w:afterAutospacing="1" w:line="360" w:lineRule="auto"/>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Drug-induced liver injury (DILI) continues to be a major global health challenge, particularly when associated with misuse or overdose of multi-component pharmaceutical preparations. Reality Extra, a widely used analgesic–anti-inflammatory combination drug containing paracetamol, ibuprofen, diclofenac sodium, and caffeine, has been increasingly implicated in hepatic toxicity under overdose conditions. The present study integrates both biochemical and histopathological perspectives to evaluate the hepatoprotective efficacy of ginger (</w:t>
      </w:r>
      <w:proofErr w:type="spellStart"/>
      <w:r w:rsidRPr="00B87ED5">
        <w:rPr>
          <w:rFonts w:ascii="Times New Roman" w:eastAsia="Times New Roman" w:hAnsi="Times New Roman" w:cs="Times New Roman"/>
          <w:sz w:val="18"/>
          <w:szCs w:val="18"/>
        </w:rPr>
        <w:t>Zingiber</w:t>
      </w:r>
      <w:proofErr w:type="spellEnd"/>
      <w:r w:rsidRPr="00B87ED5">
        <w:rPr>
          <w:rFonts w:ascii="Times New Roman" w:eastAsia="Times New Roman" w:hAnsi="Times New Roman" w:cs="Times New Roman"/>
          <w:sz w:val="18"/>
          <w:szCs w:val="18"/>
        </w:rPr>
        <w:t xml:space="preserve"> </w:t>
      </w:r>
      <w:proofErr w:type="spellStart"/>
      <w:r w:rsidRPr="00B87ED5">
        <w:rPr>
          <w:rFonts w:ascii="Times New Roman" w:eastAsia="Times New Roman" w:hAnsi="Times New Roman" w:cs="Times New Roman"/>
          <w:sz w:val="18"/>
          <w:szCs w:val="18"/>
        </w:rPr>
        <w:t>officinale</w:t>
      </w:r>
      <w:proofErr w:type="spellEnd"/>
      <w:r w:rsidRPr="00B87ED5">
        <w:rPr>
          <w:rFonts w:ascii="Times New Roman" w:eastAsia="Times New Roman" w:hAnsi="Times New Roman" w:cs="Times New Roman"/>
          <w:sz w:val="18"/>
          <w:szCs w:val="18"/>
        </w:rPr>
        <w:t xml:space="preserve">) extract in adult albino </w:t>
      </w:r>
      <w:r w:rsidR="00DE54AD">
        <w:rPr>
          <w:rFonts w:ascii="Times New Roman" w:eastAsia="Times New Roman" w:hAnsi="Times New Roman" w:cs="Times New Roman"/>
          <w:sz w:val="18"/>
          <w:szCs w:val="18"/>
        </w:rPr>
        <w:t>mice</w:t>
      </w:r>
      <w:r w:rsidRPr="00B87ED5">
        <w:rPr>
          <w:rFonts w:ascii="Times New Roman" w:eastAsia="Times New Roman" w:hAnsi="Times New Roman" w:cs="Times New Roman"/>
          <w:sz w:val="18"/>
          <w:szCs w:val="18"/>
        </w:rPr>
        <w:t xml:space="preserve"> exposed to high doses of Reality Extra. Twenty rats were divided into four experimental groups: control, Reality Extra, ginger only, and ginger + Reality Extra. Serum alkaline phosphatase (ALP) and albumin were measured as indicators of hepatic biochemical function, whereas histopathological sections stained with hematoxylin and eosin (H&amp;E) were examined for structural hepatic integrity. Reality Extra produced a marked elevation in ALP (243.25 ± 52.43 U/L) accompanied by a reduction in albumin (1.56 ± 0.37 g/dL), alongside extensive hepatic necrosis, inflammatory infiltration, vacuolization, and vascular congestion. In contrast, the ginger + Reality Extra group demonstrated near-normal ALP (61.00 ± 21.66 U/L), improved albumin (2.83 ± 0.13 g/dL), and preserved hepatic architecture. Collectively, the findings confirm that ginger extract confers significant biochemical and structural protection against multi-drug-induced liver injury, making it a potential natural adjunctive therapeutic agent against hepatotoxicity.</w:t>
      </w:r>
    </w:p>
    <w:p w:rsidR="00E56E5A" w:rsidRPr="00015B1B" w:rsidRDefault="00B87ED5" w:rsidP="00C93E5F">
      <w:pPr>
        <w:pBdr>
          <w:bottom w:val="single" w:sz="4" w:space="1" w:color="auto"/>
        </w:pBdr>
        <w:bidi w:val="0"/>
        <w:spacing w:before="100" w:beforeAutospacing="1" w:after="100" w:afterAutospacing="1" w:line="360" w:lineRule="auto"/>
        <w:rPr>
          <w:rFonts w:asciiTheme="majorBidi" w:eastAsia="Times New Roman" w:hAnsiTheme="majorBidi" w:cstheme="majorBidi"/>
        </w:rPr>
      </w:pPr>
      <w:r w:rsidRPr="00B87ED5">
        <w:rPr>
          <w:rFonts w:ascii="Times New Roman" w:eastAsia="Times New Roman" w:hAnsi="Times New Roman" w:cs="Times New Roman"/>
          <w:sz w:val="18"/>
          <w:szCs w:val="18"/>
        </w:rPr>
        <w:t>Keywords: Ginger extract, hepatotoxicity, Reality Extra, ALP, albumin, histopathology, drug-induced liver injury.</w:t>
      </w:r>
    </w:p>
    <w:p w:rsidR="00CB7EE3" w:rsidRDefault="00CB7EE3" w:rsidP="00C93E5F">
      <w:pPr>
        <w:pStyle w:val="Heading3"/>
        <w:spacing w:line="360" w:lineRule="auto"/>
        <w:jc w:val="center"/>
        <w:rPr>
          <w:rStyle w:val="Strong"/>
          <w:rFonts w:asciiTheme="majorBidi" w:hAnsiTheme="majorBidi" w:cstheme="majorBidi"/>
          <w:b/>
          <w:bCs/>
          <w:sz w:val="20"/>
          <w:szCs w:val="20"/>
        </w:rPr>
        <w:sectPr w:rsidR="00CB7EE3" w:rsidSect="007703B2">
          <w:pgSz w:w="11906" w:h="16838"/>
          <w:pgMar w:top="1440" w:right="1440" w:bottom="1440" w:left="1440" w:header="708" w:footer="708" w:gutter="0"/>
          <w:cols w:space="708"/>
          <w:bidi/>
          <w:rtlGutter/>
          <w:docGrid w:linePitch="360"/>
        </w:sectPr>
      </w:pPr>
    </w:p>
    <w:p w:rsidR="008F2FC5" w:rsidRPr="00015B1B" w:rsidRDefault="008F2FC5" w:rsidP="00C93E5F">
      <w:pPr>
        <w:pStyle w:val="Heading3"/>
        <w:spacing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1. Introduction</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Drug-induced liver injury represents a leading cause of acute and chronic hepatic failure worldwide. A substantial proportion of documented hepatotoxicity arises from overuse or accidental misuse of over-the-counter analgesic combinations. Reality Extra—a formulation combining paracetamol, caffeine, ibuprofen, and diclofenac sodium—poses unique toxicological complexities due to synergistic hepatotoxic effects when consumed at doses exceeding therapeutic recommendations.</w:t>
      </w:r>
      <w:r w:rsidR="000A2AF1">
        <w:rPr>
          <w:rFonts w:ascii="Times New Roman" w:eastAsia="Times New Roman" w:hAnsi="Times New Roman" w:cs="Times New Roman"/>
          <w:sz w:val="18"/>
          <w:szCs w:val="18"/>
        </w:rPr>
        <w:t xml:space="preserve"> (</w:t>
      </w:r>
      <w:proofErr w:type="spellStart"/>
      <w:r w:rsidR="000A2AF1" w:rsidRPr="005453D0">
        <w:rPr>
          <w:rFonts w:ascii="Times New Roman" w:eastAsia="Times New Roman" w:hAnsi="Times New Roman" w:cs="Times New Roman"/>
          <w:sz w:val="18"/>
          <w:szCs w:val="18"/>
        </w:rPr>
        <w:t>Nithiyanandam</w:t>
      </w:r>
      <w:proofErr w:type="spellEnd"/>
      <w:r w:rsidR="000A2AF1" w:rsidRPr="005453D0">
        <w:rPr>
          <w:rFonts w:ascii="Times New Roman" w:eastAsia="Times New Roman" w:hAnsi="Times New Roman" w:cs="Times New Roman"/>
          <w:sz w:val="18"/>
          <w:szCs w:val="18"/>
        </w:rPr>
        <w:t xml:space="preserve"> &amp; Evan Prince., 2021</w:t>
      </w:r>
      <w:r w:rsidR="008D20C6">
        <w:rPr>
          <w:rFonts w:ascii="Times New Roman" w:eastAsia="Times New Roman" w:hAnsi="Times New Roman" w:cs="Times New Roman"/>
          <w:sz w:val="18"/>
          <w:szCs w:val="18"/>
        </w:rPr>
        <w:t xml:space="preserve">; </w:t>
      </w:r>
      <w:r w:rsidR="008D20C6" w:rsidRPr="008D20C6">
        <w:rPr>
          <w:rFonts w:ascii="Times New Roman" w:eastAsia="Times New Roman" w:hAnsi="Times New Roman" w:cs="Times New Roman"/>
          <w:sz w:val="18"/>
          <w:szCs w:val="18"/>
        </w:rPr>
        <w:t>Pandit</w:t>
      </w:r>
      <w:r w:rsidR="008D20C6">
        <w:rPr>
          <w:rFonts w:ascii="Times New Roman" w:eastAsia="Times New Roman" w:hAnsi="Times New Roman" w:cs="Times New Roman"/>
          <w:sz w:val="18"/>
          <w:szCs w:val="18"/>
        </w:rPr>
        <w:t xml:space="preserve"> et al., 2012</w:t>
      </w:r>
      <w:r w:rsidR="000A2AF1">
        <w:rPr>
          <w:rFonts w:ascii="Times New Roman" w:eastAsia="Times New Roman" w:hAnsi="Times New Roman" w:cs="Times New Roman"/>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b/>
          <w:bCs/>
          <w:sz w:val="18"/>
          <w:szCs w:val="18"/>
        </w:rPr>
      </w:pPr>
      <w:r w:rsidRPr="00B87ED5">
        <w:rPr>
          <w:rFonts w:ascii="Times New Roman" w:eastAsia="Times New Roman" w:hAnsi="Times New Roman" w:cs="Times New Roman"/>
          <w:sz w:val="18"/>
          <w:szCs w:val="18"/>
        </w:rPr>
        <w:t>Paracetamol toxicity is well documented and is primarily mediated by excessive formation of the reactive metabolite N-acetyl-p-benzoquinone imine (NAPQI), which overwhelms hepatic glutathione reserves</w:t>
      </w:r>
      <w:r w:rsidR="00BF5DD2">
        <w:rPr>
          <w:rFonts w:ascii="Times New Roman" w:eastAsia="Times New Roman" w:hAnsi="Times New Roman" w:cs="Times New Roman"/>
          <w:sz w:val="18"/>
          <w:szCs w:val="18"/>
        </w:rPr>
        <w:t xml:space="preserve"> (</w:t>
      </w:r>
      <w:proofErr w:type="spellStart"/>
      <w:r w:rsidR="00BF5DD2" w:rsidRPr="00BF5DD2">
        <w:rPr>
          <w:rFonts w:ascii="Times New Roman" w:eastAsia="Times New Roman" w:hAnsi="Times New Roman" w:cs="Times New Roman"/>
          <w:sz w:val="18"/>
          <w:szCs w:val="18"/>
        </w:rPr>
        <w:t>Chidiac</w:t>
      </w:r>
      <w:proofErr w:type="spellEnd"/>
      <w:r w:rsidR="00BF5DD2">
        <w:rPr>
          <w:rFonts w:ascii="Times New Roman" w:eastAsia="Times New Roman" w:hAnsi="Times New Roman" w:cs="Times New Roman"/>
          <w:sz w:val="18"/>
          <w:szCs w:val="18"/>
        </w:rPr>
        <w:t xml:space="preserve"> et al., 2023; </w:t>
      </w:r>
      <w:r w:rsidR="00BF5DD2" w:rsidRPr="00BF5DD2">
        <w:rPr>
          <w:rFonts w:ascii="Times New Roman" w:eastAsia="Times New Roman" w:hAnsi="Times New Roman" w:cs="Times New Roman"/>
          <w:sz w:val="18"/>
          <w:szCs w:val="18"/>
        </w:rPr>
        <w:t>Md. Masum</w:t>
      </w:r>
      <w:r w:rsidR="00BF5DD2">
        <w:rPr>
          <w:rFonts w:ascii="Times New Roman" w:eastAsia="Times New Roman" w:hAnsi="Times New Roman" w:cs="Times New Roman"/>
          <w:sz w:val="18"/>
          <w:szCs w:val="18"/>
        </w:rPr>
        <w:t xml:space="preserve"> et al., 2019)</w:t>
      </w:r>
      <w:r w:rsidRPr="00B87ED5">
        <w:rPr>
          <w:rFonts w:ascii="Times New Roman" w:eastAsia="Times New Roman" w:hAnsi="Times New Roman" w:cs="Times New Roman"/>
          <w:sz w:val="18"/>
          <w:szCs w:val="18"/>
        </w:rPr>
        <w:t xml:space="preserve">. This process triggers oxidative stress, mitochondrial dysfunction, and ultimately centrilobular hepatocyte necrosis. Similarly, NSAIDs such as ibuprofen and diclofenac have been associated with mitochondrial respiratory inhibition, impaired hepatic perfusion, and immune-mediated cellular injury, while caffeine contributes to metabolic </w:t>
      </w:r>
      <w:r w:rsidRPr="00B87ED5">
        <w:rPr>
          <w:rFonts w:ascii="Times New Roman" w:eastAsia="Times New Roman" w:hAnsi="Times New Roman" w:cs="Times New Roman"/>
          <w:sz w:val="18"/>
          <w:szCs w:val="18"/>
        </w:rPr>
        <w:t>acceleration that may potentiate drug–drug interactions.</w:t>
      </w:r>
      <w:r w:rsidR="000A2AF1">
        <w:rPr>
          <w:rFonts w:ascii="Times New Roman" w:eastAsia="Times New Roman" w:hAnsi="Times New Roman" w:cs="Times New Roman"/>
          <w:sz w:val="18"/>
          <w:szCs w:val="18"/>
        </w:rPr>
        <w:t xml:space="preserve"> </w:t>
      </w:r>
      <w:r w:rsidR="000A2AF1" w:rsidRPr="00015B1B">
        <w:rPr>
          <w:rFonts w:asciiTheme="majorBidi" w:hAnsiTheme="majorBidi" w:cstheme="majorBidi"/>
          <w:sz w:val="18"/>
          <w:szCs w:val="18"/>
        </w:rPr>
        <w:t>(</w:t>
      </w:r>
      <w:r w:rsidR="00BF5DD2" w:rsidRPr="00BF5DD2">
        <w:rPr>
          <w:rFonts w:asciiTheme="majorBidi" w:hAnsiTheme="majorBidi" w:cstheme="majorBidi"/>
          <w:sz w:val="18"/>
          <w:szCs w:val="18"/>
        </w:rPr>
        <w:t>Ramachandran</w:t>
      </w:r>
      <w:r w:rsidR="00BF5DD2">
        <w:rPr>
          <w:rFonts w:asciiTheme="majorBidi" w:hAnsiTheme="majorBidi" w:cstheme="majorBidi"/>
          <w:sz w:val="18"/>
          <w:szCs w:val="18"/>
        </w:rPr>
        <w:t xml:space="preserve"> et al., 2018</w:t>
      </w:r>
      <w:r w:rsidR="000A2AF1" w:rsidRPr="00015B1B">
        <w:rPr>
          <w:rFonts w:asciiTheme="majorBidi" w:hAnsiTheme="majorBidi" w:cstheme="majorBidi"/>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Histopathology serves as an essential diagnostic approach for assessing the severity and progression of drug-induced liver injury. Classical microscopic hallmarks include hepatocellular degeneration, sinusoidal congestion, ballooning of hepatocytes, portal and lobular inflammatory infiltration, Kupffer cell hyperplasia, and coagulative necrosis.</w:t>
      </w:r>
      <w:r w:rsidR="000A2AF1">
        <w:rPr>
          <w:rFonts w:ascii="Times New Roman" w:eastAsia="Times New Roman" w:hAnsi="Times New Roman" w:cs="Times New Roman"/>
          <w:sz w:val="18"/>
          <w:szCs w:val="18"/>
        </w:rPr>
        <w:t xml:space="preserve"> (</w:t>
      </w:r>
      <w:proofErr w:type="spellStart"/>
      <w:r w:rsidR="000A2AF1" w:rsidRPr="0083531F">
        <w:rPr>
          <w:rFonts w:ascii="Times New Roman" w:eastAsia="Times New Roman" w:hAnsi="Times New Roman" w:cs="Times New Roman"/>
          <w:sz w:val="18"/>
          <w:szCs w:val="18"/>
        </w:rPr>
        <w:t>Chidiac</w:t>
      </w:r>
      <w:proofErr w:type="spellEnd"/>
      <w:r w:rsidR="000A2AF1" w:rsidRPr="0083531F">
        <w:rPr>
          <w:rFonts w:ascii="Times New Roman" w:eastAsia="Times New Roman" w:hAnsi="Times New Roman" w:cs="Times New Roman"/>
          <w:sz w:val="18"/>
          <w:szCs w:val="18"/>
        </w:rPr>
        <w:t xml:space="preserve"> et al., 2023, 2018</w:t>
      </w:r>
      <w:r w:rsidR="00BF5DD2">
        <w:rPr>
          <w:rFonts w:ascii="Times New Roman" w:eastAsia="Times New Roman" w:hAnsi="Times New Roman" w:cs="Times New Roman"/>
          <w:sz w:val="18"/>
          <w:szCs w:val="18"/>
        </w:rPr>
        <w:t xml:space="preserve">; </w:t>
      </w:r>
      <w:proofErr w:type="gramStart"/>
      <w:r w:rsidR="00BF5DD2" w:rsidRPr="00BF5DD2">
        <w:rPr>
          <w:rFonts w:ascii="Times New Roman" w:eastAsia="Times New Roman" w:hAnsi="Times New Roman" w:cs="Times New Roman"/>
          <w:sz w:val="18"/>
          <w:szCs w:val="18"/>
        </w:rPr>
        <w:t>E,U.</w:t>
      </w:r>
      <w:proofErr w:type="gramEnd"/>
      <w:r w:rsidR="00BF5DD2" w:rsidRPr="00BF5DD2">
        <w:rPr>
          <w:rFonts w:ascii="Times New Roman" w:eastAsia="Times New Roman" w:hAnsi="Times New Roman" w:cs="Times New Roman"/>
          <w:sz w:val="18"/>
          <w:szCs w:val="18"/>
        </w:rPr>
        <w:t xml:space="preserve"> Eric</w:t>
      </w:r>
      <w:r w:rsidR="00BF5DD2">
        <w:rPr>
          <w:rFonts w:ascii="Times New Roman" w:eastAsia="Times New Roman" w:hAnsi="Times New Roman" w:cs="Times New Roman"/>
          <w:sz w:val="18"/>
          <w:szCs w:val="18"/>
        </w:rPr>
        <w:t xml:space="preserve"> et al., 2024</w:t>
      </w:r>
      <w:r w:rsidR="000A2AF1">
        <w:rPr>
          <w:rFonts w:ascii="Times New Roman" w:eastAsia="Times New Roman" w:hAnsi="Times New Roman" w:cs="Times New Roman"/>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Ginger (</w:t>
      </w:r>
      <w:proofErr w:type="spellStart"/>
      <w:r w:rsidRPr="00B87ED5">
        <w:rPr>
          <w:rFonts w:ascii="Times New Roman" w:eastAsia="Times New Roman" w:hAnsi="Times New Roman" w:cs="Times New Roman"/>
          <w:sz w:val="18"/>
          <w:szCs w:val="18"/>
        </w:rPr>
        <w:t>Zingiber</w:t>
      </w:r>
      <w:proofErr w:type="spellEnd"/>
      <w:r w:rsidRPr="00B87ED5">
        <w:rPr>
          <w:rFonts w:ascii="Times New Roman" w:eastAsia="Times New Roman" w:hAnsi="Times New Roman" w:cs="Times New Roman"/>
          <w:sz w:val="18"/>
          <w:szCs w:val="18"/>
        </w:rPr>
        <w:t xml:space="preserve"> </w:t>
      </w:r>
      <w:proofErr w:type="spellStart"/>
      <w:r w:rsidRPr="00B87ED5">
        <w:rPr>
          <w:rFonts w:ascii="Times New Roman" w:eastAsia="Times New Roman" w:hAnsi="Times New Roman" w:cs="Times New Roman"/>
          <w:sz w:val="18"/>
          <w:szCs w:val="18"/>
        </w:rPr>
        <w:t>officinale</w:t>
      </w:r>
      <w:proofErr w:type="spellEnd"/>
      <w:r w:rsidRPr="00B87ED5">
        <w:rPr>
          <w:rFonts w:ascii="Times New Roman" w:eastAsia="Times New Roman" w:hAnsi="Times New Roman" w:cs="Times New Roman"/>
          <w:sz w:val="18"/>
          <w:szCs w:val="18"/>
        </w:rPr>
        <w:t>) has been traditionally used for its medicinal properties, attributed to bioactive phenolics such as gingerols and shogaols. Experimental studies have highlighted ginger’s potential as an antioxidant, anti-inflammatory, and cytoprotective agent. However, a comprehensive combined biochemical–histological analysis of ginger’s effects against the hepatotoxicity induced by complex pharmaceutical mixtures remains insufficiently explored.</w:t>
      </w:r>
      <w:r w:rsidR="000A2AF1">
        <w:rPr>
          <w:rFonts w:ascii="Times New Roman" w:eastAsia="Times New Roman" w:hAnsi="Times New Roman" w:cs="Times New Roman"/>
          <w:sz w:val="18"/>
          <w:szCs w:val="18"/>
        </w:rPr>
        <w:t xml:space="preserve"> </w:t>
      </w:r>
      <w:r w:rsidR="000A2AF1" w:rsidRPr="00015B1B">
        <w:rPr>
          <w:rFonts w:asciiTheme="majorBidi" w:hAnsiTheme="majorBidi" w:cstheme="majorBidi"/>
          <w:sz w:val="18"/>
          <w:szCs w:val="18"/>
        </w:rPr>
        <w:t xml:space="preserve">(Islam </w:t>
      </w:r>
      <w:r w:rsidR="000A2AF1" w:rsidRPr="00945D7C">
        <w:rPr>
          <w:rFonts w:asciiTheme="majorBidi" w:hAnsiTheme="majorBidi" w:cstheme="majorBidi"/>
          <w:i/>
          <w:iCs/>
          <w:sz w:val="18"/>
          <w:szCs w:val="18"/>
        </w:rPr>
        <w:t>et al.</w:t>
      </w:r>
      <w:r w:rsidR="000A2AF1" w:rsidRPr="00015B1B">
        <w:rPr>
          <w:rFonts w:asciiTheme="majorBidi" w:hAnsiTheme="majorBidi" w:cstheme="majorBidi"/>
          <w:sz w:val="18"/>
          <w:szCs w:val="18"/>
        </w:rPr>
        <w:t xml:space="preserve"> 2021</w:t>
      </w:r>
      <w:r w:rsidR="00814312">
        <w:rPr>
          <w:rFonts w:asciiTheme="majorBidi" w:hAnsiTheme="majorBidi" w:cstheme="majorBidi"/>
          <w:sz w:val="18"/>
          <w:szCs w:val="18"/>
        </w:rPr>
        <w:t xml:space="preserve">; </w:t>
      </w:r>
      <w:proofErr w:type="spellStart"/>
      <w:r w:rsidR="00814312" w:rsidRPr="00814312">
        <w:rPr>
          <w:rFonts w:asciiTheme="majorBidi" w:hAnsiTheme="majorBidi" w:cstheme="majorBidi"/>
          <w:sz w:val="18"/>
          <w:szCs w:val="18"/>
        </w:rPr>
        <w:t>Sasidharan</w:t>
      </w:r>
      <w:proofErr w:type="spellEnd"/>
      <w:r w:rsidR="00814312">
        <w:rPr>
          <w:rFonts w:asciiTheme="majorBidi" w:hAnsiTheme="majorBidi" w:cstheme="majorBidi"/>
          <w:sz w:val="18"/>
          <w:szCs w:val="18"/>
        </w:rPr>
        <w:t xml:space="preserve"> et al., 2010</w:t>
      </w:r>
      <w:r w:rsidR="000A2AF1" w:rsidRPr="00015B1B">
        <w:rPr>
          <w:rFonts w:asciiTheme="majorBidi" w:hAnsiTheme="majorBidi" w:cstheme="majorBidi"/>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sz w:val="24"/>
          <w:szCs w:val="24"/>
        </w:rPr>
      </w:pPr>
      <w:r w:rsidRPr="00B87ED5">
        <w:rPr>
          <w:rFonts w:ascii="Times New Roman" w:eastAsia="Times New Roman" w:hAnsi="Times New Roman" w:cs="Times New Roman"/>
          <w:sz w:val="18"/>
          <w:szCs w:val="18"/>
        </w:rPr>
        <w:t>Therefore, the present study integrates biochemical assays and detailed histopathological evaluation to examine the hepatoprotective activity of ginger extract in rats subjected to liver damage induced by Reality Extra.</w:t>
      </w:r>
    </w:p>
    <w:p w:rsidR="008F2FC5" w:rsidRDefault="008F2FC5" w:rsidP="00C93E5F">
      <w:pPr>
        <w:pStyle w:val="NormalWeb"/>
        <w:spacing w:before="0" w:beforeAutospacing="0" w:after="0" w:afterAutospacing="0" w:line="360" w:lineRule="auto"/>
        <w:jc w:val="both"/>
        <w:rPr>
          <w:rFonts w:asciiTheme="majorBidi" w:hAnsiTheme="majorBidi" w:cstheme="majorBidi"/>
          <w:sz w:val="18"/>
          <w:szCs w:val="18"/>
        </w:rPr>
      </w:pPr>
    </w:p>
    <w:p w:rsidR="008F2FC5" w:rsidRPr="00015B1B"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2. Materials and Methods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2.1. Experimental Animals</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Twenty healthy adult albino </w:t>
      </w:r>
      <w:r w:rsidR="00B87ED5">
        <w:rPr>
          <w:rFonts w:asciiTheme="majorBidi" w:hAnsiTheme="majorBidi" w:cstheme="majorBidi"/>
          <w:sz w:val="18"/>
          <w:szCs w:val="18"/>
        </w:rPr>
        <w:t>mice</w:t>
      </w:r>
      <w:r w:rsidRPr="00015B1B">
        <w:rPr>
          <w:rFonts w:asciiTheme="majorBidi" w:hAnsiTheme="majorBidi" w:cstheme="majorBidi"/>
          <w:sz w:val="18"/>
          <w:szCs w:val="18"/>
        </w:rPr>
        <w:t xml:space="preserve"> (Rattus norvegicus), weighing between </w:t>
      </w:r>
      <w:r w:rsidR="00B87ED5">
        <w:rPr>
          <w:rFonts w:asciiTheme="majorBidi" w:hAnsiTheme="majorBidi" w:cstheme="majorBidi"/>
          <w:sz w:val="18"/>
          <w:szCs w:val="18"/>
        </w:rPr>
        <w:t>30</w:t>
      </w:r>
      <w:r w:rsidRPr="00015B1B">
        <w:rPr>
          <w:rFonts w:asciiTheme="majorBidi" w:hAnsiTheme="majorBidi" w:cstheme="majorBidi"/>
          <w:sz w:val="18"/>
          <w:szCs w:val="18"/>
        </w:rPr>
        <w:t>–</w:t>
      </w:r>
      <w:r w:rsidR="00B87ED5">
        <w:rPr>
          <w:rFonts w:asciiTheme="majorBidi" w:hAnsiTheme="majorBidi" w:cstheme="majorBidi"/>
          <w:sz w:val="18"/>
          <w:szCs w:val="18"/>
        </w:rPr>
        <w:t>40</w:t>
      </w:r>
      <w:r w:rsidRPr="00015B1B">
        <w:rPr>
          <w:rFonts w:asciiTheme="majorBidi" w:hAnsiTheme="majorBidi" w:cstheme="majorBidi"/>
          <w:sz w:val="18"/>
          <w:szCs w:val="18"/>
        </w:rPr>
        <w:t xml:space="preserve"> grams, were obtained and housed under standard laboratory conditions (12-hour light/dark cycle, 22–25°C, with free access to food and water). </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2.2. Chemicals and Extract</w:t>
      </w:r>
    </w:p>
    <w:p w:rsidR="008F2FC5" w:rsidRPr="00015B1B" w:rsidRDefault="008F2FC5" w:rsidP="00C93E5F">
      <w:pPr>
        <w:pStyle w:val="NormalWeb"/>
        <w:numPr>
          <w:ilvl w:val="0"/>
          <w:numId w:val="1"/>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Reality Extra</w:t>
      </w:r>
      <w:r w:rsidRPr="00015B1B">
        <w:rPr>
          <w:rFonts w:asciiTheme="majorBidi" w:hAnsiTheme="majorBidi" w:cstheme="majorBidi"/>
          <w:sz w:val="18"/>
          <w:szCs w:val="18"/>
        </w:rPr>
        <w:t>: A pharmaceutical compound containing paracetamol, ibuprofen, caffeine, and diclofenac sodium.</w:t>
      </w:r>
    </w:p>
    <w:p w:rsidR="008F2FC5" w:rsidRPr="00015B1B" w:rsidRDefault="008F2FC5" w:rsidP="00C93E5F">
      <w:pPr>
        <w:pStyle w:val="NormalWeb"/>
        <w:numPr>
          <w:ilvl w:val="0"/>
          <w:numId w:val="1"/>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Ginger Extract</w:t>
      </w:r>
      <w:r w:rsidRPr="00015B1B">
        <w:rPr>
          <w:rFonts w:asciiTheme="majorBidi" w:hAnsiTheme="majorBidi" w:cstheme="majorBidi"/>
          <w:sz w:val="18"/>
          <w:szCs w:val="18"/>
        </w:rPr>
        <w:t>: Fresh ginger rhizomes were cleaned, dried, and ground into powder, then extracted using ethanol. The extract was administered at a dose of 1 mL/day.</w:t>
      </w:r>
    </w:p>
    <w:p w:rsidR="008F2FC5" w:rsidRPr="00015B1B" w:rsidRDefault="008F2FC5" w:rsidP="00C93E5F">
      <w:pPr>
        <w:pStyle w:val="NormalWeb"/>
        <w:numPr>
          <w:ilvl w:val="0"/>
          <w:numId w:val="1"/>
        </w:numPr>
        <w:spacing w:before="0" w:beforeAutospacing="0" w:after="24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Biochemical Kits</w:t>
      </w:r>
      <w:r w:rsidRPr="00015B1B">
        <w:rPr>
          <w:rFonts w:asciiTheme="majorBidi" w:hAnsiTheme="majorBidi" w:cstheme="majorBidi"/>
          <w:sz w:val="18"/>
          <w:szCs w:val="18"/>
        </w:rPr>
        <w:t>: Commercial diagnostic kits were used for measuring serum alkaline phosphatase (ALP) and albumin levels.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2.3. Experimental Design</w:t>
      </w:r>
    </w:p>
    <w:p w:rsidR="008F2FC5" w:rsidRPr="00015B1B" w:rsidRDefault="006365BB" w:rsidP="00C93E5F">
      <w:pPr>
        <w:pStyle w:val="NormalWeb"/>
        <w:spacing w:before="0" w:beforeAutospacing="0" w:after="0" w:afterAutospacing="0" w:line="360" w:lineRule="auto"/>
        <w:rPr>
          <w:rFonts w:asciiTheme="majorBidi" w:hAnsiTheme="majorBidi" w:cstheme="majorBidi"/>
          <w:sz w:val="18"/>
          <w:szCs w:val="18"/>
        </w:rPr>
      </w:pPr>
      <w:r>
        <w:rPr>
          <w:rFonts w:asciiTheme="majorBidi" w:hAnsiTheme="majorBidi" w:cstheme="majorBidi"/>
          <w:sz w:val="18"/>
          <w:szCs w:val="18"/>
        </w:rPr>
        <w:t>Mice</w:t>
      </w:r>
      <w:r w:rsidR="008F2FC5" w:rsidRPr="00015B1B">
        <w:rPr>
          <w:rFonts w:asciiTheme="majorBidi" w:hAnsiTheme="majorBidi" w:cstheme="majorBidi"/>
          <w:sz w:val="18"/>
          <w:szCs w:val="18"/>
        </w:rPr>
        <w:t xml:space="preserve"> were randomly divided into four groups (n = 5 per group):</w:t>
      </w:r>
      <w:r w:rsidR="00DE54AD">
        <w:rPr>
          <w:rFonts w:asciiTheme="majorBidi" w:hAnsiTheme="majorBidi" w:cstheme="majorBidi"/>
          <w:sz w:val="18"/>
          <w:szCs w:val="18"/>
        </w:rPr>
        <w:t xml:space="preserve"> </w:t>
      </w:r>
      <w:r w:rsidR="00DE54AD">
        <w:rPr>
          <w:sz w:val="18"/>
          <w:szCs w:val="18"/>
        </w:rPr>
        <w:t>(</w:t>
      </w:r>
      <w:r w:rsidR="00DE54AD" w:rsidRPr="0083531F">
        <w:rPr>
          <w:sz w:val="18"/>
          <w:szCs w:val="18"/>
        </w:rPr>
        <w:t>Gupta et al., 2022</w:t>
      </w:r>
      <w:r w:rsidR="00DE54AD">
        <w:rPr>
          <w:sz w:val="18"/>
          <w:szCs w:val="18"/>
        </w:rPr>
        <w:t>)</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A (Control)</w:t>
      </w:r>
      <w:r w:rsidRPr="00015B1B">
        <w:rPr>
          <w:rFonts w:asciiTheme="majorBidi" w:hAnsiTheme="majorBidi" w:cstheme="majorBidi"/>
          <w:sz w:val="18"/>
          <w:szCs w:val="18"/>
        </w:rPr>
        <w:t>: Received no treatment.</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B (Reality Extra)</w:t>
      </w:r>
      <w:r w:rsidRPr="00015B1B">
        <w:rPr>
          <w:rFonts w:asciiTheme="majorBidi" w:hAnsiTheme="majorBidi" w:cstheme="majorBidi"/>
          <w:sz w:val="18"/>
          <w:szCs w:val="18"/>
        </w:rPr>
        <w:t>: Administered 50 mg/kg of Reality Extra orally for 30 consecutive days.</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C (Ginger only)</w:t>
      </w:r>
      <w:r w:rsidRPr="00015B1B">
        <w:rPr>
          <w:rFonts w:asciiTheme="majorBidi" w:hAnsiTheme="majorBidi" w:cstheme="majorBidi"/>
          <w:sz w:val="18"/>
          <w:szCs w:val="18"/>
        </w:rPr>
        <w:t>: Administered 1 mL of ginger extract daily.</w:t>
      </w:r>
    </w:p>
    <w:p w:rsidR="008F2FC5" w:rsidRPr="00015B1B" w:rsidRDefault="008F2FC5" w:rsidP="00C93E5F">
      <w:pPr>
        <w:pStyle w:val="NormalWeb"/>
        <w:numPr>
          <w:ilvl w:val="0"/>
          <w:numId w:val="2"/>
        </w:numPr>
        <w:spacing w:before="0" w:beforeAutospacing="0" w:after="24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D (Ginger + Reality Extra)</w:t>
      </w:r>
      <w:r w:rsidRPr="00015B1B">
        <w:rPr>
          <w:rFonts w:asciiTheme="majorBidi" w:hAnsiTheme="majorBidi" w:cstheme="majorBidi"/>
          <w:sz w:val="18"/>
          <w:szCs w:val="18"/>
        </w:rPr>
        <w:t>: Administered both ginger extract (1 mL) and Reality Extra (50 mg/kg) concurrently.</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2.4. Sample Collection</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015B1B">
        <w:rPr>
          <w:rFonts w:asciiTheme="majorBidi" w:hAnsiTheme="majorBidi" w:cstheme="majorBidi"/>
          <w:sz w:val="18"/>
          <w:szCs w:val="18"/>
        </w:rPr>
        <w:t xml:space="preserve">At the end of the 30-day treatment period, </w:t>
      </w:r>
      <w:r w:rsidR="00B87ED5">
        <w:rPr>
          <w:rFonts w:asciiTheme="majorBidi" w:hAnsiTheme="majorBidi" w:cstheme="majorBidi"/>
          <w:sz w:val="18"/>
          <w:szCs w:val="18"/>
        </w:rPr>
        <w:t>mice</w:t>
      </w:r>
      <w:r w:rsidRPr="00015B1B">
        <w:rPr>
          <w:rFonts w:asciiTheme="majorBidi" w:hAnsiTheme="majorBidi" w:cstheme="majorBidi"/>
          <w:sz w:val="18"/>
          <w:szCs w:val="18"/>
        </w:rPr>
        <w:t xml:space="preserve"> were anesthetized and sacrificed. Blood samples were collected via cardiac puncture, and serum was separated by centrifugation at 3000 rpm for 15 minutes and stored at −20°C until analysis.</w:t>
      </w:r>
      <w:r w:rsidR="00CC3F4E" w:rsidRPr="00015B1B">
        <w:rPr>
          <w:rFonts w:asciiTheme="majorBidi" w:hAnsiTheme="majorBidi" w:cstheme="majorBidi"/>
          <w:sz w:val="18"/>
          <w:szCs w:val="18"/>
        </w:rPr>
        <w:t xml:space="preserve"> (Gupta </w:t>
      </w:r>
      <w:r w:rsidR="00CC3F4E" w:rsidRPr="00945D7C">
        <w:rPr>
          <w:rFonts w:asciiTheme="majorBidi" w:hAnsiTheme="majorBidi" w:cstheme="majorBidi"/>
          <w:i/>
          <w:iCs/>
          <w:sz w:val="18"/>
          <w:szCs w:val="18"/>
        </w:rPr>
        <w:t>et al.,</w:t>
      </w:r>
      <w:r w:rsidR="00CC3F4E" w:rsidRPr="00015B1B">
        <w:rPr>
          <w:rFonts w:asciiTheme="majorBidi" w:hAnsiTheme="majorBidi" w:cstheme="majorBidi"/>
          <w:sz w:val="18"/>
          <w:szCs w:val="18"/>
        </w:rPr>
        <w:t xml:space="preserve"> 2022)</w:t>
      </w:r>
    </w:p>
    <w:p w:rsidR="008F2FC5" w:rsidRPr="00015B1B" w:rsidRDefault="008F2FC5" w:rsidP="00C93E5F">
      <w:pPr>
        <w:pStyle w:val="Heading4"/>
        <w:bidi w:val="0"/>
        <w:spacing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2.5. Biochemical Analysis</w:t>
      </w:r>
    </w:p>
    <w:p w:rsidR="008F2FC5"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Serum levels of ALP and albumin were determined using standard colorimetric methods according to the manufacturer’s instructions.</w:t>
      </w:r>
      <w:r w:rsidR="00CC3F4E" w:rsidRPr="00015B1B">
        <w:rPr>
          <w:rFonts w:asciiTheme="majorBidi" w:hAnsiTheme="majorBidi" w:cstheme="majorBidi"/>
          <w:sz w:val="18"/>
          <w:szCs w:val="18"/>
        </w:rPr>
        <w:t xml:space="preserve"> (Bouvier </w:t>
      </w:r>
      <w:r w:rsidR="00945D7C">
        <w:rPr>
          <w:rFonts w:asciiTheme="majorBidi" w:hAnsiTheme="majorBidi" w:cstheme="majorBidi"/>
          <w:i/>
          <w:iCs/>
          <w:sz w:val="18"/>
          <w:szCs w:val="18"/>
        </w:rPr>
        <w:t xml:space="preserve">et al. </w:t>
      </w:r>
      <w:r w:rsidR="00CC3F4E" w:rsidRPr="00015B1B">
        <w:rPr>
          <w:rFonts w:asciiTheme="majorBidi" w:hAnsiTheme="majorBidi" w:cstheme="majorBidi"/>
          <w:sz w:val="18"/>
          <w:szCs w:val="18"/>
        </w:rPr>
        <w:t xml:space="preserve"> 2022)</w:t>
      </w:r>
      <w:r w:rsidR="00B87ED5">
        <w:rPr>
          <w:rFonts w:asciiTheme="majorBidi" w:hAnsiTheme="majorBidi" w:cstheme="majorBidi"/>
          <w:sz w:val="18"/>
          <w:szCs w:val="18"/>
        </w:rPr>
        <w:t>.</w:t>
      </w:r>
    </w:p>
    <w:p w:rsidR="00B87ED5" w:rsidRDefault="00C80AF4" w:rsidP="00C93E5F">
      <w:pPr>
        <w:pStyle w:val="NormalWeb"/>
        <w:spacing w:before="240" w:beforeAutospacing="0" w:after="0" w:afterAutospacing="0" w:line="360" w:lineRule="auto"/>
        <w:jc w:val="both"/>
        <w:rPr>
          <w:rFonts w:asciiTheme="majorBidi" w:hAnsiTheme="majorBidi" w:cstheme="majorBidi"/>
          <w:b/>
          <w:bCs/>
          <w:sz w:val="18"/>
          <w:szCs w:val="18"/>
        </w:rPr>
      </w:pPr>
      <w:r>
        <w:rPr>
          <w:rStyle w:val="Strong"/>
          <w:rFonts w:eastAsiaTheme="majorEastAsia"/>
          <w:b w:val="0"/>
          <w:bCs w:val="0"/>
          <w:i/>
          <w:iCs/>
          <w:sz w:val="20"/>
          <w:szCs w:val="20"/>
        </w:rPr>
        <w:t>2.6. Hist</w:t>
      </w:r>
      <w:r w:rsidR="002D77C9" w:rsidRPr="002C2D33">
        <w:rPr>
          <w:rStyle w:val="Strong"/>
          <w:rFonts w:eastAsiaTheme="majorEastAsia"/>
          <w:b w:val="0"/>
          <w:bCs w:val="0"/>
          <w:i/>
          <w:iCs/>
          <w:sz w:val="20"/>
          <w:szCs w:val="20"/>
        </w:rPr>
        <w:t>o</w:t>
      </w:r>
      <w:r w:rsidR="00DD5D95" w:rsidRPr="002C2D33">
        <w:rPr>
          <w:rStyle w:val="Strong"/>
          <w:rFonts w:asciiTheme="majorBidi" w:eastAsiaTheme="majorEastAsia" w:hAnsiTheme="majorBidi" w:cstheme="majorBidi"/>
          <w:b w:val="0"/>
          <w:bCs w:val="0"/>
          <w:i/>
          <w:iCs/>
          <w:sz w:val="20"/>
          <w:szCs w:val="20"/>
        </w:rPr>
        <w:t>pathological Evaluation</w:t>
      </w:r>
    </w:p>
    <w:p w:rsidR="00C80AF4"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5453D0">
        <w:rPr>
          <w:sz w:val="18"/>
          <w:szCs w:val="18"/>
        </w:rPr>
        <w:t xml:space="preserve">At the end of the experimental period, </w:t>
      </w:r>
      <w:r>
        <w:rPr>
          <w:sz w:val="18"/>
          <w:szCs w:val="18"/>
        </w:rPr>
        <w:t>mice</w:t>
      </w:r>
      <w:r w:rsidRPr="005453D0">
        <w:rPr>
          <w:sz w:val="18"/>
          <w:szCs w:val="18"/>
        </w:rPr>
        <w:t xml:space="preserve"> were sacrificed, and liver samples were collected. Tissues were fixed in 10% formalin, embedded in paraffin, sectioned at 5 µm, and stained with hematoxylin and eosin (H&amp;E). Slides were examined under a light microscope for structural alterations</w:t>
      </w:r>
      <w:r>
        <w:rPr>
          <w:sz w:val="18"/>
          <w:szCs w:val="18"/>
        </w:rPr>
        <w:t>,</w:t>
      </w:r>
      <w:r w:rsidRPr="005453D0">
        <w:rPr>
          <w:sz w:val="18"/>
          <w:szCs w:val="18"/>
        </w:rPr>
        <w:t xml:space="preserve"> including necrosis, cellular degeneration, inflammation, sinusoidal congestion, and architectural disruption.</w:t>
      </w:r>
      <w:r>
        <w:rPr>
          <w:sz w:val="18"/>
          <w:szCs w:val="18"/>
        </w:rPr>
        <w:t xml:space="preserve"> (</w:t>
      </w:r>
      <w:proofErr w:type="spellStart"/>
      <w:r w:rsidRPr="0083531F">
        <w:rPr>
          <w:sz w:val="18"/>
          <w:szCs w:val="18"/>
        </w:rPr>
        <w:t>Makki</w:t>
      </w:r>
      <w:proofErr w:type="spellEnd"/>
      <w:r w:rsidRPr="0083531F">
        <w:rPr>
          <w:sz w:val="18"/>
          <w:szCs w:val="18"/>
        </w:rPr>
        <w:t xml:space="preserve"> et al., 2022</w:t>
      </w:r>
      <w:r>
        <w:rPr>
          <w:sz w:val="18"/>
          <w:szCs w:val="18"/>
        </w:rPr>
        <w:t>)</w:t>
      </w:r>
    </w:p>
    <w:p w:rsidR="002C2D33" w:rsidRPr="002C2D33" w:rsidRDefault="002C2D33" w:rsidP="00C93E5F">
      <w:pPr>
        <w:pStyle w:val="NormalWeb"/>
        <w:spacing w:before="0" w:beforeAutospacing="0" w:after="0" w:afterAutospacing="0" w:line="360" w:lineRule="auto"/>
        <w:jc w:val="both"/>
        <w:rPr>
          <w:rFonts w:asciiTheme="majorBidi" w:hAnsiTheme="majorBidi" w:cstheme="majorBidi"/>
          <w:b/>
          <w:bCs/>
          <w:sz w:val="18"/>
          <w:szCs w:val="18"/>
        </w:rPr>
      </w:pP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w:t>
      </w:r>
      <w:r w:rsidR="002C2D33">
        <w:rPr>
          <w:rStyle w:val="Strong"/>
          <w:rFonts w:asciiTheme="majorBidi" w:hAnsiTheme="majorBidi"/>
          <w:b w:val="0"/>
          <w:bCs w:val="0"/>
          <w:color w:val="auto"/>
          <w:sz w:val="20"/>
          <w:szCs w:val="20"/>
        </w:rPr>
        <w:t>7</w:t>
      </w:r>
      <w:r w:rsidRPr="00015B1B">
        <w:rPr>
          <w:rStyle w:val="Strong"/>
          <w:rFonts w:asciiTheme="majorBidi" w:hAnsiTheme="majorBidi"/>
          <w:b w:val="0"/>
          <w:bCs w:val="0"/>
          <w:color w:val="auto"/>
          <w:sz w:val="20"/>
          <w:szCs w:val="20"/>
        </w:rPr>
        <w:t>. Statistical Analysis</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015B1B">
        <w:rPr>
          <w:rFonts w:asciiTheme="majorBidi" w:hAnsiTheme="majorBidi" w:cstheme="majorBidi"/>
          <w:sz w:val="18"/>
          <w:szCs w:val="18"/>
        </w:rPr>
        <w:t xml:space="preserve">Data were analyzed using SPSS software (version 25). Results are expressed as mean ± standard deviation (SD). One-way analysis of variance (ANOVA) followed by Least Significant Difference (LSD) post hoc test was used to determine statistical significance between groups. A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-value &lt; 0.05 was considered statistically significant.</w:t>
      </w:r>
    </w:p>
    <w:p w:rsidR="008F2FC5"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3. Results</w:t>
      </w:r>
    </w:p>
    <w:p w:rsidR="001E435C" w:rsidRPr="00015B1B" w:rsidRDefault="001E435C" w:rsidP="00C93E5F">
      <w:pPr>
        <w:pStyle w:val="Heading3"/>
        <w:spacing w:before="0" w:beforeAutospacing="0" w:after="0" w:afterAutospacing="0" w:line="360" w:lineRule="auto"/>
        <w:rPr>
          <w:rFonts w:asciiTheme="majorBidi" w:hAnsiTheme="majorBidi" w:cstheme="majorBidi"/>
          <w:sz w:val="20"/>
          <w:szCs w:val="20"/>
        </w:rPr>
      </w:pPr>
      <w:r>
        <w:rPr>
          <w:rFonts w:asciiTheme="majorBidi" w:hAnsiTheme="majorBidi" w:cstheme="majorBidi"/>
          <w:sz w:val="20"/>
          <w:szCs w:val="20"/>
        </w:rPr>
        <w:t>3.1. Biochemical Results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3.1.</w:t>
      </w:r>
      <w:r w:rsidR="001E435C">
        <w:rPr>
          <w:rStyle w:val="Strong"/>
          <w:rFonts w:asciiTheme="majorBidi" w:hAnsiTheme="majorBidi"/>
          <w:b w:val="0"/>
          <w:bCs w:val="0"/>
          <w:color w:val="auto"/>
          <w:sz w:val="20"/>
          <w:szCs w:val="20"/>
        </w:rPr>
        <w:t>1.</w:t>
      </w:r>
      <w:r w:rsidRPr="00015B1B">
        <w:rPr>
          <w:rStyle w:val="Strong"/>
          <w:rFonts w:asciiTheme="majorBidi" w:hAnsiTheme="majorBidi"/>
          <w:b w:val="0"/>
          <w:bCs w:val="0"/>
          <w:color w:val="auto"/>
          <w:sz w:val="20"/>
          <w:szCs w:val="20"/>
        </w:rPr>
        <w:t xml:space="preserve"> Effect on Alkaline Phosphatase (ALP) Levels</w:t>
      </w:r>
    </w:p>
    <w:p w:rsidR="008F2FC5" w:rsidRDefault="008F2FC5" w:rsidP="00C93E5F">
      <w:pPr>
        <w:pStyle w:val="NormalWeb"/>
        <w:spacing w:before="0" w:beforeAutospacing="0" w:after="240" w:afterAutospacing="0" w:line="360" w:lineRule="auto"/>
        <w:ind w:firstLine="426"/>
        <w:jc w:val="both"/>
        <w:rPr>
          <w:rFonts w:asciiTheme="majorBidi" w:hAnsiTheme="majorBidi" w:cstheme="majorBidi"/>
          <w:sz w:val="18"/>
          <w:szCs w:val="18"/>
        </w:rPr>
      </w:pPr>
      <w:r w:rsidRPr="00015B1B">
        <w:rPr>
          <w:rFonts w:asciiTheme="majorBidi" w:hAnsiTheme="majorBidi" w:cstheme="majorBidi"/>
          <w:sz w:val="18"/>
          <w:szCs w:val="18"/>
        </w:rPr>
        <w:t xml:space="preserve">As shown in Table 1, the </w:t>
      </w:r>
      <w:r w:rsidRPr="00015B1B">
        <w:rPr>
          <w:rStyle w:val="Strong"/>
          <w:rFonts w:asciiTheme="majorBidi" w:hAnsiTheme="majorBidi" w:cstheme="majorBidi"/>
          <w:sz w:val="18"/>
          <w:szCs w:val="18"/>
        </w:rPr>
        <w:t>Reality Extra</w:t>
      </w:r>
      <w:r w:rsidRPr="00015B1B">
        <w:rPr>
          <w:rFonts w:asciiTheme="majorBidi" w:hAnsiTheme="majorBidi" w:cstheme="majorBidi"/>
          <w:sz w:val="18"/>
          <w:szCs w:val="18"/>
        </w:rPr>
        <w:t xml:space="preserve"> group (Group B) demonstrated a significant elevation in ALP levels (243.25 ± 52.43 U/L), indicating hepatic injury. In contrast, both the </w:t>
      </w:r>
      <w:r w:rsidRPr="00015B1B">
        <w:rPr>
          <w:rStyle w:val="Strong"/>
          <w:rFonts w:asciiTheme="majorBidi" w:hAnsiTheme="majorBidi" w:cstheme="majorBidi"/>
          <w:sz w:val="18"/>
          <w:szCs w:val="18"/>
        </w:rPr>
        <w:t>control group</w:t>
      </w:r>
      <w:r w:rsidRPr="00015B1B">
        <w:rPr>
          <w:rFonts w:asciiTheme="majorBidi" w:hAnsiTheme="majorBidi" w:cstheme="majorBidi"/>
          <w:sz w:val="18"/>
          <w:szCs w:val="18"/>
        </w:rPr>
        <w:t xml:space="preserve"> (61.75 ± 16.46 U/L) and the </w:t>
      </w:r>
      <w:r w:rsidRPr="00015B1B">
        <w:rPr>
          <w:rStyle w:val="Strong"/>
          <w:rFonts w:asciiTheme="majorBidi" w:hAnsiTheme="majorBidi" w:cstheme="majorBidi"/>
          <w:sz w:val="18"/>
          <w:szCs w:val="18"/>
        </w:rPr>
        <w:t>ginger-only group</w:t>
      </w:r>
      <w:r w:rsidRPr="00015B1B">
        <w:rPr>
          <w:rFonts w:asciiTheme="majorBidi" w:hAnsiTheme="majorBidi" w:cstheme="majorBidi"/>
          <w:sz w:val="18"/>
          <w:szCs w:val="18"/>
        </w:rPr>
        <w:t xml:space="preserve"> (59.80 ± 14.46 U/L) maintained normal enzyme levels. Notably, the </w:t>
      </w:r>
      <w:r w:rsidRPr="00015B1B">
        <w:rPr>
          <w:rStyle w:val="Strong"/>
          <w:rFonts w:asciiTheme="majorBidi" w:hAnsiTheme="majorBidi" w:cstheme="majorBidi"/>
          <w:sz w:val="18"/>
          <w:szCs w:val="18"/>
        </w:rPr>
        <w:t>Ginger + Reality Extra</w:t>
      </w:r>
      <w:r w:rsidRPr="00015B1B">
        <w:rPr>
          <w:rFonts w:asciiTheme="majorBidi" w:hAnsiTheme="majorBidi" w:cstheme="majorBidi"/>
          <w:sz w:val="18"/>
          <w:szCs w:val="18"/>
        </w:rPr>
        <w:t xml:space="preserve"> group (Group D) exhibited a marked reduction in ALP (61.00 ± 21.66 U/L), comparable to control values, suggesting a hepatoprotective effect of ginger.</w:t>
      </w:r>
    </w:p>
    <w:p w:rsidR="00C93E5F" w:rsidRDefault="00C93E5F" w:rsidP="00C93E5F">
      <w:pPr>
        <w:pStyle w:val="NormalWeb"/>
        <w:spacing w:before="0" w:beforeAutospacing="0" w:after="240" w:afterAutospacing="0" w:line="360" w:lineRule="auto"/>
        <w:ind w:firstLine="426"/>
        <w:jc w:val="both"/>
        <w:rPr>
          <w:rFonts w:asciiTheme="majorBidi" w:hAnsiTheme="majorBidi" w:cstheme="majorBidi"/>
          <w:sz w:val="18"/>
          <w:szCs w:val="18"/>
        </w:rPr>
      </w:pPr>
    </w:p>
    <w:p w:rsidR="008F2FC5" w:rsidRPr="00015B1B" w:rsidRDefault="008F2FC5" w:rsidP="00C93E5F">
      <w:pPr>
        <w:pStyle w:val="NormalWeb"/>
        <w:spacing w:before="0" w:beforeAutospacing="0" w:after="0" w:afterAutospacing="0" w:line="360" w:lineRule="auto"/>
        <w:jc w:val="center"/>
        <w:rPr>
          <w:rFonts w:asciiTheme="majorBidi" w:hAnsiTheme="majorBidi" w:cstheme="majorBidi"/>
          <w:sz w:val="18"/>
          <w:szCs w:val="18"/>
        </w:rPr>
      </w:pPr>
      <w:r w:rsidRPr="00015B1B">
        <w:rPr>
          <w:rStyle w:val="Strong"/>
          <w:rFonts w:asciiTheme="majorBidi" w:hAnsiTheme="majorBidi" w:cstheme="majorBidi"/>
          <w:sz w:val="18"/>
          <w:szCs w:val="18"/>
        </w:rPr>
        <w:t>Table 1.</w:t>
      </w:r>
      <w:r w:rsidRPr="00015B1B">
        <w:rPr>
          <w:rFonts w:asciiTheme="majorBidi" w:hAnsiTheme="majorBidi" w:cstheme="majorBidi"/>
          <w:sz w:val="18"/>
          <w:szCs w:val="18"/>
        </w:rPr>
        <w:t xml:space="preserve"> Serum ALP levels (U/L) across experimental groups.</w:t>
      </w:r>
    </w:p>
    <w:tbl>
      <w:tblPr>
        <w:tblStyle w:val="GridTable1Light"/>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2144"/>
      </w:tblGrid>
      <w:tr w:rsidR="008F2FC5" w:rsidRPr="00015B1B" w:rsidTr="001E43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hideMark/>
          </w:tcPr>
          <w:p w:rsidR="008F2FC5" w:rsidRPr="00015B1B" w:rsidRDefault="008F2FC5" w:rsidP="00C93E5F">
            <w:pPr>
              <w:bidi w:val="0"/>
              <w:spacing w:line="360" w:lineRule="auto"/>
              <w:jc w:val="center"/>
              <w:rPr>
                <w:rFonts w:asciiTheme="majorBidi" w:hAnsiTheme="majorBidi" w:cstheme="majorBidi"/>
                <w:b w:val="0"/>
                <w:bCs w:val="0"/>
                <w:sz w:val="18"/>
                <w:szCs w:val="18"/>
              </w:rPr>
            </w:pPr>
            <w:r w:rsidRPr="00015B1B">
              <w:rPr>
                <w:rFonts w:asciiTheme="majorBidi" w:hAnsiTheme="majorBidi" w:cstheme="majorBidi"/>
                <w:sz w:val="18"/>
                <w:szCs w:val="18"/>
              </w:rPr>
              <w:t>Group</w:t>
            </w:r>
          </w:p>
        </w:tc>
        <w:tc>
          <w:tcPr>
            <w:tcW w:w="2144" w:type="dxa"/>
            <w:tcBorders>
              <w:bottom w:val="none" w:sz="0" w:space="0" w:color="auto"/>
            </w:tcBorders>
            <w:hideMark/>
          </w:tcPr>
          <w:p w:rsidR="008F2FC5" w:rsidRPr="00015B1B" w:rsidRDefault="008F2FC5" w:rsidP="00C93E5F">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015B1B">
              <w:rPr>
                <w:rFonts w:asciiTheme="majorBidi" w:hAnsiTheme="majorBidi" w:cstheme="majorBidi"/>
                <w:sz w:val="18"/>
                <w:szCs w:val="18"/>
              </w:rPr>
              <w:t>ALP (Mean ± SD)</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A – Control</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61.75 ± 16.46</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B – Reality Extra</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243.25 ± 52.43</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C – Ginger only</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59.80 ± 14.46</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lastRenderedPageBreak/>
              <w:t>D – Ginger + Reality Extra</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61.00 ± 21.66</w:t>
            </w:r>
          </w:p>
        </w:tc>
      </w:tr>
    </w:tbl>
    <w:p w:rsidR="001E435C" w:rsidRDefault="001E435C" w:rsidP="00A45545">
      <w:pPr>
        <w:pStyle w:val="NormalWeb"/>
        <w:spacing w:before="240" w:beforeAutospacing="0" w:after="0" w:afterAutospacing="0" w:line="360" w:lineRule="auto"/>
        <w:ind w:firstLine="284"/>
        <w:jc w:val="both"/>
        <w:rPr>
          <w:rFonts w:asciiTheme="majorBidi" w:hAnsiTheme="majorBidi" w:cstheme="majorBidi"/>
          <w:sz w:val="18"/>
          <w:szCs w:val="18"/>
        </w:rPr>
      </w:pPr>
      <w:r w:rsidRPr="001E435C">
        <w:rPr>
          <w:rFonts w:asciiTheme="majorBidi" w:hAnsiTheme="majorBidi" w:cstheme="majorBidi"/>
          <w:sz w:val="18"/>
          <w:szCs w:val="18"/>
        </w:rPr>
        <w:t>The sharp rise in ALP in the Reality Extra group is a characteristic indicator of hepatobiliary obstruction, inflammation, or cytotoxic injury affecting the canalicular membranes. The ginger co-treatment significantly reduced ALP, restoring it to near-normal levels comparable with the control and ginger-only groups.</w:t>
      </w:r>
    </w:p>
    <w:p w:rsidR="008F2FC5" w:rsidRPr="00015B1B" w:rsidRDefault="008F2FC5" w:rsidP="00C93E5F">
      <w:pPr>
        <w:pStyle w:val="NormalWeb"/>
        <w:spacing w:before="0" w:beforeAutospacing="0" w:after="0" w:afterAutospacing="0" w:line="360" w:lineRule="auto"/>
        <w:jc w:val="both"/>
        <w:rPr>
          <w:rFonts w:asciiTheme="majorBidi" w:hAnsiTheme="majorBidi" w:cstheme="majorBidi"/>
        </w:rPr>
      </w:pPr>
      <w:r w:rsidRPr="00015B1B">
        <w:rPr>
          <w:rFonts w:asciiTheme="majorBidi" w:hAnsiTheme="majorBidi" w:cstheme="majorBidi"/>
          <w:sz w:val="18"/>
          <w:szCs w:val="18"/>
        </w:rPr>
        <w:t>ANOVA analysis revealed statistically significant differences between groups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 xml:space="preserve"> &lt; 0.001). LSD post hoc tests confirmed that Group B was significantly different from all other groups, while Groups C and D were not significantly different from the control.</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3.</w:t>
      </w:r>
      <w:r w:rsidR="001E435C">
        <w:rPr>
          <w:rStyle w:val="Strong"/>
          <w:rFonts w:asciiTheme="majorBidi" w:hAnsiTheme="majorBidi"/>
          <w:b w:val="0"/>
          <w:bCs w:val="0"/>
          <w:color w:val="auto"/>
          <w:sz w:val="20"/>
          <w:szCs w:val="20"/>
        </w:rPr>
        <w:t>1.</w:t>
      </w:r>
      <w:r w:rsidRPr="00015B1B">
        <w:rPr>
          <w:rStyle w:val="Strong"/>
          <w:rFonts w:asciiTheme="majorBidi" w:hAnsiTheme="majorBidi"/>
          <w:b w:val="0"/>
          <w:bCs w:val="0"/>
          <w:color w:val="auto"/>
          <w:sz w:val="20"/>
          <w:szCs w:val="20"/>
        </w:rPr>
        <w:t>2. Effect on Albumin Levels</w:t>
      </w:r>
    </w:p>
    <w:p w:rsidR="008F2FC5"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880C35">
        <w:rPr>
          <w:rFonts w:asciiTheme="majorBidi" w:hAnsiTheme="majorBidi" w:cstheme="majorBidi"/>
          <w:sz w:val="18"/>
          <w:szCs w:val="18"/>
        </w:rPr>
        <w:t xml:space="preserve">Table 2 illustrates that the </w:t>
      </w:r>
      <w:r w:rsidRPr="00880C35">
        <w:rPr>
          <w:rStyle w:val="Strong"/>
          <w:rFonts w:asciiTheme="majorBidi" w:hAnsiTheme="majorBidi" w:cstheme="majorBidi"/>
          <w:sz w:val="18"/>
          <w:szCs w:val="18"/>
        </w:rPr>
        <w:t>control group</w:t>
      </w:r>
      <w:r w:rsidRPr="00880C35">
        <w:rPr>
          <w:rFonts w:asciiTheme="majorBidi" w:hAnsiTheme="majorBidi" w:cstheme="majorBidi"/>
          <w:sz w:val="18"/>
          <w:szCs w:val="18"/>
        </w:rPr>
        <w:t xml:space="preserve"> showed the highest albumin levels (2.89 ± 0.29 g/dL), followed by the </w:t>
      </w:r>
      <w:r w:rsidRPr="00880C35">
        <w:rPr>
          <w:rStyle w:val="Strong"/>
          <w:rFonts w:asciiTheme="majorBidi" w:hAnsiTheme="majorBidi" w:cstheme="majorBidi"/>
          <w:sz w:val="18"/>
          <w:szCs w:val="18"/>
        </w:rPr>
        <w:t>Ginger + Reality Extra</w:t>
      </w:r>
      <w:r w:rsidRPr="00880C35">
        <w:rPr>
          <w:rFonts w:asciiTheme="majorBidi" w:hAnsiTheme="majorBidi" w:cstheme="majorBidi"/>
          <w:sz w:val="18"/>
          <w:szCs w:val="18"/>
        </w:rPr>
        <w:t xml:space="preserve"> group (2.83 ± 0.13 g/dL) and the </w:t>
      </w:r>
      <w:r w:rsidRPr="00880C35">
        <w:rPr>
          <w:rStyle w:val="Strong"/>
          <w:rFonts w:asciiTheme="majorBidi" w:hAnsiTheme="majorBidi" w:cstheme="majorBidi"/>
          <w:sz w:val="18"/>
          <w:szCs w:val="18"/>
        </w:rPr>
        <w:t>ginger-only group</w:t>
      </w:r>
      <w:r w:rsidRPr="00880C35">
        <w:rPr>
          <w:rFonts w:asciiTheme="majorBidi" w:hAnsiTheme="majorBidi" w:cstheme="majorBidi"/>
          <w:sz w:val="18"/>
          <w:szCs w:val="18"/>
        </w:rPr>
        <w:t xml:space="preserve"> (2.58 ± 0.48 g/dL). The lowest level was observed in the </w:t>
      </w:r>
      <w:r w:rsidRPr="00880C35">
        <w:rPr>
          <w:rStyle w:val="Strong"/>
          <w:rFonts w:asciiTheme="majorBidi" w:hAnsiTheme="majorBidi" w:cstheme="majorBidi"/>
          <w:sz w:val="18"/>
          <w:szCs w:val="18"/>
        </w:rPr>
        <w:t>Reality Extra group</w:t>
      </w:r>
      <w:r w:rsidRPr="00880C35">
        <w:rPr>
          <w:rFonts w:asciiTheme="majorBidi" w:hAnsiTheme="majorBidi" w:cstheme="majorBidi"/>
          <w:sz w:val="18"/>
          <w:szCs w:val="18"/>
        </w:rPr>
        <w:t xml:space="preserve"> (1.56 ± 0.37 g/dL), indicating impaired liver synthetic function.</w:t>
      </w:r>
    </w:p>
    <w:p w:rsidR="008F2FC5" w:rsidRPr="00015B1B" w:rsidRDefault="008F2FC5" w:rsidP="00C93E5F">
      <w:pPr>
        <w:pStyle w:val="NormalWeb"/>
        <w:spacing w:before="0" w:beforeAutospacing="0" w:after="0" w:afterAutospacing="0" w:line="360" w:lineRule="auto"/>
        <w:jc w:val="center"/>
        <w:rPr>
          <w:rFonts w:asciiTheme="majorBidi" w:hAnsiTheme="majorBidi" w:cstheme="majorBidi"/>
          <w:sz w:val="18"/>
          <w:szCs w:val="18"/>
        </w:rPr>
      </w:pPr>
      <w:r w:rsidRPr="00015B1B">
        <w:rPr>
          <w:rStyle w:val="Strong"/>
          <w:rFonts w:asciiTheme="majorBidi" w:hAnsiTheme="majorBidi" w:cstheme="majorBidi"/>
          <w:sz w:val="18"/>
          <w:szCs w:val="18"/>
        </w:rPr>
        <w:t>Table 2.</w:t>
      </w:r>
      <w:r w:rsidRPr="00015B1B">
        <w:rPr>
          <w:rFonts w:asciiTheme="majorBidi" w:hAnsiTheme="majorBidi" w:cstheme="majorBidi"/>
          <w:sz w:val="18"/>
          <w:szCs w:val="18"/>
        </w:rPr>
        <w:t xml:space="preserve"> Serum Albumin levels (g/dL) across experimental groups.</w:t>
      </w:r>
    </w:p>
    <w:tbl>
      <w:tblPr>
        <w:tblStyle w:val="GridTable1Light"/>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43"/>
        <w:gridCol w:w="1885"/>
      </w:tblGrid>
      <w:tr w:rsidR="008F2FC5" w:rsidRPr="00015B1B" w:rsidTr="00015B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rsidR="008F2FC5" w:rsidRPr="00015B1B" w:rsidRDefault="008F2FC5" w:rsidP="00C93E5F">
            <w:pPr>
              <w:bidi w:val="0"/>
              <w:spacing w:line="360" w:lineRule="auto"/>
              <w:jc w:val="center"/>
              <w:rPr>
                <w:rFonts w:asciiTheme="majorBidi" w:hAnsiTheme="majorBidi" w:cstheme="majorBidi"/>
                <w:b w:val="0"/>
                <w:bCs w:val="0"/>
                <w:sz w:val="18"/>
                <w:szCs w:val="18"/>
              </w:rPr>
            </w:pPr>
            <w:r w:rsidRPr="00015B1B">
              <w:rPr>
                <w:rFonts w:asciiTheme="majorBidi" w:hAnsiTheme="majorBidi" w:cstheme="majorBidi"/>
                <w:sz w:val="18"/>
                <w:szCs w:val="18"/>
              </w:rPr>
              <w:t>Group</w:t>
            </w:r>
          </w:p>
        </w:tc>
        <w:tc>
          <w:tcPr>
            <w:tcW w:w="0" w:type="auto"/>
            <w:tcBorders>
              <w:bottom w:val="none" w:sz="0" w:space="0" w:color="auto"/>
            </w:tcBorders>
            <w:hideMark/>
          </w:tcPr>
          <w:p w:rsidR="008F2FC5" w:rsidRPr="00015B1B" w:rsidRDefault="008F2FC5" w:rsidP="00C93E5F">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015B1B">
              <w:rPr>
                <w:rFonts w:asciiTheme="majorBidi" w:hAnsiTheme="majorBidi" w:cstheme="majorBidi"/>
                <w:sz w:val="18"/>
                <w:szCs w:val="18"/>
              </w:rPr>
              <w:t>Albumin (Mean ± SD)</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A – Control</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2.89 ± 0.29</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B – Reality Extra</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1.56 ± 0.37</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C – Ginger only</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2.58 ± 0.48</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D – Ginger + Reality Extra</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2.83 ± 0.13</w:t>
            </w:r>
          </w:p>
        </w:tc>
      </w:tr>
    </w:tbl>
    <w:p w:rsidR="003C0920" w:rsidRDefault="003C0920" w:rsidP="00A45545">
      <w:pPr>
        <w:pStyle w:val="NormalWeb"/>
        <w:spacing w:before="240" w:beforeAutospacing="0" w:after="0" w:afterAutospacing="0" w:line="360" w:lineRule="auto"/>
        <w:ind w:firstLine="284"/>
        <w:jc w:val="both"/>
        <w:rPr>
          <w:rFonts w:asciiTheme="majorBidi" w:hAnsiTheme="majorBidi" w:cstheme="majorBidi"/>
          <w:sz w:val="18"/>
          <w:szCs w:val="18"/>
        </w:rPr>
      </w:pPr>
      <w:r w:rsidRPr="003C0920">
        <w:rPr>
          <w:rFonts w:asciiTheme="majorBidi" w:hAnsiTheme="majorBidi" w:cstheme="majorBidi"/>
          <w:sz w:val="18"/>
          <w:szCs w:val="18"/>
        </w:rPr>
        <w:t>The significant drop in albumin in the Reality Extra group demonstrates a marked disturbance in hepatic synthetic pathways. In contrast, ginger administration restored albumin levels almost completely</w:t>
      </w:r>
      <w:r>
        <w:rPr>
          <w:rFonts w:asciiTheme="majorBidi" w:hAnsiTheme="majorBidi" w:cstheme="majorBidi"/>
          <w:sz w:val="18"/>
          <w:szCs w:val="18"/>
        </w:rPr>
        <w:t>.</w:t>
      </w:r>
    </w:p>
    <w:p w:rsidR="008F2FC5"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ANOVA results showed significant differences between groups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 xml:space="preserve"> = 0.001). Post hoc analysis confirmed that Group B was significantly different from the other three groups, while Groups C and D were statistically similar to the control.</w:t>
      </w:r>
    </w:p>
    <w:p w:rsidR="003C0920" w:rsidRDefault="003C0920" w:rsidP="00071B14">
      <w:pPr>
        <w:pStyle w:val="NormalWeb"/>
        <w:spacing w:before="0" w:beforeAutospacing="0" w:after="0" w:afterAutospacing="0" w:line="360" w:lineRule="auto"/>
        <w:jc w:val="both"/>
        <w:rPr>
          <w:rFonts w:asciiTheme="majorBidi" w:hAnsiTheme="majorBidi" w:cstheme="majorBidi"/>
          <w:sz w:val="18"/>
          <w:szCs w:val="18"/>
        </w:rPr>
      </w:pPr>
      <w:r w:rsidRPr="003C0920">
        <w:rPr>
          <w:rFonts w:asciiTheme="majorBidi" w:hAnsiTheme="majorBidi" w:cstheme="majorBidi"/>
          <w:b/>
          <w:bCs/>
          <w:sz w:val="20"/>
          <w:szCs w:val="20"/>
        </w:rPr>
        <w:t>3.2. Histopathological Results</w:t>
      </w:r>
    </w:p>
    <w:p w:rsidR="00C80AF4" w:rsidRPr="00293848" w:rsidRDefault="00C80AF4" w:rsidP="00C93E5F">
      <w:pPr>
        <w:bidi w:val="0"/>
        <w:spacing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3.1.</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 Control Group (Group A)</w:t>
      </w:r>
    </w:p>
    <w:p w:rsidR="00C80AF4" w:rsidRPr="00503046" w:rsidRDefault="00503046" w:rsidP="00071B14">
      <w:pPr>
        <w:bidi w:val="0"/>
        <w:spacing w:line="360" w:lineRule="auto"/>
        <w:ind w:firstLine="284"/>
        <w:jc w:val="both"/>
        <w:rPr>
          <w:rFonts w:asciiTheme="majorBidi" w:eastAsia="Times New Roman" w:hAnsiTheme="majorBidi" w:cstheme="majorBidi"/>
          <w:sz w:val="18"/>
          <w:szCs w:val="18"/>
        </w:rPr>
      </w:pPr>
      <w:r w:rsidRPr="00503046">
        <w:rPr>
          <w:rStyle w:val="ypks7kbdpwfgdykd3qb9"/>
          <w:rFonts w:asciiTheme="majorBidi" w:hAnsiTheme="majorBidi" w:cstheme="majorBidi"/>
          <w:sz w:val="18"/>
          <w:szCs w:val="18"/>
        </w:rPr>
        <w:t>A histological section of the liver of mice from the control group was examined using hematoxylin and eosin dye (H&amp;E), in which the liver tissue showed a normal appearance reflecting the health of the liver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hepatocytes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were arranged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radial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rows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around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central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veins, contained medium-sized circular nuclei, with normally double-nucleated cells.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sinusoids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were normally distributed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between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hepatic cords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without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any signs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expansion or excessive fullness with blood, and the Kupffer Cells appeared normally inside the sinuses.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No signs of damage, necrosis, or infiltration of inflammatory cells into the tissue were observed.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overall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structure of the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intact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and devoid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any pathological changes, reflecting the healthy liver condition of the control group.</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shown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Figure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t>
      </w:r>
      <w:r>
        <w:rPr>
          <w:rStyle w:val="ypks7kbdpwfgdykd3qb9"/>
          <w:rFonts w:asciiTheme="majorBidi" w:hAnsiTheme="majorBidi" w:cstheme="majorBidi"/>
          <w:sz w:val="18"/>
          <w:szCs w:val="18"/>
        </w:rPr>
        <w:t>1</w:t>
      </w:r>
      <w:r w:rsidRPr="00503046">
        <w:rPr>
          <w:rFonts w:asciiTheme="majorBidi" w:hAnsiTheme="majorBidi" w:cstheme="majorBidi"/>
          <w:sz w:val="18"/>
          <w:szCs w:val="18"/>
        </w:rPr>
        <w:t>).</w:t>
      </w:r>
    </w:p>
    <w:p w:rsidR="00C80AF4" w:rsidRDefault="004C4C65" w:rsidP="00C93E5F">
      <w:pPr>
        <w:bidi w:val="0"/>
        <w:spacing w:after="0" w:line="360" w:lineRule="auto"/>
        <w:jc w:val="both"/>
        <w:rPr>
          <w:rFonts w:ascii="Simplified Arabic" w:eastAsia="Calibri" w:hAnsi="Simplified Arabic" w:cs="Simplified Arabic"/>
          <w:noProof/>
          <w:sz w:val="18"/>
          <w:szCs w:val="18"/>
        </w:rPr>
      </w:pPr>
      <w:r w:rsidRPr="005453D0">
        <w:rPr>
          <w:rFonts w:ascii="Simplified Arabic" w:eastAsia="Calibri" w:hAnsi="Simplified Arabic" w:cs="Simplified Arabic"/>
          <w:noProof/>
          <w:sz w:val="18"/>
          <w:szCs w:val="18"/>
        </w:rPr>
        <w:drawing>
          <wp:inline distT="0" distB="0" distL="0" distR="0" wp14:anchorId="2396353F" wp14:editId="54857D6A">
            <wp:extent cx="2640330" cy="1320165"/>
            <wp:effectExtent l="0" t="0" r="762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640330" cy="1320165"/>
                    </a:xfrm>
                    <a:prstGeom prst="rect">
                      <a:avLst/>
                    </a:prstGeom>
                    <a:ln/>
                  </pic:spPr>
                </pic:pic>
              </a:graphicData>
            </a:graphic>
          </wp:inline>
        </w:drawing>
      </w:r>
    </w:p>
    <w:p w:rsidR="004C4C65" w:rsidRPr="00503046" w:rsidRDefault="00503046" w:rsidP="00503046">
      <w:pPr>
        <w:bidi w:val="0"/>
        <w:spacing w:after="0" w:line="360" w:lineRule="auto"/>
        <w:jc w:val="center"/>
        <w:rPr>
          <w:rFonts w:asciiTheme="majorBidi" w:eastAsia="Calibri" w:hAnsiTheme="majorBidi" w:cstheme="majorBidi"/>
          <w:noProof/>
          <w:sz w:val="18"/>
          <w:szCs w:val="18"/>
        </w:rPr>
      </w:pPr>
      <w:r w:rsidRPr="00503046">
        <w:rPr>
          <w:rFonts w:asciiTheme="majorBidi" w:eastAsia="Calibri" w:hAnsiTheme="majorBidi" w:cstheme="majorBidi"/>
          <w:noProof/>
          <w:sz w:val="18"/>
          <w:szCs w:val="18"/>
        </w:rPr>
        <w:t>Figur 1:</w:t>
      </w:r>
      <w:r w:rsidR="008D20C6">
        <w:rPr>
          <w:rFonts w:asciiTheme="majorBidi" w:eastAsia="Calibri" w:hAnsiTheme="majorBidi" w:cstheme="majorBidi"/>
          <w:noProof/>
          <w:sz w:val="18"/>
          <w:szCs w:val="18"/>
        </w:rPr>
        <w:t xml:space="preserve"> </w:t>
      </w:r>
      <w:r w:rsidR="004C4C65" w:rsidRPr="00503046">
        <w:rPr>
          <w:rFonts w:asciiTheme="majorBidi" w:eastAsia="Calibri" w:hAnsiTheme="majorBidi" w:cstheme="majorBidi"/>
          <w:noProof/>
          <w:sz w:val="18"/>
          <w:szCs w:val="18"/>
        </w:rPr>
        <w:t>Histological section of liver tissue</w:t>
      </w:r>
      <w:r w:rsidRPr="00503046">
        <w:rPr>
          <w:rFonts w:asciiTheme="majorBidi" w:eastAsia="Calibri" w:hAnsiTheme="majorBidi" w:cstheme="majorBidi"/>
          <w:noProof/>
          <w:sz w:val="18"/>
          <w:szCs w:val="18"/>
        </w:rPr>
        <w:t xml:space="preserve">: </w:t>
      </w:r>
      <w:r w:rsidRPr="00503046">
        <w:rPr>
          <w:rFonts w:asciiTheme="majorBidi" w:eastAsia="Times New Roman" w:hAnsiTheme="majorBidi" w:cstheme="majorBidi"/>
          <w:sz w:val="18"/>
          <w:szCs w:val="18"/>
        </w:rPr>
        <w:t>Group A</w:t>
      </w:r>
    </w:p>
    <w:p w:rsidR="00C80AF4" w:rsidRPr="00293848" w:rsidRDefault="00C80AF4" w:rsidP="00071B14">
      <w:pPr>
        <w:bidi w:val="0"/>
        <w:spacing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2. Ginger-only Group (Group </w:t>
      </w:r>
      <w:r w:rsidR="00503046">
        <w:rPr>
          <w:rFonts w:ascii="Times New Roman" w:eastAsia="Times New Roman" w:hAnsi="Times New Roman" w:cs="Times New Roman"/>
          <w:i/>
          <w:iCs/>
          <w:sz w:val="20"/>
          <w:szCs w:val="20"/>
        </w:rPr>
        <w:t>B</w:t>
      </w:r>
      <w:r w:rsidRPr="00293848">
        <w:rPr>
          <w:rFonts w:ascii="Times New Roman" w:eastAsia="Times New Roman" w:hAnsi="Times New Roman" w:cs="Times New Roman"/>
          <w:i/>
          <w:iCs/>
          <w:sz w:val="20"/>
          <w:szCs w:val="20"/>
        </w:rPr>
        <w:t>)</w:t>
      </w:r>
    </w:p>
    <w:p w:rsidR="00C80AF4" w:rsidRDefault="00503046" w:rsidP="00071B14">
      <w:pPr>
        <w:bidi w:val="0"/>
        <w:spacing w:line="360" w:lineRule="auto"/>
        <w:ind w:firstLine="284"/>
        <w:jc w:val="both"/>
        <w:rPr>
          <w:rFonts w:asciiTheme="majorBidi" w:hAnsiTheme="majorBidi" w:cstheme="majorBidi"/>
          <w:sz w:val="18"/>
          <w:szCs w:val="18"/>
        </w:rPr>
      </w:pPr>
      <w:r w:rsidRPr="00503046">
        <w:rPr>
          <w:rStyle w:val="ypks7kbdpwfgdykd3qb9"/>
          <w:rFonts w:asciiTheme="majorBidi" w:hAnsiTheme="majorBidi" w:cstheme="majorBidi"/>
          <w:sz w:val="18"/>
          <w:szCs w:val="18"/>
        </w:rPr>
        <w:t>Positive changes in the structure of the liver were observed in mice that received ginger only, as the liver tissue showed an improvement in the balance of the distribution of hepatocytes and the absence of proliferation of fat cells, which indicates the protective effect of ginger against the negative effects of toxic substances.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Hepatocytes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also appeared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regular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normal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circular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nuclei</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most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cells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without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obvious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signs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cellular damage such as swelling or necrosis, indicating limited or no effects of ginger on cell integrity.</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blood sinuses appeared clear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and well-opened, which indicates the safety of blood circulation inside the liver, with the absence of any evidence of congestion or abnormal dilatation.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hepatic immune cells (Kupffer cells) appeared to be in a normal position within the blood sinuses without any signs of increased inflammatory activity.</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 xml:space="preserve">Inflammatory infiltrates or pathological changes in the tissue were not observed, since the tissue looked largely normal, which indicates that ginger did not cause </w:t>
      </w:r>
      <w:r w:rsidRPr="00503046">
        <w:rPr>
          <w:rStyle w:val="ypks7kbdpwfgdykd3qb9"/>
          <w:rFonts w:asciiTheme="majorBidi" w:hAnsiTheme="majorBidi" w:cstheme="majorBidi"/>
          <w:sz w:val="18"/>
          <w:szCs w:val="18"/>
        </w:rPr>
        <w:lastRenderedPageBreak/>
        <w:t>pronounced negative effects on liver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shown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Figure</w:t>
      </w:r>
      <w:r w:rsidRPr="00503046">
        <w:rPr>
          <w:rFonts w:asciiTheme="majorBidi" w:hAnsiTheme="majorBidi" w:cstheme="majorBidi"/>
          <w:sz w:val="18"/>
          <w:szCs w:val="18"/>
        </w:rPr>
        <w:t xml:space="preserve"> </w:t>
      </w:r>
      <w:r>
        <w:rPr>
          <w:rStyle w:val="ypks7kbdpwfgdykd3qb9"/>
          <w:rFonts w:asciiTheme="majorBidi" w:hAnsiTheme="majorBidi" w:cstheme="majorBidi"/>
          <w:sz w:val="18"/>
          <w:szCs w:val="18"/>
        </w:rPr>
        <w:t>2</w:t>
      </w:r>
      <w:r w:rsidRPr="00503046">
        <w:rPr>
          <w:rFonts w:asciiTheme="majorBidi" w:hAnsiTheme="majorBidi" w:cstheme="majorBidi"/>
          <w:sz w:val="18"/>
          <w:szCs w:val="18"/>
        </w:rPr>
        <w:t>.</w:t>
      </w:r>
    </w:p>
    <w:p w:rsidR="00503046" w:rsidRDefault="00071B14" w:rsidP="00071B14">
      <w:pPr>
        <w:bidi w:val="0"/>
        <w:spacing w:line="360" w:lineRule="auto"/>
        <w:rPr>
          <w:rFonts w:asciiTheme="majorBidi" w:hAnsiTheme="majorBidi" w:cstheme="majorBidi"/>
          <w:sz w:val="18"/>
          <w:szCs w:val="18"/>
        </w:rPr>
      </w:pPr>
      <w:r w:rsidRPr="005453D0">
        <w:rPr>
          <w:rFonts w:ascii="Simplified Arabic" w:eastAsia="Calibri" w:hAnsi="Simplified Arabic" w:cs="Simplified Arabic"/>
          <w:b/>
          <w:bCs/>
          <w:noProof/>
          <w:sz w:val="18"/>
          <w:szCs w:val="18"/>
        </w:rPr>
        <w:drawing>
          <wp:inline distT="0" distB="0" distL="0" distR="0" wp14:anchorId="17B63939" wp14:editId="44BDF595">
            <wp:extent cx="2616200" cy="147320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616200" cy="1473200"/>
                    </a:xfrm>
                    <a:prstGeom prst="rect">
                      <a:avLst/>
                    </a:prstGeom>
                    <a:ln/>
                  </pic:spPr>
                </pic:pic>
              </a:graphicData>
            </a:graphic>
          </wp:inline>
        </w:drawing>
      </w:r>
    </w:p>
    <w:p w:rsidR="00503046" w:rsidRPr="00503046" w:rsidRDefault="00503046" w:rsidP="00071B14">
      <w:pPr>
        <w:bidi w:val="0"/>
        <w:spacing w:line="360" w:lineRule="auto"/>
        <w:jc w:val="center"/>
        <w:rPr>
          <w:rFonts w:asciiTheme="majorBidi" w:eastAsia="Times New Roman" w:hAnsiTheme="majorBidi" w:cstheme="majorBidi"/>
          <w:sz w:val="18"/>
          <w:szCs w:val="18"/>
        </w:rPr>
      </w:pPr>
      <w:r w:rsidRPr="00503046">
        <w:rPr>
          <w:rFonts w:asciiTheme="majorBidi" w:eastAsia="Calibri" w:hAnsiTheme="majorBidi" w:cstheme="majorBidi"/>
          <w:noProof/>
          <w:sz w:val="18"/>
          <w:szCs w:val="18"/>
        </w:rPr>
        <w:t xml:space="preserve">Figur </w:t>
      </w:r>
      <w:r w:rsidR="00071B14">
        <w:rPr>
          <w:rFonts w:asciiTheme="majorBidi" w:eastAsia="Calibri" w:hAnsiTheme="majorBidi" w:cstheme="majorBidi"/>
          <w:noProof/>
          <w:sz w:val="18"/>
          <w:szCs w:val="18"/>
        </w:rPr>
        <w:t>2</w:t>
      </w:r>
      <w:r w:rsidRPr="00503046">
        <w:rPr>
          <w:rFonts w:asciiTheme="majorBidi" w:eastAsia="Calibri" w:hAnsiTheme="majorBidi" w:cstheme="majorBidi"/>
          <w:noProof/>
          <w:sz w:val="18"/>
          <w:szCs w:val="18"/>
        </w:rPr>
        <w:t>:</w:t>
      </w:r>
      <w:r w:rsidR="00071B14">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sidR="00071B14">
        <w:rPr>
          <w:rFonts w:asciiTheme="majorBidi" w:eastAsia="Times New Roman" w:hAnsiTheme="majorBidi" w:cstheme="majorBidi"/>
          <w:sz w:val="18"/>
          <w:szCs w:val="18"/>
        </w:rPr>
        <w:t>B</w:t>
      </w:r>
    </w:p>
    <w:p w:rsidR="00C80AF4" w:rsidRPr="00293848" w:rsidRDefault="00C80AF4" w:rsidP="00071B14">
      <w:pPr>
        <w:bidi w:val="0"/>
        <w:spacing w:before="240"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3. Reality Extra Group (Group </w:t>
      </w:r>
      <w:r w:rsidR="00071B14">
        <w:rPr>
          <w:rFonts w:ascii="Times New Roman" w:eastAsia="Times New Roman" w:hAnsi="Times New Roman" w:cs="Times New Roman"/>
          <w:i/>
          <w:iCs/>
          <w:sz w:val="20"/>
          <w:szCs w:val="20"/>
        </w:rPr>
        <w:t>C</w:t>
      </w:r>
      <w:r w:rsidRPr="00293848">
        <w:rPr>
          <w:rFonts w:ascii="Times New Roman" w:eastAsia="Times New Roman" w:hAnsi="Times New Roman" w:cs="Times New Roman"/>
          <w:i/>
          <w:iCs/>
          <w:sz w:val="20"/>
          <w:szCs w:val="20"/>
        </w:rPr>
        <w:t>)</w:t>
      </w:r>
    </w:p>
    <w:p w:rsidR="00C80AF4" w:rsidRDefault="00071B14" w:rsidP="00071B14">
      <w:pPr>
        <w:bidi w:val="0"/>
        <w:spacing w:line="276" w:lineRule="auto"/>
        <w:ind w:firstLine="284"/>
        <w:jc w:val="both"/>
        <w:rPr>
          <w:rFonts w:asciiTheme="majorBidi" w:eastAsia="Times New Roman" w:hAnsiTheme="majorBidi" w:cstheme="majorBidi"/>
          <w:sz w:val="18"/>
          <w:szCs w:val="18"/>
        </w:rPr>
      </w:pPr>
      <w:r w:rsidRPr="00071B14">
        <w:rPr>
          <w:rStyle w:val="ypks7kbdpwfgdykd3qb9"/>
          <w:rFonts w:asciiTheme="majorBidi" w:hAnsiTheme="majorBidi" w:cstheme="majorBidi"/>
          <w:sz w:val="18"/>
          <w:szCs w:val="18"/>
        </w:rPr>
        <w:t>The group that received the overdose of Reality Extra pronounced pathological histological changes were observed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Hepatocytes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showed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abnormal</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arrangement</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some areas, as they lost the regular arrangement in the hepatic cords.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Cellular changes such as cytoplasmic pitting (Vacuolization), which indicates degenerative changes, as well as hypertrophy of nuclei (Nuclear inclusion) have also been observed in some cells, reflecting abnormal activity or cellular stress.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some areas, hepatocytes appeared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to be decomposing, which indicates cell lysis (Necrosis) caused by a toxic effect of the drug.</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At the level of the hepatic sinuses (Sinusoids), a pronounced widening is observed, with the accumulation of red blood cells in some places, which indicates a possible congestion.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Kupffer cells have also been observed to be activated, reflecting an innate immune response.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addition, pronounced inflammatory infiltrates appeared around the blood vessels (peripheral Areas), which indicates an acute inflammatory response as a result of cell damage or a direct effect of the drug.</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As for the central vessels (Central Veins), they appeared dilated, with possible congestion in them, which could affect the normal blood flow in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general, such</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changes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reflect</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hepatotoxicity</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Hepatotoxicity) caused by exposure to the drug, and such poisoning may be a consequence of oxidative stress (Oxidative Stress), an inflammatory response or a direct toxic effect on liver 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shown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Figure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w:t>
      </w:r>
      <w:r>
        <w:rPr>
          <w:rStyle w:val="ypks7kbdpwfgdykd3qb9"/>
          <w:rFonts w:asciiTheme="majorBidi" w:hAnsiTheme="majorBidi" w:cstheme="majorBidi"/>
          <w:sz w:val="18"/>
          <w:szCs w:val="18"/>
        </w:rPr>
        <w:t>3</w:t>
      </w:r>
      <w:r w:rsidRPr="00071B14">
        <w:rPr>
          <w:rFonts w:asciiTheme="majorBidi" w:hAnsiTheme="majorBidi" w:cstheme="majorBidi"/>
          <w:sz w:val="18"/>
          <w:szCs w:val="18"/>
        </w:rPr>
        <w:t>).</w:t>
      </w:r>
    </w:p>
    <w:p w:rsidR="00071B14" w:rsidRDefault="00071B14" w:rsidP="00071B14">
      <w:pPr>
        <w:bidi w:val="0"/>
        <w:spacing w:line="360" w:lineRule="auto"/>
        <w:jc w:val="center"/>
        <w:rPr>
          <w:rFonts w:asciiTheme="majorBidi" w:eastAsia="Times New Roman" w:hAnsiTheme="majorBidi" w:cstheme="majorBidi"/>
          <w:sz w:val="18"/>
          <w:szCs w:val="18"/>
        </w:rPr>
      </w:pPr>
      <w:r w:rsidRPr="005453D0">
        <w:rPr>
          <w:rFonts w:ascii="Calibri" w:eastAsia="Calibri" w:hAnsi="Calibri" w:cs="Calibri"/>
          <w:noProof/>
          <w:sz w:val="18"/>
          <w:szCs w:val="18"/>
        </w:rPr>
        <w:drawing>
          <wp:inline distT="0" distB="0" distL="0" distR="0" wp14:anchorId="64916748" wp14:editId="39342FF7">
            <wp:extent cx="2629535" cy="220980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629535" cy="2209800"/>
                    </a:xfrm>
                    <a:prstGeom prst="rect">
                      <a:avLst/>
                    </a:prstGeom>
                    <a:ln/>
                  </pic:spPr>
                </pic:pic>
              </a:graphicData>
            </a:graphic>
          </wp:inline>
        </w:drawing>
      </w:r>
    </w:p>
    <w:p w:rsidR="00071B14" w:rsidRPr="00071B14" w:rsidRDefault="00071B14" w:rsidP="00071B14">
      <w:pPr>
        <w:bidi w:val="0"/>
        <w:spacing w:line="360" w:lineRule="auto"/>
        <w:jc w:val="center"/>
        <w:rPr>
          <w:rFonts w:asciiTheme="majorBidi" w:eastAsia="Times New Roman" w:hAnsiTheme="majorBidi" w:cstheme="majorBidi"/>
          <w:sz w:val="18"/>
          <w:szCs w:val="18"/>
        </w:rPr>
      </w:pPr>
      <w:r w:rsidRPr="00503046">
        <w:rPr>
          <w:rFonts w:asciiTheme="majorBidi" w:eastAsia="Calibri" w:hAnsiTheme="majorBidi" w:cstheme="majorBidi"/>
          <w:noProof/>
          <w:sz w:val="18"/>
          <w:szCs w:val="18"/>
        </w:rPr>
        <w:t xml:space="preserve">Figur </w:t>
      </w:r>
      <w:r>
        <w:rPr>
          <w:rFonts w:asciiTheme="majorBidi" w:eastAsia="Calibri" w:hAnsiTheme="majorBidi" w:cstheme="majorBidi"/>
          <w:noProof/>
          <w:sz w:val="18"/>
          <w:szCs w:val="18"/>
        </w:rPr>
        <w:t>3</w:t>
      </w:r>
      <w:r w:rsidRPr="00503046">
        <w:rPr>
          <w:rFonts w:asciiTheme="majorBidi" w:eastAsia="Calibri" w:hAnsiTheme="majorBidi" w:cstheme="majorBidi"/>
          <w:noProof/>
          <w:sz w:val="18"/>
          <w:szCs w:val="18"/>
        </w:rPr>
        <w:t>:</w:t>
      </w:r>
      <w:r>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Pr>
          <w:rFonts w:asciiTheme="majorBidi" w:eastAsia="Times New Roman" w:hAnsiTheme="majorBidi" w:cstheme="majorBidi"/>
          <w:sz w:val="18"/>
          <w:szCs w:val="18"/>
        </w:rPr>
        <w:t>C</w:t>
      </w:r>
    </w:p>
    <w:p w:rsidR="00C80AF4" w:rsidRPr="00E045CB" w:rsidRDefault="00C80AF4" w:rsidP="00C93E5F">
      <w:pPr>
        <w:bidi w:val="0"/>
        <w:spacing w:before="240" w:after="0" w:line="360" w:lineRule="auto"/>
        <w:jc w:val="both"/>
        <w:outlineLvl w:val="3"/>
        <w:rPr>
          <w:rFonts w:ascii="Times New Roman" w:eastAsia="Times New Roman" w:hAnsi="Times New Roman" w:cs="Times New Roman"/>
          <w:i/>
          <w:iCs/>
          <w:sz w:val="18"/>
          <w:szCs w:val="18"/>
        </w:rPr>
      </w:pPr>
      <w:r w:rsidRPr="00E045CB">
        <w:rPr>
          <w:rFonts w:ascii="Times New Roman" w:eastAsia="Times New Roman" w:hAnsi="Times New Roman" w:cs="Times New Roman"/>
          <w:i/>
          <w:iCs/>
          <w:sz w:val="18"/>
          <w:szCs w:val="18"/>
        </w:rPr>
        <w:t>3.</w:t>
      </w:r>
      <w:r w:rsidR="00E045CB">
        <w:rPr>
          <w:rFonts w:ascii="Times New Roman" w:eastAsia="Times New Roman" w:hAnsi="Times New Roman" w:cs="Times New Roman"/>
          <w:i/>
          <w:iCs/>
          <w:sz w:val="18"/>
          <w:szCs w:val="18"/>
        </w:rPr>
        <w:t>1.</w:t>
      </w:r>
      <w:r w:rsidRPr="00E045CB">
        <w:rPr>
          <w:rFonts w:ascii="Times New Roman" w:eastAsia="Times New Roman" w:hAnsi="Times New Roman" w:cs="Times New Roman"/>
          <w:i/>
          <w:iCs/>
          <w:sz w:val="18"/>
          <w:szCs w:val="18"/>
        </w:rPr>
        <w:t>4. Ginger + Reality Extra Group (Group D)</w:t>
      </w:r>
    </w:p>
    <w:p w:rsidR="00C80AF4" w:rsidRPr="00071B14" w:rsidRDefault="00071B14" w:rsidP="00071B14">
      <w:pPr>
        <w:bidi w:val="0"/>
        <w:spacing w:line="360" w:lineRule="auto"/>
        <w:ind w:firstLine="284"/>
        <w:jc w:val="both"/>
        <w:rPr>
          <w:rFonts w:asciiTheme="majorBidi" w:eastAsia="Calibri" w:hAnsiTheme="majorBidi" w:cstheme="majorBidi"/>
          <w:noProof/>
          <w:sz w:val="18"/>
          <w:szCs w:val="18"/>
        </w:rPr>
      </w:pPr>
      <w:r w:rsidRPr="00071B14">
        <w:rPr>
          <w:rStyle w:val="ypks7kbdpwfgdykd3qb9"/>
          <w:rFonts w:asciiTheme="majorBidi" w:hAnsiTheme="majorBidi" w:cstheme="majorBidi"/>
          <w:sz w:val="18"/>
          <w:szCs w:val="18"/>
        </w:rPr>
        <w:t>The group that received the mixture of ginger and the drug, the mice that received the mixture of ginger and the drug showed a marked improvement in the structure of tissues where the results showed the regularity of hepatocytes, as the cells appeared with clear boundaries with normal circular nuclei without any signs of necrosis or excessive swelling, reflecting the integrity of the 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The blood sinuses also appeared clear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and well-opened, without any signs of congestion or abnormal dilatation, which indicates the safety of blood circulation inside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addition, a marked decrease in inflammatory infiltrates was observed compared to cases of acute inflammation, which indicates that ginger contributes to a decrease in inflammatory activity in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Hepatic</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immune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(Kupffer Cells) appeared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a normal</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position inside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the blood sinuses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no increase in inflammatory activity was observed, which indicates the stabilization of the immune status of the tissue as shown in Figure (</w:t>
      </w:r>
      <w:r>
        <w:rPr>
          <w:rStyle w:val="ypks7kbdpwfgdykd3qb9"/>
          <w:rFonts w:asciiTheme="majorBidi" w:hAnsiTheme="majorBidi" w:cstheme="majorBidi"/>
          <w:sz w:val="18"/>
          <w:szCs w:val="18"/>
        </w:rPr>
        <w:t>4</w:t>
      </w:r>
      <w:r w:rsidRPr="00071B14">
        <w:rPr>
          <w:rStyle w:val="ypks7kbdpwfgdykd3qb9"/>
          <w:rFonts w:asciiTheme="majorBidi" w:hAnsiTheme="majorBidi" w:cstheme="majorBidi"/>
          <w:sz w:val="18"/>
          <w:szCs w:val="18"/>
        </w:rPr>
        <w:t>).</w:t>
      </w:r>
      <w:r w:rsidR="00C80AF4" w:rsidRPr="00071B14">
        <w:rPr>
          <w:rFonts w:asciiTheme="majorBidi" w:eastAsia="Calibri" w:hAnsiTheme="majorBidi" w:cstheme="majorBidi"/>
          <w:noProof/>
          <w:sz w:val="18"/>
          <w:szCs w:val="18"/>
        </w:rPr>
        <w:t xml:space="preserve"> </w:t>
      </w:r>
    </w:p>
    <w:p w:rsidR="00C80AF4" w:rsidRDefault="00071B14" w:rsidP="00C93E5F">
      <w:pPr>
        <w:bidi w:val="0"/>
        <w:spacing w:after="0" w:line="360" w:lineRule="auto"/>
        <w:jc w:val="both"/>
        <w:rPr>
          <w:rFonts w:ascii="Calibri" w:eastAsia="Calibri" w:hAnsi="Calibri" w:cs="Calibri"/>
          <w:noProof/>
          <w:sz w:val="18"/>
          <w:szCs w:val="18"/>
        </w:rPr>
      </w:pPr>
      <w:r w:rsidRPr="005453D0">
        <w:rPr>
          <w:rFonts w:ascii="Calibri" w:eastAsia="Calibri" w:hAnsi="Calibri" w:cs="Calibri"/>
          <w:noProof/>
          <w:sz w:val="18"/>
          <w:szCs w:val="18"/>
        </w:rPr>
        <w:drawing>
          <wp:inline distT="0" distB="0" distL="0" distR="0" wp14:anchorId="6E7A0D30" wp14:editId="5B58EF49">
            <wp:extent cx="2640330" cy="1502060"/>
            <wp:effectExtent l="0" t="0" r="7620" b="3175"/>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640330" cy="1502060"/>
                    </a:xfrm>
                    <a:prstGeom prst="rect">
                      <a:avLst/>
                    </a:prstGeom>
                    <a:ln/>
                  </pic:spPr>
                </pic:pic>
              </a:graphicData>
            </a:graphic>
          </wp:inline>
        </w:drawing>
      </w:r>
    </w:p>
    <w:p w:rsidR="00071B14" w:rsidRDefault="00071B14" w:rsidP="00071B14">
      <w:pPr>
        <w:bidi w:val="0"/>
        <w:spacing w:after="0" w:line="360" w:lineRule="auto"/>
        <w:jc w:val="both"/>
        <w:rPr>
          <w:rFonts w:ascii="Times New Roman" w:eastAsia="Times New Roman" w:hAnsi="Times New Roman" w:cs="Times New Roman"/>
          <w:sz w:val="18"/>
          <w:szCs w:val="18"/>
        </w:rPr>
      </w:pPr>
      <w:r w:rsidRPr="00503046">
        <w:rPr>
          <w:rFonts w:asciiTheme="majorBidi" w:eastAsia="Calibri" w:hAnsiTheme="majorBidi" w:cstheme="majorBidi"/>
          <w:noProof/>
          <w:sz w:val="18"/>
          <w:szCs w:val="18"/>
        </w:rPr>
        <w:t xml:space="preserve">Figur </w:t>
      </w:r>
      <w:r>
        <w:rPr>
          <w:rFonts w:asciiTheme="majorBidi" w:eastAsia="Calibri" w:hAnsiTheme="majorBidi" w:cstheme="majorBidi"/>
          <w:noProof/>
          <w:sz w:val="18"/>
          <w:szCs w:val="18"/>
        </w:rPr>
        <w:t>4</w:t>
      </w:r>
      <w:r w:rsidRPr="00503046">
        <w:rPr>
          <w:rFonts w:asciiTheme="majorBidi" w:eastAsia="Calibri" w:hAnsiTheme="majorBidi" w:cstheme="majorBidi"/>
          <w:noProof/>
          <w:sz w:val="18"/>
          <w:szCs w:val="18"/>
        </w:rPr>
        <w:t>:</w:t>
      </w:r>
      <w:r>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Pr>
          <w:rFonts w:asciiTheme="majorBidi" w:eastAsia="Times New Roman" w:hAnsiTheme="majorBidi" w:cstheme="majorBidi"/>
          <w:sz w:val="18"/>
          <w:szCs w:val="18"/>
        </w:rPr>
        <w:t>D</w:t>
      </w:r>
    </w:p>
    <w:p w:rsidR="00071B14" w:rsidRPr="005453D0" w:rsidRDefault="00071B14" w:rsidP="00071B14">
      <w:pPr>
        <w:bidi w:val="0"/>
        <w:spacing w:after="0" w:line="360" w:lineRule="auto"/>
        <w:jc w:val="both"/>
        <w:rPr>
          <w:rFonts w:ascii="Times New Roman" w:eastAsia="Times New Roman" w:hAnsi="Times New Roman" w:cs="Times New Roman"/>
          <w:sz w:val="18"/>
          <w:szCs w:val="18"/>
        </w:rPr>
      </w:pPr>
    </w:p>
    <w:p w:rsidR="00C80AF4" w:rsidRPr="00293848" w:rsidRDefault="00C80AF4" w:rsidP="00071B14">
      <w:pPr>
        <w:bidi w:val="0"/>
        <w:spacing w:before="240" w:after="0" w:line="360" w:lineRule="auto"/>
        <w:jc w:val="center"/>
        <w:outlineLvl w:val="2"/>
        <w:rPr>
          <w:rFonts w:ascii="Times New Roman" w:eastAsia="Times New Roman" w:hAnsi="Times New Roman" w:cs="Times New Roman"/>
          <w:b/>
          <w:bCs/>
          <w:sz w:val="20"/>
          <w:szCs w:val="20"/>
        </w:rPr>
      </w:pPr>
      <w:r w:rsidRPr="00293848">
        <w:rPr>
          <w:rFonts w:ascii="Times New Roman" w:eastAsia="Times New Roman" w:hAnsi="Times New Roman" w:cs="Times New Roman"/>
          <w:b/>
          <w:bCs/>
          <w:sz w:val="20"/>
          <w:szCs w:val="20"/>
        </w:rPr>
        <w:lastRenderedPageBreak/>
        <w:t>4. Discussion</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This study investigated the biochemical effects of ginger extract on liver function in albino rats exposed to toxic doses of the combination drug Reality Extra. The findings demonstrate that ginger exerts a significant hepatoprotective effect by normalizing key liver function biomarkers—alkaline phosphatase (ALP) and albumin.</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The substantial increase in ALP levels observed in the Reality Extra group is indicative of hepatocellular damage, consistent with previous reports on the hepatotoxic potential of paracetamol and NSAIDs in overdose scenarios. (Stephen &amp; Bello., 2024) Elevated ALP is commonly associated with bile duct obstruction, cellular necrosis, or drug-induced hepatotoxicity. The marked reduction in albumin levels further reflects impaired synthetic capacity of the liver, reinforcing the toxic burden induced by prolonged exposure to Reality Extra.</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Importantly, co-administration of ginger extract significantly ameliorated these biochemical disturbances. ALP levels were restored to near-normal values, and serum albumin concentrations were improved significantly in the ginger + drug group. These results align with earlier studies (de </w:t>
      </w:r>
      <w:proofErr w:type="spellStart"/>
      <w:r w:rsidRPr="00015B1B">
        <w:rPr>
          <w:rFonts w:asciiTheme="majorBidi" w:hAnsiTheme="majorBidi" w:cstheme="majorBidi"/>
          <w:sz w:val="18"/>
          <w:szCs w:val="18"/>
        </w:rPr>
        <w:t>Moraes</w:t>
      </w:r>
      <w:proofErr w:type="spellEnd"/>
      <w:r w:rsidRPr="00015B1B">
        <w:rPr>
          <w:rFonts w:asciiTheme="majorBidi" w:hAnsiTheme="majorBidi" w:cstheme="majorBidi"/>
          <w:sz w:val="18"/>
          <w:szCs w:val="18"/>
        </w:rPr>
        <w:t xml:space="preserve"> </w:t>
      </w:r>
      <w:r w:rsidRPr="00945D7C">
        <w:rPr>
          <w:rFonts w:asciiTheme="majorBidi" w:hAnsiTheme="majorBidi" w:cstheme="majorBidi"/>
          <w:i/>
          <w:iCs/>
          <w:sz w:val="18"/>
          <w:szCs w:val="18"/>
        </w:rPr>
        <w:t>et al</w:t>
      </w:r>
      <w:r>
        <w:rPr>
          <w:rFonts w:asciiTheme="majorBidi" w:hAnsiTheme="majorBidi" w:cstheme="majorBidi"/>
          <w:sz w:val="18"/>
          <w:szCs w:val="18"/>
          <w:rtl/>
        </w:rPr>
        <w:t xml:space="preserve">, </w:t>
      </w:r>
      <w:r w:rsidRPr="00015B1B">
        <w:rPr>
          <w:rFonts w:asciiTheme="majorBidi" w:hAnsiTheme="majorBidi" w:cstheme="majorBidi"/>
          <w:sz w:val="18"/>
          <w:szCs w:val="18"/>
          <w:rtl/>
        </w:rPr>
        <w:t xml:space="preserve">2021 </w:t>
      </w:r>
      <w:r w:rsidRPr="00015B1B">
        <w:rPr>
          <w:rFonts w:asciiTheme="majorBidi" w:hAnsiTheme="majorBidi" w:cstheme="majorBidi"/>
          <w:sz w:val="18"/>
          <w:szCs w:val="18"/>
        </w:rPr>
        <w:t>that identified ginger’s antioxidative and anti-inflammatory properties as crucial mechanisms for hepatic protection. Gingerol compounds in particular are known to scavenge free radicals and modulate inflammatory cytokines, thereby preventing oxidative stress and hepatocyte apoptosis.</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Interestingly, the ginger-only group showed biochemical profiles nearly identical to the control group, confirming its safety and lack of hepatic toxicity at the administered dose.</w:t>
      </w:r>
    </w:p>
    <w:p w:rsidR="00C80AF4" w:rsidRDefault="00C80AF4" w:rsidP="00A45545">
      <w:pPr>
        <w:bidi w:val="0"/>
        <w:spacing w:after="0" w:line="360" w:lineRule="auto"/>
        <w:ind w:firstLine="284"/>
        <w:jc w:val="both"/>
        <w:rPr>
          <w:rFonts w:ascii="Times New Roman" w:eastAsia="Times New Roman" w:hAnsi="Times New Roman" w:cs="Times New Roman"/>
          <w:sz w:val="18"/>
          <w:szCs w:val="18"/>
        </w:rPr>
      </w:pPr>
      <w:r w:rsidRPr="00015B1B">
        <w:rPr>
          <w:rFonts w:asciiTheme="majorBidi" w:hAnsiTheme="majorBidi" w:cstheme="majorBidi"/>
          <w:sz w:val="18"/>
          <w:szCs w:val="18"/>
        </w:rPr>
        <w:t>Collectively, these findings suggest that ginger extract not only counters liver enzyme elevation but also supports the liver’s synthetic function during toxic drug exposure. Its therapeutic value lies in its ability to intervene in the pathological cascade initiated by drug-induced oxidative and inflammatory responses.</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w:t>
      </w:r>
      <w:r w:rsidRPr="005453D0">
        <w:rPr>
          <w:rFonts w:ascii="Times New Roman" w:eastAsia="Times New Roman" w:hAnsi="Times New Roman" w:cs="Times New Roman"/>
          <w:sz w:val="18"/>
          <w:szCs w:val="18"/>
        </w:rPr>
        <w:t xml:space="preserve"> histopathological analysis confirms the hepatotoxic impact of Reality Extra, as evidenced by widespread necrosis, architectural disarray, and inflammatory responses in the liver tissues of treated rats. These findings support previous reports indicating that </w:t>
      </w:r>
      <w:r w:rsidRPr="005453D0">
        <w:rPr>
          <w:rFonts w:ascii="Times New Roman" w:eastAsia="Times New Roman" w:hAnsi="Times New Roman" w:cs="Times New Roman"/>
          <w:sz w:val="18"/>
          <w:szCs w:val="18"/>
        </w:rPr>
        <w:t>paracetamol and NSAIDs, especially in combination, contribute to liver damage through oxidative stress and mitochondrial dysfunction.</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protective effects observed in the ginger co-treatment group validate ginger’s ability to preserve hepatic structure under toxic insult.</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These results are consistent with the study by</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Stephen &amp; Bello., 2024</w:t>
      </w:r>
      <w:r>
        <w:rPr>
          <w:rFonts w:ascii="Times New Roman" w:eastAsia="Times New Roman" w:hAnsi="Times New Roman" w:cs="Times New Roman"/>
          <w:sz w:val="18"/>
          <w:szCs w:val="18"/>
        </w:rPr>
        <w:t xml:space="preserve">). </w:t>
      </w:r>
      <w:r w:rsidRPr="005453D0">
        <w:rPr>
          <w:rFonts w:ascii="Times New Roman" w:eastAsia="Times New Roman" w:hAnsi="Times New Roman" w:cs="Times New Roman"/>
          <w:sz w:val="18"/>
          <w:szCs w:val="18"/>
        </w:rPr>
        <w:t>The maintenance of hepatocyte alignment, reduction of inflammation, and absence of vascular congestion in the ginger + drug group indicate a significant protective role likely mediated through the antioxidant actions of gingerol compounds, which counteract lipid peroxidation and modulate immune responses.</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These results align with the research conducted by</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 xml:space="preserve">de </w:t>
      </w:r>
      <w:proofErr w:type="spellStart"/>
      <w:r w:rsidRPr="00A57EA7">
        <w:rPr>
          <w:rFonts w:ascii="Times New Roman" w:eastAsia="Times New Roman" w:hAnsi="Times New Roman" w:cs="Times New Roman"/>
          <w:sz w:val="18"/>
          <w:szCs w:val="18"/>
        </w:rPr>
        <w:t>Moraes</w:t>
      </w:r>
      <w:proofErr w:type="spellEnd"/>
      <w:r w:rsidRPr="00A57EA7">
        <w:rPr>
          <w:rFonts w:ascii="Times New Roman" w:eastAsia="Times New Roman" w:hAnsi="Times New Roman" w:cs="Times New Roman"/>
          <w:sz w:val="18"/>
          <w:szCs w:val="18"/>
        </w:rPr>
        <w:t xml:space="preserve"> </w:t>
      </w:r>
      <w:r w:rsidRPr="00A57EA7">
        <w:rPr>
          <w:rFonts w:ascii="Times New Roman" w:eastAsia="Times New Roman" w:hAnsi="Times New Roman" w:cs="Times New Roman"/>
          <w:i/>
          <w:iCs/>
          <w:sz w:val="18"/>
          <w:szCs w:val="18"/>
        </w:rPr>
        <w:t>et al</w:t>
      </w:r>
      <w:r>
        <w:rPr>
          <w:rFonts w:ascii="Times New Roman" w:eastAsia="Times New Roman" w:hAnsi="Times New Roman" w:cs="Times New Roman"/>
          <w:i/>
          <w:iCs/>
          <w:sz w:val="18"/>
          <w:szCs w:val="18"/>
        </w:rPr>
        <w:t>,</w:t>
      </w:r>
      <w:r w:rsidRPr="00A57EA7">
        <w:rPr>
          <w:rFonts w:ascii="Times New Roman" w:eastAsia="Times New Roman" w:hAnsi="Times New Roman" w:cs="Times New Roman"/>
          <w:sz w:val="18"/>
          <w:szCs w:val="18"/>
        </w:rPr>
        <w:t xml:space="preserve"> 2021</w:t>
      </w:r>
      <w:r>
        <w:rPr>
          <w:rFonts w:ascii="Times New Roman" w:eastAsia="Times New Roman" w:hAnsi="Times New Roman" w:cs="Times New Roman"/>
          <w:sz w:val="18"/>
          <w:szCs w:val="18"/>
        </w:rPr>
        <w:t>)</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ginger-only group’s histology matched that of the control group, further confirming the extract’s safety and non-toxicity at the tested dose.</w:t>
      </w:r>
    </w:p>
    <w:p w:rsidR="003C0920" w:rsidRPr="00015B1B" w:rsidRDefault="00C80AF4" w:rsidP="00A45545">
      <w:pPr>
        <w:pStyle w:val="NormalWeb"/>
        <w:spacing w:before="0" w:beforeAutospacing="0" w:after="0" w:afterAutospacing="0" w:line="360" w:lineRule="auto"/>
        <w:ind w:firstLine="426"/>
        <w:jc w:val="both"/>
        <w:rPr>
          <w:rFonts w:asciiTheme="majorBidi" w:hAnsiTheme="majorBidi" w:cstheme="majorBidi"/>
          <w:sz w:val="18"/>
          <w:szCs w:val="18"/>
        </w:rPr>
      </w:pPr>
      <w:r w:rsidRPr="005453D0">
        <w:rPr>
          <w:sz w:val="18"/>
          <w:szCs w:val="18"/>
        </w:rPr>
        <w:t>These results suggest that ginger may not only prevent structural liver damage but could also support tissue recovery during ongoing drug-induced hepatic stress.</w:t>
      </w:r>
    </w:p>
    <w:p w:rsidR="008F2FC5" w:rsidRPr="00015B1B"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5. Conclusion</w:t>
      </w:r>
    </w:p>
    <w:p w:rsidR="00E045CB" w:rsidRDefault="00E045CB"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E045CB">
        <w:rPr>
          <w:rFonts w:asciiTheme="majorBidi" w:hAnsiTheme="majorBidi" w:cstheme="majorBidi"/>
          <w:sz w:val="18"/>
          <w:szCs w:val="18"/>
        </w:rPr>
        <w:t>Reality Extra induces pronounced biochemical and histopathological liver damage, characterized by elevated ALP, reduced albumin, extensive hepatocyte necrosis, vascular congestion, and inflammatory cell infiltration</w:t>
      </w:r>
      <w:r>
        <w:rPr>
          <w:rFonts w:asciiTheme="majorBidi" w:hAnsiTheme="majorBidi" w:cstheme="majorBidi"/>
          <w:sz w:val="18"/>
          <w:szCs w:val="18"/>
        </w:rPr>
        <w:t>.</w:t>
      </w:r>
    </w:p>
    <w:p w:rsidR="00AC621D"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The present study demonstrates that ginger extract exerts significant hepatoprotective effects against liver toxicity induced by the multi-component drug Reality Extra in albino </w:t>
      </w:r>
      <w:r w:rsidR="00AC621D">
        <w:rPr>
          <w:rFonts w:asciiTheme="majorBidi" w:hAnsiTheme="majorBidi" w:cstheme="majorBidi"/>
          <w:sz w:val="18"/>
          <w:szCs w:val="18"/>
        </w:rPr>
        <w:t>mice</w:t>
      </w:r>
      <w:r w:rsidRPr="00015B1B">
        <w:rPr>
          <w:rFonts w:asciiTheme="majorBidi" w:hAnsiTheme="majorBidi" w:cstheme="majorBidi"/>
          <w:sz w:val="18"/>
          <w:szCs w:val="18"/>
        </w:rPr>
        <w:t>. The extract effectively restored altered biochemical markers</w:t>
      </w:r>
      <w:r w:rsidR="00945D7C">
        <w:rPr>
          <w:rFonts w:asciiTheme="majorBidi" w:hAnsiTheme="majorBidi" w:cstheme="majorBidi"/>
          <w:sz w:val="18"/>
          <w:szCs w:val="18"/>
        </w:rPr>
        <w:t xml:space="preserve">, </w:t>
      </w:r>
      <w:r w:rsidRPr="00015B1B">
        <w:rPr>
          <w:rFonts w:asciiTheme="majorBidi" w:hAnsiTheme="majorBidi" w:cstheme="majorBidi"/>
          <w:sz w:val="18"/>
          <w:szCs w:val="18"/>
        </w:rPr>
        <w:t>reducing elevated ALP levels and increasing serum albumin concentrations</w:t>
      </w:r>
      <w:r w:rsidR="00945D7C">
        <w:rPr>
          <w:rFonts w:asciiTheme="majorBidi" w:hAnsiTheme="majorBidi" w:cstheme="majorBidi"/>
          <w:sz w:val="18"/>
          <w:szCs w:val="18"/>
        </w:rPr>
        <w:t xml:space="preserve">, </w:t>
      </w:r>
      <w:r w:rsidRPr="00015B1B">
        <w:rPr>
          <w:rFonts w:asciiTheme="majorBidi" w:hAnsiTheme="majorBidi" w:cstheme="majorBidi"/>
          <w:sz w:val="18"/>
          <w:szCs w:val="18"/>
        </w:rPr>
        <w:t>indicating improved hepatic function.</w:t>
      </w:r>
    </w:p>
    <w:p w:rsidR="00AC621D" w:rsidRPr="005453D0" w:rsidRDefault="00AC621D"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findings of this study demonstrate that high-dose administration of Reality Extra leads to severe histopathological damage in liver tissues, including necrosis, inflammatory infiltration, and vascular congestion. However, co-administration of ginger extract significantly mitigates these effects and preserves hepatic structure.</w:t>
      </w:r>
    </w:p>
    <w:p w:rsidR="009152CC" w:rsidRDefault="009152CC" w:rsidP="00A45545">
      <w:pPr>
        <w:pStyle w:val="NormalWeb"/>
        <w:spacing w:before="0" w:beforeAutospacing="0" w:line="360" w:lineRule="auto"/>
        <w:ind w:firstLine="284"/>
        <w:jc w:val="both"/>
        <w:rPr>
          <w:sz w:val="18"/>
          <w:szCs w:val="18"/>
        </w:rPr>
      </w:pPr>
      <w:r w:rsidRPr="009152CC">
        <w:rPr>
          <w:sz w:val="18"/>
          <w:szCs w:val="18"/>
        </w:rPr>
        <w:t>These results support the therapeutic potential of ginger as a natural hepatoprotective agent and advocate its use as a complementary intervention for mitigating drug-induced liver injury</w:t>
      </w:r>
    </w:p>
    <w:p w:rsidR="008D20C6" w:rsidRPr="008D20C6" w:rsidRDefault="008D20C6" w:rsidP="00A45545">
      <w:pPr>
        <w:pStyle w:val="NormalWeb"/>
        <w:spacing w:before="0" w:beforeAutospacing="0" w:line="360" w:lineRule="auto"/>
        <w:ind w:firstLine="284"/>
        <w:jc w:val="both"/>
        <w:rPr>
          <w:b/>
          <w:sz w:val="18"/>
          <w:szCs w:val="18"/>
        </w:rPr>
      </w:pPr>
      <w:r w:rsidRPr="008D20C6">
        <w:rPr>
          <w:b/>
          <w:sz w:val="18"/>
          <w:szCs w:val="18"/>
        </w:rPr>
        <w:lastRenderedPageBreak/>
        <w:t xml:space="preserve">Ethical Approval: </w:t>
      </w:r>
    </w:p>
    <w:p w:rsidR="008D20C6" w:rsidRDefault="008D20C6" w:rsidP="00A45545">
      <w:pPr>
        <w:pStyle w:val="NormalWeb"/>
        <w:spacing w:before="0" w:beforeAutospacing="0" w:line="360" w:lineRule="auto"/>
        <w:ind w:firstLine="284"/>
        <w:jc w:val="both"/>
        <w:rPr>
          <w:sz w:val="18"/>
          <w:szCs w:val="18"/>
        </w:rPr>
      </w:pPr>
      <w:r w:rsidRPr="008D20C6">
        <w:rPr>
          <w:sz w:val="18"/>
          <w:szCs w:val="18"/>
        </w:rPr>
        <w:t>The study was approved by the institutional ethics committee, and all animal procedures complied with internationally accepted ethical guidelines for animal research.</w:t>
      </w:r>
    </w:p>
    <w:p w:rsidR="00D84CB4" w:rsidRPr="008D20C6" w:rsidRDefault="00D84CB4" w:rsidP="00D84CB4">
      <w:pPr>
        <w:rPr>
          <w:b/>
        </w:rPr>
      </w:pPr>
      <w:r w:rsidRPr="008D20C6">
        <w:rPr>
          <w:b/>
        </w:rPr>
        <w:t>Disclaimer (Artificial intelligence)</w:t>
      </w:r>
    </w:p>
    <w:p w:rsidR="00D84CB4" w:rsidRDefault="00D84CB4" w:rsidP="00D84CB4">
      <w:r>
        <w:t xml:space="preserve">Option 1: </w:t>
      </w:r>
    </w:p>
    <w:p w:rsidR="00D84CB4" w:rsidRDefault="00D84CB4" w:rsidP="00D84CB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D84CB4" w:rsidRDefault="00D84CB4" w:rsidP="00D84CB4">
      <w:r>
        <w:t xml:space="preserve">Option 2: </w:t>
      </w:r>
    </w:p>
    <w:p w:rsidR="00D84CB4" w:rsidRDefault="00D84CB4" w:rsidP="00D84CB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84CB4" w:rsidRDefault="00D84CB4" w:rsidP="00D84CB4">
      <w:r>
        <w:t>Details of the AI usage are given below:</w:t>
      </w:r>
    </w:p>
    <w:p w:rsidR="00D84CB4" w:rsidRDefault="00D84CB4" w:rsidP="00D84CB4">
      <w:r>
        <w:t>1.</w:t>
      </w:r>
    </w:p>
    <w:p w:rsidR="00D84CB4" w:rsidRDefault="00D84CB4" w:rsidP="00D84CB4">
      <w:r>
        <w:t>2.</w:t>
      </w:r>
    </w:p>
    <w:p w:rsidR="00D84CB4" w:rsidRPr="00D047BB" w:rsidRDefault="00D84CB4" w:rsidP="00D84CB4">
      <w:r>
        <w:t>3.</w:t>
      </w:r>
    </w:p>
    <w:p w:rsidR="00D84CB4" w:rsidRPr="0063354D" w:rsidRDefault="00D84CB4" w:rsidP="00D84CB4"/>
    <w:p w:rsidR="00D84CB4" w:rsidRPr="00F7241A" w:rsidRDefault="00D84CB4" w:rsidP="00D84CB4"/>
    <w:p w:rsidR="004B4CFC" w:rsidRPr="009152CC" w:rsidRDefault="004B4CFC" w:rsidP="00A45545">
      <w:pPr>
        <w:pStyle w:val="NormalWeb"/>
        <w:spacing w:before="0" w:beforeAutospacing="0" w:line="360" w:lineRule="auto"/>
        <w:ind w:firstLine="284"/>
        <w:jc w:val="both"/>
        <w:rPr>
          <w:sz w:val="18"/>
          <w:szCs w:val="18"/>
        </w:rPr>
      </w:pPr>
    </w:p>
    <w:p w:rsidR="00CC3F4E" w:rsidRPr="00015B1B" w:rsidRDefault="00CC3F4E" w:rsidP="00C93E5F">
      <w:pPr>
        <w:pStyle w:val="NormalWeb"/>
        <w:spacing w:before="0" w:beforeAutospacing="0" w:after="0" w:afterAutospacing="0" w:line="360" w:lineRule="auto"/>
        <w:jc w:val="center"/>
        <w:rPr>
          <w:rFonts w:asciiTheme="majorBidi" w:hAnsiTheme="majorBidi" w:cstheme="majorBidi"/>
          <w:b/>
          <w:bCs/>
          <w:sz w:val="20"/>
          <w:szCs w:val="20"/>
        </w:rPr>
      </w:pPr>
      <w:r w:rsidRPr="00015B1B">
        <w:rPr>
          <w:rFonts w:asciiTheme="majorBidi" w:hAnsiTheme="majorBidi" w:cstheme="majorBidi"/>
          <w:b/>
          <w:bCs/>
          <w:sz w:val="20"/>
          <w:szCs w:val="20"/>
        </w:rPr>
        <w:t>References</w:t>
      </w:r>
    </w:p>
    <w:p w:rsidR="003D44DE" w:rsidRPr="008D20C6" w:rsidRDefault="00E045CB" w:rsidP="008D20C6">
      <w:pPr>
        <w:pStyle w:val="ListParagraph"/>
        <w:numPr>
          <w:ilvl w:val="0"/>
          <w:numId w:val="10"/>
        </w:numPr>
        <w:bidi w:val="0"/>
        <w:spacing w:after="0" w:line="360" w:lineRule="auto"/>
        <w:jc w:val="both"/>
        <w:rPr>
          <w:rFonts w:asciiTheme="majorBidi" w:eastAsia="Times New Roman" w:hAnsiTheme="majorBidi" w:cstheme="majorBidi"/>
          <w:sz w:val="18"/>
          <w:szCs w:val="18"/>
        </w:rPr>
      </w:pPr>
      <w:r w:rsidRPr="003D44DE">
        <w:rPr>
          <w:rFonts w:asciiTheme="majorBidi" w:eastAsia="Times New Roman" w:hAnsiTheme="majorBidi" w:cstheme="majorBidi"/>
          <w:sz w:val="18"/>
          <w:szCs w:val="18"/>
        </w:rPr>
        <w:t xml:space="preserve">Bouvier, M. L., </w:t>
      </w:r>
      <w:proofErr w:type="spellStart"/>
      <w:r w:rsidRPr="003D44DE">
        <w:rPr>
          <w:rFonts w:asciiTheme="majorBidi" w:eastAsia="Times New Roman" w:hAnsiTheme="majorBidi" w:cstheme="majorBidi"/>
          <w:sz w:val="18"/>
          <w:szCs w:val="18"/>
        </w:rPr>
        <w:t>Fehsel</w:t>
      </w:r>
      <w:proofErr w:type="spellEnd"/>
      <w:r w:rsidRPr="003D44DE">
        <w:rPr>
          <w:rFonts w:asciiTheme="majorBidi" w:eastAsia="Times New Roman" w:hAnsiTheme="majorBidi" w:cstheme="majorBidi"/>
          <w:sz w:val="18"/>
          <w:szCs w:val="18"/>
        </w:rPr>
        <w:t xml:space="preserve">, K., Schmitt, A., </w:t>
      </w:r>
      <w:proofErr w:type="spellStart"/>
      <w:r w:rsidRPr="003D44DE">
        <w:rPr>
          <w:rFonts w:asciiTheme="majorBidi" w:eastAsia="Times New Roman" w:hAnsiTheme="majorBidi" w:cstheme="majorBidi"/>
          <w:sz w:val="18"/>
          <w:szCs w:val="18"/>
        </w:rPr>
        <w:t>Meisenzahl</w:t>
      </w:r>
      <w:proofErr w:type="spellEnd"/>
      <w:r w:rsidRPr="003D44DE">
        <w:rPr>
          <w:rFonts w:asciiTheme="majorBidi" w:eastAsia="Times New Roman" w:hAnsiTheme="majorBidi" w:cstheme="majorBidi"/>
          <w:sz w:val="18"/>
          <w:szCs w:val="18"/>
        </w:rPr>
        <w:t xml:space="preserve">-Lechner, E., </w:t>
      </w:r>
      <w:proofErr w:type="spellStart"/>
      <w:r w:rsidRPr="003D44DE">
        <w:rPr>
          <w:rFonts w:asciiTheme="majorBidi" w:eastAsia="Times New Roman" w:hAnsiTheme="majorBidi" w:cstheme="majorBidi"/>
          <w:sz w:val="18"/>
          <w:szCs w:val="18"/>
        </w:rPr>
        <w:t>Gaebel</w:t>
      </w:r>
      <w:proofErr w:type="spellEnd"/>
      <w:r w:rsidRPr="003D44DE">
        <w:rPr>
          <w:rFonts w:asciiTheme="majorBidi" w:eastAsia="Times New Roman" w:hAnsiTheme="majorBidi" w:cstheme="majorBidi"/>
          <w:sz w:val="18"/>
          <w:szCs w:val="18"/>
        </w:rPr>
        <w:t xml:space="preserve">, W., &amp; von </w:t>
      </w:r>
      <w:proofErr w:type="spellStart"/>
      <w:r w:rsidRPr="003D44DE">
        <w:rPr>
          <w:rFonts w:asciiTheme="majorBidi" w:eastAsia="Times New Roman" w:hAnsiTheme="majorBidi" w:cstheme="majorBidi"/>
          <w:sz w:val="18"/>
          <w:szCs w:val="18"/>
        </w:rPr>
        <w:t>Wilmsdorff</w:t>
      </w:r>
      <w:proofErr w:type="spellEnd"/>
      <w:r w:rsidRPr="003D44DE">
        <w:rPr>
          <w:rFonts w:asciiTheme="majorBidi" w:eastAsia="Times New Roman" w:hAnsiTheme="majorBidi" w:cstheme="majorBidi"/>
          <w:sz w:val="18"/>
          <w:szCs w:val="18"/>
        </w:rPr>
        <w:t>, M. (2022). Sex-dependent effects of long-term clozapine or haloperidol medication on red blood cells and liver iron metabolism in Sprague Dawley rats as a model of metabolic syndrome. BMC Pharmacology and Toxicology, 23(1), 8.</w:t>
      </w:r>
      <w:r w:rsidR="003D44DE">
        <w:rPr>
          <w:rFonts w:asciiTheme="majorBidi" w:eastAsia="Times New Roman" w:hAnsiTheme="majorBidi" w:cstheme="majorBidi"/>
          <w:sz w:val="18"/>
          <w:szCs w:val="18"/>
        </w:rPr>
        <w:t xml:space="preserve"> </w:t>
      </w:r>
      <w:r w:rsidR="003D44DE" w:rsidRPr="008D20C6">
        <w:rPr>
          <w:rFonts w:asciiTheme="majorBidi" w:eastAsia="Times New Roman" w:hAnsiTheme="majorBidi" w:cstheme="majorBidi"/>
          <w:sz w:val="18"/>
          <w:szCs w:val="18"/>
        </w:rPr>
        <w:t>http://doi.org/10.1186/s40360-021-00544-4</w:t>
      </w:r>
    </w:p>
    <w:p w:rsidR="003D44DE" w:rsidRPr="008D20C6" w:rsidRDefault="00E045CB" w:rsidP="008D20C6">
      <w:pPr>
        <w:pStyle w:val="ListParagraph"/>
        <w:numPr>
          <w:ilvl w:val="0"/>
          <w:numId w:val="10"/>
        </w:numPr>
        <w:bidi w:val="0"/>
        <w:spacing w:after="0" w:line="360" w:lineRule="auto"/>
        <w:jc w:val="both"/>
        <w:rPr>
          <w:rFonts w:asciiTheme="majorBidi" w:eastAsia="Times New Roman" w:hAnsiTheme="majorBidi" w:cstheme="majorBidi"/>
          <w:sz w:val="18"/>
          <w:szCs w:val="18"/>
        </w:rPr>
      </w:pPr>
      <w:proofErr w:type="spellStart"/>
      <w:r w:rsidRPr="00015B1B">
        <w:rPr>
          <w:rFonts w:asciiTheme="majorBidi" w:eastAsia="Times New Roman" w:hAnsiTheme="majorBidi" w:cstheme="majorBidi"/>
          <w:sz w:val="18"/>
          <w:szCs w:val="18"/>
        </w:rPr>
        <w:t>Chidiac</w:t>
      </w:r>
      <w:proofErr w:type="spellEnd"/>
      <w:r w:rsidRPr="00015B1B">
        <w:rPr>
          <w:rFonts w:asciiTheme="majorBidi" w:eastAsia="Times New Roman" w:hAnsiTheme="majorBidi" w:cstheme="majorBidi"/>
          <w:sz w:val="18"/>
          <w:szCs w:val="18"/>
        </w:rPr>
        <w:t xml:space="preserve">, A. S., Buckley, N. A., </w:t>
      </w:r>
      <w:proofErr w:type="spellStart"/>
      <w:r w:rsidRPr="00015B1B">
        <w:rPr>
          <w:rFonts w:asciiTheme="majorBidi" w:eastAsia="Times New Roman" w:hAnsiTheme="majorBidi" w:cstheme="majorBidi"/>
          <w:sz w:val="18"/>
          <w:szCs w:val="18"/>
        </w:rPr>
        <w:t>Noghrehchi</w:t>
      </w:r>
      <w:proofErr w:type="spellEnd"/>
      <w:r w:rsidRPr="00015B1B">
        <w:rPr>
          <w:rFonts w:asciiTheme="majorBidi" w:eastAsia="Times New Roman" w:hAnsiTheme="majorBidi" w:cstheme="majorBidi"/>
          <w:sz w:val="18"/>
          <w:szCs w:val="18"/>
        </w:rPr>
        <w:t>, F., &amp; Cairns, R. (2023). Paracetamol (acetaminophen) overdose and hepatotoxicity: mechanism, treatment, prevention measures, and estimates of burden of disease. Expert Opinion on Drug Metabolism &amp; Toxicology, 19 (5), 297-317.</w:t>
      </w:r>
      <w:r w:rsidR="008D20C6">
        <w:rPr>
          <w:rFonts w:asciiTheme="majorBidi" w:eastAsia="Times New Roman" w:hAnsiTheme="majorBidi" w:cstheme="majorBidi"/>
          <w:sz w:val="18"/>
          <w:szCs w:val="18"/>
        </w:rPr>
        <w:t xml:space="preserve"> </w:t>
      </w:r>
      <w:hyperlink r:id="rId9" w:history="1">
        <w:r w:rsidR="008D20C6" w:rsidRPr="00D379E2">
          <w:rPr>
            <w:rStyle w:val="Hyperlink"/>
            <w:rFonts w:ascii="Arial" w:eastAsia="Times New Roman" w:hAnsi="Arial" w:cs="Arial"/>
            <w:sz w:val="18"/>
            <w:szCs w:val="18"/>
          </w:rPr>
          <w:t>https://doi.org/10.1080/17425255.2023.2223959</w:t>
        </w:r>
      </w:hyperlink>
    </w:p>
    <w:p w:rsidR="00E045CB" w:rsidRPr="00BA35AF" w:rsidRDefault="00E045CB" w:rsidP="003D44DE">
      <w:pPr>
        <w:pStyle w:val="ListParagraph"/>
        <w:bidi w:val="0"/>
        <w:spacing w:after="0" w:line="360" w:lineRule="auto"/>
        <w:ind w:left="284"/>
        <w:jc w:val="both"/>
        <w:rPr>
          <w:rFonts w:ascii="Times New Roman" w:eastAsia="Times New Roman" w:hAnsi="Times New Roman" w:cs="Times New Roman"/>
          <w:sz w:val="18"/>
          <w:szCs w:val="18"/>
        </w:rPr>
      </w:pPr>
    </w:p>
    <w:p w:rsidR="003D44DE" w:rsidRPr="008D20C6" w:rsidRDefault="00E045CB" w:rsidP="008D20C6">
      <w:pPr>
        <w:pStyle w:val="ListParagraph"/>
        <w:numPr>
          <w:ilvl w:val="0"/>
          <w:numId w:val="10"/>
        </w:numPr>
        <w:bidi w:val="0"/>
        <w:spacing w:after="0" w:line="360" w:lineRule="auto"/>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De </w:t>
      </w:r>
      <w:proofErr w:type="spellStart"/>
      <w:r w:rsidRPr="00015B1B">
        <w:rPr>
          <w:rFonts w:asciiTheme="majorBidi" w:eastAsia="Times New Roman" w:hAnsiTheme="majorBidi" w:cstheme="majorBidi"/>
          <w:sz w:val="18"/>
          <w:szCs w:val="18"/>
        </w:rPr>
        <w:t>Moraes</w:t>
      </w:r>
      <w:proofErr w:type="spellEnd"/>
      <w:r w:rsidRPr="00015B1B">
        <w:rPr>
          <w:rFonts w:asciiTheme="majorBidi" w:eastAsia="Times New Roman" w:hAnsiTheme="majorBidi" w:cstheme="majorBidi"/>
          <w:sz w:val="18"/>
          <w:szCs w:val="18"/>
        </w:rPr>
        <w:t>, A. C. N., de Andrade, C. B. V., Ramos, I. P. R., Dias, M. L., Batista, C. M. P., Pimentel, C. F., ... &amp; dos Santos Goldenberg, R. C. (2021). Resveratrol promotes liver regeneration in drug-induced liver disease in mice. Food Research International, 142, 110185.</w:t>
      </w:r>
      <w:r w:rsidR="008D20C6">
        <w:rPr>
          <w:rFonts w:asciiTheme="majorBidi" w:eastAsia="Times New Roman" w:hAnsiTheme="majorBidi" w:cstheme="majorBidi"/>
          <w:sz w:val="18"/>
          <w:szCs w:val="18"/>
        </w:rPr>
        <w:t xml:space="preserve"> </w:t>
      </w:r>
      <w:r w:rsidR="003D44DE" w:rsidRPr="008D20C6">
        <w:rPr>
          <w:rFonts w:asciiTheme="majorBidi" w:eastAsia="Times New Roman" w:hAnsiTheme="majorBidi" w:cstheme="majorBidi"/>
          <w:sz w:val="18"/>
          <w:szCs w:val="18"/>
        </w:rPr>
        <w:t>https://doi.org/10.1016/j.foodres.2021.110185</w:t>
      </w:r>
    </w:p>
    <w:p w:rsidR="009C4704" w:rsidRPr="009C4704" w:rsidRDefault="00E045CB"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Gupta, R. K., Chaudhary, S., El-</w:t>
      </w:r>
      <w:proofErr w:type="spellStart"/>
      <w:r w:rsidRPr="00015B1B">
        <w:rPr>
          <w:rFonts w:asciiTheme="majorBidi" w:eastAsia="Times New Roman" w:hAnsiTheme="majorBidi" w:cstheme="majorBidi"/>
          <w:sz w:val="18"/>
          <w:szCs w:val="18"/>
        </w:rPr>
        <w:t>Shorbagi</w:t>
      </w:r>
      <w:proofErr w:type="spellEnd"/>
      <w:r w:rsidRPr="00015B1B">
        <w:rPr>
          <w:rFonts w:asciiTheme="majorBidi" w:eastAsia="Times New Roman" w:hAnsiTheme="majorBidi" w:cstheme="majorBidi"/>
          <w:sz w:val="18"/>
          <w:szCs w:val="18"/>
        </w:rPr>
        <w:t>, A. N., Sara, U. S., Shukla, P., &amp; Swain, S. R. (2022). A Comprehensive Review of Experimental Animal Models of Hepatopathy. Biomedical and Pharmacology Journal, 15(2), 563-578.</w:t>
      </w:r>
      <w:r w:rsidR="001528E0">
        <w:rPr>
          <w:rFonts w:asciiTheme="majorBidi" w:eastAsia="Times New Roman" w:hAnsiTheme="majorBidi" w:cstheme="majorBidi"/>
          <w:sz w:val="18"/>
          <w:szCs w:val="18"/>
        </w:rPr>
        <w:t xml:space="preserve">      </w:t>
      </w:r>
      <w:r w:rsidR="009C4704" w:rsidRPr="009C4704">
        <w:rPr>
          <w:rStyle w:val="Strong"/>
          <w:rFonts w:ascii="Source Sans Pro" w:hAnsi="Source Sans Pro"/>
          <w:color w:val="384554"/>
          <w:sz w:val="29"/>
          <w:szCs w:val="29"/>
          <w:shd w:val="clear" w:color="auto" w:fill="FFFFFF"/>
        </w:rPr>
        <w:t> </w:t>
      </w:r>
      <w:hyperlink r:id="rId10" w:history="1">
        <w:r w:rsidR="009C4704" w:rsidRPr="009C4704">
          <w:rPr>
            <w:rStyle w:val="Hyperlink"/>
            <w:rFonts w:asciiTheme="majorBidi" w:hAnsiTheme="majorBidi" w:cstheme="majorBidi"/>
            <w:color w:val="auto"/>
            <w:sz w:val="18"/>
            <w:szCs w:val="18"/>
            <w:shd w:val="clear" w:color="auto" w:fill="FFFFFF"/>
          </w:rPr>
          <w:t>https://dx.doi.org/10.13005/bpj/2397</w:t>
        </w:r>
      </w:hyperlink>
    </w:p>
    <w:p w:rsidR="00E045CB" w:rsidRPr="009C4704" w:rsidRDefault="00E045CB" w:rsidP="009C4704">
      <w:pPr>
        <w:pStyle w:val="ListParagraph"/>
        <w:bidi w:val="0"/>
        <w:spacing w:after="0" w:line="360" w:lineRule="auto"/>
        <w:ind w:left="284"/>
        <w:jc w:val="both"/>
        <w:rPr>
          <w:rFonts w:ascii="Times New Roman" w:eastAsia="Times New Roman" w:hAnsi="Times New Roman" w:cs="Times New Roman"/>
          <w:sz w:val="10"/>
          <w:szCs w:val="10"/>
        </w:rPr>
      </w:pPr>
    </w:p>
    <w:p w:rsidR="00E045CB" w:rsidRPr="008D20C6" w:rsidRDefault="00E045CB"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Islam, M. T., </w:t>
      </w:r>
      <w:proofErr w:type="spellStart"/>
      <w:r w:rsidRPr="00015B1B">
        <w:rPr>
          <w:rFonts w:asciiTheme="majorBidi" w:eastAsia="Times New Roman" w:hAnsiTheme="majorBidi" w:cstheme="majorBidi"/>
          <w:sz w:val="18"/>
          <w:szCs w:val="18"/>
        </w:rPr>
        <w:t>Quispe</w:t>
      </w:r>
      <w:proofErr w:type="spellEnd"/>
      <w:r w:rsidRPr="00015B1B">
        <w:rPr>
          <w:rFonts w:asciiTheme="majorBidi" w:eastAsia="Times New Roman" w:hAnsiTheme="majorBidi" w:cstheme="majorBidi"/>
          <w:sz w:val="18"/>
          <w:szCs w:val="18"/>
        </w:rPr>
        <w:t xml:space="preserve">, C., Islam, M. A., Ali, E. S., </w:t>
      </w:r>
      <w:proofErr w:type="spellStart"/>
      <w:r w:rsidRPr="00015B1B">
        <w:rPr>
          <w:rFonts w:asciiTheme="majorBidi" w:eastAsia="Times New Roman" w:hAnsiTheme="majorBidi" w:cstheme="majorBidi"/>
          <w:sz w:val="18"/>
          <w:szCs w:val="18"/>
        </w:rPr>
        <w:t>Saha</w:t>
      </w:r>
      <w:proofErr w:type="spellEnd"/>
      <w:r w:rsidRPr="00015B1B">
        <w:rPr>
          <w:rFonts w:asciiTheme="majorBidi" w:eastAsia="Times New Roman" w:hAnsiTheme="majorBidi" w:cstheme="majorBidi"/>
          <w:sz w:val="18"/>
          <w:szCs w:val="18"/>
        </w:rPr>
        <w:t xml:space="preserve">, S., Asha, U. H., &amp; Sharifi-Rad, J. (2021). Effects of </w:t>
      </w:r>
      <w:proofErr w:type="spellStart"/>
      <w:r w:rsidRPr="00015B1B">
        <w:rPr>
          <w:rFonts w:asciiTheme="majorBidi" w:eastAsia="Times New Roman" w:hAnsiTheme="majorBidi" w:cstheme="majorBidi"/>
          <w:sz w:val="18"/>
          <w:szCs w:val="18"/>
        </w:rPr>
        <w:t>nerol</w:t>
      </w:r>
      <w:proofErr w:type="spellEnd"/>
      <w:r w:rsidRPr="00015B1B">
        <w:rPr>
          <w:rFonts w:asciiTheme="majorBidi" w:eastAsia="Times New Roman" w:hAnsiTheme="majorBidi" w:cstheme="majorBidi"/>
          <w:sz w:val="18"/>
          <w:szCs w:val="18"/>
        </w:rPr>
        <w:t xml:space="preserve"> on paracetamol-induced liver damage in Wistar albino rats. Biomedicine &amp; Pharmacotherapy, 140, 111732.</w:t>
      </w:r>
      <w:r w:rsidR="008D20C6">
        <w:rPr>
          <w:rFonts w:asciiTheme="majorBidi" w:eastAsia="Times New Roman" w:hAnsiTheme="majorBidi" w:cstheme="majorBidi"/>
          <w:sz w:val="18"/>
          <w:szCs w:val="18"/>
        </w:rPr>
        <w:t xml:space="preserve"> </w:t>
      </w:r>
      <w:hyperlink r:id="rId11" w:history="1">
        <w:r w:rsidR="008D20C6" w:rsidRPr="00D379E2">
          <w:rPr>
            <w:rStyle w:val="Hyperlink"/>
            <w:rFonts w:asciiTheme="majorBidi" w:hAnsiTheme="majorBidi" w:cstheme="majorBidi"/>
            <w:sz w:val="18"/>
            <w:szCs w:val="18"/>
          </w:rPr>
          <w:t>https://doi.org/10.1016/j.biopha.2021.111732</w:t>
        </w:r>
      </w:hyperlink>
    </w:p>
    <w:p w:rsidR="00E045CB" w:rsidRDefault="00E045CB" w:rsidP="008D20C6">
      <w:pPr>
        <w:pStyle w:val="ListParagraph"/>
        <w:numPr>
          <w:ilvl w:val="0"/>
          <w:numId w:val="10"/>
        </w:numPr>
        <w:bidi w:val="0"/>
        <w:spacing w:after="0" w:line="360" w:lineRule="auto"/>
        <w:jc w:val="both"/>
        <w:rPr>
          <w:rFonts w:ascii="Times New Roman" w:eastAsia="Times New Roman" w:hAnsi="Times New Roman" w:cs="Times New Roman"/>
          <w:sz w:val="18"/>
          <w:szCs w:val="18"/>
        </w:rPr>
      </w:pPr>
      <w:proofErr w:type="spellStart"/>
      <w:r w:rsidRPr="00BA35AF">
        <w:rPr>
          <w:rFonts w:ascii="Times New Roman" w:eastAsia="Times New Roman" w:hAnsi="Times New Roman" w:cs="Times New Roman"/>
          <w:sz w:val="18"/>
          <w:szCs w:val="18"/>
        </w:rPr>
        <w:t>Makki</w:t>
      </w:r>
      <w:proofErr w:type="spellEnd"/>
      <w:r w:rsidRPr="00BA35AF">
        <w:rPr>
          <w:rFonts w:ascii="Times New Roman" w:eastAsia="Times New Roman" w:hAnsi="Times New Roman" w:cs="Times New Roman"/>
          <w:sz w:val="18"/>
          <w:szCs w:val="18"/>
        </w:rPr>
        <w:t xml:space="preserve">, H. M. M., Adam, G. O., Yang, D. K., </w:t>
      </w:r>
      <w:proofErr w:type="spellStart"/>
      <w:r w:rsidRPr="00BA35AF">
        <w:rPr>
          <w:rFonts w:ascii="Times New Roman" w:eastAsia="Times New Roman" w:hAnsi="Times New Roman" w:cs="Times New Roman"/>
          <w:sz w:val="18"/>
          <w:szCs w:val="18"/>
        </w:rPr>
        <w:t>Tungalag</w:t>
      </w:r>
      <w:proofErr w:type="spellEnd"/>
      <w:r w:rsidRPr="00BA35AF">
        <w:rPr>
          <w:rFonts w:ascii="Times New Roman" w:eastAsia="Times New Roman" w:hAnsi="Times New Roman" w:cs="Times New Roman"/>
          <w:sz w:val="18"/>
          <w:szCs w:val="18"/>
        </w:rPr>
        <w:t>, T., Lee, S. J., Kim, J. S., ... &amp; Kang, H. S. (2022). Effects of gibberellic acid on thioacetamide-induced acute liver toxicity in Sprague-Dawley rats. Pakistan Veterinary Journal, 42(4), 481-486.</w:t>
      </w:r>
    </w:p>
    <w:p w:rsidR="009C4704" w:rsidRPr="009C4704" w:rsidRDefault="009C4704" w:rsidP="008D20C6">
      <w:pPr>
        <w:pStyle w:val="ListParagraph"/>
        <w:bidi w:val="0"/>
        <w:spacing w:after="0" w:line="360" w:lineRule="auto"/>
        <w:jc w:val="both"/>
        <w:rPr>
          <w:rFonts w:asciiTheme="majorBidi" w:eastAsia="Times New Roman" w:hAnsiTheme="majorBidi" w:cstheme="majorBidi"/>
          <w:sz w:val="14"/>
          <w:szCs w:val="14"/>
        </w:rPr>
      </w:pPr>
      <w:r w:rsidRPr="009C4704">
        <w:rPr>
          <w:rFonts w:asciiTheme="majorBidi" w:hAnsiTheme="majorBidi" w:cstheme="majorBidi"/>
          <w:sz w:val="18"/>
          <w:szCs w:val="18"/>
        </w:rPr>
        <w:t>DOI: 10.29261/</w:t>
      </w:r>
      <w:proofErr w:type="spellStart"/>
      <w:r w:rsidRPr="009C4704">
        <w:rPr>
          <w:rFonts w:asciiTheme="majorBidi" w:hAnsiTheme="majorBidi" w:cstheme="majorBidi"/>
          <w:sz w:val="18"/>
          <w:szCs w:val="18"/>
        </w:rPr>
        <w:t>pakvetj</w:t>
      </w:r>
      <w:proofErr w:type="spellEnd"/>
      <w:r w:rsidRPr="009C4704">
        <w:rPr>
          <w:rFonts w:asciiTheme="majorBidi" w:hAnsiTheme="majorBidi" w:cstheme="majorBidi"/>
          <w:sz w:val="18"/>
          <w:szCs w:val="18"/>
        </w:rPr>
        <w:t>/2022.025</w:t>
      </w:r>
    </w:p>
    <w:p w:rsidR="00E045CB" w:rsidRDefault="00E045CB" w:rsidP="008D20C6">
      <w:pPr>
        <w:pStyle w:val="ListParagraph"/>
        <w:numPr>
          <w:ilvl w:val="0"/>
          <w:numId w:val="10"/>
        </w:numPr>
        <w:bidi w:val="0"/>
        <w:spacing w:after="0" w:line="360" w:lineRule="auto"/>
        <w:jc w:val="both"/>
        <w:rPr>
          <w:rFonts w:ascii="Times New Roman" w:eastAsia="Times New Roman" w:hAnsi="Times New Roman" w:cs="Times New Roman"/>
          <w:sz w:val="18"/>
          <w:szCs w:val="18"/>
        </w:rPr>
      </w:pPr>
      <w:proofErr w:type="spellStart"/>
      <w:r w:rsidRPr="00BA35AF">
        <w:rPr>
          <w:rFonts w:ascii="Times New Roman" w:eastAsia="Times New Roman" w:hAnsi="Times New Roman" w:cs="Times New Roman"/>
          <w:sz w:val="18"/>
          <w:szCs w:val="18"/>
        </w:rPr>
        <w:t>Nithiyanandam</w:t>
      </w:r>
      <w:proofErr w:type="spellEnd"/>
      <w:r w:rsidRPr="00BA35AF">
        <w:rPr>
          <w:rFonts w:ascii="Times New Roman" w:eastAsia="Times New Roman" w:hAnsi="Times New Roman" w:cs="Times New Roman"/>
          <w:sz w:val="18"/>
          <w:szCs w:val="18"/>
        </w:rPr>
        <w:t>, S., &amp; Evan Prince, S. (2021). Toxins mechanism in instigating hepatotoxicity. Toxin Reviews, 40(4), 616-631.</w:t>
      </w:r>
    </w:p>
    <w:p w:rsidR="009C4704" w:rsidRPr="008D20C6" w:rsidRDefault="00814312" w:rsidP="008D20C6">
      <w:pPr>
        <w:pStyle w:val="ListParagraph"/>
        <w:bidi w:val="0"/>
        <w:spacing w:after="0" w:line="360" w:lineRule="auto"/>
        <w:rPr>
          <w:rFonts w:asciiTheme="majorBidi" w:eastAsia="Times New Roman" w:hAnsiTheme="majorBidi" w:cstheme="majorBidi"/>
          <w:color w:val="333333"/>
          <w:sz w:val="18"/>
          <w:szCs w:val="18"/>
        </w:rPr>
      </w:pPr>
      <w:hyperlink r:id="rId12" w:history="1">
        <w:r w:rsidR="008D20C6" w:rsidRPr="00D379E2">
          <w:rPr>
            <w:rStyle w:val="Hyperlink"/>
            <w:rFonts w:asciiTheme="majorBidi" w:eastAsia="Times New Roman" w:hAnsiTheme="majorBidi" w:cstheme="majorBidi"/>
            <w:sz w:val="18"/>
            <w:szCs w:val="18"/>
          </w:rPr>
          <w:t>https://doi.org/10.1080/15569543.2020.1818105</w:t>
        </w:r>
      </w:hyperlink>
    </w:p>
    <w:p w:rsidR="009C4704" w:rsidRPr="009C4704" w:rsidRDefault="009C4704" w:rsidP="009C4704">
      <w:pPr>
        <w:pStyle w:val="ListParagraph"/>
        <w:bidi w:val="0"/>
        <w:spacing w:after="0" w:line="360" w:lineRule="auto"/>
        <w:ind w:left="284"/>
        <w:jc w:val="both"/>
        <w:rPr>
          <w:rFonts w:ascii="Times New Roman" w:eastAsia="Times New Roman" w:hAnsi="Times New Roman" w:cs="Times New Roman"/>
          <w:sz w:val="12"/>
          <w:szCs w:val="12"/>
        </w:rPr>
      </w:pPr>
    </w:p>
    <w:p w:rsidR="00E045CB" w:rsidRDefault="00E045CB"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Panchal, N. K., &amp; Sabina, E. P. (2023). Non-steroidal anti-inflammatory drugs (NSAIDs): A current insight into its molecular mechanism </w:t>
      </w:r>
      <w:r w:rsidRPr="00015B1B">
        <w:rPr>
          <w:rFonts w:asciiTheme="majorBidi" w:eastAsia="Times New Roman" w:hAnsiTheme="majorBidi" w:cstheme="majorBidi"/>
          <w:sz w:val="18"/>
          <w:szCs w:val="18"/>
        </w:rPr>
        <w:lastRenderedPageBreak/>
        <w:t>eliciting organ toxicities. Food and Chemical Toxicology, 172, 113598.</w:t>
      </w:r>
    </w:p>
    <w:p w:rsidR="009C4704" w:rsidRDefault="00814312" w:rsidP="008D20C6">
      <w:pPr>
        <w:pStyle w:val="ListParagraph"/>
        <w:bidi w:val="0"/>
        <w:spacing w:after="0" w:line="276" w:lineRule="auto"/>
        <w:jc w:val="both"/>
        <w:rPr>
          <w:rFonts w:asciiTheme="majorBidi" w:hAnsiTheme="majorBidi" w:cstheme="majorBidi"/>
          <w:sz w:val="18"/>
          <w:szCs w:val="18"/>
        </w:rPr>
      </w:pPr>
      <w:hyperlink r:id="rId13" w:history="1">
        <w:r w:rsidR="008D20C6" w:rsidRPr="00D379E2">
          <w:rPr>
            <w:rStyle w:val="Hyperlink"/>
            <w:rFonts w:asciiTheme="majorBidi" w:hAnsiTheme="majorBidi" w:cstheme="majorBidi"/>
            <w:sz w:val="18"/>
            <w:szCs w:val="18"/>
          </w:rPr>
          <w:t>https://doi.org/10.1016/j.fct.2022.113598</w:t>
        </w:r>
      </w:hyperlink>
    </w:p>
    <w:p w:rsidR="009C4704" w:rsidRPr="009C4704" w:rsidRDefault="009C4704" w:rsidP="009C4704">
      <w:pPr>
        <w:pStyle w:val="ListParagraph"/>
        <w:bidi w:val="0"/>
        <w:spacing w:after="0" w:line="276" w:lineRule="auto"/>
        <w:ind w:left="284"/>
        <w:jc w:val="both"/>
        <w:rPr>
          <w:rFonts w:asciiTheme="majorBidi" w:eastAsia="Times New Roman" w:hAnsiTheme="majorBidi" w:cstheme="majorBidi"/>
          <w:sz w:val="14"/>
          <w:szCs w:val="14"/>
        </w:rPr>
      </w:pPr>
    </w:p>
    <w:p w:rsidR="00E045CB" w:rsidRPr="009C4704" w:rsidRDefault="00E045CB"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Stephen, H., &amp; Bello, B. (2024). Protective Effect of Lantana </w:t>
      </w:r>
      <w:proofErr w:type="spellStart"/>
      <w:r w:rsidRPr="00015B1B">
        <w:rPr>
          <w:rFonts w:asciiTheme="majorBidi" w:eastAsia="Times New Roman" w:hAnsiTheme="majorBidi" w:cstheme="majorBidi"/>
          <w:sz w:val="18"/>
          <w:szCs w:val="18"/>
        </w:rPr>
        <w:t>camara</w:t>
      </w:r>
      <w:proofErr w:type="spellEnd"/>
      <w:r w:rsidRPr="00015B1B">
        <w:rPr>
          <w:rFonts w:asciiTheme="majorBidi" w:eastAsia="Times New Roman" w:hAnsiTheme="majorBidi" w:cstheme="majorBidi"/>
          <w:sz w:val="18"/>
          <w:szCs w:val="18"/>
        </w:rPr>
        <w:t xml:space="preserve"> Methanolic Leaf Extract Against Acetaminophen-induced Liver Injury in Male Albino Rats. Pharmaceutical and Biomedical Research, 10(2), 135-146.</w:t>
      </w:r>
      <w:r w:rsidR="008D20C6">
        <w:rPr>
          <w:rFonts w:asciiTheme="majorBidi" w:eastAsia="Times New Roman" w:hAnsiTheme="majorBidi" w:cstheme="majorBidi"/>
          <w:sz w:val="18"/>
          <w:szCs w:val="18"/>
        </w:rPr>
        <w:t xml:space="preserve"> </w:t>
      </w:r>
      <w:r w:rsidR="008D20C6" w:rsidRPr="008D20C6">
        <w:rPr>
          <w:rFonts w:asciiTheme="majorBidi" w:eastAsia="Times New Roman" w:hAnsiTheme="majorBidi" w:cstheme="majorBidi"/>
          <w:sz w:val="18"/>
          <w:szCs w:val="18"/>
        </w:rPr>
        <w:t>‎ 10.32598/PBR.10.2.1253.1</w:t>
      </w:r>
    </w:p>
    <w:p w:rsidR="00E045CB" w:rsidRPr="008D20C6" w:rsidRDefault="00E045CB" w:rsidP="00814312">
      <w:pPr>
        <w:pStyle w:val="ListParagraph"/>
        <w:bidi w:val="0"/>
        <w:spacing w:after="0" w:line="276" w:lineRule="auto"/>
        <w:jc w:val="both"/>
        <w:rPr>
          <w:rFonts w:asciiTheme="majorBidi" w:eastAsia="Times New Roman" w:hAnsiTheme="majorBidi" w:cstheme="majorBidi"/>
          <w:sz w:val="18"/>
          <w:szCs w:val="18"/>
        </w:rPr>
      </w:pPr>
    </w:p>
    <w:p w:rsidR="008D20C6" w:rsidRDefault="008D20C6"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8D20C6">
        <w:rPr>
          <w:rFonts w:asciiTheme="majorBidi" w:eastAsia="Times New Roman" w:hAnsiTheme="majorBidi" w:cstheme="majorBidi"/>
          <w:sz w:val="18"/>
          <w:szCs w:val="18"/>
        </w:rPr>
        <w:t xml:space="preserve">Pandit, A., Sachdeva, T., &amp; </w:t>
      </w:r>
      <w:proofErr w:type="spellStart"/>
      <w:r w:rsidRPr="008D20C6">
        <w:rPr>
          <w:rFonts w:asciiTheme="majorBidi" w:eastAsia="Times New Roman" w:hAnsiTheme="majorBidi" w:cstheme="majorBidi"/>
          <w:sz w:val="18"/>
          <w:szCs w:val="18"/>
        </w:rPr>
        <w:t>Bafna</w:t>
      </w:r>
      <w:proofErr w:type="spellEnd"/>
      <w:r w:rsidRPr="008D20C6">
        <w:rPr>
          <w:rFonts w:asciiTheme="majorBidi" w:eastAsia="Times New Roman" w:hAnsiTheme="majorBidi" w:cstheme="majorBidi"/>
          <w:sz w:val="18"/>
          <w:szCs w:val="18"/>
        </w:rPr>
        <w:t>, P. (2012). Drug-induced hepatotoxicity: a review. Journal of Applied Pharmaceutical Science, (Issue), 233-243. DOI: 10.7324/JAPS.2012.2541</w:t>
      </w:r>
      <w:r>
        <w:rPr>
          <w:rFonts w:asciiTheme="majorBidi" w:eastAsia="Times New Roman" w:hAnsiTheme="majorBidi" w:cstheme="majorBidi"/>
          <w:sz w:val="18"/>
          <w:szCs w:val="18"/>
        </w:rPr>
        <w:t xml:space="preserve"> </w:t>
      </w:r>
    </w:p>
    <w:p w:rsidR="00BF5DD2" w:rsidRPr="00BF5DD2" w:rsidRDefault="00BF5DD2" w:rsidP="00BF5DD2">
      <w:pPr>
        <w:pStyle w:val="ListParagraph"/>
        <w:numPr>
          <w:ilvl w:val="0"/>
          <w:numId w:val="10"/>
        </w:numPr>
        <w:bidi w:val="0"/>
        <w:spacing w:after="0" w:line="276" w:lineRule="auto"/>
        <w:jc w:val="both"/>
        <w:rPr>
          <w:rFonts w:asciiTheme="majorBidi" w:eastAsia="Times New Roman" w:hAnsiTheme="majorBidi" w:cstheme="majorBidi"/>
          <w:sz w:val="18"/>
          <w:szCs w:val="18"/>
        </w:rPr>
      </w:pPr>
      <w:proofErr w:type="spellStart"/>
      <w:r w:rsidRPr="00BF5DD2">
        <w:rPr>
          <w:rFonts w:asciiTheme="majorBidi" w:eastAsia="Times New Roman" w:hAnsiTheme="majorBidi" w:cstheme="majorBidi"/>
          <w:sz w:val="18"/>
          <w:szCs w:val="18"/>
        </w:rPr>
        <w:t>Chidiac</w:t>
      </w:r>
      <w:proofErr w:type="spellEnd"/>
      <w:r w:rsidRPr="00BF5DD2">
        <w:rPr>
          <w:rFonts w:asciiTheme="majorBidi" w:eastAsia="Times New Roman" w:hAnsiTheme="majorBidi" w:cstheme="majorBidi"/>
          <w:sz w:val="18"/>
          <w:szCs w:val="18"/>
        </w:rPr>
        <w:t xml:space="preserve">, A. S., Buckley, N. A., </w:t>
      </w:r>
      <w:proofErr w:type="spellStart"/>
      <w:r w:rsidRPr="00BF5DD2">
        <w:rPr>
          <w:rFonts w:asciiTheme="majorBidi" w:eastAsia="Times New Roman" w:hAnsiTheme="majorBidi" w:cstheme="majorBidi"/>
          <w:sz w:val="18"/>
          <w:szCs w:val="18"/>
        </w:rPr>
        <w:t>Noghrehchi</w:t>
      </w:r>
      <w:proofErr w:type="spellEnd"/>
      <w:r w:rsidRPr="00BF5DD2">
        <w:rPr>
          <w:rFonts w:asciiTheme="majorBidi" w:eastAsia="Times New Roman" w:hAnsiTheme="majorBidi" w:cstheme="majorBidi"/>
          <w:sz w:val="18"/>
          <w:szCs w:val="18"/>
        </w:rPr>
        <w:t xml:space="preserve">, F., &amp; Cairns, R. (2023). Paracetamol (acetaminophen) overdose and hepatotoxicity: mechanism, treatment, prevention measures, and estimates of burden of disease. Expert opinion on drug metabolism &amp; toxicology, 19(5), 297-317. </w:t>
      </w:r>
      <w:r>
        <w:rPr>
          <w:rFonts w:asciiTheme="majorBidi" w:eastAsia="Times New Roman" w:hAnsiTheme="majorBidi" w:cstheme="majorBidi"/>
          <w:sz w:val="18"/>
          <w:szCs w:val="18"/>
        </w:rPr>
        <w:t xml:space="preserve"> </w:t>
      </w:r>
      <w:r w:rsidRPr="00BF5DD2">
        <w:rPr>
          <w:rFonts w:asciiTheme="majorBidi" w:eastAsia="Times New Roman" w:hAnsiTheme="majorBidi" w:cstheme="majorBidi"/>
          <w:sz w:val="18"/>
          <w:szCs w:val="18"/>
        </w:rPr>
        <w:t>https://doi.org/10.1080/17425255.2023.2223959</w:t>
      </w:r>
    </w:p>
    <w:p w:rsidR="008D20C6" w:rsidRDefault="00BF5DD2" w:rsidP="008D20C6">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BF5DD2">
        <w:rPr>
          <w:rFonts w:asciiTheme="majorBidi" w:eastAsia="Times New Roman" w:hAnsiTheme="majorBidi" w:cstheme="majorBidi"/>
          <w:sz w:val="18"/>
          <w:szCs w:val="18"/>
        </w:rPr>
        <w:t xml:space="preserve">Md. Masum </w:t>
      </w:r>
      <w:proofErr w:type="spellStart"/>
      <w:r w:rsidRPr="00BF5DD2">
        <w:rPr>
          <w:rFonts w:asciiTheme="majorBidi" w:eastAsia="Times New Roman" w:hAnsiTheme="majorBidi" w:cstheme="majorBidi"/>
          <w:sz w:val="18"/>
          <w:szCs w:val="18"/>
        </w:rPr>
        <w:t>Billaha</w:t>
      </w:r>
      <w:proofErr w:type="spellEnd"/>
      <w:r w:rsidRPr="00BF5DD2">
        <w:rPr>
          <w:rFonts w:asciiTheme="majorBidi" w:eastAsia="Times New Roman" w:hAnsiTheme="majorBidi" w:cstheme="majorBidi"/>
          <w:sz w:val="18"/>
          <w:szCs w:val="18"/>
        </w:rPr>
        <w:t xml:space="preserve">, Md. </w:t>
      </w:r>
      <w:proofErr w:type="spellStart"/>
      <w:r w:rsidRPr="00BF5DD2">
        <w:rPr>
          <w:rFonts w:asciiTheme="majorBidi" w:eastAsia="Times New Roman" w:hAnsiTheme="majorBidi" w:cstheme="majorBidi"/>
          <w:sz w:val="18"/>
          <w:szCs w:val="18"/>
        </w:rPr>
        <w:t>Abir</w:t>
      </w:r>
      <w:proofErr w:type="spellEnd"/>
      <w:r w:rsidRPr="00BF5DD2">
        <w:rPr>
          <w:rFonts w:asciiTheme="majorBidi" w:eastAsia="Times New Roman" w:hAnsiTheme="majorBidi" w:cstheme="majorBidi"/>
          <w:sz w:val="18"/>
          <w:szCs w:val="18"/>
        </w:rPr>
        <w:t xml:space="preserve"> Hasan, Uma Rani </w:t>
      </w:r>
      <w:proofErr w:type="spellStart"/>
      <w:r w:rsidRPr="00BF5DD2">
        <w:rPr>
          <w:rFonts w:asciiTheme="majorBidi" w:eastAsia="Times New Roman" w:hAnsiTheme="majorBidi" w:cstheme="majorBidi"/>
          <w:sz w:val="18"/>
          <w:szCs w:val="18"/>
        </w:rPr>
        <w:t>Sarker</w:t>
      </w:r>
      <w:proofErr w:type="spellEnd"/>
      <w:r w:rsidRPr="00BF5DD2">
        <w:rPr>
          <w:rFonts w:asciiTheme="majorBidi" w:eastAsia="Times New Roman" w:hAnsiTheme="majorBidi" w:cstheme="majorBidi"/>
          <w:sz w:val="18"/>
          <w:szCs w:val="18"/>
        </w:rPr>
        <w:t xml:space="preserve">, </w:t>
      </w:r>
      <w:proofErr w:type="spellStart"/>
      <w:r w:rsidRPr="00BF5DD2">
        <w:rPr>
          <w:rFonts w:asciiTheme="majorBidi" w:eastAsia="Times New Roman" w:hAnsiTheme="majorBidi" w:cstheme="majorBidi"/>
          <w:sz w:val="18"/>
          <w:szCs w:val="18"/>
        </w:rPr>
        <w:t>Ratri</w:t>
      </w:r>
      <w:proofErr w:type="spellEnd"/>
      <w:r w:rsidRPr="00BF5DD2">
        <w:rPr>
          <w:rFonts w:asciiTheme="majorBidi" w:eastAsia="Times New Roman" w:hAnsiTheme="majorBidi" w:cstheme="majorBidi"/>
          <w:sz w:val="18"/>
          <w:szCs w:val="18"/>
        </w:rPr>
        <w:t xml:space="preserve"> </w:t>
      </w:r>
      <w:proofErr w:type="spellStart"/>
      <w:r w:rsidRPr="00BF5DD2">
        <w:rPr>
          <w:rFonts w:asciiTheme="majorBidi" w:eastAsia="Times New Roman" w:hAnsiTheme="majorBidi" w:cstheme="majorBidi"/>
          <w:sz w:val="18"/>
          <w:szCs w:val="18"/>
        </w:rPr>
        <w:t>Banik</w:t>
      </w:r>
      <w:proofErr w:type="spellEnd"/>
      <w:r w:rsidRPr="00BF5DD2">
        <w:rPr>
          <w:rFonts w:asciiTheme="majorBidi" w:eastAsia="Times New Roman" w:hAnsiTheme="majorBidi" w:cstheme="majorBidi"/>
          <w:sz w:val="18"/>
          <w:szCs w:val="18"/>
        </w:rPr>
        <w:t xml:space="preserve">, Md. Imran </w:t>
      </w:r>
      <w:proofErr w:type="spellStart"/>
      <w:r w:rsidRPr="00BF5DD2">
        <w:rPr>
          <w:rFonts w:asciiTheme="majorBidi" w:eastAsia="Times New Roman" w:hAnsiTheme="majorBidi" w:cstheme="majorBidi"/>
          <w:sz w:val="18"/>
          <w:szCs w:val="18"/>
        </w:rPr>
        <w:t>Hossen</w:t>
      </w:r>
      <w:proofErr w:type="spellEnd"/>
      <w:r w:rsidRPr="00BF5DD2">
        <w:rPr>
          <w:rFonts w:asciiTheme="majorBidi" w:eastAsia="Times New Roman" w:hAnsiTheme="majorBidi" w:cstheme="majorBidi"/>
          <w:sz w:val="18"/>
          <w:szCs w:val="18"/>
        </w:rPr>
        <w:t xml:space="preserve"> &amp; Md. Nahid Hasan. (2019). The Ethanolic </w:t>
      </w:r>
      <w:r w:rsidRPr="00BF5DD2">
        <w:rPr>
          <w:rFonts w:asciiTheme="majorBidi" w:eastAsia="Times New Roman" w:hAnsiTheme="majorBidi" w:cstheme="majorBidi"/>
          <w:sz w:val="18"/>
          <w:szCs w:val="18"/>
        </w:rPr>
        <w:t xml:space="preserve">Extract of </w:t>
      </w:r>
      <w:proofErr w:type="spellStart"/>
      <w:r w:rsidRPr="00BF5DD2">
        <w:rPr>
          <w:rFonts w:asciiTheme="majorBidi" w:eastAsia="Times New Roman" w:hAnsiTheme="majorBidi" w:cstheme="majorBidi"/>
          <w:sz w:val="18"/>
          <w:szCs w:val="18"/>
        </w:rPr>
        <w:t>Trichosanthes</w:t>
      </w:r>
      <w:proofErr w:type="spellEnd"/>
      <w:r w:rsidRPr="00BF5DD2">
        <w:rPr>
          <w:rFonts w:asciiTheme="majorBidi" w:eastAsia="Times New Roman" w:hAnsiTheme="majorBidi" w:cstheme="majorBidi"/>
          <w:sz w:val="18"/>
          <w:szCs w:val="18"/>
        </w:rPr>
        <w:t xml:space="preserve"> </w:t>
      </w:r>
      <w:proofErr w:type="spellStart"/>
      <w:r w:rsidRPr="00BF5DD2">
        <w:rPr>
          <w:rFonts w:asciiTheme="majorBidi" w:eastAsia="Times New Roman" w:hAnsiTheme="majorBidi" w:cstheme="majorBidi"/>
          <w:sz w:val="18"/>
          <w:szCs w:val="18"/>
        </w:rPr>
        <w:t>dioica</w:t>
      </w:r>
      <w:proofErr w:type="spellEnd"/>
      <w:r w:rsidRPr="00BF5DD2">
        <w:rPr>
          <w:rFonts w:asciiTheme="majorBidi" w:eastAsia="Times New Roman" w:hAnsiTheme="majorBidi" w:cstheme="majorBidi"/>
          <w:sz w:val="18"/>
          <w:szCs w:val="18"/>
        </w:rPr>
        <w:t xml:space="preserve"> Leaves Can Ameliorate the Liver Damage in Paracetamol Induced Liver Toxicity in SD Rats. Journal of Pharmaceutical Research International, 25(1), 1–6. </w:t>
      </w:r>
      <w:hyperlink r:id="rId14" w:history="1">
        <w:r w:rsidRPr="00D379E2">
          <w:rPr>
            <w:rStyle w:val="Hyperlink"/>
            <w:rFonts w:asciiTheme="majorBidi" w:eastAsia="Times New Roman" w:hAnsiTheme="majorBidi" w:cstheme="majorBidi"/>
            <w:sz w:val="18"/>
            <w:szCs w:val="18"/>
          </w:rPr>
          <w:t>https://doi.org/10.9734/JPRI/2018/46204</w:t>
        </w:r>
      </w:hyperlink>
    </w:p>
    <w:p w:rsidR="00BF5DD2" w:rsidRDefault="00BF5DD2" w:rsidP="00BF5DD2">
      <w:pPr>
        <w:pStyle w:val="ListParagraph"/>
        <w:numPr>
          <w:ilvl w:val="0"/>
          <w:numId w:val="10"/>
        </w:numPr>
        <w:bidi w:val="0"/>
        <w:spacing w:after="0" w:line="276" w:lineRule="auto"/>
        <w:jc w:val="both"/>
        <w:rPr>
          <w:rFonts w:asciiTheme="majorBidi" w:eastAsia="Times New Roman" w:hAnsiTheme="majorBidi" w:cstheme="majorBidi"/>
          <w:sz w:val="18"/>
          <w:szCs w:val="18"/>
        </w:rPr>
      </w:pPr>
      <w:r w:rsidRPr="00BF5DD2">
        <w:rPr>
          <w:rFonts w:asciiTheme="majorBidi" w:eastAsia="Times New Roman" w:hAnsiTheme="majorBidi" w:cstheme="majorBidi"/>
          <w:sz w:val="18"/>
          <w:szCs w:val="18"/>
        </w:rPr>
        <w:t xml:space="preserve">Ramachandran, A., </w:t>
      </w:r>
      <w:proofErr w:type="spellStart"/>
      <w:r w:rsidRPr="00BF5DD2">
        <w:rPr>
          <w:rFonts w:asciiTheme="majorBidi" w:eastAsia="Times New Roman" w:hAnsiTheme="majorBidi" w:cstheme="majorBidi"/>
          <w:sz w:val="18"/>
          <w:szCs w:val="18"/>
        </w:rPr>
        <w:t>Visschers</w:t>
      </w:r>
      <w:proofErr w:type="spellEnd"/>
      <w:r w:rsidRPr="00BF5DD2">
        <w:rPr>
          <w:rFonts w:asciiTheme="majorBidi" w:eastAsia="Times New Roman" w:hAnsiTheme="majorBidi" w:cstheme="majorBidi"/>
          <w:sz w:val="18"/>
          <w:szCs w:val="18"/>
        </w:rPr>
        <w:t xml:space="preserve">, R. G., </w:t>
      </w:r>
      <w:proofErr w:type="spellStart"/>
      <w:r w:rsidRPr="00BF5DD2">
        <w:rPr>
          <w:rFonts w:asciiTheme="majorBidi" w:eastAsia="Times New Roman" w:hAnsiTheme="majorBidi" w:cstheme="majorBidi"/>
          <w:sz w:val="18"/>
          <w:szCs w:val="18"/>
        </w:rPr>
        <w:t>Duan</w:t>
      </w:r>
      <w:proofErr w:type="spellEnd"/>
      <w:r w:rsidRPr="00BF5DD2">
        <w:rPr>
          <w:rFonts w:asciiTheme="majorBidi" w:eastAsia="Times New Roman" w:hAnsiTheme="majorBidi" w:cstheme="majorBidi"/>
          <w:sz w:val="18"/>
          <w:szCs w:val="18"/>
        </w:rPr>
        <w:t xml:space="preserve">, L., </w:t>
      </w:r>
      <w:proofErr w:type="spellStart"/>
      <w:r w:rsidRPr="00BF5DD2">
        <w:rPr>
          <w:rFonts w:asciiTheme="majorBidi" w:eastAsia="Times New Roman" w:hAnsiTheme="majorBidi" w:cstheme="majorBidi"/>
          <w:sz w:val="18"/>
          <w:szCs w:val="18"/>
        </w:rPr>
        <w:t>Akakpo</w:t>
      </w:r>
      <w:proofErr w:type="spellEnd"/>
      <w:r w:rsidRPr="00BF5DD2">
        <w:rPr>
          <w:rFonts w:asciiTheme="majorBidi" w:eastAsia="Times New Roman" w:hAnsiTheme="majorBidi" w:cstheme="majorBidi"/>
          <w:sz w:val="18"/>
          <w:szCs w:val="18"/>
        </w:rPr>
        <w:t xml:space="preserve">, J. Y., &amp; </w:t>
      </w:r>
      <w:proofErr w:type="spellStart"/>
      <w:r w:rsidRPr="00BF5DD2">
        <w:rPr>
          <w:rFonts w:asciiTheme="majorBidi" w:eastAsia="Times New Roman" w:hAnsiTheme="majorBidi" w:cstheme="majorBidi"/>
          <w:sz w:val="18"/>
          <w:szCs w:val="18"/>
        </w:rPr>
        <w:t>Jaeschke</w:t>
      </w:r>
      <w:proofErr w:type="spellEnd"/>
      <w:r w:rsidRPr="00BF5DD2">
        <w:rPr>
          <w:rFonts w:asciiTheme="majorBidi" w:eastAsia="Times New Roman" w:hAnsiTheme="majorBidi" w:cstheme="majorBidi"/>
          <w:sz w:val="18"/>
          <w:szCs w:val="18"/>
        </w:rPr>
        <w:t>, H. (2018). Mitochondrial dysfunction as a mechanism of drug-induced hepatotoxicity: current understanding and future perspectives. Journal of clinical and translational research, 4(1), 75.</w:t>
      </w:r>
      <w:r w:rsidRPr="00BF5DD2">
        <w:t xml:space="preserve"> </w:t>
      </w:r>
      <w:proofErr w:type="spellStart"/>
      <w:r w:rsidRPr="00BF5DD2">
        <w:rPr>
          <w:rFonts w:asciiTheme="majorBidi" w:eastAsia="Times New Roman" w:hAnsiTheme="majorBidi" w:cstheme="majorBidi"/>
          <w:sz w:val="18"/>
          <w:szCs w:val="18"/>
        </w:rPr>
        <w:t>doi</w:t>
      </w:r>
      <w:proofErr w:type="spellEnd"/>
      <w:r w:rsidRPr="00BF5DD2">
        <w:rPr>
          <w:rFonts w:asciiTheme="majorBidi" w:eastAsia="Times New Roman" w:hAnsiTheme="majorBidi" w:cstheme="majorBidi"/>
          <w:sz w:val="18"/>
          <w:szCs w:val="18"/>
        </w:rPr>
        <w:t>: 10.18053/jctres.04.201801.005</w:t>
      </w:r>
    </w:p>
    <w:p w:rsidR="00BF5DD2" w:rsidRDefault="00BF5DD2" w:rsidP="00BF5DD2">
      <w:pPr>
        <w:pStyle w:val="ListParagraph"/>
        <w:numPr>
          <w:ilvl w:val="0"/>
          <w:numId w:val="10"/>
        </w:numPr>
        <w:bidi w:val="0"/>
        <w:spacing w:after="0" w:line="276" w:lineRule="auto"/>
        <w:jc w:val="both"/>
        <w:rPr>
          <w:rFonts w:asciiTheme="majorBidi" w:eastAsia="Times New Roman" w:hAnsiTheme="majorBidi" w:cstheme="majorBidi"/>
          <w:sz w:val="18"/>
          <w:szCs w:val="18"/>
        </w:rPr>
      </w:pPr>
      <w:proofErr w:type="gramStart"/>
      <w:r w:rsidRPr="00BF5DD2">
        <w:rPr>
          <w:rFonts w:asciiTheme="majorBidi" w:eastAsia="Times New Roman" w:hAnsiTheme="majorBidi" w:cstheme="majorBidi"/>
          <w:sz w:val="18"/>
          <w:szCs w:val="18"/>
        </w:rPr>
        <w:t>E,U.</w:t>
      </w:r>
      <w:proofErr w:type="gramEnd"/>
      <w:r w:rsidRPr="00BF5DD2">
        <w:rPr>
          <w:rFonts w:asciiTheme="majorBidi" w:eastAsia="Times New Roman" w:hAnsiTheme="majorBidi" w:cstheme="majorBidi"/>
          <w:sz w:val="18"/>
          <w:szCs w:val="18"/>
        </w:rPr>
        <w:t xml:space="preserve"> Eric, </w:t>
      </w:r>
      <w:proofErr w:type="spellStart"/>
      <w:r w:rsidRPr="00BF5DD2">
        <w:rPr>
          <w:rFonts w:asciiTheme="majorBidi" w:eastAsia="Times New Roman" w:hAnsiTheme="majorBidi" w:cstheme="majorBidi"/>
          <w:sz w:val="18"/>
          <w:szCs w:val="18"/>
        </w:rPr>
        <w:t>Avor</w:t>
      </w:r>
      <w:proofErr w:type="spellEnd"/>
      <w:r w:rsidRPr="00BF5DD2">
        <w:rPr>
          <w:rFonts w:asciiTheme="majorBidi" w:eastAsia="Times New Roman" w:hAnsiTheme="majorBidi" w:cstheme="majorBidi"/>
          <w:sz w:val="18"/>
          <w:szCs w:val="18"/>
        </w:rPr>
        <w:t xml:space="preserve"> G M &amp; </w:t>
      </w:r>
      <w:proofErr w:type="spellStart"/>
      <w:r w:rsidRPr="00BF5DD2">
        <w:rPr>
          <w:rFonts w:asciiTheme="majorBidi" w:eastAsia="Times New Roman" w:hAnsiTheme="majorBidi" w:cstheme="majorBidi"/>
          <w:sz w:val="18"/>
          <w:szCs w:val="18"/>
        </w:rPr>
        <w:t>Amanukpo</w:t>
      </w:r>
      <w:proofErr w:type="spellEnd"/>
      <w:r w:rsidRPr="00BF5DD2">
        <w:rPr>
          <w:rFonts w:asciiTheme="majorBidi" w:eastAsia="Times New Roman" w:hAnsiTheme="majorBidi" w:cstheme="majorBidi"/>
          <w:sz w:val="18"/>
          <w:szCs w:val="18"/>
        </w:rPr>
        <w:t xml:space="preserve">. P. (2024). Histopathological Evaluation of the Effects of Siam Weed in Cadmium Induced Toxicity on the Liver of Wistar Rat. Asian Journal of Biochemistry, Genetics and Molecular Biology, 16(6), 32–41. </w:t>
      </w:r>
      <w:hyperlink r:id="rId15" w:history="1">
        <w:r w:rsidR="00814312" w:rsidRPr="00D379E2">
          <w:rPr>
            <w:rStyle w:val="Hyperlink"/>
            <w:rFonts w:asciiTheme="majorBidi" w:eastAsia="Times New Roman" w:hAnsiTheme="majorBidi" w:cstheme="majorBidi"/>
            <w:sz w:val="18"/>
            <w:szCs w:val="18"/>
          </w:rPr>
          <w:t>https://doi.org/10.9734/ajbgmb/2024/v16i6380</w:t>
        </w:r>
      </w:hyperlink>
    </w:p>
    <w:p w:rsidR="00814312" w:rsidRPr="00814312" w:rsidRDefault="00814312" w:rsidP="00814312">
      <w:pPr>
        <w:pStyle w:val="ListParagraph"/>
        <w:numPr>
          <w:ilvl w:val="0"/>
          <w:numId w:val="10"/>
        </w:numPr>
        <w:bidi w:val="0"/>
        <w:spacing w:after="0" w:line="276" w:lineRule="auto"/>
        <w:jc w:val="both"/>
        <w:rPr>
          <w:rFonts w:asciiTheme="majorBidi" w:eastAsia="Times New Roman" w:hAnsiTheme="majorBidi" w:cstheme="majorBidi"/>
          <w:sz w:val="18"/>
          <w:szCs w:val="18"/>
        </w:rPr>
      </w:pPr>
      <w:proofErr w:type="spellStart"/>
      <w:r w:rsidRPr="00814312">
        <w:rPr>
          <w:rFonts w:asciiTheme="majorBidi" w:eastAsia="Times New Roman" w:hAnsiTheme="majorBidi" w:cstheme="majorBidi"/>
          <w:sz w:val="18"/>
          <w:szCs w:val="18"/>
        </w:rPr>
        <w:t>Sasidharan</w:t>
      </w:r>
      <w:proofErr w:type="spellEnd"/>
      <w:r w:rsidRPr="00814312">
        <w:rPr>
          <w:rFonts w:asciiTheme="majorBidi" w:eastAsia="Times New Roman" w:hAnsiTheme="majorBidi" w:cstheme="majorBidi"/>
          <w:sz w:val="18"/>
          <w:szCs w:val="18"/>
        </w:rPr>
        <w:t xml:space="preserve">, S., </w:t>
      </w:r>
      <w:proofErr w:type="spellStart"/>
      <w:r w:rsidRPr="00814312">
        <w:rPr>
          <w:rFonts w:asciiTheme="majorBidi" w:eastAsia="Times New Roman" w:hAnsiTheme="majorBidi" w:cstheme="majorBidi"/>
          <w:sz w:val="18"/>
          <w:szCs w:val="18"/>
        </w:rPr>
        <w:t>Aravindran</w:t>
      </w:r>
      <w:proofErr w:type="spellEnd"/>
      <w:r w:rsidRPr="00814312">
        <w:rPr>
          <w:rFonts w:asciiTheme="majorBidi" w:eastAsia="Times New Roman" w:hAnsiTheme="majorBidi" w:cstheme="majorBidi"/>
          <w:sz w:val="18"/>
          <w:szCs w:val="18"/>
        </w:rPr>
        <w:t xml:space="preserve">, S., </w:t>
      </w:r>
      <w:proofErr w:type="spellStart"/>
      <w:r w:rsidRPr="00814312">
        <w:rPr>
          <w:rFonts w:asciiTheme="majorBidi" w:eastAsia="Times New Roman" w:hAnsiTheme="majorBidi" w:cstheme="majorBidi"/>
          <w:sz w:val="18"/>
          <w:szCs w:val="18"/>
        </w:rPr>
        <w:t>Latha</w:t>
      </w:r>
      <w:proofErr w:type="spellEnd"/>
      <w:r w:rsidRPr="00814312">
        <w:rPr>
          <w:rFonts w:asciiTheme="majorBidi" w:eastAsia="Times New Roman" w:hAnsiTheme="majorBidi" w:cstheme="majorBidi"/>
          <w:sz w:val="18"/>
          <w:szCs w:val="18"/>
        </w:rPr>
        <w:t xml:space="preserve">, L. Y., </w:t>
      </w:r>
      <w:proofErr w:type="spellStart"/>
      <w:r w:rsidRPr="00814312">
        <w:rPr>
          <w:rFonts w:asciiTheme="majorBidi" w:eastAsia="Times New Roman" w:hAnsiTheme="majorBidi" w:cstheme="majorBidi"/>
          <w:sz w:val="18"/>
          <w:szCs w:val="18"/>
        </w:rPr>
        <w:t>Vijenthi</w:t>
      </w:r>
      <w:proofErr w:type="spellEnd"/>
      <w:r w:rsidRPr="00814312">
        <w:rPr>
          <w:rFonts w:asciiTheme="majorBidi" w:eastAsia="Times New Roman" w:hAnsiTheme="majorBidi" w:cstheme="majorBidi"/>
          <w:sz w:val="18"/>
          <w:szCs w:val="18"/>
        </w:rPr>
        <w:t xml:space="preserve">, R., Saravanan, D., &amp; </w:t>
      </w:r>
      <w:proofErr w:type="spellStart"/>
      <w:r w:rsidRPr="00814312">
        <w:rPr>
          <w:rFonts w:asciiTheme="majorBidi" w:eastAsia="Times New Roman" w:hAnsiTheme="majorBidi" w:cstheme="majorBidi"/>
          <w:sz w:val="18"/>
          <w:szCs w:val="18"/>
        </w:rPr>
        <w:t>Amutha</w:t>
      </w:r>
      <w:proofErr w:type="spellEnd"/>
      <w:r w:rsidRPr="00814312">
        <w:rPr>
          <w:rFonts w:asciiTheme="majorBidi" w:eastAsia="Times New Roman" w:hAnsiTheme="majorBidi" w:cstheme="majorBidi"/>
          <w:sz w:val="18"/>
          <w:szCs w:val="18"/>
        </w:rPr>
        <w:t xml:space="preserve">, S. (2010). In vitro antioxidant activity and hepatoprotective effects of Lentinula </w:t>
      </w:r>
      <w:proofErr w:type="spellStart"/>
      <w:r w:rsidRPr="00814312">
        <w:rPr>
          <w:rFonts w:asciiTheme="majorBidi" w:eastAsia="Times New Roman" w:hAnsiTheme="majorBidi" w:cstheme="majorBidi"/>
          <w:sz w:val="18"/>
          <w:szCs w:val="18"/>
        </w:rPr>
        <w:t>edodes</w:t>
      </w:r>
      <w:proofErr w:type="spellEnd"/>
      <w:r w:rsidRPr="00814312">
        <w:rPr>
          <w:rFonts w:asciiTheme="majorBidi" w:eastAsia="Times New Roman" w:hAnsiTheme="majorBidi" w:cstheme="majorBidi"/>
          <w:sz w:val="18"/>
          <w:szCs w:val="18"/>
        </w:rPr>
        <w:t xml:space="preserve"> against paracetamol-induced hepatotoxicity. Molecules, 15(6), 4478-4489.</w:t>
      </w:r>
      <w:r w:rsidRPr="00814312">
        <w:t xml:space="preserve"> </w:t>
      </w:r>
      <w:r>
        <w:t xml:space="preserve"> </w:t>
      </w:r>
      <w:bookmarkStart w:id="0" w:name="_GoBack"/>
      <w:bookmarkEnd w:id="0"/>
      <w:r w:rsidRPr="00814312">
        <w:rPr>
          <w:rFonts w:asciiTheme="majorBidi" w:eastAsia="Times New Roman" w:hAnsiTheme="majorBidi" w:cstheme="majorBidi"/>
          <w:sz w:val="18"/>
          <w:szCs w:val="18"/>
        </w:rPr>
        <w:fldChar w:fldCharType="begin"/>
      </w:r>
      <w:r w:rsidRPr="00814312">
        <w:rPr>
          <w:rFonts w:asciiTheme="majorBidi" w:eastAsia="Times New Roman" w:hAnsiTheme="majorBidi" w:cstheme="majorBidi"/>
          <w:sz w:val="18"/>
          <w:szCs w:val="18"/>
        </w:rPr>
        <w:instrText xml:space="preserve"> HYPERLINK "</w:instrText>
      </w:r>
      <w:r w:rsidRPr="00814312">
        <w:rPr>
          <w:rFonts w:asciiTheme="majorBidi" w:eastAsia="Times New Roman" w:hAnsiTheme="majorBidi" w:cstheme="majorBidi"/>
          <w:sz w:val="18"/>
          <w:szCs w:val="18"/>
        </w:rPr>
        <w:instrText>https://doi.org/10.3390/molecules15064478</w:instrText>
      </w:r>
      <w:r w:rsidRPr="00814312">
        <w:rPr>
          <w:rFonts w:asciiTheme="majorBidi" w:eastAsia="Times New Roman" w:hAnsiTheme="majorBidi" w:cstheme="majorBidi"/>
          <w:sz w:val="18"/>
          <w:szCs w:val="18"/>
        </w:rPr>
        <w:instrText xml:space="preserve">" </w:instrText>
      </w:r>
      <w:r w:rsidRPr="00814312">
        <w:rPr>
          <w:rFonts w:asciiTheme="majorBidi" w:eastAsia="Times New Roman" w:hAnsiTheme="majorBidi" w:cstheme="majorBidi"/>
          <w:sz w:val="18"/>
          <w:szCs w:val="18"/>
        </w:rPr>
        <w:fldChar w:fldCharType="separate"/>
      </w:r>
      <w:r w:rsidRPr="00814312">
        <w:rPr>
          <w:rStyle w:val="Hyperlink"/>
          <w:rFonts w:asciiTheme="majorBidi" w:eastAsia="Times New Roman" w:hAnsiTheme="majorBidi" w:cstheme="majorBidi"/>
          <w:sz w:val="18"/>
          <w:szCs w:val="18"/>
        </w:rPr>
        <w:t>https://doi.org/10.3390/molecules15064478</w:t>
      </w:r>
      <w:r w:rsidRPr="00814312">
        <w:rPr>
          <w:rFonts w:asciiTheme="majorBidi" w:eastAsia="Times New Roman" w:hAnsiTheme="majorBidi" w:cstheme="majorBidi"/>
          <w:sz w:val="18"/>
          <w:szCs w:val="18"/>
        </w:rPr>
        <w:fldChar w:fldCharType="end"/>
      </w:r>
      <w:r w:rsidRPr="00814312">
        <w:rPr>
          <w:rFonts w:asciiTheme="majorBidi" w:eastAsia="Times New Roman" w:hAnsiTheme="majorBidi" w:cstheme="majorBidi"/>
          <w:sz w:val="18"/>
          <w:szCs w:val="18"/>
        </w:rPr>
        <w:t xml:space="preserve"> </w:t>
      </w:r>
    </w:p>
    <w:p w:rsidR="008D20C6" w:rsidRDefault="008D20C6" w:rsidP="008D20C6">
      <w:pPr>
        <w:bidi w:val="0"/>
        <w:spacing w:after="0" w:line="276" w:lineRule="auto"/>
        <w:jc w:val="both"/>
        <w:rPr>
          <w:rFonts w:asciiTheme="majorBidi" w:eastAsia="Times New Roman" w:hAnsiTheme="majorBidi" w:cstheme="majorBidi"/>
          <w:sz w:val="28"/>
          <w:szCs w:val="28"/>
        </w:rPr>
      </w:pPr>
    </w:p>
    <w:p w:rsidR="008D20C6" w:rsidRPr="008D20C6" w:rsidRDefault="008D20C6" w:rsidP="008D20C6">
      <w:pPr>
        <w:bidi w:val="0"/>
        <w:spacing w:after="0" w:line="276" w:lineRule="auto"/>
        <w:jc w:val="both"/>
        <w:rPr>
          <w:rFonts w:asciiTheme="majorBidi" w:eastAsia="Times New Roman" w:hAnsiTheme="majorBidi" w:cstheme="majorBidi"/>
          <w:sz w:val="28"/>
          <w:szCs w:val="28"/>
        </w:rPr>
        <w:sectPr w:rsidR="008D20C6" w:rsidRPr="008D20C6" w:rsidSect="0067521A">
          <w:type w:val="continuous"/>
          <w:pgSz w:w="11906" w:h="16838"/>
          <w:pgMar w:top="1440" w:right="1440" w:bottom="1440" w:left="1440" w:header="708" w:footer="708" w:gutter="0"/>
          <w:cols w:num="2" w:space="709"/>
          <w:rtlGutter/>
          <w:docGrid w:linePitch="360"/>
        </w:sectPr>
      </w:pPr>
    </w:p>
    <w:p w:rsidR="008A300E" w:rsidRPr="00015B1B" w:rsidRDefault="00814312" w:rsidP="00DC41A0">
      <w:pPr>
        <w:bidi w:val="0"/>
        <w:spacing w:after="0" w:line="240" w:lineRule="auto"/>
        <w:rPr>
          <w:rFonts w:asciiTheme="majorBidi" w:hAnsiTheme="majorBidi" w:cstheme="majorBidi"/>
        </w:rPr>
      </w:pPr>
    </w:p>
    <w:sectPr w:rsidR="008A300E" w:rsidRPr="00015B1B" w:rsidSect="00CB7EE3">
      <w:type w:val="continuous"/>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charset w:val="B2"/>
    <w:family w:val="roman"/>
    <w:pitch w:val="variable"/>
    <w:sig w:usb0="00002003" w:usb1="80000000" w:usb2="00000008" w:usb3="00000000" w:csb0="00000041"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0BEB"/>
    <w:multiLevelType w:val="multilevel"/>
    <w:tmpl w:val="C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406A3"/>
    <w:multiLevelType w:val="hybridMultilevel"/>
    <w:tmpl w:val="1DDA92B2"/>
    <w:lvl w:ilvl="0" w:tplc="A642CDA6">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D41E0"/>
    <w:multiLevelType w:val="multilevel"/>
    <w:tmpl w:val="C928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01FBB"/>
    <w:multiLevelType w:val="multilevel"/>
    <w:tmpl w:val="FC4A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55C4D"/>
    <w:multiLevelType w:val="multilevel"/>
    <w:tmpl w:val="8DD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E7CD3"/>
    <w:multiLevelType w:val="multilevel"/>
    <w:tmpl w:val="180E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97924"/>
    <w:multiLevelType w:val="multilevel"/>
    <w:tmpl w:val="433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63F1A"/>
    <w:multiLevelType w:val="hybridMultilevel"/>
    <w:tmpl w:val="2ACC5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AF5158"/>
    <w:multiLevelType w:val="multilevel"/>
    <w:tmpl w:val="B2F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53DAD"/>
    <w:multiLevelType w:val="multilevel"/>
    <w:tmpl w:val="9DFC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10A"/>
    <w:rsid w:val="00015B1B"/>
    <w:rsid w:val="00071B14"/>
    <w:rsid w:val="000A2AF1"/>
    <w:rsid w:val="001528E0"/>
    <w:rsid w:val="001E435C"/>
    <w:rsid w:val="0021310A"/>
    <w:rsid w:val="00222418"/>
    <w:rsid w:val="002A6C59"/>
    <w:rsid w:val="002C2D33"/>
    <w:rsid w:val="002D77C9"/>
    <w:rsid w:val="003019CA"/>
    <w:rsid w:val="00327699"/>
    <w:rsid w:val="003C0920"/>
    <w:rsid w:val="003D3327"/>
    <w:rsid w:val="003D44DE"/>
    <w:rsid w:val="003E45DE"/>
    <w:rsid w:val="00465E39"/>
    <w:rsid w:val="004B4CFC"/>
    <w:rsid w:val="004C4C65"/>
    <w:rsid w:val="004F1558"/>
    <w:rsid w:val="00503046"/>
    <w:rsid w:val="00524BE2"/>
    <w:rsid w:val="00613AB0"/>
    <w:rsid w:val="006365BB"/>
    <w:rsid w:val="0067521A"/>
    <w:rsid w:val="00675989"/>
    <w:rsid w:val="007703B2"/>
    <w:rsid w:val="00774FB6"/>
    <w:rsid w:val="00814312"/>
    <w:rsid w:val="00830791"/>
    <w:rsid w:val="00841EDA"/>
    <w:rsid w:val="00880C35"/>
    <w:rsid w:val="008D20C6"/>
    <w:rsid w:val="008F2FC5"/>
    <w:rsid w:val="008F713D"/>
    <w:rsid w:val="009152CC"/>
    <w:rsid w:val="00945D7C"/>
    <w:rsid w:val="009C4704"/>
    <w:rsid w:val="00A45545"/>
    <w:rsid w:val="00AC621D"/>
    <w:rsid w:val="00AF565B"/>
    <w:rsid w:val="00B87ED5"/>
    <w:rsid w:val="00BB0205"/>
    <w:rsid w:val="00BF5DD2"/>
    <w:rsid w:val="00C80AF4"/>
    <w:rsid w:val="00C93E5F"/>
    <w:rsid w:val="00CB7EE3"/>
    <w:rsid w:val="00CC3F4E"/>
    <w:rsid w:val="00D731D7"/>
    <w:rsid w:val="00D84CB4"/>
    <w:rsid w:val="00DB3B18"/>
    <w:rsid w:val="00DC41A0"/>
    <w:rsid w:val="00DD5D95"/>
    <w:rsid w:val="00DE54AD"/>
    <w:rsid w:val="00E045CB"/>
    <w:rsid w:val="00E56E5A"/>
    <w:rsid w:val="00EB5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B0CBA6"/>
  <w15:chartTrackingRefBased/>
  <w15:docId w15:val="{7297486F-4617-4C9A-B1DE-8AB3062D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8F7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56E5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6E5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F2F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6E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6E5A"/>
    <w:rPr>
      <w:rFonts w:ascii="Times New Roman" w:eastAsia="Times New Roman" w:hAnsi="Times New Roman" w:cs="Times New Roman"/>
      <w:b/>
      <w:bCs/>
      <w:sz w:val="27"/>
      <w:szCs w:val="27"/>
    </w:rPr>
  </w:style>
  <w:style w:type="character" w:styleId="Strong">
    <w:name w:val="Strong"/>
    <w:basedOn w:val="DefaultParagraphFont"/>
    <w:uiPriority w:val="22"/>
    <w:qFormat/>
    <w:rsid w:val="00E56E5A"/>
    <w:rPr>
      <w:b/>
      <w:bCs/>
    </w:rPr>
  </w:style>
  <w:style w:type="paragraph" w:styleId="NormalWeb">
    <w:name w:val="Normal (Web)"/>
    <w:basedOn w:val="Normal"/>
    <w:uiPriority w:val="99"/>
    <w:semiHidden/>
    <w:unhideWhenUsed/>
    <w:rsid w:val="00E56E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FC5"/>
    <w:rPr>
      <w:i/>
      <w:iCs/>
    </w:rPr>
  </w:style>
  <w:style w:type="character" w:customStyle="1" w:styleId="Heading4Char">
    <w:name w:val="Heading 4 Char"/>
    <w:basedOn w:val="DefaultParagraphFont"/>
    <w:link w:val="Heading4"/>
    <w:uiPriority w:val="9"/>
    <w:semiHidden/>
    <w:rsid w:val="008F2FC5"/>
    <w:rPr>
      <w:rFonts w:asciiTheme="majorHAnsi" w:eastAsiaTheme="majorEastAsia" w:hAnsiTheme="majorHAnsi" w:cstheme="majorBidi"/>
      <w:i/>
      <w:iCs/>
      <w:color w:val="2E74B5" w:themeColor="accent1" w:themeShade="BF"/>
    </w:rPr>
  </w:style>
  <w:style w:type="table" w:styleId="GridTable1Light">
    <w:name w:val="Grid Table 1 Light"/>
    <w:basedOn w:val="TableNormal"/>
    <w:uiPriority w:val="46"/>
    <w:rsid w:val="00CC3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327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699"/>
  </w:style>
  <w:style w:type="paragraph" w:styleId="ListParagraph">
    <w:name w:val="List Paragraph"/>
    <w:basedOn w:val="Normal"/>
    <w:uiPriority w:val="34"/>
    <w:qFormat/>
    <w:rsid w:val="00327699"/>
    <w:pPr>
      <w:ind w:left="720"/>
      <w:contextualSpacing/>
    </w:pPr>
  </w:style>
  <w:style w:type="character" w:customStyle="1" w:styleId="ypks7kbdpwfgdykd3qb9">
    <w:name w:val="ypks7kbdpwfgdykd3qb9"/>
    <w:basedOn w:val="DefaultParagraphFont"/>
    <w:rsid w:val="00503046"/>
  </w:style>
  <w:style w:type="character" w:customStyle="1" w:styleId="Heading1Char">
    <w:name w:val="Heading 1 Char"/>
    <w:basedOn w:val="DefaultParagraphFont"/>
    <w:link w:val="Heading1"/>
    <w:uiPriority w:val="9"/>
    <w:rsid w:val="008F713D"/>
    <w:rPr>
      <w:rFonts w:asciiTheme="majorHAnsi" w:eastAsiaTheme="majorEastAsia" w:hAnsiTheme="majorHAnsi" w:cstheme="majorBidi"/>
      <w:color w:val="2E74B5" w:themeColor="accent1" w:themeShade="BF"/>
      <w:sz w:val="32"/>
      <w:szCs w:val="32"/>
    </w:rPr>
  </w:style>
  <w:style w:type="character" w:customStyle="1" w:styleId="mw-page-title-main">
    <w:name w:val="mw-page-title-main"/>
    <w:basedOn w:val="DefaultParagraphFont"/>
    <w:rsid w:val="008F713D"/>
  </w:style>
  <w:style w:type="character" w:customStyle="1" w:styleId="t286pc">
    <w:name w:val="t286pc"/>
    <w:basedOn w:val="DefaultParagraphFont"/>
    <w:rsid w:val="00830791"/>
  </w:style>
  <w:style w:type="character" w:styleId="Hyperlink">
    <w:name w:val="Hyperlink"/>
    <w:basedOn w:val="DefaultParagraphFont"/>
    <w:uiPriority w:val="99"/>
    <w:unhideWhenUsed/>
    <w:rsid w:val="003D44DE"/>
    <w:rPr>
      <w:color w:val="0000FF"/>
      <w:u w:val="single"/>
    </w:rPr>
  </w:style>
  <w:style w:type="character" w:customStyle="1" w:styleId="anchor-text">
    <w:name w:val="anchor-text"/>
    <w:basedOn w:val="DefaultParagraphFont"/>
    <w:rsid w:val="009C4704"/>
  </w:style>
  <w:style w:type="character" w:styleId="UnresolvedMention">
    <w:name w:val="Unresolved Mention"/>
    <w:basedOn w:val="DefaultParagraphFont"/>
    <w:uiPriority w:val="99"/>
    <w:semiHidden/>
    <w:unhideWhenUsed/>
    <w:rsid w:val="008D2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08451">
      <w:bodyDiv w:val="1"/>
      <w:marLeft w:val="0"/>
      <w:marRight w:val="0"/>
      <w:marTop w:val="0"/>
      <w:marBottom w:val="0"/>
      <w:divBdr>
        <w:top w:val="none" w:sz="0" w:space="0" w:color="auto"/>
        <w:left w:val="none" w:sz="0" w:space="0" w:color="auto"/>
        <w:bottom w:val="none" w:sz="0" w:space="0" w:color="auto"/>
        <w:right w:val="none" w:sz="0" w:space="0" w:color="auto"/>
      </w:divBdr>
    </w:div>
    <w:div w:id="172110938">
      <w:bodyDiv w:val="1"/>
      <w:marLeft w:val="0"/>
      <w:marRight w:val="0"/>
      <w:marTop w:val="0"/>
      <w:marBottom w:val="0"/>
      <w:divBdr>
        <w:top w:val="none" w:sz="0" w:space="0" w:color="auto"/>
        <w:left w:val="none" w:sz="0" w:space="0" w:color="auto"/>
        <w:bottom w:val="none" w:sz="0" w:space="0" w:color="auto"/>
        <w:right w:val="none" w:sz="0" w:space="0" w:color="auto"/>
      </w:divBdr>
    </w:div>
    <w:div w:id="287052717">
      <w:bodyDiv w:val="1"/>
      <w:marLeft w:val="0"/>
      <w:marRight w:val="0"/>
      <w:marTop w:val="0"/>
      <w:marBottom w:val="0"/>
      <w:divBdr>
        <w:top w:val="none" w:sz="0" w:space="0" w:color="auto"/>
        <w:left w:val="none" w:sz="0" w:space="0" w:color="auto"/>
        <w:bottom w:val="none" w:sz="0" w:space="0" w:color="auto"/>
        <w:right w:val="none" w:sz="0" w:space="0" w:color="auto"/>
      </w:divBdr>
    </w:div>
    <w:div w:id="314841296">
      <w:bodyDiv w:val="1"/>
      <w:marLeft w:val="0"/>
      <w:marRight w:val="0"/>
      <w:marTop w:val="0"/>
      <w:marBottom w:val="0"/>
      <w:divBdr>
        <w:top w:val="none" w:sz="0" w:space="0" w:color="auto"/>
        <w:left w:val="none" w:sz="0" w:space="0" w:color="auto"/>
        <w:bottom w:val="none" w:sz="0" w:space="0" w:color="auto"/>
        <w:right w:val="none" w:sz="0" w:space="0" w:color="auto"/>
      </w:divBdr>
      <w:divsChild>
        <w:div w:id="1028602007">
          <w:marLeft w:val="0"/>
          <w:marRight w:val="0"/>
          <w:marTop w:val="0"/>
          <w:marBottom w:val="0"/>
          <w:divBdr>
            <w:top w:val="none" w:sz="0" w:space="0" w:color="auto"/>
            <w:left w:val="none" w:sz="0" w:space="0" w:color="auto"/>
            <w:bottom w:val="none" w:sz="0" w:space="0" w:color="auto"/>
            <w:right w:val="none" w:sz="0" w:space="0" w:color="auto"/>
          </w:divBdr>
          <w:divsChild>
            <w:div w:id="183521607">
              <w:marLeft w:val="0"/>
              <w:marRight w:val="0"/>
              <w:marTop w:val="0"/>
              <w:marBottom w:val="0"/>
              <w:divBdr>
                <w:top w:val="none" w:sz="0" w:space="0" w:color="auto"/>
                <w:left w:val="none" w:sz="0" w:space="0" w:color="auto"/>
                <w:bottom w:val="none" w:sz="0" w:space="0" w:color="auto"/>
                <w:right w:val="none" w:sz="0" w:space="0" w:color="auto"/>
              </w:divBdr>
              <w:divsChild>
                <w:div w:id="416249768">
                  <w:marLeft w:val="0"/>
                  <w:marRight w:val="0"/>
                  <w:marTop w:val="0"/>
                  <w:marBottom w:val="0"/>
                  <w:divBdr>
                    <w:top w:val="none" w:sz="0" w:space="0" w:color="auto"/>
                    <w:left w:val="none" w:sz="0" w:space="0" w:color="auto"/>
                    <w:bottom w:val="none" w:sz="0" w:space="0" w:color="auto"/>
                    <w:right w:val="none" w:sz="0" w:space="0" w:color="auto"/>
                  </w:divBdr>
                  <w:divsChild>
                    <w:div w:id="5700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86282">
      <w:bodyDiv w:val="1"/>
      <w:marLeft w:val="0"/>
      <w:marRight w:val="0"/>
      <w:marTop w:val="0"/>
      <w:marBottom w:val="0"/>
      <w:divBdr>
        <w:top w:val="none" w:sz="0" w:space="0" w:color="auto"/>
        <w:left w:val="none" w:sz="0" w:space="0" w:color="auto"/>
        <w:bottom w:val="none" w:sz="0" w:space="0" w:color="auto"/>
        <w:right w:val="none" w:sz="0" w:space="0" w:color="auto"/>
      </w:divBdr>
    </w:div>
    <w:div w:id="404690414">
      <w:bodyDiv w:val="1"/>
      <w:marLeft w:val="0"/>
      <w:marRight w:val="0"/>
      <w:marTop w:val="0"/>
      <w:marBottom w:val="0"/>
      <w:divBdr>
        <w:top w:val="none" w:sz="0" w:space="0" w:color="auto"/>
        <w:left w:val="none" w:sz="0" w:space="0" w:color="auto"/>
        <w:bottom w:val="none" w:sz="0" w:space="0" w:color="auto"/>
        <w:right w:val="none" w:sz="0" w:space="0" w:color="auto"/>
      </w:divBdr>
      <w:divsChild>
        <w:div w:id="1728068200">
          <w:marLeft w:val="0"/>
          <w:marRight w:val="0"/>
          <w:marTop w:val="0"/>
          <w:marBottom w:val="0"/>
          <w:divBdr>
            <w:top w:val="none" w:sz="0" w:space="0" w:color="auto"/>
            <w:left w:val="none" w:sz="0" w:space="0" w:color="auto"/>
            <w:bottom w:val="none" w:sz="0" w:space="0" w:color="auto"/>
            <w:right w:val="none" w:sz="0" w:space="0" w:color="auto"/>
          </w:divBdr>
          <w:divsChild>
            <w:div w:id="195581740">
              <w:marLeft w:val="0"/>
              <w:marRight w:val="0"/>
              <w:marTop w:val="0"/>
              <w:marBottom w:val="0"/>
              <w:divBdr>
                <w:top w:val="none" w:sz="0" w:space="0" w:color="auto"/>
                <w:left w:val="none" w:sz="0" w:space="0" w:color="auto"/>
                <w:bottom w:val="none" w:sz="0" w:space="0" w:color="auto"/>
                <w:right w:val="none" w:sz="0" w:space="0" w:color="auto"/>
              </w:divBdr>
            </w:div>
          </w:divsChild>
        </w:div>
        <w:div w:id="663705870">
          <w:marLeft w:val="0"/>
          <w:marRight w:val="0"/>
          <w:marTop w:val="0"/>
          <w:marBottom w:val="0"/>
          <w:divBdr>
            <w:top w:val="none" w:sz="0" w:space="0" w:color="auto"/>
            <w:left w:val="none" w:sz="0" w:space="0" w:color="auto"/>
            <w:bottom w:val="none" w:sz="0" w:space="0" w:color="auto"/>
            <w:right w:val="none" w:sz="0" w:space="0" w:color="auto"/>
          </w:divBdr>
          <w:divsChild>
            <w:div w:id="8819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8558">
      <w:bodyDiv w:val="1"/>
      <w:marLeft w:val="0"/>
      <w:marRight w:val="0"/>
      <w:marTop w:val="0"/>
      <w:marBottom w:val="0"/>
      <w:divBdr>
        <w:top w:val="none" w:sz="0" w:space="0" w:color="auto"/>
        <w:left w:val="none" w:sz="0" w:space="0" w:color="auto"/>
        <w:bottom w:val="none" w:sz="0" w:space="0" w:color="auto"/>
        <w:right w:val="none" w:sz="0" w:space="0" w:color="auto"/>
      </w:divBdr>
    </w:div>
    <w:div w:id="550190236">
      <w:bodyDiv w:val="1"/>
      <w:marLeft w:val="0"/>
      <w:marRight w:val="0"/>
      <w:marTop w:val="0"/>
      <w:marBottom w:val="0"/>
      <w:divBdr>
        <w:top w:val="none" w:sz="0" w:space="0" w:color="auto"/>
        <w:left w:val="none" w:sz="0" w:space="0" w:color="auto"/>
        <w:bottom w:val="none" w:sz="0" w:space="0" w:color="auto"/>
        <w:right w:val="none" w:sz="0" w:space="0" w:color="auto"/>
      </w:divBdr>
    </w:div>
    <w:div w:id="642584298">
      <w:bodyDiv w:val="1"/>
      <w:marLeft w:val="0"/>
      <w:marRight w:val="0"/>
      <w:marTop w:val="0"/>
      <w:marBottom w:val="0"/>
      <w:divBdr>
        <w:top w:val="none" w:sz="0" w:space="0" w:color="auto"/>
        <w:left w:val="none" w:sz="0" w:space="0" w:color="auto"/>
        <w:bottom w:val="none" w:sz="0" w:space="0" w:color="auto"/>
        <w:right w:val="none" w:sz="0" w:space="0" w:color="auto"/>
      </w:divBdr>
    </w:div>
    <w:div w:id="765732045">
      <w:bodyDiv w:val="1"/>
      <w:marLeft w:val="0"/>
      <w:marRight w:val="0"/>
      <w:marTop w:val="0"/>
      <w:marBottom w:val="0"/>
      <w:divBdr>
        <w:top w:val="none" w:sz="0" w:space="0" w:color="auto"/>
        <w:left w:val="none" w:sz="0" w:space="0" w:color="auto"/>
        <w:bottom w:val="none" w:sz="0" w:space="0" w:color="auto"/>
        <w:right w:val="none" w:sz="0" w:space="0" w:color="auto"/>
      </w:divBdr>
    </w:div>
    <w:div w:id="952008467">
      <w:bodyDiv w:val="1"/>
      <w:marLeft w:val="0"/>
      <w:marRight w:val="0"/>
      <w:marTop w:val="0"/>
      <w:marBottom w:val="0"/>
      <w:divBdr>
        <w:top w:val="none" w:sz="0" w:space="0" w:color="auto"/>
        <w:left w:val="none" w:sz="0" w:space="0" w:color="auto"/>
        <w:bottom w:val="none" w:sz="0" w:space="0" w:color="auto"/>
        <w:right w:val="none" w:sz="0" w:space="0" w:color="auto"/>
      </w:divBdr>
    </w:div>
    <w:div w:id="1020208220">
      <w:bodyDiv w:val="1"/>
      <w:marLeft w:val="0"/>
      <w:marRight w:val="0"/>
      <w:marTop w:val="0"/>
      <w:marBottom w:val="0"/>
      <w:divBdr>
        <w:top w:val="none" w:sz="0" w:space="0" w:color="auto"/>
        <w:left w:val="none" w:sz="0" w:space="0" w:color="auto"/>
        <w:bottom w:val="none" w:sz="0" w:space="0" w:color="auto"/>
        <w:right w:val="none" w:sz="0" w:space="0" w:color="auto"/>
      </w:divBdr>
    </w:div>
    <w:div w:id="1364283795">
      <w:bodyDiv w:val="1"/>
      <w:marLeft w:val="0"/>
      <w:marRight w:val="0"/>
      <w:marTop w:val="0"/>
      <w:marBottom w:val="0"/>
      <w:divBdr>
        <w:top w:val="none" w:sz="0" w:space="0" w:color="auto"/>
        <w:left w:val="none" w:sz="0" w:space="0" w:color="auto"/>
        <w:bottom w:val="none" w:sz="0" w:space="0" w:color="auto"/>
        <w:right w:val="none" w:sz="0" w:space="0" w:color="auto"/>
      </w:divBdr>
    </w:div>
    <w:div w:id="1395734408">
      <w:bodyDiv w:val="1"/>
      <w:marLeft w:val="0"/>
      <w:marRight w:val="0"/>
      <w:marTop w:val="0"/>
      <w:marBottom w:val="0"/>
      <w:divBdr>
        <w:top w:val="none" w:sz="0" w:space="0" w:color="auto"/>
        <w:left w:val="none" w:sz="0" w:space="0" w:color="auto"/>
        <w:bottom w:val="none" w:sz="0" w:space="0" w:color="auto"/>
        <w:right w:val="none" w:sz="0" w:space="0" w:color="auto"/>
      </w:divBdr>
    </w:div>
    <w:div w:id="1453285756">
      <w:bodyDiv w:val="1"/>
      <w:marLeft w:val="0"/>
      <w:marRight w:val="0"/>
      <w:marTop w:val="0"/>
      <w:marBottom w:val="0"/>
      <w:divBdr>
        <w:top w:val="none" w:sz="0" w:space="0" w:color="auto"/>
        <w:left w:val="none" w:sz="0" w:space="0" w:color="auto"/>
        <w:bottom w:val="none" w:sz="0" w:space="0" w:color="auto"/>
        <w:right w:val="none" w:sz="0" w:space="0" w:color="auto"/>
      </w:divBdr>
    </w:div>
    <w:div w:id="1479414323">
      <w:bodyDiv w:val="1"/>
      <w:marLeft w:val="0"/>
      <w:marRight w:val="0"/>
      <w:marTop w:val="0"/>
      <w:marBottom w:val="0"/>
      <w:divBdr>
        <w:top w:val="none" w:sz="0" w:space="0" w:color="auto"/>
        <w:left w:val="none" w:sz="0" w:space="0" w:color="auto"/>
        <w:bottom w:val="none" w:sz="0" w:space="0" w:color="auto"/>
        <w:right w:val="none" w:sz="0" w:space="0" w:color="auto"/>
      </w:divBdr>
    </w:div>
    <w:div w:id="1493913243">
      <w:bodyDiv w:val="1"/>
      <w:marLeft w:val="0"/>
      <w:marRight w:val="0"/>
      <w:marTop w:val="0"/>
      <w:marBottom w:val="0"/>
      <w:divBdr>
        <w:top w:val="none" w:sz="0" w:space="0" w:color="auto"/>
        <w:left w:val="none" w:sz="0" w:space="0" w:color="auto"/>
        <w:bottom w:val="none" w:sz="0" w:space="0" w:color="auto"/>
        <w:right w:val="none" w:sz="0" w:space="0" w:color="auto"/>
      </w:divBdr>
    </w:div>
    <w:div w:id="1504317252">
      <w:bodyDiv w:val="1"/>
      <w:marLeft w:val="0"/>
      <w:marRight w:val="0"/>
      <w:marTop w:val="0"/>
      <w:marBottom w:val="0"/>
      <w:divBdr>
        <w:top w:val="none" w:sz="0" w:space="0" w:color="auto"/>
        <w:left w:val="none" w:sz="0" w:space="0" w:color="auto"/>
        <w:bottom w:val="none" w:sz="0" w:space="0" w:color="auto"/>
        <w:right w:val="none" w:sz="0" w:space="0" w:color="auto"/>
      </w:divBdr>
      <w:divsChild>
        <w:div w:id="93483011">
          <w:marLeft w:val="0"/>
          <w:marRight w:val="0"/>
          <w:marTop w:val="0"/>
          <w:marBottom w:val="0"/>
          <w:divBdr>
            <w:top w:val="none" w:sz="0" w:space="0" w:color="auto"/>
            <w:left w:val="none" w:sz="0" w:space="0" w:color="auto"/>
            <w:bottom w:val="none" w:sz="0" w:space="0" w:color="auto"/>
            <w:right w:val="none" w:sz="0" w:space="0" w:color="auto"/>
          </w:divBdr>
          <w:divsChild>
            <w:div w:id="1997567214">
              <w:marLeft w:val="0"/>
              <w:marRight w:val="0"/>
              <w:marTop w:val="0"/>
              <w:marBottom w:val="0"/>
              <w:divBdr>
                <w:top w:val="none" w:sz="0" w:space="0" w:color="auto"/>
                <w:left w:val="none" w:sz="0" w:space="0" w:color="auto"/>
                <w:bottom w:val="none" w:sz="0" w:space="0" w:color="auto"/>
                <w:right w:val="none" w:sz="0" w:space="0" w:color="auto"/>
              </w:divBdr>
              <w:divsChild>
                <w:div w:id="1813014078">
                  <w:marLeft w:val="0"/>
                  <w:marRight w:val="0"/>
                  <w:marTop w:val="0"/>
                  <w:marBottom w:val="0"/>
                  <w:divBdr>
                    <w:top w:val="none" w:sz="0" w:space="0" w:color="auto"/>
                    <w:left w:val="none" w:sz="0" w:space="0" w:color="auto"/>
                    <w:bottom w:val="none" w:sz="0" w:space="0" w:color="auto"/>
                    <w:right w:val="none" w:sz="0" w:space="0" w:color="auto"/>
                  </w:divBdr>
                  <w:divsChild>
                    <w:div w:id="15780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8094">
      <w:bodyDiv w:val="1"/>
      <w:marLeft w:val="0"/>
      <w:marRight w:val="0"/>
      <w:marTop w:val="0"/>
      <w:marBottom w:val="0"/>
      <w:divBdr>
        <w:top w:val="none" w:sz="0" w:space="0" w:color="auto"/>
        <w:left w:val="none" w:sz="0" w:space="0" w:color="auto"/>
        <w:bottom w:val="none" w:sz="0" w:space="0" w:color="auto"/>
        <w:right w:val="none" w:sz="0" w:space="0" w:color="auto"/>
      </w:divBdr>
    </w:div>
    <w:div w:id="1592086933">
      <w:bodyDiv w:val="1"/>
      <w:marLeft w:val="0"/>
      <w:marRight w:val="0"/>
      <w:marTop w:val="0"/>
      <w:marBottom w:val="0"/>
      <w:divBdr>
        <w:top w:val="none" w:sz="0" w:space="0" w:color="auto"/>
        <w:left w:val="none" w:sz="0" w:space="0" w:color="auto"/>
        <w:bottom w:val="none" w:sz="0" w:space="0" w:color="auto"/>
        <w:right w:val="none" w:sz="0" w:space="0" w:color="auto"/>
      </w:divBdr>
      <w:divsChild>
        <w:div w:id="455566489">
          <w:marLeft w:val="0"/>
          <w:marRight w:val="0"/>
          <w:marTop w:val="0"/>
          <w:marBottom w:val="0"/>
          <w:divBdr>
            <w:top w:val="none" w:sz="0" w:space="0" w:color="auto"/>
            <w:left w:val="none" w:sz="0" w:space="0" w:color="auto"/>
            <w:bottom w:val="none" w:sz="0" w:space="0" w:color="auto"/>
            <w:right w:val="none" w:sz="0" w:space="0" w:color="auto"/>
          </w:divBdr>
          <w:divsChild>
            <w:div w:id="1988506578">
              <w:marLeft w:val="0"/>
              <w:marRight w:val="0"/>
              <w:marTop w:val="0"/>
              <w:marBottom w:val="0"/>
              <w:divBdr>
                <w:top w:val="none" w:sz="0" w:space="0" w:color="auto"/>
                <w:left w:val="none" w:sz="0" w:space="0" w:color="auto"/>
                <w:bottom w:val="none" w:sz="0" w:space="0" w:color="auto"/>
                <w:right w:val="none" w:sz="0" w:space="0" w:color="auto"/>
              </w:divBdr>
              <w:divsChild>
                <w:div w:id="1356954425">
                  <w:marLeft w:val="0"/>
                  <w:marRight w:val="0"/>
                  <w:marTop w:val="0"/>
                  <w:marBottom w:val="0"/>
                  <w:divBdr>
                    <w:top w:val="none" w:sz="0" w:space="0" w:color="auto"/>
                    <w:left w:val="none" w:sz="0" w:space="0" w:color="auto"/>
                    <w:bottom w:val="none" w:sz="0" w:space="0" w:color="auto"/>
                    <w:right w:val="none" w:sz="0" w:space="0" w:color="auto"/>
                  </w:divBdr>
                  <w:divsChild>
                    <w:div w:id="948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57639">
      <w:bodyDiv w:val="1"/>
      <w:marLeft w:val="0"/>
      <w:marRight w:val="0"/>
      <w:marTop w:val="0"/>
      <w:marBottom w:val="0"/>
      <w:divBdr>
        <w:top w:val="none" w:sz="0" w:space="0" w:color="auto"/>
        <w:left w:val="none" w:sz="0" w:space="0" w:color="auto"/>
        <w:bottom w:val="none" w:sz="0" w:space="0" w:color="auto"/>
        <w:right w:val="none" w:sz="0" w:space="0" w:color="auto"/>
      </w:divBdr>
    </w:div>
    <w:div w:id="2035643651">
      <w:bodyDiv w:val="1"/>
      <w:marLeft w:val="0"/>
      <w:marRight w:val="0"/>
      <w:marTop w:val="0"/>
      <w:marBottom w:val="0"/>
      <w:divBdr>
        <w:top w:val="none" w:sz="0" w:space="0" w:color="auto"/>
        <w:left w:val="none" w:sz="0" w:space="0" w:color="auto"/>
        <w:bottom w:val="none" w:sz="0" w:space="0" w:color="auto"/>
        <w:right w:val="none" w:sz="0" w:space="0" w:color="auto"/>
      </w:divBdr>
    </w:div>
    <w:div w:id="2063289615">
      <w:bodyDiv w:val="1"/>
      <w:marLeft w:val="0"/>
      <w:marRight w:val="0"/>
      <w:marTop w:val="0"/>
      <w:marBottom w:val="0"/>
      <w:divBdr>
        <w:top w:val="none" w:sz="0" w:space="0" w:color="auto"/>
        <w:left w:val="none" w:sz="0" w:space="0" w:color="auto"/>
        <w:bottom w:val="none" w:sz="0" w:space="0" w:color="auto"/>
        <w:right w:val="none" w:sz="0" w:space="0" w:color="auto"/>
      </w:divBdr>
    </w:div>
    <w:div w:id="2068408296">
      <w:bodyDiv w:val="1"/>
      <w:marLeft w:val="0"/>
      <w:marRight w:val="0"/>
      <w:marTop w:val="0"/>
      <w:marBottom w:val="0"/>
      <w:divBdr>
        <w:top w:val="none" w:sz="0" w:space="0" w:color="auto"/>
        <w:left w:val="none" w:sz="0" w:space="0" w:color="auto"/>
        <w:bottom w:val="none" w:sz="0" w:space="0" w:color="auto"/>
        <w:right w:val="none" w:sz="0" w:space="0" w:color="auto"/>
      </w:divBdr>
    </w:div>
    <w:div w:id="2083479253">
      <w:bodyDiv w:val="1"/>
      <w:marLeft w:val="0"/>
      <w:marRight w:val="0"/>
      <w:marTop w:val="0"/>
      <w:marBottom w:val="0"/>
      <w:divBdr>
        <w:top w:val="none" w:sz="0" w:space="0" w:color="auto"/>
        <w:left w:val="none" w:sz="0" w:space="0" w:color="auto"/>
        <w:bottom w:val="none" w:sz="0" w:space="0" w:color="auto"/>
        <w:right w:val="none" w:sz="0" w:space="0" w:color="auto"/>
      </w:divBdr>
    </w:div>
    <w:div w:id="214022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16/j.fct.2022.11359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80/15569543.2020.181810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biopha.2021.111732" TargetMode="External"/><Relationship Id="rId5" Type="http://schemas.openxmlformats.org/officeDocument/2006/relationships/image" Target="media/image1.png"/><Relationship Id="rId15" Type="http://schemas.openxmlformats.org/officeDocument/2006/relationships/hyperlink" Target="https://doi.org/10.9734/ajbgmb/2024/v16i6380" TargetMode="External"/><Relationship Id="rId10" Type="http://schemas.openxmlformats.org/officeDocument/2006/relationships/hyperlink" Target="https://dx.doi.org/10.13005/bpj/2397" TargetMode="External"/><Relationship Id="rId4" Type="http://schemas.openxmlformats.org/officeDocument/2006/relationships/webSettings" Target="webSettings.xml"/><Relationship Id="rId9" Type="http://schemas.openxmlformats.org/officeDocument/2006/relationships/hyperlink" Target="https://doi.org/10.1080/17425255.2023.2223959" TargetMode="External"/><Relationship Id="rId14" Type="http://schemas.openxmlformats.org/officeDocument/2006/relationships/hyperlink" Target="https://doi.org/10.9734/JPRI/2018/46204"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7</Pages>
  <Words>3548</Words>
  <Characters>20230</Characters>
  <Application>Microsoft Office Word</Application>
  <DocSecurity>0</DocSecurity>
  <Lines>168</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20</cp:revision>
  <dcterms:created xsi:type="dcterms:W3CDTF">2025-11-19T09:03:00Z</dcterms:created>
  <dcterms:modified xsi:type="dcterms:W3CDTF">2025-12-12T11:24:00Z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b277713e-a7ee-4ec5-bd7c-079997cd1127</vt:lpwstr>
  </property>
</Properties>
</file>