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DBC" w:rsidRPr="00186843" w:rsidRDefault="00661CEA" w:rsidP="00661CEA">
      <w:pPr>
        <w:rPr>
          <w:rFonts w:ascii="Arial" w:hAnsi="Arial" w:cs="Arial"/>
          <w:b/>
          <w:sz w:val="36"/>
          <w:szCs w:val="36"/>
        </w:rPr>
      </w:pPr>
      <w:r w:rsidRPr="00186843">
        <w:rPr>
          <w:rFonts w:ascii="Arial" w:hAnsi="Arial" w:cs="Arial"/>
          <w:b/>
          <w:sz w:val="36"/>
          <w:szCs w:val="36"/>
        </w:rPr>
        <w:t xml:space="preserve">Biochemical </w:t>
      </w:r>
      <w:proofErr w:type="spellStart"/>
      <w:r w:rsidRPr="00186843">
        <w:rPr>
          <w:rFonts w:ascii="Arial" w:hAnsi="Arial" w:cs="Arial"/>
          <w:b/>
          <w:sz w:val="36"/>
          <w:szCs w:val="36"/>
        </w:rPr>
        <w:t>Asessment</w:t>
      </w:r>
      <w:proofErr w:type="spellEnd"/>
      <w:r w:rsidRPr="00186843">
        <w:rPr>
          <w:rFonts w:ascii="Arial" w:hAnsi="Arial" w:cs="Arial"/>
          <w:b/>
          <w:sz w:val="36"/>
          <w:szCs w:val="36"/>
        </w:rPr>
        <w:t xml:space="preserve"> of Diabetes Nephropathy in Newly Diagnosed Diabetes Mellitus Patient in </w:t>
      </w:r>
      <w:proofErr w:type="spellStart"/>
      <w:r w:rsidRPr="00186843">
        <w:rPr>
          <w:rFonts w:ascii="Arial" w:hAnsi="Arial" w:cs="Arial"/>
          <w:b/>
          <w:sz w:val="36"/>
          <w:szCs w:val="36"/>
        </w:rPr>
        <w:t>Ogbomoso</w:t>
      </w:r>
      <w:proofErr w:type="spellEnd"/>
    </w:p>
    <w:p w:rsidR="00D0410A" w:rsidRPr="00186843" w:rsidRDefault="00D0410A" w:rsidP="001E2302">
      <w:pPr>
        <w:spacing w:line="480" w:lineRule="auto"/>
        <w:jc w:val="both"/>
        <w:rPr>
          <w:rFonts w:ascii="Arial" w:hAnsi="Arial" w:cs="Arial"/>
          <w:b/>
          <w:bCs/>
          <w:sz w:val="22"/>
          <w:szCs w:val="22"/>
        </w:rPr>
      </w:pPr>
      <w:r w:rsidRPr="00186843">
        <w:rPr>
          <w:rFonts w:ascii="Arial" w:eastAsia="Times New Roman" w:hAnsi="Arial" w:cs="Arial"/>
          <w:b/>
          <w:noProof/>
          <w:color w:val="000000"/>
          <w:sz w:val="22"/>
          <w:szCs w:val="22"/>
        </w:rPr>
        <w:lastRenderedPageBreak/>
        <mc:AlternateContent>
          <mc:Choice Requires="wps">
            <w:drawing>
              <wp:anchor distT="0" distB="0" distL="114300" distR="114300" simplePos="0" relativeHeight="251665408" behindDoc="0" locked="0" layoutInCell="1" allowOverlap="1" wp14:anchorId="52AD81F6" wp14:editId="655F9E18">
                <wp:simplePos x="0" y="0"/>
                <wp:positionH relativeFrom="margin">
                  <wp:posOffset>-22860</wp:posOffset>
                </wp:positionH>
                <wp:positionV relativeFrom="paragraph">
                  <wp:posOffset>238125</wp:posOffset>
                </wp:positionV>
                <wp:extent cx="5629275" cy="7134225"/>
                <wp:effectExtent l="0" t="0" r="28575" b="28575"/>
                <wp:wrapTopAndBottom/>
                <wp:docPr id="1187276456" name="Text Box 4"/>
                <wp:cNvGraphicFramePr/>
                <a:graphic xmlns:a="http://schemas.openxmlformats.org/drawingml/2006/main">
                  <a:graphicData uri="http://schemas.microsoft.com/office/word/2010/wordprocessingShape">
                    <wps:wsp>
                      <wps:cNvSpPr txBox="1"/>
                      <wps:spPr>
                        <a:xfrm>
                          <a:off x="0" y="0"/>
                          <a:ext cx="5629275" cy="7134225"/>
                        </a:xfrm>
                        <a:prstGeom prst="rect">
                          <a:avLst/>
                        </a:prstGeom>
                        <a:solidFill>
                          <a:schemeClr val="lt1"/>
                        </a:solidFill>
                        <a:ln w="6350">
                          <a:solidFill>
                            <a:prstClr val="black"/>
                          </a:solidFill>
                        </a:ln>
                      </wps:spPr>
                      <wps:txb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81F6" id="_x0000_t202" coordsize="21600,21600" o:spt="202" path="m,l,21600r21600,l21600,xe">
                <v:stroke joinstyle="miter"/>
                <v:path gradientshapeok="t" o:connecttype="rect"/>
              </v:shapetype>
              <v:shape id="Text Box 4" o:spid="_x0000_s1026" type="#_x0000_t202" style="position:absolute;left:0;text-align:left;margin-left:-1.8pt;margin-top:18.75pt;width:443.25pt;height:56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" fillcolor="white [3201]" strokeweight=".5pt">
                <v:textbo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v:textbox>
                <w10:wrap type="topAndBottom" anchorx="margin"/>
              </v:shape>
            </w:pict>
          </mc:Fallback>
        </mc:AlternateContent>
      </w:r>
      <w:r w:rsidRPr="00186843">
        <w:rPr>
          <w:rFonts w:ascii="Arial" w:eastAsia="Times New Roman" w:hAnsi="Arial" w:cs="Arial"/>
          <w:b/>
          <w:color w:val="000000"/>
          <w:sz w:val="22"/>
          <w:szCs w:val="22"/>
        </w:rPr>
        <w:t>ABSTRACT</w:t>
      </w:r>
    </w:p>
    <w:p w:rsidR="00D0410A" w:rsidRPr="00186843" w:rsidRDefault="00D0410A" w:rsidP="00D0410A">
      <w:pPr>
        <w:rPr>
          <w:rFonts w:ascii="Arial" w:hAnsi="Arial" w:cs="Arial"/>
          <w:sz w:val="20"/>
          <w:szCs w:val="20"/>
        </w:rPr>
      </w:pPr>
      <w:r w:rsidRPr="00186843">
        <w:rPr>
          <w:rFonts w:ascii="Arial" w:hAnsi="Arial" w:cs="Arial"/>
          <w:sz w:val="20"/>
          <w:szCs w:val="20"/>
        </w:rPr>
        <w:t>KEYWORDS:</w:t>
      </w:r>
      <w:r w:rsidR="00947F8E" w:rsidRPr="00186843">
        <w:rPr>
          <w:rFonts w:ascii="Arial" w:hAnsi="Arial" w:cs="Arial"/>
          <w:sz w:val="20"/>
          <w:szCs w:val="20"/>
        </w:rPr>
        <w:t xml:space="preserve"> </w:t>
      </w:r>
      <w:r w:rsidRPr="00186843">
        <w:rPr>
          <w:rFonts w:ascii="Arial" w:hAnsi="Arial" w:cs="Arial"/>
          <w:sz w:val="20"/>
          <w:szCs w:val="20"/>
        </w:rPr>
        <w:t xml:space="preserve">Diabetes Mellitus, Diabetes Nephropathy, renal biomarkers, Cystatin-C, </w:t>
      </w:r>
    </w:p>
    <w:p w:rsidR="008D0EBA" w:rsidRPr="00186843" w:rsidRDefault="00D16725" w:rsidP="007B7ADF">
      <w:pPr>
        <w:pStyle w:val="Heading1"/>
      </w:pPr>
      <w:r w:rsidRPr="00186843">
        <w:lastRenderedPageBreak/>
        <w:t xml:space="preserve">1.0 </w:t>
      </w:r>
      <w:r w:rsidR="001E2302" w:rsidRPr="00186843">
        <w:t>INTRODUCTION</w:t>
      </w:r>
    </w:p>
    <w:p w:rsidR="001E2302" w:rsidRPr="00186843" w:rsidRDefault="001E2302" w:rsidP="001E2302">
      <w:pPr>
        <w:spacing w:line="480" w:lineRule="auto"/>
        <w:jc w:val="both"/>
        <w:rPr>
          <w:rFonts w:ascii="Arial" w:hAnsi="Arial" w:cs="Arial"/>
          <w:sz w:val="20"/>
          <w:szCs w:val="20"/>
        </w:rPr>
      </w:pPr>
      <w:r w:rsidRPr="00186843">
        <w:rPr>
          <w:rFonts w:ascii="Arial" w:hAnsi="Arial" w:cs="Arial"/>
          <w:sz w:val="20"/>
          <w:szCs w:val="20"/>
        </w:rPr>
        <w:t>Diabetic nephropathy (DN) is one of the most common and serious complications of diabetes mellitus, responsible for a large portion of chronic kidney disease cases worldwide. It develops gradually as prolonged high blood glucose levels damage the small blood vessels in the kidneys, reducing their ability to filter waste products effectively. This damage often begins silently, with no noticeable symptoms until kidney function is already impaired. The first biochemical sign of DN is usually the appearance of small amounts of albumin in the urine, known as microalbuminuria, which indicates early glomerular injury (</w:t>
      </w:r>
      <w:r w:rsidR="00AD07AA" w:rsidRPr="00186843">
        <w:rPr>
          <w:rFonts w:ascii="Arial" w:hAnsi="Arial" w:cs="Arial"/>
          <w:sz w:val="20"/>
          <w:szCs w:val="20"/>
        </w:rPr>
        <w:t>Balu et al., 2022</w:t>
      </w:r>
      <w:r w:rsidRPr="00186843">
        <w:rPr>
          <w:rFonts w:ascii="Arial" w:hAnsi="Arial" w:cs="Arial"/>
          <w:sz w:val="20"/>
          <w:szCs w:val="20"/>
        </w:rPr>
        <w:t>). If left unmanaged, microalbuminuria can progress to macroalbuminuria and eventually to end-stage renal disease (ESRD), requiring dialysis or transplantation (Selby &amp; Taal, 2020). DN not only contributes to renal failure but also increases cardiovascular risk and overall mortality among diabetic patients. Early detection through biochemical screening is therefore essential to prevent irreversible kidney damage and improve long-term outcomes (</w:t>
      </w:r>
      <w:r w:rsidR="00B51157" w:rsidRPr="00186843">
        <w:rPr>
          <w:rFonts w:ascii="Arial" w:hAnsi="Arial" w:cs="Arial"/>
          <w:sz w:val="20"/>
          <w:szCs w:val="20"/>
        </w:rPr>
        <w:t>Ibrahim</w:t>
      </w:r>
      <w:r w:rsidRPr="00186843">
        <w:rPr>
          <w:rFonts w:ascii="Arial" w:hAnsi="Arial" w:cs="Arial"/>
          <w:sz w:val="20"/>
          <w:szCs w:val="20"/>
        </w:rPr>
        <w:t xml:space="preserve"> et al., 202</w:t>
      </w:r>
      <w:r w:rsidR="00B51157" w:rsidRPr="00186843">
        <w:rPr>
          <w:rFonts w:ascii="Arial" w:hAnsi="Arial" w:cs="Arial"/>
          <w:sz w:val="20"/>
          <w:szCs w:val="20"/>
        </w:rPr>
        <w:t>4</w:t>
      </w:r>
      <w:r w:rsidRPr="00186843">
        <w:rPr>
          <w:rFonts w:ascii="Arial" w:hAnsi="Arial" w:cs="Arial"/>
          <w:sz w:val="20"/>
          <w:szCs w:val="20"/>
        </w:rPr>
        <w:t>).</w:t>
      </w:r>
    </w:p>
    <w:p w:rsidR="001E2302" w:rsidRPr="00186843" w:rsidRDefault="001E2302" w:rsidP="001E2302">
      <w:pPr>
        <w:spacing w:line="480" w:lineRule="auto"/>
        <w:jc w:val="both"/>
        <w:rPr>
          <w:rFonts w:ascii="Arial" w:hAnsi="Arial" w:cs="Arial"/>
          <w:vanish/>
          <w:sz w:val="20"/>
          <w:szCs w:val="20"/>
        </w:rPr>
      </w:pPr>
      <w:r w:rsidRPr="00186843">
        <w:rPr>
          <w:rFonts w:ascii="Arial" w:hAnsi="Arial" w:cs="Arial"/>
          <w:vanish/>
          <w:sz w:val="20"/>
          <w:szCs w:val="20"/>
        </w:rPr>
        <w:t>Top of Form</w:t>
      </w:r>
    </w:p>
    <w:p w:rsidR="001E2302" w:rsidRPr="00186843" w:rsidRDefault="001E2302" w:rsidP="001E2302">
      <w:pPr>
        <w:spacing w:line="480" w:lineRule="auto"/>
        <w:jc w:val="both"/>
        <w:rPr>
          <w:rFonts w:ascii="Arial" w:hAnsi="Arial" w:cs="Arial"/>
          <w:vanish/>
          <w:sz w:val="20"/>
          <w:szCs w:val="20"/>
        </w:rPr>
      </w:pPr>
      <w:r w:rsidRPr="00186843">
        <w:rPr>
          <w:rFonts w:ascii="Arial" w:hAnsi="Arial" w:cs="Arial"/>
          <w:vanish/>
          <w:sz w:val="20"/>
          <w:szCs w:val="20"/>
        </w:rPr>
        <w:t>Bottom of Form</w:t>
      </w:r>
    </w:p>
    <w:p w:rsidR="00EB6B6C" w:rsidRPr="00186843" w:rsidRDefault="001E2302" w:rsidP="00EB6B6C">
      <w:pPr>
        <w:spacing w:line="480" w:lineRule="auto"/>
        <w:jc w:val="both"/>
        <w:rPr>
          <w:rFonts w:ascii="Arial" w:hAnsi="Arial" w:cs="Arial"/>
          <w:sz w:val="20"/>
          <w:szCs w:val="20"/>
        </w:rPr>
      </w:pPr>
      <w:r w:rsidRPr="00186843">
        <w:rPr>
          <w:rFonts w:ascii="Arial" w:hAnsi="Arial" w:cs="Arial"/>
          <w:sz w:val="20"/>
          <w:szCs w:val="20"/>
        </w:rPr>
        <w:t xml:space="preserve">In </w:t>
      </w:r>
      <w:r w:rsidR="00A67B8F" w:rsidRPr="00186843">
        <w:rPr>
          <w:rFonts w:ascii="Arial" w:hAnsi="Arial" w:cs="Arial"/>
          <w:sz w:val="20"/>
          <w:szCs w:val="20"/>
        </w:rPr>
        <w:t>developed</w:t>
      </w:r>
      <w:r w:rsidRPr="00186843">
        <w:rPr>
          <w:rFonts w:ascii="Arial" w:hAnsi="Arial" w:cs="Arial"/>
          <w:sz w:val="20"/>
          <w:szCs w:val="20"/>
        </w:rPr>
        <w:t xml:space="preserve"> countries, structured screening and early intervention have improved detection rates, but in </w:t>
      </w:r>
      <w:r w:rsidR="00A67B8F" w:rsidRPr="00186843">
        <w:rPr>
          <w:rFonts w:ascii="Arial" w:hAnsi="Arial" w:cs="Arial"/>
          <w:sz w:val="20"/>
          <w:szCs w:val="20"/>
        </w:rPr>
        <w:t>underdeveloped</w:t>
      </w:r>
      <w:r w:rsidRPr="00186843">
        <w:rPr>
          <w:rFonts w:ascii="Arial" w:hAnsi="Arial" w:cs="Arial"/>
          <w:sz w:val="20"/>
          <w:szCs w:val="20"/>
        </w:rPr>
        <w:t xml:space="preserve"> nations, these systems are often inadequate (</w:t>
      </w:r>
      <w:r w:rsidR="00B51157" w:rsidRPr="00186843">
        <w:rPr>
          <w:rFonts w:ascii="Arial" w:hAnsi="Arial" w:cs="Arial"/>
          <w:sz w:val="20"/>
          <w:szCs w:val="20"/>
        </w:rPr>
        <w:t>George</w:t>
      </w:r>
      <w:r w:rsidRPr="00186843">
        <w:rPr>
          <w:rFonts w:ascii="Arial" w:hAnsi="Arial" w:cs="Arial"/>
          <w:sz w:val="20"/>
          <w:szCs w:val="20"/>
        </w:rPr>
        <w:t xml:space="preserve"> et al., 2022; </w:t>
      </w:r>
      <w:r w:rsidR="00B51157" w:rsidRPr="00186843">
        <w:rPr>
          <w:rFonts w:ascii="Arial" w:hAnsi="Arial" w:cs="Arial"/>
          <w:sz w:val="20"/>
          <w:szCs w:val="20"/>
        </w:rPr>
        <w:t>Bello</w:t>
      </w:r>
      <w:r w:rsidRPr="00186843">
        <w:rPr>
          <w:rFonts w:ascii="Arial" w:hAnsi="Arial" w:cs="Arial"/>
          <w:sz w:val="20"/>
          <w:szCs w:val="20"/>
        </w:rPr>
        <w:t xml:space="preserve"> et al., 202</w:t>
      </w:r>
      <w:r w:rsidR="00B51157" w:rsidRPr="00186843">
        <w:rPr>
          <w:rFonts w:ascii="Arial" w:hAnsi="Arial" w:cs="Arial"/>
          <w:sz w:val="20"/>
          <w:szCs w:val="20"/>
        </w:rPr>
        <w:t>4</w:t>
      </w:r>
      <w:r w:rsidRPr="00186843">
        <w:rPr>
          <w:rFonts w:ascii="Arial" w:hAnsi="Arial" w:cs="Arial"/>
          <w:sz w:val="20"/>
          <w:szCs w:val="20"/>
        </w:rPr>
        <w:t xml:space="preserve">). </w:t>
      </w:r>
      <w:r w:rsidR="00B1016D" w:rsidRPr="00186843">
        <w:rPr>
          <w:rFonts w:ascii="Arial" w:hAnsi="Arial" w:cs="Arial"/>
          <w:sz w:val="20"/>
          <w:szCs w:val="20"/>
        </w:rPr>
        <w:t xml:space="preserve">The diagnosis of diabetic nephropathy (DN) is often delayed because the early stages of the disease are largely asymptomatic, and routine screening is not always prioritized in diabetes management programs. </w:t>
      </w:r>
      <w:r w:rsidR="00A67B8F" w:rsidRPr="00186843">
        <w:rPr>
          <w:rFonts w:ascii="Arial" w:hAnsi="Arial" w:cs="Arial"/>
          <w:sz w:val="20"/>
          <w:szCs w:val="20"/>
        </w:rPr>
        <w:t xml:space="preserve">In Nigeria, where healthcare access remains uneven, many individuals are unaware of their diabetic status until complications such as DN develop. </w:t>
      </w:r>
      <w:r w:rsidRPr="00186843">
        <w:rPr>
          <w:rFonts w:ascii="Arial" w:hAnsi="Arial" w:cs="Arial"/>
          <w:sz w:val="20"/>
          <w:szCs w:val="20"/>
        </w:rPr>
        <w:t>Limited healthcare infrastructure, cost barriers, and low awareness contribute to late diagnosis and poor outcomes (</w:t>
      </w:r>
      <w:proofErr w:type="spellStart"/>
      <w:r w:rsidR="00B51157" w:rsidRPr="00186843">
        <w:rPr>
          <w:rFonts w:ascii="Arial" w:hAnsi="Arial" w:cs="Arial"/>
          <w:sz w:val="20"/>
          <w:szCs w:val="20"/>
        </w:rPr>
        <w:t>Ozioko</w:t>
      </w:r>
      <w:proofErr w:type="spellEnd"/>
      <w:r w:rsidR="00B51157" w:rsidRPr="00186843">
        <w:rPr>
          <w:rFonts w:ascii="Arial" w:hAnsi="Arial" w:cs="Arial"/>
          <w:sz w:val="20"/>
          <w:szCs w:val="20"/>
        </w:rPr>
        <w:t xml:space="preserve"> &amp; </w:t>
      </w:r>
      <w:proofErr w:type="spellStart"/>
      <w:r w:rsidR="00B51157" w:rsidRPr="00186843">
        <w:rPr>
          <w:rFonts w:ascii="Arial" w:hAnsi="Arial" w:cs="Arial"/>
          <w:sz w:val="20"/>
          <w:szCs w:val="20"/>
        </w:rPr>
        <w:t>Kamalakannan</w:t>
      </w:r>
      <w:proofErr w:type="spellEnd"/>
      <w:r w:rsidR="00B51157" w:rsidRPr="00186843">
        <w:rPr>
          <w:rFonts w:ascii="Arial" w:hAnsi="Arial" w:cs="Arial"/>
          <w:sz w:val="20"/>
          <w:szCs w:val="20"/>
        </w:rPr>
        <w:t>, 2024</w:t>
      </w:r>
      <w:r w:rsidRPr="00186843">
        <w:rPr>
          <w:rFonts w:ascii="Arial" w:hAnsi="Arial" w:cs="Arial"/>
          <w:sz w:val="20"/>
          <w:szCs w:val="20"/>
        </w:rPr>
        <w:t xml:space="preserve">). Rural populations are especially affected because diagnostic tests like microalbuminuria and cystatin C are rarely available outside tertiary hospitals. </w:t>
      </w:r>
      <w:r w:rsidR="00A67B8F" w:rsidRPr="00186843">
        <w:rPr>
          <w:rFonts w:ascii="Arial" w:hAnsi="Arial" w:cs="Arial"/>
          <w:sz w:val="20"/>
          <w:szCs w:val="20"/>
        </w:rPr>
        <w:t>Although urine dipstick testing is widely available and inexpensive, it cannot detect microalbuminuria (less than 300 mg/g) and therefore misses the earliest stage of diabetic nephropathy</w:t>
      </w:r>
      <w:r w:rsidR="00EB6B6C" w:rsidRPr="00186843">
        <w:rPr>
          <w:rFonts w:ascii="Arial" w:hAnsi="Arial" w:cs="Arial"/>
          <w:sz w:val="20"/>
          <w:szCs w:val="20"/>
        </w:rPr>
        <w:t xml:space="preserve"> (</w:t>
      </w:r>
      <w:proofErr w:type="spellStart"/>
      <w:r w:rsidR="00EB6B6C" w:rsidRPr="00186843">
        <w:rPr>
          <w:rFonts w:ascii="Arial" w:hAnsi="Arial" w:cs="Arial"/>
          <w:sz w:val="20"/>
          <w:szCs w:val="20"/>
        </w:rPr>
        <w:t>Sueud</w:t>
      </w:r>
      <w:proofErr w:type="spellEnd"/>
      <w:r w:rsidR="00EB6B6C" w:rsidRPr="00186843">
        <w:rPr>
          <w:rFonts w:ascii="Arial" w:hAnsi="Arial" w:cs="Arial"/>
          <w:sz w:val="20"/>
          <w:szCs w:val="20"/>
        </w:rPr>
        <w:t xml:space="preserve"> et al., 2019; Bello et al., 2024).</w:t>
      </w:r>
    </w:p>
    <w:p w:rsidR="00EB6B6C" w:rsidRPr="00186843" w:rsidRDefault="00EB6B6C" w:rsidP="00EB6B6C">
      <w:pPr>
        <w:spacing w:line="480" w:lineRule="auto"/>
        <w:jc w:val="both"/>
        <w:rPr>
          <w:rFonts w:ascii="Arial" w:hAnsi="Arial" w:cs="Arial"/>
          <w:sz w:val="20"/>
          <w:szCs w:val="20"/>
        </w:rPr>
      </w:pPr>
      <w:r w:rsidRPr="00186843">
        <w:rPr>
          <w:rFonts w:ascii="Arial" w:hAnsi="Arial" w:cs="Arial"/>
          <w:sz w:val="20"/>
          <w:szCs w:val="20"/>
        </w:rPr>
        <w:lastRenderedPageBreak/>
        <w:t>Even in hospitals across urban centers where traditional biomarkers like serum creatinine and microalbuminuria are widely used, they sometimes fail to identify early kidney damage. Serum creatinine levels may remain normal until about half of kidney function is lost, while microalbuminuria can fluctuate with factors like infection, fever and exercise (Balu et al., 2022). Cystatin C, however, is less affected by age, muscle mass, or hydration and rises earlier in renal dysfunction, making it a more sensitive marker for early nephropathy (</w:t>
      </w:r>
      <w:proofErr w:type="spellStart"/>
      <w:r w:rsidRPr="00186843">
        <w:rPr>
          <w:rFonts w:ascii="Arial" w:hAnsi="Arial" w:cs="Arial"/>
          <w:sz w:val="20"/>
          <w:szCs w:val="20"/>
        </w:rPr>
        <w:t>Dastidar</w:t>
      </w:r>
      <w:proofErr w:type="spellEnd"/>
      <w:r w:rsidRPr="00186843">
        <w:rPr>
          <w:rFonts w:ascii="Arial" w:hAnsi="Arial" w:cs="Arial"/>
          <w:sz w:val="20"/>
          <w:szCs w:val="20"/>
        </w:rPr>
        <w:t xml:space="preserve"> et al., 2024). Its stability and strong correlation with glomerular filtration rate enhance diagnostic accuracy compared to traditional markers (Amelia et al., 2022).</w:t>
      </w:r>
    </w:p>
    <w:p w:rsidR="00947F8E" w:rsidRPr="00186843" w:rsidRDefault="001E2302" w:rsidP="00947F8E">
      <w:pPr>
        <w:spacing w:after="0" w:line="480" w:lineRule="auto"/>
        <w:jc w:val="both"/>
        <w:rPr>
          <w:rFonts w:ascii="Arial" w:hAnsi="Arial" w:cs="Arial"/>
          <w:sz w:val="20"/>
          <w:szCs w:val="20"/>
        </w:rPr>
      </w:pPr>
      <w:r w:rsidRPr="00186843">
        <w:rPr>
          <w:rFonts w:ascii="Arial" w:hAnsi="Arial" w:cs="Arial"/>
          <w:sz w:val="20"/>
          <w:szCs w:val="20"/>
        </w:rPr>
        <w:t>This study aim</w:t>
      </w:r>
      <w:r w:rsidR="00D16725" w:rsidRPr="00186843">
        <w:rPr>
          <w:rFonts w:ascii="Arial" w:hAnsi="Arial" w:cs="Arial"/>
          <w:sz w:val="20"/>
          <w:szCs w:val="20"/>
        </w:rPr>
        <w:t>ed</w:t>
      </w:r>
      <w:r w:rsidRPr="00186843">
        <w:rPr>
          <w:rFonts w:ascii="Arial" w:hAnsi="Arial" w:cs="Arial"/>
          <w:sz w:val="20"/>
          <w:szCs w:val="20"/>
        </w:rPr>
        <w:t xml:space="preserve"> to compare and rank the diagnostic performance of cystatin C, microalbumin, and serum creatinine in detecting early diabetic nephropathy among newly diagnosed diabetes mellitus patients in Ogbomoso, Nigeria. By identifying the biomarker with the highest sensitivity and specificity, the research seeks to provide evidence for more reliable screening in low-resource settings. </w:t>
      </w:r>
    </w:p>
    <w:p w:rsidR="00CB2DA4" w:rsidRPr="00186843" w:rsidRDefault="00D16725" w:rsidP="007B7ADF">
      <w:pPr>
        <w:pStyle w:val="Heading1"/>
        <w:rPr>
          <w:rFonts w:eastAsiaTheme="minorHAnsi"/>
          <w:kern w:val="2"/>
          <w14:ligatures w14:val="standardContextual"/>
        </w:rPr>
      </w:pPr>
      <w:r w:rsidRPr="00186843">
        <w:t>2.0 METHODOLOGY</w:t>
      </w:r>
    </w:p>
    <w:p w:rsidR="00947F8E" w:rsidRPr="00186843" w:rsidRDefault="005E1899" w:rsidP="007B7ADF">
      <w:pPr>
        <w:pStyle w:val="Heading2"/>
      </w:pPr>
      <w:r w:rsidRPr="00186843">
        <w:t xml:space="preserve">2.1 </w:t>
      </w:r>
      <w:r w:rsidR="00CB2DA4" w:rsidRPr="00186843">
        <w:t>St</w:t>
      </w:r>
      <w:r w:rsidR="00947F8E" w:rsidRPr="00186843">
        <w:t>u</w:t>
      </w:r>
      <w:r w:rsidR="00CB2DA4" w:rsidRPr="00186843">
        <w:t>dy Design</w:t>
      </w:r>
    </w:p>
    <w:p w:rsidR="00CB2DA4" w:rsidRPr="00186843" w:rsidRDefault="00CB2DA4" w:rsidP="00491B4A">
      <w:pPr>
        <w:spacing w:line="360" w:lineRule="auto"/>
        <w:rPr>
          <w:rFonts w:ascii="Arial" w:hAnsi="Arial" w:cs="Arial"/>
          <w:sz w:val="20"/>
          <w:szCs w:val="20"/>
        </w:rPr>
      </w:pPr>
      <w:r w:rsidRPr="00186843">
        <w:rPr>
          <w:rFonts w:ascii="Arial" w:hAnsi="Arial" w:cs="Arial"/>
          <w:sz w:val="20"/>
          <w:szCs w:val="20"/>
        </w:rPr>
        <w:t>A cross-sectional descriptive design was used to determine the prevalence and predictors of diabetic nephropathy (DN) among newly diagnosed diabetic patients. Data were collected at a single time point to identify early indicators of DN and explore related risk factors such as obesity and glycemic status.</w:t>
      </w:r>
    </w:p>
    <w:p w:rsidR="00491B4A" w:rsidRPr="00186843" w:rsidRDefault="00491B4A" w:rsidP="00491B4A">
      <w:pPr>
        <w:spacing w:line="360" w:lineRule="auto"/>
        <w:rPr>
          <w:rFonts w:ascii="Arial" w:hAnsi="Arial" w:cs="Arial"/>
          <w:sz w:val="20"/>
          <w:szCs w:val="20"/>
        </w:rPr>
      </w:pPr>
    </w:p>
    <w:p w:rsidR="00491B4A" w:rsidRPr="00186843" w:rsidRDefault="00491B4A" w:rsidP="00491B4A">
      <w:pPr>
        <w:spacing w:line="360" w:lineRule="auto"/>
        <w:rPr>
          <w:rFonts w:ascii="Arial" w:hAnsi="Arial" w:cs="Arial"/>
          <w:sz w:val="20"/>
          <w:szCs w:val="20"/>
        </w:rPr>
      </w:pPr>
    </w:p>
    <w:p w:rsidR="00CB2DA4" w:rsidRPr="00186843" w:rsidRDefault="005E1899" w:rsidP="007B7ADF">
      <w:pPr>
        <w:pStyle w:val="Heading2"/>
      </w:pPr>
      <w:r w:rsidRPr="00186843">
        <w:t xml:space="preserve">2.2 </w:t>
      </w:r>
      <w:r w:rsidR="00CB2DA4" w:rsidRPr="00186843">
        <w:t>Study Population</w:t>
      </w:r>
    </w:p>
    <w:p w:rsidR="00491B4A" w:rsidRPr="00186843" w:rsidRDefault="00C32B0A" w:rsidP="00491B4A">
      <w:pPr>
        <w:spacing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Adults aged 18 years and above, residing in Ogbomoso and willing to sign the informed consent form constituted population for this research. Newly diagnosed DM subjects were recruited for the study at Bowen University Teaching hospital, Ogbomoso, Nigeria and a village medical outreach in </w:t>
      </w:r>
      <w:proofErr w:type="spellStart"/>
      <w:r w:rsidRPr="00186843">
        <w:rPr>
          <w:rFonts w:ascii="Arial" w:eastAsia="Times New Roman" w:hAnsi="Arial" w:cs="Arial"/>
          <w:kern w:val="0"/>
          <w:sz w:val="20"/>
          <w:szCs w:val="20"/>
          <w14:ligatures w14:val="none"/>
        </w:rPr>
        <w:t>Iluju</w:t>
      </w:r>
      <w:proofErr w:type="spellEnd"/>
      <w:r w:rsidRPr="00186843">
        <w:rPr>
          <w:rFonts w:ascii="Arial" w:eastAsia="Times New Roman" w:hAnsi="Arial" w:cs="Arial"/>
          <w:kern w:val="0"/>
          <w:sz w:val="20"/>
          <w:szCs w:val="20"/>
          <w14:ligatures w14:val="none"/>
        </w:rPr>
        <w:t xml:space="preserve">, </w:t>
      </w:r>
      <w:proofErr w:type="spellStart"/>
      <w:r w:rsidRPr="00186843">
        <w:rPr>
          <w:rFonts w:ascii="Arial" w:eastAsia="Times New Roman" w:hAnsi="Arial" w:cs="Arial"/>
          <w:kern w:val="0"/>
          <w:sz w:val="20"/>
          <w:szCs w:val="20"/>
          <w14:ligatures w14:val="none"/>
        </w:rPr>
        <w:t>Ogbomoso</w:t>
      </w:r>
      <w:proofErr w:type="spellEnd"/>
      <w:r w:rsidRPr="00186843">
        <w:rPr>
          <w:rFonts w:ascii="Arial" w:eastAsia="Times New Roman" w:hAnsi="Arial" w:cs="Arial"/>
          <w:kern w:val="0"/>
          <w:sz w:val="20"/>
          <w:szCs w:val="20"/>
          <w14:ligatures w14:val="none"/>
        </w:rPr>
        <w:t xml:space="preserve">. </w:t>
      </w:r>
      <w:r w:rsidR="00D4523B" w:rsidRPr="00186843">
        <w:rPr>
          <w:rFonts w:ascii="Arial" w:eastAsia="Times New Roman" w:hAnsi="Arial" w:cs="Arial"/>
          <w:kern w:val="0"/>
          <w:sz w:val="20"/>
          <w:szCs w:val="20"/>
          <w14:ligatures w14:val="none"/>
        </w:rPr>
        <w:t xml:space="preserve">Participants from hospitals were confirmed as newly diagnosed based on hospital records and those from village outreach were confirmed </w:t>
      </w:r>
      <w:r w:rsidR="00D4523B" w:rsidRPr="00186843">
        <w:rPr>
          <w:rFonts w:ascii="Arial" w:eastAsia="Times New Roman" w:hAnsi="Arial" w:cs="Arial"/>
          <w:kern w:val="0"/>
          <w:sz w:val="20"/>
          <w:szCs w:val="20"/>
          <w14:ligatures w14:val="none"/>
        </w:rPr>
        <w:lastRenderedPageBreak/>
        <w:t xml:space="preserve">though verbal confirmation that they had never received a prior diagnosis or treatment for diabetes. </w:t>
      </w:r>
      <w:r w:rsidRPr="00186843">
        <w:rPr>
          <w:rFonts w:ascii="Arial" w:eastAsia="Times New Roman" w:hAnsi="Arial" w:cs="Arial"/>
          <w:kern w:val="0"/>
          <w:sz w:val="20"/>
          <w:szCs w:val="20"/>
          <w14:ligatures w14:val="none"/>
        </w:rPr>
        <w:t xml:space="preserve">Individuals with known diabetes, diabetic nephropathy, chronic kidney disease, pregnancy, infections, or malignancies were excluded. </w:t>
      </w:r>
    </w:p>
    <w:p w:rsidR="00CB2DA4" w:rsidRPr="00186843" w:rsidRDefault="005E1899" w:rsidP="007B7ADF">
      <w:pPr>
        <w:pStyle w:val="Heading2"/>
      </w:pPr>
      <w:r w:rsidRPr="00186843">
        <w:t xml:space="preserve">2.3 </w:t>
      </w:r>
      <w:r w:rsidR="00CB2DA4" w:rsidRPr="00186843">
        <w:t>Sampling Technique and Sample Size</w:t>
      </w:r>
    </w:p>
    <w:p w:rsidR="00CB2DA4" w:rsidRPr="00186843" w:rsidRDefault="00D4523B" w:rsidP="005E1899">
      <w:pPr>
        <w:spacing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Stratified random</w:t>
      </w:r>
      <w:r w:rsidR="00CB2DA4" w:rsidRPr="00186843">
        <w:rPr>
          <w:rFonts w:ascii="Arial" w:eastAsia="Times New Roman" w:hAnsi="Arial" w:cs="Arial"/>
          <w:kern w:val="0"/>
          <w:sz w:val="20"/>
          <w:szCs w:val="20"/>
          <w14:ligatures w14:val="none"/>
        </w:rPr>
        <w:t xml:space="preserve"> sampling method was used. Newly diagnosed patients were identified from hospital records and invited to participate. </w:t>
      </w:r>
    </w:p>
    <w:p w:rsidR="005E1899" w:rsidRPr="00186843" w:rsidRDefault="00CB2DA4" w:rsidP="00CB2DA4">
      <w:pPr>
        <w:spacing w:line="240" w:lineRule="auto"/>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The sample size was calculated using the formula for prevalence studies, based on an 8.4% DN prevalence (</w:t>
      </w:r>
      <w:proofErr w:type="spellStart"/>
      <w:r w:rsidRPr="00186843">
        <w:rPr>
          <w:rFonts w:ascii="Arial" w:eastAsia="Times New Roman" w:hAnsi="Arial" w:cs="Arial"/>
          <w:kern w:val="0"/>
          <w:sz w:val="20"/>
          <w:szCs w:val="20"/>
          <w14:ligatures w14:val="none"/>
        </w:rPr>
        <w:t>Amisu</w:t>
      </w:r>
      <w:proofErr w:type="spellEnd"/>
      <w:r w:rsidRPr="00186843">
        <w:rPr>
          <w:rFonts w:ascii="Arial" w:eastAsia="Times New Roman" w:hAnsi="Arial" w:cs="Arial"/>
          <w:kern w:val="0"/>
          <w:sz w:val="20"/>
          <w:szCs w:val="20"/>
          <w14:ligatures w14:val="none"/>
        </w:rPr>
        <w:t xml:space="preserve"> et al., 2023),</w:t>
      </w:r>
    </w:p>
    <w:p w:rsidR="00CB2DA4" w:rsidRPr="00186843" w:rsidRDefault="00CB2DA4" w:rsidP="00CB2DA4">
      <w:pPr>
        <w:spacing w:line="240" w:lineRule="auto"/>
        <w:rPr>
          <w:rFonts w:ascii="Times New Roman" w:eastAsia="Calibri" w:hAnsi="Times New Roman" w:cs="Times New Roman"/>
          <w:szCs w:val="22"/>
          <w:u w:val="single"/>
        </w:rPr>
      </w:pPr>
      <w:r w:rsidRPr="00186843">
        <w:rPr>
          <w:rFonts w:ascii="Cambria Math" w:eastAsia="Calibri" w:hAnsi="Cambria Math" w:cs="Times New Roman"/>
          <w:b/>
          <w:i/>
          <w:szCs w:val="22"/>
        </w:rPr>
        <w:t xml:space="preserve"> </w:t>
      </w:r>
      <m:oMath>
        <m:r>
          <m:rPr>
            <m:sty m:val="bi"/>
          </m:rPr>
          <w:rPr>
            <w:rFonts w:ascii="Cambria Math" w:eastAsia="Calibri" w:hAnsi="Cambria Math" w:cs="Times New Roman"/>
            <w:szCs w:val="22"/>
          </w:rPr>
          <m:t>n=</m:t>
        </m:r>
        <m:f>
          <m:fPr>
            <m:ctrlPr>
              <w:rPr>
                <w:rFonts w:ascii="Cambria Math" w:eastAsia="Calibri" w:hAnsi="Cambria Math" w:cs="Times New Roman"/>
                <w:szCs w:val="22"/>
              </w:rPr>
            </m:ctrlPr>
          </m:fPr>
          <m:num>
            <m:sSup>
              <m:sSupPr>
                <m:ctrlPr>
                  <w:rPr>
                    <w:rFonts w:ascii="Cambria Math" w:eastAsia="Calibri" w:hAnsi="Cambria Math" w:cs="Times New Roman"/>
                    <w:szCs w:val="22"/>
                  </w:rPr>
                </m:ctrlPr>
              </m:sSupPr>
              <m:e>
                <m:r>
                  <m:rPr>
                    <m:sty m:val="bi"/>
                  </m:rPr>
                  <w:rPr>
                    <w:rFonts w:ascii="Cambria Math" w:eastAsia="Calibri" w:hAnsi="Cambria Math" w:cs="Times New Roman"/>
                    <w:szCs w:val="22"/>
                  </w:rPr>
                  <m:t>Z</m:t>
                </m:r>
              </m:e>
              <m:sup>
                <m:r>
                  <m:rPr>
                    <m:sty m:val="bi"/>
                  </m:rPr>
                  <w:rPr>
                    <w:rFonts w:ascii="Cambria Math" w:eastAsia="Calibri" w:hAnsi="Cambria Math" w:cs="Times New Roman"/>
                    <w:szCs w:val="22"/>
                  </w:rPr>
                  <m:t>2</m:t>
                </m:r>
              </m:sup>
            </m:sSup>
            <m:r>
              <m:rPr>
                <m:sty m:val="bi"/>
              </m:rPr>
              <w:rPr>
                <w:rFonts w:ascii="Cambria Math" w:eastAsia="Calibri" w:hAnsi="Cambria Math" w:cs="Times New Roman"/>
                <w:szCs w:val="22"/>
              </w:rPr>
              <m:t>⋅p⋅(1-p)</m:t>
            </m:r>
          </m:num>
          <m:den>
            <m:sSup>
              <m:sSupPr>
                <m:ctrlPr>
                  <w:rPr>
                    <w:rFonts w:ascii="Cambria Math" w:eastAsia="Calibri" w:hAnsi="Cambria Math" w:cs="Times New Roman"/>
                    <w:szCs w:val="22"/>
                  </w:rPr>
                </m:ctrlPr>
              </m:sSupPr>
              <m:e>
                <m:r>
                  <m:rPr>
                    <m:sty m:val="bi"/>
                  </m:rPr>
                  <w:rPr>
                    <w:rFonts w:ascii="Cambria Math" w:eastAsia="Calibri" w:hAnsi="Cambria Math" w:cs="Times New Roman"/>
                    <w:szCs w:val="22"/>
                  </w:rPr>
                  <m:t>d</m:t>
                </m:r>
              </m:e>
              <m:sup>
                <m:r>
                  <m:rPr>
                    <m:sty m:val="bi"/>
                  </m:rPr>
                  <w:rPr>
                    <w:rFonts w:ascii="Cambria Math" w:eastAsia="Calibri" w:hAnsi="Cambria Math" w:cs="Times New Roman"/>
                    <w:szCs w:val="22"/>
                  </w:rPr>
                  <m:t>2</m:t>
                </m:r>
              </m:sup>
            </m:sSup>
          </m:den>
        </m:f>
      </m:oMath>
      <w:r w:rsidRPr="00186843">
        <w:rPr>
          <w:rFonts w:ascii="Times New Roman" w:eastAsia="Times New Roman" w:hAnsi="Times New Roman" w:cs="Times New Roman"/>
          <w:szCs w:val="22"/>
        </w:rPr>
        <w:t xml:space="preserve"> =</w:t>
      </w:r>
      <w:r w:rsidRPr="00186843">
        <w:rPr>
          <w:rFonts w:ascii="Times New Roman" w:eastAsia="Calibri" w:hAnsi="Times New Roman" w:cs="Times New Roman"/>
          <w:szCs w:val="22"/>
        </w:rPr>
        <w:t xml:space="preserve"> </w:t>
      </w:r>
      <w:r w:rsidRPr="00186843">
        <w:rPr>
          <w:rFonts w:ascii="Times New Roman" w:eastAsia="Calibri" w:hAnsi="Times New Roman" w:cs="Times New Roman"/>
          <w:szCs w:val="22"/>
          <w:u w:val="single"/>
        </w:rPr>
        <w:t>(1.96)</w:t>
      </w:r>
      <w:r w:rsidRPr="00186843">
        <w:rPr>
          <w:rFonts w:ascii="Times New Roman" w:eastAsia="Calibri" w:hAnsi="Times New Roman" w:cs="Times New Roman"/>
          <w:szCs w:val="22"/>
          <w:u w:val="single"/>
          <w:vertAlign w:val="superscript"/>
        </w:rPr>
        <w:t xml:space="preserve">2 </w:t>
      </w:r>
      <w:r w:rsidRPr="00186843">
        <w:rPr>
          <w:rFonts w:ascii="Times New Roman" w:eastAsia="Calibri" w:hAnsi="Times New Roman" w:cs="Times New Roman"/>
          <w:szCs w:val="22"/>
          <w:u w:val="single"/>
        </w:rPr>
        <w:t xml:space="preserve">x 0.084 x (1-0.0840)   </w:t>
      </w:r>
    </w:p>
    <w:p w:rsidR="00CB2DA4" w:rsidRPr="00186843" w:rsidRDefault="00CB2DA4" w:rsidP="00CB2DA4">
      <w:pPr>
        <w:spacing w:line="240" w:lineRule="auto"/>
        <w:ind w:left="720" w:firstLine="720"/>
        <w:jc w:val="both"/>
        <w:rPr>
          <w:rFonts w:ascii="Times New Roman" w:eastAsia="Calibri" w:hAnsi="Times New Roman" w:cs="Times New Roman"/>
          <w:szCs w:val="22"/>
        </w:rPr>
      </w:pPr>
      <w:r w:rsidRPr="00186843">
        <w:rPr>
          <w:rFonts w:ascii="Times New Roman" w:eastAsia="Times New Roman" w:hAnsi="Times New Roman" w:cs="Times New Roman"/>
          <w:szCs w:val="22"/>
        </w:rPr>
        <w:t xml:space="preserve">                    (0.05)</w:t>
      </w:r>
      <w:r w:rsidRPr="00186843">
        <w:rPr>
          <w:rFonts w:ascii="Times New Roman" w:eastAsia="Times New Roman" w:hAnsi="Times New Roman" w:cs="Times New Roman"/>
          <w:szCs w:val="22"/>
          <w:vertAlign w:val="superscript"/>
        </w:rPr>
        <w:t>2</w:t>
      </w:r>
    </w:p>
    <w:p w:rsidR="00931449" w:rsidRPr="00186843" w:rsidRDefault="00931449" w:rsidP="00931449">
      <w:pPr>
        <w:rPr>
          <w:rFonts w:ascii="Arial" w:hAnsi="Arial" w:cs="Arial"/>
          <w:sz w:val="20"/>
          <w:szCs w:val="20"/>
        </w:rPr>
      </w:pPr>
      <w:r w:rsidRPr="00186843">
        <w:rPr>
          <w:rFonts w:ascii="Arial" w:eastAsia="Times New Roman" w:hAnsi="Arial" w:cs="Arial"/>
          <w:kern w:val="0"/>
          <w:sz w:val="20"/>
          <w:szCs w:val="20"/>
          <w14:ligatures w14:val="none"/>
        </w:rPr>
        <w:t xml:space="preserve">Where </w:t>
      </w:r>
      <w:r w:rsidRPr="00186843">
        <w:rPr>
          <w:rFonts w:ascii="Arial" w:hAnsi="Arial" w:cs="Arial"/>
          <w:sz w:val="20"/>
          <w:szCs w:val="20"/>
        </w:rPr>
        <w:t xml:space="preserve">n = sample size, Z = standard normal deviate at 95% confidence level (1.96), D = margin of error at 0.05 and p = assumed DN prevalence at 0.084 (8.4%). </w:t>
      </w:r>
      <w:r w:rsidR="00CB2DA4" w:rsidRPr="00186843">
        <w:rPr>
          <w:rFonts w:ascii="Arial" w:eastAsia="Times New Roman" w:hAnsi="Arial" w:cs="Arial"/>
          <w:kern w:val="0"/>
          <w:sz w:val="20"/>
          <w:szCs w:val="20"/>
          <w14:ligatures w14:val="none"/>
        </w:rPr>
        <w:t xml:space="preserve"> </w:t>
      </w:r>
    </w:p>
    <w:p w:rsidR="00C32B0A" w:rsidRPr="00186843" w:rsidRDefault="005E1899" w:rsidP="00491B4A">
      <w:p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This gives</w:t>
      </w:r>
      <w:r w:rsidR="00CB2DA4" w:rsidRPr="00186843">
        <w:rPr>
          <w:rFonts w:ascii="Arial" w:eastAsia="Times New Roman" w:hAnsi="Arial" w:cs="Arial"/>
          <w:kern w:val="0"/>
          <w:sz w:val="20"/>
          <w:szCs w:val="20"/>
          <w14:ligatures w14:val="none"/>
        </w:rPr>
        <w:t xml:space="preserve"> a minimum of 118 participants, which was increased by </w:t>
      </w:r>
      <w:r w:rsidR="00C32B0A" w:rsidRPr="00186843">
        <w:rPr>
          <w:rFonts w:ascii="Arial" w:eastAsia="Times New Roman" w:hAnsi="Arial" w:cs="Arial"/>
          <w:kern w:val="0"/>
          <w:sz w:val="20"/>
          <w:szCs w:val="20"/>
          <w14:ligatures w14:val="none"/>
        </w:rPr>
        <w:t>1</w:t>
      </w:r>
      <w:r w:rsidR="00CB2DA4" w:rsidRPr="00186843">
        <w:rPr>
          <w:rFonts w:ascii="Arial" w:eastAsia="Times New Roman" w:hAnsi="Arial" w:cs="Arial"/>
          <w:kern w:val="0"/>
          <w:sz w:val="20"/>
          <w:szCs w:val="20"/>
          <w14:ligatures w14:val="none"/>
        </w:rPr>
        <w:t xml:space="preserve">5% to </w:t>
      </w:r>
      <w:r w:rsidR="00C32B0A" w:rsidRPr="00186843">
        <w:rPr>
          <w:rFonts w:ascii="Arial" w:eastAsia="Times New Roman" w:hAnsi="Arial" w:cs="Arial"/>
          <w:kern w:val="0"/>
          <w:sz w:val="20"/>
          <w:szCs w:val="20"/>
          <w14:ligatures w14:val="none"/>
        </w:rPr>
        <w:t>136</w:t>
      </w:r>
      <w:r w:rsidR="00CB2DA4" w:rsidRPr="00186843">
        <w:rPr>
          <w:rFonts w:ascii="Arial" w:eastAsia="Times New Roman" w:hAnsi="Arial" w:cs="Arial"/>
          <w:kern w:val="0"/>
          <w:sz w:val="20"/>
          <w:szCs w:val="20"/>
          <w14:ligatures w14:val="none"/>
        </w:rPr>
        <w:t xml:space="preserve"> to account for non-response.</w:t>
      </w:r>
    </w:p>
    <w:p w:rsidR="00CB2DA4" w:rsidRPr="00186843" w:rsidRDefault="005E1899" w:rsidP="007B7ADF">
      <w:pPr>
        <w:pStyle w:val="Heading2"/>
      </w:pPr>
      <w:r w:rsidRPr="00186843">
        <w:t xml:space="preserve">2.4 </w:t>
      </w:r>
      <w:r w:rsidR="00CB2DA4" w:rsidRPr="00186843">
        <w:t>Data Collection Instruments</w:t>
      </w:r>
      <w:r w:rsidRPr="00186843">
        <w:t xml:space="preserve"> and Procedure</w:t>
      </w:r>
    </w:p>
    <w:p w:rsidR="00491B4A" w:rsidRPr="00186843" w:rsidRDefault="00491B4A" w:rsidP="00491B4A">
      <w:pPr>
        <w:spacing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Anthropometric parameters such as weight, height, BMI, waist, and hip circumference were measured. Biochemical analyses included measurements of fasting blood glucose (FPG), cystatin C, creatinine, urea, and microalbuminuria.</w:t>
      </w:r>
    </w:p>
    <w:p w:rsidR="005E1899" w:rsidRPr="00186843" w:rsidRDefault="00C7208A" w:rsidP="00C7208A">
      <w:pPr>
        <w:pStyle w:val="Heading31"/>
      </w:pPr>
      <w:r w:rsidRPr="00186843">
        <w:t xml:space="preserve">2.4.1 </w:t>
      </w:r>
      <w:r w:rsidR="005E1899" w:rsidRPr="00186843">
        <w:t>Screening</w:t>
      </w:r>
    </w:p>
    <w:p w:rsidR="0054498B" w:rsidRPr="00186843" w:rsidRDefault="00D42FA5" w:rsidP="001B582C">
      <w:pPr>
        <w:jc w:val="both"/>
        <w:rPr>
          <w:rFonts w:ascii="Arial" w:hAnsi="Arial" w:cs="Arial"/>
          <w:sz w:val="20"/>
          <w:szCs w:val="20"/>
        </w:rPr>
      </w:pPr>
      <w:r w:rsidRPr="00186843">
        <w:rPr>
          <w:rFonts w:ascii="Arial" w:hAnsi="Arial" w:cs="Arial"/>
          <w:sz w:val="20"/>
          <w:szCs w:val="20"/>
        </w:rPr>
        <w:t xml:space="preserve">Participants from the teaching hospital were selected based on their confirmed status </w:t>
      </w:r>
      <w:r w:rsidR="00AD1A3B" w:rsidRPr="00186843">
        <w:rPr>
          <w:rFonts w:ascii="Arial" w:hAnsi="Arial" w:cs="Arial"/>
          <w:sz w:val="20"/>
          <w:szCs w:val="20"/>
        </w:rPr>
        <w:t>from</w:t>
      </w:r>
      <w:r w:rsidR="0054498B" w:rsidRPr="00186843">
        <w:rPr>
          <w:rFonts w:ascii="Arial" w:hAnsi="Arial" w:cs="Arial"/>
          <w:sz w:val="20"/>
          <w:szCs w:val="20"/>
        </w:rPr>
        <w:t xml:space="preserve"> patients</w:t>
      </w:r>
      <w:r w:rsidR="00AD1A3B" w:rsidRPr="00186843">
        <w:rPr>
          <w:rFonts w:ascii="Arial" w:hAnsi="Arial" w:cs="Arial"/>
          <w:sz w:val="20"/>
          <w:szCs w:val="20"/>
        </w:rPr>
        <w:t xml:space="preserve"> file</w:t>
      </w:r>
      <w:r w:rsidR="0054498B" w:rsidRPr="00186843">
        <w:rPr>
          <w:rFonts w:ascii="Arial" w:hAnsi="Arial" w:cs="Arial"/>
          <w:sz w:val="20"/>
          <w:szCs w:val="20"/>
        </w:rPr>
        <w:t xml:space="preserve"> </w:t>
      </w:r>
      <w:r w:rsidRPr="00186843">
        <w:rPr>
          <w:rFonts w:ascii="Arial" w:hAnsi="Arial" w:cs="Arial"/>
          <w:sz w:val="20"/>
          <w:szCs w:val="20"/>
        </w:rPr>
        <w:t xml:space="preserve">at the General Outpatient department (GOPD). </w:t>
      </w:r>
      <w:r w:rsidR="001B582C" w:rsidRPr="00186843">
        <w:rPr>
          <w:rFonts w:ascii="Arial" w:hAnsi="Arial" w:cs="Arial"/>
          <w:sz w:val="20"/>
          <w:szCs w:val="20"/>
        </w:rPr>
        <w:t>Consenting</w:t>
      </w:r>
      <w:r w:rsidRPr="00186843">
        <w:rPr>
          <w:rFonts w:ascii="Arial" w:hAnsi="Arial" w:cs="Arial"/>
          <w:sz w:val="20"/>
          <w:szCs w:val="20"/>
        </w:rPr>
        <w:t xml:space="preserve"> newly diagnosed </w:t>
      </w:r>
      <w:r w:rsidR="004B3FDD" w:rsidRPr="00186843">
        <w:rPr>
          <w:rFonts w:ascii="Arial" w:hAnsi="Arial" w:cs="Arial"/>
          <w:sz w:val="20"/>
          <w:szCs w:val="20"/>
        </w:rPr>
        <w:t>diabetic patients were recruited in a period of six weeks</w:t>
      </w:r>
      <w:r w:rsidR="00AD1A3B" w:rsidRPr="00186843">
        <w:rPr>
          <w:rFonts w:ascii="Arial" w:hAnsi="Arial" w:cs="Arial"/>
          <w:sz w:val="20"/>
          <w:szCs w:val="20"/>
        </w:rPr>
        <w:t xml:space="preserve"> with repeated FBG and urinalysis results within three month interval</w:t>
      </w:r>
      <w:r w:rsidR="004B3FDD" w:rsidRPr="00186843">
        <w:rPr>
          <w:rFonts w:ascii="Arial" w:hAnsi="Arial" w:cs="Arial"/>
          <w:sz w:val="20"/>
          <w:szCs w:val="20"/>
        </w:rPr>
        <w:t>. For partici</w:t>
      </w:r>
      <w:r w:rsidR="0054498B" w:rsidRPr="00186843">
        <w:rPr>
          <w:rFonts w:ascii="Arial" w:hAnsi="Arial" w:cs="Arial"/>
          <w:sz w:val="20"/>
          <w:szCs w:val="20"/>
        </w:rPr>
        <w:t>pants from the village medical outreach, f</w:t>
      </w:r>
      <w:r w:rsidR="005E1899" w:rsidRPr="00186843">
        <w:rPr>
          <w:rFonts w:ascii="Arial" w:hAnsi="Arial" w:cs="Arial"/>
          <w:sz w:val="20"/>
          <w:szCs w:val="20"/>
        </w:rPr>
        <w:t>asting blood glucose</w:t>
      </w:r>
      <w:r w:rsidR="00AD1A3B" w:rsidRPr="00186843">
        <w:rPr>
          <w:rFonts w:ascii="Arial" w:hAnsi="Arial" w:cs="Arial"/>
          <w:sz w:val="20"/>
          <w:szCs w:val="20"/>
        </w:rPr>
        <w:t xml:space="preserve"> and urinalysis</w:t>
      </w:r>
      <w:r w:rsidR="005E1899" w:rsidRPr="00186843">
        <w:rPr>
          <w:rFonts w:ascii="Arial" w:hAnsi="Arial" w:cs="Arial"/>
          <w:sz w:val="20"/>
          <w:szCs w:val="20"/>
        </w:rPr>
        <w:t xml:space="preserve"> was measured using Randox reagent kits and Accu-Chek glucometers. </w:t>
      </w:r>
      <w:r w:rsidR="0013578E" w:rsidRPr="00186843">
        <w:rPr>
          <w:rFonts w:ascii="Arial" w:hAnsi="Arial" w:cs="Arial"/>
          <w:sz w:val="20"/>
          <w:szCs w:val="20"/>
        </w:rPr>
        <w:t>FBG levels</w:t>
      </w:r>
      <w:r w:rsidR="00AD1A3B" w:rsidRPr="00186843">
        <w:rPr>
          <w:rFonts w:ascii="Arial" w:hAnsi="Arial" w:cs="Arial"/>
          <w:sz w:val="20"/>
          <w:szCs w:val="20"/>
        </w:rPr>
        <w:t xml:space="preserve"> and urinalysis</w:t>
      </w:r>
      <w:r w:rsidR="0013578E" w:rsidRPr="00186843">
        <w:rPr>
          <w:rFonts w:ascii="Arial" w:hAnsi="Arial" w:cs="Arial"/>
          <w:sz w:val="20"/>
          <w:szCs w:val="20"/>
        </w:rPr>
        <w:t xml:space="preserve"> were measured </w:t>
      </w:r>
      <w:r w:rsidR="00AD1A3B" w:rsidRPr="00186843">
        <w:rPr>
          <w:rFonts w:ascii="Arial" w:hAnsi="Arial" w:cs="Arial"/>
          <w:sz w:val="20"/>
          <w:szCs w:val="20"/>
        </w:rPr>
        <w:t>on a separate day</w:t>
      </w:r>
      <w:r w:rsidR="0013578E" w:rsidRPr="00186843">
        <w:rPr>
          <w:rFonts w:ascii="Arial" w:hAnsi="Arial" w:cs="Arial"/>
          <w:sz w:val="20"/>
          <w:szCs w:val="20"/>
        </w:rPr>
        <w:t> for each s</w:t>
      </w:r>
      <w:r w:rsidR="00697564" w:rsidRPr="00186843">
        <w:rPr>
          <w:rFonts w:ascii="Arial" w:hAnsi="Arial" w:cs="Arial"/>
          <w:sz w:val="20"/>
          <w:szCs w:val="20"/>
        </w:rPr>
        <w:t>ubject</w:t>
      </w:r>
      <w:r w:rsidR="0054498B" w:rsidRPr="00186843">
        <w:rPr>
          <w:rFonts w:ascii="Arial" w:hAnsi="Arial" w:cs="Arial"/>
          <w:sz w:val="20"/>
          <w:szCs w:val="20"/>
        </w:rPr>
        <w:t xml:space="preserve"> </w:t>
      </w:r>
      <w:r w:rsidR="00AD1A3B" w:rsidRPr="00186843">
        <w:rPr>
          <w:rFonts w:ascii="Arial" w:hAnsi="Arial" w:cs="Arial"/>
          <w:sz w:val="20"/>
          <w:szCs w:val="20"/>
        </w:rPr>
        <w:t>within</w:t>
      </w:r>
      <w:r w:rsidR="0054498B" w:rsidRPr="00186843">
        <w:rPr>
          <w:rFonts w:ascii="Arial" w:hAnsi="Arial" w:cs="Arial"/>
          <w:sz w:val="20"/>
          <w:szCs w:val="20"/>
        </w:rPr>
        <w:t xml:space="preserve"> a </w:t>
      </w:r>
      <w:r w:rsidR="00AD1A3B" w:rsidRPr="00186843">
        <w:rPr>
          <w:rFonts w:ascii="Arial" w:hAnsi="Arial" w:cs="Arial"/>
          <w:sz w:val="20"/>
          <w:szCs w:val="20"/>
        </w:rPr>
        <w:t xml:space="preserve">period of </w:t>
      </w:r>
      <w:r w:rsidR="0054498B" w:rsidRPr="00186843">
        <w:rPr>
          <w:rFonts w:ascii="Arial" w:hAnsi="Arial" w:cs="Arial"/>
          <w:sz w:val="20"/>
          <w:szCs w:val="20"/>
        </w:rPr>
        <w:t>three-</w:t>
      </w:r>
      <w:r w:rsidR="00AD1A3B" w:rsidRPr="00186843">
        <w:rPr>
          <w:rFonts w:ascii="Arial" w:hAnsi="Arial" w:cs="Arial"/>
          <w:sz w:val="20"/>
          <w:szCs w:val="20"/>
        </w:rPr>
        <w:t>month and</w:t>
      </w:r>
      <w:r w:rsidR="001B582C" w:rsidRPr="00186843">
        <w:rPr>
          <w:rFonts w:ascii="Arial" w:hAnsi="Arial" w:cs="Arial"/>
          <w:sz w:val="20"/>
          <w:szCs w:val="20"/>
        </w:rPr>
        <w:t xml:space="preserve"> consenting participants with consistent results </w:t>
      </w:r>
      <w:r w:rsidR="001C048D" w:rsidRPr="00186843">
        <w:rPr>
          <w:rFonts w:ascii="Arial" w:hAnsi="Arial" w:cs="Arial"/>
          <w:sz w:val="20"/>
          <w:szCs w:val="20"/>
        </w:rPr>
        <w:t xml:space="preserve">over the </w:t>
      </w:r>
      <w:r w:rsidR="00AD1A3B" w:rsidRPr="00186843">
        <w:rPr>
          <w:rFonts w:ascii="Arial" w:hAnsi="Arial" w:cs="Arial"/>
          <w:sz w:val="20"/>
          <w:szCs w:val="20"/>
        </w:rPr>
        <w:t>three month</w:t>
      </w:r>
      <w:r w:rsidR="001C048D" w:rsidRPr="00186843">
        <w:rPr>
          <w:rFonts w:ascii="Arial" w:hAnsi="Arial" w:cs="Arial"/>
          <w:sz w:val="20"/>
          <w:szCs w:val="20"/>
        </w:rPr>
        <w:t xml:space="preserve"> period </w:t>
      </w:r>
      <w:r w:rsidR="001B582C" w:rsidRPr="00186843">
        <w:rPr>
          <w:rFonts w:ascii="Arial" w:hAnsi="Arial" w:cs="Arial"/>
          <w:sz w:val="20"/>
          <w:szCs w:val="20"/>
        </w:rPr>
        <w:t>were recruited</w:t>
      </w:r>
      <w:r w:rsidR="0054498B" w:rsidRPr="00186843">
        <w:rPr>
          <w:rFonts w:ascii="Arial" w:hAnsi="Arial" w:cs="Arial"/>
          <w:sz w:val="20"/>
          <w:szCs w:val="20"/>
        </w:rPr>
        <w:t>.</w:t>
      </w:r>
    </w:p>
    <w:p w:rsidR="005E1899" w:rsidRPr="00186843" w:rsidRDefault="005E1899" w:rsidP="001B582C">
      <w:pPr>
        <w:jc w:val="both"/>
        <w:rPr>
          <w:rFonts w:ascii="Arial" w:hAnsi="Arial" w:cs="Arial"/>
          <w:sz w:val="20"/>
          <w:szCs w:val="20"/>
        </w:rPr>
      </w:pPr>
      <w:r w:rsidRPr="00186843">
        <w:rPr>
          <w:rFonts w:ascii="Arial" w:hAnsi="Arial" w:cs="Arial"/>
          <w:sz w:val="20"/>
          <w:szCs w:val="20"/>
        </w:rPr>
        <w:t>Participants were classified using American Diabetes Association (ADA,2025) criteria:</w:t>
      </w:r>
    </w:p>
    <w:p w:rsidR="005E1899" w:rsidRPr="00186843"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lastRenderedPageBreak/>
        <w:t>126 mg/dL (7.0 mmol/L) or higher</w:t>
      </w:r>
      <w:r w:rsidR="005E1899" w:rsidRPr="00186843">
        <w:rPr>
          <w:rFonts w:ascii="Arial" w:eastAsia="Times New Roman" w:hAnsi="Arial" w:cs="Arial"/>
          <w:kern w:val="0"/>
          <w:sz w:val="20"/>
          <w:szCs w:val="20"/>
          <w14:ligatures w14:val="none"/>
        </w:rPr>
        <w:t xml:space="preserve"> – Diabetic</w:t>
      </w:r>
    </w:p>
    <w:p w:rsidR="005E1899" w:rsidRPr="00186843"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100 mg/dL to 125 mg/dL (5.6-6.9 mmol/L) </w:t>
      </w:r>
      <w:r w:rsidR="005E1899" w:rsidRPr="00186843">
        <w:rPr>
          <w:rFonts w:ascii="Arial" w:eastAsia="Times New Roman" w:hAnsi="Arial" w:cs="Arial"/>
          <w:kern w:val="0"/>
          <w:sz w:val="20"/>
          <w:szCs w:val="20"/>
          <w14:ligatures w14:val="none"/>
        </w:rPr>
        <w:t>– Prediabetic</w:t>
      </w:r>
    </w:p>
    <w:p w:rsidR="005E1899" w:rsidRPr="00186843"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Less than 100 mg/dL (5.6 mmol/L) </w:t>
      </w:r>
      <w:r w:rsidR="005E1899" w:rsidRPr="00186843">
        <w:rPr>
          <w:rFonts w:ascii="Arial" w:eastAsia="Times New Roman" w:hAnsi="Arial" w:cs="Arial"/>
          <w:kern w:val="0"/>
          <w:sz w:val="20"/>
          <w:szCs w:val="20"/>
          <w14:ligatures w14:val="none"/>
        </w:rPr>
        <w:t>– Non-diabetic</w:t>
      </w:r>
      <w:r w:rsidRPr="00186843">
        <w:rPr>
          <w:rFonts w:ascii="Arial" w:eastAsia="Times New Roman" w:hAnsi="Arial" w:cs="Arial"/>
          <w:kern w:val="0"/>
          <w:sz w:val="20"/>
          <w:szCs w:val="20"/>
          <w14:ligatures w14:val="none"/>
        </w:rPr>
        <w:t xml:space="preserve">/ Normal </w:t>
      </w:r>
    </w:p>
    <w:p w:rsidR="005E1899" w:rsidRPr="00186843"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All participants were screened for DN using microalbuminuria</w:t>
      </w:r>
      <w:r w:rsidR="0013578E" w:rsidRPr="00186843">
        <w:rPr>
          <w:rFonts w:ascii="Arial" w:eastAsia="Times New Roman" w:hAnsi="Arial" w:cs="Arial"/>
          <w:kern w:val="0"/>
          <w:sz w:val="20"/>
          <w:szCs w:val="20"/>
          <w14:ligatures w14:val="none"/>
        </w:rPr>
        <w:t xml:space="preserve">, </w:t>
      </w:r>
      <w:r w:rsidRPr="00186843">
        <w:rPr>
          <w:rFonts w:ascii="Arial" w:eastAsia="Times New Roman" w:hAnsi="Arial" w:cs="Arial"/>
          <w:kern w:val="0"/>
          <w:sz w:val="20"/>
          <w:szCs w:val="20"/>
          <w14:ligatures w14:val="none"/>
        </w:rPr>
        <w:t xml:space="preserve">cystatin C </w:t>
      </w:r>
      <w:r w:rsidR="0013578E" w:rsidRPr="00186843">
        <w:rPr>
          <w:rFonts w:ascii="Arial" w:eastAsia="Times New Roman" w:hAnsi="Arial" w:cs="Arial"/>
          <w:kern w:val="0"/>
          <w:sz w:val="20"/>
          <w:szCs w:val="20"/>
          <w14:ligatures w14:val="none"/>
        </w:rPr>
        <w:t xml:space="preserve">and Serum Creatinine </w:t>
      </w:r>
      <w:r w:rsidRPr="00186843">
        <w:rPr>
          <w:rFonts w:ascii="Arial" w:eastAsia="Times New Roman" w:hAnsi="Arial" w:cs="Arial"/>
          <w:kern w:val="0"/>
          <w:sz w:val="20"/>
          <w:szCs w:val="20"/>
          <w14:ligatures w14:val="none"/>
        </w:rPr>
        <w:t>tests.</w:t>
      </w:r>
    </w:p>
    <w:p w:rsidR="0013578E" w:rsidRPr="00186843" w:rsidRDefault="0013578E" w:rsidP="00C7208A">
      <w:pPr>
        <w:pStyle w:val="Heading31"/>
      </w:pPr>
    </w:p>
    <w:p w:rsidR="005E1899" w:rsidRPr="00186843" w:rsidRDefault="00C7208A" w:rsidP="00C7208A">
      <w:pPr>
        <w:pStyle w:val="Heading31"/>
      </w:pPr>
      <w:r w:rsidRPr="00186843">
        <w:t xml:space="preserve">2.4.2 </w:t>
      </w:r>
      <w:r w:rsidR="005E1899" w:rsidRPr="00186843">
        <w:t>Sample Collection and Storage</w:t>
      </w:r>
    </w:p>
    <w:p w:rsidR="005E1899" w:rsidRPr="00186843"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About 5 ml of venous blood was collected for biochemical tests into appropriate sample bottles, and urine samples were collected for spot microalbuminuria. Samples were properly labeled and stored at –20°C until analysis.</w:t>
      </w:r>
    </w:p>
    <w:p w:rsidR="005E1899" w:rsidRPr="00186843" w:rsidRDefault="005E1899" w:rsidP="005E1899">
      <w:r w:rsidRPr="00186843">
        <w:t>Laboratory Analyses</w:t>
      </w:r>
    </w:p>
    <w:p w:rsidR="005E1899" w:rsidRPr="00186843"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Fasting Blood Glucose: Determined using the glucose oxidase-peroxidase method with colorimetric detection at 520 nm. Microalbuminuria: Assessed using </w:t>
      </w:r>
      <w:proofErr w:type="spellStart"/>
      <w:r w:rsidRPr="00186843">
        <w:rPr>
          <w:rFonts w:ascii="Arial" w:eastAsia="Times New Roman" w:hAnsi="Arial" w:cs="Arial"/>
          <w:kern w:val="0"/>
          <w:sz w:val="20"/>
          <w:szCs w:val="20"/>
          <w14:ligatures w14:val="none"/>
        </w:rPr>
        <w:t>Labcom</w:t>
      </w:r>
      <w:proofErr w:type="spellEnd"/>
      <w:r w:rsidRPr="00186843">
        <w:rPr>
          <w:rFonts w:ascii="Arial" w:eastAsia="Times New Roman" w:hAnsi="Arial" w:cs="Arial"/>
          <w:kern w:val="0"/>
          <w:sz w:val="20"/>
          <w:szCs w:val="20"/>
          <w14:ligatures w14:val="none"/>
        </w:rPr>
        <w:t xml:space="preserve"> Combi 14 test strips. Albumin levels were classified as:</w:t>
      </w:r>
    </w:p>
    <w:p w:rsidR="005E1899" w:rsidRPr="00186843"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&lt;30 mg/L (Normal)</w:t>
      </w:r>
    </w:p>
    <w:p w:rsidR="005E1899" w:rsidRPr="00186843"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30–300 mg/L (Microalbuminuria)</w:t>
      </w:r>
    </w:p>
    <w:p w:rsidR="005E1899" w:rsidRPr="00186843"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300 mg/L (Macroalbuminuria)</w:t>
      </w:r>
    </w:p>
    <w:p w:rsidR="005E1899" w:rsidRPr="00186843"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Cystatin C: Measured using </w:t>
      </w:r>
      <w:proofErr w:type="spellStart"/>
      <w:r w:rsidRPr="00186843">
        <w:rPr>
          <w:rFonts w:ascii="Arial" w:eastAsia="Times New Roman" w:hAnsi="Arial" w:cs="Arial"/>
          <w:kern w:val="0"/>
          <w:sz w:val="20"/>
          <w:szCs w:val="20"/>
          <w14:ligatures w14:val="none"/>
        </w:rPr>
        <w:t>Elabscience</w:t>
      </w:r>
      <w:proofErr w:type="spellEnd"/>
      <w:r w:rsidRPr="00186843">
        <w:rPr>
          <w:rFonts w:ascii="Arial" w:eastAsia="Times New Roman" w:hAnsi="Arial" w:cs="Arial"/>
          <w:kern w:val="0"/>
          <w:sz w:val="20"/>
          <w:szCs w:val="20"/>
          <w14:ligatures w14:val="none"/>
        </w:rPr>
        <w:t>® ELISA kits based on the sandwich-ELISA principle, with absorbance read at 450 nm.</w:t>
      </w:r>
      <w:r w:rsidRPr="00186843">
        <w:rPr>
          <w:rFonts w:ascii="Arial" w:eastAsia="Times New Roman" w:hAnsi="Arial" w:cs="Arial"/>
          <w:kern w:val="0"/>
          <w:sz w:val="20"/>
          <w:szCs w:val="20"/>
          <w14:ligatures w14:val="none"/>
        </w:rPr>
        <w:br/>
        <w:t>Reference range: 0.6–1.3 mg/L.</w:t>
      </w:r>
    </w:p>
    <w:p w:rsidR="005E1899" w:rsidRPr="00186843"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Creatinine: Determined by the kinetic Jaffe’s method using picric acid and NaOH; absorbance was measured at 492 nm.</w:t>
      </w:r>
      <w:r w:rsidRPr="00186843">
        <w:rPr>
          <w:rFonts w:ascii="Arial" w:eastAsia="Times New Roman" w:hAnsi="Arial" w:cs="Arial"/>
          <w:kern w:val="0"/>
          <w:sz w:val="20"/>
          <w:szCs w:val="20"/>
          <w14:ligatures w14:val="none"/>
        </w:rPr>
        <w:br/>
        <w:t>Reference range:</w:t>
      </w:r>
    </w:p>
    <w:p w:rsidR="005E1899" w:rsidRPr="00186843"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Males: 60–120 µmol/L, Females: 55–110 µmol/L.</w:t>
      </w:r>
    </w:p>
    <w:p w:rsidR="005E1899" w:rsidRPr="00186843" w:rsidRDefault="005E1899" w:rsidP="007B7ADF">
      <w:pPr>
        <w:spacing w:before="100" w:beforeAutospacing="1"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lastRenderedPageBreak/>
        <w:t>Urea: Measured by the Modified Urease–Berthelot method, with absorbance read at 547 nm.</w:t>
      </w:r>
      <w:r w:rsidRPr="00186843">
        <w:rPr>
          <w:rFonts w:ascii="Arial" w:eastAsia="Times New Roman" w:hAnsi="Arial" w:cs="Arial"/>
          <w:kern w:val="0"/>
          <w:sz w:val="20"/>
          <w:szCs w:val="20"/>
          <w14:ligatures w14:val="none"/>
        </w:rPr>
        <w:br/>
        <w:t>Reference range: 1.7–9.1 mmol/L.</w:t>
      </w:r>
    </w:p>
    <w:p w:rsidR="007B7ADF" w:rsidRPr="00186843" w:rsidRDefault="007B7ADF" w:rsidP="00491B4A">
      <w:pPr>
        <w:spacing w:after="0" w:line="480" w:lineRule="auto"/>
        <w:jc w:val="both"/>
        <w:rPr>
          <w:rFonts w:ascii="Arial" w:eastAsia="Times New Roman" w:hAnsi="Arial" w:cs="Arial"/>
          <w:b/>
          <w:bCs/>
          <w:kern w:val="0"/>
          <w:sz w:val="20"/>
          <w:szCs w:val="20"/>
          <w14:ligatures w14:val="none"/>
        </w:rPr>
      </w:pPr>
    </w:p>
    <w:p w:rsidR="00CB2DA4" w:rsidRPr="00186843" w:rsidRDefault="00CB2DA4" w:rsidP="00CB2DA4">
      <w:pPr>
        <w:spacing w:after="0" w:line="480" w:lineRule="auto"/>
        <w:jc w:val="both"/>
        <w:rPr>
          <w:rFonts w:ascii="Arial" w:eastAsia="Times New Roman" w:hAnsi="Arial" w:cs="Arial"/>
          <w:kern w:val="0"/>
          <w:sz w:val="20"/>
          <w:szCs w:val="20"/>
          <w14:ligatures w14:val="none"/>
        </w:rPr>
      </w:pPr>
    </w:p>
    <w:p w:rsidR="00CB2DA4" w:rsidRPr="00186843" w:rsidRDefault="0018136A" w:rsidP="007B7ADF">
      <w:pPr>
        <w:pStyle w:val="Heading2"/>
      </w:pPr>
      <w:r w:rsidRPr="00186843">
        <w:t xml:space="preserve">2.5 </w:t>
      </w:r>
      <w:r w:rsidR="00CB2DA4" w:rsidRPr="00186843">
        <w:t>Data Analysis</w:t>
      </w:r>
    </w:p>
    <w:p w:rsidR="00D16725" w:rsidRPr="00186843" w:rsidRDefault="00CB2DA4" w:rsidP="005E1899">
      <w:pPr>
        <w:spacing w:after="0"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Data were analyzed using SPSS version 27. Descriptive statistics (mean, standard deviation, and frequency) summarized socio-demographic and biochemical data.</w:t>
      </w:r>
      <w:r w:rsidR="0018136A" w:rsidRPr="00186843">
        <w:rPr>
          <w:rFonts w:ascii="Arial" w:eastAsia="Times New Roman" w:hAnsi="Arial" w:cs="Arial"/>
          <w:kern w:val="0"/>
          <w:sz w:val="20"/>
          <w:szCs w:val="20"/>
          <w14:ligatures w14:val="none"/>
        </w:rPr>
        <w:t xml:space="preserve"> </w:t>
      </w:r>
      <w:r w:rsidRPr="00186843">
        <w:rPr>
          <w:rFonts w:ascii="Arial" w:eastAsia="Times New Roman" w:hAnsi="Arial" w:cs="Arial"/>
          <w:kern w:val="0"/>
          <w:sz w:val="20"/>
          <w:szCs w:val="20"/>
          <w14:ligatures w14:val="none"/>
        </w:rPr>
        <w:t>T-tests and ANOVA/Kruskal-Wallis tests compared means of biomarkers across diabetic, prediabetic, and non-diabetic groups.</w:t>
      </w:r>
      <w:r w:rsidR="0018136A" w:rsidRPr="00186843">
        <w:rPr>
          <w:rFonts w:ascii="Arial" w:eastAsia="Times New Roman" w:hAnsi="Arial" w:cs="Arial"/>
          <w:kern w:val="0"/>
          <w:sz w:val="20"/>
          <w:szCs w:val="20"/>
          <w14:ligatures w14:val="none"/>
        </w:rPr>
        <w:t xml:space="preserve"> </w:t>
      </w:r>
      <w:r w:rsidRPr="00186843">
        <w:rPr>
          <w:rFonts w:ascii="Arial" w:eastAsia="Times New Roman" w:hAnsi="Arial" w:cs="Arial"/>
          <w:kern w:val="0"/>
          <w:sz w:val="20"/>
          <w:szCs w:val="20"/>
          <w14:ligatures w14:val="none"/>
        </w:rPr>
        <w:t xml:space="preserve">ROC curve analysis evaluated the diagnostic accuracy of renal biomarkers (cystatin C, microalbumin, and creatinine) using sensitivity, specificity, positive and negative predictive values, and Area Under the Curve (AUC). </w:t>
      </w:r>
      <w:r w:rsidR="00763DB1" w:rsidRPr="00186843">
        <w:rPr>
          <w:rFonts w:ascii="Arial" w:eastAsia="Times New Roman" w:hAnsi="Arial" w:cs="Arial"/>
          <w:kern w:val="0"/>
          <w:sz w:val="20"/>
          <w:szCs w:val="20"/>
          <w14:ligatures w14:val="none"/>
        </w:rPr>
        <w:t xml:space="preserve">Diabetic nephropathy status for the ROC analysis was determined using a composite biomarker reference standard. Participants were classified as DN-positive if they had microalbuminuria ≥30 mg/L, cystatin C above 1.3 mg/L, </w:t>
      </w:r>
      <w:r w:rsidR="00761644" w:rsidRPr="00186843">
        <w:rPr>
          <w:rFonts w:ascii="Arial" w:eastAsia="Times New Roman" w:hAnsi="Arial" w:cs="Arial"/>
          <w:kern w:val="0"/>
          <w:sz w:val="20"/>
          <w:szCs w:val="20"/>
          <w14:ligatures w14:val="none"/>
        </w:rPr>
        <w:t xml:space="preserve">or </w:t>
      </w:r>
      <w:r w:rsidR="00763DB1" w:rsidRPr="00186843">
        <w:rPr>
          <w:rFonts w:ascii="Arial" w:eastAsia="Times New Roman" w:hAnsi="Arial" w:cs="Arial"/>
          <w:kern w:val="0"/>
          <w:sz w:val="20"/>
          <w:szCs w:val="20"/>
          <w14:ligatures w14:val="none"/>
        </w:rPr>
        <w:t>creatinine above sex-specific reference ranges</w:t>
      </w:r>
      <w:r w:rsidR="00761644" w:rsidRPr="00186843">
        <w:rPr>
          <w:rFonts w:ascii="Arial" w:eastAsia="Times New Roman" w:hAnsi="Arial" w:cs="Arial"/>
          <w:kern w:val="0"/>
          <w:sz w:val="20"/>
          <w:szCs w:val="20"/>
          <w14:ligatures w14:val="none"/>
        </w:rPr>
        <w:t xml:space="preserve">. </w:t>
      </w:r>
      <w:r w:rsidR="00763DB1" w:rsidRPr="00186843">
        <w:rPr>
          <w:rFonts w:ascii="Arial" w:eastAsia="Times New Roman" w:hAnsi="Arial" w:cs="Arial"/>
          <w:kern w:val="0"/>
          <w:sz w:val="20"/>
          <w:szCs w:val="20"/>
          <w14:ligatures w14:val="none"/>
        </w:rPr>
        <w:t xml:space="preserve">Those with all biomarker values within normal limits were classified as DN-negative. This composite definition served as the gold standard against which the diagnostic performance of each biomarker was evaluated. </w:t>
      </w:r>
      <w:r w:rsidRPr="00186843">
        <w:rPr>
          <w:rFonts w:ascii="Arial" w:eastAsia="Times New Roman" w:hAnsi="Arial" w:cs="Arial"/>
          <w:kern w:val="0"/>
          <w:sz w:val="20"/>
          <w:szCs w:val="20"/>
          <w14:ligatures w14:val="none"/>
        </w:rPr>
        <w:t>p-value &lt; 0.05 was considered statistically significant.</w:t>
      </w:r>
      <w:bookmarkStart w:id="0" w:name="_Toc211441449"/>
    </w:p>
    <w:p w:rsidR="00A426F4" w:rsidRPr="00186843" w:rsidRDefault="005F2AA3" w:rsidP="007B7ADF">
      <w:pPr>
        <w:pStyle w:val="Heading1"/>
        <w:rPr>
          <w:rFonts w:eastAsia="Times New Roman"/>
          <w:lang w:val="en"/>
        </w:rPr>
      </w:pPr>
      <w:r w:rsidRPr="00186843">
        <w:rPr>
          <w:rFonts w:eastAsia="Times New Roman"/>
          <w:lang w:val="en"/>
        </w:rPr>
        <w:t xml:space="preserve">3.0 </w:t>
      </w:r>
      <w:r w:rsidR="00D16725" w:rsidRPr="00186843">
        <w:rPr>
          <w:rFonts w:eastAsia="Times New Roman"/>
          <w:lang w:val="en"/>
        </w:rPr>
        <w:t>RESULTS</w:t>
      </w:r>
    </w:p>
    <w:p w:rsidR="00C32B0A" w:rsidRPr="00186843" w:rsidRDefault="00C32B0A" w:rsidP="00C32B0A">
      <w:pPr>
        <w:spacing w:after="100" w:afterAutospacing="1" w:line="480" w:lineRule="auto"/>
        <w:jc w:val="both"/>
        <w:rPr>
          <w:rFonts w:ascii="Arial" w:eastAsia="Times New Roman" w:hAnsi="Arial" w:cs="Arial"/>
          <w:kern w:val="0"/>
          <w:sz w:val="20"/>
          <w:szCs w:val="20"/>
          <w14:ligatures w14:val="none"/>
        </w:rPr>
      </w:pPr>
      <w:r w:rsidRPr="00186843">
        <w:rPr>
          <w:rFonts w:ascii="Arial" w:eastAsia="Times New Roman" w:hAnsi="Arial" w:cs="Arial"/>
          <w:kern w:val="0"/>
          <w:sz w:val="20"/>
          <w:szCs w:val="20"/>
          <w14:ligatures w14:val="none"/>
        </w:rPr>
        <w:t xml:space="preserve">A total of 133 participants aged 18–65 years were recruited and grouped as: 78 diabetics,36 prediabetics, and19 non-diabetics. Participants were selected from both hospital clinics and community outreach programs. </w:t>
      </w:r>
    </w:p>
    <w:p w:rsidR="005349EA" w:rsidRPr="00186843" w:rsidRDefault="005F2AA3" w:rsidP="007B7ADF">
      <w:pPr>
        <w:pStyle w:val="Heading2"/>
      </w:pPr>
      <w:r w:rsidRPr="00186843">
        <w:rPr>
          <w:rFonts w:ascii="Times New Roman" w:hAnsi="Times New Roman" w:cs="Times New Roman"/>
          <w:lang w:val="en"/>
        </w:rPr>
        <w:t xml:space="preserve">3.1 </w:t>
      </w:r>
      <w:r w:rsidR="005349EA" w:rsidRPr="00186843">
        <w:rPr>
          <w:lang w:val="en"/>
        </w:rPr>
        <w:t>Demographic Distribution of Participants</w:t>
      </w:r>
      <w:bookmarkEnd w:id="0"/>
    </w:p>
    <w:p w:rsidR="005349EA" w:rsidRPr="00186843" w:rsidRDefault="005349EA" w:rsidP="00761644">
      <w:pPr>
        <w:spacing w:before="240" w:line="480" w:lineRule="auto"/>
        <w:jc w:val="both"/>
        <w:rPr>
          <w:rFonts w:ascii="Arial" w:eastAsia="Calibri" w:hAnsi="Arial" w:cs="Arial"/>
          <w:sz w:val="20"/>
          <w:szCs w:val="20"/>
        </w:rPr>
      </w:pPr>
      <w:r w:rsidRPr="00186843">
        <w:rPr>
          <w:rFonts w:ascii="Arial" w:eastAsia="Calibri" w:hAnsi="Arial" w:cs="Arial"/>
          <w:sz w:val="20"/>
          <w:szCs w:val="20"/>
        </w:rPr>
        <w:t>Table</w:t>
      </w:r>
      <w:r w:rsidR="005F2AA3" w:rsidRPr="00186843">
        <w:rPr>
          <w:rFonts w:ascii="Arial" w:eastAsia="Calibri" w:hAnsi="Arial" w:cs="Arial"/>
          <w:sz w:val="20"/>
          <w:szCs w:val="20"/>
        </w:rPr>
        <w:t xml:space="preserve"> </w:t>
      </w:r>
      <w:r w:rsidRPr="00186843">
        <w:rPr>
          <w:rFonts w:ascii="Arial" w:eastAsia="Calibri" w:hAnsi="Arial" w:cs="Arial"/>
          <w:sz w:val="20"/>
          <w:szCs w:val="20"/>
        </w:rPr>
        <w:t xml:space="preserve">1 shows the background information of the participants across the diabetes, prediabetes, and non-diabetes groups. Most of the diabetic participants were aged 60 years and above, making up more than half of that group (56.4%). This suggests that diabetes was more common among older adults. There were slightly more females than males in all groups, </w:t>
      </w:r>
      <w:r w:rsidRPr="00186843">
        <w:rPr>
          <w:rFonts w:ascii="Arial" w:eastAsia="Calibri" w:hAnsi="Arial" w:cs="Arial"/>
          <w:sz w:val="20"/>
          <w:szCs w:val="20"/>
        </w:rPr>
        <w:lastRenderedPageBreak/>
        <w:t>but the difference was not significant. Most participants were married and had at least a secondary education. A majority were skilled workers, and there was an equal distribution of participants from urban and rural areas. None of these characteristics showed a statistically significant difference (p&gt; 0.05) across the three groups, meaning that the groups were generally similar in their demographic background.</w:t>
      </w:r>
      <w:bookmarkStart w:id="1" w:name="_Toc211441862"/>
    </w:p>
    <w:p w:rsidR="00761644" w:rsidRPr="00186843" w:rsidRDefault="00761644" w:rsidP="00761644">
      <w:pPr>
        <w:spacing w:before="240" w:line="480" w:lineRule="auto"/>
        <w:jc w:val="both"/>
        <w:rPr>
          <w:rFonts w:ascii="Arial" w:eastAsia="Calibri" w:hAnsi="Arial" w:cs="Arial"/>
          <w:sz w:val="20"/>
          <w:szCs w:val="20"/>
          <w:lang w:val="en"/>
        </w:rPr>
      </w:pPr>
    </w:p>
    <w:p w:rsidR="005349EA" w:rsidRPr="00186843" w:rsidRDefault="00302906" w:rsidP="005349EA">
      <w:pPr>
        <w:spacing w:line="259" w:lineRule="auto"/>
        <w:rPr>
          <w:rFonts w:ascii="Times New Roman" w:eastAsia="Times New Roman" w:hAnsi="Times New Roman" w:cs="Times New Roman"/>
          <w:bCs/>
          <w:color w:val="000000"/>
          <w:kern w:val="0"/>
          <w:szCs w:val="28"/>
          <w:lang w:eastAsia="ja-JP"/>
          <w14:ligatures w14:val="none"/>
        </w:rPr>
      </w:pPr>
      <w:r w:rsidRPr="00186843">
        <w:rPr>
          <w:rFonts w:ascii="Times New Roman" w:eastAsia="Times New Roman" w:hAnsi="Times New Roman" w:cs="Times New Roman"/>
          <w:bCs/>
          <w:color w:val="000000"/>
          <w:kern w:val="0"/>
          <w:szCs w:val="28"/>
          <w:lang w:eastAsia="ja-JP"/>
          <w14:ligatures w14:val="none"/>
        </w:rPr>
        <w:t xml:space="preserve">Table </w:t>
      </w:r>
      <w:r w:rsidR="005349EA" w:rsidRPr="00186843">
        <w:rPr>
          <w:rFonts w:ascii="Times New Roman" w:eastAsia="Times New Roman" w:hAnsi="Times New Roman" w:cs="Times New Roman"/>
          <w:bCs/>
          <w:color w:val="000000"/>
          <w:kern w:val="0"/>
          <w:szCs w:val="28"/>
          <w:lang w:eastAsia="ja-JP"/>
          <w14:ligatures w14:val="none"/>
        </w:rPr>
        <w:t>1: Demographic Distribution of Participants</w:t>
      </w:r>
      <w:bookmarkEnd w:id="1"/>
    </w:p>
    <w:tbl>
      <w:tblPr>
        <w:tblStyle w:val="ListTable6Colorful"/>
        <w:tblW w:w="9355" w:type="dxa"/>
        <w:tblLook w:val="04A0" w:firstRow="1" w:lastRow="0" w:firstColumn="1" w:lastColumn="0" w:noHBand="0" w:noVBand="1"/>
      </w:tblPr>
      <w:tblGrid>
        <w:gridCol w:w="1323"/>
        <w:gridCol w:w="1704"/>
        <w:gridCol w:w="1294"/>
        <w:gridCol w:w="1521"/>
        <w:gridCol w:w="1660"/>
        <w:gridCol w:w="714"/>
        <w:gridCol w:w="1139"/>
      </w:tblGrid>
      <w:tr w:rsidR="005349EA" w:rsidRPr="00186843" w:rsidTr="00761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rPr>
              <w:t>Variable</w:t>
            </w:r>
          </w:p>
        </w:tc>
        <w:tc>
          <w:tcPr>
            <w:tcW w:w="1704"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Category</w:t>
            </w:r>
          </w:p>
        </w:tc>
        <w:tc>
          <w:tcPr>
            <w:tcW w:w="1294"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Diabetes (n = 78)</w:t>
            </w:r>
          </w:p>
        </w:tc>
        <w:tc>
          <w:tcPr>
            <w:tcW w:w="1521"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Prediabetes (n = 36)</w:t>
            </w:r>
          </w:p>
        </w:tc>
        <w:tc>
          <w:tcPr>
            <w:tcW w:w="1660"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Non-diabetes (n = 19)</w:t>
            </w:r>
          </w:p>
        </w:tc>
        <w:tc>
          <w:tcPr>
            <w:tcW w:w="714"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 xml:space="preserve">χ² </w:t>
            </w:r>
          </w:p>
        </w:tc>
        <w:tc>
          <w:tcPr>
            <w:tcW w:w="1139" w:type="dxa"/>
            <w:hideMark/>
          </w:tcPr>
          <w:p w:rsidR="005349EA" w:rsidRPr="00186843"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86843">
              <w:rPr>
                <w:rFonts w:ascii="Times New Roman" w:eastAsia="Calibri" w:hAnsi="Times New Roman" w:cs="Times New Roman"/>
              </w:rPr>
              <w:t>p-value</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val="restart"/>
            <w:shd w:val="clear" w:color="auto" w:fill="auto"/>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Age Category (years)</w:t>
            </w: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&lt;30</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7 (9.0%)</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5 (13.9%)</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(15.8%)</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 xml:space="preserve">8.41 </w:t>
            </w: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0.078</w:t>
            </w: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6843" w:rsidRDefault="005349EA" w:rsidP="005349EA">
            <w:pPr>
              <w:jc w:val="both"/>
              <w:rPr>
                <w:rFonts w:ascii="Times New Roman" w:eastAsia="Calibri" w:hAnsi="Times New Roman" w:cs="Times New Roman"/>
                <w:b w:val="0"/>
                <w:bCs w:val="0"/>
              </w:rPr>
            </w:pP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30–39</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(3.8%)</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(8.3%)</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 (5.3%)</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40–49</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11 (14.1%)</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7 (19.4%)</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 (10.5%)</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6843" w:rsidRDefault="005349EA" w:rsidP="005349EA">
            <w:pPr>
              <w:jc w:val="both"/>
              <w:rPr>
                <w:rFonts w:ascii="Times New Roman" w:eastAsia="Calibri" w:hAnsi="Times New Roman" w:cs="Times New Roman"/>
                <w:b w:val="0"/>
                <w:bCs w:val="0"/>
              </w:rPr>
            </w:pP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50–59</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13 (16.7%)</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6 (16.7%)</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(15.8%)</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≥60</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44 (56.4%)</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15 (41.7%)</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10 (52.6%)</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Sex</w:t>
            </w: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Male</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36 (46.2%)</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16 (44.4%)</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8 (42.1%)</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 xml:space="preserve">0.22 </w:t>
            </w: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0.897</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Female</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42 (53.8%)</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20 (55.6%)</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11 (57.9%)</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Marital Status</w:t>
            </w: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Married</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52 (66.7%)</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27 (75.0%)</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11 (57.9%)</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 xml:space="preserve">3.16 </w:t>
            </w: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0.789</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Single</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12 (15.4%)</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 (11.1%)</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 (21.1%)</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6843" w:rsidRDefault="005349EA" w:rsidP="005349EA">
            <w:pPr>
              <w:jc w:val="both"/>
              <w:rPr>
                <w:rFonts w:ascii="Times New Roman" w:eastAsia="Calibri" w:hAnsi="Times New Roman" w:cs="Times New Roman"/>
                <w:b w:val="0"/>
                <w:bCs w:val="0"/>
              </w:rPr>
            </w:pP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Widowed</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10 (12.8%)</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 (5.6%)</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 (10.5%)</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Divorced</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 (5.1%)</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(8.3%)</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 (10.5%)</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Education Level</w:t>
            </w: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No education</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 (2.6%)</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 (2.8%)</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 (5.3%)</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 xml:space="preserve">7.24 </w:t>
            </w: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0.298</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Primary</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20 (25.6%)</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10 (27.8%)</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 (15.8%)</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6843" w:rsidRDefault="005349EA" w:rsidP="005349EA">
            <w:pPr>
              <w:jc w:val="both"/>
              <w:rPr>
                <w:rFonts w:ascii="Times New Roman" w:eastAsia="Calibri" w:hAnsi="Times New Roman" w:cs="Times New Roman"/>
                <w:b w:val="0"/>
                <w:bCs w:val="0"/>
              </w:rPr>
            </w:pP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Secondary</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47 (60.3%)</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18 (50.0%)</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11 (57.9%)</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Tertiary</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9 (11.5%)</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7 (19.4%)</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 (21.1%)</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Occupation</w:t>
            </w: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Skilled</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52 (66.7%)</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23 (63.9%)</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13 (68.4%)</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 xml:space="preserve">0.12 </w:t>
            </w: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0.941</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Unskilled</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26 (33.3%)</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13 (36.1%)</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6 (31.6%)</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Household Income</w:t>
            </w:r>
          </w:p>
        </w:tc>
        <w:tc>
          <w:tcPr>
            <w:tcW w:w="1704" w:type="dxa"/>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Low (&lt;50,000)</w:t>
            </w:r>
          </w:p>
        </w:tc>
        <w:tc>
          <w:tcPr>
            <w:tcW w:w="1294"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33 (42.3%)</w:t>
            </w:r>
          </w:p>
        </w:tc>
        <w:tc>
          <w:tcPr>
            <w:tcW w:w="1521"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11 (30.6%)</w:t>
            </w:r>
          </w:p>
        </w:tc>
        <w:tc>
          <w:tcPr>
            <w:tcW w:w="1660"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 (21.1%)</w:t>
            </w:r>
          </w:p>
        </w:tc>
        <w:tc>
          <w:tcPr>
            <w:tcW w:w="714"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4.62</w:t>
            </w:r>
          </w:p>
        </w:tc>
        <w:tc>
          <w:tcPr>
            <w:tcW w:w="1139"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0.202</w:t>
            </w: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tcPr>
          <w:p w:rsidR="005349EA" w:rsidRPr="00186843" w:rsidRDefault="005349EA" w:rsidP="005349EA">
            <w:pPr>
              <w:jc w:val="both"/>
              <w:rPr>
                <w:rFonts w:ascii="Times New Roman" w:eastAsia="Calibri" w:hAnsi="Times New Roman" w:cs="Times New Roman"/>
                <w:b w:val="0"/>
                <w:bCs w:val="0"/>
              </w:rPr>
            </w:pPr>
          </w:p>
        </w:tc>
        <w:tc>
          <w:tcPr>
            <w:tcW w:w="1704" w:type="dxa"/>
            <w:shd w:val="clear" w:color="auto" w:fill="auto"/>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Medium (50,000 – 150,000)</w:t>
            </w:r>
          </w:p>
        </w:tc>
        <w:tc>
          <w:tcPr>
            <w:tcW w:w="1294" w:type="dxa"/>
            <w:shd w:val="clear" w:color="auto" w:fill="auto"/>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27 (34.6%)</w:t>
            </w:r>
          </w:p>
        </w:tc>
        <w:tc>
          <w:tcPr>
            <w:tcW w:w="1521" w:type="dxa"/>
            <w:shd w:val="clear" w:color="auto" w:fill="auto"/>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15 (41.7%)</w:t>
            </w:r>
          </w:p>
        </w:tc>
        <w:tc>
          <w:tcPr>
            <w:tcW w:w="1660" w:type="dxa"/>
            <w:shd w:val="clear" w:color="auto" w:fill="auto"/>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8 (42.1%)</w:t>
            </w:r>
          </w:p>
        </w:tc>
        <w:tc>
          <w:tcPr>
            <w:tcW w:w="714" w:type="dxa"/>
            <w:shd w:val="clear" w:color="auto" w:fill="auto"/>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6843" w:rsidRDefault="005349EA" w:rsidP="005349EA">
            <w:pPr>
              <w:jc w:val="both"/>
              <w:rPr>
                <w:rFonts w:ascii="Times New Roman" w:eastAsia="Calibri" w:hAnsi="Times New Roman" w:cs="Times New Roman"/>
                <w:b w:val="0"/>
                <w:bCs w:val="0"/>
              </w:rPr>
            </w:pPr>
          </w:p>
        </w:tc>
        <w:tc>
          <w:tcPr>
            <w:tcW w:w="1704" w:type="dxa"/>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High (&gt; 150,000)</w:t>
            </w:r>
          </w:p>
        </w:tc>
        <w:tc>
          <w:tcPr>
            <w:tcW w:w="1294"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18 (23.1%)</w:t>
            </w:r>
          </w:p>
        </w:tc>
        <w:tc>
          <w:tcPr>
            <w:tcW w:w="1521"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10 (27.8%)</w:t>
            </w:r>
          </w:p>
        </w:tc>
        <w:tc>
          <w:tcPr>
            <w:tcW w:w="1660"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7 (36.8%)</w:t>
            </w:r>
          </w:p>
        </w:tc>
        <w:tc>
          <w:tcPr>
            <w:tcW w:w="714"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186843"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hideMark/>
          </w:tcPr>
          <w:p w:rsidR="005349EA" w:rsidRPr="00186843" w:rsidRDefault="005349EA" w:rsidP="005349EA">
            <w:pPr>
              <w:jc w:val="both"/>
              <w:rPr>
                <w:rFonts w:ascii="Times New Roman" w:eastAsia="Calibri" w:hAnsi="Times New Roman" w:cs="Times New Roman"/>
                <w:b w:val="0"/>
                <w:bCs w:val="0"/>
              </w:rPr>
            </w:pPr>
            <w:r w:rsidRPr="00186843">
              <w:rPr>
                <w:rFonts w:ascii="Times New Roman" w:eastAsia="Calibri" w:hAnsi="Times New Roman" w:cs="Times New Roman"/>
                <w:b w:val="0"/>
                <w:bCs w:val="0"/>
              </w:rPr>
              <w:t>Settlement</w:t>
            </w:r>
          </w:p>
        </w:tc>
        <w:tc>
          <w:tcPr>
            <w:tcW w:w="1704" w:type="dxa"/>
            <w:shd w:val="clear" w:color="auto" w:fill="auto"/>
            <w:hideMark/>
          </w:tcPr>
          <w:p w:rsidR="005349EA" w:rsidRPr="00186843"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Urban</w:t>
            </w:r>
          </w:p>
        </w:tc>
        <w:tc>
          <w:tcPr>
            <w:tcW w:w="129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39 (50.0%)</w:t>
            </w:r>
          </w:p>
        </w:tc>
        <w:tc>
          <w:tcPr>
            <w:tcW w:w="1521"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18 (50.0%)</w:t>
            </w:r>
          </w:p>
        </w:tc>
        <w:tc>
          <w:tcPr>
            <w:tcW w:w="1660"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10 (52.6%)</w:t>
            </w:r>
          </w:p>
        </w:tc>
        <w:tc>
          <w:tcPr>
            <w:tcW w:w="714"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0.07 (2)</w:t>
            </w:r>
          </w:p>
        </w:tc>
        <w:tc>
          <w:tcPr>
            <w:tcW w:w="1139" w:type="dxa"/>
            <w:shd w:val="clear" w:color="auto" w:fill="auto"/>
            <w:hideMark/>
          </w:tcPr>
          <w:p w:rsidR="005349EA" w:rsidRPr="00186843"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0.965</w:t>
            </w:r>
          </w:p>
        </w:tc>
      </w:tr>
      <w:tr w:rsidR="005349EA" w:rsidRPr="00186843" w:rsidTr="00761644">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186843" w:rsidRDefault="005349EA" w:rsidP="005349EA">
            <w:pPr>
              <w:jc w:val="both"/>
              <w:rPr>
                <w:rFonts w:ascii="Times New Roman" w:eastAsia="Calibri" w:hAnsi="Times New Roman" w:cs="Times New Roman"/>
              </w:rPr>
            </w:pPr>
          </w:p>
        </w:tc>
        <w:tc>
          <w:tcPr>
            <w:tcW w:w="1704" w:type="dxa"/>
            <w:hideMark/>
          </w:tcPr>
          <w:p w:rsidR="005349EA" w:rsidRPr="00186843"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Rural</w:t>
            </w:r>
          </w:p>
        </w:tc>
        <w:tc>
          <w:tcPr>
            <w:tcW w:w="129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39 (50.0%)</w:t>
            </w:r>
          </w:p>
        </w:tc>
        <w:tc>
          <w:tcPr>
            <w:tcW w:w="1521"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18 (50.0%)</w:t>
            </w:r>
          </w:p>
        </w:tc>
        <w:tc>
          <w:tcPr>
            <w:tcW w:w="1660"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86843">
              <w:rPr>
                <w:rFonts w:ascii="Times New Roman" w:eastAsia="Calibri" w:hAnsi="Times New Roman" w:cs="Times New Roman"/>
              </w:rPr>
              <w:t>9 (47.4%)</w:t>
            </w:r>
          </w:p>
        </w:tc>
        <w:tc>
          <w:tcPr>
            <w:tcW w:w="714"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186843"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5349EA" w:rsidRPr="00186843" w:rsidRDefault="00761644" w:rsidP="00747229">
      <w:pPr>
        <w:spacing w:line="480" w:lineRule="auto"/>
        <w:jc w:val="both"/>
        <w:rPr>
          <w:rFonts w:ascii="Times New Roman" w:hAnsi="Times New Roman" w:cs="Times New Roman"/>
        </w:rPr>
      </w:pPr>
      <w:r w:rsidRPr="00186843">
        <w:rPr>
          <w:rFonts w:ascii="Times New Roman" w:eastAsia="Calibri" w:hAnsi="Times New Roman" w:cs="Times New Roman"/>
        </w:rPr>
        <w:t>χ²: Chi-square statistic</w:t>
      </w:r>
    </w:p>
    <w:p w:rsidR="008123E0" w:rsidRPr="00186843" w:rsidRDefault="005F2AA3" w:rsidP="008123E0">
      <w:pPr>
        <w:keepNext/>
        <w:keepLines/>
        <w:spacing w:before="240" w:after="0" w:line="480" w:lineRule="auto"/>
        <w:jc w:val="both"/>
        <w:outlineLvl w:val="1"/>
        <w:rPr>
          <w:rFonts w:ascii="Arial" w:eastAsia="Times New Roman" w:hAnsi="Arial" w:cs="Arial"/>
          <w:b/>
          <w:color w:val="000000"/>
          <w:kern w:val="0"/>
          <w:sz w:val="22"/>
          <w:szCs w:val="22"/>
          <w:lang w:val="en"/>
        </w:rPr>
      </w:pPr>
      <w:r w:rsidRPr="00186843">
        <w:rPr>
          <w:rFonts w:ascii="Times New Roman" w:eastAsia="Times New Roman" w:hAnsi="Times New Roman" w:cs="Times New Roman"/>
          <w:b/>
          <w:color w:val="000000"/>
          <w:kern w:val="0"/>
          <w:szCs w:val="32"/>
          <w:lang w:val="en"/>
        </w:rPr>
        <w:lastRenderedPageBreak/>
        <w:t xml:space="preserve">3.2 </w:t>
      </w:r>
      <w:r w:rsidR="008123E0" w:rsidRPr="00186843">
        <w:rPr>
          <w:rFonts w:ascii="Arial" w:eastAsia="Times New Roman" w:hAnsi="Arial" w:cs="Arial"/>
          <w:b/>
          <w:color w:val="000000"/>
          <w:kern w:val="0"/>
          <w:sz w:val="22"/>
          <w:szCs w:val="22"/>
          <w:lang w:val="en"/>
        </w:rPr>
        <w:t>Anthropometric Parameters of Participants</w:t>
      </w:r>
    </w:p>
    <w:p w:rsidR="008123E0" w:rsidRPr="00186843" w:rsidRDefault="008123E0" w:rsidP="008123E0">
      <w:pPr>
        <w:spacing w:line="480" w:lineRule="auto"/>
        <w:jc w:val="both"/>
        <w:rPr>
          <w:rFonts w:ascii="Arial" w:eastAsia="Calibri" w:hAnsi="Arial" w:cs="Arial"/>
          <w:sz w:val="20"/>
          <w:szCs w:val="20"/>
          <w:lang w:val="en"/>
        </w:rPr>
      </w:pPr>
      <w:r w:rsidRPr="00186843">
        <w:rPr>
          <w:rFonts w:ascii="Arial" w:eastAsia="Calibri" w:hAnsi="Arial" w:cs="Arial"/>
          <w:sz w:val="20"/>
          <w:szCs w:val="20"/>
        </w:rPr>
        <w:t>From the body measurements as shown in Table 2, diabetic participants had a much higher average Body Mass Index (29.31 ± 3.93) than prediabetic (26.58 ± 3.27) and non-diabetic (21.68 ± 1.83) participants. All diabetic participants were classified as having high BMI, while all non-diabetic participants had normal. The differences in Body Mass Index (BMI) were statistically significant (</w:t>
      </w:r>
      <w:r w:rsidR="005F2AA3" w:rsidRPr="00186843">
        <w:rPr>
          <w:rFonts w:ascii="Arial" w:eastAsia="Calibri" w:hAnsi="Arial" w:cs="Arial"/>
          <w:b/>
          <w:bCs/>
          <w:i/>
          <w:iCs/>
          <w:sz w:val="20"/>
          <w:szCs w:val="20"/>
        </w:rPr>
        <w:t>P</w:t>
      </w:r>
      <w:r w:rsidRPr="00186843">
        <w:rPr>
          <w:rFonts w:ascii="Arial" w:eastAsia="Calibri" w:hAnsi="Arial" w:cs="Arial"/>
          <w:sz w:val="20"/>
          <w:szCs w:val="20"/>
        </w:rPr>
        <w:t xml:space="preserve"> &lt; 0.001). For waist circumference (WC), the difference in mean values across groups was significant (</w:t>
      </w:r>
      <w:r w:rsidR="005F2AA3" w:rsidRPr="00186843">
        <w:rPr>
          <w:rFonts w:ascii="Arial" w:eastAsia="Calibri" w:hAnsi="Arial" w:cs="Arial"/>
          <w:i/>
          <w:iCs/>
          <w:sz w:val="20"/>
          <w:szCs w:val="20"/>
        </w:rPr>
        <w:t xml:space="preserve">P </w:t>
      </w:r>
      <w:r w:rsidRPr="00186843">
        <w:rPr>
          <w:rFonts w:ascii="Arial" w:eastAsia="Calibri" w:hAnsi="Arial" w:cs="Arial"/>
          <w:sz w:val="20"/>
          <w:szCs w:val="20"/>
        </w:rPr>
        <w:t>= 0.033), suggesting abdominal obesity was more pronounced in the prediabetic group. Hip circumference (HC) also differed significantly (</w:t>
      </w:r>
      <w:r w:rsidR="005F2AA3" w:rsidRPr="00186843">
        <w:rPr>
          <w:rFonts w:ascii="Arial" w:eastAsia="Calibri" w:hAnsi="Arial" w:cs="Arial"/>
          <w:b/>
          <w:bCs/>
          <w:i/>
          <w:iCs/>
          <w:sz w:val="20"/>
          <w:szCs w:val="20"/>
        </w:rPr>
        <w:t>P</w:t>
      </w:r>
      <w:r w:rsidRPr="00186843">
        <w:rPr>
          <w:rFonts w:ascii="Arial" w:eastAsia="Calibri" w:hAnsi="Arial" w:cs="Arial"/>
          <w:sz w:val="20"/>
          <w:szCs w:val="20"/>
        </w:rPr>
        <w:t xml:space="preserve"> = 0.018), being larger in the diabetic and prediabetic groups compared to the normal group. However, the waist-to-hip ratio (WHR) showed no significant difference (</w:t>
      </w:r>
      <w:r w:rsidR="005F2AA3" w:rsidRPr="00186843">
        <w:rPr>
          <w:rFonts w:ascii="Arial" w:eastAsia="Calibri" w:hAnsi="Arial" w:cs="Arial"/>
          <w:b/>
          <w:bCs/>
          <w:i/>
          <w:iCs/>
          <w:sz w:val="20"/>
          <w:szCs w:val="20"/>
        </w:rPr>
        <w:t>P</w:t>
      </w:r>
      <w:r w:rsidRPr="00186843">
        <w:rPr>
          <w:rFonts w:ascii="Arial" w:eastAsia="Calibri" w:hAnsi="Arial" w:cs="Arial"/>
          <w:sz w:val="20"/>
          <w:szCs w:val="20"/>
        </w:rPr>
        <w:t xml:space="preserve"> = 0.284). This means obesity and central fat accumulation were more common among diabetic participants, and these differences were statistically meaningful for BMI, WC, and HC, but not for WHR.</w:t>
      </w:r>
    </w:p>
    <w:p w:rsidR="008123E0" w:rsidRPr="00186843" w:rsidRDefault="008123E0" w:rsidP="008123E0">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2" w:name="_Toc211441865"/>
      <w:r w:rsidRPr="00186843">
        <w:rPr>
          <w:rFonts w:ascii="Times New Roman" w:eastAsia="Times New Roman" w:hAnsi="Times New Roman" w:cs="Times New Roman"/>
          <w:bCs/>
          <w:color w:val="000000"/>
          <w:kern w:val="0"/>
          <w:szCs w:val="28"/>
          <w:lang w:eastAsia="ja-JP"/>
          <w14:ligatures w14:val="none"/>
        </w:rPr>
        <w:t>Table 2: Anthropometric Parameters of Participants</w:t>
      </w:r>
      <w:bookmarkEnd w:id="2"/>
      <w:r w:rsidRPr="00186843">
        <w:rPr>
          <w:rFonts w:ascii="Times New Roman" w:eastAsia="Times New Roman" w:hAnsi="Times New Roman" w:cs="Times New Roman"/>
          <w:bCs/>
          <w:color w:val="000000"/>
          <w:kern w:val="0"/>
          <w:szCs w:val="28"/>
          <w:lang w:eastAsia="ja-JP"/>
          <w14:ligatures w14:val="none"/>
        </w:rPr>
        <w:t xml:space="preserve"> </w:t>
      </w:r>
    </w:p>
    <w:tbl>
      <w:tblPr>
        <w:tblStyle w:val="ListTable6Colorful1"/>
        <w:tblW w:w="0" w:type="auto"/>
        <w:tblLook w:val="04A0" w:firstRow="1" w:lastRow="0" w:firstColumn="1" w:lastColumn="0" w:noHBand="0" w:noVBand="1"/>
      </w:tblPr>
      <w:tblGrid>
        <w:gridCol w:w="1832"/>
        <w:gridCol w:w="1736"/>
        <w:gridCol w:w="2066"/>
        <w:gridCol w:w="1598"/>
        <w:gridCol w:w="976"/>
      </w:tblGrid>
      <w:tr w:rsidR="008123E0" w:rsidRPr="00186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D3B4F">
            <w:pPr>
              <w:spacing w:line="360" w:lineRule="auto"/>
              <w:jc w:val="both"/>
              <w:rPr>
                <w:rFonts w:ascii="Arial" w:eastAsia="Calibri" w:hAnsi="Arial" w:cs="Arial"/>
              </w:rPr>
            </w:pPr>
            <w:r w:rsidRPr="00186843">
              <w:rPr>
                <w:rFonts w:ascii="Arial" w:eastAsia="Calibri" w:hAnsi="Arial" w:cs="Arial"/>
              </w:rPr>
              <w:t>Parameter</w:t>
            </w:r>
          </w:p>
        </w:tc>
        <w:tc>
          <w:tcPr>
            <w:tcW w:w="0" w:type="auto"/>
            <w:hideMark/>
          </w:tcPr>
          <w:p w:rsidR="008123E0" w:rsidRPr="00186843"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Diabetes (n=78)</w:t>
            </w:r>
          </w:p>
        </w:tc>
        <w:tc>
          <w:tcPr>
            <w:tcW w:w="0" w:type="auto"/>
            <w:hideMark/>
          </w:tcPr>
          <w:p w:rsidR="008123E0" w:rsidRPr="00186843"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Prediabetes (n=36)</w:t>
            </w:r>
          </w:p>
        </w:tc>
        <w:tc>
          <w:tcPr>
            <w:tcW w:w="0" w:type="auto"/>
            <w:hideMark/>
          </w:tcPr>
          <w:p w:rsidR="008123E0" w:rsidRPr="00186843"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Normal (n=19)</w:t>
            </w:r>
          </w:p>
        </w:tc>
        <w:tc>
          <w:tcPr>
            <w:tcW w:w="0" w:type="auto"/>
          </w:tcPr>
          <w:p w:rsidR="008123E0" w:rsidRPr="00186843"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P-Value</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BMI (</w:t>
            </w:r>
            <w:proofErr w:type="spellStart"/>
            <w:r w:rsidRPr="00186843">
              <w:rPr>
                <w:rFonts w:ascii="Arial" w:eastAsia="Calibri" w:hAnsi="Arial" w:cs="Arial"/>
                <w:b w:val="0"/>
                <w:bCs w:val="0"/>
              </w:rPr>
              <w:t>Mean±SD</w:t>
            </w:r>
            <w:proofErr w:type="spellEnd"/>
            <w:r w:rsidRPr="00186843">
              <w:rPr>
                <w:rFonts w:ascii="Arial" w:eastAsia="Calibri" w:hAnsi="Arial" w:cs="Arial"/>
                <w:b w:val="0"/>
                <w:bCs w:val="0"/>
              </w:rPr>
              <w:t>)</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29.31 ± 3.93</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26.58 ± 3.27</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21.68 ± 1.83</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&lt; 0.001</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BMI Normal</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 (0.0%)</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12 (33.3%)</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19 (100.0%)</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&lt; 0.001</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BMI High</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78 (100.0%)</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24 (66.7%)</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 (0.0%)</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&lt; 0.001</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WC (</w:t>
            </w:r>
            <w:proofErr w:type="spellStart"/>
            <w:r w:rsidRPr="00186843">
              <w:rPr>
                <w:rFonts w:ascii="Arial" w:eastAsia="Calibri" w:hAnsi="Arial" w:cs="Arial"/>
                <w:b w:val="0"/>
                <w:bCs w:val="0"/>
              </w:rPr>
              <w:t>Mean±SD</w:t>
            </w:r>
            <w:proofErr w:type="spellEnd"/>
            <w:r w:rsidRPr="00186843">
              <w:rPr>
                <w:rFonts w:ascii="Arial" w:eastAsia="Calibri" w:hAnsi="Arial" w:cs="Arial"/>
                <w:b w:val="0"/>
                <w:bCs w:val="0"/>
              </w:rPr>
              <w:t>)</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90.71 ± 16.57</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97.28 ± 21.17</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90.21 ± 18.45</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0.033</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WC Normal</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31 (39.7%)</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11 (30.6%)</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8 (42.1%)</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0.291</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WC High</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47 (60.3%)</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25 (69.4%)</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11 (57.9%)</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0.291</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HC (</w:t>
            </w:r>
            <w:proofErr w:type="spellStart"/>
            <w:r w:rsidRPr="00186843">
              <w:rPr>
                <w:rFonts w:ascii="Arial" w:eastAsia="Calibri" w:hAnsi="Arial" w:cs="Arial"/>
                <w:b w:val="0"/>
                <w:bCs w:val="0"/>
              </w:rPr>
              <w:t>Mean±SD</w:t>
            </w:r>
            <w:proofErr w:type="spellEnd"/>
            <w:r w:rsidRPr="00186843">
              <w:rPr>
                <w:rFonts w:ascii="Arial" w:eastAsia="Calibri" w:hAnsi="Arial" w:cs="Arial"/>
                <w:b w:val="0"/>
                <w:bCs w:val="0"/>
              </w:rPr>
              <w:t>)</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91.53 ± 9.58</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92.95 ± 10.75</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83.56 ± 10.74</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0.018</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HC Normal</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72 (92.3%)</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31 (86.1%)</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19 (100.0%)</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0.237</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HC High</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6 (7.7%)</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5 (13.9%)</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 (0.0%)</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0.237</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lastRenderedPageBreak/>
              <w:t>WHR (</w:t>
            </w:r>
            <w:proofErr w:type="spellStart"/>
            <w:r w:rsidRPr="00186843">
              <w:rPr>
                <w:rFonts w:ascii="Arial" w:eastAsia="Calibri" w:hAnsi="Arial" w:cs="Arial"/>
                <w:b w:val="0"/>
                <w:bCs w:val="0"/>
              </w:rPr>
              <w:t>Mean±SD</w:t>
            </w:r>
            <w:proofErr w:type="spellEnd"/>
            <w:r w:rsidRPr="00186843">
              <w:rPr>
                <w:rFonts w:ascii="Arial" w:eastAsia="Calibri" w:hAnsi="Arial" w:cs="Arial"/>
                <w:b w:val="0"/>
                <w:bCs w:val="0"/>
              </w:rPr>
              <w:t>)</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1.00 ± 0.18</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1.06 ± 0.24</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1.09 ± 0.21</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0.284</w:t>
            </w:r>
          </w:p>
        </w:tc>
      </w:tr>
      <w:tr w:rsidR="008123E0" w:rsidRPr="00186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WHR Normal</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8 (10.3%)</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2 (5.6%)</w:t>
            </w:r>
          </w:p>
        </w:tc>
        <w:tc>
          <w:tcPr>
            <w:tcW w:w="0" w:type="auto"/>
            <w:shd w:val="clear" w:color="auto" w:fill="auto"/>
            <w:hideMark/>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1 (5.3%)</w:t>
            </w:r>
          </w:p>
        </w:tc>
        <w:tc>
          <w:tcPr>
            <w:tcW w:w="0" w:type="auto"/>
            <w:shd w:val="clear" w:color="auto" w:fill="auto"/>
          </w:tcPr>
          <w:p w:rsidR="008123E0" w:rsidRPr="00186843"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86843">
              <w:rPr>
                <w:rFonts w:ascii="Arial" w:eastAsia="Calibri" w:hAnsi="Arial" w:cs="Arial"/>
              </w:rPr>
              <w:t>0.810</w:t>
            </w:r>
          </w:p>
        </w:tc>
      </w:tr>
      <w:tr w:rsidR="008123E0" w:rsidRPr="00186843">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86843" w:rsidRDefault="008123E0" w:rsidP="001E5287">
            <w:pPr>
              <w:spacing w:line="480" w:lineRule="auto"/>
              <w:jc w:val="both"/>
              <w:rPr>
                <w:rFonts w:ascii="Arial" w:eastAsia="Calibri" w:hAnsi="Arial" w:cs="Arial"/>
                <w:b w:val="0"/>
                <w:bCs w:val="0"/>
              </w:rPr>
            </w:pPr>
            <w:r w:rsidRPr="00186843">
              <w:rPr>
                <w:rFonts w:ascii="Arial" w:eastAsia="Calibri" w:hAnsi="Arial" w:cs="Arial"/>
                <w:b w:val="0"/>
                <w:bCs w:val="0"/>
              </w:rPr>
              <w:t>WHR High</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70 (89.7%)</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34 (94.4%)</w:t>
            </w:r>
          </w:p>
        </w:tc>
        <w:tc>
          <w:tcPr>
            <w:tcW w:w="0" w:type="auto"/>
            <w:hideMark/>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18 (94.7%)</w:t>
            </w:r>
          </w:p>
        </w:tc>
        <w:tc>
          <w:tcPr>
            <w:tcW w:w="0" w:type="auto"/>
          </w:tcPr>
          <w:p w:rsidR="008123E0" w:rsidRPr="00186843"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86843">
              <w:rPr>
                <w:rFonts w:ascii="Arial" w:eastAsia="Calibri" w:hAnsi="Arial" w:cs="Arial"/>
              </w:rPr>
              <w:t>0.810</w:t>
            </w:r>
          </w:p>
        </w:tc>
      </w:tr>
    </w:tbl>
    <w:p w:rsidR="006109B7" w:rsidRPr="00186843" w:rsidRDefault="006109B7" w:rsidP="001E5287">
      <w:pPr>
        <w:spacing w:line="480" w:lineRule="auto"/>
        <w:jc w:val="both"/>
        <w:rPr>
          <w:rFonts w:ascii="Times New Roman" w:hAnsi="Times New Roman" w:cs="Times New Roman"/>
        </w:rPr>
      </w:pPr>
    </w:p>
    <w:p w:rsidR="001D3B4F" w:rsidRPr="00186843" w:rsidRDefault="001D3B4F" w:rsidP="006109B7">
      <w:pPr>
        <w:rPr>
          <w:rFonts w:ascii="Arial" w:hAnsi="Arial" w:cs="Arial"/>
          <w:b/>
          <w:bCs/>
          <w:sz w:val="22"/>
          <w:szCs w:val="22"/>
        </w:rPr>
      </w:pPr>
    </w:p>
    <w:p w:rsidR="006109B7" w:rsidRPr="00186843" w:rsidRDefault="006109B7" w:rsidP="007B7ADF">
      <w:pPr>
        <w:pStyle w:val="Heading2"/>
      </w:pPr>
      <w:r w:rsidRPr="00186843">
        <w:t>3.3 Biochemical Parameters of Participants</w:t>
      </w:r>
    </w:p>
    <w:p w:rsidR="006109B7" w:rsidRPr="00186843" w:rsidRDefault="006109B7" w:rsidP="00E43B2D">
      <w:pPr>
        <w:spacing w:line="480" w:lineRule="auto"/>
        <w:jc w:val="both"/>
        <w:rPr>
          <w:rFonts w:ascii="Arial" w:hAnsi="Arial" w:cs="Arial"/>
          <w:sz w:val="20"/>
          <w:szCs w:val="20"/>
        </w:rPr>
      </w:pPr>
      <w:r w:rsidRPr="00186843">
        <w:rPr>
          <w:rFonts w:ascii="Arial" w:hAnsi="Arial" w:cs="Arial"/>
          <w:sz w:val="20"/>
          <w:szCs w:val="20"/>
        </w:rPr>
        <w:t>The biochemical markers as shown in Table 3 show that Fasting blood glucose (FBG) showed a highly significant difference among the groups (</w:t>
      </w:r>
      <w:r w:rsidRPr="00186843">
        <w:rPr>
          <w:rFonts w:ascii="Arial" w:hAnsi="Arial" w:cs="Arial"/>
          <w:b/>
          <w:bCs/>
          <w:i/>
          <w:iCs/>
          <w:sz w:val="20"/>
          <w:szCs w:val="20"/>
        </w:rPr>
        <w:t>P</w:t>
      </w:r>
      <w:r w:rsidRPr="00186843">
        <w:rPr>
          <w:rFonts w:ascii="Arial" w:hAnsi="Arial" w:cs="Arial"/>
          <w:sz w:val="20"/>
          <w:szCs w:val="20"/>
        </w:rPr>
        <w:t xml:space="preserve"> &lt; 0.001). Diabetic participants had the highest FBG (13.06 ± 3.86 mmol/L), followed by prediabetic (6.26 ± 0.43 mmol/L) and non-diabetic (4.40 ± 0.59 mmol/L) groups. This result confirms the classification of the groups and shows strong statistical difference. Other parameters urea (p = 0.618), creatinine (p = 0.972), cystatin C (p = 0.451), microalbuminuria (p = 0.247), and urine glucose (p = 0.142) did not differ significantly. This means that, at the time of measurement, there were no major biochemical differences in kidney function markers among the groups despite differences in glucose levels.</w:t>
      </w:r>
      <w:bookmarkStart w:id="3" w:name="_Toc211441870"/>
      <w:r w:rsidR="00761644" w:rsidRPr="00186843">
        <w:rPr>
          <w:rFonts w:ascii="Arial" w:hAnsi="Arial" w:cs="Arial"/>
          <w:sz w:val="20"/>
          <w:szCs w:val="20"/>
        </w:rPr>
        <w:t xml:space="preserve"> Interestingly, BMI appeared to differentiate glycemic groups more strongly than renal biomarkers. This finding suggests that metabolic risk factors such as obesity may precede measurable renal abnormalities in newly diagnosed diabetes. It also aligns with evidence that structural kidney changes lag behind metabolic dysregulation (</w:t>
      </w:r>
      <w:proofErr w:type="spellStart"/>
      <w:r w:rsidR="00761644" w:rsidRPr="00186843">
        <w:rPr>
          <w:rFonts w:ascii="Arial" w:hAnsi="Arial" w:cs="Arial"/>
          <w:sz w:val="20"/>
          <w:szCs w:val="20"/>
        </w:rPr>
        <w:t>Shilpasree</w:t>
      </w:r>
      <w:proofErr w:type="spellEnd"/>
      <w:r w:rsidR="00761644" w:rsidRPr="00186843">
        <w:rPr>
          <w:rFonts w:ascii="Arial" w:hAnsi="Arial" w:cs="Arial"/>
          <w:sz w:val="20"/>
          <w:szCs w:val="20"/>
        </w:rPr>
        <w:t xml:space="preserve"> et al., 2021).</w:t>
      </w:r>
    </w:p>
    <w:p w:rsidR="006109B7" w:rsidRPr="00186843" w:rsidRDefault="006109B7" w:rsidP="007B7ADF">
      <w:pPr>
        <w:pStyle w:val="TOCHeading1"/>
      </w:pPr>
      <w:r w:rsidRPr="00186843">
        <w:t>Table 3: Biochemical Parameters of Participants</w:t>
      </w:r>
      <w:bookmarkEnd w:id="3"/>
    </w:p>
    <w:tbl>
      <w:tblPr>
        <w:tblStyle w:val="ListTable6Colorful"/>
        <w:tblW w:w="9085" w:type="dxa"/>
        <w:tblLook w:val="04A0" w:firstRow="1" w:lastRow="0" w:firstColumn="1" w:lastColumn="0" w:noHBand="0" w:noVBand="1"/>
      </w:tblPr>
      <w:tblGrid>
        <w:gridCol w:w="1963"/>
        <w:gridCol w:w="1722"/>
        <w:gridCol w:w="1620"/>
        <w:gridCol w:w="1620"/>
        <w:gridCol w:w="1080"/>
        <w:gridCol w:w="1080"/>
      </w:tblGrid>
      <w:tr w:rsidR="006109B7" w:rsidRPr="00186843"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86843" w:rsidRDefault="006109B7" w:rsidP="001D3B4F">
            <w:pPr>
              <w:spacing w:after="160" w:line="276" w:lineRule="auto"/>
              <w:rPr>
                <w:rFonts w:ascii="Arial" w:hAnsi="Arial" w:cs="Arial"/>
                <w:b w:val="0"/>
                <w:bCs w:val="0"/>
                <w:sz w:val="20"/>
                <w:szCs w:val="20"/>
              </w:rPr>
            </w:pPr>
          </w:p>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sz w:val="20"/>
                <w:szCs w:val="20"/>
              </w:rPr>
              <w:t>Parameter</w:t>
            </w:r>
          </w:p>
        </w:tc>
        <w:tc>
          <w:tcPr>
            <w:tcW w:w="1722" w:type="dxa"/>
            <w:hideMark/>
          </w:tcPr>
          <w:p w:rsidR="006109B7" w:rsidRPr="00186843"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6843">
              <w:rPr>
                <w:rFonts w:ascii="Arial" w:hAnsi="Arial" w:cs="Arial"/>
                <w:sz w:val="20"/>
                <w:szCs w:val="20"/>
              </w:rPr>
              <w:t>Diabetes (n=78)</w:t>
            </w:r>
          </w:p>
        </w:tc>
        <w:tc>
          <w:tcPr>
            <w:tcW w:w="1620" w:type="dxa"/>
            <w:hideMark/>
          </w:tcPr>
          <w:p w:rsidR="006109B7" w:rsidRPr="00186843"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6843">
              <w:rPr>
                <w:rFonts w:ascii="Arial" w:hAnsi="Arial" w:cs="Arial"/>
                <w:sz w:val="20"/>
                <w:szCs w:val="20"/>
              </w:rPr>
              <w:t>Prediabetes (n=36)</w:t>
            </w:r>
          </w:p>
        </w:tc>
        <w:tc>
          <w:tcPr>
            <w:tcW w:w="1620" w:type="dxa"/>
            <w:hideMark/>
          </w:tcPr>
          <w:p w:rsidR="006109B7" w:rsidRPr="00186843"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6843">
              <w:rPr>
                <w:rFonts w:ascii="Arial" w:hAnsi="Arial" w:cs="Arial"/>
                <w:sz w:val="20"/>
                <w:szCs w:val="20"/>
              </w:rPr>
              <w:t>Normal (n=19)</w:t>
            </w:r>
          </w:p>
        </w:tc>
        <w:tc>
          <w:tcPr>
            <w:tcW w:w="1080" w:type="dxa"/>
          </w:tcPr>
          <w:p w:rsidR="006109B7" w:rsidRPr="00186843"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6843">
              <w:rPr>
                <w:rFonts w:ascii="Arial" w:hAnsi="Arial" w:cs="Arial"/>
                <w:sz w:val="20"/>
                <w:szCs w:val="20"/>
              </w:rPr>
              <w:t>Statistic (F/H)</w:t>
            </w:r>
          </w:p>
        </w:tc>
        <w:tc>
          <w:tcPr>
            <w:tcW w:w="1080" w:type="dxa"/>
          </w:tcPr>
          <w:p w:rsidR="006109B7" w:rsidRPr="00186843"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6843">
              <w:rPr>
                <w:rFonts w:ascii="Arial" w:hAnsi="Arial" w:cs="Arial"/>
                <w:sz w:val="20"/>
                <w:szCs w:val="20"/>
              </w:rPr>
              <w:t>p-value</w:t>
            </w:r>
          </w:p>
        </w:tc>
      </w:tr>
      <w:tr w:rsidR="006109B7"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FBG (mmol/L)</w:t>
            </w:r>
          </w:p>
        </w:tc>
        <w:tc>
          <w:tcPr>
            <w:tcW w:w="1722"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13.06 ± 3.86</w:t>
            </w:r>
          </w:p>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6.26 ± 0.43</w:t>
            </w:r>
          </w:p>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4.40 ± 0.59</w:t>
            </w:r>
          </w:p>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95.37</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&lt; 0.001</w:t>
            </w:r>
          </w:p>
        </w:tc>
      </w:tr>
      <w:tr w:rsidR="006109B7" w:rsidRPr="00186843"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Urea (mmol/L)</w:t>
            </w:r>
          </w:p>
        </w:tc>
        <w:tc>
          <w:tcPr>
            <w:tcW w:w="1722"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3.71 ± 1.44</w:t>
            </w: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3.23 ± 1.75 </w:t>
            </w:r>
          </w:p>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3.80 ± 1.25</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0.48</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0.618</w:t>
            </w:r>
          </w:p>
        </w:tc>
      </w:tr>
      <w:tr w:rsidR="006109B7"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Creatinine (µmol/L)</w:t>
            </w:r>
          </w:p>
        </w:tc>
        <w:tc>
          <w:tcPr>
            <w:tcW w:w="1722"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85.59 ± 29.35 </w:t>
            </w: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85.44 ± 38.39 </w:t>
            </w: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86.31 ± 18.49 </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0.03</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0.972</w:t>
            </w:r>
          </w:p>
        </w:tc>
      </w:tr>
      <w:tr w:rsidR="006109B7" w:rsidRPr="00186843"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lastRenderedPageBreak/>
              <w:t>Cystatin C (mg/L)</w:t>
            </w:r>
          </w:p>
        </w:tc>
        <w:tc>
          <w:tcPr>
            <w:tcW w:w="1722"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2.82 ± 8.89</w:t>
            </w: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1.30 ± 6.11 </w:t>
            </w: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2.12 ± 8.46</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1.59</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0.451</w:t>
            </w:r>
          </w:p>
        </w:tc>
      </w:tr>
      <w:tr w:rsidR="006109B7"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Microalbuminuria (mg/L)</w:t>
            </w:r>
          </w:p>
        </w:tc>
        <w:tc>
          <w:tcPr>
            <w:tcW w:w="1722"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10.59 ± 24.88 </w:t>
            </w: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5.91 ± 16.78 </w:t>
            </w: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2.04 ± 8.89 </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2.82</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0.247</w:t>
            </w:r>
          </w:p>
        </w:tc>
      </w:tr>
      <w:tr w:rsidR="006109B7" w:rsidRPr="00186843"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Proteinuria (mg/L)</w:t>
            </w:r>
          </w:p>
        </w:tc>
        <w:tc>
          <w:tcPr>
            <w:tcW w:w="1722"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0.00 ± 0.00 </w:t>
            </w: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0.00 ± 0.00 </w:t>
            </w:r>
          </w:p>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0.00 ± 0.00 </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w:t>
            </w:r>
          </w:p>
        </w:tc>
        <w:tc>
          <w:tcPr>
            <w:tcW w:w="1080" w:type="dxa"/>
          </w:tcPr>
          <w:p w:rsidR="006109B7" w:rsidRPr="00186843"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6843">
              <w:rPr>
                <w:rFonts w:ascii="Arial" w:hAnsi="Arial" w:cs="Arial"/>
                <w:sz w:val="20"/>
                <w:szCs w:val="20"/>
              </w:rPr>
              <w:t>-</w:t>
            </w:r>
          </w:p>
        </w:tc>
      </w:tr>
      <w:tr w:rsidR="006109B7"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86843" w:rsidRDefault="006109B7" w:rsidP="001D3B4F">
            <w:pPr>
              <w:spacing w:after="160" w:line="276" w:lineRule="auto"/>
              <w:rPr>
                <w:rFonts w:ascii="Arial" w:hAnsi="Arial" w:cs="Arial"/>
                <w:b w:val="0"/>
                <w:bCs w:val="0"/>
                <w:sz w:val="20"/>
                <w:szCs w:val="20"/>
              </w:rPr>
            </w:pPr>
            <w:r w:rsidRPr="00186843">
              <w:rPr>
                <w:rFonts w:ascii="Arial" w:hAnsi="Arial" w:cs="Arial"/>
                <w:b w:val="0"/>
                <w:bCs w:val="0"/>
                <w:sz w:val="20"/>
                <w:szCs w:val="20"/>
              </w:rPr>
              <w:t>Urine Glucose (mmol/L)</w:t>
            </w:r>
          </w:p>
        </w:tc>
        <w:tc>
          <w:tcPr>
            <w:tcW w:w="1722"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0.07 ± 0.05 </w:t>
            </w:r>
          </w:p>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0.02 ± 0.04 </w:t>
            </w:r>
          </w:p>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 xml:space="preserve">0.00 ± 0.00 </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3.91</w:t>
            </w:r>
          </w:p>
        </w:tc>
        <w:tc>
          <w:tcPr>
            <w:tcW w:w="1080" w:type="dxa"/>
            <w:shd w:val="clear" w:color="auto" w:fill="auto"/>
          </w:tcPr>
          <w:p w:rsidR="006109B7" w:rsidRPr="00186843"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6843">
              <w:rPr>
                <w:rFonts w:ascii="Arial" w:hAnsi="Arial" w:cs="Arial"/>
                <w:sz w:val="20"/>
                <w:szCs w:val="20"/>
              </w:rPr>
              <w:t>0.142</w:t>
            </w:r>
          </w:p>
        </w:tc>
      </w:tr>
    </w:tbl>
    <w:p w:rsidR="006109B7" w:rsidRPr="00186843" w:rsidRDefault="006109B7" w:rsidP="001E5287">
      <w:pPr>
        <w:spacing w:line="480" w:lineRule="auto"/>
        <w:jc w:val="both"/>
        <w:rPr>
          <w:rFonts w:ascii="Arial" w:hAnsi="Arial" w:cs="Arial"/>
          <w:sz w:val="20"/>
          <w:szCs w:val="20"/>
        </w:rPr>
      </w:pPr>
    </w:p>
    <w:p w:rsidR="001E5287" w:rsidRPr="00186843" w:rsidRDefault="001E5287" w:rsidP="00EC546D">
      <w:pPr>
        <w:keepNext/>
        <w:keepLines/>
        <w:spacing w:before="240" w:after="0" w:line="480" w:lineRule="auto"/>
        <w:jc w:val="both"/>
        <w:outlineLvl w:val="1"/>
        <w:rPr>
          <w:rFonts w:ascii="Times New Roman" w:eastAsia="Times New Roman" w:hAnsi="Times New Roman" w:cs="Times New Roman"/>
          <w:b/>
          <w:color w:val="000000"/>
          <w:kern w:val="0"/>
          <w:szCs w:val="32"/>
          <w:lang w:val="en"/>
        </w:rPr>
      </w:pPr>
      <w:r w:rsidRPr="00186843">
        <w:rPr>
          <w:rFonts w:ascii="Times New Roman" w:eastAsia="Times New Roman" w:hAnsi="Times New Roman" w:cs="Times New Roman"/>
          <w:b/>
          <w:color w:val="000000"/>
          <w:kern w:val="0"/>
          <w:szCs w:val="32"/>
          <w:lang w:val="en"/>
        </w:rPr>
        <w:t>3.</w:t>
      </w:r>
      <w:r w:rsidR="006109B7" w:rsidRPr="00186843">
        <w:rPr>
          <w:rFonts w:ascii="Times New Roman" w:eastAsia="Times New Roman" w:hAnsi="Times New Roman" w:cs="Times New Roman"/>
          <w:b/>
          <w:color w:val="000000"/>
          <w:kern w:val="0"/>
          <w:szCs w:val="32"/>
          <w:lang w:val="en"/>
        </w:rPr>
        <w:t>4</w:t>
      </w:r>
      <w:r w:rsidRPr="00186843">
        <w:rPr>
          <w:rFonts w:ascii="Times New Roman" w:eastAsia="Times New Roman" w:hAnsi="Times New Roman" w:cs="Times New Roman"/>
          <w:b/>
          <w:color w:val="000000"/>
          <w:kern w:val="0"/>
          <w:szCs w:val="32"/>
          <w:lang w:val="en"/>
        </w:rPr>
        <w:t xml:space="preserve"> </w:t>
      </w:r>
      <w:r w:rsidR="00EC546D" w:rsidRPr="00186843">
        <w:rPr>
          <w:rFonts w:ascii="Times New Roman" w:eastAsia="Times New Roman" w:hAnsi="Times New Roman" w:cs="Times New Roman"/>
          <w:b/>
          <w:color w:val="000000"/>
          <w:kern w:val="0"/>
          <w:szCs w:val="32"/>
          <w:lang w:val="en"/>
        </w:rPr>
        <w:t>Prevalence of Diabetic Nephropathy</w:t>
      </w:r>
    </w:p>
    <w:p w:rsidR="00EC546D" w:rsidRPr="00186843" w:rsidRDefault="00EC546D" w:rsidP="00EC546D">
      <w:pPr>
        <w:spacing w:line="480" w:lineRule="auto"/>
        <w:jc w:val="both"/>
        <w:rPr>
          <w:rFonts w:ascii="Arial" w:eastAsia="Calibri" w:hAnsi="Arial" w:cs="Arial"/>
          <w:sz w:val="20"/>
          <w:szCs w:val="20"/>
        </w:rPr>
      </w:pPr>
      <w:r w:rsidRPr="00186843">
        <w:rPr>
          <w:rFonts w:ascii="Arial" w:eastAsia="Calibri" w:hAnsi="Arial" w:cs="Arial"/>
          <w:sz w:val="20"/>
          <w:szCs w:val="20"/>
        </w:rPr>
        <w:t xml:space="preserve">Table </w:t>
      </w:r>
      <w:r w:rsidR="006109B7" w:rsidRPr="00186843">
        <w:rPr>
          <w:rFonts w:ascii="Arial" w:eastAsia="Calibri" w:hAnsi="Arial" w:cs="Arial"/>
          <w:sz w:val="20"/>
          <w:szCs w:val="20"/>
        </w:rPr>
        <w:t>4</w:t>
      </w:r>
      <w:r w:rsidRPr="00186843">
        <w:rPr>
          <w:rFonts w:ascii="Arial" w:eastAsia="Calibri" w:hAnsi="Arial" w:cs="Arial"/>
          <w:sz w:val="20"/>
          <w:szCs w:val="20"/>
        </w:rPr>
        <w:t xml:space="preserve"> show</w:t>
      </w:r>
      <w:r w:rsidR="00A426F4" w:rsidRPr="00186843">
        <w:rPr>
          <w:rFonts w:ascii="Arial" w:eastAsia="Calibri" w:hAnsi="Arial" w:cs="Arial"/>
          <w:sz w:val="20"/>
          <w:szCs w:val="20"/>
        </w:rPr>
        <w:t>ed</w:t>
      </w:r>
      <w:r w:rsidRPr="00186843">
        <w:rPr>
          <w:rFonts w:ascii="Arial" w:eastAsia="Calibri" w:hAnsi="Arial" w:cs="Arial"/>
          <w:sz w:val="20"/>
          <w:szCs w:val="20"/>
        </w:rPr>
        <w:t xml:space="preserve"> how common diabetic nephropathy (DN) was among the groups. Although the proportion of participants with abnormal values was higher among diabetics (e.g., 14.1% for cystatin C, 24.4% for creatinine, and 15.4% for microalbuminuria), none of these differences were statistically significant (p-values ranged from 0.181 to 0.873). The overall proportion of participants with any abnormal DN marker was 39.7% among diabetics compared to 21.1% among non-diabetics, but this difference was also not significant (p = 0.375). These findings suggest that while the diabetic group showed higher numerical prevalence of DN markers, the variations were not statistically significant, possibly due to early-stage disease.</w:t>
      </w:r>
    </w:p>
    <w:p w:rsidR="00EC546D" w:rsidRPr="00186843" w:rsidRDefault="00EC546D"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r w:rsidRPr="00186843">
        <w:rPr>
          <w:rFonts w:ascii="Arial" w:eastAsia="Times New Roman" w:hAnsi="Arial" w:cs="Arial"/>
          <w:bCs/>
          <w:color w:val="000000"/>
          <w:kern w:val="0"/>
          <w:sz w:val="20"/>
          <w:szCs w:val="20"/>
          <w:lang w:eastAsia="ja-JP"/>
          <w14:ligatures w14:val="none"/>
        </w:rPr>
        <w:t xml:space="preserve">Table </w:t>
      </w:r>
      <w:r w:rsidR="006109B7" w:rsidRPr="00186843">
        <w:rPr>
          <w:rFonts w:ascii="Arial" w:eastAsia="Times New Roman" w:hAnsi="Arial" w:cs="Arial"/>
          <w:bCs/>
          <w:color w:val="000000"/>
          <w:kern w:val="0"/>
          <w:sz w:val="20"/>
          <w:szCs w:val="20"/>
          <w:lang w:eastAsia="ja-JP"/>
          <w14:ligatures w14:val="none"/>
        </w:rPr>
        <w:t>4</w:t>
      </w:r>
      <w:r w:rsidRPr="00186843">
        <w:rPr>
          <w:rFonts w:ascii="Arial" w:eastAsia="Times New Roman" w:hAnsi="Arial" w:cs="Arial"/>
          <w:bCs/>
          <w:color w:val="000000"/>
          <w:kern w:val="0"/>
          <w:sz w:val="20"/>
          <w:szCs w:val="20"/>
          <w:lang w:eastAsia="ja-JP"/>
          <w14:ligatures w14:val="none"/>
        </w:rPr>
        <w:t>: Prevalence of Diabetic Nephropathy using Various Markers</w:t>
      </w:r>
    </w:p>
    <w:p w:rsidR="007064E6" w:rsidRPr="00186843" w:rsidRDefault="007064E6"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p>
    <w:tbl>
      <w:tblPr>
        <w:tblStyle w:val="ListTable6Colorful"/>
        <w:tblW w:w="8640" w:type="dxa"/>
        <w:tblLook w:val="04A0" w:firstRow="1" w:lastRow="0" w:firstColumn="1" w:lastColumn="0" w:noHBand="0" w:noVBand="1"/>
      </w:tblPr>
      <w:tblGrid>
        <w:gridCol w:w="2165"/>
        <w:gridCol w:w="1260"/>
        <w:gridCol w:w="1350"/>
        <w:gridCol w:w="1170"/>
        <w:gridCol w:w="1080"/>
        <w:gridCol w:w="630"/>
        <w:gridCol w:w="985"/>
      </w:tblGrid>
      <w:tr w:rsidR="001D3B4F" w:rsidRPr="00186843" w:rsidTr="003F7C16">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86843" w:rsidRDefault="001D3B4F" w:rsidP="00EC546D">
            <w:pPr>
              <w:spacing w:line="360" w:lineRule="auto"/>
              <w:jc w:val="both"/>
              <w:rPr>
                <w:rFonts w:ascii="Arial" w:eastAsia="Calibri" w:hAnsi="Arial" w:cs="Arial"/>
                <w:b w:val="0"/>
                <w:bCs w:val="0"/>
                <w:sz w:val="20"/>
                <w:szCs w:val="20"/>
              </w:rPr>
            </w:pPr>
            <w:r w:rsidRPr="00186843">
              <w:rPr>
                <w:rFonts w:ascii="Arial" w:eastAsia="Calibri" w:hAnsi="Arial" w:cs="Arial"/>
                <w:sz w:val="20"/>
                <w:szCs w:val="20"/>
              </w:rPr>
              <w:t>Marker</w:t>
            </w:r>
          </w:p>
        </w:tc>
        <w:tc>
          <w:tcPr>
            <w:tcW w:w="1260" w:type="dxa"/>
            <w:hideMark/>
          </w:tcPr>
          <w:p w:rsidR="001D3B4F" w:rsidRPr="00186843"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Diabetes (n=78)</w:t>
            </w:r>
          </w:p>
        </w:tc>
        <w:tc>
          <w:tcPr>
            <w:tcW w:w="1350" w:type="dxa"/>
            <w:hideMark/>
          </w:tcPr>
          <w:p w:rsidR="001D3B4F" w:rsidRPr="00186843"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Prediabetes (n=36)</w:t>
            </w:r>
          </w:p>
        </w:tc>
        <w:tc>
          <w:tcPr>
            <w:tcW w:w="1170" w:type="dxa"/>
            <w:hideMark/>
          </w:tcPr>
          <w:p w:rsidR="001D3B4F" w:rsidRPr="00186843"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Normal (n=19)</w:t>
            </w:r>
          </w:p>
        </w:tc>
        <w:tc>
          <w:tcPr>
            <w:tcW w:w="1080" w:type="dxa"/>
            <w:hideMark/>
          </w:tcPr>
          <w:p w:rsidR="001D3B4F" w:rsidRPr="00186843"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Total (n=133)</w:t>
            </w:r>
          </w:p>
        </w:tc>
        <w:tc>
          <w:tcPr>
            <w:tcW w:w="630" w:type="dxa"/>
          </w:tcPr>
          <w:p w:rsidR="001D3B4F" w:rsidRPr="00186843"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χ²</w:t>
            </w:r>
          </w:p>
        </w:tc>
        <w:tc>
          <w:tcPr>
            <w:tcW w:w="985" w:type="dxa"/>
          </w:tcPr>
          <w:p w:rsidR="001D3B4F" w:rsidRPr="00186843"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p-value</w:t>
            </w:r>
          </w:p>
        </w:tc>
      </w:tr>
      <w:tr w:rsidR="001D3B4F" w:rsidRPr="00186843" w:rsidTr="003F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86843" w:rsidRDefault="001D3B4F" w:rsidP="00EC546D">
            <w:pPr>
              <w:spacing w:line="360" w:lineRule="auto"/>
              <w:rPr>
                <w:rFonts w:ascii="Arial" w:eastAsia="Calibri" w:hAnsi="Arial" w:cs="Arial"/>
                <w:b w:val="0"/>
                <w:bCs w:val="0"/>
                <w:sz w:val="20"/>
                <w:szCs w:val="20"/>
              </w:rPr>
            </w:pPr>
            <w:r w:rsidRPr="00186843">
              <w:rPr>
                <w:rFonts w:ascii="Arial" w:eastAsia="Calibri" w:hAnsi="Arial" w:cs="Arial"/>
                <w:b w:val="0"/>
                <w:bCs w:val="0"/>
                <w:sz w:val="20"/>
                <w:szCs w:val="20"/>
              </w:rPr>
              <w:t>Cystatin C &gt; 1.0 mg/L</w:t>
            </w:r>
          </w:p>
        </w:tc>
        <w:tc>
          <w:tcPr>
            <w:tcW w:w="126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11 (14.1%)</w:t>
            </w:r>
          </w:p>
        </w:tc>
        <w:tc>
          <w:tcPr>
            <w:tcW w:w="135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4 (11.1%)</w:t>
            </w:r>
          </w:p>
        </w:tc>
        <w:tc>
          <w:tcPr>
            <w:tcW w:w="117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3 (15.8%)</w:t>
            </w:r>
          </w:p>
        </w:tc>
        <w:tc>
          <w:tcPr>
            <w:tcW w:w="108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18 (13.5%)</w:t>
            </w:r>
          </w:p>
        </w:tc>
        <w:tc>
          <w:tcPr>
            <w:tcW w:w="630" w:type="dxa"/>
            <w:shd w:val="clear" w:color="auto" w:fill="auto"/>
          </w:tcPr>
          <w:p w:rsidR="001D3B4F" w:rsidRPr="00186843"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0.27</w:t>
            </w:r>
          </w:p>
        </w:tc>
        <w:tc>
          <w:tcPr>
            <w:tcW w:w="985" w:type="dxa"/>
            <w:shd w:val="clear" w:color="auto" w:fill="auto"/>
          </w:tcPr>
          <w:p w:rsidR="001D3B4F" w:rsidRPr="00186843"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0.873</w:t>
            </w:r>
          </w:p>
        </w:tc>
      </w:tr>
      <w:tr w:rsidR="001D3B4F" w:rsidRPr="00186843" w:rsidTr="003F7C16">
        <w:trPr>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86843" w:rsidRDefault="001D3B4F" w:rsidP="00EC546D">
            <w:pPr>
              <w:spacing w:line="360" w:lineRule="auto"/>
              <w:rPr>
                <w:rFonts w:ascii="Arial" w:eastAsia="Calibri" w:hAnsi="Arial" w:cs="Arial"/>
                <w:b w:val="0"/>
                <w:bCs w:val="0"/>
                <w:sz w:val="20"/>
                <w:szCs w:val="20"/>
              </w:rPr>
            </w:pPr>
            <w:r w:rsidRPr="00186843">
              <w:rPr>
                <w:rFonts w:ascii="Arial" w:eastAsia="Calibri" w:hAnsi="Arial" w:cs="Arial"/>
                <w:b w:val="0"/>
                <w:bCs w:val="0"/>
                <w:sz w:val="20"/>
                <w:szCs w:val="20"/>
              </w:rPr>
              <w:t>Creatinine &gt;110♂ / &gt;100♀ µmol/L</w:t>
            </w:r>
          </w:p>
        </w:tc>
        <w:tc>
          <w:tcPr>
            <w:tcW w:w="126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19 (24.4%)</w:t>
            </w:r>
          </w:p>
        </w:tc>
        <w:tc>
          <w:tcPr>
            <w:tcW w:w="135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7 (19.4%)</w:t>
            </w:r>
          </w:p>
        </w:tc>
        <w:tc>
          <w:tcPr>
            <w:tcW w:w="117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 (5.3%)</w:t>
            </w:r>
          </w:p>
        </w:tc>
        <w:tc>
          <w:tcPr>
            <w:tcW w:w="108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27 (20.3%)</w:t>
            </w:r>
          </w:p>
        </w:tc>
        <w:tc>
          <w:tcPr>
            <w:tcW w:w="630" w:type="dxa"/>
          </w:tcPr>
          <w:p w:rsidR="001D3B4F" w:rsidRPr="00186843"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3.42</w:t>
            </w:r>
          </w:p>
        </w:tc>
        <w:tc>
          <w:tcPr>
            <w:tcW w:w="985" w:type="dxa"/>
          </w:tcPr>
          <w:p w:rsidR="001D3B4F" w:rsidRPr="00186843"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0.181</w:t>
            </w:r>
          </w:p>
        </w:tc>
      </w:tr>
      <w:tr w:rsidR="001D3B4F" w:rsidRPr="00186843" w:rsidTr="003F7C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86843" w:rsidRDefault="001D3B4F" w:rsidP="00EC546D">
            <w:pPr>
              <w:spacing w:line="360" w:lineRule="auto"/>
              <w:rPr>
                <w:rFonts w:ascii="Arial" w:eastAsia="Calibri" w:hAnsi="Arial" w:cs="Arial"/>
                <w:b w:val="0"/>
                <w:bCs w:val="0"/>
                <w:sz w:val="20"/>
                <w:szCs w:val="20"/>
              </w:rPr>
            </w:pPr>
            <w:r w:rsidRPr="00186843">
              <w:rPr>
                <w:rFonts w:ascii="Arial" w:eastAsia="Calibri" w:hAnsi="Arial" w:cs="Arial"/>
                <w:b w:val="0"/>
                <w:bCs w:val="0"/>
                <w:sz w:val="20"/>
                <w:szCs w:val="20"/>
              </w:rPr>
              <w:t>Microalbuminuria ≥30 mg/L</w:t>
            </w:r>
          </w:p>
        </w:tc>
        <w:tc>
          <w:tcPr>
            <w:tcW w:w="126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12 (15.4%)</w:t>
            </w:r>
          </w:p>
        </w:tc>
        <w:tc>
          <w:tcPr>
            <w:tcW w:w="135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4 (11.1%)</w:t>
            </w:r>
          </w:p>
        </w:tc>
        <w:tc>
          <w:tcPr>
            <w:tcW w:w="117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 (5.3%)</w:t>
            </w:r>
          </w:p>
        </w:tc>
        <w:tc>
          <w:tcPr>
            <w:tcW w:w="1080" w:type="dxa"/>
            <w:shd w:val="clear" w:color="auto" w:fill="auto"/>
            <w:hideMark/>
          </w:tcPr>
          <w:p w:rsidR="001D3B4F" w:rsidRPr="00186843"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17 (12.8%)</w:t>
            </w:r>
          </w:p>
        </w:tc>
        <w:tc>
          <w:tcPr>
            <w:tcW w:w="630" w:type="dxa"/>
            <w:shd w:val="clear" w:color="auto" w:fill="auto"/>
          </w:tcPr>
          <w:p w:rsidR="001D3B4F" w:rsidRPr="00186843"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2.51</w:t>
            </w:r>
          </w:p>
        </w:tc>
        <w:tc>
          <w:tcPr>
            <w:tcW w:w="985" w:type="dxa"/>
            <w:shd w:val="clear" w:color="auto" w:fill="auto"/>
          </w:tcPr>
          <w:p w:rsidR="001D3B4F" w:rsidRPr="00186843"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0.285</w:t>
            </w:r>
          </w:p>
        </w:tc>
      </w:tr>
      <w:tr w:rsidR="001D3B4F" w:rsidRPr="00186843" w:rsidTr="003F7C16">
        <w:trPr>
          <w:trHeight w:val="683"/>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86843" w:rsidRDefault="001D3B4F" w:rsidP="00EC546D">
            <w:pPr>
              <w:spacing w:line="360" w:lineRule="auto"/>
              <w:rPr>
                <w:rFonts w:ascii="Arial" w:eastAsia="Calibri" w:hAnsi="Arial" w:cs="Arial"/>
                <w:b w:val="0"/>
                <w:bCs w:val="0"/>
                <w:sz w:val="20"/>
                <w:szCs w:val="20"/>
              </w:rPr>
            </w:pPr>
            <w:r w:rsidRPr="00186843">
              <w:rPr>
                <w:rFonts w:ascii="Arial" w:eastAsia="Calibri" w:hAnsi="Arial" w:cs="Arial"/>
                <w:b w:val="0"/>
                <w:bCs w:val="0"/>
                <w:sz w:val="20"/>
                <w:szCs w:val="20"/>
              </w:rPr>
              <w:t>Any DN marker abnormal</w:t>
            </w:r>
          </w:p>
        </w:tc>
        <w:tc>
          <w:tcPr>
            <w:tcW w:w="126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31 (39.7%)</w:t>
            </w:r>
          </w:p>
        </w:tc>
        <w:tc>
          <w:tcPr>
            <w:tcW w:w="135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11 (30.6%)</w:t>
            </w:r>
          </w:p>
        </w:tc>
        <w:tc>
          <w:tcPr>
            <w:tcW w:w="117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4 (21.1%)</w:t>
            </w:r>
          </w:p>
        </w:tc>
        <w:tc>
          <w:tcPr>
            <w:tcW w:w="1080" w:type="dxa"/>
            <w:hideMark/>
          </w:tcPr>
          <w:p w:rsidR="001D3B4F" w:rsidRPr="00186843"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46 (34.6%)</w:t>
            </w:r>
          </w:p>
        </w:tc>
        <w:tc>
          <w:tcPr>
            <w:tcW w:w="630" w:type="dxa"/>
          </w:tcPr>
          <w:p w:rsidR="001D3B4F" w:rsidRPr="00186843"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1.96</w:t>
            </w:r>
          </w:p>
        </w:tc>
        <w:tc>
          <w:tcPr>
            <w:tcW w:w="985" w:type="dxa"/>
          </w:tcPr>
          <w:p w:rsidR="001D3B4F" w:rsidRPr="00186843"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0.375</w:t>
            </w:r>
          </w:p>
        </w:tc>
      </w:tr>
    </w:tbl>
    <w:p w:rsidR="00D91238" w:rsidRPr="00186843" w:rsidRDefault="00E758C5" w:rsidP="001D3B4F">
      <w:pPr>
        <w:rPr>
          <w:lang w:val="en"/>
        </w:rPr>
      </w:pPr>
      <w:r w:rsidRPr="00186843">
        <w:rPr>
          <w:rFonts w:ascii="Arial" w:eastAsia="Calibri" w:hAnsi="Arial" w:cs="Arial"/>
          <w:sz w:val="20"/>
          <w:szCs w:val="20"/>
        </w:rPr>
        <w:lastRenderedPageBreak/>
        <w:t xml:space="preserve">χ²: Chi-Square </w:t>
      </w:r>
    </w:p>
    <w:p w:rsidR="001900A1" w:rsidRPr="00186843" w:rsidRDefault="001E5287" w:rsidP="001900A1">
      <w:pPr>
        <w:keepNext/>
        <w:keepLines/>
        <w:spacing w:before="240" w:after="0" w:line="480" w:lineRule="auto"/>
        <w:jc w:val="both"/>
        <w:outlineLvl w:val="1"/>
        <w:rPr>
          <w:rFonts w:ascii="Arial" w:eastAsia="Times New Roman" w:hAnsi="Arial" w:cs="Arial"/>
          <w:b/>
          <w:color w:val="000000"/>
          <w:kern w:val="0"/>
          <w:sz w:val="22"/>
          <w:szCs w:val="22"/>
          <w:lang w:val="en"/>
        </w:rPr>
      </w:pPr>
      <w:r w:rsidRPr="00186843">
        <w:rPr>
          <w:rFonts w:ascii="Arial" w:eastAsia="Times New Roman" w:hAnsi="Arial" w:cs="Arial"/>
          <w:b/>
          <w:color w:val="000000"/>
          <w:kern w:val="0"/>
          <w:sz w:val="22"/>
          <w:szCs w:val="22"/>
          <w:lang w:val="en"/>
        </w:rPr>
        <w:t>3.</w:t>
      </w:r>
      <w:r w:rsidR="006109B7" w:rsidRPr="00186843">
        <w:rPr>
          <w:rFonts w:ascii="Arial" w:eastAsia="Times New Roman" w:hAnsi="Arial" w:cs="Arial"/>
          <w:b/>
          <w:color w:val="000000"/>
          <w:kern w:val="0"/>
          <w:sz w:val="22"/>
          <w:szCs w:val="22"/>
          <w:lang w:val="en"/>
        </w:rPr>
        <w:t>5</w:t>
      </w:r>
      <w:r w:rsidRPr="00186843">
        <w:rPr>
          <w:rFonts w:ascii="Arial" w:eastAsia="Times New Roman" w:hAnsi="Arial" w:cs="Arial"/>
          <w:b/>
          <w:color w:val="000000"/>
          <w:kern w:val="0"/>
          <w:sz w:val="22"/>
          <w:szCs w:val="22"/>
          <w:lang w:val="en"/>
        </w:rPr>
        <w:t xml:space="preserve"> </w:t>
      </w:r>
      <w:r w:rsidR="001900A1" w:rsidRPr="00186843">
        <w:rPr>
          <w:rFonts w:ascii="Arial" w:eastAsia="Times New Roman" w:hAnsi="Arial" w:cs="Arial"/>
          <w:b/>
          <w:color w:val="000000"/>
          <w:kern w:val="0"/>
          <w:sz w:val="22"/>
          <w:szCs w:val="22"/>
          <w:lang w:val="en"/>
        </w:rPr>
        <w:t>Diagnostic Performance of Renal Biomarkers</w:t>
      </w:r>
    </w:p>
    <w:p w:rsidR="00574064" w:rsidRPr="00186843" w:rsidRDefault="001900A1" w:rsidP="001900A1">
      <w:pPr>
        <w:spacing w:line="480" w:lineRule="auto"/>
        <w:jc w:val="both"/>
        <w:rPr>
          <w:rFonts w:ascii="Arial" w:eastAsia="Calibri" w:hAnsi="Arial" w:cs="Arial"/>
          <w:sz w:val="20"/>
          <w:szCs w:val="20"/>
        </w:rPr>
      </w:pPr>
      <w:r w:rsidRPr="00186843">
        <w:rPr>
          <w:rFonts w:ascii="Arial" w:eastAsia="Calibri" w:hAnsi="Arial" w:cs="Arial"/>
          <w:sz w:val="20"/>
          <w:szCs w:val="20"/>
        </w:rPr>
        <w:t xml:space="preserve">Table </w:t>
      </w:r>
      <w:r w:rsidR="00757763" w:rsidRPr="00186843">
        <w:rPr>
          <w:rFonts w:ascii="Arial" w:eastAsia="Calibri" w:hAnsi="Arial" w:cs="Arial"/>
          <w:sz w:val="20"/>
          <w:szCs w:val="20"/>
        </w:rPr>
        <w:t xml:space="preserve">5 </w:t>
      </w:r>
      <w:r w:rsidRPr="00186843">
        <w:rPr>
          <w:rFonts w:ascii="Arial" w:eastAsia="Calibri" w:hAnsi="Arial" w:cs="Arial"/>
          <w:sz w:val="20"/>
          <w:szCs w:val="20"/>
        </w:rPr>
        <w:t xml:space="preserve">evaluated how accurately each biomarker detected DN. </w:t>
      </w:r>
      <w:r w:rsidR="00635798" w:rsidRPr="00186843">
        <w:rPr>
          <w:rFonts w:ascii="Arial" w:eastAsia="Calibri" w:hAnsi="Arial" w:cs="Arial"/>
          <w:sz w:val="20"/>
          <w:szCs w:val="20"/>
        </w:rPr>
        <w:t xml:space="preserve">ROC analysis assessed the ability of each biomarker to distinguish individuals with abnormal DN markers across all 133 participants, independent of their glycemic category </w:t>
      </w:r>
      <w:r w:rsidR="00574064" w:rsidRPr="00186843">
        <w:rPr>
          <w:rFonts w:ascii="Arial" w:eastAsia="Calibri" w:hAnsi="Arial" w:cs="Arial"/>
          <w:sz w:val="20"/>
          <w:szCs w:val="20"/>
        </w:rPr>
        <w:t>The Area Under the Curve (AUC) was derived from a Receiver Operating Characteristic (ROC) curve, which plots sensitivity against 1–specificity to measure how well a biomarker distinguishes between diseased and non-diseased individuals. The Positive Predictive Value (PPV) and Negative Predictive Value (NPV) are calculated from the test’s true positive, false positive, true negative, and false negative results</w:t>
      </w:r>
    </w:p>
    <w:p w:rsidR="001900A1" w:rsidRPr="00186843" w:rsidRDefault="001900A1" w:rsidP="001900A1">
      <w:pPr>
        <w:spacing w:line="480" w:lineRule="auto"/>
        <w:jc w:val="both"/>
        <w:rPr>
          <w:rFonts w:ascii="Arial" w:eastAsia="Calibri" w:hAnsi="Arial" w:cs="Arial"/>
          <w:sz w:val="20"/>
          <w:szCs w:val="20"/>
        </w:rPr>
      </w:pPr>
      <w:r w:rsidRPr="00186843">
        <w:rPr>
          <w:rFonts w:ascii="Arial" w:eastAsia="Calibri" w:hAnsi="Arial" w:cs="Arial"/>
          <w:sz w:val="20"/>
          <w:szCs w:val="20"/>
        </w:rPr>
        <w:t>The area under the curve (AUC) values showed significant differences in diagnostic ability. Cystatin C had the highest diagnostic performance (AUC = 0.87, 95% Confidence Interval: 0.79–0.95), followed by creatinine (AUC = 0.73) and microalbuminuria (AUC = 0.69). The lower AUC values for urea (0.60) and FBG (0.58) indicate weak diagnostic strength. Since AUC values above 0.7 generally indicate good diagnostic accuracy, only cystatin C and creatinine are considered strong markers, with cystatin C being statistically superior based on its confidence interval and ranking.</w:t>
      </w:r>
    </w:p>
    <w:p w:rsidR="001900A1" w:rsidRPr="00186843" w:rsidRDefault="001900A1" w:rsidP="001900A1">
      <w:pPr>
        <w:keepNext/>
        <w:keepLines/>
        <w:spacing w:after="0" w:line="480" w:lineRule="auto"/>
        <w:jc w:val="both"/>
        <w:rPr>
          <w:rFonts w:ascii="Arial" w:eastAsia="Times New Roman" w:hAnsi="Arial" w:cs="Arial"/>
          <w:bCs/>
          <w:color w:val="000000"/>
          <w:kern w:val="0"/>
          <w:sz w:val="20"/>
          <w:szCs w:val="20"/>
          <w:lang w:eastAsia="ja-JP"/>
          <w14:ligatures w14:val="none"/>
        </w:rPr>
      </w:pPr>
      <w:bookmarkStart w:id="4" w:name="_Toc211441872"/>
      <w:r w:rsidRPr="00186843">
        <w:rPr>
          <w:rFonts w:ascii="Arial" w:eastAsia="Times New Roman" w:hAnsi="Arial" w:cs="Arial"/>
          <w:bCs/>
          <w:color w:val="000000"/>
          <w:kern w:val="0"/>
          <w:sz w:val="20"/>
          <w:szCs w:val="20"/>
          <w:lang w:eastAsia="ja-JP"/>
          <w14:ligatures w14:val="none"/>
        </w:rPr>
        <w:t>Table</w:t>
      </w:r>
      <w:r w:rsidR="006109B7" w:rsidRPr="00186843">
        <w:rPr>
          <w:rFonts w:ascii="Arial" w:eastAsia="Times New Roman" w:hAnsi="Arial" w:cs="Arial"/>
          <w:bCs/>
          <w:color w:val="000000"/>
          <w:kern w:val="0"/>
          <w:sz w:val="20"/>
          <w:szCs w:val="20"/>
          <w:lang w:eastAsia="ja-JP"/>
          <w14:ligatures w14:val="none"/>
        </w:rPr>
        <w:t xml:space="preserve"> 5</w:t>
      </w:r>
      <w:r w:rsidRPr="00186843">
        <w:rPr>
          <w:rFonts w:ascii="Arial" w:eastAsia="Times New Roman" w:hAnsi="Arial" w:cs="Arial"/>
          <w:bCs/>
          <w:color w:val="000000"/>
          <w:kern w:val="0"/>
          <w:sz w:val="20"/>
          <w:szCs w:val="20"/>
          <w:lang w:eastAsia="ja-JP"/>
          <w14:ligatures w14:val="none"/>
        </w:rPr>
        <w:t>: Diagnostic Performance of Renal Biomarkers</w:t>
      </w:r>
      <w:bookmarkEnd w:id="4"/>
    </w:p>
    <w:tbl>
      <w:tblPr>
        <w:tblStyle w:val="ListTable6Colorful"/>
        <w:tblW w:w="7830" w:type="dxa"/>
        <w:tblLook w:val="04A0" w:firstRow="1" w:lastRow="0" w:firstColumn="1" w:lastColumn="0" w:noHBand="0" w:noVBand="1"/>
      </w:tblPr>
      <w:tblGrid>
        <w:gridCol w:w="1884"/>
        <w:gridCol w:w="1356"/>
        <w:gridCol w:w="990"/>
        <w:gridCol w:w="1260"/>
        <w:gridCol w:w="810"/>
        <w:gridCol w:w="810"/>
        <w:gridCol w:w="720"/>
      </w:tblGrid>
      <w:tr w:rsidR="001900A1" w:rsidRPr="00186843"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86843" w:rsidRDefault="001900A1" w:rsidP="001900A1">
            <w:pPr>
              <w:spacing w:line="276" w:lineRule="auto"/>
              <w:jc w:val="both"/>
              <w:rPr>
                <w:rFonts w:ascii="Arial" w:eastAsia="Calibri" w:hAnsi="Arial" w:cs="Arial"/>
                <w:b w:val="0"/>
                <w:bCs w:val="0"/>
                <w:sz w:val="20"/>
                <w:szCs w:val="20"/>
              </w:rPr>
            </w:pPr>
            <w:r w:rsidRPr="00186843">
              <w:rPr>
                <w:rFonts w:ascii="Arial" w:eastAsia="Calibri" w:hAnsi="Arial" w:cs="Arial"/>
                <w:sz w:val="20"/>
                <w:szCs w:val="20"/>
              </w:rPr>
              <w:t>Biomarker</w:t>
            </w:r>
          </w:p>
        </w:tc>
        <w:tc>
          <w:tcPr>
            <w:tcW w:w="1356"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 xml:space="preserve">AUC </w:t>
            </w:r>
          </w:p>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(95% CI)</w:t>
            </w:r>
          </w:p>
        </w:tc>
        <w:tc>
          <w:tcPr>
            <w:tcW w:w="990"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Cut-off (mg/L/ µmol/L)</w:t>
            </w:r>
          </w:p>
        </w:tc>
        <w:tc>
          <w:tcPr>
            <w:tcW w:w="1260"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Sensitivity (%)</w:t>
            </w:r>
          </w:p>
        </w:tc>
        <w:tc>
          <w:tcPr>
            <w:tcW w:w="810"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PPV (%)</w:t>
            </w:r>
          </w:p>
        </w:tc>
        <w:tc>
          <w:tcPr>
            <w:tcW w:w="810"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NPV (%)</w:t>
            </w:r>
          </w:p>
        </w:tc>
        <w:tc>
          <w:tcPr>
            <w:tcW w:w="720" w:type="dxa"/>
            <w:hideMark/>
          </w:tcPr>
          <w:p w:rsidR="001900A1" w:rsidRPr="00186843"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86843">
              <w:rPr>
                <w:rFonts w:ascii="Arial" w:eastAsia="Calibri" w:hAnsi="Arial" w:cs="Arial"/>
                <w:sz w:val="20"/>
                <w:szCs w:val="20"/>
              </w:rPr>
              <w:t>Rank</w:t>
            </w:r>
          </w:p>
        </w:tc>
      </w:tr>
      <w:tr w:rsidR="001900A1"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86843" w:rsidRDefault="001900A1" w:rsidP="001900A1">
            <w:pPr>
              <w:spacing w:line="276" w:lineRule="auto"/>
              <w:jc w:val="both"/>
              <w:rPr>
                <w:rFonts w:ascii="Arial" w:eastAsia="Calibri" w:hAnsi="Arial" w:cs="Arial"/>
                <w:sz w:val="20"/>
                <w:szCs w:val="20"/>
              </w:rPr>
            </w:pPr>
            <w:r w:rsidRPr="00186843">
              <w:rPr>
                <w:rFonts w:ascii="Arial" w:eastAsia="Calibri" w:hAnsi="Arial" w:cs="Arial"/>
                <w:sz w:val="20"/>
                <w:szCs w:val="20"/>
              </w:rPr>
              <w:t>Cystatin C</w:t>
            </w:r>
          </w:p>
        </w:tc>
        <w:tc>
          <w:tcPr>
            <w:tcW w:w="1356"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xml:space="preserve">0.87 </w:t>
            </w:r>
          </w:p>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(0.79 – 0.95)</w:t>
            </w:r>
          </w:p>
        </w:tc>
        <w:tc>
          <w:tcPr>
            <w:tcW w:w="99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&gt; 1.0</w:t>
            </w:r>
          </w:p>
        </w:tc>
        <w:tc>
          <w:tcPr>
            <w:tcW w:w="126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88.2</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82.5</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80.4</w:t>
            </w:r>
          </w:p>
        </w:tc>
        <w:tc>
          <w:tcPr>
            <w:tcW w:w="72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1</w:t>
            </w:r>
          </w:p>
        </w:tc>
      </w:tr>
      <w:tr w:rsidR="001900A1" w:rsidRPr="00186843"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86843" w:rsidRDefault="001900A1" w:rsidP="001900A1">
            <w:pPr>
              <w:spacing w:line="276" w:lineRule="auto"/>
              <w:jc w:val="both"/>
              <w:rPr>
                <w:rFonts w:ascii="Arial" w:eastAsia="Calibri" w:hAnsi="Arial" w:cs="Arial"/>
                <w:sz w:val="20"/>
                <w:szCs w:val="20"/>
              </w:rPr>
            </w:pPr>
            <w:r w:rsidRPr="00186843">
              <w:rPr>
                <w:rFonts w:ascii="Arial" w:eastAsia="Calibri" w:hAnsi="Arial" w:cs="Arial"/>
                <w:sz w:val="20"/>
                <w:szCs w:val="20"/>
              </w:rPr>
              <w:t>Creatinine</w:t>
            </w:r>
          </w:p>
        </w:tc>
        <w:tc>
          <w:tcPr>
            <w:tcW w:w="1356"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xml:space="preserve">0.73 </w:t>
            </w:r>
          </w:p>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(0.61 – 0.85)</w:t>
            </w:r>
          </w:p>
        </w:tc>
        <w:tc>
          <w:tcPr>
            <w:tcW w:w="99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&gt; 100</w:t>
            </w:r>
          </w:p>
        </w:tc>
        <w:tc>
          <w:tcPr>
            <w:tcW w:w="126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70.6</w:t>
            </w:r>
          </w:p>
        </w:tc>
        <w:tc>
          <w:tcPr>
            <w:tcW w:w="81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68.4</w:t>
            </w:r>
          </w:p>
        </w:tc>
        <w:tc>
          <w:tcPr>
            <w:tcW w:w="81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66.0</w:t>
            </w:r>
          </w:p>
        </w:tc>
        <w:tc>
          <w:tcPr>
            <w:tcW w:w="72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2</w:t>
            </w:r>
          </w:p>
        </w:tc>
      </w:tr>
      <w:tr w:rsidR="001900A1"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86843" w:rsidRDefault="001900A1" w:rsidP="001900A1">
            <w:pPr>
              <w:spacing w:line="276" w:lineRule="auto"/>
              <w:jc w:val="both"/>
              <w:rPr>
                <w:rFonts w:ascii="Arial" w:eastAsia="Calibri" w:hAnsi="Arial" w:cs="Arial"/>
                <w:sz w:val="20"/>
                <w:szCs w:val="20"/>
              </w:rPr>
            </w:pPr>
            <w:r w:rsidRPr="00186843">
              <w:rPr>
                <w:rFonts w:ascii="Arial" w:eastAsia="Calibri" w:hAnsi="Arial" w:cs="Arial"/>
                <w:sz w:val="20"/>
                <w:szCs w:val="20"/>
              </w:rPr>
              <w:t>Microalbuminuria</w:t>
            </w:r>
          </w:p>
        </w:tc>
        <w:tc>
          <w:tcPr>
            <w:tcW w:w="1356"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xml:space="preserve">0.69 </w:t>
            </w:r>
          </w:p>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(0.55 – 0.83)</w:t>
            </w:r>
          </w:p>
        </w:tc>
        <w:tc>
          <w:tcPr>
            <w:tcW w:w="99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30</w:t>
            </w:r>
          </w:p>
        </w:tc>
        <w:tc>
          <w:tcPr>
            <w:tcW w:w="126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64.7</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70.2</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68.3</w:t>
            </w:r>
          </w:p>
        </w:tc>
        <w:tc>
          <w:tcPr>
            <w:tcW w:w="72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3</w:t>
            </w:r>
          </w:p>
        </w:tc>
      </w:tr>
      <w:tr w:rsidR="001900A1" w:rsidRPr="00186843"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86843" w:rsidRDefault="001900A1" w:rsidP="001900A1">
            <w:pPr>
              <w:spacing w:line="276" w:lineRule="auto"/>
              <w:jc w:val="both"/>
              <w:rPr>
                <w:rFonts w:ascii="Arial" w:eastAsia="Calibri" w:hAnsi="Arial" w:cs="Arial"/>
                <w:sz w:val="20"/>
                <w:szCs w:val="20"/>
              </w:rPr>
            </w:pPr>
            <w:r w:rsidRPr="00186843">
              <w:rPr>
                <w:rFonts w:ascii="Arial" w:eastAsia="Calibri" w:hAnsi="Arial" w:cs="Arial"/>
                <w:sz w:val="20"/>
                <w:szCs w:val="20"/>
              </w:rPr>
              <w:t>Urea</w:t>
            </w:r>
          </w:p>
        </w:tc>
        <w:tc>
          <w:tcPr>
            <w:tcW w:w="1356"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xml:space="preserve">0.60 </w:t>
            </w:r>
          </w:p>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(0.47 – 0.73)</w:t>
            </w:r>
          </w:p>
        </w:tc>
        <w:tc>
          <w:tcPr>
            <w:tcW w:w="99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&gt; 4.5</w:t>
            </w:r>
          </w:p>
        </w:tc>
        <w:tc>
          <w:tcPr>
            <w:tcW w:w="126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55.9</w:t>
            </w:r>
          </w:p>
        </w:tc>
        <w:tc>
          <w:tcPr>
            <w:tcW w:w="81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61.4</w:t>
            </w:r>
          </w:p>
        </w:tc>
        <w:tc>
          <w:tcPr>
            <w:tcW w:w="81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59.0</w:t>
            </w:r>
          </w:p>
        </w:tc>
        <w:tc>
          <w:tcPr>
            <w:tcW w:w="720" w:type="dxa"/>
            <w:hideMark/>
          </w:tcPr>
          <w:p w:rsidR="001900A1" w:rsidRPr="00186843"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4</w:t>
            </w:r>
          </w:p>
        </w:tc>
      </w:tr>
      <w:tr w:rsidR="001900A1" w:rsidRPr="00186843"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86843" w:rsidRDefault="001900A1" w:rsidP="001900A1">
            <w:pPr>
              <w:spacing w:line="276" w:lineRule="auto"/>
              <w:jc w:val="both"/>
              <w:rPr>
                <w:rFonts w:ascii="Arial" w:eastAsia="Calibri" w:hAnsi="Arial" w:cs="Arial"/>
                <w:sz w:val="20"/>
                <w:szCs w:val="20"/>
              </w:rPr>
            </w:pPr>
            <w:r w:rsidRPr="00186843">
              <w:rPr>
                <w:rFonts w:ascii="Arial" w:eastAsia="Calibri" w:hAnsi="Arial" w:cs="Arial"/>
                <w:sz w:val="20"/>
                <w:szCs w:val="20"/>
              </w:rPr>
              <w:t>FBG</w:t>
            </w:r>
          </w:p>
        </w:tc>
        <w:tc>
          <w:tcPr>
            <w:tcW w:w="1356"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 xml:space="preserve">0.58 </w:t>
            </w:r>
          </w:p>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(0.46 – 0.70)</w:t>
            </w:r>
          </w:p>
        </w:tc>
        <w:tc>
          <w:tcPr>
            <w:tcW w:w="99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&gt; 7.0</w:t>
            </w:r>
          </w:p>
        </w:tc>
        <w:tc>
          <w:tcPr>
            <w:tcW w:w="126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51.5</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60.0</w:t>
            </w:r>
          </w:p>
        </w:tc>
        <w:tc>
          <w:tcPr>
            <w:tcW w:w="81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57.8</w:t>
            </w:r>
          </w:p>
        </w:tc>
        <w:tc>
          <w:tcPr>
            <w:tcW w:w="720" w:type="dxa"/>
            <w:shd w:val="clear" w:color="auto" w:fill="auto"/>
            <w:hideMark/>
          </w:tcPr>
          <w:p w:rsidR="001900A1" w:rsidRPr="00186843"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86843">
              <w:rPr>
                <w:rFonts w:ascii="Arial" w:eastAsia="Calibri" w:hAnsi="Arial" w:cs="Arial"/>
                <w:sz w:val="20"/>
                <w:szCs w:val="20"/>
              </w:rPr>
              <w:t>5</w:t>
            </w:r>
          </w:p>
        </w:tc>
      </w:tr>
    </w:tbl>
    <w:p w:rsidR="001900A1" w:rsidRPr="00186843" w:rsidRDefault="00574064" w:rsidP="001900A1">
      <w:pPr>
        <w:spacing w:line="480" w:lineRule="auto"/>
        <w:jc w:val="both"/>
        <w:rPr>
          <w:rFonts w:ascii="Arial" w:eastAsia="Calibri" w:hAnsi="Arial" w:cs="Arial"/>
          <w:sz w:val="20"/>
          <w:szCs w:val="20"/>
        </w:rPr>
      </w:pPr>
      <w:r w:rsidRPr="00186843">
        <w:rPr>
          <w:rFonts w:ascii="Arial" w:eastAsia="Calibri" w:hAnsi="Arial" w:cs="Arial"/>
          <w:sz w:val="20"/>
          <w:szCs w:val="20"/>
        </w:rPr>
        <w:lastRenderedPageBreak/>
        <w:t>AUC: Area under curve, PPV: Positive predictive value, NPV: Negative predictive value</w:t>
      </w:r>
    </w:p>
    <w:p w:rsidR="000E43BA" w:rsidRPr="00186843" w:rsidRDefault="00EE5DCD" w:rsidP="007B7ADF">
      <w:pPr>
        <w:pStyle w:val="Heading1"/>
      </w:pPr>
      <w:r w:rsidRPr="00186843">
        <w:t xml:space="preserve">4.0 </w:t>
      </w:r>
      <w:r w:rsidR="00A426F4" w:rsidRPr="00186843">
        <w:t>DISCUSSION</w:t>
      </w:r>
    </w:p>
    <w:p w:rsidR="001D3B4F" w:rsidRPr="00186843" w:rsidRDefault="001D3B4F" w:rsidP="007B7ADF">
      <w:pPr>
        <w:pStyle w:val="Heading2"/>
      </w:pPr>
      <w:r w:rsidRPr="00186843">
        <w:t xml:space="preserve">4.1 </w:t>
      </w:r>
      <w:r w:rsidR="00CB2DA4" w:rsidRPr="00186843">
        <w:t>Anthropometric</w:t>
      </w:r>
      <w:r w:rsidRPr="00186843">
        <w:t xml:space="preserve"> </w:t>
      </w:r>
      <w:r w:rsidR="00CB2DA4" w:rsidRPr="00186843">
        <w:t>Parameters</w:t>
      </w:r>
      <w:r w:rsidRPr="00186843">
        <w:t xml:space="preserve"> </w:t>
      </w:r>
      <w:r w:rsidR="00CB2DA4" w:rsidRPr="00186843">
        <w:t>and</w:t>
      </w:r>
      <w:r w:rsidRPr="00186843">
        <w:t xml:space="preserve"> </w:t>
      </w:r>
      <w:r w:rsidR="00CB2DA4" w:rsidRPr="00186843">
        <w:t>DN</w:t>
      </w:r>
      <w:r w:rsidRPr="00186843">
        <w:t xml:space="preserve"> </w:t>
      </w:r>
      <w:r w:rsidR="00CB2DA4" w:rsidRPr="00186843">
        <w:t>Risk</w:t>
      </w:r>
    </w:p>
    <w:p w:rsidR="00CB2DA4" w:rsidRPr="00186843" w:rsidRDefault="00CB2DA4" w:rsidP="00CB2DA4">
      <w:pPr>
        <w:spacing w:line="480" w:lineRule="auto"/>
        <w:jc w:val="both"/>
        <w:rPr>
          <w:rFonts w:ascii="Arial" w:hAnsi="Arial" w:cs="Arial"/>
          <w:sz w:val="20"/>
          <w:szCs w:val="20"/>
        </w:rPr>
      </w:pPr>
      <w:r w:rsidRPr="00186843">
        <w:rPr>
          <w:rFonts w:ascii="Arial" w:hAnsi="Arial" w:cs="Arial"/>
          <w:sz w:val="20"/>
          <w:szCs w:val="20"/>
        </w:rPr>
        <w:t xml:space="preserve">The study found a strong link between Body Mass Index (BMI), waist circumference (WC), and diabetic nephropathy (DN) in newly diagnosed diabetes patients, identifying central obesity as a better predictor than waist-to-hip ratio (WHR), which was not statistically significant. However, since the study used cross-sectional data, the observed relationships may indicate correlation rather than causation. Supporting studies by </w:t>
      </w:r>
      <w:r w:rsidR="00E95BA3" w:rsidRPr="00186843">
        <w:rPr>
          <w:rFonts w:ascii="Arial" w:hAnsi="Arial" w:cs="Arial"/>
          <w:sz w:val="20"/>
          <w:szCs w:val="20"/>
        </w:rPr>
        <w:t>Ding</w:t>
      </w:r>
      <w:r w:rsidRPr="00186843">
        <w:rPr>
          <w:rFonts w:ascii="Arial" w:hAnsi="Arial" w:cs="Arial"/>
          <w:sz w:val="20"/>
          <w:szCs w:val="20"/>
        </w:rPr>
        <w:t xml:space="preserve"> et al. (202</w:t>
      </w:r>
      <w:r w:rsidR="00E95BA3" w:rsidRPr="00186843">
        <w:rPr>
          <w:rFonts w:ascii="Arial" w:hAnsi="Arial" w:cs="Arial"/>
          <w:sz w:val="20"/>
          <w:szCs w:val="20"/>
        </w:rPr>
        <w:t>4</w:t>
      </w:r>
      <w:r w:rsidRPr="00186843">
        <w:rPr>
          <w:rFonts w:ascii="Arial" w:hAnsi="Arial" w:cs="Arial"/>
          <w:sz w:val="20"/>
          <w:szCs w:val="20"/>
        </w:rPr>
        <w:t xml:space="preserve">) also identified WC as an important predictor, while </w:t>
      </w:r>
      <w:r w:rsidR="00B51157" w:rsidRPr="00186843">
        <w:rPr>
          <w:rFonts w:ascii="Arial" w:hAnsi="Arial" w:cs="Arial"/>
          <w:sz w:val="20"/>
          <w:szCs w:val="20"/>
        </w:rPr>
        <w:t>Zhang et al</w:t>
      </w:r>
      <w:r w:rsidRPr="00186843">
        <w:rPr>
          <w:rFonts w:ascii="Arial" w:hAnsi="Arial" w:cs="Arial"/>
          <w:sz w:val="20"/>
          <w:szCs w:val="20"/>
        </w:rPr>
        <w:t>. (202</w:t>
      </w:r>
      <w:r w:rsidR="00B51157" w:rsidRPr="00186843">
        <w:rPr>
          <w:rFonts w:ascii="Arial" w:hAnsi="Arial" w:cs="Arial"/>
          <w:sz w:val="20"/>
          <w:szCs w:val="20"/>
        </w:rPr>
        <w:t>4</w:t>
      </w:r>
      <w:r w:rsidRPr="00186843">
        <w:rPr>
          <w:rFonts w:ascii="Arial" w:hAnsi="Arial" w:cs="Arial"/>
          <w:sz w:val="20"/>
          <w:szCs w:val="20"/>
        </w:rPr>
        <w:t>) reported that BMI’s association with nephropathy weakens after adjusting for age and blood sugar control. Although emphasizing central obesity over overall fat distribution is reasonable, stronger evidence from longitudinal studies is needed to confirm this relationship.</w:t>
      </w:r>
    </w:p>
    <w:p w:rsidR="007E555D" w:rsidRPr="00186843" w:rsidRDefault="007E555D" w:rsidP="007E555D">
      <w:pPr>
        <w:spacing w:line="480" w:lineRule="auto"/>
        <w:jc w:val="both"/>
        <w:rPr>
          <w:rFonts w:ascii="Arial" w:hAnsi="Arial" w:cs="Arial"/>
          <w:sz w:val="20"/>
          <w:szCs w:val="20"/>
        </w:rPr>
      </w:pPr>
      <w:r w:rsidRPr="00186843">
        <w:rPr>
          <w:rFonts w:ascii="Arial" w:hAnsi="Arial" w:cs="Arial"/>
          <w:sz w:val="20"/>
          <w:szCs w:val="20"/>
        </w:rPr>
        <w:t xml:space="preserve">Excess body weight and central obesity contribute to early kidney damage through metabolic and hemodynamic mechanisms. Increased adipose tissue promotes insulin resistance, chronic low-grade inflammation, and oxidative stress, which can impair endothelial function and increase intraglomerular pressure. These changes lead to glomerular hyperfiltration and gradual damage to the filtration barrier (García-Carro et al., 2021; Sharma et al., 2021; Martínez-Montoro et al., 2022). As a result, renal injury may begin even before sustained hyperglycemia develops. </w:t>
      </w:r>
    </w:p>
    <w:p w:rsidR="007E555D" w:rsidRPr="00186843" w:rsidRDefault="007E555D" w:rsidP="007E555D">
      <w:pPr>
        <w:spacing w:line="480" w:lineRule="auto"/>
        <w:jc w:val="both"/>
        <w:rPr>
          <w:rFonts w:ascii="Arial" w:hAnsi="Arial" w:cs="Arial"/>
          <w:sz w:val="20"/>
          <w:szCs w:val="20"/>
        </w:rPr>
      </w:pPr>
    </w:p>
    <w:p w:rsidR="001D3B4F" w:rsidRPr="00186843" w:rsidRDefault="001D3B4F" w:rsidP="007B7ADF">
      <w:pPr>
        <w:pStyle w:val="Heading2"/>
      </w:pPr>
      <w:r w:rsidRPr="00186843">
        <w:t xml:space="preserve">4.2 </w:t>
      </w:r>
      <w:r w:rsidR="00CB2DA4" w:rsidRPr="00186843">
        <w:t>Biochemical</w:t>
      </w:r>
      <w:r w:rsidRPr="00186843">
        <w:t xml:space="preserve"> </w:t>
      </w:r>
      <w:r w:rsidR="00CB2DA4" w:rsidRPr="00186843">
        <w:t>Markers:</w:t>
      </w:r>
      <w:r w:rsidRPr="00186843">
        <w:t xml:space="preserve"> </w:t>
      </w:r>
      <w:r w:rsidR="00CB2DA4" w:rsidRPr="00186843">
        <w:t>Hyperglycemia</w:t>
      </w:r>
      <w:r w:rsidRPr="00186843">
        <w:t xml:space="preserve"> </w:t>
      </w:r>
      <w:r w:rsidR="00CB2DA4" w:rsidRPr="00186843">
        <w:t>and</w:t>
      </w:r>
      <w:r w:rsidRPr="00186843">
        <w:t xml:space="preserve"> </w:t>
      </w:r>
      <w:r w:rsidR="00CB2DA4" w:rsidRPr="00186843">
        <w:t>Renal</w:t>
      </w:r>
      <w:r w:rsidRPr="00186843">
        <w:t xml:space="preserve"> </w:t>
      </w:r>
      <w:r w:rsidR="00CB2DA4" w:rsidRPr="00186843">
        <w:t>Integrity</w:t>
      </w:r>
    </w:p>
    <w:p w:rsidR="00CB2DA4" w:rsidRPr="00186843" w:rsidRDefault="007E555D" w:rsidP="00CB2DA4">
      <w:pPr>
        <w:spacing w:line="480" w:lineRule="auto"/>
        <w:jc w:val="both"/>
        <w:rPr>
          <w:rFonts w:ascii="Arial" w:hAnsi="Arial" w:cs="Arial"/>
          <w:sz w:val="20"/>
          <w:szCs w:val="20"/>
        </w:rPr>
      </w:pPr>
      <w:r w:rsidRPr="00186843">
        <w:rPr>
          <w:rFonts w:ascii="Arial" w:hAnsi="Arial" w:cs="Arial"/>
          <w:sz w:val="20"/>
          <w:szCs w:val="20"/>
        </w:rPr>
        <w:t xml:space="preserve">Fasting blood glucose levels were significantly higher in diabetic participants (p &lt; 0.001), confirming proper group classification. However, renal biomarkers such as urea, creatinine, cystatin C, and microalbuminuria did not differ significantly across diabetic, prediabetic, and non-diabetic groups. Despite this, a substantial proportion of participants in all groups showed abnormal values, indicating the presence of early renal involvement that was not restricted to </w:t>
      </w:r>
      <w:r w:rsidRPr="00186843">
        <w:rPr>
          <w:rFonts w:ascii="Arial" w:hAnsi="Arial" w:cs="Arial"/>
          <w:sz w:val="20"/>
          <w:szCs w:val="20"/>
        </w:rPr>
        <w:lastRenderedPageBreak/>
        <w:t xml:space="preserve">overt diabetes. Similar findings have been reported by </w:t>
      </w:r>
      <w:proofErr w:type="spellStart"/>
      <w:r w:rsidRPr="00186843">
        <w:rPr>
          <w:rFonts w:ascii="Arial" w:hAnsi="Arial" w:cs="Arial"/>
          <w:sz w:val="20"/>
          <w:szCs w:val="20"/>
        </w:rPr>
        <w:t>Zadabbas</w:t>
      </w:r>
      <w:proofErr w:type="spellEnd"/>
      <w:r w:rsidRPr="00186843">
        <w:rPr>
          <w:rFonts w:ascii="Arial" w:hAnsi="Arial" w:cs="Arial"/>
          <w:sz w:val="20"/>
          <w:szCs w:val="20"/>
        </w:rPr>
        <w:t xml:space="preserve"> et al. (2024), who observed elevated but statistically insignificant cystatin C levels in early-stage diabetes, and by Zhang et al. (2019), who reported renal biomarker abnormalities in individuals without established diabetic nephropathy.</w:t>
      </w:r>
    </w:p>
    <w:p w:rsidR="007E555D" w:rsidRPr="00186843" w:rsidRDefault="007E555D" w:rsidP="00CB2DA4">
      <w:pPr>
        <w:spacing w:line="480" w:lineRule="auto"/>
        <w:jc w:val="both"/>
        <w:rPr>
          <w:rFonts w:ascii="Arial" w:eastAsia="Calibri" w:hAnsi="Arial" w:cs="Arial"/>
          <w:sz w:val="20"/>
          <w:szCs w:val="20"/>
        </w:rPr>
      </w:pPr>
      <w:r w:rsidRPr="00186843">
        <w:rPr>
          <w:rFonts w:ascii="Arial" w:eastAsia="Calibri" w:hAnsi="Arial" w:cs="Arial"/>
          <w:sz w:val="20"/>
          <w:szCs w:val="20"/>
        </w:rPr>
        <w:t>The absence of significant differences across the diabetic, prediabetic, and non-diabetic groups does not necessarily imply poor biomarker performance. Instead, it may reflect the presence of early renal impairment even among prediabetics and normoglycemic individuals with metabolic risk factors like obesity, hypertension, and dyslipidemia. This overlaps with emerging evidence that early kidney injury is not strictly glucose-dependent and may precede overt diabetes (</w:t>
      </w:r>
      <w:proofErr w:type="spellStart"/>
      <w:r w:rsidRPr="00186843">
        <w:rPr>
          <w:rFonts w:ascii="Arial" w:hAnsi="Arial" w:cs="Arial"/>
          <w:sz w:val="20"/>
          <w:szCs w:val="20"/>
        </w:rPr>
        <w:t>Shilpasree</w:t>
      </w:r>
      <w:proofErr w:type="spellEnd"/>
      <w:r w:rsidRPr="00186843">
        <w:rPr>
          <w:rFonts w:ascii="Arial" w:hAnsi="Arial" w:cs="Arial"/>
          <w:sz w:val="20"/>
          <w:szCs w:val="20"/>
        </w:rPr>
        <w:t xml:space="preserve"> et al., 2021; Kim et al., 2025; Melsom et al., 2025</w:t>
      </w:r>
      <w:r w:rsidRPr="00186843">
        <w:rPr>
          <w:rFonts w:ascii="Arial" w:eastAsia="Calibri" w:hAnsi="Arial" w:cs="Arial"/>
          <w:sz w:val="20"/>
          <w:szCs w:val="20"/>
        </w:rPr>
        <w:t>)</w:t>
      </w:r>
    </w:p>
    <w:p w:rsidR="007E555D" w:rsidRPr="00186843" w:rsidRDefault="007E555D" w:rsidP="00CB2DA4">
      <w:pPr>
        <w:spacing w:line="480" w:lineRule="auto"/>
        <w:jc w:val="both"/>
        <w:rPr>
          <w:rFonts w:ascii="Arial" w:eastAsia="Calibri" w:hAnsi="Arial" w:cs="Arial"/>
          <w:sz w:val="20"/>
          <w:szCs w:val="20"/>
        </w:rPr>
      </w:pPr>
    </w:p>
    <w:p w:rsidR="001D3B4F" w:rsidRPr="00186843" w:rsidRDefault="001D3B4F" w:rsidP="007B7ADF">
      <w:pPr>
        <w:pStyle w:val="Heading2"/>
      </w:pPr>
      <w:r w:rsidRPr="00186843">
        <w:t xml:space="preserve">4.3 </w:t>
      </w:r>
      <w:r w:rsidR="00CB2DA4" w:rsidRPr="00186843">
        <w:t>Prevalence</w:t>
      </w:r>
      <w:r w:rsidRPr="00186843">
        <w:t xml:space="preserve"> </w:t>
      </w:r>
      <w:r w:rsidR="00CB2DA4" w:rsidRPr="00186843">
        <w:t>of</w:t>
      </w:r>
      <w:r w:rsidRPr="00186843">
        <w:t xml:space="preserve"> </w:t>
      </w:r>
      <w:r w:rsidR="00CB2DA4" w:rsidRPr="00186843">
        <w:t>DN</w:t>
      </w:r>
      <w:r w:rsidRPr="00186843">
        <w:t xml:space="preserve"> </w:t>
      </w:r>
      <w:r w:rsidR="00CB2DA4" w:rsidRPr="00186843">
        <w:t>in</w:t>
      </w:r>
      <w:r w:rsidRPr="00186843">
        <w:t xml:space="preserve"> </w:t>
      </w:r>
      <w:r w:rsidR="00CB2DA4" w:rsidRPr="00186843">
        <w:t>Early</w:t>
      </w:r>
      <w:r w:rsidRPr="00186843">
        <w:t xml:space="preserve"> </w:t>
      </w:r>
      <w:r w:rsidR="00CB2DA4" w:rsidRPr="00186843">
        <w:t>Diabetes</w:t>
      </w:r>
    </w:p>
    <w:p w:rsidR="00CB2DA4" w:rsidRPr="00186843" w:rsidRDefault="00CB2DA4" w:rsidP="00CB2DA4">
      <w:pPr>
        <w:spacing w:line="480" w:lineRule="auto"/>
        <w:jc w:val="both"/>
        <w:rPr>
          <w:rFonts w:ascii="Arial" w:hAnsi="Arial" w:cs="Arial"/>
          <w:b/>
          <w:bCs/>
          <w:sz w:val="20"/>
          <w:szCs w:val="20"/>
        </w:rPr>
      </w:pPr>
      <w:r w:rsidRPr="00186843">
        <w:rPr>
          <w:rFonts w:ascii="Arial" w:hAnsi="Arial" w:cs="Arial"/>
          <w:sz w:val="20"/>
          <w:szCs w:val="20"/>
        </w:rPr>
        <w:t>The study reported a 39.7% prevalence of DN among diabetic patients, with cystatin C (14.1%), microalbuminuria (15.4%), and creatinine (24.4%) abnormalities, but no significant difference between diabetic and prediabetic groups. Interestingly, 30.6% of prediabetic participants also showed abnormal biomarkers, which challenges the idea that DN is driven mainly by hyperglycemia. (</w:t>
      </w:r>
      <w:proofErr w:type="spellStart"/>
      <w:r w:rsidRPr="00186843">
        <w:rPr>
          <w:rFonts w:ascii="Arial" w:hAnsi="Arial" w:cs="Arial"/>
          <w:sz w:val="20"/>
          <w:szCs w:val="20"/>
        </w:rPr>
        <w:t>Okeji</w:t>
      </w:r>
      <w:proofErr w:type="spellEnd"/>
      <w:r w:rsidRPr="00186843">
        <w:rPr>
          <w:rFonts w:ascii="Arial" w:hAnsi="Arial" w:cs="Arial"/>
          <w:sz w:val="20"/>
          <w:szCs w:val="20"/>
        </w:rPr>
        <w:t xml:space="preserve"> et al., 2025), suggested shared risk factors like obesity, </w:t>
      </w:r>
      <w:proofErr w:type="spellStart"/>
      <w:r w:rsidRPr="00186843">
        <w:rPr>
          <w:rFonts w:ascii="Arial" w:hAnsi="Arial" w:cs="Arial"/>
          <w:sz w:val="20"/>
          <w:szCs w:val="20"/>
        </w:rPr>
        <w:t>hypertesion</w:t>
      </w:r>
      <w:proofErr w:type="spellEnd"/>
      <w:r w:rsidRPr="00186843">
        <w:rPr>
          <w:rFonts w:ascii="Arial" w:hAnsi="Arial" w:cs="Arial"/>
          <w:sz w:val="20"/>
          <w:szCs w:val="20"/>
        </w:rPr>
        <w:t>, and dyslipidemia as possible explanations but this weakens the argument that DN is primarily glucose-related. Although detecting DN early is valuable, the similar rates in non-diabetic groups may reflect either limited biomarker specificity or the influence of unmeasured factors.</w:t>
      </w:r>
    </w:p>
    <w:p w:rsidR="003F7C16" w:rsidRPr="00186843" w:rsidRDefault="003F7C16" w:rsidP="007B7ADF">
      <w:pPr>
        <w:pStyle w:val="Heading2"/>
      </w:pPr>
      <w:r w:rsidRPr="00186843">
        <w:t xml:space="preserve">4.4 </w:t>
      </w:r>
      <w:r w:rsidR="00CB2DA4" w:rsidRPr="00186843">
        <w:t>Diagnostic</w:t>
      </w:r>
      <w:r w:rsidRPr="00186843">
        <w:t xml:space="preserve"> </w:t>
      </w:r>
      <w:r w:rsidR="00CB2DA4" w:rsidRPr="00186843">
        <w:t>Superiority</w:t>
      </w:r>
      <w:r w:rsidRPr="00186843">
        <w:t xml:space="preserve"> </w:t>
      </w:r>
      <w:r w:rsidR="00CB2DA4" w:rsidRPr="00186843">
        <w:t>of</w:t>
      </w:r>
      <w:r w:rsidRPr="00186843">
        <w:t xml:space="preserve"> </w:t>
      </w:r>
      <w:r w:rsidR="00CB2DA4" w:rsidRPr="00186843">
        <w:t>Cystatin</w:t>
      </w:r>
      <w:r w:rsidRPr="00186843">
        <w:t xml:space="preserve"> </w:t>
      </w:r>
      <w:r w:rsidR="00CB2DA4" w:rsidRPr="00186843">
        <w:t>C</w:t>
      </w:r>
    </w:p>
    <w:p w:rsidR="00C86D01" w:rsidRPr="00186843" w:rsidRDefault="00CB2DA4" w:rsidP="001E2302">
      <w:pPr>
        <w:spacing w:line="480" w:lineRule="auto"/>
        <w:jc w:val="both"/>
        <w:rPr>
          <w:rFonts w:ascii="Arial" w:hAnsi="Arial" w:cs="Arial"/>
          <w:sz w:val="20"/>
          <w:szCs w:val="20"/>
        </w:rPr>
      </w:pPr>
      <w:r w:rsidRPr="00186843">
        <w:rPr>
          <w:rFonts w:ascii="Arial" w:hAnsi="Arial" w:cs="Arial"/>
          <w:sz w:val="20"/>
          <w:szCs w:val="20"/>
        </w:rPr>
        <w:t xml:space="preserve">Cystatin C demonstrated high diagnostic accuracy (AUC = 0.87, sensitivity 88.2%), outperforming </w:t>
      </w:r>
      <w:r w:rsidR="00C86D01" w:rsidRPr="00186843">
        <w:rPr>
          <w:rFonts w:ascii="Arial" w:hAnsi="Arial" w:cs="Arial"/>
          <w:sz w:val="20"/>
          <w:szCs w:val="20"/>
        </w:rPr>
        <w:t>the gold standard for definitive diabetic nephropathy:  Urinary Albumin-to-Creatinine ratio (</w:t>
      </w:r>
      <w:r w:rsidRPr="00186843">
        <w:rPr>
          <w:rFonts w:ascii="Arial" w:hAnsi="Arial" w:cs="Arial"/>
          <w:sz w:val="20"/>
          <w:szCs w:val="20"/>
        </w:rPr>
        <w:t>microalbuminuria</w:t>
      </w:r>
      <w:r w:rsidR="00C86D01" w:rsidRPr="00186843">
        <w:rPr>
          <w:rFonts w:ascii="Arial" w:hAnsi="Arial" w:cs="Arial"/>
          <w:sz w:val="20"/>
          <w:szCs w:val="20"/>
        </w:rPr>
        <w:t xml:space="preserve">) at </w:t>
      </w:r>
      <w:r w:rsidRPr="00186843">
        <w:rPr>
          <w:rFonts w:ascii="Arial" w:hAnsi="Arial" w:cs="Arial"/>
          <w:sz w:val="20"/>
          <w:szCs w:val="20"/>
        </w:rPr>
        <w:t>AUC = 0.69</w:t>
      </w:r>
    </w:p>
    <w:p w:rsidR="00A60009" w:rsidRPr="00186843" w:rsidRDefault="00CB2DA4" w:rsidP="00A60009">
      <w:pPr>
        <w:spacing w:line="480" w:lineRule="auto"/>
        <w:jc w:val="both"/>
        <w:rPr>
          <w:rFonts w:ascii="Arial" w:hAnsi="Arial" w:cs="Arial"/>
          <w:sz w:val="20"/>
          <w:szCs w:val="20"/>
        </w:rPr>
      </w:pPr>
      <w:r w:rsidRPr="00186843">
        <w:rPr>
          <w:rFonts w:ascii="Arial" w:hAnsi="Arial" w:cs="Arial"/>
          <w:sz w:val="20"/>
          <w:szCs w:val="20"/>
        </w:rPr>
        <w:lastRenderedPageBreak/>
        <w:t xml:space="preserve">This aligns with findings by </w:t>
      </w:r>
      <w:proofErr w:type="spellStart"/>
      <w:r w:rsidR="00E95BA3" w:rsidRPr="00186843">
        <w:rPr>
          <w:rFonts w:ascii="Arial" w:hAnsi="Arial" w:cs="Arial"/>
          <w:sz w:val="20"/>
          <w:szCs w:val="20"/>
        </w:rPr>
        <w:t>Dastidar</w:t>
      </w:r>
      <w:proofErr w:type="spellEnd"/>
      <w:r w:rsidR="00E95BA3" w:rsidRPr="00186843">
        <w:rPr>
          <w:rFonts w:ascii="Arial" w:hAnsi="Arial" w:cs="Arial"/>
          <w:sz w:val="20"/>
          <w:szCs w:val="20"/>
        </w:rPr>
        <w:t xml:space="preserve"> </w:t>
      </w:r>
      <w:r w:rsidRPr="00186843">
        <w:rPr>
          <w:rFonts w:ascii="Arial" w:hAnsi="Arial" w:cs="Arial"/>
          <w:sz w:val="20"/>
          <w:szCs w:val="20"/>
        </w:rPr>
        <w:t>et al. (202</w:t>
      </w:r>
      <w:r w:rsidR="00E95BA3" w:rsidRPr="00186843">
        <w:rPr>
          <w:rFonts w:ascii="Arial" w:hAnsi="Arial" w:cs="Arial"/>
          <w:sz w:val="20"/>
          <w:szCs w:val="20"/>
        </w:rPr>
        <w:t>4</w:t>
      </w:r>
      <w:r w:rsidRPr="00186843">
        <w:rPr>
          <w:rFonts w:ascii="Arial" w:hAnsi="Arial" w:cs="Arial"/>
          <w:sz w:val="20"/>
          <w:szCs w:val="20"/>
        </w:rPr>
        <w:t xml:space="preserve">) and other researchers, though the identical AUC values raise concerns about potential data overlap or selective reporting. </w:t>
      </w:r>
      <w:r w:rsidR="00A60009" w:rsidRPr="00186843">
        <w:rPr>
          <w:rFonts w:ascii="Arial" w:hAnsi="Arial" w:cs="Arial"/>
          <w:sz w:val="20"/>
          <w:szCs w:val="20"/>
        </w:rPr>
        <w:t>Cystatin C reflects early changes in renal function because it is freely filtered by the glomeruli and almost completely reabsorbed and metabolized by proximal tubular cells. Even mild reductions in filtration or early tubular dysfunction can lead to increased serum cystatin C levels (Benoit et al., 2020). In contrast, creatinine levels often remain normal until significant nephron loss occurs due to compensatory hyperfiltration and the influence of muscle mass (</w:t>
      </w:r>
      <w:proofErr w:type="spellStart"/>
      <w:r w:rsidR="00A60009" w:rsidRPr="00186843">
        <w:rPr>
          <w:rFonts w:ascii="Arial" w:hAnsi="Arial" w:cs="Arial"/>
          <w:sz w:val="20"/>
          <w:szCs w:val="20"/>
        </w:rPr>
        <w:t>Ismailet</w:t>
      </w:r>
      <w:proofErr w:type="spellEnd"/>
      <w:r w:rsidR="00A60009" w:rsidRPr="00186843">
        <w:rPr>
          <w:rFonts w:ascii="Arial" w:hAnsi="Arial" w:cs="Arial"/>
          <w:sz w:val="20"/>
          <w:szCs w:val="20"/>
        </w:rPr>
        <w:t xml:space="preserve"> al., 2023). Microalbuminuria reflects glomerular endothelial injury but may fluctuate due to transient physiological or inflammatory factors, which can reduce its sensitivity in early disease (Dimitriadis).</w:t>
      </w:r>
    </w:p>
    <w:p w:rsidR="00CB2DA4" w:rsidRPr="00186843" w:rsidRDefault="00CB2DA4" w:rsidP="001E2302">
      <w:pPr>
        <w:spacing w:line="480" w:lineRule="auto"/>
        <w:jc w:val="both"/>
        <w:rPr>
          <w:rFonts w:ascii="Arial" w:hAnsi="Arial" w:cs="Arial"/>
          <w:sz w:val="20"/>
          <w:szCs w:val="20"/>
        </w:rPr>
      </w:pPr>
      <w:r w:rsidRPr="00186843">
        <w:rPr>
          <w:rFonts w:ascii="Arial" w:hAnsi="Arial" w:cs="Arial"/>
          <w:sz w:val="20"/>
          <w:szCs w:val="20"/>
        </w:rPr>
        <w:t>Since the study used a single cutoff point in a newly diagnosed group, the results may not apply broadly. While creatinine is known to rise later in the disease process, the usefulness of microalbuminuria (sensitivity 64.7%) should not be overlooked. Although cystatin C appears to be a strong early marker, recommending it as the best option in all settings ignores practical issues such as cost and test availability. A balanced approach that considers both accuracy and feasibility is therefore more appropriate</w:t>
      </w:r>
    </w:p>
    <w:p w:rsidR="00CB2DA4" w:rsidRPr="00186843" w:rsidRDefault="003F7C16" w:rsidP="007B7ADF">
      <w:pPr>
        <w:pStyle w:val="Heading1"/>
        <w:rPr>
          <w:rFonts w:eastAsia="Calibri"/>
        </w:rPr>
      </w:pPr>
      <w:r w:rsidRPr="00186843">
        <w:rPr>
          <w:rFonts w:eastAsia="Calibri"/>
        </w:rPr>
        <w:t>CONCLUSION</w:t>
      </w:r>
    </w:p>
    <w:p w:rsidR="00CB2DA4" w:rsidRPr="00186843" w:rsidRDefault="00CB2DA4" w:rsidP="00A52589">
      <w:pPr>
        <w:spacing w:line="480" w:lineRule="auto"/>
        <w:jc w:val="both"/>
        <w:rPr>
          <w:rFonts w:ascii="Arial" w:hAnsi="Arial" w:cs="Arial"/>
          <w:sz w:val="20"/>
          <w:szCs w:val="20"/>
        </w:rPr>
      </w:pPr>
      <w:r w:rsidRPr="00186843">
        <w:rPr>
          <w:rFonts w:ascii="Arial" w:hAnsi="Arial" w:cs="Arial"/>
          <w:sz w:val="20"/>
          <w:szCs w:val="20"/>
        </w:rPr>
        <w:t>The study emphasizes that cystatin C and microalbumin are important indicators for identifying early kidney damage in diabetic patients. It reveals that nephropathy may have develop even before the diagnosis of diabetes with central obesity being a major risk factor. Socioeconomic status showed no significant effect on nephropathy occurrence. Overall, cystatin C emerged as the most reliable early marker and should be included in routine diabetes screening.</w:t>
      </w:r>
    </w:p>
    <w:p w:rsidR="00661CEA" w:rsidRPr="00186843" w:rsidRDefault="00661CEA" w:rsidP="00A52589">
      <w:pPr>
        <w:spacing w:line="480" w:lineRule="auto"/>
        <w:jc w:val="both"/>
        <w:rPr>
          <w:rFonts w:ascii="Arial" w:hAnsi="Arial" w:cs="Arial"/>
          <w:sz w:val="20"/>
          <w:szCs w:val="20"/>
        </w:rPr>
      </w:pPr>
    </w:p>
    <w:p w:rsidR="00CB2DA4" w:rsidRPr="00186843" w:rsidRDefault="00661CEA" w:rsidP="007B7ADF">
      <w:pPr>
        <w:pStyle w:val="Heading1"/>
      </w:pPr>
      <w:r w:rsidRPr="00186843">
        <w:lastRenderedPageBreak/>
        <w:t>Ethical Approval</w:t>
      </w:r>
    </w:p>
    <w:p w:rsidR="00661CEA" w:rsidRPr="00186843" w:rsidRDefault="00CB2DA4" w:rsidP="00E74214">
      <w:pPr>
        <w:autoSpaceDE w:val="0"/>
        <w:autoSpaceDN w:val="0"/>
        <w:adjustRightInd w:val="0"/>
        <w:spacing w:after="0" w:line="480" w:lineRule="auto"/>
        <w:jc w:val="both"/>
        <w:rPr>
          <w:rFonts w:ascii="Arial" w:eastAsia="TimesNewRomanPSMT" w:hAnsi="Arial" w:cs="Arial"/>
          <w:sz w:val="20"/>
          <w:szCs w:val="20"/>
        </w:rPr>
      </w:pPr>
      <w:r w:rsidRPr="00186843">
        <w:rPr>
          <w:rFonts w:ascii="Arial" w:eastAsia="TimesNewRomanPSMT" w:hAnsi="Arial" w:cs="Arial"/>
          <w:sz w:val="20"/>
          <w:szCs w:val="20"/>
        </w:rPr>
        <w:t xml:space="preserve">Ethical </w:t>
      </w:r>
      <w:r w:rsidR="00543C57" w:rsidRPr="00186843">
        <w:rPr>
          <w:rFonts w:ascii="Arial" w:eastAsia="TimesNewRomanPSMT" w:hAnsi="Arial" w:cs="Arial"/>
          <w:sz w:val="20"/>
          <w:szCs w:val="20"/>
        </w:rPr>
        <w:t xml:space="preserve">approval </w:t>
      </w:r>
      <w:r w:rsidRPr="00186843">
        <w:rPr>
          <w:rFonts w:ascii="Arial" w:eastAsia="TimesNewRomanPSMT" w:hAnsi="Arial" w:cs="Arial"/>
          <w:sz w:val="20"/>
          <w:szCs w:val="20"/>
        </w:rPr>
        <w:t>was sought from the Ethical and Review Committee of the BOWEN Teaching Hospital Ogbomoso Oyo State</w:t>
      </w:r>
      <w:r w:rsidR="00543C57" w:rsidRPr="00186843">
        <w:rPr>
          <w:rFonts w:ascii="Arial" w:eastAsia="TimesNewRomanPSMT" w:hAnsi="Arial" w:cs="Arial"/>
          <w:sz w:val="20"/>
          <w:szCs w:val="20"/>
        </w:rPr>
        <w:t xml:space="preserve">. Approval was given </w:t>
      </w:r>
      <w:r w:rsidRPr="00186843">
        <w:rPr>
          <w:rFonts w:ascii="Arial" w:eastAsia="TimesNewRomanPSMT" w:hAnsi="Arial" w:cs="Arial"/>
          <w:sz w:val="20"/>
          <w:szCs w:val="20"/>
        </w:rPr>
        <w:t>with the approval number BUTH/REC-2644 and registration number NHREC/12/04/2012</w:t>
      </w:r>
    </w:p>
    <w:p w:rsidR="00661CEA" w:rsidRPr="00186843" w:rsidRDefault="00661CEA" w:rsidP="00E74214">
      <w:pPr>
        <w:autoSpaceDE w:val="0"/>
        <w:autoSpaceDN w:val="0"/>
        <w:adjustRightInd w:val="0"/>
        <w:spacing w:after="0" w:line="480" w:lineRule="auto"/>
        <w:jc w:val="both"/>
        <w:rPr>
          <w:rFonts w:ascii="Arial" w:eastAsia="TimesNewRomanPSMT" w:hAnsi="Arial" w:cs="Arial"/>
          <w:sz w:val="20"/>
          <w:szCs w:val="20"/>
        </w:rPr>
      </w:pPr>
    </w:p>
    <w:p w:rsidR="00661CEA" w:rsidRPr="00186843" w:rsidRDefault="00661CEA" w:rsidP="00661CEA">
      <w:pPr>
        <w:autoSpaceDE w:val="0"/>
        <w:autoSpaceDN w:val="0"/>
        <w:adjustRightInd w:val="0"/>
        <w:spacing w:after="0" w:line="480" w:lineRule="auto"/>
        <w:jc w:val="both"/>
        <w:rPr>
          <w:rFonts w:ascii="Arial" w:eastAsia="TimesNewRomanPSMT" w:hAnsi="Arial" w:cs="Arial"/>
          <w:b/>
          <w:sz w:val="20"/>
          <w:szCs w:val="20"/>
        </w:rPr>
      </w:pPr>
      <w:r w:rsidRPr="00186843">
        <w:rPr>
          <w:rFonts w:ascii="Arial" w:eastAsia="TimesNewRomanPSMT" w:hAnsi="Arial" w:cs="Arial"/>
          <w:b/>
          <w:sz w:val="20"/>
          <w:szCs w:val="20"/>
        </w:rPr>
        <w:t xml:space="preserve">Consent </w:t>
      </w:r>
    </w:p>
    <w:p w:rsidR="00661CEA" w:rsidRPr="00186843" w:rsidRDefault="00661CEA" w:rsidP="00661CEA">
      <w:pPr>
        <w:autoSpaceDE w:val="0"/>
        <w:autoSpaceDN w:val="0"/>
        <w:adjustRightInd w:val="0"/>
        <w:spacing w:after="0" w:line="480" w:lineRule="auto"/>
        <w:jc w:val="both"/>
        <w:rPr>
          <w:rFonts w:ascii="Arial" w:eastAsia="TimesNewRomanPSMT" w:hAnsi="Arial" w:cs="Arial"/>
          <w:sz w:val="20"/>
          <w:szCs w:val="20"/>
        </w:rPr>
      </w:pPr>
      <w:r w:rsidRPr="00186843">
        <w:rPr>
          <w:rFonts w:ascii="Arial" w:eastAsia="TimesNewRomanPSMT" w:hAnsi="Arial" w:cs="Arial"/>
          <w:sz w:val="20"/>
          <w:szCs w:val="20"/>
        </w:rPr>
        <w:t>As per international standards or university standards, patient(s) written consent has been collected and preserved by the author(s).</w:t>
      </w:r>
    </w:p>
    <w:p w:rsidR="00110B07" w:rsidRPr="00186843" w:rsidRDefault="00B51157" w:rsidP="00110B07">
      <w:pPr>
        <w:rPr>
          <w:rFonts w:ascii="Calibri" w:eastAsia="Calibri" w:hAnsi="Calibri" w:cs="Times New Roman"/>
        </w:rPr>
      </w:pPr>
      <w:r w:rsidRPr="00186843">
        <w:br w:type="page"/>
      </w:r>
      <w:bookmarkStart w:id="5" w:name="_Hlk192511329"/>
      <w:bookmarkStart w:id="6" w:name="_Hlk187485061"/>
      <w:bookmarkStart w:id="7" w:name="_Hlk194655630"/>
      <w:bookmarkStart w:id="8" w:name="_Hlk209008097"/>
      <w:bookmarkStart w:id="9" w:name="_Hlk213163655"/>
    </w:p>
    <w:p w:rsidR="00110B07" w:rsidRPr="00186843" w:rsidRDefault="00110B07" w:rsidP="00110B07">
      <w:pPr>
        <w:rPr>
          <w:rFonts w:ascii="Calibri" w:eastAsia="Calibri" w:hAnsi="Calibri" w:cs="Times New Roman"/>
          <w:b/>
        </w:rPr>
      </w:pPr>
      <w:bookmarkStart w:id="10" w:name="_Hlk204003461"/>
      <w:bookmarkStart w:id="11" w:name="_Hlk213070710"/>
      <w:bookmarkEnd w:id="5"/>
      <w:bookmarkEnd w:id="6"/>
      <w:bookmarkEnd w:id="7"/>
      <w:bookmarkEnd w:id="8"/>
      <w:r w:rsidRPr="00186843">
        <w:rPr>
          <w:rFonts w:ascii="Calibri" w:eastAsia="Calibri" w:hAnsi="Calibri" w:cs="Times New Roman"/>
          <w:b/>
        </w:rPr>
        <w:lastRenderedPageBreak/>
        <w:t>Disclaimer (Artificial intelligence)</w:t>
      </w:r>
    </w:p>
    <w:bookmarkEnd w:id="9"/>
    <w:bookmarkEnd w:id="10"/>
    <w:bookmarkEnd w:id="11"/>
    <w:p w:rsidR="004F3432" w:rsidRPr="00186843" w:rsidRDefault="004F3432" w:rsidP="004F3432">
      <w:pPr>
        <w:rPr>
          <w:rFonts w:ascii="Arial" w:eastAsiaTheme="majorEastAsia" w:hAnsi="Arial" w:cstheme="majorBidi"/>
          <w:bCs/>
          <w:kern w:val="0"/>
          <w:sz w:val="20"/>
          <w:szCs w:val="20"/>
          <w14:ligatures w14:val="none"/>
        </w:rPr>
      </w:pPr>
      <w:r w:rsidRPr="00186843">
        <w:rPr>
          <w:rFonts w:ascii="Arial" w:eastAsiaTheme="majorEastAsia" w:hAnsi="Arial" w:cstheme="majorBidi"/>
          <w:bCs/>
          <w:kern w:val="0"/>
          <w:sz w:val="20"/>
          <w:szCs w:val="20"/>
          <w14:ligatures w14:val="none"/>
        </w:rPr>
        <w:t>The authors hereby declare that generative AI technologies were used during the writing and editing of this manuscript. The AI tool was employed solely to support literature exploration and synthesis of existing evidence, while all scientific interpretations, analyses, and conclusions remain the responsibility of the authors.</w:t>
      </w:r>
    </w:p>
    <w:p w:rsidR="004F3432" w:rsidRPr="00186843" w:rsidRDefault="004F3432" w:rsidP="004F3432">
      <w:pPr>
        <w:rPr>
          <w:rFonts w:ascii="Arial" w:eastAsiaTheme="majorEastAsia" w:hAnsi="Arial" w:cstheme="majorBidi"/>
          <w:bCs/>
          <w:kern w:val="0"/>
          <w:sz w:val="20"/>
          <w:szCs w:val="20"/>
          <w14:ligatures w14:val="none"/>
        </w:rPr>
      </w:pPr>
      <w:r w:rsidRPr="00186843">
        <w:rPr>
          <w:rFonts w:ascii="Arial" w:eastAsiaTheme="majorEastAsia" w:hAnsi="Arial" w:cstheme="majorBidi"/>
          <w:bCs/>
          <w:kern w:val="0"/>
          <w:sz w:val="20"/>
          <w:szCs w:val="20"/>
          <w14:ligatures w14:val="none"/>
        </w:rPr>
        <w:t>Details of AI usage are provided below:</w:t>
      </w:r>
    </w:p>
    <w:p w:rsidR="004F3432" w:rsidRPr="00186843" w:rsidRDefault="004F3432" w:rsidP="004F3432">
      <w:pPr>
        <w:numPr>
          <w:ilvl w:val="0"/>
          <w:numId w:val="7"/>
        </w:numPr>
        <w:rPr>
          <w:rFonts w:ascii="Arial" w:eastAsiaTheme="majorEastAsia" w:hAnsi="Arial" w:cstheme="majorBidi"/>
          <w:bCs/>
          <w:kern w:val="0"/>
          <w:sz w:val="20"/>
          <w:szCs w:val="20"/>
          <w14:ligatures w14:val="none"/>
        </w:rPr>
      </w:pPr>
      <w:r w:rsidRPr="00186843">
        <w:rPr>
          <w:rFonts w:ascii="Arial" w:eastAsiaTheme="majorEastAsia" w:hAnsi="Arial" w:cstheme="majorBidi"/>
          <w:bCs/>
          <w:kern w:val="0"/>
          <w:sz w:val="20"/>
          <w:szCs w:val="20"/>
          <w14:ligatures w14:val="none"/>
        </w:rPr>
        <w:t>Name: Consensus</w:t>
      </w:r>
      <w:r w:rsidRPr="00186843">
        <w:rPr>
          <w:rFonts w:ascii="Arial" w:eastAsiaTheme="majorEastAsia" w:hAnsi="Arial" w:cstheme="majorBidi"/>
          <w:bCs/>
          <w:kern w:val="0"/>
          <w:sz w:val="20"/>
          <w:szCs w:val="20"/>
          <w14:ligatures w14:val="none"/>
        </w:rPr>
        <w:br/>
        <w:t>Type: AI-powered academic search engine</w:t>
      </w:r>
      <w:r w:rsidRPr="00186843">
        <w:rPr>
          <w:rFonts w:ascii="Arial" w:eastAsiaTheme="majorEastAsia" w:hAnsi="Arial" w:cstheme="majorBidi"/>
          <w:bCs/>
          <w:kern w:val="0"/>
          <w:sz w:val="20"/>
          <w:szCs w:val="20"/>
          <w14:ligatures w14:val="none"/>
        </w:rPr>
        <w:br/>
        <w:t>Model/Version: Proprietary large language model (Consensus AI)</w:t>
      </w:r>
      <w:r w:rsidRPr="00186843">
        <w:rPr>
          <w:rFonts w:ascii="Arial" w:eastAsiaTheme="majorEastAsia" w:hAnsi="Arial" w:cstheme="majorBidi"/>
          <w:bCs/>
          <w:kern w:val="0"/>
          <w:sz w:val="20"/>
          <w:szCs w:val="20"/>
          <w14:ligatures w14:val="none"/>
        </w:rPr>
        <w:br/>
        <w:t xml:space="preserve">Source: </w:t>
      </w:r>
      <w:hyperlink r:id="rId7" w:tgtFrame="_new" w:history="1">
        <w:r w:rsidRPr="00186843">
          <w:rPr>
            <w:rStyle w:val="Hyperlink"/>
            <w:rFonts w:ascii="Arial" w:eastAsiaTheme="majorEastAsia" w:hAnsi="Arial" w:cstheme="majorBidi"/>
            <w:bCs/>
            <w:kern w:val="0"/>
            <w:sz w:val="20"/>
            <w:szCs w:val="20"/>
            <w14:ligatures w14:val="none"/>
          </w:rPr>
          <w:t>https://consensus.app</w:t>
        </w:r>
      </w:hyperlink>
      <w:r w:rsidRPr="00186843">
        <w:rPr>
          <w:rFonts w:ascii="Arial" w:eastAsiaTheme="majorEastAsia" w:hAnsi="Arial" w:cstheme="majorBidi"/>
          <w:bCs/>
          <w:kern w:val="0"/>
          <w:sz w:val="20"/>
          <w:szCs w:val="20"/>
          <w14:ligatures w14:val="none"/>
        </w:rPr>
        <w:br/>
        <w:t>Purpose of use: Identification, synthesis, and summarization of peer-reviewed scientific literature from PubMed and major academic journal databases to support background information and discussion.</w:t>
      </w:r>
    </w:p>
    <w:p w:rsidR="00B51157" w:rsidRPr="00186843" w:rsidRDefault="00B51157">
      <w:pPr>
        <w:rPr>
          <w:rFonts w:ascii="Arial" w:eastAsiaTheme="majorEastAsia" w:hAnsi="Arial" w:cstheme="majorBidi"/>
          <w:b/>
          <w:kern w:val="0"/>
          <w:sz w:val="22"/>
          <w:szCs w:val="22"/>
          <w14:ligatures w14:val="none"/>
        </w:rPr>
      </w:pPr>
    </w:p>
    <w:p w:rsidR="003F7C16" w:rsidRPr="00186843" w:rsidRDefault="003F7C16" w:rsidP="007B7ADF">
      <w:pPr>
        <w:pStyle w:val="Heading1"/>
      </w:pPr>
      <w:r w:rsidRPr="00186843">
        <w:t>REFERENCES</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Amelia, F., Rahman, H., &amp; Sari, R. (2022). Diagnostic accuracy of cystatin C and creatinine in detecting early renal dysfunction in diabetes mellitus. Journal of Clinical Laboratory Analysis, 36(5), e24389. </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Amelia, R., </w:t>
      </w:r>
      <w:proofErr w:type="spellStart"/>
      <w:r w:rsidRPr="00186843">
        <w:rPr>
          <w:rFonts w:ascii="Arial" w:hAnsi="Arial" w:cs="Arial"/>
          <w:sz w:val="20"/>
          <w:szCs w:val="20"/>
        </w:rPr>
        <w:t>Nugraha</w:t>
      </w:r>
      <w:proofErr w:type="spellEnd"/>
      <w:r w:rsidRPr="00186843">
        <w:rPr>
          <w:rFonts w:ascii="Arial" w:hAnsi="Arial" w:cs="Arial"/>
          <w:sz w:val="20"/>
          <w:szCs w:val="20"/>
        </w:rPr>
        <w:t>, R. A., &amp; Putri, R. (2022). Serum cystatin C as an early biomarker for diabetic nephropathy: A comparative study with creatinine and microalbuminuria. Diabetes &amp; Metabolic Syndrome: Clinical Research &amp; Reviews, 16(6), 102</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American Diabetes Association Professional Practice Committee. (2025). Standards of Care in Diabetes — 2025. Diabetes Care, 48(Supplement 1), S1–</w:t>
      </w:r>
      <w:proofErr w:type="spellStart"/>
      <w:r w:rsidRPr="00186843">
        <w:rPr>
          <w:rFonts w:ascii="Arial" w:hAnsi="Arial" w:cs="Arial"/>
          <w:sz w:val="20"/>
          <w:szCs w:val="20"/>
        </w:rPr>
        <w:t>Sxxx</w:t>
      </w:r>
      <w:proofErr w:type="spellEnd"/>
      <w:r w:rsidRPr="00186843">
        <w:rPr>
          <w:rFonts w:ascii="Arial" w:hAnsi="Arial" w:cs="Arial"/>
          <w:sz w:val="20"/>
          <w:szCs w:val="20"/>
        </w:rPr>
        <w:t>.</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proofErr w:type="spellStart"/>
      <w:proofErr w:type="gramStart"/>
      <w:r w:rsidRPr="00186843">
        <w:rPr>
          <w:rFonts w:ascii="Arial" w:hAnsi="Arial" w:cs="Arial"/>
          <w:sz w:val="20"/>
          <w:szCs w:val="20"/>
        </w:rPr>
        <w:t>Amisu</w:t>
      </w:r>
      <w:proofErr w:type="spellEnd"/>
      <w:r w:rsidRPr="00186843">
        <w:rPr>
          <w:rFonts w:ascii="Arial" w:hAnsi="Arial" w:cs="Arial"/>
          <w:sz w:val="20"/>
          <w:szCs w:val="20"/>
        </w:rPr>
        <w:t xml:space="preserve"> ,</w:t>
      </w:r>
      <w:proofErr w:type="gramEnd"/>
      <w:r w:rsidRPr="00186843">
        <w:rPr>
          <w:rFonts w:ascii="Arial" w:hAnsi="Arial" w:cs="Arial"/>
          <w:sz w:val="20"/>
          <w:szCs w:val="20"/>
        </w:rPr>
        <w:t xml:space="preserve"> M. A., </w:t>
      </w:r>
      <w:proofErr w:type="spellStart"/>
      <w:r w:rsidRPr="00186843">
        <w:rPr>
          <w:rFonts w:ascii="Arial" w:hAnsi="Arial" w:cs="Arial"/>
          <w:sz w:val="20"/>
          <w:szCs w:val="20"/>
        </w:rPr>
        <w:t>Okunowo</w:t>
      </w:r>
      <w:proofErr w:type="spellEnd"/>
      <w:r w:rsidRPr="00186843">
        <w:rPr>
          <w:rFonts w:ascii="Arial" w:hAnsi="Arial" w:cs="Arial"/>
          <w:sz w:val="20"/>
          <w:szCs w:val="20"/>
        </w:rPr>
        <w:t>, B. O., &amp; Dada, A. O. (2024). Review of Diabetic Nephropathy Naive Patients in Endocrinology Clinic: A Teaching Hospital Experience. </w:t>
      </w:r>
      <w:r w:rsidRPr="00186843">
        <w:rPr>
          <w:rFonts w:ascii="Arial" w:hAnsi="Arial" w:cs="Arial"/>
          <w:i/>
          <w:iCs/>
          <w:sz w:val="20"/>
          <w:szCs w:val="20"/>
        </w:rPr>
        <w:t>Annals of Tropical Pathology</w:t>
      </w:r>
      <w:r w:rsidRPr="00186843">
        <w:rPr>
          <w:rFonts w:ascii="Arial" w:hAnsi="Arial" w:cs="Arial"/>
          <w:sz w:val="20"/>
          <w:szCs w:val="20"/>
        </w:rPr>
        <w:t>, </w:t>
      </w:r>
      <w:r w:rsidRPr="00186843">
        <w:rPr>
          <w:rFonts w:ascii="Arial" w:hAnsi="Arial" w:cs="Arial"/>
          <w:i/>
          <w:iCs/>
          <w:sz w:val="20"/>
          <w:szCs w:val="20"/>
        </w:rPr>
        <w:t>14</w:t>
      </w:r>
      <w:r w:rsidRPr="00186843">
        <w:rPr>
          <w:rFonts w:ascii="Arial" w:hAnsi="Arial" w:cs="Arial"/>
          <w:sz w:val="20"/>
          <w:szCs w:val="20"/>
        </w:rPr>
        <w:t xml:space="preserve">(2), 77–83. Retrieved from </w:t>
      </w:r>
      <w:hyperlink r:id="rId8" w:history="1">
        <w:r w:rsidRPr="00186843">
          <w:rPr>
            <w:rStyle w:val="Hyperlink"/>
            <w:rFonts w:ascii="Arial" w:hAnsi="Arial" w:cs="Arial"/>
            <w:sz w:val="20"/>
            <w:szCs w:val="20"/>
          </w:rPr>
          <w:t>https://www.ajol.info/index.php/atp/article/view/273159</w:t>
        </w:r>
      </w:hyperlink>
    </w:p>
    <w:p w:rsidR="00A60009" w:rsidRPr="00186843" w:rsidRDefault="00A60009" w:rsidP="00B20B7B">
      <w:pPr>
        <w:pStyle w:val="NormalWeb"/>
        <w:numPr>
          <w:ilvl w:val="0"/>
          <w:numId w:val="8"/>
        </w:numPr>
        <w:spacing w:before="240" w:beforeAutospacing="0" w:line="276" w:lineRule="auto"/>
        <w:rPr>
          <w:rFonts w:ascii="Arial" w:hAnsi="Arial" w:cs="Arial"/>
          <w:sz w:val="20"/>
          <w:szCs w:val="20"/>
        </w:rPr>
      </w:pPr>
      <w:r w:rsidRPr="00186843">
        <w:rPr>
          <w:rFonts w:ascii="Arial" w:hAnsi="Arial" w:cs="Arial"/>
          <w:sz w:val="20"/>
          <w:szCs w:val="20"/>
        </w:rPr>
        <w:t>Balu, D., Krishnan, V., Krishnamoorthy, V., Singh, R. S., Narayanasamy, S., &amp; Ramanathan, G. (2022). Does serum kidney injury molecule-1 predict early diabetic nephropathy: A comparative study with microalbuminuria. </w:t>
      </w:r>
      <w:r w:rsidRPr="00186843">
        <w:rPr>
          <w:rFonts w:ascii="Arial" w:hAnsi="Arial" w:cs="Arial"/>
          <w:i/>
          <w:iCs/>
          <w:sz w:val="20"/>
          <w:szCs w:val="20"/>
        </w:rPr>
        <w:t>Annals of African Medicine</w:t>
      </w:r>
      <w:r w:rsidRPr="00186843">
        <w:rPr>
          <w:rFonts w:ascii="Arial" w:hAnsi="Arial" w:cs="Arial"/>
          <w:sz w:val="20"/>
          <w:szCs w:val="20"/>
        </w:rPr>
        <w:t>, </w:t>
      </w:r>
      <w:r w:rsidRPr="00186843">
        <w:rPr>
          <w:rFonts w:ascii="Arial" w:hAnsi="Arial" w:cs="Arial"/>
          <w:i/>
          <w:iCs/>
          <w:sz w:val="20"/>
          <w:szCs w:val="20"/>
        </w:rPr>
        <w:t>21</w:t>
      </w:r>
      <w:r w:rsidRPr="00186843">
        <w:rPr>
          <w:rFonts w:ascii="Arial" w:hAnsi="Arial" w:cs="Arial"/>
          <w:sz w:val="20"/>
          <w:szCs w:val="20"/>
        </w:rPr>
        <w:t xml:space="preserve">(2), 136-139. </w:t>
      </w:r>
      <w:r w:rsidRPr="00186843">
        <w:rPr>
          <w:rFonts w:ascii="Arial" w:hAnsi="Arial" w:cs="Arial"/>
          <w:i/>
          <w:iCs/>
          <w:sz w:val="20"/>
          <w:szCs w:val="20"/>
        </w:rPr>
        <w:t>DOI: </w:t>
      </w:r>
      <w:r w:rsidRPr="00186843">
        <w:rPr>
          <w:rFonts w:ascii="Arial" w:hAnsi="Arial" w:cs="Arial"/>
          <w:sz w:val="20"/>
          <w:szCs w:val="20"/>
        </w:rPr>
        <w:t>10.4103/aam.aam_92_20</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Bello, A. K., </w:t>
      </w:r>
      <w:proofErr w:type="spellStart"/>
      <w:r w:rsidRPr="00186843">
        <w:rPr>
          <w:rFonts w:ascii="Arial" w:hAnsi="Arial" w:cs="Arial"/>
          <w:sz w:val="20"/>
          <w:szCs w:val="20"/>
        </w:rPr>
        <w:t>Okpechi</w:t>
      </w:r>
      <w:proofErr w:type="spellEnd"/>
      <w:r w:rsidRPr="00186843">
        <w:rPr>
          <w:rFonts w:ascii="Arial" w:hAnsi="Arial" w:cs="Arial"/>
          <w:sz w:val="20"/>
          <w:szCs w:val="20"/>
        </w:rPr>
        <w:t xml:space="preserve">, I. G., Levin, A., Ye, F., </w:t>
      </w:r>
      <w:proofErr w:type="spellStart"/>
      <w:r w:rsidRPr="00186843">
        <w:rPr>
          <w:rFonts w:ascii="Arial" w:hAnsi="Arial" w:cs="Arial"/>
          <w:sz w:val="20"/>
          <w:szCs w:val="20"/>
        </w:rPr>
        <w:t>Damster</w:t>
      </w:r>
      <w:proofErr w:type="spellEnd"/>
      <w:r w:rsidRPr="00186843">
        <w:rPr>
          <w:rFonts w:ascii="Arial" w:hAnsi="Arial" w:cs="Arial"/>
          <w:sz w:val="20"/>
          <w:szCs w:val="20"/>
        </w:rPr>
        <w:t xml:space="preserve">, S., </w:t>
      </w:r>
      <w:proofErr w:type="spellStart"/>
      <w:r w:rsidRPr="00186843">
        <w:rPr>
          <w:rFonts w:ascii="Arial" w:hAnsi="Arial" w:cs="Arial"/>
          <w:sz w:val="20"/>
          <w:szCs w:val="20"/>
        </w:rPr>
        <w:t>Arruebo</w:t>
      </w:r>
      <w:proofErr w:type="spellEnd"/>
      <w:r w:rsidRPr="00186843">
        <w:rPr>
          <w:rFonts w:ascii="Arial" w:hAnsi="Arial" w:cs="Arial"/>
          <w:sz w:val="20"/>
          <w:szCs w:val="20"/>
        </w:rPr>
        <w:t>, S., ... &amp; Zaidi, D. (2024). An update on the global disparities in kidney disease burden and care across world countries and regions. </w:t>
      </w:r>
      <w:r w:rsidRPr="00186843">
        <w:rPr>
          <w:rFonts w:ascii="Arial" w:hAnsi="Arial" w:cs="Arial"/>
          <w:i/>
          <w:iCs/>
          <w:sz w:val="20"/>
          <w:szCs w:val="20"/>
        </w:rPr>
        <w:t>The Lancet Global Health</w:t>
      </w:r>
      <w:r w:rsidRPr="00186843">
        <w:rPr>
          <w:rFonts w:ascii="Arial" w:hAnsi="Arial" w:cs="Arial"/>
          <w:sz w:val="20"/>
          <w:szCs w:val="20"/>
        </w:rPr>
        <w:t>, </w:t>
      </w:r>
      <w:r w:rsidRPr="00186843">
        <w:rPr>
          <w:rFonts w:ascii="Arial" w:hAnsi="Arial" w:cs="Arial"/>
          <w:i/>
          <w:iCs/>
          <w:sz w:val="20"/>
          <w:szCs w:val="20"/>
        </w:rPr>
        <w:t>12</w:t>
      </w:r>
      <w:r w:rsidRPr="00186843">
        <w:rPr>
          <w:rFonts w:ascii="Arial" w:hAnsi="Arial" w:cs="Arial"/>
          <w:sz w:val="20"/>
          <w:szCs w:val="20"/>
        </w:rPr>
        <w:t>(3), e382-e395. Retrieved from: https://www.thelancet.com/action/showPdf?pii=S2214-109X%2823%2900570-3</w:t>
      </w:r>
    </w:p>
    <w:p w:rsidR="00A60009" w:rsidRPr="00186843" w:rsidRDefault="00A60009" w:rsidP="00B20B7B">
      <w:pPr>
        <w:pStyle w:val="ListParagraph"/>
        <w:numPr>
          <w:ilvl w:val="0"/>
          <w:numId w:val="8"/>
        </w:numPr>
        <w:rPr>
          <w:rFonts w:ascii="Arial" w:hAnsi="Arial" w:cs="Arial"/>
          <w:sz w:val="20"/>
          <w:szCs w:val="20"/>
        </w:rPr>
      </w:pPr>
      <w:r w:rsidRPr="00186843">
        <w:rPr>
          <w:rFonts w:ascii="Arial" w:hAnsi="Arial" w:cs="Arial"/>
          <w:sz w:val="20"/>
          <w:szCs w:val="20"/>
        </w:rPr>
        <w:t>Benoit, S., Ciccia, E., &amp; Devarajan, P. (2020). Cystatin C as a biomarker of chronic kidney disease: latest developments. </w:t>
      </w:r>
      <w:r w:rsidRPr="00186843">
        <w:rPr>
          <w:rFonts w:ascii="Arial" w:hAnsi="Arial" w:cs="Arial"/>
          <w:i/>
          <w:iCs/>
          <w:sz w:val="20"/>
          <w:szCs w:val="20"/>
        </w:rPr>
        <w:t>Expert Review of Molecular Diagnostics</w:t>
      </w:r>
      <w:r w:rsidRPr="00186843">
        <w:rPr>
          <w:rFonts w:ascii="Arial" w:hAnsi="Arial" w:cs="Arial"/>
          <w:sz w:val="20"/>
          <w:szCs w:val="20"/>
        </w:rPr>
        <w:t xml:space="preserve">, 20, 1019 - 1026. </w:t>
      </w:r>
      <w:hyperlink r:id="rId9" w:history="1">
        <w:r w:rsidRPr="00186843">
          <w:rPr>
            <w:rStyle w:val="Hyperlink"/>
            <w:rFonts w:ascii="Arial" w:hAnsi="Arial" w:cs="Arial"/>
            <w:sz w:val="20"/>
            <w:szCs w:val="20"/>
          </w:rPr>
          <w:t>https://doi.org/10.1080/14737159.2020.1768849</w:t>
        </w:r>
      </w:hyperlink>
      <w:r w:rsidRPr="00186843">
        <w:rPr>
          <w:rFonts w:ascii="Arial" w:hAnsi="Arial" w:cs="Arial"/>
          <w:sz w:val="20"/>
          <w:szCs w:val="20"/>
        </w:rPr>
        <w:t>.</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186843">
        <w:rPr>
          <w:rFonts w:ascii="Arial" w:hAnsi="Arial" w:cs="Arial"/>
          <w:sz w:val="20"/>
          <w:szCs w:val="20"/>
        </w:rPr>
        <w:lastRenderedPageBreak/>
        <w:t>Dastidar</w:t>
      </w:r>
      <w:proofErr w:type="spellEnd"/>
      <w:r w:rsidRPr="00186843">
        <w:rPr>
          <w:rFonts w:ascii="Arial" w:hAnsi="Arial" w:cs="Arial"/>
          <w:sz w:val="20"/>
          <w:szCs w:val="20"/>
        </w:rPr>
        <w:t>, R., Sikder, K., &amp; Das, B. (2024). A comparative study on the efficacy between cystatin c and creatinine-based equations for early detection of renal damage in patients of eastern India. </w:t>
      </w:r>
      <w:r w:rsidRPr="00186843">
        <w:rPr>
          <w:rFonts w:ascii="Arial" w:hAnsi="Arial" w:cs="Arial"/>
          <w:i/>
          <w:iCs/>
          <w:sz w:val="20"/>
          <w:szCs w:val="20"/>
        </w:rPr>
        <w:t>Indian Journal of Clinical Biochemistry</w:t>
      </w:r>
      <w:r w:rsidRPr="00186843">
        <w:rPr>
          <w:rFonts w:ascii="Arial" w:hAnsi="Arial" w:cs="Arial"/>
          <w:sz w:val="20"/>
          <w:szCs w:val="20"/>
        </w:rPr>
        <w:t>, </w:t>
      </w:r>
      <w:r w:rsidRPr="00186843">
        <w:rPr>
          <w:rFonts w:ascii="Arial" w:hAnsi="Arial" w:cs="Arial"/>
          <w:i/>
          <w:iCs/>
          <w:sz w:val="20"/>
          <w:szCs w:val="20"/>
        </w:rPr>
        <w:t>39</w:t>
      </w:r>
      <w:r w:rsidRPr="00186843">
        <w:rPr>
          <w:rFonts w:ascii="Arial" w:hAnsi="Arial" w:cs="Arial"/>
          <w:sz w:val="20"/>
          <w:szCs w:val="20"/>
        </w:rPr>
        <w:t>(3), 408-414.</w:t>
      </w:r>
      <w:r w:rsidRPr="00186843">
        <w:rPr>
          <w:rFonts w:ascii="Helvetica" w:hAnsi="Helvetica"/>
          <w:color w:val="222222"/>
          <w:shd w:val="clear" w:color="auto" w:fill="FFFFFF"/>
        </w:rPr>
        <w:t xml:space="preserve"> </w:t>
      </w:r>
      <w:r w:rsidRPr="00186843">
        <w:rPr>
          <w:rFonts w:ascii="Arial" w:hAnsi="Arial" w:cs="Arial"/>
          <w:sz w:val="20"/>
          <w:szCs w:val="20"/>
        </w:rPr>
        <w:t xml:space="preserve">https://doi.org/10.1007/s12291-023-01125-4 </w:t>
      </w:r>
    </w:p>
    <w:p w:rsidR="00A60009" w:rsidRPr="00186843" w:rsidRDefault="00A60009" w:rsidP="00B20B7B">
      <w:pPr>
        <w:pStyle w:val="ListParagraph"/>
        <w:numPr>
          <w:ilvl w:val="0"/>
          <w:numId w:val="8"/>
        </w:numPr>
        <w:spacing w:before="240"/>
        <w:jc w:val="both"/>
        <w:rPr>
          <w:rFonts w:ascii="Arial" w:hAnsi="Arial" w:cs="Arial"/>
          <w:sz w:val="20"/>
          <w:szCs w:val="20"/>
        </w:rPr>
      </w:pPr>
      <w:r w:rsidRPr="00186843">
        <w:rPr>
          <w:rFonts w:ascii="Arial" w:hAnsi="Arial" w:cs="Arial"/>
          <w:sz w:val="20"/>
          <w:szCs w:val="20"/>
        </w:rPr>
        <w:t xml:space="preserve">Dimitriadis, K., </w:t>
      </w:r>
      <w:proofErr w:type="spellStart"/>
      <w:r w:rsidRPr="00186843">
        <w:rPr>
          <w:rFonts w:ascii="Arial" w:hAnsi="Arial" w:cs="Arial"/>
          <w:sz w:val="20"/>
          <w:szCs w:val="20"/>
        </w:rPr>
        <w:t>Pyrpyris</w:t>
      </w:r>
      <w:proofErr w:type="spellEnd"/>
      <w:r w:rsidRPr="00186843">
        <w:rPr>
          <w:rFonts w:ascii="Arial" w:hAnsi="Arial" w:cs="Arial"/>
          <w:sz w:val="20"/>
          <w:szCs w:val="20"/>
        </w:rPr>
        <w:t xml:space="preserve">, N., </w:t>
      </w:r>
      <w:proofErr w:type="spellStart"/>
      <w:r w:rsidRPr="00186843">
        <w:rPr>
          <w:rFonts w:ascii="Arial" w:hAnsi="Arial" w:cs="Arial"/>
          <w:sz w:val="20"/>
          <w:szCs w:val="20"/>
        </w:rPr>
        <w:t>Vakka</w:t>
      </w:r>
      <w:proofErr w:type="spellEnd"/>
      <w:r w:rsidRPr="00186843">
        <w:rPr>
          <w:rFonts w:ascii="Arial" w:hAnsi="Arial" w:cs="Arial"/>
          <w:sz w:val="20"/>
          <w:szCs w:val="20"/>
        </w:rPr>
        <w:t xml:space="preserve">, A., </w:t>
      </w:r>
      <w:proofErr w:type="spellStart"/>
      <w:r w:rsidRPr="00186843">
        <w:rPr>
          <w:rFonts w:ascii="Arial" w:hAnsi="Arial" w:cs="Arial"/>
          <w:sz w:val="20"/>
          <w:szCs w:val="20"/>
        </w:rPr>
        <w:t>Iliakis</w:t>
      </w:r>
      <w:proofErr w:type="spellEnd"/>
      <w:r w:rsidRPr="00186843">
        <w:rPr>
          <w:rFonts w:ascii="Arial" w:hAnsi="Arial" w:cs="Arial"/>
          <w:sz w:val="20"/>
          <w:szCs w:val="20"/>
        </w:rPr>
        <w:t xml:space="preserve">, P., </w:t>
      </w:r>
      <w:proofErr w:type="spellStart"/>
      <w:r w:rsidRPr="00186843">
        <w:rPr>
          <w:rFonts w:ascii="Arial" w:hAnsi="Arial" w:cs="Arial"/>
          <w:sz w:val="20"/>
          <w:szCs w:val="20"/>
        </w:rPr>
        <w:t>Theofilis</w:t>
      </w:r>
      <w:proofErr w:type="spellEnd"/>
      <w:r w:rsidRPr="00186843">
        <w:rPr>
          <w:rFonts w:ascii="Arial" w:hAnsi="Arial" w:cs="Arial"/>
          <w:sz w:val="20"/>
          <w:szCs w:val="20"/>
        </w:rPr>
        <w:t xml:space="preserve">, P., Tatakis, F., </w:t>
      </w:r>
      <w:proofErr w:type="spellStart"/>
      <w:r w:rsidRPr="00186843">
        <w:rPr>
          <w:rFonts w:ascii="Arial" w:hAnsi="Arial" w:cs="Arial"/>
          <w:sz w:val="20"/>
          <w:szCs w:val="20"/>
        </w:rPr>
        <w:t>Beneki</w:t>
      </w:r>
      <w:proofErr w:type="spellEnd"/>
      <w:r w:rsidRPr="00186843">
        <w:rPr>
          <w:rFonts w:ascii="Arial" w:hAnsi="Arial" w:cs="Arial"/>
          <w:sz w:val="20"/>
          <w:szCs w:val="20"/>
        </w:rPr>
        <w:t xml:space="preserve">, E., </w:t>
      </w:r>
      <w:proofErr w:type="spellStart"/>
      <w:r w:rsidRPr="00186843">
        <w:rPr>
          <w:rFonts w:ascii="Arial" w:hAnsi="Arial" w:cs="Arial"/>
          <w:sz w:val="20"/>
          <w:szCs w:val="20"/>
        </w:rPr>
        <w:t>Pitsiori</w:t>
      </w:r>
      <w:proofErr w:type="spellEnd"/>
      <w:r w:rsidRPr="00186843">
        <w:rPr>
          <w:rFonts w:ascii="Arial" w:hAnsi="Arial" w:cs="Arial"/>
          <w:sz w:val="20"/>
          <w:szCs w:val="20"/>
        </w:rPr>
        <w:t xml:space="preserve">, D., </w:t>
      </w:r>
      <w:proofErr w:type="spellStart"/>
      <w:r w:rsidRPr="00186843">
        <w:rPr>
          <w:rFonts w:ascii="Arial" w:hAnsi="Arial" w:cs="Arial"/>
          <w:sz w:val="20"/>
          <w:szCs w:val="20"/>
        </w:rPr>
        <w:t>Tsioufis</w:t>
      </w:r>
      <w:proofErr w:type="spellEnd"/>
      <w:r w:rsidRPr="00186843">
        <w:rPr>
          <w:rFonts w:ascii="Arial" w:hAnsi="Arial" w:cs="Arial"/>
          <w:sz w:val="20"/>
          <w:szCs w:val="20"/>
        </w:rPr>
        <w:t xml:space="preserve">, P., Aznaouridis, K., </w:t>
      </w:r>
      <w:proofErr w:type="spellStart"/>
      <w:r w:rsidRPr="00186843">
        <w:rPr>
          <w:rFonts w:ascii="Arial" w:hAnsi="Arial" w:cs="Arial"/>
          <w:sz w:val="20"/>
          <w:szCs w:val="20"/>
        </w:rPr>
        <w:t>Tousoulis</w:t>
      </w:r>
      <w:proofErr w:type="spellEnd"/>
      <w:r w:rsidRPr="00186843">
        <w:rPr>
          <w:rFonts w:ascii="Arial" w:hAnsi="Arial" w:cs="Arial"/>
          <w:sz w:val="20"/>
          <w:szCs w:val="20"/>
        </w:rPr>
        <w:t xml:space="preserve">, D., &amp; </w:t>
      </w:r>
      <w:proofErr w:type="spellStart"/>
      <w:r w:rsidRPr="00186843">
        <w:rPr>
          <w:rFonts w:ascii="Arial" w:hAnsi="Arial" w:cs="Arial"/>
          <w:sz w:val="20"/>
          <w:szCs w:val="20"/>
        </w:rPr>
        <w:t>Tsioufis</w:t>
      </w:r>
      <w:proofErr w:type="spellEnd"/>
      <w:r w:rsidRPr="00186843">
        <w:rPr>
          <w:rFonts w:ascii="Arial" w:hAnsi="Arial" w:cs="Arial"/>
          <w:sz w:val="20"/>
          <w:szCs w:val="20"/>
        </w:rPr>
        <w:t xml:space="preserve">, K. (2025). Microalbuminuria as a Prognostic Marker in Essential </w:t>
      </w:r>
      <w:proofErr w:type="gramStart"/>
      <w:r w:rsidRPr="00186843">
        <w:rPr>
          <w:rFonts w:ascii="Arial" w:hAnsi="Arial" w:cs="Arial"/>
          <w:sz w:val="20"/>
          <w:szCs w:val="20"/>
        </w:rPr>
        <w:t>Hypertension..</w:t>
      </w:r>
      <w:proofErr w:type="gramEnd"/>
      <w:r w:rsidRPr="00186843">
        <w:rPr>
          <w:rFonts w:ascii="Arial" w:hAnsi="Arial" w:cs="Arial"/>
          <w:sz w:val="20"/>
          <w:szCs w:val="20"/>
        </w:rPr>
        <w:t> </w:t>
      </w:r>
      <w:r w:rsidRPr="00186843">
        <w:rPr>
          <w:rFonts w:ascii="Arial" w:hAnsi="Arial" w:cs="Arial"/>
          <w:i/>
          <w:iCs/>
          <w:sz w:val="20"/>
          <w:szCs w:val="20"/>
        </w:rPr>
        <w:t>Current medicinal chemistry, 32</w:t>
      </w:r>
      <w:r w:rsidRPr="00186843">
        <w:rPr>
          <w:rFonts w:ascii="Arial" w:hAnsi="Arial" w:cs="Arial"/>
          <w:sz w:val="20"/>
          <w:szCs w:val="20"/>
        </w:rPr>
        <w:t xml:space="preserve">(39), 8855 - 8884. </w:t>
      </w:r>
      <w:hyperlink r:id="rId10" w:history="1">
        <w:r w:rsidRPr="00186843">
          <w:rPr>
            <w:rStyle w:val="Hyperlink"/>
            <w:rFonts w:ascii="Arial" w:hAnsi="Arial" w:cs="Arial"/>
            <w:sz w:val="20"/>
            <w:szCs w:val="20"/>
          </w:rPr>
          <w:t>https://doi.org/10.2174/0109298673348953250310044927</w:t>
        </w:r>
      </w:hyperlink>
    </w:p>
    <w:p w:rsidR="00A60009" w:rsidRPr="00186843" w:rsidRDefault="00A60009" w:rsidP="00B20B7B">
      <w:pPr>
        <w:pStyle w:val="ListParagraph"/>
        <w:numPr>
          <w:ilvl w:val="0"/>
          <w:numId w:val="8"/>
        </w:numPr>
        <w:spacing w:before="240"/>
        <w:jc w:val="both"/>
        <w:rPr>
          <w:rFonts w:ascii="Arial" w:hAnsi="Arial" w:cs="Arial"/>
          <w:b/>
          <w:bCs/>
          <w:sz w:val="20"/>
          <w:szCs w:val="20"/>
        </w:rPr>
      </w:pPr>
      <w:r w:rsidRPr="00186843">
        <w:rPr>
          <w:rFonts w:ascii="Arial" w:hAnsi="Arial" w:cs="Arial"/>
          <w:sz w:val="20"/>
          <w:szCs w:val="20"/>
        </w:rPr>
        <w:t xml:space="preserve">Ding, Y., </w:t>
      </w:r>
      <w:proofErr w:type="spellStart"/>
      <w:r w:rsidRPr="00186843">
        <w:rPr>
          <w:rFonts w:ascii="Arial" w:hAnsi="Arial" w:cs="Arial"/>
          <w:sz w:val="20"/>
          <w:szCs w:val="20"/>
        </w:rPr>
        <w:t>Lv</w:t>
      </w:r>
      <w:proofErr w:type="spellEnd"/>
      <w:r w:rsidRPr="00186843">
        <w:rPr>
          <w:rFonts w:ascii="Arial" w:hAnsi="Arial" w:cs="Arial"/>
          <w:sz w:val="20"/>
          <w:szCs w:val="20"/>
        </w:rPr>
        <w:t>, S., Xie, R., Ye, W., Luo, Y., &amp; Li, Y. (2024). Association of weight-adjusted waist index and diabetic kidney disease in type 2 diabetes mellitus. </w:t>
      </w:r>
      <w:r w:rsidRPr="00186843">
        <w:rPr>
          <w:rFonts w:ascii="Arial" w:hAnsi="Arial" w:cs="Arial"/>
          <w:i/>
          <w:iCs/>
          <w:sz w:val="20"/>
          <w:szCs w:val="20"/>
        </w:rPr>
        <w:t>Endocrine Connections</w:t>
      </w:r>
      <w:r w:rsidRPr="00186843">
        <w:rPr>
          <w:rFonts w:ascii="Arial" w:hAnsi="Arial" w:cs="Arial"/>
          <w:sz w:val="20"/>
          <w:szCs w:val="20"/>
        </w:rPr>
        <w:t>, </w:t>
      </w:r>
      <w:r w:rsidRPr="00186843">
        <w:rPr>
          <w:rFonts w:ascii="Arial" w:hAnsi="Arial" w:cs="Arial"/>
          <w:i/>
          <w:iCs/>
          <w:sz w:val="20"/>
          <w:szCs w:val="20"/>
        </w:rPr>
        <w:t>13</w:t>
      </w:r>
      <w:r w:rsidRPr="00186843">
        <w:rPr>
          <w:rFonts w:ascii="Arial" w:hAnsi="Arial" w:cs="Arial"/>
          <w:sz w:val="20"/>
          <w:szCs w:val="20"/>
        </w:rPr>
        <w:t>(4).</w:t>
      </w:r>
      <w:r w:rsidRPr="00186843">
        <w:t xml:space="preserve"> </w:t>
      </w:r>
      <w:hyperlink r:id="rId11" w:tgtFrame="_blank" w:history="1">
        <w:r w:rsidRPr="00186843">
          <w:rPr>
            <w:rStyle w:val="Hyperlink"/>
            <w:rFonts w:ascii="Arial" w:hAnsi="Arial" w:cs="Arial"/>
            <w:sz w:val="20"/>
            <w:szCs w:val="20"/>
          </w:rPr>
          <w:t>https://doi.org/10.1530/EC-23-0491</w:t>
        </w:r>
      </w:hyperlink>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García-Carro, C., Vergara, A., Bermejo, S., </w:t>
      </w:r>
      <w:proofErr w:type="spellStart"/>
      <w:r w:rsidRPr="00186843">
        <w:rPr>
          <w:rFonts w:ascii="Arial" w:hAnsi="Arial" w:cs="Arial"/>
          <w:sz w:val="20"/>
          <w:szCs w:val="20"/>
        </w:rPr>
        <w:t>Azancot</w:t>
      </w:r>
      <w:proofErr w:type="spellEnd"/>
      <w:r w:rsidRPr="00186843">
        <w:rPr>
          <w:rFonts w:ascii="Arial" w:hAnsi="Arial" w:cs="Arial"/>
          <w:sz w:val="20"/>
          <w:szCs w:val="20"/>
        </w:rPr>
        <w:t xml:space="preserve">, M., </w:t>
      </w:r>
      <w:proofErr w:type="spellStart"/>
      <w:r w:rsidRPr="00186843">
        <w:rPr>
          <w:rFonts w:ascii="Arial" w:hAnsi="Arial" w:cs="Arial"/>
          <w:sz w:val="20"/>
          <w:szCs w:val="20"/>
        </w:rPr>
        <w:t>Sellarés</w:t>
      </w:r>
      <w:proofErr w:type="spellEnd"/>
      <w:r w:rsidRPr="00186843">
        <w:rPr>
          <w:rFonts w:ascii="Arial" w:hAnsi="Arial" w:cs="Arial"/>
          <w:sz w:val="20"/>
          <w:szCs w:val="20"/>
        </w:rPr>
        <w:t>, J., &amp; Soler, M. (2021). A Nephrologist Perspective on Obesity: From Kidney Injury to Clinical Management. </w:t>
      </w:r>
      <w:r w:rsidRPr="00186843">
        <w:rPr>
          <w:rFonts w:ascii="Arial" w:hAnsi="Arial" w:cs="Arial"/>
          <w:i/>
          <w:iCs/>
          <w:sz w:val="20"/>
          <w:szCs w:val="20"/>
        </w:rPr>
        <w:t>Frontiers in Medicine</w:t>
      </w:r>
      <w:r w:rsidRPr="00186843">
        <w:rPr>
          <w:rFonts w:ascii="Arial" w:hAnsi="Arial" w:cs="Arial"/>
          <w:sz w:val="20"/>
          <w:szCs w:val="20"/>
        </w:rPr>
        <w:t>, 8. https://doi.org/10.3389/fmed.2021.655871.</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George, C., Echouffo-Tcheugui, J. B., Jaar, B. G., </w:t>
      </w:r>
      <w:proofErr w:type="spellStart"/>
      <w:r w:rsidRPr="00186843">
        <w:rPr>
          <w:rFonts w:ascii="Arial" w:hAnsi="Arial" w:cs="Arial"/>
          <w:sz w:val="20"/>
          <w:szCs w:val="20"/>
        </w:rPr>
        <w:t>Okpechi</w:t>
      </w:r>
      <w:proofErr w:type="spellEnd"/>
      <w:r w:rsidRPr="00186843">
        <w:rPr>
          <w:rFonts w:ascii="Arial" w:hAnsi="Arial" w:cs="Arial"/>
          <w:sz w:val="20"/>
          <w:szCs w:val="20"/>
        </w:rPr>
        <w:t>, I. G., &amp; Kengne, A. P. (2022). The need for screening, early diagnosis, and prediction of chronic kidney disease in people with diabetes in low-and middle-income countries—a review of the current literature. </w:t>
      </w:r>
      <w:r w:rsidRPr="00186843">
        <w:rPr>
          <w:rFonts w:ascii="Arial" w:hAnsi="Arial" w:cs="Arial"/>
          <w:i/>
          <w:iCs/>
          <w:sz w:val="20"/>
          <w:szCs w:val="20"/>
        </w:rPr>
        <w:t>BMC medicine</w:t>
      </w:r>
      <w:r w:rsidRPr="00186843">
        <w:rPr>
          <w:rFonts w:ascii="Arial" w:hAnsi="Arial" w:cs="Arial"/>
          <w:sz w:val="20"/>
          <w:szCs w:val="20"/>
        </w:rPr>
        <w:t>, </w:t>
      </w:r>
      <w:r w:rsidRPr="00186843">
        <w:rPr>
          <w:rFonts w:ascii="Arial" w:hAnsi="Arial" w:cs="Arial"/>
          <w:i/>
          <w:iCs/>
          <w:sz w:val="20"/>
          <w:szCs w:val="20"/>
        </w:rPr>
        <w:t>20</w:t>
      </w:r>
      <w:r w:rsidRPr="00186843">
        <w:rPr>
          <w:rFonts w:ascii="Arial" w:hAnsi="Arial" w:cs="Arial"/>
          <w:sz w:val="20"/>
          <w:szCs w:val="20"/>
        </w:rPr>
        <w:t xml:space="preserve">(1), 247.  </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Ibrahim, R. K., Ghudhaib, K. K., &amp; Allawi, A. A. D. (2024). Early prediction of nephropathy in Iraqi patient with diabetes type II by evaluating some relevant biochemical factors. </w:t>
      </w:r>
      <w:r w:rsidRPr="00186843">
        <w:rPr>
          <w:rFonts w:ascii="Arial" w:hAnsi="Arial" w:cs="Arial"/>
          <w:i/>
          <w:iCs/>
          <w:sz w:val="20"/>
          <w:szCs w:val="20"/>
        </w:rPr>
        <w:t>Baghdad Science Journal</w:t>
      </w:r>
      <w:r w:rsidRPr="00186843">
        <w:rPr>
          <w:rFonts w:ascii="Arial" w:hAnsi="Arial" w:cs="Arial"/>
          <w:sz w:val="20"/>
          <w:szCs w:val="20"/>
        </w:rPr>
        <w:t>, </w:t>
      </w:r>
      <w:r w:rsidRPr="00186843">
        <w:rPr>
          <w:rFonts w:ascii="Arial" w:hAnsi="Arial" w:cs="Arial"/>
          <w:i/>
          <w:iCs/>
          <w:sz w:val="20"/>
          <w:szCs w:val="20"/>
        </w:rPr>
        <w:t>21</w:t>
      </w:r>
      <w:r w:rsidRPr="00186843">
        <w:rPr>
          <w:rFonts w:ascii="Arial" w:hAnsi="Arial" w:cs="Arial"/>
          <w:sz w:val="20"/>
          <w:szCs w:val="20"/>
        </w:rPr>
        <w:t xml:space="preserve">(5), 1549-1549. </w:t>
      </w:r>
    </w:p>
    <w:p w:rsidR="00A60009" w:rsidRPr="00186843" w:rsidRDefault="00A60009" w:rsidP="00B20B7B">
      <w:pPr>
        <w:pStyle w:val="ListParagraph"/>
        <w:numPr>
          <w:ilvl w:val="0"/>
          <w:numId w:val="8"/>
        </w:numPr>
        <w:spacing w:before="240"/>
        <w:jc w:val="both"/>
        <w:rPr>
          <w:rFonts w:ascii="Arial" w:hAnsi="Arial" w:cs="Arial"/>
          <w:sz w:val="20"/>
          <w:szCs w:val="20"/>
        </w:rPr>
      </w:pPr>
      <w:r w:rsidRPr="00186843">
        <w:rPr>
          <w:rFonts w:ascii="Arial" w:hAnsi="Arial" w:cs="Arial"/>
          <w:sz w:val="20"/>
          <w:szCs w:val="20"/>
        </w:rPr>
        <w:t xml:space="preserve">Ismail, N., Ismail, F., Ali, A., </w:t>
      </w:r>
      <w:proofErr w:type="spellStart"/>
      <w:r w:rsidRPr="00186843">
        <w:rPr>
          <w:rFonts w:ascii="Arial" w:hAnsi="Arial" w:cs="Arial"/>
          <w:sz w:val="20"/>
          <w:szCs w:val="20"/>
        </w:rPr>
        <w:t>Demyati</w:t>
      </w:r>
      <w:proofErr w:type="spellEnd"/>
      <w:r w:rsidRPr="00186843">
        <w:rPr>
          <w:rFonts w:ascii="Arial" w:hAnsi="Arial" w:cs="Arial"/>
          <w:sz w:val="20"/>
          <w:szCs w:val="20"/>
        </w:rPr>
        <w:t xml:space="preserve">, A., Syed, A., </w:t>
      </w:r>
      <w:proofErr w:type="spellStart"/>
      <w:r w:rsidRPr="00186843">
        <w:rPr>
          <w:rFonts w:ascii="Arial" w:hAnsi="Arial" w:cs="Arial"/>
          <w:sz w:val="20"/>
          <w:szCs w:val="20"/>
        </w:rPr>
        <w:t>Musthafa</w:t>
      </w:r>
      <w:proofErr w:type="spellEnd"/>
      <w:r w:rsidRPr="00186843">
        <w:rPr>
          <w:rFonts w:ascii="Arial" w:hAnsi="Arial" w:cs="Arial"/>
          <w:sz w:val="20"/>
          <w:szCs w:val="20"/>
        </w:rPr>
        <w:t xml:space="preserve">, H., Isac, M., Al-Hamadani, M., Nehal, O., </w:t>
      </w:r>
      <w:proofErr w:type="spellStart"/>
      <w:r w:rsidRPr="00186843">
        <w:rPr>
          <w:rFonts w:ascii="Arial" w:hAnsi="Arial" w:cs="Arial"/>
          <w:sz w:val="20"/>
          <w:szCs w:val="20"/>
        </w:rPr>
        <w:t>Upadhayaya</w:t>
      </w:r>
      <w:proofErr w:type="spellEnd"/>
      <w:r w:rsidRPr="00186843">
        <w:rPr>
          <w:rFonts w:ascii="Arial" w:hAnsi="Arial" w:cs="Arial"/>
          <w:sz w:val="20"/>
          <w:szCs w:val="20"/>
        </w:rPr>
        <w:t>, V., &amp; Mohamoud, I. (2023). Cystatin C as A Prognostic Biomarker to Monitor Renal Function in Liver Cirrhosis: A Narrative Review. </w:t>
      </w:r>
      <w:r w:rsidRPr="00186843">
        <w:rPr>
          <w:rFonts w:ascii="Arial" w:hAnsi="Arial" w:cs="Arial"/>
          <w:i/>
          <w:iCs/>
          <w:sz w:val="20"/>
          <w:szCs w:val="20"/>
        </w:rPr>
        <w:t xml:space="preserve">International Journal </w:t>
      </w:r>
      <w:proofErr w:type="gramStart"/>
      <w:r w:rsidRPr="00186843">
        <w:rPr>
          <w:rFonts w:ascii="Arial" w:hAnsi="Arial" w:cs="Arial"/>
          <w:i/>
          <w:iCs/>
          <w:sz w:val="20"/>
          <w:szCs w:val="20"/>
        </w:rPr>
        <w:t>Of</w:t>
      </w:r>
      <w:proofErr w:type="gramEnd"/>
      <w:r w:rsidRPr="00186843">
        <w:rPr>
          <w:rFonts w:ascii="Arial" w:hAnsi="Arial" w:cs="Arial"/>
          <w:i/>
          <w:iCs/>
          <w:sz w:val="20"/>
          <w:szCs w:val="20"/>
        </w:rPr>
        <w:t xml:space="preserve"> Scientific Advances, </w:t>
      </w:r>
      <w:r w:rsidRPr="00186843">
        <w:rPr>
          <w:rFonts w:ascii="Arial" w:hAnsi="Arial" w:cs="Arial"/>
          <w:sz w:val="20"/>
          <w:szCs w:val="20"/>
        </w:rPr>
        <w:t xml:space="preserve">4(6). </w:t>
      </w:r>
      <w:hyperlink r:id="rId12" w:history="1">
        <w:r w:rsidRPr="00186843">
          <w:rPr>
            <w:rStyle w:val="Hyperlink"/>
            <w:rFonts w:ascii="Arial" w:hAnsi="Arial" w:cs="Arial"/>
            <w:sz w:val="20"/>
            <w:szCs w:val="20"/>
          </w:rPr>
          <w:t>https://doi.org/10.51542/ijscia.v4i6.29</w:t>
        </w:r>
      </w:hyperlink>
      <w:r w:rsidRPr="00186843">
        <w:rPr>
          <w:rFonts w:ascii="Arial" w:hAnsi="Arial" w:cs="Arial"/>
          <w:sz w:val="20"/>
          <w:szCs w:val="20"/>
        </w:rPr>
        <w:t>.</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Kim, J., Jung, H., Kim, B., Han, B., Huh, J., Roh, E., Kim, J., Han, K., &amp; Kang, J. (2025). Burden of End-Stage Kidney Disease by Type 2 Diabetes Mellitus Status in South Korea: A Nationwide Epidemiologic Study. </w:t>
      </w:r>
      <w:r w:rsidRPr="00186843">
        <w:rPr>
          <w:rFonts w:ascii="Arial" w:hAnsi="Arial" w:cs="Arial"/>
          <w:i/>
          <w:iCs/>
          <w:sz w:val="20"/>
          <w:szCs w:val="20"/>
        </w:rPr>
        <w:t>Diabetes &amp; Metabolism Journal</w:t>
      </w:r>
      <w:r w:rsidRPr="00186843">
        <w:rPr>
          <w:rFonts w:ascii="Arial" w:hAnsi="Arial" w:cs="Arial"/>
          <w:sz w:val="20"/>
          <w:szCs w:val="20"/>
        </w:rPr>
        <w:t xml:space="preserve">, 49, 498 - 506. </w:t>
      </w:r>
      <w:hyperlink r:id="rId13" w:history="1">
        <w:r w:rsidRPr="00186843">
          <w:rPr>
            <w:rStyle w:val="Hyperlink"/>
            <w:rFonts w:ascii="Arial" w:hAnsi="Arial" w:cs="Arial"/>
            <w:sz w:val="20"/>
            <w:szCs w:val="20"/>
          </w:rPr>
          <w:t>https://doi.org/10.4093/dmj.2024.0443</w:t>
        </w:r>
      </w:hyperlink>
      <w:r w:rsidRPr="00186843">
        <w:rPr>
          <w:rFonts w:ascii="Arial" w:hAnsi="Arial" w:cs="Arial"/>
          <w:sz w:val="20"/>
          <w:szCs w:val="20"/>
        </w:rPr>
        <w:t>.</w:t>
      </w:r>
    </w:p>
    <w:p w:rsidR="00A60009" w:rsidRPr="00186843" w:rsidRDefault="00A60009" w:rsidP="00B20B7B">
      <w:pPr>
        <w:pStyle w:val="ListParagraph"/>
        <w:numPr>
          <w:ilvl w:val="0"/>
          <w:numId w:val="8"/>
        </w:numPr>
        <w:jc w:val="both"/>
        <w:rPr>
          <w:rFonts w:ascii="Arial" w:hAnsi="Arial" w:cs="Arial"/>
          <w:sz w:val="20"/>
          <w:szCs w:val="20"/>
        </w:rPr>
      </w:pPr>
      <w:r w:rsidRPr="00186843">
        <w:rPr>
          <w:rFonts w:ascii="Arial" w:hAnsi="Arial" w:cs="Arial"/>
          <w:sz w:val="20"/>
          <w:szCs w:val="20"/>
        </w:rPr>
        <w:t xml:space="preserve">Martínez-Montoro, J., Morales, E., Cornejo-Pareja, I., </w:t>
      </w:r>
      <w:proofErr w:type="spellStart"/>
      <w:r w:rsidRPr="00186843">
        <w:rPr>
          <w:rFonts w:ascii="Arial" w:hAnsi="Arial" w:cs="Arial"/>
          <w:sz w:val="20"/>
          <w:szCs w:val="20"/>
        </w:rPr>
        <w:t>Tinahones</w:t>
      </w:r>
      <w:proofErr w:type="spellEnd"/>
      <w:r w:rsidRPr="00186843">
        <w:rPr>
          <w:rFonts w:ascii="Arial" w:hAnsi="Arial" w:cs="Arial"/>
          <w:sz w:val="20"/>
          <w:szCs w:val="20"/>
        </w:rPr>
        <w:t>, F., &amp; Fernández-García, J. (2022). Obesity</w:t>
      </w:r>
      <w:r w:rsidRPr="00186843">
        <w:rPr>
          <w:rFonts w:ascii="Cambria Math" w:hAnsi="Cambria Math" w:cs="Cambria Math"/>
          <w:sz w:val="20"/>
          <w:szCs w:val="20"/>
        </w:rPr>
        <w:t>‐</w:t>
      </w:r>
      <w:r w:rsidRPr="00186843">
        <w:rPr>
          <w:rFonts w:ascii="Arial" w:hAnsi="Arial" w:cs="Arial"/>
          <w:sz w:val="20"/>
          <w:szCs w:val="20"/>
        </w:rPr>
        <w:t>related glomerulopathy: Current approaches and future perspectives. </w:t>
      </w:r>
      <w:r w:rsidRPr="00186843">
        <w:rPr>
          <w:rFonts w:ascii="Arial" w:hAnsi="Arial" w:cs="Arial"/>
          <w:i/>
          <w:iCs/>
          <w:sz w:val="20"/>
          <w:szCs w:val="20"/>
        </w:rPr>
        <w:t>Obesity Reviews</w:t>
      </w:r>
      <w:r w:rsidRPr="00186843">
        <w:rPr>
          <w:rFonts w:ascii="Arial" w:hAnsi="Arial" w:cs="Arial"/>
          <w:sz w:val="20"/>
          <w:szCs w:val="20"/>
        </w:rPr>
        <w:t xml:space="preserve">, 23. </w:t>
      </w:r>
      <w:hyperlink r:id="rId14" w:history="1">
        <w:r w:rsidRPr="00186843">
          <w:rPr>
            <w:rStyle w:val="Hyperlink"/>
            <w:rFonts w:ascii="Arial" w:hAnsi="Arial" w:cs="Arial"/>
            <w:sz w:val="20"/>
            <w:szCs w:val="20"/>
          </w:rPr>
          <w:t>https://doi.org/10.1111/obr.13450</w:t>
        </w:r>
      </w:hyperlink>
      <w:r w:rsidRPr="00186843">
        <w:rPr>
          <w:rFonts w:ascii="Arial" w:hAnsi="Arial" w:cs="Arial"/>
          <w:sz w:val="20"/>
          <w:szCs w:val="20"/>
        </w:rPr>
        <w:t>.</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 xml:space="preserve">Melsom, T., Brobak, K., </w:t>
      </w:r>
      <w:proofErr w:type="spellStart"/>
      <w:r w:rsidRPr="00186843">
        <w:rPr>
          <w:rFonts w:ascii="Arial" w:hAnsi="Arial" w:cs="Arial"/>
          <w:sz w:val="20"/>
          <w:szCs w:val="20"/>
        </w:rPr>
        <w:t>Norvik</w:t>
      </w:r>
      <w:proofErr w:type="spellEnd"/>
      <w:r w:rsidRPr="00186843">
        <w:rPr>
          <w:rFonts w:ascii="Arial" w:hAnsi="Arial" w:cs="Arial"/>
          <w:sz w:val="20"/>
          <w:szCs w:val="20"/>
        </w:rPr>
        <w:t xml:space="preserve">, J., Enoksen, I., Rinde, L., Jenssen, T., &amp; Eriksen, B. (2025). </w:t>
      </w:r>
      <w:proofErr w:type="spellStart"/>
      <w:r w:rsidRPr="00186843">
        <w:rPr>
          <w:rFonts w:ascii="Arial" w:hAnsi="Arial" w:cs="Arial"/>
          <w:sz w:val="20"/>
          <w:szCs w:val="20"/>
        </w:rPr>
        <w:t>Iohexol</w:t>
      </w:r>
      <w:proofErr w:type="spellEnd"/>
      <w:r w:rsidRPr="00186843">
        <w:rPr>
          <w:rFonts w:ascii="Arial" w:hAnsi="Arial" w:cs="Arial"/>
          <w:sz w:val="20"/>
          <w:szCs w:val="20"/>
        </w:rPr>
        <w:t xml:space="preserve"> clearance, but not estimated GFR, reveals a steeper GFR decline in patients with prediabetes. </w:t>
      </w:r>
      <w:r w:rsidRPr="00186843">
        <w:rPr>
          <w:rFonts w:ascii="Arial" w:hAnsi="Arial" w:cs="Arial"/>
          <w:i/>
          <w:iCs/>
          <w:sz w:val="20"/>
          <w:szCs w:val="20"/>
        </w:rPr>
        <w:t>Kidney international, 8(5), 938 -947</w:t>
      </w:r>
      <w:r w:rsidRPr="00186843">
        <w:rPr>
          <w:rFonts w:ascii="Arial" w:hAnsi="Arial" w:cs="Arial"/>
          <w:sz w:val="20"/>
          <w:szCs w:val="20"/>
        </w:rPr>
        <w:t xml:space="preserve">. https://doi.org/10.1016/j.kint.2025.06.019. </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186843">
        <w:rPr>
          <w:rFonts w:ascii="Arial" w:hAnsi="Arial" w:cs="Arial"/>
          <w:sz w:val="20"/>
          <w:szCs w:val="20"/>
        </w:rPr>
        <w:t>Okeji</w:t>
      </w:r>
      <w:proofErr w:type="spellEnd"/>
      <w:r w:rsidRPr="00186843">
        <w:rPr>
          <w:rFonts w:ascii="Arial" w:hAnsi="Arial" w:cs="Arial"/>
          <w:sz w:val="20"/>
          <w:szCs w:val="20"/>
        </w:rPr>
        <w:t xml:space="preserve">, I. E., Uzor, O. F., Okafor, C. C., Okafor, S. U., </w:t>
      </w:r>
      <w:proofErr w:type="spellStart"/>
      <w:r w:rsidRPr="00186843">
        <w:rPr>
          <w:rFonts w:ascii="Arial" w:hAnsi="Arial" w:cs="Arial"/>
          <w:sz w:val="20"/>
          <w:szCs w:val="20"/>
        </w:rPr>
        <w:t>Airaodion</w:t>
      </w:r>
      <w:proofErr w:type="spellEnd"/>
      <w:r w:rsidRPr="00186843">
        <w:rPr>
          <w:rFonts w:ascii="Arial" w:hAnsi="Arial" w:cs="Arial"/>
          <w:sz w:val="20"/>
          <w:szCs w:val="20"/>
        </w:rPr>
        <w:t xml:space="preserve">, A. I., Orji, O. J., … Umeh, C. (2025). </w:t>
      </w:r>
      <w:r w:rsidRPr="00186843">
        <w:rPr>
          <w:rFonts w:ascii="Arial" w:hAnsi="Arial" w:cs="Arial"/>
          <w:i/>
          <w:iCs/>
          <w:sz w:val="20"/>
          <w:szCs w:val="20"/>
        </w:rPr>
        <w:t>Prevalence and correlates of clinical nephropathy in patients with type 2 diabetes at Abia State Specialist Hospital, Umuahia, Nigeria: A cross-sectional study.</w:t>
      </w:r>
      <w:r w:rsidRPr="00186843">
        <w:rPr>
          <w:rFonts w:ascii="Arial" w:hAnsi="Arial" w:cs="Arial"/>
          <w:sz w:val="20"/>
          <w:szCs w:val="20"/>
        </w:rPr>
        <w:t xml:space="preserve"> </w:t>
      </w:r>
      <w:r w:rsidRPr="00186843">
        <w:rPr>
          <w:rFonts w:ascii="Arial" w:hAnsi="Arial" w:cs="Arial"/>
          <w:i/>
          <w:iCs/>
          <w:sz w:val="20"/>
          <w:szCs w:val="20"/>
        </w:rPr>
        <w:t>Cureus, 17</w:t>
      </w:r>
      <w:r w:rsidRPr="00186843">
        <w:rPr>
          <w:rFonts w:ascii="Arial" w:hAnsi="Arial" w:cs="Arial"/>
          <w:sz w:val="20"/>
          <w:szCs w:val="20"/>
        </w:rPr>
        <w:t xml:space="preserve">(6), e86962. </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186843">
        <w:rPr>
          <w:rFonts w:ascii="Arial" w:hAnsi="Arial" w:cs="Arial"/>
          <w:sz w:val="20"/>
          <w:szCs w:val="20"/>
        </w:rPr>
        <w:t>Ozioko</w:t>
      </w:r>
      <w:proofErr w:type="spellEnd"/>
      <w:r w:rsidRPr="00186843">
        <w:rPr>
          <w:rFonts w:ascii="Arial" w:hAnsi="Arial" w:cs="Arial"/>
          <w:sz w:val="20"/>
          <w:szCs w:val="20"/>
        </w:rPr>
        <w:t>, N., &amp; Kamalakannan, S. (2024). A qualitative study to understand the barriers and enablers of access to diabetic screening services in Nigeria. </w:t>
      </w:r>
      <w:r w:rsidRPr="00186843">
        <w:rPr>
          <w:rFonts w:ascii="Arial" w:hAnsi="Arial" w:cs="Arial"/>
          <w:i/>
          <w:iCs/>
          <w:sz w:val="20"/>
          <w:szCs w:val="20"/>
        </w:rPr>
        <w:t>International journal of community medicine and public health</w:t>
      </w:r>
      <w:r w:rsidRPr="00186843">
        <w:rPr>
          <w:rFonts w:ascii="Arial" w:hAnsi="Arial" w:cs="Arial"/>
          <w:sz w:val="20"/>
          <w:szCs w:val="20"/>
        </w:rPr>
        <w:t>, </w:t>
      </w:r>
      <w:r w:rsidRPr="00186843">
        <w:rPr>
          <w:rFonts w:ascii="Arial" w:hAnsi="Arial" w:cs="Arial"/>
          <w:i/>
          <w:iCs/>
          <w:sz w:val="20"/>
          <w:szCs w:val="20"/>
        </w:rPr>
        <w:t>11</w:t>
      </w:r>
      <w:r w:rsidRPr="00186843">
        <w:rPr>
          <w:rFonts w:ascii="Arial" w:hAnsi="Arial" w:cs="Arial"/>
          <w:sz w:val="20"/>
          <w:szCs w:val="20"/>
        </w:rPr>
        <w:t xml:space="preserve">(9), 3642–3650. https://doi.org/10.18203/2394-6040.ijcmph20242571. </w:t>
      </w:r>
    </w:p>
    <w:p w:rsidR="00A60009" w:rsidRPr="00186843" w:rsidRDefault="00A60009" w:rsidP="00B20B7B">
      <w:pPr>
        <w:pStyle w:val="NormalWeb"/>
        <w:numPr>
          <w:ilvl w:val="0"/>
          <w:numId w:val="8"/>
        </w:numPr>
        <w:spacing w:before="240" w:beforeAutospacing="0" w:line="276" w:lineRule="auto"/>
        <w:rPr>
          <w:rFonts w:ascii="Arial" w:hAnsi="Arial" w:cs="Arial"/>
          <w:sz w:val="20"/>
          <w:szCs w:val="20"/>
        </w:rPr>
      </w:pPr>
      <w:r w:rsidRPr="00186843">
        <w:rPr>
          <w:rFonts w:ascii="Arial" w:hAnsi="Arial" w:cs="Arial"/>
          <w:sz w:val="20"/>
          <w:szCs w:val="20"/>
        </w:rPr>
        <w:lastRenderedPageBreak/>
        <w:t xml:space="preserve">Selby, N. M., &amp; Taal, M. W. (2020). </w:t>
      </w:r>
      <w:r w:rsidRPr="00186843">
        <w:rPr>
          <w:rFonts w:ascii="Arial" w:eastAsiaTheme="majorEastAsia" w:hAnsi="Arial" w:cs="Arial"/>
          <w:sz w:val="20"/>
          <w:szCs w:val="20"/>
        </w:rPr>
        <w:t>An updated overview of diabetic nephropathy: Diagnosis, prognosis, treatment goals and latest guidelines</w:t>
      </w:r>
      <w:r w:rsidRPr="00186843">
        <w:rPr>
          <w:rFonts w:ascii="Arial" w:eastAsiaTheme="majorEastAsia" w:hAnsi="Arial" w:cs="Arial"/>
          <w:i/>
          <w:iCs/>
          <w:sz w:val="20"/>
          <w:szCs w:val="20"/>
        </w:rPr>
        <w:t xml:space="preserve">. Diabetes </w:t>
      </w:r>
      <w:proofErr w:type="spellStart"/>
      <w:r w:rsidRPr="00186843">
        <w:rPr>
          <w:rFonts w:ascii="Arial" w:eastAsiaTheme="majorEastAsia" w:hAnsi="Arial" w:cs="Arial"/>
          <w:i/>
          <w:iCs/>
          <w:sz w:val="20"/>
          <w:szCs w:val="20"/>
        </w:rPr>
        <w:t>Obes</w:t>
      </w:r>
      <w:proofErr w:type="spellEnd"/>
      <w:r w:rsidRPr="00186843">
        <w:rPr>
          <w:rFonts w:ascii="Arial" w:eastAsiaTheme="majorEastAsia" w:hAnsi="Arial" w:cs="Arial"/>
          <w:i/>
          <w:iCs/>
          <w:sz w:val="20"/>
          <w:szCs w:val="20"/>
        </w:rPr>
        <w:t xml:space="preserve"> </w:t>
      </w:r>
      <w:proofErr w:type="spellStart"/>
      <w:r w:rsidRPr="00186843">
        <w:rPr>
          <w:rFonts w:ascii="Arial" w:eastAsiaTheme="majorEastAsia" w:hAnsi="Arial" w:cs="Arial"/>
          <w:i/>
          <w:iCs/>
          <w:sz w:val="20"/>
          <w:szCs w:val="20"/>
        </w:rPr>
        <w:t>Metab</w:t>
      </w:r>
      <w:proofErr w:type="spellEnd"/>
      <w:r w:rsidRPr="00186843">
        <w:rPr>
          <w:rFonts w:ascii="Arial" w:eastAsiaTheme="majorEastAsia" w:hAnsi="Arial" w:cs="Arial"/>
          <w:i/>
          <w:iCs/>
          <w:sz w:val="20"/>
          <w:szCs w:val="20"/>
        </w:rPr>
        <w:t>., 22(1), </w:t>
      </w:r>
      <w:r w:rsidRPr="00186843">
        <w:rPr>
          <w:rFonts w:ascii="Arial" w:eastAsiaTheme="majorEastAsia" w:hAnsi="Arial" w:cs="Arial"/>
          <w:sz w:val="20"/>
          <w:szCs w:val="20"/>
        </w:rPr>
        <w:t>3–15. </w:t>
      </w:r>
      <w:hyperlink r:id="rId15" w:history="1">
        <w:r w:rsidRPr="00186843">
          <w:rPr>
            <w:rStyle w:val="Hyperlink"/>
            <w:rFonts w:ascii="Arial" w:eastAsiaTheme="majorEastAsia" w:hAnsi="Arial" w:cs="Arial"/>
            <w:b/>
            <w:bCs/>
            <w:sz w:val="20"/>
            <w:szCs w:val="20"/>
          </w:rPr>
          <w:t>https://doi.org/10.1111/dom.14007</w:t>
        </w:r>
      </w:hyperlink>
      <w:r w:rsidRPr="00186843">
        <w:rPr>
          <w:rStyle w:val="Strong"/>
          <w:rFonts w:ascii="Arial" w:eastAsiaTheme="majorEastAsia" w:hAnsi="Arial" w:cs="Arial"/>
          <w:b w:val="0"/>
          <w:bCs w:val="0"/>
          <w:sz w:val="20"/>
          <w:szCs w:val="20"/>
        </w:rPr>
        <w:t xml:space="preserve">, </w:t>
      </w:r>
    </w:p>
    <w:p w:rsidR="00A60009" w:rsidRPr="00186843" w:rsidRDefault="00A60009" w:rsidP="00B20B7B">
      <w:pPr>
        <w:pStyle w:val="ListParagraph"/>
        <w:numPr>
          <w:ilvl w:val="0"/>
          <w:numId w:val="8"/>
        </w:numPr>
        <w:jc w:val="both"/>
        <w:rPr>
          <w:rFonts w:ascii="Arial" w:hAnsi="Arial" w:cs="Arial"/>
          <w:sz w:val="20"/>
          <w:szCs w:val="20"/>
        </w:rPr>
      </w:pPr>
      <w:r w:rsidRPr="00186843">
        <w:rPr>
          <w:rFonts w:ascii="Arial" w:hAnsi="Arial" w:cs="Arial"/>
          <w:sz w:val="20"/>
          <w:szCs w:val="20"/>
        </w:rPr>
        <w:t>Sharma, I., Liao, Y., Zheng, X., &amp; Kanwar, Y. (2021). New Pandemic: Obesity and Associated Nephropathy. </w:t>
      </w:r>
      <w:r w:rsidRPr="00186843">
        <w:rPr>
          <w:rFonts w:ascii="Arial" w:hAnsi="Arial" w:cs="Arial"/>
          <w:i/>
          <w:iCs/>
          <w:sz w:val="20"/>
          <w:szCs w:val="20"/>
        </w:rPr>
        <w:t>Frontiers in Medicine</w:t>
      </w:r>
      <w:r w:rsidRPr="00186843">
        <w:rPr>
          <w:rFonts w:ascii="Arial" w:hAnsi="Arial" w:cs="Arial"/>
          <w:sz w:val="20"/>
          <w:szCs w:val="20"/>
        </w:rPr>
        <w:t xml:space="preserve">, 8. </w:t>
      </w:r>
      <w:hyperlink r:id="rId16" w:history="1">
        <w:r w:rsidRPr="00186843">
          <w:rPr>
            <w:rStyle w:val="Hyperlink"/>
            <w:rFonts w:ascii="Arial" w:hAnsi="Arial" w:cs="Arial"/>
            <w:sz w:val="20"/>
            <w:szCs w:val="20"/>
          </w:rPr>
          <w:t>https://doi.org/10.3389/fmed.2021.673556</w:t>
        </w:r>
      </w:hyperlink>
      <w:r w:rsidRPr="00186843">
        <w:rPr>
          <w:rFonts w:ascii="Arial" w:hAnsi="Arial" w:cs="Arial"/>
          <w:sz w:val="20"/>
          <w:szCs w:val="20"/>
        </w:rPr>
        <w:t>.</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186843">
        <w:rPr>
          <w:rFonts w:ascii="Arial" w:hAnsi="Arial" w:cs="Arial"/>
          <w:sz w:val="20"/>
          <w:szCs w:val="20"/>
        </w:rPr>
        <w:t>Shilpasree</w:t>
      </w:r>
      <w:proofErr w:type="spellEnd"/>
      <w:r w:rsidRPr="00186843">
        <w:rPr>
          <w:rFonts w:ascii="Arial" w:hAnsi="Arial" w:cs="Arial"/>
          <w:sz w:val="20"/>
          <w:szCs w:val="20"/>
        </w:rPr>
        <w:t xml:space="preserve">, A., Patil, V., </w:t>
      </w:r>
      <w:proofErr w:type="spellStart"/>
      <w:r w:rsidRPr="00186843">
        <w:rPr>
          <w:rFonts w:ascii="Arial" w:hAnsi="Arial" w:cs="Arial"/>
          <w:sz w:val="20"/>
          <w:szCs w:val="20"/>
        </w:rPr>
        <w:t>Revanasiddappa</w:t>
      </w:r>
      <w:proofErr w:type="spellEnd"/>
      <w:r w:rsidRPr="00186843">
        <w:rPr>
          <w:rFonts w:ascii="Arial" w:hAnsi="Arial" w:cs="Arial"/>
          <w:sz w:val="20"/>
          <w:szCs w:val="20"/>
        </w:rPr>
        <w:t xml:space="preserve">, M., Patil, V., &amp; </w:t>
      </w:r>
      <w:proofErr w:type="spellStart"/>
      <w:r w:rsidRPr="00186843">
        <w:rPr>
          <w:rFonts w:ascii="Arial" w:hAnsi="Arial" w:cs="Arial"/>
          <w:sz w:val="20"/>
          <w:szCs w:val="20"/>
        </w:rPr>
        <w:t>Ireshnavar</w:t>
      </w:r>
      <w:proofErr w:type="spellEnd"/>
      <w:r w:rsidRPr="00186843">
        <w:rPr>
          <w:rFonts w:ascii="Arial" w:hAnsi="Arial" w:cs="Arial"/>
          <w:sz w:val="20"/>
          <w:szCs w:val="20"/>
        </w:rPr>
        <w:t>, D. (2021). Renal Dysfunction in Prediabetes: Confirmed by Glomerular Hyperfiltration and Albuminuria. </w:t>
      </w:r>
      <w:r w:rsidRPr="00186843">
        <w:rPr>
          <w:rFonts w:ascii="Arial" w:hAnsi="Arial" w:cs="Arial"/>
          <w:i/>
          <w:iCs/>
          <w:sz w:val="20"/>
          <w:szCs w:val="20"/>
        </w:rPr>
        <w:t>Journal of Laboratory Physicians</w:t>
      </w:r>
      <w:r w:rsidRPr="00186843">
        <w:rPr>
          <w:rFonts w:ascii="Arial" w:hAnsi="Arial" w:cs="Arial"/>
          <w:sz w:val="20"/>
          <w:szCs w:val="20"/>
        </w:rPr>
        <w:t xml:space="preserve">, 13, 257 - 262. </w:t>
      </w:r>
      <w:hyperlink r:id="rId17" w:history="1">
        <w:r w:rsidRPr="00186843">
          <w:rPr>
            <w:rStyle w:val="Hyperlink"/>
            <w:rFonts w:ascii="Arial" w:hAnsi="Arial" w:cs="Arial"/>
            <w:sz w:val="20"/>
            <w:szCs w:val="20"/>
          </w:rPr>
          <w:t>https://doi.org/10.1055/s-0041-1731107</w:t>
        </w:r>
      </w:hyperlink>
      <w:r w:rsidRPr="00186843">
        <w:rPr>
          <w:rFonts w:ascii="Arial" w:hAnsi="Arial" w:cs="Arial"/>
          <w:sz w:val="20"/>
          <w:szCs w:val="20"/>
        </w:rPr>
        <w:t>.</w:t>
      </w:r>
    </w:p>
    <w:p w:rsidR="00A60009" w:rsidRPr="00186843" w:rsidRDefault="00A60009" w:rsidP="00B20B7B">
      <w:pPr>
        <w:pStyle w:val="ListParagraph"/>
        <w:numPr>
          <w:ilvl w:val="0"/>
          <w:numId w:val="8"/>
        </w:numPr>
        <w:spacing w:before="240" w:after="0" w:line="276" w:lineRule="auto"/>
        <w:rPr>
          <w:rFonts w:ascii="Arial" w:hAnsi="Arial" w:cs="Arial"/>
          <w:sz w:val="20"/>
          <w:szCs w:val="20"/>
        </w:rPr>
      </w:pPr>
      <w:proofErr w:type="spellStart"/>
      <w:r w:rsidRPr="00186843">
        <w:rPr>
          <w:rFonts w:ascii="Arial" w:hAnsi="Arial" w:cs="Arial"/>
          <w:sz w:val="20"/>
          <w:szCs w:val="20"/>
        </w:rPr>
        <w:t>Sueud</w:t>
      </w:r>
      <w:proofErr w:type="spellEnd"/>
      <w:r w:rsidRPr="00186843">
        <w:rPr>
          <w:rFonts w:ascii="Arial" w:hAnsi="Arial" w:cs="Arial"/>
          <w:sz w:val="20"/>
          <w:szCs w:val="20"/>
        </w:rPr>
        <w:t xml:space="preserve">, T., Hadi, N., </w:t>
      </w:r>
      <w:proofErr w:type="spellStart"/>
      <w:r w:rsidRPr="00186843">
        <w:rPr>
          <w:rFonts w:ascii="Arial" w:hAnsi="Arial" w:cs="Arial"/>
          <w:sz w:val="20"/>
          <w:szCs w:val="20"/>
        </w:rPr>
        <w:t>Abdulameer</w:t>
      </w:r>
      <w:proofErr w:type="spellEnd"/>
      <w:r w:rsidRPr="00186843">
        <w:rPr>
          <w:rFonts w:ascii="Arial" w:hAnsi="Arial" w:cs="Arial"/>
          <w:sz w:val="20"/>
          <w:szCs w:val="20"/>
        </w:rPr>
        <w:t>, R., Jamil, D., &amp; Al-</w:t>
      </w:r>
      <w:proofErr w:type="spellStart"/>
      <w:r w:rsidRPr="00186843">
        <w:rPr>
          <w:rFonts w:ascii="Arial" w:hAnsi="Arial" w:cs="Arial"/>
          <w:sz w:val="20"/>
          <w:szCs w:val="20"/>
        </w:rPr>
        <w:t>Aubaidy</w:t>
      </w:r>
      <w:proofErr w:type="spellEnd"/>
      <w:r w:rsidRPr="00186843">
        <w:rPr>
          <w:rFonts w:ascii="Arial" w:hAnsi="Arial" w:cs="Arial"/>
          <w:sz w:val="20"/>
          <w:szCs w:val="20"/>
        </w:rPr>
        <w:t xml:space="preserve">, H. (2019). Assessing urinary levels of IL-18, NGAL, and albumin creatinine ratio in patients with diabetic nephropathy. </w:t>
      </w:r>
      <w:r w:rsidRPr="00186843">
        <w:rPr>
          <w:rFonts w:ascii="Arial" w:hAnsi="Arial" w:cs="Arial"/>
          <w:i/>
          <w:iCs/>
          <w:sz w:val="20"/>
          <w:szCs w:val="20"/>
        </w:rPr>
        <w:t>Diabetes &amp; Metabolic Syndrome</w:t>
      </w:r>
      <w:r w:rsidRPr="00186843">
        <w:rPr>
          <w:rFonts w:ascii="Arial" w:hAnsi="Arial" w:cs="Arial"/>
          <w:sz w:val="20"/>
          <w:szCs w:val="20"/>
        </w:rPr>
        <w:t xml:space="preserve">, 13(1), 564–568. </w:t>
      </w:r>
    </w:p>
    <w:p w:rsidR="00A60009" w:rsidRPr="00186843" w:rsidRDefault="00A60009" w:rsidP="00B20B7B">
      <w:pPr>
        <w:pStyle w:val="NormalWeb"/>
        <w:numPr>
          <w:ilvl w:val="0"/>
          <w:numId w:val="8"/>
        </w:numPr>
        <w:spacing w:before="240" w:beforeAutospacing="0" w:line="276" w:lineRule="auto"/>
        <w:rPr>
          <w:rFonts w:ascii="Arial" w:hAnsi="Arial" w:cs="Arial"/>
          <w:sz w:val="20"/>
          <w:szCs w:val="20"/>
        </w:rPr>
      </w:pPr>
      <w:proofErr w:type="spellStart"/>
      <w:r w:rsidRPr="00186843">
        <w:rPr>
          <w:rFonts w:ascii="Arial" w:hAnsi="Arial" w:cs="Arial"/>
          <w:sz w:val="20"/>
          <w:szCs w:val="20"/>
        </w:rPr>
        <w:t>Zadabbas</w:t>
      </w:r>
      <w:proofErr w:type="spellEnd"/>
      <w:r w:rsidRPr="00186843">
        <w:rPr>
          <w:rFonts w:ascii="Arial" w:hAnsi="Arial" w:cs="Arial"/>
          <w:sz w:val="20"/>
          <w:szCs w:val="20"/>
        </w:rPr>
        <w:t xml:space="preserve">, H., </w:t>
      </w:r>
      <w:proofErr w:type="spellStart"/>
      <w:r w:rsidRPr="00186843">
        <w:rPr>
          <w:rFonts w:ascii="Arial" w:hAnsi="Arial" w:cs="Arial"/>
          <w:sz w:val="20"/>
          <w:szCs w:val="20"/>
        </w:rPr>
        <w:t>Golbashirzadeh</w:t>
      </w:r>
      <w:proofErr w:type="spellEnd"/>
      <w:r w:rsidRPr="00186843">
        <w:rPr>
          <w:rFonts w:ascii="Arial" w:hAnsi="Arial" w:cs="Arial"/>
          <w:sz w:val="20"/>
          <w:szCs w:val="20"/>
        </w:rPr>
        <w:t xml:space="preserve">, M., &amp; </w:t>
      </w:r>
      <w:proofErr w:type="spellStart"/>
      <w:r w:rsidRPr="00186843">
        <w:rPr>
          <w:rFonts w:ascii="Arial" w:hAnsi="Arial" w:cs="Arial"/>
          <w:sz w:val="20"/>
          <w:szCs w:val="20"/>
        </w:rPr>
        <w:t>Moradzadegan</w:t>
      </w:r>
      <w:proofErr w:type="spellEnd"/>
      <w:r w:rsidRPr="00186843">
        <w:rPr>
          <w:rFonts w:ascii="Arial" w:hAnsi="Arial" w:cs="Arial"/>
          <w:sz w:val="20"/>
          <w:szCs w:val="20"/>
        </w:rPr>
        <w:t>, A. (2024). Exploring Cystatin C as an Early Indicator of End-Stage Diabetic Nephropathy in Patients with Type 2 Diabetes. </w:t>
      </w:r>
      <w:r w:rsidRPr="00186843">
        <w:rPr>
          <w:rFonts w:ascii="Arial" w:hAnsi="Arial" w:cs="Arial"/>
          <w:i/>
          <w:iCs/>
          <w:sz w:val="20"/>
          <w:szCs w:val="20"/>
        </w:rPr>
        <w:t>Journal of Endocrinology and Metabolism</w:t>
      </w:r>
      <w:r w:rsidRPr="00186843">
        <w:rPr>
          <w:rFonts w:ascii="Arial" w:hAnsi="Arial" w:cs="Arial"/>
          <w:sz w:val="20"/>
          <w:szCs w:val="20"/>
        </w:rPr>
        <w:t>, </w:t>
      </w:r>
      <w:r w:rsidRPr="00186843">
        <w:rPr>
          <w:rFonts w:ascii="Arial" w:hAnsi="Arial" w:cs="Arial"/>
          <w:i/>
          <w:iCs/>
          <w:sz w:val="20"/>
          <w:szCs w:val="20"/>
        </w:rPr>
        <w:t>14</w:t>
      </w:r>
      <w:r w:rsidRPr="00186843">
        <w:rPr>
          <w:rFonts w:ascii="Arial" w:hAnsi="Arial" w:cs="Arial"/>
          <w:sz w:val="20"/>
          <w:szCs w:val="20"/>
        </w:rPr>
        <w:t xml:space="preserve">(5), 240-249.https://doi.org/10.14740/jem991 </w:t>
      </w:r>
    </w:p>
    <w:p w:rsidR="00A60009" w:rsidRPr="00186843" w:rsidRDefault="00A60009" w:rsidP="00B20B7B">
      <w:pPr>
        <w:pStyle w:val="ListParagraph"/>
        <w:numPr>
          <w:ilvl w:val="0"/>
          <w:numId w:val="8"/>
        </w:numPr>
        <w:spacing w:line="240" w:lineRule="auto"/>
        <w:jc w:val="both"/>
        <w:rPr>
          <w:rFonts w:ascii="Arial" w:hAnsi="Arial" w:cs="Arial"/>
          <w:b/>
          <w:bCs/>
          <w:sz w:val="20"/>
          <w:szCs w:val="20"/>
        </w:rPr>
      </w:pPr>
      <w:r w:rsidRPr="00186843">
        <w:rPr>
          <w:rFonts w:ascii="Arial" w:hAnsi="Arial" w:cs="Arial"/>
          <w:sz w:val="20"/>
          <w:szCs w:val="20"/>
        </w:rPr>
        <w:t>Zhang, D., Ye, S., &amp; Pan, T. (2019). The role of serum and urinary biomarkers in the diagnosis of early diabetic nephropathy in patients with type 2 diabetes. </w:t>
      </w:r>
      <w:proofErr w:type="spellStart"/>
      <w:r w:rsidRPr="00186843">
        <w:rPr>
          <w:rFonts w:ascii="Arial" w:hAnsi="Arial" w:cs="Arial"/>
          <w:i/>
          <w:iCs/>
          <w:sz w:val="20"/>
          <w:szCs w:val="20"/>
        </w:rPr>
        <w:t>PeerJ</w:t>
      </w:r>
      <w:proofErr w:type="spellEnd"/>
      <w:r w:rsidRPr="00186843">
        <w:rPr>
          <w:rFonts w:ascii="Arial" w:hAnsi="Arial" w:cs="Arial"/>
          <w:sz w:val="20"/>
          <w:szCs w:val="20"/>
        </w:rPr>
        <w:t>, </w:t>
      </w:r>
      <w:r w:rsidRPr="00186843">
        <w:rPr>
          <w:rFonts w:ascii="Arial" w:hAnsi="Arial" w:cs="Arial"/>
          <w:i/>
          <w:iCs/>
          <w:sz w:val="20"/>
          <w:szCs w:val="20"/>
        </w:rPr>
        <w:t>7</w:t>
      </w:r>
      <w:r w:rsidRPr="00186843">
        <w:rPr>
          <w:rFonts w:ascii="Arial" w:hAnsi="Arial" w:cs="Arial"/>
          <w:sz w:val="20"/>
          <w:szCs w:val="20"/>
        </w:rPr>
        <w:t xml:space="preserve">, e7079. </w:t>
      </w:r>
      <w:hyperlink r:id="rId18" w:history="1">
        <w:r w:rsidRPr="00186843">
          <w:rPr>
            <w:rStyle w:val="Hyperlink"/>
            <w:rFonts w:ascii="Arial" w:hAnsi="Arial" w:cs="Arial"/>
            <w:sz w:val="20"/>
            <w:szCs w:val="20"/>
          </w:rPr>
          <w:t>https://doi.org/10.7717/peerj.7079</w:t>
        </w:r>
      </w:hyperlink>
      <w:r w:rsidRPr="00186843">
        <w:rPr>
          <w:rFonts w:ascii="Arial" w:hAnsi="Arial" w:cs="Arial"/>
          <w:b/>
          <w:bCs/>
          <w:sz w:val="20"/>
          <w:szCs w:val="20"/>
        </w:rPr>
        <w:t xml:space="preserve">  </w:t>
      </w:r>
    </w:p>
    <w:p w:rsidR="00A60009" w:rsidRPr="00186843" w:rsidRDefault="00A60009" w:rsidP="00B20B7B">
      <w:pPr>
        <w:pStyle w:val="ListParagraph"/>
        <w:numPr>
          <w:ilvl w:val="0"/>
          <w:numId w:val="8"/>
        </w:numPr>
        <w:spacing w:before="240" w:line="276" w:lineRule="auto"/>
        <w:jc w:val="both"/>
        <w:rPr>
          <w:rFonts w:ascii="Arial" w:hAnsi="Arial" w:cs="Arial"/>
          <w:sz w:val="20"/>
          <w:szCs w:val="20"/>
        </w:rPr>
      </w:pPr>
      <w:r w:rsidRPr="00186843">
        <w:rPr>
          <w:rFonts w:ascii="Arial" w:hAnsi="Arial" w:cs="Arial"/>
          <w:sz w:val="20"/>
          <w:szCs w:val="20"/>
        </w:rPr>
        <w:t>Zhang, H., Zhang, Q., Song, Y., Wang, L., Cai, M., Bao, J., &amp; Yu, Q. (2024). Separating the effects of life course adiposity on diabetic nephropathy: a comprehensive multivariable Mendelian randomization study. </w:t>
      </w:r>
      <w:r w:rsidRPr="00186843">
        <w:rPr>
          <w:rFonts w:ascii="Arial" w:hAnsi="Arial" w:cs="Arial"/>
          <w:i/>
          <w:iCs/>
          <w:sz w:val="20"/>
          <w:szCs w:val="20"/>
        </w:rPr>
        <w:t>Frontiers in Endocrinology</w:t>
      </w:r>
      <w:r w:rsidRPr="00186843">
        <w:rPr>
          <w:rFonts w:ascii="Arial" w:hAnsi="Arial" w:cs="Arial"/>
          <w:sz w:val="20"/>
          <w:szCs w:val="20"/>
        </w:rPr>
        <w:t xml:space="preserve">, 15. </w:t>
      </w:r>
      <w:hyperlink r:id="rId19" w:history="1">
        <w:r w:rsidRPr="00186843">
          <w:rPr>
            <w:rStyle w:val="Hyperlink"/>
            <w:rFonts w:ascii="Arial" w:hAnsi="Arial" w:cs="Arial"/>
            <w:sz w:val="20"/>
            <w:szCs w:val="20"/>
          </w:rPr>
          <w:t>https://doi.org/10.3389/fendo.2024.1285872</w:t>
        </w:r>
      </w:hyperlink>
      <w:r w:rsidRPr="00186843">
        <w:rPr>
          <w:rFonts w:ascii="Arial" w:hAnsi="Arial" w:cs="Arial"/>
          <w:sz w:val="20"/>
          <w:szCs w:val="20"/>
        </w:rPr>
        <w:t>.</w:t>
      </w:r>
    </w:p>
    <w:p w:rsidR="003121B1" w:rsidRPr="00D438A8" w:rsidRDefault="007B7ADF" w:rsidP="00A52589">
      <w:pPr>
        <w:spacing w:line="480" w:lineRule="auto"/>
        <w:jc w:val="both"/>
        <w:rPr>
          <w:rFonts w:ascii="Arial" w:hAnsi="Arial" w:cs="Arial"/>
          <w:b/>
          <w:bCs/>
          <w:sz w:val="20"/>
          <w:szCs w:val="20"/>
        </w:rPr>
      </w:pPr>
      <w:r>
        <w:rPr>
          <w:rFonts w:ascii="Arial" w:hAnsi="Arial" w:cs="Arial"/>
          <w:b/>
          <w:bCs/>
          <w:sz w:val="20"/>
          <w:szCs w:val="20"/>
        </w:rPr>
        <w:t xml:space="preserve">                                                                                                                                                                                                                                                                                                                                                                                                                                                                                                                                                                                                                                                                                                                                                                                                                                                                                                                                                                                                                                                                                                                                                                                                                                                                                                                                                 </w:t>
      </w:r>
      <w:bookmarkStart w:id="12" w:name="_GoBack"/>
      <w:bookmarkEnd w:id="12"/>
    </w:p>
    <w:sectPr w:rsidR="003121B1" w:rsidRPr="00D438A8" w:rsidSect="00D0410A">
      <w:headerReference w:type="even" r:id="rId20"/>
      <w:headerReference w:type="default" r:id="rId21"/>
      <w:footerReference w:type="even" r:id="rId22"/>
      <w:footerReference w:type="default" r:id="rId23"/>
      <w:headerReference w:type="first" r:id="rId24"/>
      <w:footerReference w:type="first" r:id="rId2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813" w:rsidRDefault="005E4813" w:rsidP="006109B7">
      <w:pPr>
        <w:spacing w:after="0" w:line="240" w:lineRule="auto"/>
      </w:pPr>
      <w:r>
        <w:separator/>
      </w:r>
    </w:p>
  </w:endnote>
  <w:endnote w:type="continuationSeparator" w:id="0">
    <w:p w:rsidR="005E4813" w:rsidRDefault="005E4813" w:rsidP="006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738249"/>
      <w:docPartObj>
        <w:docPartGallery w:val="Page Numbers (Bottom of Page)"/>
        <w:docPartUnique/>
      </w:docPartObj>
    </w:sdtPr>
    <w:sdtEndPr>
      <w:rPr>
        <w:noProof/>
      </w:rPr>
    </w:sdtEndPr>
    <w:sdtContent>
      <w:p w:rsidR="00B20B7B" w:rsidRDefault="00B20B7B">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B20B7B" w:rsidRDefault="00B2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B2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813" w:rsidRDefault="005E4813" w:rsidP="006109B7">
      <w:pPr>
        <w:spacing w:after="0" w:line="240" w:lineRule="auto"/>
      </w:pPr>
      <w:r>
        <w:separator/>
      </w:r>
    </w:p>
  </w:footnote>
  <w:footnote w:type="continuationSeparator" w:id="0">
    <w:p w:rsidR="005E4813" w:rsidRDefault="005E4813" w:rsidP="0061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5E48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2"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5E48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3"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B" w:rsidRDefault="005E48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1"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3C13"/>
    <w:multiLevelType w:val="multilevel"/>
    <w:tmpl w:val="E618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941A0"/>
    <w:multiLevelType w:val="multilevel"/>
    <w:tmpl w:val="900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11B62"/>
    <w:multiLevelType w:val="multilevel"/>
    <w:tmpl w:val="61F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D5091"/>
    <w:multiLevelType w:val="hybridMultilevel"/>
    <w:tmpl w:val="18D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43C65"/>
    <w:multiLevelType w:val="multilevel"/>
    <w:tmpl w:val="4EE8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513BD"/>
    <w:multiLevelType w:val="hybridMultilevel"/>
    <w:tmpl w:val="D24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91A5C"/>
    <w:multiLevelType w:val="multilevel"/>
    <w:tmpl w:val="F33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3101D"/>
    <w:multiLevelType w:val="hybridMultilevel"/>
    <w:tmpl w:val="BE8C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02"/>
    <w:rsid w:val="00016348"/>
    <w:rsid w:val="00033C14"/>
    <w:rsid w:val="00071C1E"/>
    <w:rsid w:val="00072AC8"/>
    <w:rsid w:val="00077878"/>
    <w:rsid w:val="0007792A"/>
    <w:rsid w:val="00080CB9"/>
    <w:rsid w:val="000922F2"/>
    <w:rsid w:val="000E43BA"/>
    <w:rsid w:val="000F6E39"/>
    <w:rsid w:val="00110B07"/>
    <w:rsid w:val="00131E0B"/>
    <w:rsid w:val="0013578E"/>
    <w:rsid w:val="001744D8"/>
    <w:rsid w:val="0018136A"/>
    <w:rsid w:val="00186843"/>
    <w:rsid w:val="001900A1"/>
    <w:rsid w:val="00194EDE"/>
    <w:rsid w:val="001B582C"/>
    <w:rsid w:val="001C048D"/>
    <w:rsid w:val="001D3B4F"/>
    <w:rsid w:val="001E2302"/>
    <w:rsid w:val="001E5287"/>
    <w:rsid w:val="0020156A"/>
    <w:rsid w:val="00264E00"/>
    <w:rsid w:val="00284C60"/>
    <w:rsid w:val="002D342C"/>
    <w:rsid w:val="002F01CA"/>
    <w:rsid w:val="00302906"/>
    <w:rsid w:val="003121B1"/>
    <w:rsid w:val="003146EF"/>
    <w:rsid w:val="0033111C"/>
    <w:rsid w:val="00331DF8"/>
    <w:rsid w:val="00336317"/>
    <w:rsid w:val="00365BD6"/>
    <w:rsid w:val="003704EC"/>
    <w:rsid w:val="00392895"/>
    <w:rsid w:val="003F7C16"/>
    <w:rsid w:val="00411B7C"/>
    <w:rsid w:val="00413943"/>
    <w:rsid w:val="00415216"/>
    <w:rsid w:val="00417F7F"/>
    <w:rsid w:val="00482C70"/>
    <w:rsid w:val="00491B4A"/>
    <w:rsid w:val="004B3FDD"/>
    <w:rsid w:val="004F3432"/>
    <w:rsid w:val="005042E5"/>
    <w:rsid w:val="00530F79"/>
    <w:rsid w:val="005349EA"/>
    <w:rsid w:val="00543C57"/>
    <w:rsid w:val="0054498B"/>
    <w:rsid w:val="00564842"/>
    <w:rsid w:val="00574064"/>
    <w:rsid w:val="005B5BF6"/>
    <w:rsid w:val="005D5DF6"/>
    <w:rsid w:val="005E1899"/>
    <w:rsid w:val="005E4813"/>
    <w:rsid w:val="005F2AA3"/>
    <w:rsid w:val="006109B7"/>
    <w:rsid w:val="0061533F"/>
    <w:rsid w:val="00635798"/>
    <w:rsid w:val="00661CEA"/>
    <w:rsid w:val="00666647"/>
    <w:rsid w:val="00674FA5"/>
    <w:rsid w:val="00697564"/>
    <w:rsid w:val="006A318D"/>
    <w:rsid w:val="007064E6"/>
    <w:rsid w:val="00747229"/>
    <w:rsid w:val="00757763"/>
    <w:rsid w:val="00761644"/>
    <w:rsid w:val="00763DB1"/>
    <w:rsid w:val="00782C75"/>
    <w:rsid w:val="007A2E91"/>
    <w:rsid w:val="007B7ADF"/>
    <w:rsid w:val="007E555D"/>
    <w:rsid w:val="007F7A90"/>
    <w:rsid w:val="008123E0"/>
    <w:rsid w:val="00850E4A"/>
    <w:rsid w:val="0085255C"/>
    <w:rsid w:val="00882F93"/>
    <w:rsid w:val="00895424"/>
    <w:rsid w:val="008B390C"/>
    <w:rsid w:val="008B5D0F"/>
    <w:rsid w:val="008D0EBA"/>
    <w:rsid w:val="008D1D1B"/>
    <w:rsid w:val="00931449"/>
    <w:rsid w:val="00947F8E"/>
    <w:rsid w:val="009862D6"/>
    <w:rsid w:val="009A08E7"/>
    <w:rsid w:val="00A1129F"/>
    <w:rsid w:val="00A1450B"/>
    <w:rsid w:val="00A20182"/>
    <w:rsid w:val="00A426F4"/>
    <w:rsid w:val="00A52589"/>
    <w:rsid w:val="00A563BB"/>
    <w:rsid w:val="00A60009"/>
    <w:rsid w:val="00A67B8F"/>
    <w:rsid w:val="00AD07AA"/>
    <w:rsid w:val="00AD1A3B"/>
    <w:rsid w:val="00AF3717"/>
    <w:rsid w:val="00B1016D"/>
    <w:rsid w:val="00B20B7B"/>
    <w:rsid w:val="00B24F8D"/>
    <w:rsid w:val="00B51157"/>
    <w:rsid w:val="00B57DBC"/>
    <w:rsid w:val="00B67AE1"/>
    <w:rsid w:val="00B7501D"/>
    <w:rsid w:val="00B840D9"/>
    <w:rsid w:val="00BB71DC"/>
    <w:rsid w:val="00BF5795"/>
    <w:rsid w:val="00C32B0A"/>
    <w:rsid w:val="00C46A1F"/>
    <w:rsid w:val="00C7208A"/>
    <w:rsid w:val="00C868BA"/>
    <w:rsid w:val="00C86D01"/>
    <w:rsid w:val="00CB2DA4"/>
    <w:rsid w:val="00CB3627"/>
    <w:rsid w:val="00CC5B99"/>
    <w:rsid w:val="00CE5199"/>
    <w:rsid w:val="00D0410A"/>
    <w:rsid w:val="00D16725"/>
    <w:rsid w:val="00D42FA5"/>
    <w:rsid w:val="00D438A8"/>
    <w:rsid w:val="00D44274"/>
    <w:rsid w:val="00D4523B"/>
    <w:rsid w:val="00D74CD5"/>
    <w:rsid w:val="00D91238"/>
    <w:rsid w:val="00DA4535"/>
    <w:rsid w:val="00DB4B26"/>
    <w:rsid w:val="00DC6240"/>
    <w:rsid w:val="00DD0C08"/>
    <w:rsid w:val="00E23511"/>
    <w:rsid w:val="00E24B44"/>
    <w:rsid w:val="00E3212E"/>
    <w:rsid w:val="00E43B2D"/>
    <w:rsid w:val="00E5355B"/>
    <w:rsid w:val="00E74214"/>
    <w:rsid w:val="00E758C5"/>
    <w:rsid w:val="00E95BA3"/>
    <w:rsid w:val="00E97156"/>
    <w:rsid w:val="00EB6B6C"/>
    <w:rsid w:val="00EC546D"/>
    <w:rsid w:val="00EC5984"/>
    <w:rsid w:val="00ED1E20"/>
    <w:rsid w:val="00EE5DCD"/>
    <w:rsid w:val="00F34BA7"/>
    <w:rsid w:val="00F70647"/>
    <w:rsid w:val="00F94C67"/>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A7037"/>
  <w15:chartTrackingRefBased/>
  <w15:docId w15:val="{84F51E79-82DA-4DF6-A47C-07840C91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B7ADF"/>
    <w:pPr>
      <w:keepNext/>
      <w:keepLines/>
      <w:spacing w:after="0" w:line="480" w:lineRule="auto"/>
      <w:jc w:val="both"/>
      <w:outlineLvl w:val="0"/>
    </w:pPr>
    <w:rPr>
      <w:rFonts w:ascii="Arial" w:eastAsiaTheme="majorEastAsia" w:hAnsi="Arial" w:cstheme="majorBidi"/>
      <w:b/>
      <w:kern w:val="0"/>
      <w:sz w:val="22"/>
      <w:szCs w:val="22"/>
      <w14:ligatures w14:val="none"/>
    </w:rPr>
  </w:style>
  <w:style w:type="paragraph" w:styleId="Heading2">
    <w:name w:val="heading 2"/>
    <w:basedOn w:val="Normal"/>
    <w:next w:val="Normal"/>
    <w:link w:val="Heading2Char"/>
    <w:autoRedefine/>
    <w:uiPriority w:val="9"/>
    <w:unhideWhenUsed/>
    <w:qFormat/>
    <w:rsid w:val="007B7ADF"/>
    <w:pPr>
      <w:keepNext/>
      <w:keepLines/>
      <w:spacing w:after="80"/>
      <w:outlineLvl w:val="1"/>
    </w:pPr>
    <w:rPr>
      <w:rFonts w:ascii="Arial" w:eastAsia="Times New Roman" w:hAnsi="Arial" w:cstheme="majorBidi"/>
      <w:b/>
      <w:bCs/>
      <w:color w:val="000000" w:themeColor="text1"/>
      <w:sz w:val="22"/>
      <w:szCs w:val="32"/>
    </w:rPr>
  </w:style>
  <w:style w:type="paragraph" w:styleId="Heading3">
    <w:name w:val="heading 3"/>
    <w:basedOn w:val="Normal"/>
    <w:next w:val="Normal"/>
    <w:link w:val="Heading3Char"/>
    <w:uiPriority w:val="9"/>
    <w:semiHidden/>
    <w:unhideWhenUsed/>
    <w:qFormat/>
    <w:rsid w:val="001E23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23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23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DF"/>
    <w:rPr>
      <w:rFonts w:ascii="Arial" w:eastAsiaTheme="majorEastAsia" w:hAnsi="Arial" w:cstheme="majorBidi"/>
      <w:b/>
      <w:kern w:val="0"/>
      <w:sz w:val="22"/>
      <w:szCs w:val="22"/>
      <w14:ligatures w14:val="none"/>
    </w:rPr>
  </w:style>
  <w:style w:type="character" w:customStyle="1" w:styleId="Heading2Char">
    <w:name w:val="Heading 2 Char"/>
    <w:basedOn w:val="DefaultParagraphFont"/>
    <w:link w:val="Heading2"/>
    <w:uiPriority w:val="9"/>
    <w:rsid w:val="007B7ADF"/>
    <w:rPr>
      <w:rFonts w:ascii="Arial" w:eastAsia="Times New Roman" w:hAnsi="Arial" w:cstheme="majorBidi"/>
      <w:b/>
      <w:bCs/>
      <w:color w:val="000000" w:themeColor="text1"/>
      <w:sz w:val="22"/>
      <w:szCs w:val="32"/>
    </w:rPr>
  </w:style>
  <w:style w:type="character" w:customStyle="1" w:styleId="Heading3Char">
    <w:name w:val="Heading 3 Char"/>
    <w:basedOn w:val="DefaultParagraphFont"/>
    <w:link w:val="Heading3"/>
    <w:uiPriority w:val="9"/>
    <w:semiHidden/>
    <w:rsid w:val="001E23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23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23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02"/>
    <w:rPr>
      <w:rFonts w:eastAsiaTheme="majorEastAsia" w:cstheme="majorBidi"/>
      <w:color w:val="272727" w:themeColor="text1" w:themeTint="D8"/>
    </w:rPr>
  </w:style>
  <w:style w:type="paragraph" w:styleId="Title">
    <w:name w:val="Title"/>
    <w:basedOn w:val="Normal"/>
    <w:next w:val="Normal"/>
    <w:link w:val="TitleChar"/>
    <w:uiPriority w:val="10"/>
    <w:qFormat/>
    <w:rsid w:val="001E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E2302"/>
    <w:rPr>
      <w:i/>
      <w:iCs/>
      <w:color w:val="404040" w:themeColor="text1" w:themeTint="BF"/>
    </w:rPr>
  </w:style>
  <w:style w:type="paragraph" w:styleId="ListParagraph">
    <w:name w:val="List Paragraph"/>
    <w:basedOn w:val="Normal"/>
    <w:uiPriority w:val="34"/>
    <w:qFormat/>
    <w:rsid w:val="001E2302"/>
    <w:pPr>
      <w:ind w:left="720"/>
      <w:contextualSpacing/>
    </w:pPr>
  </w:style>
  <w:style w:type="character" w:styleId="IntenseEmphasis">
    <w:name w:val="Intense Emphasis"/>
    <w:basedOn w:val="DefaultParagraphFont"/>
    <w:uiPriority w:val="21"/>
    <w:qFormat/>
    <w:rsid w:val="001E2302"/>
    <w:rPr>
      <w:i/>
      <w:iCs/>
      <w:color w:val="2E74B5" w:themeColor="accent1" w:themeShade="BF"/>
    </w:rPr>
  </w:style>
  <w:style w:type="paragraph" w:styleId="IntenseQuote">
    <w:name w:val="Intense Quote"/>
    <w:basedOn w:val="Normal"/>
    <w:next w:val="Normal"/>
    <w:link w:val="IntenseQuoteChar"/>
    <w:uiPriority w:val="30"/>
    <w:qFormat/>
    <w:rsid w:val="001E2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2302"/>
    <w:rPr>
      <w:i/>
      <w:iCs/>
      <w:color w:val="2E74B5" w:themeColor="accent1" w:themeShade="BF"/>
    </w:rPr>
  </w:style>
  <w:style w:type="character" w:styleId="IntenseReference">
    <w:name w:val="Intense Reference"/>
    <w:basedOn w:val="DefaultParagraphFont"/>
    <w:uiPriority w:val="32"/>
    <w:qFormat/>
    <w:rsid w:val="001E2302"/>
    <w:rPr>
      <w:b/>
      <w:bCs/>
      <w:smallCaps/>
      <w:color w:val="2E74B5" w:themeColor="accent1" w:themeShade="BF"/>
      <w:spacing w:val="5"/>
    </w:rPr>
  </w:style>
  <w:style w:type="table" w:styleId="TableGrid">
    <w:name w:val="Table Grid"/>
    <w:basedOn w:val="TableNormal"/>
    <w:uiPriority w:val="39"/>
    <w:rsid w:val="005349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123E0"/>
    <w:pPr>
      <w:spacing w:after="0" w:line="240" w:lineRule="auto"/>
    </w:pPr>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123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OCHeading1">
    <w:name w:val="TOC Heading1"/>
    <w:basedOn w:val="Heading1"/>
    <w:next w:val="Normal"/>
    <w:autoRedefine/>
    <w:uiPriority w:val="39"/>
    <w:unhideWhenUsed/>
    <w:qFormat/>
    <w:rsid w:val="006109B7"/>
    <w:pPr>
      <w:outlineLvl w:val="9"/>
    </w:pPr>
    <w:rPr>
      <w:b w:val="0"/>
      <w:bCs/>
      <w:color w:val="000000" w:themeColor="text1"/>
      <w:szCs w:val="28"/>
      <w:lang w:eastAsia="ja-JP"/>
    </w:rPr>
  </w:style>
  <w:style w:type="paragraph" w:styleId="Header">
    <w:name w:val="header"/>
    <w:basedOn w:val="Normal"/>
    <w:link w:val="HeaderChar"/>
    <w:uiPriority w:val="99"/>
    <w:unhideWhenUsed/>
    <w:rsid w:val="006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B7"/>
  </w:style>
  <w:style w:type="paragraph" w:styleId="Footer">
    <w:name w:val="footer"/>
    <w:basedOn w:val="Normal"/>
    <w:link w:val="FooterChar"/>
    <w:uiPriority w:val="99"/>
    <w:unhideWhenUsed/>
    <w:rsid w:val="006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B7"/>
  </w:style>
  <w:style w:type="character" w:styleId="Hyperlink">
    <w:name w:val="Hyperlink"/>
    <w:basedOn w:val="DefaultParagraphFont"/>
    <w:uiPriority w:val="99"/>
    <w:unhideWhenUsed/>
    <w:rsid w:val="00ED1E20"/>
    <w:rPr>
      <w:color w:val="0563C1" w:themeColor="hyperlink"/>
      <w:u w:val="single"/>
    </w:rPr>
  </w:style>
  <w:style w:type="character" w:customStyle="1" w:styleId="UnresolvedMention1">
    <w:name w:val="Unresolved Mention1"/>
    <w:basedOn w:val="DefaultParagraphFont"/>
    <w:uiPriority w:val="99"/>
    <w:semiHidden/>
    <w:unhideWhenUsed/>
    <w:rsid w:val="00ED1E20"/>
    <w:rPr>
      <w:color w:val="605E5C"/>
      <w:shd w:val="clear" w:color="auto" w:fill="E1DFDD"/>
    </w:rPr>
  </w:style>
  <w:style w:type="paragraph" w:styleId="NormalWeb">
    <w:name w:val="Normal (Web)"/>
    <w:basedOn w:val="Normal"/>
    <w:uiPriority w:val="99"/>
    <w:unhideWhenUsed/>
    <w:rsid w:val="00C868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21B1"/>
    <w:rPr>
      <w:i/>
      <w:iCs/>
    </w:rPr>
  </w:style>
  <w:style w:type="character" w:styleId="Strong">
    <w:name w:val="Strong"/>
    <w:basedOn w:val="DefaultParagraphFont"/>
    <w:uiPriority w:val="22"/>
    <w:qFormat/>
    <w:rsid w:val="00365BD6"/>
    <w:rPr>
      <w:b/>
      <w:bCs/>
    </w:rPr>
  </w:style>
  <w:style w:type="paragraph" w:customStyle="1" w:styleId="Heading31">
    <w:name w:val="Heading 31"/>
    <w:basedOn w:val="Normal"/>
    <w:link w:val="heading3Char0"/>
    <w:autoRedefine/>
    <w:qFormat/>
    <w:rsid w:val="00C7208A"/>
    <w:rPr>
      <w:rFonts w:ascii="Arial" w:hAnsi="Arial" w:cs="Arial"/>
      <w:sz w:val="20"/>
    </w:rPr>
  </w:style>
  <w:style w:type="character" w:customStyle="1" w:styleId="heading3Char0">
    <w:name w:val="heading 3 Char"/>
    <w:basedOn w:val="DefaultParagraphFont"/>
    <w:link w:val="Heading31"/>
    <w:rsid w:val="00C7208A"/>
    <w:rPr>
      <w:rFonts w:ascii="Arial" w:hAnsi="Arial" w:cs="Arial"/>
      <w:sz w:val="20"/>
    </w:rPr>
  </w:style>
  <w:style w:type="character" w:styleId="FollowedHyperlink">
    <w:name w:val="FollowedHyperlink"/>
    <w:basedOn w:val="DefaultParagraphFont"/>
    <w:uiPriority w:val="99"/>
    <w:semiHidden/>
    <w:unhideWhenUsed/>
    <w:rsid w:val="00E95BA3"/>
    <w:rPr>
      <w:color w:val="954F72" w:themeColor="followedHyperlink"/>
      <w:u w:val="single"/>
    </w:rPr>
  </w:style>
  <w:style w:type="character" w:styleId="UnresolvedMention">
    <w:name w:val="Unresolved Mention"/>
    <w:basedOn w:val="DefaultParagraphFont"/>
    <w:uiPriority w:val="99"/>
    <w:semiHidden/>
    <w:unhideWhenUsed/>
    <w:rsid w:val="0076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atp/article/view/273159" TargetMode="External"/><Relationship Id="rId13" Type="http://schemas.openxmlformats.org/officeDocument/2006/relationships/hyperlink" Target="https://doi.org/10.4093/dmj.2024.0443" TargetMode="External"/><Relationship Id="rId18" Type="http://schemas.openxmlformats.org/officeDocument/2006/relationships/hyperlink" Target="https://doi.org/10.7717/peerj.707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onsensus.app" TargetMode="External"/><Relationship Id="rId12" Type="http://schemas.openxmlformats.org/officeDocument/2006/relationships/hyperlink" Target="https://doi.org/10.51542/ijscia.v4i6.29" TargetMode="External"/><Relationship Id="rId17" Type="http://schemas.openxmlformats.org/officeDocument/2006/relationships/hyperlink" Target="https://doi.org/10.1055/s-0041-173110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ed.2021.67355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0/EC-23-049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dom.14007" TargetMode="External"/><Relationship Id="rId23" Type="http://schemas.openxmlformats.org/officeDocument/2006/relationships/footer" Target="footer2.xml"/><Relationship Id="rId10" Type="http://schemas.openxmlformats.org/officeDocument/2006/relationships/hyperlink" Target="https://doi.org/10.2174/0109298673348953250310044927" TargetMode="External"/><Relationship Id="rId19" Type="http://schemas.openxmlformats.org/officeDocument/2006/relationships/hyperlink" Target="https://doi.org/10.3389/fendo.2024.1285872" TargetMode="External"/><Relationship Id="rId4" Type="http://schemas.openxmlformats.org/officeDocument/2006/relationships/webSettings" Target="webSettings.xml"/><Relationship Id="rId9" Type="http://schemas.openxmlformats.org/officeDocument/2006/relationships/hyperlink" Target="https://doi.org/10.1080/14737159.2020.1768849" TargetMode="External"/><Relationship Id="rId14" Type="http://schemas.openxmlformats.org/officeDocument/2006/relationships/hyperlink" Target="https://doi.org/10.1111/obr.1345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Ngobidi</dc:creator>
  <cp:keywords/>
  <dc:description/>
  <cp:lastModifiedBy>SDI 1158</cp:lastModifiedBy>
  <cp:revision>14</cp:revision>
  <dcterms:created xsi:type="dcterms:W3CDTF">2026-01-03T18:37:00Z</dcterms:created>
  <dcterms:modified xsi:type="dcterms:W3CDTF">2026-01-12T12:31:00Z</dcterms:modified>
</cp:coreProperties>
</file>