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33C88" w14:textId="6DF4D226" w:rsidR="00451F19" w:rsidRDefault="004502EB"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bookmarkStart w:id="0" w:name="_Hlk219880375"/>
      <w:bookmarkStart w:id="1" w:name="_GoBack"/>
      <w:bookmarkEnd w:id="1"/>
      <w:r w:rsidRPr="00F6642B">
        <w:rPr>
          <w:rFonts w:ascii="Times New Roman" w:eastAsia="Times New Roman" w:hAnsi="Times New Roman" w:cs="Times New Roman"/>
          <w:b/>
          <w:bCs/>
          <w:kern w:val="0"/>
          <w:sz w:val="36"/>
          <w:szCs w:val="36"/>
          <w:lang w:eastAsia="en-IN"/>
          <w14:ligatures w14:val="none"/>
        </w:rPr>
        <w:t>A Review of Cultivation Practices and Therapeutic Applications of Ethnomedicinal Plants in India</w:t>
      </w:r>
      <w:bookmarkEnd w:id="0"/>
    </w:p>
    <w:p w14:paraId="642EF87C" w14:textId="77777777" w:rsidR="00F21C0C" w:rsidRDefault="00F21C0C" w:rsidP="00F21C0C">
      <w:pPr>
        <w:spacing w:before="100" w:beforeAutospacing="1" w:after="100" w:afterAutospacing="1" w:line="240" w:lineRule="auto"/>
        <w:jc w:val="both"/>
        <w:outlineLvl w:val="1"/>
        <w:rPr>
          <w:b/>
          <w:bCs/>
          <w:sz w:val="28"/>
          <w:szCs w:val="28"/>
        </w:rPr>
      </w:pPr>
    </w:p>
    <w:p w14:paraId="2D239175" w14:textId="77777777" w:rsidR="00451F19" w:rsidRPr="00451F19" w:rsidRDefault="00451F19"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Abstract</w:t>
      </w:r>
    </w:p>
    <w:p w14:paraId="4890017B" w14:textId="144CE2F4"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India’s ethnomedicinal heritage is sustained by an exceptional diversity of medicinal plant species used in household healthcare, community-based traditional healing, and codified systems such as Ayurveda, Siddha, and Unani. In parallel with rising domestic and global demand for botanical therapeutics, cultivation has become a central strategy to reduce pressure on wild populations while improving supply reliability, quality, and traceability. However, the therapeutic promise of ethnomedicinal plants is inseparable from agronomy and post-harvest management, because genotype, environment, cultivation inputs, harvest timing, and processing collectively shape phytochemical composition, safety, and clinical performance. This review </w:t>
      </w:r>
      <w:r w:rsidR="003A079D" w:rsidRPr="004237A9">
        <w:rPr>
          <w:rFonts w:ascii="Times New Roman" w:eastAsia="Times New Roman" w:hAnsi="Times New Roman" w:cs="Times New Roman"/>
          <w:kern w:val="0"/>
          <w:sz w:val="24"/>
          <w:szCs w:val="24"/>
          <w:highlight w:val="yellow"/>
          <w:lang w:eastAsia="en-IN"/>
          <w14:ligatures w14:val="none"/>
        </w:rPr>
        <w:t xml:space="preserve">synthesises </w:t>
      </w:r>
      <w:r w:rsidRPr="004237A9">
        <w:rPr>
          <w:rFonts w:ascii="Times New Roman" w:eastAsia="Times New Roman" w:hAnsi="Times New Roman" w:cs="Times New Roman"/>
          <w:kern w:val="0"/>
          <w:sz w:val="24"/>
          <w:szCs w:val="24"/>
          <w:highlight w:val="yellow"/>
          <w:lang w:eastAsia="en-IN"/>
          <w14:ligatures w14:val="none"/>
        </w:rPr>
        <w:t>recent</w:t>
      </w:r>
      <w:r w:rsidRPr="00451F19">
        <w:rPr>
          <w:rFonts w:ascii="Times New Roman" w:eastAsia="Times New Roman" w:hAnsi="Times New Roman" w:cs="Times New Roman"/>
          <w:kern w:val="0"/>
          <w:sz w:val="24"/>
          <w:szCs w:val="24"/>
          <w:lang w:eastAsia="en-IN"/>
          <w14:ligatures w14:val="none"/>
        </w:rPr>
        <w:t xml:space="preserve"> evidence on cultivation and value-chain practices relevant to Indian ethnomedicinal plants and critically examines therapeutic applications with emphasis on translational and clinical evidence. The review highlights cultivation determinants of quality (planting material, agroecological matching, soil–water management, pest and disease control, harvest indices, drying and storage), analytical quality assurance (marker-based methods, chromatographic fingerprints, and DNA-based authentication), and safety risks (heavy metals, adulteration, and herb-induced liver injury). Therapeutic applications are discussed through representative examples spanning stress and mental health, inflammation and musculoskeletal disorders, metabolic health, immunomodulation, and hepatoprotection, illustrating how </w:t>
      </w:r>
      <w:r w:rsidR="00717E34">
        <w:rPr>
          <w:rFonts w:ascii="Times New Roman" w:eastAsia="Times New Roman" w:hAnsi="Times New Roman" w:cs="Times New Roman"/>
          <w:kern w:val="0"/>
          <w:sz w:val="24"/>
          <w:szCs w:val="24"/>
          <w:lang w:eastAsia="en-IN"/>
          <w14:ligatures w14:val="none"/>
        </w:rPr>
        <w:t>the strength of evidence varies by indication and preparation standardisation</w:t>
      </w:r>
      <w:r w:rsidRPr="00451F19">
        <w:rPr>
          <w:rFonts w:ascii="Times New Roman" w:eastAsia="Times New Roman" w:hAnsi="Times New Roman" w:cs="Times New Roman"/>
          <w:kern w:val="0"/>
          <w:sz w:val="24"/>
          <w:szCs w:val="24"/>
          <w:lang w:eastAsia="en-IN"/>
          <w14:ligatures w14:val="none"/>
        </w:rPr>
        <w:t>. The review concludes by proposing integrative directions for India’s ethnomedicinal plant sector, including climate-resilient cultivation, community-centric benefit sharing, pharmacopeial alignment, and stronger pharmacovigilance to ensure safe, reproducible, and ethically grounded botanical therapeutics.</w:t>
      </w:r>
    </w:p>
    <w:p w14:paraId="240A0B32" w14:textId="657D333B"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Keywords:</w:t>
      </w:r>
      <w:r w:rsidRPr="00451F19">
        <w:rPr>
          <w:rFonts w:ascii="Times New Roman" w:eastAsia="Times New Roman" w:hAnsi="Times New Roman" w:cs="Times New Roman"/>
          <w:kern w:val="0"/>
          <w:sz w:val="24"/>
          <w:szCs w:val="24"/>
          <w:lang w:eastAsia="en-IN"/>
          <w14:ligatures w14:val="none"/>
        </w:rPr>
        <w:t xml:space="preserve"> </w:t>
      </w:r>
      <w:r w:rsidR="00F21C0C" w:rsidRPr="00F21C0C">
        <w:rPr>
          <w:rFonts w:ascii="Times New Roman" w:eastAsia="Times New Roman" w:hAnsi="Times New Roman" w:cs="Times New Roman"/>
          <w:kern w:val="0"/>
          <w:sz w:val="24"/>
          <w:szCs w:val="24"/>
          <w:highlight w:val="yellow"/>
          <w:lang w:eastAsia="en-IN"/>
          <w14:ligatures w14:val="none"/>
        </w:rPr>
        <w:t>E</w:t>
      </w:r>
      <w:r w:rsidRPr="00F21C0C">
        <w:rPr>
          <w:rFonts w:ascii="Times New Roman" w:eastAsia="Times New Roman" w:hAnsi="Times New Roman" w:cs="Times New Roman"/>
          <w:kern w:val="0"/>
          <w:sz w:val="24"/>
          <w:szCs w:val="24"/>
          <w:highlight w:val="yellow"/>
          <w:lang w:eastAsia="en-IN"/>
          <w14:ligatures w14:val="none"/>
        </w:rPr>
        <w:t>thnomedicine; medicinal plant cultivation; DNA barcoding; phytochemical standardization; heavy metals; herb-induced liver injury</w:t>
      </w:r>
    </w:p>
    <w:p w14:paraId="305C52CF" w14:textId="77777777" w:rsidR="00451F19" w:rsidRPr="00451F19" w:rsidRDefault="00451F19"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1. Introduction</w:t>
      </w:r>
    </w:p>
    <w:p w14:paraId="60E19A47" w14:textId="7B396E79" w:rsidR="00451F19" w:rsidRPr="00451F19" w:rsidRDefault="00CD4875"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Arial" w:hAnsi="Arial" w:cs="Arial"/>
          <w:color w:val="222222"/>
          <w:sz w:val="20"/>
          <w:szCs w:val="20"/>
          <w:shd w:val="clear" w:color="auto" w:fill="FFFFFF"/>
        </w:rPr>
        <w:t> </w:t>
      </w:r>
      <w:r w:rsidR="003A079D">
        <w:rPr>
          <w:rFonts w:ascii="Arial" w:hAnsi="Arial" w:cs="Arial"/>
          <w:color w:val="222222"/>
          <w:sz w:val="20"/>
          <w:szCs w:val="20"/>
          <w:highlight w:val="yellow"/>
          <w:shd w:val="clear" w:color="auto" w:fill="FFFFFF"/>
        </w:rPr>
        <w:t>A v</w:t>
      </w:r>
      <w:r w:rsidRPr="004237A9">
        <w:rPr>
          <w:rFonts w:ascii="Arial" w:hAnsi="Arial" w:cs="Arial"/>
          <w:color w:val="222222"/>
          <w:sz w:val="20"/>
          <w:szCs w:val="20"/>
          <w:highlight w:val="yellow"/>
          <w:shd w:val="clear" w:color="auto" w:fill="FFFFFF"/>
        </w:rPr>
        <w:t>ariety of chemical constituents are extracted from plants, which are valuable resources for the pharmaceutical, cosmetics and food industries. Alkaloids such as morphine, quinine and nicotine, terpenes found in essential oils of plants such as lavender, citrus and cannabis, and flavonoids abundant in fruits such as berries (anthocyanins), citrus fruits and vegetables such as onions (quercetin) serve a variety of purposes. The ethnomedicinal use of plants should be documented in a standardi</w:t>
      </w:r>
      <w:r w:rsidR="003A079D">
        <w:rPr>
          <w:rFonts w:ascii="Arial" w:hAnsi="Arial" w:cs="Arial"/>
          <w:color w:val="222222"/>
          <w:sz w:val="20"/>
          <w:szCs w:val="20"/>
          <w:highlight w:val="yellow"/>
          <w:shd w:val="clear" w:color="auto" w:fill="FFFFFF"/>
        </w:rPr>
        <w:t>s</w:t>
      </w:r>
      <w:r w:rsidRPr="004237A9">
        <w:rPr>
          <w:rFonts w:ascii="Arial" w:hAnsi="Arial" w:cs="Arial"/>
          <w:color w:val="222222"/>
          <w:sz w:val="20"/>
          <w:szCs w:val="20"/>
          <w:highlight w:val="yellow"/>
          <w:shd w:val="clear" w:color="auto" w:fill="FFFFFF"/>
        </w:rPr>
        <w:t>ed format. Standardi</w:t>
      </w:r>
      <w:r w:rsidR="003A079D">
        <w:rPr>
          <w:rFonts w:ascii="Arial" w:hAnsi="Arial" w:cs="Arial"/>
          <w:color w:val="222222"/>
          <w:sz w:val="20"/>
          <w:szCs w:val="20"/>
          <w:highlight w:val="yellow"/>
          <w:shd w:val="clear" w:color="auto" w:fill="FFFFFF"/>
        </w:rPr>
        <w:t>s</w:t>
      </w:r>
      <w:r w:rsidRPr="004237A9">
        <w:rPr>
          <w:rFonts w:ascii="Arial" w:hAnsi="Arial" w:cs="Arial"/>
          <w:color w:val="222222"/>
          <w:sz w:val="20"/>
          <w:szCs w:val="20"/>
          <w:highlight w:val="yellow"/>
          <w:shd w:val="clear" w:color="auto" w:fill="FFFFFF"/>
        </w:rPr>
        <w:t>ed documentation ensures consistency and facilitates the comparison and analysis of traditional knowledge in different cultures and regions. This approach records detailed information about the plant species, parts used, preparation methods, dosage, therapeutic use and associated cultural practices or beliefs. Such standardi</w:t>
      </w:r>
      <w:r w:rsidR="003A079D">
        <w:rPr>
          <w:rFonts w:ascii="Arial" w:hAnsi="Arial" w:cs="Arial"/>
          <w:color w:val="222222"/>
          <w:sz w:val="20"/>
          <w:szCs w:val="20"/>
          <w:highlight w:val="yellow"/>
          <w:shd w:val="clear" w:color="auto" w:fill="FFFFFF"/>
        </w:rPr>
        <w:t>s</w:t>
      </w:r>
      <w:r w:rsidRPr="004237A9">
        <w:rPr>
          <w:rFonts w:ascii="Arial" w:hAnsi="Arial" w:cs="Arial"/>
          <w:color w:val="222222"/>
          <w:sz w:val="20"/>
          <w:szCs w:val="20"/>
          <w:highlight w:val="yellow"/>
          <w:shd w:val="clear" w:color="auto" w:fill="FFFFFF"/>
        </w:rPr>
        <w:t>ed documentation not only preserves valuable traditional knowledge but also makes it more accessible for scientific research, nature conservation and the sustainable use of plant resources. Understanding the properties of raw materials is important to preserve a national heritage</w:t>
      </w:r>
      <w:r>
        <w:rPr>
          <w:rFonts w:ascii="Arial" w:hAnsi="Arial" w:cs="Arial"/>
          <w:color w:val="222222"/>
          <w:sz w:val="20"/>
          <w:szCs w:val="20"/>
          <w:highlight w:val="yellow"/>
          <w:shd w:val="clear" w:color="auto" w:fill="FFFFFF"/>
        </w:rPr>
        <w:t xml:space="preserve"> (</w:t>
      </w:r>
      <w:proofErr w:type="spellStart"/>
      <w:r w:rsidRPr="00D1065B">
        <w:rPr>
          <w:rFonts w:ascii="inherit" w:eastAsia="Times New Roman" w:hAnsi="inherit" w:cs="Helvetica"/>
          <w:color w:val="222222"/>
          <w:kern w:val="0"/>
          <w:sz w:val="18"/>
          <w:szCs w:val="18"/>
          <w:highlight w:val="yellow"/>
          <w:lang w:val="en-US"/>
          <w14:ligatures w14:val="none"/>
        </w:rPr>
        <w:t>Jabeen</w:t>
      </w:r>
      <w:proofErr w:type="spellEnd"/>
      <w:r>
        <w:rPr>
          <w:rFonts w:ascii="inherit" w:eastAsia="Times New Roman" w:hAnsi="inherit" w:cs="Helvetica"/>
          <w:color w:val="222222"/>
          <w:kern w:val="0"/>
          <w:sz w:val="18"/>
          <w:szCs w:val="18"/>
          <w:highlight w:val="yellow"/>
          <w:lang w:val="en-US"/>
          <w14:ligatures w14:val="none"/>
        </w:rPr>
        <w:t xml:space="preserve"> et al., 2024</w:t>
      </w:r>
      <w:r w:rsidR="00FA0B4A">
        <w:rPr>
          <w:rFonts w:ascii="inherit" w:eastAsia="Times New Roman" w:hAnsi="inherit" w:cs="Helvetica"/>
          <w:color w:val="222222"/>
          <w:kern w:val="0"/>
          <w:sz w:val="18"/>
          <w:szCs w:val="18"/>
          <w:highlight w:val="yellow"/>
          <w:lang w:val="en-US"/>
          <w14:ligatures w14:val="none"/>
        </w:rPr>
        <w:t xml:space="preserve">; </w:t>
      </w:r>
      <w:proofErr w:type="spellStart"/>
      <w:r w:rsidR="00FA0B4A" w:rsidRPr="00D1065B">
        <w:rPr>
          <w:rFonts w:ascii="Arial" w:hAnsi="Arial" w:cs="Arial"/>
          <w:color w:val="222222"/>
          <w:sz w:val="20"/>
          <w:szCs w:val="20"/>
          <w:highlight w:val="yellow"/>
          <w:shd w:val="clear" w:color="auto" w:fill="FFFFFF"/>
        </w:rPr>
        <w:t>Ogu</w:t>
      </w:r>
      <w:proofErr w:type="spellEnd"/>
      <w:r w:rsidR="00FA0B4A">
        <w:rPr>
          <w:rFonts w:ascii="Arial" w:hAnsi="Arial" w:cs="Arial"/>
          <w:color w:val="222222"/>
          <w:sz w:val="20"/>
          <w:szCs w:val="20"/>
          <w:highlight w:val="yellow"/>
          <w:shd w:val="clear" w:color="auto" w:fill="FFFFFF"/>
        </w:rPr>
        <w:t xml:space="preserve"> et al., 2024</w:t>
      </w:r>
      <w:r>
        <w:rPr>
          <w:rFonts w:ascii="Arial" w:hAnsi="Arial" w:cs="Arial"/>
          <w:color w:val="222222"/>
          <w:sz w:val="20"/>
          <w:szCs w:val="20"/>
          <w:highlight w:val="yellow"/>
          <w:shd w:val="clear" w:color="auto" w:fill="FFFFFF"/>
        </w:rPr>
        <w:t>)</w:t>
      </w:r>
      <w:r w:rsidRPr="004237A9">
        <w:rPr>
          <w:rFonts w:ascii="Arial" w:hAnsi="Arial" w:cs="Arial"/>
          <w:color w:val="222222"/>
          <w:sz w:val="20"/>
          <w:szCs w:val="20"/>
          <w:highlight w:val="yellow"/>
          <w:shd w:val="clear" w:color="auto" w:fill="FFFFFF"/>
        </w:rPr>
        <w:t>.</w:t>
      </w:r>
      <w:r w:rsidRPr="00451F19">
        <w:rPr>
          <w:rFonts w:ascii="Times New Roman" w:eastAsia="Times New Roman" w:hAnsi="Times New Roman" w:cs="Times New Roman"/>
          <w:kern w:val="0"/>
          <w:sz w:val="24"/>
          <w:szCs w:val="24"/>
          <w:lang w:eastAsia="en-IN"/>
          <w14:ligatures w14:val="none"/>
        </w:rPr>
        <w:t xml:space="preserve"> </w:t>
      </w:r>
      <w:r w:rsidR="00451F19" w:rsidRPr="00451F19">
        <w:rPr>
          <w:rFonts w:ascii="Times New Roman" w:eastAsia="Times New Roman" w:hAnsi="Times New Roman" w:cs="Times New Roman"/>
          <w:kern w:val="0"/>
          <w:sz w:val="24"/>
          <w:szCs w:val="24"/>
          <w:lang w:eastAsia="en-IN"/>
          <w14:ligatures w14:val="none"/>
        </w:rPr>
        <w:t xml:space="preserve">India is one of the world’s most significant reservoirs of ethnomedicinal knowledge, supported by ecological heterogeneity that ranges from the Himalayan temperate belt to arid deserts, humid tropics, and coastal </w:t>
      </w:r>
      <w:r w:rsidR="00451F19" w:rsidRPr="00451F19">
        <w:rPr>
          <w:rFonts w:ascii="Times New Roman" w:eastAsia="Times New Roman" w:hAnsi="Times New Roman" w:cs="Times New Roman"/>
          <w:kern w:val="0"/>
          <w:sz w:val="24"/>
          <w:szCs w:val="24"/>
          <w:lang w:eastAsia="en-IN"/>
          <w14:ligatures w14:val="none"/>
        </w:rPr>
        <w:lastRenderedPageBreak/>
        <w:t xml:space="preserve">plains. This ecological breadth enables the use of thousands of plant species across diverse communities for </w:t>
      </w:r>
      <w:r w:rsidR="00717E34">
        <w:rPr>
          <w:rFonts w:ascii="Times New Roman" w:eastAsia="Times New Roman" w:hAnsi="Times New Roman" w:cs="Times New Roman"/>
          <w:kern w:val="0"/>
          <w:sz w:val="24"/>
          <w:szCs w:val="24"/>
          <w:lang w:eastAsia="en-IN"/>
          <w14:ligatures w14:val="none"/>
        </w:rPr>
        <w:t xml:space="preserve">the </w:t>
      </w:r>
      <w:r w:rsidR="00451F19" w:rsidRPr="00451F19">
        <w:rPr>
          <w:rFonts w:ascii="Times New Roman" w:eastAsia="Times New Roman" w:hAnsi="Times New Roman" w:cs="Times New Roman"/>
          <w:kern w:val="0"/>
          <w:sz w:val="24"/>
          <w:szCs w:val="24"/>
          <w:lang w:eastAsia="en-IN"/>
          <w14:ligatures w14:val="none"/>
        </w:rPr>
        <w:t>prevention and treatment of illness, with remedies often tailored to local availability, cultural preference, and perceived efficacy. Ethnomedicinal plant use in India has historically relied on wild collection; yet growing commercialization, habitat change, and market consolidation have intensified harvesting pressure on many taxa, prompting conservation and cultivation initiatives. Recent documentation from different Indian regions continues to reveal both high species richness and deep therapeutic pluralism, while also indicating threats associated with overharvesting, knowledge erosion, and shifting land-use patterns (</w:t>
      </w:r>
      <w:proofErr w:type="spellStart"/>
      <w:r w:rsidR="00065726">
        <w:rPr>
          <w:rFonts w:ascii="Times New Roman" w:eastAsia="Times New Roman" w:hAnsi="Times New Roman" w:cs="Times New Roman"/>
          <w:kern w:val="0"/>
          <w:sz w:val="24"/>
          <w:szCs w:val="24"/>
          <w:lang w:eastAsia="en-IN"/>
          <w14:ligatures w14:val="none"/>
        </w:rPr>
        <w:t>Ralte</w:t>
      </w:r>
      <w:proofErr w:type="spellEnd"/>
      <w:r w:rsidR="00065726">
        <w:rPr>
          <w:rFonts w:ascii="Times New Roman" w:eastAsia="Times New Roman" w:hAnsi="Times New Roman" w:cs="Times New Roman"/>
          <w:kern w:val="0"/>
          <w:sz w:val="24"/>
          <w:szCs w:val="24"/>
          <w:lang w:eastAsia="en-IN"/>
          <w14:ligatures w14:val="none"/>
        </w:rPr>
        <w:t xml:space="preserve"> and Singh</w:t>
      </w:r>
      <w:r w:rsidR="00451F19" w:rsidRPr="00451F19">
        <w:rPr>
          <w:rFonts w:ascii="Times New Roman" w:eastAsia="Times New Roman" w:hAnsi="Times New Roman" w:cs="Times New Roman"/>
          <w:kern w:val="0"/>
          <w:sz w:val="24"/>
          <w:szCs w:val="24"/>
          <w:lang w:eastAsia="en-IN"/>
          <w14:ligatures w14:val="none"/>
        </w:rPr>
        <w:t xml:space="preserve">, 2024; </w:t>
      </w:r>
      <w:proofErr w:type="spellStart"/>
      <w:r w:rsidR="00065726">
        <w:rPr>
          <w:rFonts w:ascii="Times New Roman" w:eastAsia="Times New Roman" w:hAnsi="Times New Roman" w:cs="Times New Roman"/>
          <w:kern w:val="0"/>
          <w:sz w:val="24"/>
          <w:szCs w:val="24"/>
          <w:lang w:eastAsia="en-IN"/>
          <w14:ligatures w14:val="none"/>
        </w:rPr>
        <w:t>Ralte</w:t>
      </w:r>
      <w:proofErr w:type="spellEnd"/>
      <w:r w:rsidR="00065726">
        <w:rPr>
          <w:rFonts w:ascii="Times New Roman" w:eastAsia="Times New Roman" w:hAnsi="Times New Roman" w:cs="Times New Roman"/>
          <w:kern w:val="0"/>
          <w:sz w:val="24"/>
          <w:szCs w:val="24"/>
          <w:lang w:eastAsia="en-IN"/>
          <w14:ligatures w14:val="none"/>
        </w:rPr>
        <w:t xml:space="preserve"> </w:t>
      </w:r>
      <w:r w:rsidR="00451F19" w:rsidRPr="00451F19">
        <w:rPr>
          <w:rFonts w:ascii="Times New Roman" w:eastAsia="Times New Roman" w:hAnsi="Times New Roman" w:cs="Times New Roman"/>
          <w:kern w:val="0"/>
          <w:sz w:val="24"/>
          <w:szCs w:val="24"/>
          <w:lang w:eastAsia="en-IN"/>
          <w14:ligatures w14:val="none"/>
        </w:rPr>
        <w:t xml:space="preserve">et al., 2023). </w:t>
      </w:r>
      <w:r w:rsidR="004E036B">
        <w:rPr>
          <w:rFonts w:ascii="Times New Roman" w:eastAsia="Times New Roman" w:hAnsi="Times New Roman" w:cs="Times New Roman"/>
          <w:kern w:val="0"/>
          <w:sz w:val="24"/>
          <w:szCs w:val="24"/>
          <w:lang w:eastAsia="en-IN"/>
          <w14:ligatures w14:val="none"/>
        </w:rPr>
        <w:t xml:space="preserve"> </w:t>
      </w:r>
      <w:r w:rsidR="004E036B" w:rsidRPr="004237A9">
        <w:rPr>
          <w:color w:val="222222"/>
          <w:sz w:val="24"/>
          <w:szCs w:val="27"/>
          <w:highlight w:val="yellow"/>
          <w:shd w:val="clear" w:color="auto" w:fill="FFFFFF"/>
        </w:rPr>
        <w:t xml:space="preserve">The application of medicinal plants and herbs for therapeutic purposes is a global practice, and almost every country has benefited from their useful therapeutic and medicinal elements. Herbal medicines </w:t>
      </w:r>
      <w:r w:rsidR="003A079D">
        <w:rPr>
          <w:color w:val="222222"/>
          <w:sz w:val="24"/>
          <w:szCs w:val="27"/>
          <w:highlight w:val="yellow"/>
          <w:shd w:val="clear" w:color="auto" w:fill="FFFFFF"/>
        </w:rPr>
        <w:t>have played</w:t>
      </w:r>
      <w:r w:rsidR="004E036B" w:rsidRPr="004237A9">
        <w:rPr>
          <w:color w:val="222222"/>
          <w:sz w:val="24"/>
          <w:szCs w:val="27"/>
          <w:highlight w:val="yellow"/>
          <w:shd w:val="clear" w:color="auto" w:fill="FFFFFF"/>
        </w:rPr>
        <w:t xml:space="preserve"> a distinctive role from the primitive period until today in healthcare systems. The concepts of ethnobotanical medicines are thought to have originated from Greece and </w:t>
      </w:r>
      <w:r w:rsidR="003A079D">
        <w:rPr>
          <w:color w:val="222222"/>
          <w:sz w:val="24"/>
          <w:szCs w:val="27"/>
          <w:highlight w:val="yellow"/>
          <w:shd w:val="clear" w:color="auto" w:fill="FFFFFF"/>
        </w:rPr>
        <w:t xml:space="preserve">were </w:t>
      </w:r>
      <w:r w:rsidR="004E036B" w:rsidRPr="004237A9">
        <w:rPr>
          <w:color w:val="222222"/>
          <w:sz w:val="24"/>
          <w:szCs w:val="27"/>
          <w:highlight w:val="yellow"/>
          <w:shd w:val="clear" w:color="auto" w:fill="FFFFFF"/>
        </w:rPr>
        <w:t>adopted by Arabs, thereafter learned and spread by Indians and Europeans</w:t>
      </w:r>
      <w:r w:rsidR="004E036B">
        <w:rPr>
          <w:color w:val="222222"/>
          <w:sz w:val="24"/>
          <w:szCs w:val="27"/>
          <w:highlight w:val="yellow"/>
          <w:shd w:val="clear" w:color="auto" w:fill="FFFFFF"/>
        </w:rPr>
        <w:t xml:space="preserve"> (</w:t>
      </w:r>
      <w:r w:rsidR="004E036B" w:rsidRPr="00D1065B">
        <w:rPr>
          <w:rFonts w:ascii="Helvetica" w:hAnsi="Helvetica" w:cs="Helvetica"/>
          <w:color w:val="222222"/>
          <w:highlight w:val="yellow"/>
        </w:rPr>
        <w:t>Siddique</w:t>
      </w:r>
      <w:r w:rsidR="004E036B">
        <w:rPr>
          <w:rFonts w:ascii="Helvetica" w:hAnsi="Helvetica" w:cs="Helvetica"/>
          <w:color w:val="222222"/>
          <w:highlight w:val="yellow"/>
        </w:rPr>
        <w:t xml:space="preserve"> et al., 2021</w:t>
      </w:r>
      <w:r w:rsidR="004E036B">
        <w:rPr>
          <w:color w:val="222222"/>
          <w:sz w:val="24"/>
          <w:szCs w:val="27"/>
          <w:highlight w:val="yellow"/>
          <w:shd w:val="clear" w:color="auto" w:fill="FFFFFF"/>
        </w:rPr>
        <w:t>)</w:t>
      </w:r>
      <w:r w:rsidR="004E036B" w:rsidRPr="004237A9">
        <w:rPr>
          <w:color w:val="222222"/>
          <w:sz w:val="24"/>
          <w:szCs w:val="27"/>
          <w:highlight w:val="yellow"/>
          <w:shd w:val="clear" w:color="auto" w:fill="FFFFFF"/>
        </w:rPr>
        <w:t>.</w:t>
      </w:r>
    </w:p>
    <w:p w14:paraId="49E86FC8" w14:textId="1F0F8203"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The scientific and policy landscape around ethnomedicinal plants has also changed. Over the last two decades, demand for botanicals has expanded in nutraceutical, cosmeceutical, and integrative healthcare markets, encouraging intensified cultivation and greater use of </w:t>
      </w:r>
      <w:r w:rsidR="003A079D" w:rsidRPr="004237A9">
        <w:rPr>
          <w:rFonts w:ascii="Times New Roman" w:eastAsia="Times New Roman" w:hAnsi="Times New Roman" w:cs="Times New Roman"/>
          <w:kern w:val="0"/>
          <w:sz w:val="24"/>
          <w:szCs w:val="24"/>
          <w:highlight w:val="yellow"/>
          <w:lang w:eastAsia="en-IN"/>
          <w14:ligatures w14:val="none"/>
        </w:rPr>
        <w:t xml:space="preserve">standardised </w:t>
      </w:r>
      <w:r w:rsidRPr="004237A9">
        <w:rPr>
          <w:rFonts w:ascii="Times New Roman" w:eastAsia="Times New Roman" w:hAnsi="Times New Roman" w:cs="Times New Roman"/>
          <w:kern w:val="0"/>
          <w:sz w:val="24"/>
          <w:szCs w:val="24"/>
          <w:highlight w:val="yellow"/>
          <w:lang w:eastAsia="en-IN"/>
          <w14:ligatures w14:val="none"/>
        </w:rPr>
        <w:t xml:space="preserve">extracts. While this shift offers an opportunity to </w:t>
      </w:r>
      <w:r w:rsidR="003A079D" w:rsidRPr="004237A9">
        <w:rPr>
          <w:rFonts w:ascii="Times New Roman" w:eastAsia="Times New Roman" w:hAnsi="Times New Roman" w:cs="Times New Roman"/>
          <w:kern w:val="0"/>
          <w:sz w:val="24"/>
          <w:szCs w:val="24"/>
          <w:highlight w:val="yellow"/>
          <w:lang w:eastAsia="en-IN"/>
          <w14:ligatures w14:val="none"/>
        </w:rPr>
        <w:t>stabilise</w:t>
      </w:r>
      <w:r w:rsidR="003A079D" w:rsidRPr="00451F19">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supply and improve livelihoods, it also introduces new risks: quality inconsistency across lots, adulteration and substitution in complex supply chains, contamination with heavy metals, and variability in bioactive constituents driven by genotype–environment interactions. Studies on heavy metals in traded herbal raw materials and finished products underscore that safety risks can be systemic when sourcing, processing, and quality oversight are weak, and that risk mitigation must begin upstream at cultivation sites and procurement hubs rather than only at final product testing (Bisht et al., 2022; Deswal et al., 2022). </w:t>
      </w:r>
    </w:p>
    <w:p w14:paraId="75152B43" w14:textId="7707ACE6"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A major scientific challenge is that therapeutic claims for ethnomedicinal plants are frequently extrapolated from traditional use, in vitro bioactivity, or animal models, whereas robust clinical evidence exists for only a subset of preparations and indications. Even when clinical data </w:t>
      </w:r>
      <w:r w:rsidRPr="004237A9">
        <w:rPr>
          <w:rFonts w:ascii="Times New Roman" w:eastAsia="Times New Roman" w:hAnsi="Times New Roman" w:cs="Times New Roman"/>
          <w:kern w:val="0"/>
          <w:sz w:val="24"/>
          <w:szCs w:val="24"/>
          <w:highlight w:val="yellow"/>
          <w:lang w:eastAsia="en-IN"/>
          <w14:ligatures w14:val="none"/>
        </w:rPr>
        <w:t xml:space="preserve">are available, differences in extraction method, dose, marker </w:t>
      </w:r>
      <w:r w:rsidR="003A079D" w:rsidRPr="004237A9">
        <w:rPr>
          <w:rFonts w:ascii="Times New Roman" w:eastAsia="Times New Roman" w:hAnsi="Times New Roman" w:cs="Times New Roman"/>
          <w:kern w:val="0"/>
          <w:sz w:val="24"/>
          <w:szCs w:val="24"/>
          <w:highlight w:val="yellow"/>
          <w:lang w:eastAsia="en-IN"/>
          <w14:ligatures w14:val="none"/>
        </w:rPr>
        <w:t>standardisation</w:t>
      </w:r>
      <w:r w:rsidRPr="00451F19">
        <w:rPr>
          <w:rFonts w:ascii="Times New Roman" w:eastAsia="Times New Roman" w:hAnsi="Times New Roman" w:cs="Times New Roman"/>
          <w:kern w:val="0"/>
          <w:sz w:val="24"/>
          <w:szCs w:val="24"/>
          <w:lang w:eastAsia="en-IN"/>
          <w14:ligatures w14:val="none"/>
        </w:rPr>
        <w:t xml:space="preserve">, and trial design complicate synthesis and </w:t>
      </w:r>
      <w:r w:rsidR="003A079D" w:rsidRPr="004237A9">
        <w:rPr>
          <w:rFonts w:ascii="Times New Roman" w:eastAsia="Times New Roman" w:hAnsi="Times New Roman" w:cs="Times New Roman"/>
          <w:kern w:val="0"/>
          <w:sz w:val="24"/>
          <w:szCs w:val="24"/>
          <w:highlight w:val="yellow"/>
          <w:lang w:eastAsia="en-IN"/>
          <w14:ligatures w14:val="none"/>
        </w:rPr>
        <w:t>generalisation</w:t>
      </w:r>
      <w:r w:rsidRPr="004237A9">
        <w:rPr>
          <w:rFonts w:ascii="Times New Roman" w:eastAsia="Times New Roman" w:hAnsi="Times New Roman" w:cs="Times New Roman"/>
          <w:kern w:val="0"/>
          <w:sz w:val="24"/>
          <w:szCs w:val="24"/>
          <w:highlight w:val="yellow"/>
          <w:lang w:eastAsia="en-IN"/>
          <w14:ligatures w14:val="none"/>
        </w:rPr>
        <w:t>.</w:t>
      </w:r>
      <w:r w:rsidRPr="00451F19">
        <w:rPr>
          <w:rFonts w:ascii="Times New Roman" w:eastAsia="Times New Roman" w:hAnsi="Times New Roman" w:cs="Times New Roman"/>
          <w:kern w:val="0"/>
          <w:sz w:val="24"/>
          <w:szCs w:val="24"/>
          <w:lang w:eastAsia="en-IN"/>
          <w14:ligatures w14:val="none"/>
        </w:rPr>
        <w:t xml:space="preserve"> For example, Ashwagandha (</w:t>
      </w:r>
      <w:proofErr w:type="spellStart"/>
      <w:r w:rsidRPr="00F21C0C">
        <w:rPr>
          <w:rFonts w:ascii="Times New Roman" w:eastAsia="Times New Roman" w:hAnsi="Times New Roman" w:cs="Times New Roman"/>
          <w:i/>
          <w:kern w:val="0"/>
          <w:sz w:val="24"/>
          <w:szCs w:val="24"/>
          <w:lang w:eastAsia="en-IN"/>
          <w14:ligatures w14:val="none"/>
        </w:rPr>
        <w:t>Withania</w:t>
      </w:r>
      <w:proofErr w:type="spellEnd"/>
      <w:r w:rsidRPr="00F21C0C">
        <w:rPr>
          <w:rFonts w:ascii="Times New Roman" w:eastAsia="Times New Roman" w:hAnsi="Times New Roman" w:cs="Times New Roman"/>
          <w:i/>
          <w:kern w:val="0"/>
          <w:sz w:val="24"/>
          <w:szCs w:val="24"/>
          <w:lang w:eastAsia="en-IN"/>
          <w14:ligatures w14:val="none"/>
        </w:rPr>
        <w:t xml:space="preserve"> </w:t>
      </w:r>
      <w:proofErr w:type="spellStart"/>
      <w:r w:rsidRPr="00F21C0C">
        <w:rPr>
          <w:rFonts w:ascii="Times New Roman" w:eastAsia="Times New Roman" w:hAnsi="Times New Roman" w:cs="Times New Roman"/>
          <w:i/>
          <w:kern w:val="0"/>
          <w:sz w:val="24"/>
          <w:szCs w:val="24"/>
          <w:lang w:eastAsia="en-IN"/>
          <w14:ligatures w14:val="none"/>
        </w:rPr>
        <w:t>somnifera</w:t>
      </w:r>
      <w:proofErr w:type="spellEnd"/>
      <w:r w:rsidRPr="00451F19">
        <w:rPr>
          <w:rFonts w:ascii="Times New Roman" w:eastAsia="Times New Roman" w:hAnsi="Times New Roman" w:cs="Times New Roman"/>
          <w:kern w:val="0"/>
          <w:sz w:val="24"/>
          <w:szCs w:val="24"/>
          <w:lang w:eastAsia="en-IN"/>
          <w14:ligatures w14:val="none"/>
        </w:rPr>
        <w:t xml:space="preserve">) has a comparatively strong evidence base for stress-related outcomes, including systematic reviews/meta-analyses and </w:t>
      </w:r>
      <w:r w:rsidR="003A079D" w:rsidRPr="004237A9">
        <w:rPr>
          <w:rFonts w:ascii="Times New Roman" w:eastAsia="Times New Roman" w:hAnsi="Times New Roman" w:cs="Times New Roman"/>
          <w:kern w:val="0"/>
          <w:sz w:val="24"/>
          <w:szCs w:val="24"/>
          <w:highlight w:val="yellow"/>
          <w:lang w:eastAsia="en-IN"/>
          <w14:ligatures w14:val="none"/>
        </w:rPr>
        <w:t xml:space="preserve">randomised </w:t>
      </w:r>
      <w:r w:rsidRPr="004237A9">
        <w:rPr>
          <w:rFonts w:ascii="Times New Roman" w:eastAsia="Times New Roman" w:hAnsi="Times New Roman" w:cs="Times New Roman"/>
          <w:kern w:val="0"/>
          <w:sz w:val="24"/>
          <w:szCs w:val="24"/>
          <w:highlight w:val="yellow"/>
          <w:lang w:eastAsia="en-IN"/>
          <w14:ligatures w14:val="none"/>
        </w:rPr>
        <w:t>co</w:t>
      </w:r>
      <w:r w:rsidRPr="00451F19">
        <w:rPr>
          <w:rFonts w:ascii="Times New Roman" w:eastAsia="Times New Roman" w:hAnsi="Times New Roman" w:cs="Times New Roman"/>
          <w:kern w:val="0"/>
          <w:sz w:val="24"/>
          <w:szCs w:val="24"/>
          <w:lang w:eastAsia="en-IN"/>
          <w14:ligatures w14:val="none"/>
        </w:rPr>
        <w:t xml:space="preserve">ntrolled trials, but effect sizes and safety interpretations remain connected to the exact formulation and duration of use (Arumugam et al., 2024; Pandit et al., 2024). Similarly, turmeric-derived curcumin preparations have been evaluated across inflammatory conditions, yet clinical outcomes depend strongly on formulation and bioavailability-enhancing strategies, and evidence quality varies by indication (Zeng et al., 2021). </w:t>
      </w:r>
    </w:p>
    <w:p w14:paraId="4829A0DA" w14:textId="7C80F1BB"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India’s </w:t>
      </w:r>
      <w:r w:rsidRPr="004237A9">
        <w:rPr>
          <w:rFonts w:ascii="Times New Roman" w:eastAsia="Times New Roman" w:hAnsi="Times New Roman" w:cs="Times New Roman"/>
          <w:kern w:val="0"/>
          <w:sz w:val="24"/>
          <w:szCs w:val="24"/>
          <w:highlight w:val="yellow"/>
          <w:lang w:eastAsia="en-IN"/>
          <w14:ligatures w14:val="none"/>
        </w:rPr>
        <w:t>ethnomedicinal sector</w:t>
      </w:r>
      <w:r w:rsidR="003A079D" w:rsidRPr="004237A9">
        <w:rPr>
          <w:rFonts w:ascii="Times New Roman" w:eastAsia="Times New Roman" w:hAnsi="Times New Roman" w:cs="Times New Roman"/>
          <w:kern w:val="0"/>
          <w:sz w:val="24"/>
          <w:szCs w:val="24"/>
          <w:highlight w:val="yellow"/>
          <w:lang w:eastAsia="en-IN"/>
          <w14:ligatures w14:val="none"/>
        </w:rPr>
        <w:t>,</w:t>
      </w:r>
      <w:r w:rsidRPr="004237A9">
        <w:rPr>
          <w:rFonts w:ascii="Times New Roman" w:eastAsia="Times New Roman" w:hAnsi="Times New Roman" w:cs="Times New Roman"/>
          <w:kern w:val="0"/>
          <w:sz w:val="24"/>
          <w:szCs w:val="24"/>
          <w:highlight w:val="yellow"/>
          <w:lang w:eastAsia="en-IN"/>
          <w14:ligatures w14:val="none"/>
        </w:rPr>
        <w:t xml:space="preserve"> therefore</w:t>
      </w:r>
      <w:r w:rsidR="00717E34" w:rsidRPr="004237A9">
        <w:rPr>
          <w:rFonts w:ascii="Times New Roman" w:eastAsia="Times New Roman" w:hAnsi="Times New Roman" w:cs="Times New Roman"/>
          <w:kern w:val="0"/>
          <w:sz w:val="24"/>
          <w:szCs w:val="24"/>
          <w:highlight w:val="yellow"/>
          <w:lang w:eastAsia="en-IN"/>
          <w14:ligatures w14:val="none"/>
        </w:rPr>
        <w:t>,</w:t>
      </w:r>
      <w:r w:rsidRPr="004237A9">
        <w:rPr>
          <w:rFonts w:ascii="Times New Roman" w:eastAsia="Times New Roman" w:hAnsi="Times New Roman" w:cs="Times New Roman"/>
          <w:kern w:val="0"/>
          <w:sz w:val="24"/>
          <w:szCs w:val="24"/>
          <w:highlight w:val="yellow"/>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sits at an interface where agronomy, ecology, analytical chemistry, and clinical science meet. Cultivation practices influence phytochemical profiles and contaminant exposure; post-harvest handling can preserve or degrade target compounds; and authentication and </w:t>
      </w:r>
      <w:r w:rsidR="003A079D" w:rsidRPr="004237A9">
        <w:rPr>
          <w:rFonts w:ascii="Times New Roman" w:eastAsia="Times New Roman" w:hAnsi="Times New Roman" w:cs="Times New Roman"/>
          <w:kern w:val="0"/>
          <w:sz w:val="24"/>
          <w:szCs w:val="24"/>
          <w:highlight w:val="yellow"/>
          <w:lang w:eastAsia="en-IN"/>
          <w14:ligatures w14:val="none"/>
        </w:rPr>
        <w:t xml:space="preserve">standardisation </w:t>
      </w:r>
      <w:r w:rsidRPr="00451F19">
        <w:rPr>
          <w:rFonts w:ascii="Times New Roman" w:eastAsia="Times New Roman" w:hAnsi="Times New Roman" w:cs="Times New Roman"/>
          <w:kern w:val="0"/>
          <w:sz w:val="24"/>
          <w:szCs w:val="24"/>
          <w:lang w:eastAsia="en-IN"/>
          <w14:ligatures w14:val="none"/>
        </w:rPr>
        <w:t>determine whether a “plant name” in commerce corresponds to a reproducible therapeutic entity. This review argues that therapeutic applications must be evaluated together with cultivation and quality systems if ethnomedicinal plants are to be translated into safe and consistent interventions.</w:t>
      </w:r>
    </w:p>
    <w:p w14:paraId="000C9A40"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1.1 Ethnomedicinal plants as coupled ecological–health resources</w:t>
      </w:r>
    </w:p>
    <w:p w14:paraId="7E862E90" w14:textId="7F016E20"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lastRenderedPageBreak/>
        <w:t>Ethnomedicinal plants function simultaneously as cultural resources and ecological resources. Their availability and quality are shaped by climate, soil, and land management, while their social legitimacy is shaped by collective experience and intergenerational knowledge transfer. Documentation of ethnobotanical knowledge from Indian states and regions continues to identify multipurpose species used for gastrointestinal disorders, respiratory infections, dermatological problems, inflammatory complaints, and general “tonic” purposes, often in polyherbal combinations (</w:t>
      </w:r>
      <w:proofErr w:type="spellStart"/>
      <w:r w:rsidR="00065726" w:rsidRPr="00065726">
        <w:rPr>
          <w:rFonts w:ascii="Times New Roman" w:eastAsia="Times New Roman" w:hAnsi="Times New Roman" w:cs="Times New Roman"/>
          <w:kern w:val="0"/>
          <w:sz w:val="24"/>
          <w:szCs w:val="24"/>
          <w:lang w:eastAsia="en-IN"/>
          <w14:ligatures w14:val="none"/>
        </w:rPr>
        <w:t>Ralte</w:t>
      </w:r>
      <w:proofErr w:type="spellEnd"/>
      <w:r w:rsidR="00065726" w:rsidRPr="00065726">
        <w:rPr>
          <w:rFonts w:ascii="Times New Roman" w:eastAsia="Times New Roman" w:hAnsi="Times New Roman" w:cs="Times New Roman"/>
          <w:kern w:val="0"/>
          <w:sz w:val="24"/>
          <w:szCs w:val="24"/>
          <w:lang w:eastAsia="en-IN"/>
          <w14:ligatures w14:val="none"/>
        </w:rPr>
        <w:t xml:space="preserve"> and Singh, 2024</w:t>
      </w:r>
      <w:r w:rsidRPr="00451F19">
        <w:rPr>
          <w:rFonts w:ascii="Times New Roman" w:eastAsia="Times New Roman" w:hAnsi="Times New Roman" w:cs="Times New Roman"/>
          <w:kern w:val="0"/>
          <w:sz w:val="24"/>
          <w:szCs w:val="24"/>
          <w:lang w:eastAsia="en-IN"/>
          <w14:ligatures w14:val="none"/>
        </w:rPr>
        <w:t>; Kanika &amp; Panda, 2024;</w:t>
      </w:r>
      <w:r>
        <w:rPr>
          <w:rFonts w:ascii="Times New Roman" w:eastAsia="Times New Roman" w:hAnsi="Times New Roman" w:cs="Times New Roman"/>
          <w:kern w:val="0"/>
          <w:sz w:val="24"/>
          <w:szCs w:val="24"/>
          <w:lang w:eastAsia="en-IN"/>
          <w14:ligatures w14:val="none"/>
        </w:rPr>
        <w:t xml:space="preserve"> </w:t>
      </w:r>
      <w:proofErr w:type="spellStart"/>
      <w:r w:rsidR="00065726">
        <w:rPr>
          <w:rFonts w:ascii="Times New Roman" w:eastAsia="Times New Roman" w:hAnsi="Times New Roman" w:cs="Times New Roman"/>
          <w:kern w:val="0"/>
          <w:sz w:val="24"/>
          <w:szCs w:val="24"/>
          <w:lang w:eastAsia="en-IN"/>
          <w14:ligatures w14:val="none"/>
        </w:rPr>
        <w:t>Ralte</w:t>
      </w:r>
      <w:proofErr w:type="spellEnd"/>
      <w:r w:rsidR="00065726">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et al., 2023). These data are not only descriptive: they also provide leads for pharmacological research and inform conservation priorities when high-demand species are harvested from the wild.</w:t>
      </w:r>
    </w:p>
    <w:p w14:paraId="7CB535AF"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1.2 Why cultivation practices matter for therapeutic reproducibility</w:t>
      </w:r>
    </w:p>
    <w:p w14:paraId="4ED96D4A" w14:textId="3AEB5D04"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Cultivation is more than a supply strategy; it is a quality-determining process. Variability in active constituents can arise from genetic differences among planting materials, environmental differences among cultivation sites, and differences in agronomic inputs and harvest timing. Recent work on Ashwagandha illustrates how yield and quality attributes can be influenced by genotype and agroclimatic context, highlighting the need for cultivar selection and stability assessment when cultivation expands into new regions (</w:t>
      </w:r>
      <w:r w:rsidR="00065726" w:rsidRPr="00065726">
        <w:rPr>
          <w:rFonts w:ascii="Times New Roman" w:eastAsia="Times New Roman" w:hAnsi="Times New Roman" w:cs="Times New Roman"/>
          <w:kern w:val="0"/>
          <w:sz w:val="24"/>
          <w:szCs w:val="24"/>
          <w:lang w:eastAsia="en-IN"/>
          <w14:ligatures w14:val="none"/>
        </w:rPr>
        <w:t>Kumar</w:t>
      </w:r>
      <w:r w:rsidR="00065726" w:rsidRPr="00451F19">
        <w:rPr>
          <w:rFonts w:ascii="Times New Roman" w:eastAsia="Times New Roman" w:hAnsi="Times New Roman" w:cs="Times New Roman"/>
          <w:kern w:val="0"/>
          <w:sz w:val="24"/>
          <w:szCs w:val="24"/>
          <w:lang w:eastAsia="en-IN"/>
          <w14:ligatures w14:val="none"/>
        </w:rPr>
        <w:t xml:space="preserve"> et al., 202</w:t>
      </w:r>
      <w:r w:rsidR="00065726">
        <w:rPr>
          <w:rFonts w:ascii="Times New Roman" w:eastAsia="Times New Roman" w:hAnsi="Times New Roman" w:cs="Times New Roman"/>
          <w:kern w:val="0"/>
          <w:sz w:val="24"/>
          <w:szCs w:val="24"/>
          <w:lang w:eastAsia="en-IN"/>
          <w14:ligatures w14:val="none"/>
        </w:rPr>
        <w:t>0</w:t>
      </w:r>
      <w:r w:rsidRPr="00451F19">
        <w:rPr>
          <w:rFonts w:ascii="Times New Roman" w:eastAsia="Times New Roman" w:hAnsi="Times New Roman" w:cs="Times New Roman"/>
          <w:kern w:val="0"/>
          <w:sz w:val="24"/>
          <w:szCs w:val="24"/>
          <w:lang w:eastAsia="en-IN"/>
          <w14:ligatures w14:val="none"/>
        </w:rPr>
        <w:t>). Without such controls, clinical outcomes may not replicate because the chemical composition of preparations can drift across seasons and sourcing areas.</w:t>
      </w:r>
    </w:p>
    <w:p w14:paraId="06428D52"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1.3 Scope and objectives</w:t>
      </w:r>
    </w:p>
    <w:p w14:paraId="423449AC" w14:textId="515AFF38"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This review focuses on two interlinked dimensions of Indian ethnomedicinal plants: (</w:t>
      </w:r>
      <w:proofErr w:type="spellStart"/>
      <w:r w:rsidRPr="00451F19">
        <w:rPr>
          <w:rFonts w:ascii="Times New Roman" w:eastAsia="Times New Roman" w:hAnsi="Times New Roman" w:cs="Times New Roman"/>
          <w:kern w:val="0"/>
          <w:sz w:val="24"/>
          <w:szCs w:val="24"/>
          <w:lang w:eastAsia="en-IN"/>
          <w14:ligatures w14:val="none"/>
        </w:rPr>
        <w:t>i</w:t>
      </w:r>
      <w:proofErr w:type="spellEnd"/>
      <w:r w:rsidRPr="00451F19">
        <w:rPr>
          <w:rFonts w:ascii="Times New Roman" w:eastAsia="Times New Roman" w:hAnsi="Times New Roman" w:cs="Times New Roman"/>
          <w:kern w:val="0"/>
          <w:sz w:val="24"/>
          <w:szCs w:val="24"/>
          <w:lang w:eastAsia="en-IN"/>
          <w14:ligatures w14:val="none"/>
        </w:rPr>
        <w:t xml:space="preserve">) cultivation and value-chain practices that shape quality, safety, and sustainability, and (ii) therapeutic applications with emphasis on recent translational and clinical evidence, alongside safety considerations. The objectives are to </w:t>
      </w:r>
      <w:r w:rsidR="003A079D" w:rsidRPr="004237A9">
        <w:rPr>
          <w:rFonts w:ascii="Times New Roman" w:eastAsia="Times New Roman" w:hAnsi="Times New Roman" w:cs="Times New Roman"/>
          <w:kern w:val="0"/>
          <w:sz w:val="24"/>
          <w:szCs w:val="24"/>
          <w:highlight w:val="yellow"/>
          <w:lang w:eastAsia="en-IN"/>
          <w14:ligatures w14:val="none"/>
        </w:rPr>
        <w:t xml:space="preserve">synthesise </w:t>
      </w:r>
      <w:r w:rsidRPr="004237A9">
        <w:rPr>
          <w:rFonts w:ascii="Times New Roman" w:eastAsia="Times New Roman" w:hAnsi="Times New Roman" w:cs="Times New Roman"/>
          <w:kern w:val="0"/>
          <w:sz w:val="24"/>
          <w:szCs w:val="24"/>
          <w:highlight w:val="yellow"/>
          <w:lang w:eastAsia="en-IN"/>
          <w14:ligatures w14:val="none"/>
        </w:rPr>
        <w:t xml:space="preserve">recent </w:t>
      </w:r>
      <w:r w:rsidRPr="00451F19">
        <w:rPr>
          <w:rFonts w:ascii="Times New Roman" w:eastAsia="Times New Roman" w:hAnsi="Times New Roman" w:cs="Times New Roman"/>
          <w:kern w:val="0"/>
          <w:sz w:val="24"/>
          <w:szCs w:val="24"/>
          <w:lang w:eastAsia="en-IN"/>
          <w14:ligatures w14:val="none"/>
        </w:rPr>
        <w:t>peer-reviewed literature on cultivation determinants of phytochemical consistency</w:t>
      </w:r>
      <w:r w:rsidRPr="004237A9">
        <w:rPr>
          <w:rFonts w:ascii="Times New Roman" w:eastAsia="Times New Roman" w:hAnsi="Times New Roman" w:cs="Times New Roman"/>
          <w:kern w:val="0"/>
          <w:sz w:val="24"/>
          <w:szCs w:val="24"/>
          <w:highlight w:val="yellow"/>
          <w:lang w:eastAsia="en-IN"/>
          <w14:ligatures w14:val="none"/>
        </w:rPr>
        <w:t xml:space="preserve">, </w:t>
      </w:r>
      <w:r w:rsidR="003A079D" w:rsidRPr="00451F19">
        <w:rPr>
          <w:rFonts w:ascii="Times New Roman" w:eastAsia="Times New Roman" w:hAnsi="Times New Roman" w:cs="Times New Roman"/>
          <w:kern w:val="0"/>
          <w:sz w:val="24"/>
          <w:szCs w:val="24"/>
          <w:lang w:eastAsia="en-IN"/>
          <w14:ligatures w14:val="none"/>
        </w:rPr>
        <w:t>summari</w:t>
      </w:r>
      <w:r w:rsidR="003A079D">
        <w:rPr>
          <w:rFonts w:ascii="Times New Roman" w:eastAsia="Times New Roman" w:hAnsi="Times New Roman" w:cs="Times New Roman"/>
          <w:kern w:val="0"/>
          <w:sz w:val="24"/>
          <w:szCs w:val="24"/>
          <w:lang w:eastAsia="en-IN"/>
          <w14:ligatures w14:val="none"/>
        </w:rPr>
        <w:t>s</w:t>
      </w:r>
      <w:r w:rsidR="003A079D" w:rsidRPr="00451F19">
        <w:rPr>
          <w:rFonts w:ascii="Times New Roman" w:eastAsia="Times New Roman" w:hAnsi="Times New Roman" w:cs="Times New Roman"/>
          <w:kern w:val="0"/>
          <w:sz w:val="24"/>
          <w:szCs w:val="24"/>
          <w:lang w:eastAsia="en-IN"/>
          <w14:ligatures w14:val="none"/>
        </w:rPr>
        <w:t xml:space="preserve">e </w:t>
      </w:r>
      <w:r w:rsidRPr="00451F19">
        <w:rPr>
          <w:rFonts w:ascii="Times New Roman" w:eastAsia="Times New Roman" w:hAnsi="Times New Roman" w:cs="Times New Roman"/>
          <w:kern w:val="0"/>
          <w:sz w:val="24"/>
          <w:szCs w:val="24"/>
          <w:lang w:eastAsia="en-IN"/>
          <w14:ligatures w14:val="none"/>
        </w:rPr>
        <w:t>representative therapeutic evidence for selected high-use ethnomedicinal plants, and propose integrative pathways to strengthen reproducibility, safety, and ethical sustainability in India’s ethnomedicinal plant sector.</w:t>
      </w:r>
    </w:p>
    <w:p w14:paraId="3EDC7DF2" w14:textId="77777777" w:rsidR="00451F19" w:rsidRPr="00451F19" w:rsidRDefault="00451F19"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2. Methods for literature selection</w:t>
      </w:r>
    </w:p>
    <w:p w14:paraId="2BD88F72" w14:textId="1265C33B"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targeted literature search was conducted using Scopus, Web of Science, PubMed, and Google Scholar. Search strings combined terms related to ethnomedicine and India with cultivation and quality terms, for example: “India” AND (ethnomedicinal OR ethnobotanical OR traditional medicine) AND (cultivation OR agronomy OR post-harvest OR “good agricultural” OR quality OR authentication OR adulteration), and plant-specific searches such as (“</w:t>
      </w:r>
      <w:proofErr w:type="spellStart"/>
      <w:r w:rsidRPr="00451F19">
        <w:rPr>
          <w:rFonts w:ascii="Times New Roman" w:eastAsia="Times New Roman" w:hAnsi="Times New Roman" w:cs="Times New Roman"/>
          <w:kern w:val="0"/>
          <w:sz w:val="24"/>
          <w:szCs w:val="24"/>
          <w:lang w:eastAsia="en-IN"/>
          <w14:ligatures w14:val="none"/>
        </w:rPr>
        <w:t>Withania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somnifera</w:t>
      </w:r>
      <w:proofErr w:type="spellEnd"/>
      <w:r w:rsidRPr="00451F19">
        <w:rPr>
          <w:rFonts w:ascii="Times New Roman" w:eastAsia="Times New Roman" w:hAnsi="Times New Roman" w:cs="Times New Roman"/>
          <w:kern w:val="0"/>
          <w:sz w:val="24"/>
          <w:szCs w:val="24"/>
          <w:lang w:eastAsia="en-IN"/>
          <w14:ligatures w14:val="none"/>
        </w:rPr>
        <w:t xml:space="preserve">” OR Ashwagandha) AND (cultivation OR genotype OR standardization OR trial). The primary date </w:t>
      </w:r>
      <w:r w:rsidRPr="004237A9">
        <w:rPr>
          <w:rFonts w:ascii="Times New Roman" w:eastAsia="Times New Roman" w:hAnsi="Times New Roman" w:cs="Times New Roman"/>
          <w:kern w:val="0"/>
          <w:sz w:val="24"/>
          <w:szCs w:val="24"/>
          <w:highlight w:val="yellow"/>
          <w:lang w:eastAsia="en-IN"/>
          <w14:ligatures w14:val="none"/>
        </w:rPr>
        <w:t xml:space="preserve">range </w:t>
      </w:r>
      <w:r w:rsidR="003A079D" w:rsidRPr="004237A9">
        <w:rPr>
          <w:rFonts w:ascii="Times New Roman" w:eastAsia="Times New Roman" w:hAnsi="Times New Roman" w:cs="Times New Roman"/>
          <w:kern w:val="0"/>
          <w:sz w:val="24"/>
          <w:szCs w:val="24"/>
          <w:highlight w:val="yellow"/>
          <w:lang w:eastAsia="en-IN"/>
          <w14:ligatures w14:val="none"/>
        </w:rPr>
        <w:t xml:space="preserve">emphasised </w:t>
      </w:r>
      <w:r w:rsidRPr="004237A9">
        <w:rPr>
          <w:rFonts w:ascii="Times New Roman" w:eastAsia="Times New Roman" w:hAnsi="Times New Roman" w:cs="Times New Roman"/>
          <w:kern w:val="0"/>
          <w:sz w:val="24"/>
          <w:szCs w:val="24"/>
          <w:highlight w:val="yellow"/>
          <w:lang w:eastAsia="en-IN"/>
          <w14:ligatures w14:val="none"/>
        </w:rPr>
        <w:t>2020</w:t>
      </w:r>
      <w:r w:rsidRPr="00451F19">
        <w:rPr>
          <w:rFonts w:ascii="Times New Roman" w:eastAsia="Times New Roman" w:hAnsi="Times New Roman" w:cs="Times New Roman"/>
          <w:kern w:val="0"/>
          <w:sz w:val="24"/>
          <w:szCs w:val="24"/>
          <w:lang w:eastAsia="en-IN"/>
          <w14:ligatures w14:val="none"/>
        </w:rPr>
        <w:t xml:space="preserve">–2025, with selective inclusion of late-2018–2019 studies when </w:t>
      </w:r>
      <w:r w:rsidRPr="004237A9">
        <w:rPr>
          <w:rFonts w:ascii="Times New Roman" w:eastAsia="Times New Roman" w:hAnsi="Times New Roman" w:cs="Times New Roman"/>
          <w:kern w:val="0"/>
          <w:sz w:val="24"/>
          <w:szCs w:val="24"/>
          <w:highlight w:val="yellow"/>
          <w:lang w:eastAsia="en-IN"/>
          <w14:ligatures w14:val="none"/>
        </w:rPr>
        <w:t xml:space="preserve">directly relevant to clinical evidence or cultivation/quality frameworks. Inclusion criteria </w:t>
      </w:r>
      <w:r w:rsidR="003A079D" w:rsidRPr="004237A9">
        <w:rPr>
          <w:rFonts w:ascii="Times New Roman" w:eastAsia="Times New Roman" w:hAnsi="Times New Roman" w:cs="Times New Roman"/>
          <w:kern w:val="0"/>
          <w:sz w:val="24"/>
          <w:szCs w:val="24"/>
          <w:highlight w:val="yellow"/>
          <w:lang w:eastAsia="en-IN"/>
          <w14:ligatures w14:val="none"/>
        </w:rPr>
        <w:t xml:space="preserve">prioritised </w:t>
      </w:r>
      <w:r w:rsidRPr="004237A9">
        <w:rPr>
          <w:rFonts w:ascii="Times New Roman" w:eastAsia="Times New Roman" w:hAnsi="Times New Roman" w:cs="Times New Roman"/>
          <w:kern w:val="0"/>
          <w:sz w:val="24"/>
          <w:szCs w:val="24"/>
          <w:highlight w:val="yellow"/>
          <w:lang w:eastAsia="en-IN"/>
          <w14:ligatures w14:val="none"/>
        </w:rPr>
        <w:t xml:space="preserve">peer-reviewed </w:t>
      </w:r>
      <w:r w:rsidRPr="00451F19">
        <w:rPr>
          <w:rFonts w:ascii="Times New Roman" w:eastAsia="Times New Roman" w:hAnsi="Times New Roman" w:cs="Times New Roman"/>
          <w:kern w:val="0"/>
          <w:sz w:val="24"/>
          <w:szCs w:val="24"/>
          <w:lang w:eastAsia="en-IN"/>
          <w14:ligatures w14:val="none"/>
        </w:rPr>
        <w:t>journal articles in reputable scientific outlets that addressed cultivation determinants, quality control/authentication, safety/contamination, or therapeutic evidence (systematic reviews, meta-analyses, controlled clinical trials, or well-</w:t>
      </w:r>
      <w:r w:rsidR="003A079D" w:rsidRPr="004237A9">
        <w:rPr>
          <w:rFonts w:ascii="Times New Roman" w:eastAsia="Times New Roman" w:hAnsi="Times New Roman" w:cs="Times New Roman"/>
          <w:kern w:val="0"/>
          <w:sz w:val="24"/>
          <w:szCs w:val="24"/>
          <w:highlight w:val="yellow"/>
          <w:lang w:eastAsia="en-IN"/>
          <w14:ligatures w14:val="none"/>
        </w:rPr>
        <w:t xml:space="preserve">characterised </w:t>
      </w:r>
      <w:r w:rsidRPr="004237A9">
        <w:rPr>
          <w:rFonts w:ascii="Times New Roman" w:eastAsia="Times New Roman" w:hAnsi="Times New Roman" w:cs="Times New Roman"/>
          <w:kern w:val="0"/>
          <w:sz w:val="24"/>
          <w:szCs w:val="24"/>
          <w:highlight w:val="yellow"/>
          <w:lang w:eastAsia="en-IN"/>
          <w14:ligatures w14:val="none"/>
        </w:rPr>
        <w:t>mechanistic</w:t>
      </w:r>
      <w:r w:rsidRPr="00451F19">
        <w:rPr>
          <w:rFonts w:ascii="Times New Roman" w:eastAsia="Times New Roman" w:hAnsi="Times New Roman" w:cs="Times New Roman"/>
          <w:kern w:val="0"/>
          <w:sz w:val="24"/>
          <w:szCs w:val="24"/>
          <w:lang w:eastAsia="en-IN"/>
          <w14:ligatures w14:val="none"/>
        </w:rPr>
        <w:t xml:space="preserve"> studies). Exclusion criteria included non-peer-reviewed outlets, articles lacking clear methodological detail, and sources without persistent identifiers required for reference verification. References were </w:t>
      </w:r>
      <w:r w:rsidRPr="00451F19">
        <w:rPr>
          <w:rFonts w:ascii="Times New Roman" w:eastAsia="Times New Roman" w:hAnsi="Times New Roman" w:cs="Times New Roman"/>
          <w:kern w:val="0"/>
          <w:sz w:val="24"/>
          <w:szCs w:val="24"/>
          <w:lang w:eastAsia="en-IN"/>
          <w14:ligatures w14:val="none"/>
        </w:rPr>
        <w:lastRenderedPageBreak/>
        <w:t>further screened to ensure that each cited item included a resolvable DOI and consistent bibliographic metadata.</w:t>
      </w:r>
    </w:p>
    <w:p w14:paraId="6539D2B9" w14:textId="77777777" w:rsidR="00451F19" w:rsidRPr="00451F19" w:rsidRDefault="00451F19"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3. Cultivation practices shaping quality and sustainability in India</w:t>
      </w:r>
    </w:p>
    <w:p w14:paraId="7655FCE3" w14:textId="331FC78B"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Cultivation of ethnomedicinal plants in India spans smallholder mixed farming, dedicated contract cultivation, agroforestry systems, and plantation-style production for a few high-demand species. Although the agronomic envelope differs across taxa, several cross-cutting determinants repeatedly emerge as primary drivers of both yield and phytochemical quality: planting material authenticity, agroecological suitability, nutrient and water management, pest and disease dynamics, harvest indices, and post-harvest processing. Increasingly, these determinants are being integrated into formal quality frameworks </w:t>
      </w:r>
      <w:r w:rsidRPr="004237A9">
        <w:rPr>
          <w:rFonts w:ascii="Times New Roman" w:eastAsia="Times New Roman" w:hAnsi="Times New Roman" w:cs="Times New Roman"/>
          <w:kern w:val="0"/>
          <w:sz w:val="24"/>
          <w:szCs w:val="24"/>
          <w:highlight w:val="yellow"/>
          <w:lang w:eastAsia="en-IN"/>
          <w14:ligatures w14:val="none"/>
        </w:rPr>
        <w:t xml:space="preserve">that </w:t>
      </w:r>
      <w:r w:rsidR="003A079D" w:rsidRPr="004237A9">
        <w:rPr>
          <w:rFonts w:ascii="Times New Roman" w:eastAsia="Times New Roman" w:hAnsi="Times New Roman" w:cs="Times New Roman"/>
          <w:kern w:val="0"/>
          <w:sz w:val="24"/>
          <w:szCs w:val="24"/>
          <w:highlight w:val="yellow"/>
          <w:lang w:eastAsia="en-IN"/>
          <w14:ligatures w14:val="none"/>
        </w:rPr>
        <w:t xml:space="preserve">emphasise </w:t>
      </w:r>
      <w:r w:rsidRPr="004237A9">
        <w:rPr>
          <w:rFonts w:ascii="Times New Roman" w:eastAsia="Times New Roman" w:hAnsi="Times New Roman" w:cs="Times New Roman"/>
          <w:kern w:val="0"/>
          <w:sz w:val="24"/>
          <w:szCs w:val="24"/>
          <w:highlight w:val="yellow"/>
          <w:lang w:eastAsia="en-IN"/>
          <w14:ligatures w14:val="none"/>
        </w:rPr>
        <w:t xml:space="preserve">traceability from field to finished extract. Comparative analyses of “good agricultural and collection” guideline frameworks in herbal medicine </w:t>
      </w:r>
      <w:r w:rsidR="003A079D" w:rsidRPr="004237A9">
        <w:rPr>
          <w:rFonts w:ascii="Times New Roman" w:eastAsia="Times New Roman" w:hAnsi="Times New Roman" w:cs="Times New Roman"/>
          <w:kern w:val="0"/>
          <w:sz w:val="24"/>
          <w:szCs w:val="24"/>
          <w:highlight w:val="yellow"/>
          <w:lang w:eastAsia="en-IN"/>
          <w14:ligatures w14:val="none"/>
        </w:rPr>
        <w:t>emphasise</w:t>
      </w:r>
      <w:r w:rsidR="003A079D" w:rsidRPr="00451F19">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that quality cannot be “tested into” a product only at the end; instead, quality is built through documented upstream control points, including identity, cultivation inputs, and post-harvest handling (Zhang et al., 2021). </w:t>
      </w:r>
    </w:p>
    <w:p w14:paraId="5BD39011"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3.1 Species selection and agroecological matching</w:t>
      </w:r>
    </w:p>
    <w:p w14:paraId="5E4AC2E7" w14:textId="6536F1D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India’s medicinal plant cultivation is often promoted as a livelihood strategy, yet species selection is frequently driven by market signals rather than ecological matching. When a plant is expanded outside its typical ecological niche, growers may use higher inputs to maintain biomass yield, but such strategies do not necessarily preserve the phytochemical profile associated with traditional efficacy. In plants where a limited set of marker metabolites is linked to therapeutic rationale or </w:t>
      </w:r>
      <w:r w:rsidR="003A079D" w:rsidRPr="004237A9">
        <w:rPr>
          <w:rFonts w:ascii="Times New Roman" w:eastAsia="Times New Roman" w:hAnsi="Times New Roman" w:cs="Times New Roman"/>
          <w:kern w:val="0"/>
          <w:sz w:val="24"/>
          <w:szCs w:val="24"/>
          <w:highlight w:val="yellow"/>
          <w:lang w:eastAsia="en-IN"/>
          <w14:ligatures w14:val="none"/>
        </w:rPr>
        <w:t>standardisation</w:t>
      </w:r>
      <w:r w:rsidRPr="004237A9">
        <w:rPr>
          <w:rFonts w:ascii="Times New Roman" w:eastAsia="Times New Roman" w:hAnsi="Times New Roman" w:cs="Times New Roman"/>
          <w:kern w:val="0"/>
          <w:sz w:val="24"/>
          <w:szCs w:val="24"/>
          <w:highlight w:val="yellow"/>
          <w:lang w:eastAsia="en-IN"/>
          <w14:ligatures w14:val="none"/>
        </w:rPr>
        <w:t>, ecological</w:t>
      </w:r>
      <w:r w:rsidRPr="00451F19">
        <w:rPr>
          <w:rFonts w:ascii="Times New Roman" w:eastAsia="Times New Roman" w:hAnsi="Times New Roman" w:cs="Times New Roman"/>
          <w:kern w:val="0"/>
          <w:sz w:val="24"/>
          <w:szCs w:val="24"/>
          <w:lang w:eastAsia="en-IN"/>
          <w14:ligatures w14:val="none"/>
        </w:rPr>
        <w:t xml:space="preserve"> mismatch can alter marker ratios and reduce batch-to-batch consistency. The Ashwagandha example is instructive: evaluation of genotype–environment interactions across agroclimatic conditions suggests that cultivar choice and stability analysis are essential if both yield and quality attributes are to remain consistent across locations (</w:t>
      </w:r>
      <w:r w:rsidR="00065726" w:rsidRPr="00065726">
        <w:rPr>
          <w:rFonts w:ascii="Times New Roman" w:eastAsia="Times New Roman" w:hAnsi="Times New Roman" w:cs="Times New Roman"/>
          <w:kern w:val="0"/>
          <w:sz w:val="24"/>
          <w:szCs w:val="24"/>
          <w:lang w:eastAsia="en-IN"/>
          <w14:ligatures w14:val="none"/>
        </w:rPr>
        <w:t>Kumar</w:t>
      </w:r>
      <w:r w:rsidR="00065726" w:rsidRPr="00451F19">
        <w:rPr>
          <w:rFonts w:ascii="Times New Roman" w:eastAsia="Times New Roman" w:hAnsi="Times New Roman" w:cs="Times New Roman"/>
          <w:kern w:val="0"/>
          <w:sz w:val="24"/>
          <w:szCs w:val="24"/>
          <w:lang w:eastAsia="en-IN"/>
          <w14:ligatures w14:val="none"/>
        </w:rPr>
        <w:t xml:space="preserve"> et al., 202</w:t>
      </w:r>
      <w:r w:rsidR="00065726">
        <w:rPr>
          <w:rFonts w:ascii="Times New Roman" w:eastAsia="Times New Roman" w:hAnsi="Times New Roman" w:cs="Times New Roman"/>
          <w:kern w:val="0"/>
          <w:sz w:val="24"/>
          <w:szCs w:val="24"/>
          <w:lang w:eastAsia="en-IN"/>
          <w14:ligatures w14:val="none"/>
        </w:rPr>
        <w:t>0</w:t>
      </w:r>
      <w:r w:rsidRPr="00451F19">
        <w:rPr>
          <w:rFonts w:ascii="Times New Roman" w:eastAsia="Times New Roman" w:hAnsi="Times New Roman" w:cs="Times New Roman"/>
          <w:kern w:val="0"/>
          <w:sz w:val="24"/>
          <w:szCs w:val="24"/>
          <w:lang w:eastAsia="en-IN"/>
          <w14:ligatures w14:val="none"/>
        </w:rPr>
        <w:t xml:space="preserve">). </w:t>
      </w:r>
    </w:p>
    <w:p w14:paraId="7523F2E1"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3.2 Planting material authenticity and propagation strategies</w:t>
      </w:r>
    </w:p>
    <w:p w14:paraId="7F298F34" w14:textId="31ABD4EC"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The integrity of cultivation begins with identity. In India’s ethnomedicinal trade, substitution and adulteration may occur intentionally for economic reasons or unintentionally through misidentification, especially when dried plant parts are visually similar. DNA-based authentication is therefore increasingly used as a complementary safeguard to morphological and chemical approaches. Recent analytical work using DNA barcoding to validate Indian herbal medicines demonstrates both the feasibility and the necessity of genetic authentication in complex markets, where label claims may not always match biological identity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For cultivation programs, authentication of mother stock and seed/propagule sources helps ensure that cultivation does not inadvertently propagate incorrect species, which could compromise safety and efficacy.</w:t>
      </w:r>
    </w:p>
    <w:p w14:paraId="7867CCA0" w14:textId="07E8B6DA"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Propagation systems also determine uniformity. Seed-propagated crops may show higher genetic variability unless improved cultivars are used, while clonal propagation can enhance uniformity but may increase susceptibility to pests/diseases if genetic diversity is too narrow. Practical cultivation strategies</w:t>
      </w:r>
      <w:r w:rsidR="003A079D" w:rsidRPr="004237A9">
        <w:rPr>
          <w:rFonts w:ascii="Times New Roman" w:eastAsia="Times New Roman" w:hAnsi="Times New Roman" w:cs="Times New Roman"/>
          <w:kern w:val="0"/>
          <w:sz w:val="24"/>
          <w:szCs w:val="24"/>
          <w:highlight w:val="yellow"/>
          <w:lang w:eastAsia="en-IN"/>
          <w14:ligatures w14:val="none"/>
        </w:rPr>
        <w:t>,</w:t>
      </w:r>
      <w:r w:rsidRPr="004237A9">
        <w:rPr>
          <w:rFonts w:ascii="Times New Roman" w:eastAsia="Times New Roman" w:hAnsi="Times New Roman" w:cs="Times New Roman"/>
          <w:kern w:val="0"/>
          <w:sz w:val="24"/>
          <w:szCs w:val="24"/>
          <w:highlight w:val="yellow"/>
          <w:lang w:eastAsia="en-IN"/>
          <w14:ligatures w14:val="none"/>
        </w:rPr>
        <w:t xml:space="preserve"> therefore</w:t>
      </w:r>
      <w:r w:rsidR="00717E34" w:rsidRPr="004237A9">
        <w:rPr>
          <w:rFonts w:ascii="Times New Roman" w:eastAsia="Times New Roman" w:hAnsi="Times New Roman" w:cs="Times New Roman"/>
          <w:kern w:val="0"/>
          <w:sz w:val="24"/>
          <w:szCs w:val="24"/>
          <w:highlight w:val="yellow"/>
          <w:lang w:eastAsia="en-IN"/>
          <w14:ligatures w14:val="none"/>
        </w:rPr>
        <w:t>,</w:t>
      </w:r>
      <w:r w:rsidRPr="004237A9">
        <w:rPr>
          <w:rFonts w:ascii="Times New Roman" w:eastAsia="Times New Roman" w:hAnsi="Times New Roman" w:cs="Times New Roman"/>
          <w:kern w:val="0"/>
          <w:sz w:val="24"/>
          <w:szCs w:val="24"/>
          <w:highlight w:val="yellow"/>
          <w:lang w:eastAsia="en-IN"/>
          <w14:ligatures w14:val="none"/>
        </w:rPr>
        <w:t xml:space="preserve"> involve balancing uniformity for </w:t>
      </w:r>
      <w:r w:rsidR="003A079D" w:rsidRPr="004237A9">
        <w:rPr>
          <w:rFonts w:ascii="Times New Roman" w:eastAsia="Times New Roman" w:hAnsi="Times New Roman" w:cs="Times New Roman"/>
          <w:kern w:val="0"/>
          <w:sz w:val="24"/>
          <w:szCs w:val="24"/>
          <w:highlight w:val="yellow"/>
          <w:lang w:eastAsia="en-IN"/>
          <w14:ligatures w14:val="none"/>
        </w:rPr>
        <w:t xml:space="preserve">standardisation </w:t>
      </w:r>
      <w:r w:rsidRPr="004237A9">
        <w:rPr>
          <w:rFonts w:ascii="Times New Roman" w:eastAsia="Times New Roman" w:hAnsi="Times New Roman" w:cs="Times New Roman"/>
          <w:kern w:val="0"/>
          <w:sz w:val="24"/>
          <w:szCs w:val="24"/>
          <w:highlight w:val="yellow"/>
          <w:lang w:eastAsia="en-IN"/>
          <w14:ligatures w14:val="none"/>
        </w:rPr>
        <w:t xml:space="preserve">with enough diversity to maintain resilience. For species under high pressure, ex situ </w:t>
      </w:r>
      <w:r w:rsidRPr="004237A9">
        <w:rPr>
          <w:rFonts w:ascii="Times New Roman" w:eastAsia="Times New Roman" w:hAnsi="Times New Roman" w:cs="Times New Roman"/>
          <w:kern w:val="0"/>
          <w:sz w:val="24"/>
          <w:szCs w:val="24"/>
          <w:highlight w:val="yellow"/>
          <w:lang w:eastAsia="en-IN"/>
          <w14:ligatures w14:val="none"/>
        </w:rPr>
        <w:lastRenderedPageBreak/>
        <w:t>conservation and structur</w:t>
      </w:r>
      <w:r w:rsidRPr="00451F19">
        <w:rPr>
          <w:rFonts w:ascii="Times New Roman" w:eastAsia="Times New Roman" w:hAnsi="Times New Roman" w:cs="Times New Roman"/>
          <w:kern w:val="0"/>
          <w:sz w:val="24"/>
          <w:szCs w:val="24"/>
          <w:lang w:eastAsia="en-IN"/>
          <w14:ligatures w14:val="none"/>
        </w:rPr>
        <w:t xml:space="preserve">ed multiplication programs can reduce wild harvesting while ensuring planting material availability; research on ex situ conservation needs for threatened medicinal plants underscores that propagation and cultivation planning must be aligned with conservation priorities, not only commercial demand (Gowthami et al., 2021). </w:t>
      </w:r>
    </w:p>
    <w:p w14:paraId="41221760"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3.3 Soil fertility, water management, and input regimes</w:t>
      </w:r>
    </w:p>
    <w:p w14:paraId="53E7A473" w14:textId="2F735703"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Nutrient management in medicinal plant cultivation differs from conventional food crops because “quality” includes chemical profiles, not only biomass. Excessive nitrogen can increase vegetative growth but dilute certain secondary metabolites; water stress can sometimes increase secondary metabolite accumulation but may reduce yield or increase variability. In India, cultivation frequently occurs under variable irrigation access, making </w:t>
      </w:r>
      <w:r w:rsidR="003A079D" w:rsidRPr="004237A9">
        <w:rPr>
          <w:rFonts w:ascii="Times New Roman" w:eastAsia="Times New Roman" w:hAnsi="Times New Roman" w:cs="Times New Roman"/>
          <w:kern w:val="0"/>
          <w:sz w:val="24"/>
          <w:szCs w:val="24"/>
          <w:highlight w:val="yellow"/>
          <w:lang w:eastAsia="en-IN"/>
          <w14:ligatures w14:val="none"/>
        </w:rPr>
        <w:t xml:space="preserve">standardised </w:t>
      </w:r>
      <w:r w:rsidRPr="004237A9">
        <w:rPr>
          <w:rFonts w:ascii="Times New Roman" w:eastAsia="Times New Roman" w:hAnsi="Times New Roman" w:cs="Times New Roman"/>
          <w:kern w:val="0"/>
          <w:sz w:val="24"/>
          <w:szCs w:val="24"/>
          <w:highlight w:val="yellow"/>
          <w:lang w:eastAsia="en-IN"/>
          <w14:ligatures w14:val="none"/>
        </w:rPr>
        <w:t xml:space="preserve">agronomic </w:t>
      </w:r>
      <w:r w:rsidRPr="00451F19">
        <w:rPr>
          <w:rFonts w:ascii="Times New Roman" w:eastAsia="Times New Roman" w:hAnsi="Times New Roman" w:cs="Times New Roman"/>
          <w:kern w:val="0"/>
          <w:sz w:val="24"/>
          <w:szCs w:val="24"/>
          <w:lang w:eastAsia="en-IN"/>
          <w14:ligatures w14:val="none"/>
        </w:rPr>
        <w:t xml:space="preserve">recommendations difficult across regions. Consequently, traceability systems increasingly seek to document input regimes and site conditions as part of quality assurance. Guideline comparisons for agricultural and collection practices </w:t>
      </w:r>
      <w:r w:rsidR="003A079D" w:rsidRPr="004237A9">
        <w:rPr>
          <w:rFonts w:ascii="Times New Roman" w:eastAsia="Times New Roman" w:hAnsi="Times New Roman" w:cs="Times New Roman"/>
          <w:kern w:val="0"/>
          <w:sz w:val="24"/>
          <w:szCs w:val="24"/>
          <w:highlight w:val="yellow"/>
          <w:lang w:eastAsia="en-IN"/>
          <w14:ligatures w14:val="none"/>
        </w:rPr>
        <w:t xml:space="preserve">emphasise </w:t>
      </w:r>
      <w:r w:rsidRPr="004237A9">
        <w:rPr>
          <w:rFonts w:ascii="Times New Roman" w:eastAsia="Times New Roman" w:hAnsi="Times New Roman" w:cs="Times New Roman"/>
          <w:kern w:val="0"/>
          <w:sz w:val="24"/>
          <w:szCs w:val="24"/>
          <w:highlight w:val="yellow"/>
          <w:lang w:eastAsia="en-IN"/>
          <w14:ligatures w14:val="none"/>
        </w:rPr>
        <w:t>that do</w:t>
      </w:r>
      <w:r w:rsidRPr="00451F19">
        <w:rPr>
          <w:rFonts w:ascii="Times New Roman" w:eastAsia="Times New Roman" w:hAnsi="Times New Roman" w:cs="Times New Roman"/>
          <w:kern w:val="0"/>
          <w:sz w:val="24"/>
          <w:szCs w:val="24"/>
          <w:lang w:eastAsia="en-IN"/>
          <w14:ligatures w14:val="none"/>
        </w:rPr>
        <w:t xml:space="preserve">cumentation of cultivation inputs, environmental conditions, and harvest parameters improves reproducibility and supports downstream claims about </w:t>
      </w:r>
      <w:r w:rsidR="003A079D" w:rsidRPr="004237A9">
        <w:rPr>
          <w:rFonts w:ascii="Times New Roman" w:eastAsia="Times New Roman" w:hAnsi="Times New Roman" w:cs="Times New Roman"/>
          <w:kern w:val="0"/>
          <w:sz w:val="24"/>
          <w:szCs w:val="24"/>
          <w:highlight w:val="yellow"/>
          <w:lang w:eastAsia="en-IN"/>
          <w14:ligatures w14:val="none"/>
        </w:rPr>
        <w:t xml:space="preserve">standardised </w:t>
      </w:r>
      <w:r w:rsidRPr="004237A9">
        <w:rPr>
          <w:rFonts w:ascii="Times New Roman" w:eastAsia="Times New Roman" w:hAnsi="Times New Roman" w:cs="Times New Roman"/>
          <w:kern w:val="0"/>
          <w:sz w:val="24"/>
          <w:szCs w:val="24"/>
          <w:highlight w:val="yellow"/>
          <w:lang w:eastAsia="en-IN"/>
          <w14:ligatures w14:val="none"/>
        </w:rPr>
        <w:t>quality (</w:t>
      </w:r>
      <w:r w:rsidRPr="00451F19">
        <w:rPr>
          <w:rFonts w:ascii="Times New Roman" w:eastAsia="Times New Roman" w:hAnsi="Times New Roman" w:cs="Times New Roman"/>
          <w:kern w:val="0"/>
          <w:sz w:val="24"/>
          <w:szCs w:val="24"/>
          <w:lang w:eastAsia="en-IN"/>
          <w14:ligatures w14:val="none"/>
        </w:rPr>
        <w:t xml:space="preserve">Zhang et al., 2021). </w:t>
      </w:r>
    </w:p>
    <w:p w14:paraId="789CC32A"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3.4 Pest and disease management with residue and safety implications</w:t>
      </w:r>
    </w:p>
    <w:p w14:paraId="30F817F9" w14:textId="76DDCEFA"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Pest and disease pressures in medicinal plant cultivation can be significant, particularly where monocultures replace diverse traditional systems. However, conventional pesticide use raises concerns about residues in medicinal raw material. While this review does not focus on residue chemistry, the broader logic is that cultivation systems should </w:t>
      </w:r>
      <w:r w:rsidR="003A079D" w:rsidRPr="004237A9">
        <w:rPr>
          <w:rFonts w:ascii="Times New Roman" w:eastAsia="Times New Roman" w:hAnsi="Times New Roman" w:cs="Times New Roman"/>
          <w:kern w:val="0"/>
          <w:sz w:val="24"/>
          <w:szCs w:val="24"/>
          <w:highlight w:val="yellow"/>
          <w:lang w:eastAsia="en-IN"/>
          <w14:ligatures w14:val="none"/>
        </w:rPr>
        <w:t>prioritise</w:t>
      </w:r>
      <w:r w:rsidR="003A079D" w:rsidRPr="00451F19">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integrated pest management and good agricultural practice documentation, because the therapeutic acceptability of botanical products often depends on perceptions of “naturalness” and safety. In practice, residue and contaminant risks are managed through combined strategies: upstream input control, downstream testing, and supplier qualification.</w:t>
      </w:r>
    </w:p>
    <w:p w14:paraId="38BC6CB8"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3.5 Harvest indices, post-harvest processing, and storage</w:t>
      </w:r>
    </w:p>
    <w:p w14:paraId="2FA3B0B4" w14:textId="365A4934"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Harvest timing and the selected plant part are among the strongest determinants of phytochemical composition. Many ethnomedicinal plants are harvested at specific phenological stages in traditional practice, often reflecting experiential knowledge about potency. In commercial cultivation, harvest is frequently </w:t>
      </w:r>
      <w:r w:rsidR="003A079D" w:rsidRPr="004237A9">
        <w:rPr>
          <w:rFonts w:ascii="Times New Roman" w:eastAsia="Times New Roman" w:hAnsi="Times New Roman" w:cs="Times New Roman"/>
          <w:kern w:val="0"/>
          <w:sz w:val="24"/>
          <w:szCs w:val="24"/>
          <w:highlight w:val="yellow"/>
          <w:lang w:eastAsia="en-IN"/>
          <w14:ligatures w14:val="none"/>
        </w:rPr>
        <w:t xml:space="preserve">optimised </w:t>
      </w:r>
      <w:r w:rsidRPr="004237A9">
        <w:rPr>
          <w:rFonts w:ascii="Times New Roman" w:eastAsia="Times New Roman" w:hAnsi="Times New Roman" w:cs="Times New Roman"/>
          <w:kern w:val="0"/>
          <w:sz w:val="24"/>
          <w:szCs w:val="24"/>
          <w:highlight w:val="yellow"/>
          <w:lang w:eastAsia="en-IN"/>
          <w14:ligatures w14:val="none"/>
        </w:rPr>
        <w:t>for</w:t>
      </w:r>
      <w:r w:rsidRPr="00451F19">
        <w:rPr>
          <w:rFonts w:ascii="Times New Roman" w:eastAsia="Times New Roman" w:hAnsi="Times New Roman" w:cs="Times New Roman"/>
          <w:kern w:val="0"/>
          <w:sz w:val="24"/>
          <w:szCs w:val="24"/>
          <w:lang w:eastAsia="en-IN"/>
          <w14:ligatures w14:val="none"/>
        </w:rPr>
        <w:t xml:space="preserve"> biomass and </w:t>
      </w:r>
      <w:proofErr w:type="spellStart"/>
      <w:r w:rsidRPr="00451F19">
        <w:rPr>
          <w:rFonts w:ascii="Times New Roman" w:eastAsia="Times New Roman" w:hAnsi="Times New Roman" w:cs="Times New Roman"/>
          <w:kern w:val="0"/>
          <w:sz w:val="24"/>
          <w:szCs w:val="24"/>
          <w:lang w:eastAsia="en-IN"/>
          <w14:ligatures w14:val="none"/>
        </w:rPr>
        <w:t>labor</w:t>
      </w:r>
      <w:proofErr w:type="spellEnd"/>
      <w:r w:rsidRPr="00451F19">
        <w:rPr>
          <w:rFonts w:ascii="Times New Roman" w:eastAsia="Times New Roman" w:hAnsi="Times New Roman" w:cs="Times New Roman"/>
          <w:kern w:val="0"/>
          <w:sz w:val="24"/>
          <w:szCs w:val="24"/>
          <w:lang w:eastAsia="en-IN"/>
          <w14:ligatures w14:val="none"/>
        </w:rPr>
        <w:t xml:space="preserve"> logistics, which may not align with metabolite maxima. Post-harvest steps—washing, slicing, drying temperature, drying duration, and storage humidity—further influence chemical stability. Improper drying can promote microbial contamination and enzymatic degradation, while high temperatures can degrade heat-sensitive constituents. These practical realities strengthen the argument that “therapeutic application” should be assessed as an end-to-end system property, not a property of a botanical name alone.</w:t>
      </w:r>
    </w:p>
    <w:p w14:paraId="35BEA569" w14:textId="4B0B5C29"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 xml:space="preserve">3.6 Quality control, chemical </w:t>
      </w:r>
      <w:r w:rsidR="003A079D" w:rsidRPr="004237A9">
        <w:rPr>
          <w:rFonts w:ascii="Times New Roman" w:eastAsia="Times New Roman" w:hAnsi="Times New Roman" w:cs="Times New Roman"/>
          <w:b/>
          <w:bCs/>
          <w:kern w:val="0"/>
          <w:sz w:val="27"/>
          <w:szCs w:val="27"/>
          <w:highlight w:val="yellow"/>
          <w:lang w:eastAsia="en-IN"/>
          <w14:ligatures w14:val="none"/>
        </w:rPr>
        <w:t>standardisation</w:t>
      </w:r>
      <w:r w:rsidRPr="00451F19">
        <w:rPr>
          <w:rFonts w:ascii="Times New Roman" w:eastAsia="Times New Roman" w:hAnsi="Times New Roman" w:cs="Times New Roman"/>
          <w:b/>
          <w:bCs/>
          <w:kern w:val="0"/>
          <w:sz w:val="27"/>
          <w:szCs w:val="27"/>
          <w:lang w:eastAsia="en-IN"/>
          <w14:ligatures w14:val="none"/>
        </w:rPr>
        <w:t>, and authentication</w:t>
      </w:r>
    </w:p>
    <w:p w14:paraId="6DDC7393" w14:textId="36BFB2C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Modern phytopharmaceutical and nutraceutical markets increasingly require analytical </w:t>
      </w:r>
      <w:r w:rsidR="003A079D" w:rsidRPr="00451F19">
        <w:rPr>
          <w:rFonts w:ascii="Times New Roman" w:eastAsia="Times New Roman" w:hAnsi="Times New Roman" w:cs="Times New Roman"/>
          <w:kern w:val="0"/>
          <w:sz w:val="24"/>
          <w:szCs w:val="24"/>
          <w:lang w:eastAsia="en-IN"/>
          <w14:ligatures w14:val="none"/>
        </w:rPr>
        <w:t>standardi</w:t>
      </w:r>
      <w:r w:rsidR="003A079D">
        <w:rPr>
          <w:rFonts w:ascii="Times New Roman" w:eastAsia="Times New Roman" w:hAnsi="Times New Roman" w:cs="Times New Roman"/>
          <w:kern w:val="0"/>
          <w:sz w:val="24"/>
          <w:szCs w:val="24"/>
          <w:lang w:eastAsia="en-IN"/>
          <w14:ligatures w14:val="none"/>
        </w:rPr>
        <w:t>s</w:t>
      </w:r>
      <w:r w:rsidR="003A079D" w:rsidRPr="00451F19">
        <w:rPr>
          <w:rFonts w:ascii="Times New Roman" w:eastAsia="Times New Roman" w:hAnsi="Times New Roman" w:cs="Times New Roman"/>
          <w:kern w:val="0"/>
          <w:sz w:val="24"/>
          <w:szCs w:val="24"/>
          <w:lang w:eastAsia="en-IN"/>
          <w14:ligatures w14:val="none"/>
        </w:rPr>
        <w:t xml:space="preserve">ation </w:t>
      </w:r>
      <w:r w:rsidRPr="00451F19">
        <w:rPr>
          <w:rFonts w:ascii="Times New Roman" w:eastAsia="Times New Roman" w:hAnsi="Times New Roman" w:cs="Times New Roman"/>
          <w:kern w:val="0"/>
          <w:sz w:val="24"/>
          <w:szCs w:val="24"/>
          <w:lang w:eastAsia="en-IN"/>
          <w14:ligatures w14:val="none"/>
        </w:rPr>
        <w:t xml:space="preserve">to ensure that each lot meets defined specifications. For several Indian ethnomedicinal plants, </w:t>
      </w:r>
      <w:r w:rsidR="003A079D" w:rsidRPr="00451F19">
        <w:rPr>
          <w:rFonts w:ascii="Times New Roman" w:eastAsia="Times New Roman" w:hAnsi="Times New Roman" w:cs="Times New Roman"/>
          <w:kern w:val="0"/>
          <w:sz w:val="24"/>
          <w:szCs w:val="24"/>
          <w:lang w:eastAsia="en-IN"/>
          <w14:ligatures w14:val="none"/>
        </w:rPr>
        <w:t>standardi</w:t>
      </w:r>
      <w:r w:rsidR="003A079D">
        <w:rPr>
          <w:rFonts w:ascii="Times New Roman" w:eastAsia="Times New Roman" w:hAnsi="Times New Roman" w:cs="Times New Roman"/>
          <w:kern w:val="0"/>
          <w:sz w:val="24"/>
          <w:szCs w:val="24"/>
          <w:lang w:eastAsia="en-IN"/>
          <w14:ligatures w14:val="none"/>
        </w:rPr>
        <w:t>s</w:t>
      </w:r>
      <w:r w:rsidR="003A079D" w:rsidRPr="00451F19">
        <w:rPr>
          <w:rFonts w:ascii="Times New Roman" w:eastAsia="Times New Roman" w:hAnsi="Times New Roman" w:cs="Times New Roman"/>
          <w:kern w:val="0"/>
          <w:sz w:val="24"/>
          <w:szCs w:val="24"/>
          <w:lang w:eastAsia="en-IN"/>
          <w14:ligatures w14:val="none"/>
        </w:rPr>
        <w:t xml:space="preserve">ation </w:t>
      </w:r>
      <w:r w:rsidRPr="00451F19">
        <w:rPr>
          <w:rFonts w:ascii="Times New Roman" w:eastAsia="Times New Roman" w:hAnsi="Times New Roman" w:cs="Times New Roman"/>
          <w:kern w:val="0"/>
          <w:sz w:val="24"/>
          <w:szCs w:val="24"/>
          <w:lang w:eastAsia="en-IN"/>
          <w14:ligatures w14:val="none"/>
        </w:rPr>
        <w:t xml:space="preserve">relies on marker compounds and chromatographic fingerprints. Method development studies for Ashwagandha markers, for instance, illustrate </w:t>
      </w:r>
      <w:r w:rsidRPr="00451F19">
        <w:rPr>
          <w:rFonts w:ascii="Times New Roman" w:eastAsia="Times New Roman" w:hAnsi="Times New Roman" w:cs="Times New Roman"/>
          <w:kern w:val="0"/>
          <w:sz w:val="24"/>
          <w:szCs w:val="24"/>
          <w:lang w:eastAsia="en-IN"/>
          <w14:ligatures w14:val="none"/>
        </w:rPr>
        <w:lastRenderedPageBreak/>
        <w:t xml:space="preserve">the role of validated analytical protocols in measuring key </w:t>
      </w:r>
      <w:proofErr w:type="spellStart"/>
      <w:r w:rsidRPr="00451F19">
        <w:rPr>
          <w:rFonts w:ascii="Times New Roman" w:eastAsia="Times New Roman" w:hAnsi="Times New Roman" w:cs="Times New Roman"/>
          <w:kern w:val="0"/>
          <w:sz w:val="24"/>
          <w:szCs w:val="24"/>
          <w:lang w:eastAsia="en-IN"/>
          <w14:ligatures w14:val="none"/>
        </w:rPr>
        <w:t>withanolide</w:t>
      </w:r>
      <w:proofErr w:type="spellEnd"/>
      <w:r w:rsidRPr="00451F19">
        <w:rPr>
          <w:rFonts w:ascii="Times New Roman" w:eastAsia="Times New Roman" w:hAnsi="Times New Roman" w:cs="Times New Roman"/>
          <w:kern w:val="0"/>
          <w:sz w:val="24"/>
          <w:szCs w:val="24"/>
          <w:lang w:eastAsia="en-IN"/>
          <w14:ligatures w14:val="none"/>
        </w:rPr>
        <w:t>-related constituents across plant parts and preparations, supporting reproducibility in extraction and dosage design (</w:t>
      </w:r>
      <w:r w:rsidR="00717E34" w:rsidRPr="00717E34">
        <w:rPr>
          <w:rFonts w:ascii="Times New Roman" w:eastAsia="Times New Roman" w:hAnsi="Times New Roman" w:cs="Times New Roman"/>
          <w:kern w:val="0"/>
          <w:sz w:val="24"/>
          <w:szCs w:val="24"/>
          <w:lang w:eastAsia="en-IN"/>
          <w14:ligatures w14:val="none"/>
        </w:rPr>
        <w:t>Ghoshal</w:t>
      </w:r>
      <w:r w:rsidR="00717E34">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et al., 2022). Yet marker-based approaches have limits: they may not capture synergistic profiles in whole extracts, and they can be gamed if adulterants mimic marker signals. DNA barcoding and metabolomic profiling are therefore increasingly used as complementary safeguards against </w:t>
      </w:r>
      <w:proofErr w:type="spellStart"/>
      <w:r w:rsidRPr="00451F19">
        <w:rPr>
          <w:rFonts w:ascii="Times New Roman" w:eastAsia="Times New Roman" w:hAnsi="Times New Roman" w:cs="Times New Roman"/>
          <w:kern w:val="0"/>
          <w:sz w:val="24"/>
          <w:szCs w:val="24"/>
          <w:lang w:eastAsia="en-IN"/>
          <w14:ligatures w14:val="none"/>
        </w:rPr>
        <w:t>mislabeling</w:t>
      </w:r>
      <w:proofErr w:type="spellEnd"/>
      <w:r w:rsidRPr="00451F19">
        <w:rPr>
          <w:rFonts w:ascii="Times New Roman" w:eastAsia="Times New Roman" w:hAnsi="Times New Roman" w:cs="Times New Roman"/>
          <w:kern w:val="0"/>
          <w:sz w:val="24"/>
          <w:szCs w:val="24"/>
          <w:lang w:eastAsia="en-IN"/>
          <w14:ligatures w14:val="none"/>
        </w:rPr>
        <w:t xml:space="preserve"> and substitution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xml:space="preserve">). </w:t>
      </w:r>
    </w:p>
    <w:p w14:paraId="3D4AC4B7"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3.7 Contamination risks: heavy metals and supply-chain realities</w:t>
      </w:r>
    </w:p>
    <w:p w14:paraId="78697320"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Heavy metal contamination has emerged as a persistent safety concern in parts of the herbal supply chain. Evidence from analyses of traded herbal raw materials and finished Ayurvedic products indicates that contamination can occur through environmental exposure (soil/water), processing, or storage, and that risk may vary by sourcing region and supply channel (Bisht et al., 2022; Deswal et al., 2022). These findings have practical implications for cultivation planning: site selection should consider baseline soil and irrigation water quality; post-harvest infrastructure should reduce dust and industrial exposure; and procurement systems should reward verified contaminant control rather than simply lowest price. From a public-health perspective, contamination undermines trust and may negate therapeutic benefits even when bioactive constituents are present.</w:t>
      </w:r>
    </w:p>
    <w:p w14:paraId="42BA6BE7" w14:textId="77777777" w:rsidR="00451F19" w:rsidRPr="00451F19" w:rsidRDefault="00451F19"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4. Therapeutic applications of Indian ethnomedicinal plants: evidence and exemplars</w:t>
      </w:r>
    </w:p>
    <w:p w14:paraId="04CA5B7C" w14:textId="733A5754"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Ethnomedicinal plants in India are used across virtually all therapeutic domains, but evidence strength is uneven. This section discusses representative applications with a focus on plants that are widely cultivated or commercialized and that have recent clinical or systematic evidence. The intent is not to rank plants, but to illustrate how therapeutic plausibility and clinical evidence interact with cultivation, </w:t>
      </w:r>
      <w:r w:rsidR="003A079D" w:rsidRPr="00451F19">
        <w:rPr>
          <w:rFonts w:ascii="Times New Roman" w:eastAsia="Times New Roman" w:hAnsi="Times New Roman" w:cs="Times New Roman"/>
          <w:kern w:val="0"/>
          <w:sz w:val="24"/>
          <w:szCs w:val="24"/>
          <w:lang w:eastAsia="en-IN"/>
          <w14:ligatures w14:val="none"/>
        </w:rPr>
        <w:t>standardi</w:t>
      </w:r>
      <w:r w:rsidR="003A079D">
        <w:rPr>
          <w:rFonts w:ascii="Times New Roman" w:eastAsia="Times New Roman" w:hAnsi="Times New Roman" w:cs="Times New Roman"/>
          <w:kern w:val="0"/>
          <w:sz w:val="24"/>
          <w:szCs w:val="24"/>
          <w:lang w:eastAsia="en-IN"/>
          <w14:ligatures w14:val="none"/>
        </w:rPr>
        <w:t>s</w:t>
      </w:r>
      <w:r w:rsidR="003A079D" w:rsidRPr="00451F19">
        <w:rPr>
          <w:rFonts w:ascii="Times New Roman" w:eastAsia="Times New Roman" w:hAnsi="Times New Roman" w:cs="Times New Roman"/>
          <w:kern w:val="0"/>
          <w:sz w:val="24"/>
          <w:szCs w:val="24"/>
          <w:lang w:eastAsia="en-IN"/>
          <w14:ligatures w14:val="none"/>
        </w:rPr>
        <w:t>ation</w:t>
      </w:r>
      <w:r w:rsidRPr="00451F19">
        <w:rPr>
          <w:rFonts w:ascii="Times New Roman" w:eastAsia="Times New Roman" w:hAnsi="Times New Roman" w:cs="Times New Roman"/>
          <w:kern w:val="0"/>
          <w:sz w:val="24"/>
          <w:szCs w:val="24"/>
          <w:lang w:eastAsia="en-IN"/>
          <w14:ligatures w14:val="none"/>
        </w:rPr>
        <w:t>, and safety.</w:t>
      </w:r>
    </w:p>
    <w:p w14:paraId="62244577"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4.1 Stress, sleep, and mental well-being: Ashwagandha and Tulsi</w:t>
      </w:r>
    </w:p>
    <w:p w14:paraId="2489C085" w14:textId="746C3D3F"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Ashwagandha (</w:t>
      </w:r>
      <w:proofErr w:type="spellStart"/>
      <w:r w:rsidRPr="00451F19">
        <w:rPr>
          <w:rFonts w:ascii="Times New Roman" w:eastAsia="Times New Roman" w:hAnsi="Times New Roman" w:cs="Times New Roman"/>
          <w:kern w:val="0"/>
          <w:sz w:val="24"/>
          <w:szCs w:val="24"/>
          <w:lang w:eastAsia="en-IN"/>
          <w14:ligatures w14:val="none"/>
        </w:rPr>
        <w:t>Withania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somnifera</w:t>
      </w:r>
      <w:proofErr w:type="spellEnd"/>
      <w:r w:rsidRPr="00451F19">
        <w:rPr>
          <w:rFonts w:ascii="Times New Roman" w:eastAsia="Times New Roman" w:hAnsi="Times New Roman" w:cs="Times New Roman"/>
          <w:kern w:val="0"/>
          <w:sz w:val="24"/>
          <w:szCs w:val="24"/>
          <w:lang w:eastAsia="en-IN"/>
          <w14:ligatures w14:val="none"/>
        </w:rPr>
        <w:t xml:space="preserve">) is among the most prominent Indian ethnomedicinal plants in contemporary integrative health, traditionally used as a </w:t>
      </w:r>
      <w:proofErr w:type="spellStart"/>
      <w:r w:rsidRPr="00451F19">
        <w:rPr>
          <w:rFonts w:ascii="Times New Roman" w:eastAsia="Times New Roman" w:hAnsi="Times New Roman" w:cs="Times New Roman"/>
          <w:kern w:val="0"/>
          <w:sz w:val="24"/>
          <w:szCs w:val="24"/>
          <w:lang w:eastAsia="en-IN"/>
          <w14:ligatures w14:val="none"/>
        </w:rPr>
        <w:t>rasayana</w:t>
      </w:r>
      <w:proofErr w:type="spellEnd"/>
      <w:r w:rsidRPr="00451F19">
        <w:rPr>
          <w:rFonts w:ascii="Times New Roman" w:eastAsia="Times New Roman" w:hAnsi="Times New Roman" w:cs="Times New Roman"/>
          <w:kern w:val="0"/>
          <w:sz w:val="24"/>
          <w:szCs w:val="24"/>
          <w:lang w:eastAsia="en-IN"/>
          <w14:ligatures w14:val="none"/>
        </w:rPr>
        <w:t xml:space="preserve"> and adaptogen. Recent systematic review and meta-analysis evidence indicates that Ashwagandha formulations can reduce perceived stress, anxiety scores, and cortisol relative to placebo, though heterogeneity across trials reflects differences in formulation, dose, and outcome measures (Arumugam et al., 2024). Controlled trial evidence further supports stress-related benefits for </w:t>
      </w:r>
      <w:r w:rsidR="003A079D" w:rsidRPr="00451F19">
        <w:rPr>
          <w:rFonts w:ascii="Times New Roman" w:eastAsia="Times New Roman" w:hAnsi="Times New Roman" w:cs="Times New Roman"/>
          <w:kern w:val="0"/>
          <w:sz w:val="24"/>
          <w:szCs w:val="24"/>
          <w:lang w:eastAsia="en-IN"/>
          <w14:ligatures w14:val="none"/>
        </w:rPr>
        <w:t>standardi</w:t>
      </w:r>
      <w:r w:rsidR="003A079D">
        <w:rPr>
          <w:rFonts w:ascii="Times New Roman" w:eastAsia="Times New Roman" w:hAnsi="Times New Roman" w:cs="Times New Roman"/>
          <w:kern w:val="0"/>
          <w:sz w:val="24"/>
          <w:szCs w:val="24"/>
          <w:lang w:eastAsia="en-IN"/>
          <w14:ligatures w14:val="none"/>
        </w:rPr>
        <w:t>s</w:t>
      </w:r>
      <w:r w:rsidR="003A079D" w:rsidRPr="00451F19">
        <w:rPr>
          <w:rFonts w:ascii="Times New Roman" w:eastAsia="Times New Roman" w:hAnsi="Times New Roman" w:cs="Times New Roman"/>
          <w:kern w:val="0"/>
          <w:sz w:val="24"/>
          <w:szCs w:val="24"/>
          <w:lang w:eastAsia="en-IN"/>
          <w14:ligatures w14:val="none"/>
        </w:rPr>
        <w:t xml:space="preserve">ed </w:t>
      </w:r>
      <w:r w:rsidRPr="00451F19">
        <w:rPr>
          <w:rFonts w:ascii="Times New Roman" w:eastAsia="Times New Roman" w:hAnsi="Times New Roman" w:cs="Times New Roman"/>
          <w:kern w:val="0"/>
          <w:sz w:val="24"/>
          <w:szCs w:val="24"/>
          <w:lang w:eastAsia="en-IN"/>
          <w14:ligatures w14:val="none"/>
        </w:rPr>
        <w:t>extracts over multi-week administration, with generally favo</w:t>
      </w:r>
      <w:r w:rsidR="003A079D">
        <w:rPr>
          <w:rFonts w:ascii="Times New Roman" w:eastAsia="Times New Roman" w:hAnsi="Times New Roman" w:cs="Times New Roman"/>
          <w:kern w:val="0"/>
          <w:sz w:val="24"/>
          <w:szCs w:val="24"/>
          <w:lang w:eastAsia="en-IN"/>
          <w14:ligatures w14:val="none"/>
        </w:rPr>
        <w:t>u</w:t>
      </w:r>
      <w:r w:rsidRPr="00451F19">
        <w:rPr>
          <w:rFonts w:ascii="Times New Roman" w:eastAsia="Times New Roman" w:hAnsi="Times New Roman" w:cs="Times New Roman"/>
          <w:kern w:val="0"/>
          <w:sz w:val="24"/>
          <w:szCs w:val="24"/>
          <w:lang w:eastAsia="en-IN"/>
          <w14:ligatures w14:val="none"/>
        </w:rPr>
        <w:t xml:space="preserve">rable short-term tolerability under monitored conditions (Pandit et al., 2024). A broader narrative review in neuropsychiatric contexts </w:t>
      </w:r>
      <w:r w:rsidR="003A079D" w:rsidRPr="00451F19">
        <w:rPr>
          <w:rFonts w:ascii="Times New Roman" w:eastAsia="Times New Roman" w:hAnsi="Times New Roman" w:cs="Times New Roman"/>
          <w:kern w:val="0"/>
          <w:sz w:val="24"/>
          <w:szCs w:val="24"/>
          <w:lang w:eastAsia="en-IN"/>
          <w14:ligatures w14:val="none"/>
        </w:rPr>
        <w:t>emphasi</w:t>
      </w:r>
      <w:r w:rsidR="003A079D">
        <w:rPr>
          <w:rFonts w:ascii="Times New Roman" w:eastAsia="Times New Roman" w:hAnsi="Times New Roman" w:cs="Times New Roman"/>
          <w:kern w:val="0"/>
          <w:sz w:val="24"/>
          <w:szCs w:val="24"/>
          <w:lang w:eastAsia="en-IN"/>
          <w14:ligatures w14:val="none"/>
        </w:rPr>
        <w:t>s</w:t>
      </w:r>
      <w:r w:rsidR="003A079D" w:rsidRPr="00451F19">
        <w:rPr>
          <w:rFonts w:ascii="Times New Roman" w:eastAsia="Times New Roman" w:hAnsi="Times New Roman" w:cs="Times New Roman"/>
          <w:kern w:val="0"/>
          <w:sz w:val="24"/>
          <w:szCs w:val="24"/>
          <w:lang w:eastAsia="en-IN"/>
          <w14:ligatures w14:val="none"/>
        </w:rPr>
        <w:t xml:space="preserve">es </w:t>
      </w:r>
      <w:r w:rsidRPr="00451F19">
        <w:rPr>
          <w:rFonts w:ascii="Times New Roman" w:eastAsia="Times New Roman" w:hAnsi="Times New Roman" w:cs="Times New Roman"/>
          <w:kern w:val="0"/>
          <w:sz w:val="24"/>
          <w:szCs w:val="24"/>
          <w:lang w:eastAsia="en-IN"/>
          <w14:ligatures w14:val="none"/>
        </w:rPr>
        <w:t xml:space="preserve">proposed mechanisms involving stress-axis modulation, neuroinflammation, and antioxidant pathways, but also underscores the need to interpret mechanistic claims in light of clinical formulation specificity (Speers et al., 2021). </w:t>
      </w:r>
    </w:p>
    <w:p w14:paraId="53AB836F" w14:textId="7083D4BB"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From a cultivation perspective, Ashwagandha highlights a key translational issue: clinical evidence is tied to standardized extracts, but cultivation expansion across agroclimatic regions can alter yield and quality, necessitating cultivar selection and stability analysis to maintain consistency (</w:t>
      </w:r>
      <w:r w:rsidR="00065726" w:rsidRPr="00065726">
        <w:rPr>
          <w:rFonts w:ascii="Times New Roman" w:eastAsia="Times New Roman" w:hAnsi="Times New Roman" w:cs="Times New Roman"/>
          <w:kern w:val="0"/>
          <w:sz w:val="24"/>
          <w:szCs w:val="24"/>
          <w:lang w:eastAsia="en-IN"/>
          <w14:ligatures w14:val="none"/>
        </w:rPr>
        <w:t>Kumar</w:t>
      </w:r>
      <w:r w:rsidRPr="00451F19">
        <w:rPr>
          <w:rFonts w:ascii="Times New Roman" w:eastAsia="Times New Roman" w:hAnsi="Times New Roman" w:cs="Times New Roman"/>
          <w:kern w:val="0"/>
          <w:sz w:val="24"/>
          <w:szCs w:val="24"/>
          <w:lang w:eastAsia="en-IN"/>
          <w14:ligatures w14:val="none"/>
        </w:rPr>
        <w:t xml:space="preserve"> et al., 202</w:t>
      </w:r>
      <w:r w:rsidR="00065726">
        <w:rPr>
          <w:rFonts w:ascii="Times New Roman" w:eastAsia="Times New Roman" w:hAnsi="Times New Roman" w:cs="Times New Roman"/>
          <w:kern w:val="0"/>
          <w:sz w:val="24"/>
          <w:szCs w:val="24"/>
          <w:lang w:eastAsia="en-IN"/>
          <w14:ligatures w14:val="none"/>
        </w:rPr>
        <w:t>0</w:t>
      </w:r>
      <w:r w:rsidRPr="00451F19">
        <w:rPr>
          <w:rFonts w:ascii="Times New Roman" w:eastAsia="Times New Roman" w:hAnsi="Times New Roman" w:cs="Times New Roman"/>
          <w:kern w:val="0"/>
          <w:sz w:val="24"/>
          <w:szCs w:val="24"/>
          <w:lang w:eastAsia="en-IN"/>
          <w14:ligatures w14:val="none"/>
        </w:rPr>
        <w:t xml:space="preserve">). Analytical method development for </w:t>
      </w:r>
      <w:proofErr w:type="spellStart"/>
      <w:r w:rsidRPr="00451F19">
        <w:rPr>
          <w:rFonts w:ascii="Times New Roman" w:eastAsia="Times New Roman" w:hAnsi="Times New Roman" w:cs="Times New Roman"/>
          <w:kern w:val="0"/>
          <w:sz w:val="24"/>
          <w:szCs w:val="24"/>
          <w:lang w:eastAsia="en-IN"/>
          <w14:ligatures w14:val="none"/>
        </w:rPr>
        <w:t>withanolide</w:t>
      </w:r>
      <w:proofErr w:type="spellEnd"/>
      <w:r w:rsidRPr="00451F19">
        <w:rPr>
          <w:rFonts w:ascii="Times New Roman" w:eastAsia="Times New Roman" w:hAnsi="Times New Roman" w:cs="Times New Roman"/>
          <w:kern w:val="0"/>
          <w:sz w:val="24"/>
          <w:szCs w:val="24"/>
          <w:lang w:eastAsia="en-IN"/>
          <w14:ligatures w14:val="none"/>
        </w:rPr>
        <w:t xml:space="preserve">-related markers supports quality assurance, but also points to complexity because different </w:t>
      </w:r>
      <w:r w:rsidRPr="00451F19">
        <w:rPr>
          <w:rFonts w:ascii="Times New Roman" w:eastAsia="Times New Roman" w:hAnsi="Times New Roman" w:cs="Times New Roman"/>
          <w:kern w:val="0"/>
          <w:sz w:val="24"/>
          <w:szCs w:val="24"/>
          <w:lang w:eastAsia="en-IN"/>
          <w14:ligatures w14:val="none"/>
        </w:rPr>
        <w:lastRenderedPageBreak/>
        <w:t>plant parts (root versus leaf) may differ substantially in constituent profiles (</w:t>
      </w:r>
      <w:r w:rsidR="00717E34" w:rsidRPr="00717E34">
        <w:rPr>
          <w:rFonts w:ascii="Times New Roman" w:eastAsia="Times New Roman" w:hAnsi="Times New Roman" w:cs="Times New Roman"/>
          <w:kern w:val="0"/>
          <w:sz w:val="24"/>
          <w:szCs w:val="24"/>
          <w:lang w:eastAsia="en-IN"/>
          <w14:ligatures w14:val="none"/>
        </w:rPr>
        <w:t>Ghoshal</w:t>
      </w:r>
      <w:r w:rsidRPr="00451F19">
        <w:rPr>
          <w:rFonts w:ascii="Times New Roman" w:eastAsia="Times New Roman" w:hAnsi="Times New Roman" w:cs="Times New Roman"/>
          <w:kern w:val="0"/>
          <w:sz w:val="24"/>
          <w:szCs w:val="24"/>
          <w:lang w:eastAsia="en-IN"/>
          <w14:ligatures w14:val="none"/>
        </w:rPr>
        <w:t xml:space="preserve"> et al., 2022). </w:t>
      </w:r>
    </w:p>
    <w:p w14:paraId="75DE2059"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Ocimum</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tenuiflorum</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Tulsi</w:t>
      </w:r>
      <w:proofErr w:type="spellEnd"/>
      <w:r w:rsidRPr="00451F19">
        <w:rPr>
          <w:rFonts w:ascii="Times New Roman" w:eastAsia="Times New Roman" w:hAnsi="Times New Roman" w:cs="Times New Roman"/>
          <w:kern w:val="0"/>
          <w:sz w:val="24"/>
          <w:szCs w:val="24"/>
          <w:lang w:eastAsia="en-IN"/>
          <w14:ligatures w14:val="none"/>
        </w:rPr>
        <w:t>) is another culturally salient ethnomedicinal plant, used traditionally for respiratory complaints, stress, and general wellness. A randomized, double-blind, placebo-controlled trial of a Tulsi extract reported benefits on stress- and mood-related outcomes and sleep-related measures over an intervention period, supporting its potential as an adjunct for stress-associated symptoms (Lopresti et al., 2022). The Tulsi example again illustrates a cultivation–therapy linkage: essential oil composition and phenolic profiles are sensitive to environment and post-harvest handling, implying that clinical reproducibility may depend on careful sourcing and standardized extraction.</w:t>
      </w:r>
    </w:p>
    <w:p w14:paraId="658BED2B"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4.2 Inflammation and musculoskeletal disorders: Turmeric/curcumin preparations</w:t>
      </w:r>
    </w:p>
    <w:p w14:paraId="441667C2" w14:textId="54EA504C"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21C0C">
        <w:rPr>
          <w:rFonts w:ascii="Times New Roman" w:eastAsia="Times New Roman" w:hAnsi="Times New Roman" w:cs="Times New Roman"/>
          <w:i/>
          <w:kern w:val="0"/>
          <w:sz w:val="24"/>
          <w:szCs w:val="24"/>
          <w:lang w:eastAsia="en-IN"/>
          <w14:ligatures w14:val="none"/>
        </w:rPr>
        <w:t>Curcuma longa</w:t>
      </w:r>
      <w:r w:rsidRPr="00451F19">
        <w:rPr>
          <w:rFonts w:ascii="Times New Roman" w:eastAsia="Times New Roman" w:hAnsi="Times New Roman" w:cs="Times New Roman"/>
          <w:kern w:val="0"/>
          <w:sz w:val="24"/>
          <w:szCs w:val="24"/>
          <w:lang w:eastAsia="en-IN"/>
          <w14:ligatures w14:val="none"/>
        </w:rPr>
        <w:t xml:space="preserve"> (turmeric) is among India’s most widely used ethnomedicinal and culinary plants, with curcuminoids often positioned as anti-inflammatory agents. A systematic review and meta-analysis focusing on osteoarthritis found that </w:t>
      </w:r>
      <w:r w:rsidRPr="00F21C0C">
        <w:rPr>
          <w:rFonts w:ascii="Times New Roman" w:eastAsia="Times New Roman" w:hAnsi="Times New Roman" w:cs="Times New Roman"/>
          <w:i/>
          <w:kern w:val="0"/>
          <w:sz w:val="24"/>
          <w:szCs w:val="24"/>
          <w:lang w:eastAsia="en-IN"/>
          <w14:ligatures w14:val="none"/>
        </w:rPr>
        <w:t>Curcuma longa</w:t>
      </w:r>
      <w:r w:rsidRPr="00451F19">
        <w:rPr>
          <w:rFonts w:ascii="Times New Roman" w:eastAsia="Times New Roman" w:hAnsi="Times New Roman" w:cs="Times New Roman"/>
          <w:kern w:val="0"/>
          <w:sz w:val="24"/>
          <w:szCs w:val="24"/>
          <w:lang w:eastAsia="en-IN"/>
          <w14:ligatures w14:val="none"/>
        </w:rPr>
        <w:t xml:space="preserve"> extract and curcumin supplements may reduce pain and improve function compared with placebo and may show comparable symptom improvement to non-steroidal anti-inflammatory comparators in some contexts, while exhibiting a generally </w:t>
      </w:r>
      <w:proofErr w:type="spellStart"/>
      <w:r w:rsidRPr="00451F19">
        <w:rPr>
          <w:rFonts w:ascii="Times New Roman" w:eastAsia="Times New Roman" w:hAnsi="Times New Roman" w:cs="Times New Roman"/>
          <w:kern w:val="0"/>
          <w:sz w:val="24"/>
          <w:szCs w:val="24"/>
          <w:lang w:eastAsia="en-IN"/>
          <w14:ligatures w14:val="none"/>
        </w:rPr>
        <w:t>favorable</w:t>
      </w:r>
      <w:proofErr w:type="spellEnd"/>
      <w:r w:rsidRPr="00451F19">
        <w:rPr>
          <w:rFonts w:ascii="Times New Roman" w:eastAsia="Times New Roman" w:hAnsi="Times New Roman" w:cs="Times New Roman"/>
          <w:kern w:val="0"/>
          <w:sz w:val="24"/>
          <w:szCs w:val="24"/>
          <w:lang w:eastAsia="en-IN"/>
          <w14:ligatures w14:val="none"/>
        </w:rPr>
        <w:t xml:space="preserve"> adverse-event profile in the </w:t>
      </w:r>
      <w:proofErr w:type="spellStart"/>
      <w:r w:rsidRPr="00451F19">
        <w:rPr>
          <w:rFonts w:ascii="Times New Roman" w:eastAsia="Times New Roman" w:hAnsi="Times New Roman" w:cs="Times New Roman"/>
          <w:kern w:val="0"/>
          <w:sz w:val="24"/>
          <w:szCs w:val="24"/>
          <w:lang w:eastAsia="en-IN"/>
          <w14:ligatures w14:val="none"/>
        </w:rPr>
        <w:t>analyzed</w:t>
      </w:r>
      <w:proofErr w:type="spellEnd"/>
      <w:r w:rsidRPr="00451F19">
        <w:rPr>
          <w:rFonts w:ascii="Times New Roman" w:eastAsia="Times New Roman" w:hAnsi="Times New Roman" w:cs="Times New Roman"/>
          <w:kern w:val="0"/>
          <w:sz w:val="24"/>
          <w:szCs w:val="24"/>
          <w:lang w:eastAsia="en-IN"/>
          <w14:ligatures w14:val="none"/>
        </w:rPr>
        <w:t xml:space="preserve"> trials (Zeng et al., 2021). However, the review also implicitly highlights a persistent issue: curcumin interventions vary widely in dose, formulation, and co-ingredients designed to improve bioavailability, which complicates generalization. Recent randomized clinical evidence in specific osteoarthritis phenotypes (e.g., hand osteoarthritis) continues to expand, but interpretation similarly depends on formulation and trial design (</w:t>
      </w:r>
      <w:proofErr w:type="spellStart"/>
      <w:r w:rsidR="00065726" w:rsidRPr="00065726">
        <w:rPr>
          <w:rFonts w:ascii="Times New Roman" w:eastAsia="Times New Roman" w:hAnsi="Times New Roman" w:cs="Times New Roman"/>
          <w:kern w:val="0"/>
          <w:sz w:val="24"/>
          <w:szCs w:val="24"/>
          <w:lang w:eastAsia="en-IN"/>
          <w14:ligatures w14:val="none"/>
        </w:rPr>
        <w:t>Tuntiyatorn</w:t>
      </w:r>
      <w:proofErr w:type="spellEnd"/>
      <w:r w:rsidR="00065726">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et al., 2025). </w:t>
      </w:r>
    </w:p>
    <w:p w14:paraId="2A974EDA"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From cultivation and processing perspectives, turmeric illustrates how value addition can shift therapeutic exposure. While raw turmeric rhizome is a traditional form, many clinical trials use extracts or enriched formulations. Rhizome maturity at harvest, curing conditions, drying temperature, and storage humidity can influence curcuminoid stability and contamination risk, implying that agronomic best practices are relevant even when the end product is an “extract.” Moreover, because turmeric is widely cultivated, contamination risks are often more connected to post-harvest handling and supply-chain mixing than to scarcity-driven adulteration, though both can occur.</w:t>
      </w:r>
    </w:p>
    <w:p w14:paraId="09B8BEB7"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4.3 Metabolic health and cardiometabolic risk: Neem and broader evidence cautions</w:t>
      </w:r>
    </w:p>
    <w:p w14:paraId="0F792AD4"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Azadirachta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indica</w:t>
      </w:r>
      <w:proofErr w:type="spellEnd"/>
      <w:r w:rsidRPr="00451F19">
        <w:rPr>
          <w:rFonts w:ascii="Times New Roman" w:eastAsia="Times New Roman" w:hAnsi="Times New Roman" w:cs="Times New Roman"/>
          <w:kern w:val="0"/>
          <w:sz w:val="24"/>
          <w:szCs w:val="24"/>
          <w:lang w:eastAsia="en-IN"/>
          <w14:ligatures w14:val="none"/>
        </w:rPr>
        <w:t xml:space="preserve"> (neem) is traditionally used in India for skin conditions, infections, and metabolic complaints, and neem-derived extracts have been studied for diverse biological activities. A broad scientific overview highlights putative anti-inflammatory, antidiabetic, and other health-relevant pathways, while also cautioning that unstandardized extracts and improper preparation conditions may pose health risks (Islas et al., 2020). Neem thereby represents a common pattern: extensive preclinical plausibility and wide traditional use, yet limited high-quality clinical evidence for specific metabolic endpoints relative to more intensively studied botanicals. For neem and many other ethnomedicinal plants used in diabetes or metabolic syndromes, the translational bottleneck often lies in the lack of well-powered, well-controlled trials using chemically characterized preparations.</w:t>
      </w:r>
    </w:p>
    <w:p w14:paraId="366CD145"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lastRenderedPageBreak/>
        <w:t>4.4 Immunomodulation and respiratory infections: lessons from the COVID-19 era</w:t>
      </w:r>
    </w:p>
    <w:p w14:paraId="07A51E22" w14:textId="7EBEAC71"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The COVID-19 era amplified public interest in “immune-boosting” ethnomedicinal plants in India and globally. Reviews of Indian medicinal plants in this context summarized a range of candidate species and mechanisms, frequently </w:t>
      </w:r>
      <w:proofErr w:type="spellStart"/>
      <w:r w:rsidRPr="00451F19">
        <w:rPr>
          <w:rFonts w:ascii="Times New Roman" w:eastAsia="Times New Roman" w:hAnsi="Times New Roman" w:cs="Times New Roman"/>
          <w:kern w:val="0"/>
          <w:sz w:val="24"/>
          <w:szCs w:val="24"/>
          <w:lang w:eastAsia="en-IN"/>
          <w14:ligatures w14:val="none"/>
        </w:rPr>
        <w:t>centered</w:t>
      </w:r>
      <w:proofErr w:type="spellEnd"/>
      <w:r w:rsidRPr="00451F19">
        <w:rPr>
          <w:rFonts w:ascii="Times New Roman" w:eastAsia="Times New Roman" w:hAnsi="Times New Roman" w:cs="Times New Roman"/>
          <w:kern w:val="0"/>
          <w:sz w:val="24"/>
          <w:szCs w:val="24"/>
          <w:lang w:eastAsia="en-IN"/>
          <w14:ligatures w14:val="none"/>
        </w:rPr>
        <w:t xml:space="preserve"> on anti-inflammatory, antiviral, and immunomodulatory pathways (</w:t>
      </w:r>
      <w:proofErr w:type="gramStart"/>
      <w:r w:rsidR="00717E34" w:rsidRPr="00717E34">
        <w:rPr>
          <w:rFonts w:ascii="Times New Roman" w:eastAsia="Times New Roman" w:hAnsi="Times New Roman" w:cs="Times New Roman"/>
          <w:kern w:val="0"/>
          <w:sz w:val="24"/>
          <w:szCs w:val="24"/>
          <w:lang w:eastAsia="en-IN"/>
          <w14:ligatures w14:val="none"/>
        </w:rPr>
        <w:t xml:space="preserve">Ahmad </w:t>
      </w:r>
      <w:r w:rsidRPr="00451F19">
        <w:rPr>
          <w:rFonts w:ascii="Times New Roman" w:eastAsia="Times New Roman" w:hAnsi="Times New Roman" w:cs="Times New Roman"/>
          <w:kern w:val="0"/>
          <w:sz w:val="24"/>
          <w:szCs w:val="24"/>
          <w:lang w:eastAsia="en-IN"/>
          <w14:ligatures w14:val="none"/>
        </w:rPr>
        <w:t xml:space="preserve"> et al.</w:t>
      </w:r>
      <w:proofErr w:type="gramEnd"/>
      <w:r w:rsidRPr="00451F19">
        <w:rPr>
          <w:rFonts w:ascii="Times New Roman" w:eastAsia="Times New Roman" w:hAnsi="Times New Roman" w:cs="Times New Roman"/>
          <w:kern w:val="0"/>
          <w:sz w:val="24"/>
          <w:szCs w:val="24"/>
          <w:lang w:eastAsia="en-IN"/>
          <w14:ligatures w14:val="none"/>
        </w:rPr>
        <w:t>, 202</w:t>
      </w:r>
      <w:r w:rsidR="00717E34">
        <w:rPr>
          <w:rFonts w:ascii="Times New Roman" w:eastAsia="Times New Roman" w:hAnsi="Times New Roman" w:cs="Times New Roman"/>
          <w:kern w:val="0"/>
          <w:sz w:val="24"/>
          <w:szCs w:val="24"/>
          <w:lang w:eastAsia="en-IN"/>
          <w14:ligatures w14:val="none"/>
        </w:rPr>
        <w:t>1</w:t>
      </w:r>
      <w:r w:rsidRPr="00451F19">
        <w:rPr>
          <w:rFonts w:ascii="Times New Roman" w:eastAsia="Times New Roman" w:hAnsi="Times New Roman" w:cs="Times New Roman"/>
          <w:kern w:val="0"/>
          <w:sz w:val="24"/>
          <w:szCs w:val="24"/>
          <w:lang w:eastAsia="en-IN"/>
          <w14:ligatures w14:val="none"/>
        </w:rPr>
        <w:t>). While such reviews helped organize hypotheses and traditional rationales, the period also revealed a major safety and governance challenge: rapid increases in consumption of certain botanicals occurred ahead of strong clinical evidence and sometimes outside supervised therapeutic contexts. This mismatch between public uptake and evidence strength underscores why pharmacovigilance and risk communication must be integral to ethnomedicinal translation, especially when products are marketed for immune enhancement.</w:t>
      </w:r>
    </w:p>
    <w:p w14:paraId="6481BE90"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 xml:space="preserve">4.5 Hepatoprotection and hepatotoxicity: </w:t>
      </w:r>
      <w:proofErr w:type="spellStart"/>
      <w:r w:rsidRPr="00451F19">
        <w:rPr>
          <w:rFonts w:ascii="Times New Roman" w:eastAsia="Times New Roman" w:hAnsi="Times New Roman" w:cs="Times New Roman"/>
          <w:b/>
          <w:bCs/>
          <w:kern w:val="0"/>
          <w:sz w:val="27"/>
          <w:szCs w:val="27"/>
          <w:lang w:eastAsia="en-IN"/>
          <w14:ligatures w14:val="none"/>
        </w:rPr>
        <w:t>Tinospora</w:t>
      </w:r>
      <w:proofErr w:type="spellEnd"/>
      <w:r w:rsidRPr="00451F19">
        <w:rPr>
          <w:rFonts w:ascii="Times New Roman" w:eastAsia="Times New Roman" w:hAnsi="Times New Roman" w:cs="Times New Roman"/>
          <w:b/>
          <w:bCs/>
          <w:kern w:val="0"/>
          <w:sz w:val="27"/>
          <w:szCs w:val="27"/>
          <w:lang w:eastAsia="en-IN"/>
          <w14:ligatures w14:val="none"/>
        </w:rPr>
        <w:t xml:space="preserve"> </w:t>
      </w:r>
      <w:proofErr w:type="spellStart"/>
      <w:r w:rsidRPr="00451F19">
        <w:rPr>
          <w:rFonts w:ascii="Times New Roman" w:eastAsia="Times New Roman" w:hAnsi="Times New Roman" w:cs="Times New Roman"/>
          <w:b/>
          <w:bCs/>
          <w:kern w:val="0"/>
          <w:sz w:val="27"/>
          <w:szCs w:val="27"/>
          <w:lang w:eastAsia="en-IN"/>
          <w14:ligatures w14:val="none"/>
        </w:rPr>
        <w:t>cordifolia</w:t>
      </w:r>
      <w:proofErr w:type="spellEnd"/>
      <w:r w:rsidRPr="00451F19">
        <w:rPr>
          <w:rFonts w:ascii="Times New Roman" w:eastAsia="Times New Roman" w:hAnsi="Times New Roman" w:cs="Times New Roman"/>
          <w:b/>
          <w:bCs/>
          <w:kern w:val="0"/>
          <w:sz w:val="27"/>
          <w:szCs w:val="27"/>
          <w:lang w:eastAsia="en-IN"/>
          <w14:ligatures w14:val="none"/>
        </w:rPr>
        <w:t xml:space="preserve"> as a dual-use case</w:t>
      </w:r>
    </w:p>
    <w:p w14:paraId="60788DB3"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Tinospora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cordifolia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w:t>
      </w:r>
      <w:proofErr w:type="spellStart"/>
      <w:r w:rsidRPr="00451F19">
        <w:rPr>
          <w:rFonts w:ascii="Times New Roman" w:eastAsia="Times New Roman" w:hAnsi="Times New Roman" w:cs="Times New Roman"/>
          <w:kern w:val="0"/>
          <w:sz w:val="24"/>
          <w:szCs w:val="24"/>
          <w:lang w:eastAsia="en-IN"/>
          <w14:ligatures w14:val="none"/>
        </w:rPr>
        <w:t>Guduchi</w:t>
      </w:r>
      <w:proofErr w:type="spellEnd"/>
      <w:r w:rsidRPr="00451F19">
        <w:rPr>
          <w:rFonts w:ascii="Times New Roman" w:eastAsia="Times New Roman" w:hAnsi="Times New Roman" w:cs="Times New Roman"/>
          <w:kern w:val="0"/>
          <w:sz w:val="24"/>
          <w:szCs w:val="24"/>
          <w:lang w:eastAsia="en-IN"/>
          <w14:ligatures w14:val="none"/>
        </w:rPr>
        <w:t xml:space="preserve">) is traditionally used for fever, metabolic complaints, and general rejuvenation, and it is often described as an immunomodulatory plant. A recent narrative review in a pharmacy/pharmacology journal discusses </w:t>
      </w:r>
      <w:proofErr w:type="spellStart"/>
      <w:r w:rsidRPr="00451F19">
        <w:rPr>
          <w:rFonts w:ascii="Times New Roman" w:eastAsia="Times New Roman" w:hAnsi="Times New Roman" w:cs="Times New Roman"/>
          <w:kern w:val="0"/>
          <w:sz w:val="24"/>
          <w:szCs w:val="24"/>
          <w:lang w:eastAsia="en-IN"/>
          <w14:ligatures w14:val="none"/>
        </w:rPr>
        <w:t>Tinospora’s</w:t>
      </w:r>
      <w:proofErr w:type="spellEnd"/>
      <w:r w:rsidRPr="00451F19">
        <w:rPr>
          <w:rFonts w:ascii="Times New Roman" w:eastAsia="Times New Roman" w:hAnsi="Times New Roman" w:cs="Times New Roman"/>
          <w:kern w:val="0"/>
          <w:sz w:val="24"/>
          <w:szCs w:val="24"/>
          <w:lang w:eastAsia="en-IN"/>
          <w14:ligatures w14:val="none"/>
        </w:rPr>
        <w:t xml:space="preserve"> traditional uses, proposed hepatoprotective mechanisms, bioactive constituents, and toxicity concerns, reflecting ongoing debate about how to reconcile traditional claims of safety with modern reports of harm under certain usage patterns (Balkrishna et al., 2024). The critical safety issue is herb-induced liver injury associated with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use during heightened consumption periods. A multi-</w:t>
      </w:r>
      <w:proofErr w:type="spellStart"/>
      <w:r w:rsidRPr="00451F19">
        <w:rPr>
          <w:rFonts w:ascii="Times New Roman" w:eastAsia="Times New Roman" w:hAnsi="Times New Roman" w:cs="Times New Roman"/>
          <w:kern w:val="0"/>
          <w:sz w:val="24"/>
          <w:szCs w:val="24"/>
          <w:lang w:eastAsia="en-IN"/>
          <w14:ligatures w14:val="none"/>
        </w:rPr>
        <w:t>center</w:t>
      </w:r>
      <w:proofErr w:type="spellEnd"/>
      <w:r w:rsidRPr="00451F19">
        <w:rPr>
          <w:rFonts w:ascii="Times New Roman" w:eastAsia="Times New Roman" w:hAnsi="Times New Roman" w:cs="Times New Roman"/>
          <w:kern w:val="0"/>
          <w:sz w:val="24"/>
          <w:szCs w:val="24"/>
          <w:lang w:eastAsia="en-IN"/>
          <w14:ligatures w14:val="none"/>
        </w:rPr>
        <w:t xml:space="preserve"> retrospective study </w:t>
      </w:r>
      <w:proofErr w:type="spellStart"/>
      <w:r w:rsidRPr="00451F19">
        <w:rPr>
          <w:rFonts w:ascii="Times New Roman" w:eastAsia="Times New Roman" w:hAnsi="Times New Roman" w:cs="Times New Roman"/>
          <w:kern w:val="0"/>
          <w:sz w:val="24"/>
          <w:szCs w:val="24"/>
          <w:lang w:eastAsia="en-IN"/>
          <w14:ligatures w14:val="none"/>
        </w:rPr>
        <w:t>analyzing</w:t>
      </w:r>
      <w:proofErr w:type="spellEnd"/>
      <w:r w:rsidRPr="00451F19">
        <w:rPr>
          <w:rFonts w:ascii="Times New Roman" w:eastAsia="Times New Roman" w:hAnsi="Times New Roman" w:cs="Times New Roman"/>
          <w:kern w:val="0"/>
          <w:sz w:val="24"/>
          <w:szCs w:val="24"/>
          <w:lang w:eastAsia="en-IN"/>
          <w14:ligatures w14:val="none"/>
        </w:rPr>
        <w:t xml:space="preserve"> liver injury temporally associated with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use reported autoimmune-like features in some cases and included chemical/toxicological analyses of retrieved samples, reinforcing that safety outcomes can be influenced by product composition, sourcing, and user context (Kulkarni et al., 2022). </w:t>
      </w:r>
    </w:p>
    <w:p w14:paraId="0BE101BE" w14:textId="58A6F2AE"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Tinospora</w:t>
      </w:r>
      <w:proofErr w:type="spellEnd"/>
      <w:r w:rsidRPr="00451F19">
        <w:rPr>
          <w:rFonts w:ascii="Times New Roman" w:eastAsia="Times New Roman" w:hAnsi="Times New Roman" w:cs="Times New Roman"/>
          <w:kern w:val="0"/>
          <w:sz w:val="24"/>
          <w:szCs w:val="24"/>
          <w:lang w:eastAsia="en-IN"/>
          <w14:ligatures w14:val="none"/>
        </w:rPr>
        <w:t xml:space="preserve"> therefore illustrates a key reality for ethnomedicinal plants: a single plant can have both plausible therapeutic roles and meaningful risk under uncontrolled, misidentified, or high-dose use. It also demonstrates the relevance of authentication: confusion with related species has been discussed in hepatotoxicity debates, and DNA-based identification tools can reduce </w:t>
      </w:r>
      <w:proofErr w:type="spellStart"/>
      <w:r w:rsidRPr="00451F19">
        <w:rPr>
          <w:rFonts w:ascii="Times New Roman" w:eastAsia="Times New Roman" w:hAnsi="Times New Roman" w:cs="Times New Roman"/>
          <w:kern w:val="0"/>
          <w:sz w:val="24"/>
          <w:szCs w:val="24"/>
          <w:lang w:eastAsia="en-IN"/>
          <w14:ligatures w14:val="none"/>
        </w:rPr>
        <w:t>mislabeling</w:t>
      </w:r>
      <w:proofErr w:type="spellEnd"/>
      <w:r w:rsidRPr="00451F19">
        <w:rPr>
          <w:rFonts w:ascii="Times New Roman" w:eastAsia="Times New Roman" w:hAnsi="Times New Roman" w:cs="Times New Roman"/>
          <w:kern w:val="0"/>
          <w:sz w:val="24"/>
          <w:szCs w:val="24"/>
          <w:lang w:eastAsia="en-IN"/>
          <w14:ligatures w14:val="none"/>
        </w:rPr>
        <w:t xml:space="preserve"> risks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xml:space="preserve">). For cultivation systems, </w:t>
      </w:r>
      <w:proofErr w:type="spellStart"/>
      <w:r w:rsidRPr="00451F19">
        <w:rPr>
          <w:rFonts w:ascii="Times New Roman" w:eastAsia="Times New Roman" w:hAnsi="Times New Roman" w:cs="Times New Roman"/>
          <w:kern w:val="0"/>
          <w:sz w:val="24"/>
          <w:szCs w:val="24"/>
          <w:lang w:eastAsia="en-IN"/>
          <w14:ligatures w14:val="none"/>
        </w:rPr>
        <w:t>Tinospora</w:t>
      </w:r>
      <w:proofErr w:type="spellEnd"/>
      <w:r w:rsidRPr="00451F19">
        <w:rPr>
          <w:rFonts w:ascii="Times New Roman" w:eastAsia="Times New Roman" w:hAnsi="Times New Roman" w:cs="Times New Roman"/>
          <w:kern w:val="0"/>
          <w:sz w:val="24"/>
          <w:szCs w:val="24"/>
          <w:lang w:eastAsia="en-IN"/>
          <w14:ligatures w14:val="none"/>
        </w:rPr>
        <w:t xml:space="preserve"> emphasizes that scaling production must be coupled with stronger identity and quality assurance, not merely increased biomass supply.</w:t>
      </w:r>
    </w:p>
    <w:p w14:paraId="520C9736"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4.6 High-altitude and region-specific ethnomedicinal plants: sustainability and clinical gaps</w:t>
      </w:r>
    </w:p>
    <w:p w14:paraId="6E05B45D" w14:textId="4F077A42"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India’s mountainous regions contribute unique ethnomedicinal taxa, many of which face collection pressure due to slow growth and restricted habitats. Reviews of high-altitude medicinal plants, such as </w:t>
      </w:r>
      <w:proofErr w:type="spellStart"/>
      <w:r w:rsidRPr="00717E34">
        <w:rPr>
          <w:rFonts w:ascii="Times New Roman" w:eastAsia="Times New Roman" w:hAnsi="Times New Roman" w:cs="Times New Roman"/>
          <w:i/>
          <w:iCs/>
          <w:kern w:val="0"/>
          <w:sz w:val="24"/>
          <w:szCs w:val="24"/>
          <w:lang w:eastAsia="en-IN"/>
          <w14:ligatures w14:val="none"/>
        </w:rPr>
        <w:t>Nardostachys</w:t>
      </w:r>
      <w:proofErr w:type="spellEnd"/>
      <w:r w:rsidRPr="00717E34">
        <w:rPr>
          <w:rFonts w:ascii="Times New Roman" w:eastAsia="Times New Roman" w:hAnsi="Times New Roman" w:cs="Times New Roman"/>
          <w:i/>
          <w:iCs/>
          <w:kern w:val="0"/>
          <w:sz w:val="24"/>
          <w:szCs w:val="24"/>
          <w:lang w:eastAsia="en-IN"/>
          <w14:ligatures w14:val="none"/>
        </w:rPr>
        <w:t xml:space="preserve"> </w:t>
      </w:r>
      <w:proofErr w:type="spellStart"/>
      <w:r w:rsidRPr="00717E34">
        <w:rPr>
          <w:rFonts w:ascii="Times New Roman" w:eastAsia="Times New Roman" w:hAnsi="Times New Roman" w:cs="Times New Roman"/>
          <w:i/>
          <w:iCs/>
          <w:kern w:val="0"/>
          <w:sz w:val="24"/>
          <w:szCs w:val="24"/>
          <w:lang w:eastAsia="en-IN"/>
          <w14:ligatures w14:val="none"/>
        </w:rPr>
        <w:t>jatamansi</w:t>
      </w:r>
      <w:proofErr w:type="spellEnd"/>
      <w:r w:rsidRPr="00451F19">
        <w:rPr>
          <w:rFonts w:ascii="Times New Roman" w:eastAsia="Times New Roman" w:hAnsi="Times New Roman" w:cs="Times New Roman"/>
          <w:kern w:val="0"/>
          <w:sz w:val="24"/>
          <w:szCs w:val="24"/>
          <w:lang w:eastAsia="en-IN"/>
          <w14:ligatures w14:val="none"/>
        </w:rPr>
        <w:t>, highlight pharmacological potential and traditional relevance while also underscoring conservation and cultivation challenges (</w:t>
      </w:r>
      <w:r w:rsidR="00717E34">
        <w:rPr>
          <w:rFonts w:ascii="Times New Roman" w:eastAsia="Times New Roman" w:hAnsi="Times New Roman" w:cs="Times New Roman"/>
          <w:kern w:val="0"/>
          <w:sz w:val="24"/>
          <w:szCs w:val="24"/>
          <w:lang w:eastAsia="en-IN"/>
          <w14:ligatures w14:val="none"/>
        </w:rPr>
        <w:t xml:space="preserve">Pathak and </w:t>
      </w:r>
      <w:proofErr w:type="spellStart"/>
      <w:r w:rsidR="00717E34">
        <w:rPr>
          <w:rFonts w:ascii="Times New Roman" w:eastAsia="Times New Roman" w:hAnsi="Times New Roman" w:cs="Times New Roman"/>
          <w:kern w:val="0"/>
          <w:sz w:val="24"/>
          <w:szCs w:val="24"/>
          <w:lang w:eastAsia="en-IN"/>
          <w14:ligatures w14:val="none"/>
        </w:rPr>
        <w:t>Godela</w:t>
      </w:r>
      <w:proofErr w:type="spellEnd"/>
      <w:r w:rsidR="00717E34">
        <w:rPr>
          <w:rFonts w:ascii="Times New Roman" w:eastAsia="Times New Roman" w:hAnsi="Times New Roman" w:cs="Times New Roman"/>
          <w:kern w:val="0"/>
          <w:sz w:val="24"/>
          <w:szCs w:val="24"/>
          <w:lang w:eastAsia="en-IN"/>
          <w14:ligatures w14:val="none"/>
        </w:rPr>
        <w:t>, 2024</w:t>
      </w:r>
      <w:r w:rsidRPr="00451F19">
        <w:rPr>
          <w:rFonts w:ascii="Times New Roman" w:eastAsia="Times New Roman" w:hAnsi="Times New Roman" w:cs="Times New Roman"/>
          <w:kern w:val="0"/>
          <w:sz w:val="24"/>
          <w:szCs w:val="24"/>
          <w:lang w:eastAsia="en-IN"/>
          <w14:ligatures w14:val="none"/>
        </w:rPr>
        <w:t xml:space="preserve">). These plants often have limited clinical evidence relative to widely commercialized species, making sustainability and ethical sourcing even more critical: when evidence is preliminary, overharvesting cannot be justified by speculative benefits. Ex situ conservation planning for threatened medicinal plants provides a framework for aligning </w:t>
      </w:r>
      <w:r w:rsidRPr="00451F19">
        <w:rPr>
          <w:rFonts w:ascii="Times New Roman" w:eastAsia="Times New Roman" w:hAnsi="Times New Roman" w:cs="Times New Roman"/>
          <w:kern w:val="0"/>
          <w:sz w:val="24"/>
          <w:szCs w:val="24"/>
          <w:lang w:eastAsia="en-IN"/>
          <w14:ligatures w14:val="none"/>
        </w:rPr>
        <w:lastRenderedPageBreak/>
        <w:t xml:space="preserve">cultivation and conservation priorities, particularly for taxa that are difficult to cultivate or slow to regenerate (Gowthami et al., 2021). </w:t>
      </w:r>
    </w:p>
    <w:p w14:paraId="6BE54034" w14:textId="77777777" w:rsidR="00451F19" w:rsidRPr="00451F19" w:rsidRDefault="00451F19"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5. Integrating cultivation, quality systems, and therapeutic translation</w:t>
      </w:r>
    </w:p>
    <w:p w14:paraId="735C0759" w14:textId="1EE59768"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5.1 From “plant name” to clinically reproducible material</w:t>
      </w:r>
    </w:p>
    <w:p w14:paraId="18E621E6" w14:textId="1A9375A8"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Integrating cultivation with therapeutic translation requires treating medicinal-plant interventions as end-to-end systems rather than as static “plant names.” In practice, the same ethnomedicinal plant can yield materially different therapeutic exposures depending on germplasm identity, agroecological conditions, agronomic inputs, harvest indices, and post-harvest processing. Quality therefore must be designed upstream, not merely tested downstream. Comparative analyses of good agricultural and collection practice frameworks emphasize that consistent clinical performance depends on documented control points across production environments, raw-material identity, harvest/processing, and traceability, because gaps at any stage can yield inconsistent or unsafe products (Zhang et al., 2021). This logic is directly relevant in India, where cultivation expansion is often geographically diverse and supply chains can involve multiple intermediaries; without process-level controls and auditable records, even well-designed clinical evidence may fail to translate into real-world effectiveness because the marketed material drifts chemically and biologically from trial material.</w:t>
      </w:r>
    </w:p>
    <w:p w14:paraId="11348354" w14:textId="3F6ED94F"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5.2 Multi-modal authentication and specification setting</w:t>
      </w:r>
    </w:p>
    <w:p w14:paraId="368F3471" w14:textId="6897EFAE"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core integration challenge is identity assurance. Morphology-based identification is vulnerable when raw material is traded as dried slices or powders, and this vulnerability increases when demand rises quickly. DNA-based tools are increasingly positioned as complementary safeguards to classical pharmacognosy and chemistry. A recent Microchemical Journal review focused on DNA barcoding for adulteration detection in the Indian herbal medicine market highlights how sequence-based identification can help detect substitution and protect consumers, particularly when combined with other analytical approaches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However, identity alone is not sufficient for therapeutic reproducibility; specification setting requires chemistry. For widely commercialized Indian ethnomedicinal plants, validated chromatographic methods enable manufacturers and researchers to define what constitutes an acceptable batch. For example, a robust high-performance thin-layer chromatography method for quantifying key Ashwagandha constituents illustrates how marker-based assays support batch release, adulteration screening, and comparability across plant parts and preparations (</w:t>
      </w:r>
      <w:r w:rsidR="00717E34" w:rsidRPr="00717E34">
        <w:rPr>
          <w:rFonts w:ascii="Times New Roman" w:eastAsia="Times New Roman" w:hAnsi="Times New Roman" w:cs="Times New Roman"/>
          <w:kern w:val="0"/>
          <w:sz w:val="24"/>
          <w:szCs w:val="24"/>
          <w:lang w:eastAsia="en-IN"/>
          <w14:ligatures w14:val="none"/>
        </w:rPr>
        <w:t>Ghoshal</w:t>
      </w:r>
      <w:r w:rsidRPr="00451F19">
        <w:rPr>
          <w:rFonts w:ascii="Times New Roman" w:eastAsia="Times New Roman" w:hAnsi="Times New Roman" w:cs="Times New Roman"/>
          <w:kern w:val="0"/>
          <w:sz w:val="24"/>
          <w:szCs w:val="24"/>
          <w:lang w:eastAsia="en-IN"/>
          <w14:ligatures w14:val="none"/>
        </w:rPr>
        <w:t xml:space="preserve"> et al., 2022). At the same time, reliance on a small number of markers can miss broader phytochemical shifts, especially where multiple constituents contribute to bioactivity. Metabolomics-based fingerprinting is therefore increasingly discussed as a “whole-profile” quality approach that can complement marker assays and improve linkage between cultivation conditions, chemical composition, and expected biological activity (Ji et al., 2024).</w:t>
      </w:r>
    </w:p>
    <w:p w14:paraId="38C74391" w14:textId="26156C39"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5.3 Safety as a cultivation-to-clinic continuity requirement</w:t>
      </w:r>
    </w:p>
    <w:p w14:paraId="45316888" w14:textId="4EEBC8B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Integration also demands that safety be treated as a continuous property across the value chain. Heavy-metal contamination is a concrete example of how upstream conditions can </w:t>
      </w:r>
      <w:r w:rsidRPr="00451F19">
        <w:rPr>
          <w:rFonts w:ascii="Times New Roman" w:eastAsia="Times New Roman" w:hAnsi="Times New Roman" w:cs="Times New Roman"/>
          <w:kern w:val="0"/>
          <w:sz w:val="24"/>
          <w:szCs w:val="24"/>
          <w:lang w:eastAsia="en-IN"/>
          <w14:ligatures w14:val="none"/>
        </w:rPr>
        <w:lastRenderedPageBreak/>
        <w:t xml:space="preserve">undermine downstream therapeutic goals. Empirical analyses of herbal raw drugs traded in India show that a measurable fraction of samples can exceed </w:t>
      </w:r>
      <w:proofErr w:type="spellStart"/>
      <w:r w:rsidRPr="00451F19">
        <w:rPr>
          <w:rFonts w:ascii="Times New Roman" w:eastAsia="Times New Roman" w:hAnsi="Times New Roman" w:cs="Times New Roman"/>
          <w:kern w:val="0"/>
          <w:sz w:val="24"/>
          <w:szCs w:val="24"/>
          <w:lang w:eastAsia="en-IN"/>
          <w14:ligatures w14:val="none"/>
        </w:rPr>
        <w:t>pharmacopoeial</w:t>
      </w:r>
      <w:proofErr w:type="spellEnd"/>
      <w:r w:rsidRPr="00451F19">
        <w:rPr>
          <w:rFonts w:ascii="Times New Roman" w:eastAsia="Times New Roman" w:hAnsi="Times New Roman" w:cs="Times New Roman"/>
          <w:kern w:val="0"/>
          <w:sz w:val="24"/>
          <w:szCs w:val="24"/>
          <w:lang w:eastAsia="en-IN"/>
          <w14:ligatures w14:val="none"/>
        </w:rPr>
        <w:t xml:space="preserve"> limits for metals such as cadmium, mercury, lead, or arsenic, and that risk varies across materials and sourcing contexts (Bisht et al., 2022). Complementary work evaluating marketed Ayurvedic herbal products similarly demonstrates that heavy metals can be detected and that risk assessment depends on the measured concentrations and recommended intake levels, underscoring the need for routine monitoring and supplier qualification (Deswal et al., 2022). These findings reinforce that “therapeutic translation” is not simply the transfer of efficacy claims into products; it is the transfer of an evidence-backed benefit–risk profile into a reproducible, verifiably safe commodity. The practical implication is that cultivation site selection (soil/water quality baselining), post-harvest infrastructure (dust and cross-contamination control), and procurement contracts (incentivizing compliant lots) must be embedded into quality systems rather than treated as optional add-ons.</w:t>
      </w:r>
    </w:p>
    <w:p w14:paraId="4BA56C3D" w14:textId="467FF523"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5.4 Pharmacovigilance feedback loops and adaptive quality management</w:t>
      </w:r>
    </w:p>
    <w:p w14:paraId="4D2D4BED" w14:textId="68EE3C4F"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Finally, integration must include feedback loops from clinics and consumers back to cultivation and manufacturing. The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237A9">
        <w:rPr>
          <w:rFonts w:ascii="Times New Roman" w:eastAsia="Times New Roman" w:hAnsi="Times New Roman" w:cs="Times New Roman"/>
          <w:i/>
          <w:kern w:val="0"/>
          <w:sz w:val="24"/>
          <w:szCs w:val="24"/>
          <w:lang w:eastAsia="en-IN"/>
          <w14:ligatures w14:val="none"/>
        </w:rPr>
        <w:t>Tinospora</w:t>
      </w:r>
      <w:proofErr w:type="spellEnd"/>
      <w:r w:rsidRPr="004237A9">
        <w:rPr>
          <w:rFonts w:ascii="Times New Roman" w:eastAsia="Times New Roman" w:hAnsi="Times New Roman" w:cs="Times New Roman"/>
          <w:i/>
          <w:kern w:val="0"/>
          <w:sz w:val="24"/>
          <w:szCs w:val="24"/>
          <w:lang w:eastAsia="en-IN"/>
          <w14:ligatures w14:val="none"/>
        </w:rPr>
        <w:t xml:space="preserve"> </w:t>
      </w:r>
      <w:proofErr w:type="spellStart"/>
      <w:r w:rsidRPr="004237A9">
        <w:rPr>
          <w:rFonts w:ascii="Times New Roman" w:eastAsia="Times New Roman" w:hAnsi="Times New Roman" w:cs="Times New Roman"/>
          <w:i/>
          <w:kern w:val="0"/>
          <w:sz w:val="24"/>
          <w:szCs w:val="24"/>
          <w:lang w:eastAsia="en-IN"/>
          <w14:ligatures w14:val="none"/>
        </w:rPr>
        <w:t>cordifolia</w:t>
      </w:r>
      <w:proofErr w:type="spellEnd"/>
      <w:r w:rsidRPr="00451F19">
        <w:rPr>
          <w:rFonts w:ascii="Times New Roman" w:eastAsia="Times New Roman" w:hAnsi="Times New Roman" w:cs="Times New Roman"/>
          <w:kern w:val="0"/>
          <w:sz w:val="24"/>
          <w:szCs w:val="24"/>
          <w:lang w:eastAsia="en-IN"/>
          <w14:ligatures w14:val="none"/>
        </w:rPr>
        <w:t xml:space="preserve">) experience illustrates why. A </w:t>
      </w:r>
      <w:proofErr w:type="spellStart"/>
      <w:r w:rsidRPr="00451F19">
        <w:rPr>
          <w:rFonts w:ascii="Times New Roman" w:eastAsia="Times New Roman" w:hAnsi="Times New Roman" w:cs="Times New Roman"/>
          <w:kern w:val="0"/>
          <w:sz w:val="24"/>
          <w:szCs w:val="24"/>
          <w:lang w:eastAsia="en-IN"/>
          <w14:ligatures w14:val="none"/>
        </w:rPr>
        <w:t>multicenter</w:t>
      </w:r>
      <w:proofErr w:type="spellEnd"/>
      <w:r w:rsidRPr="00451F19">
        <w:rPr>
          <w:rFonts w:ascii="Times New Roman" w:eastAsia="Times New Roman" w:hAnsi="Times New Roman" w:cs="Times New Roman"/>
          <w:kern w:val="0"/>
          <w:sz w:val="24"/>
          <w:szCs w:val="24"/>
          <w:lang w:eastAsia="en-IN"/>
          <w14:ligatures w14:val="none"/>
        </w:rPr>
        <w:t xml:space="preserve"> study on liver injury temporally associated with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use during the COVID-19 period reported autoimmune-like features in a subset of cases and included chemical/toxicological assessments of retrieved samples, emphasizing that real-world harm signals can emerge when usage increases rapidly and products vary in composition or identity (Kulkarni et al., 2022). Such evidence argues for adaptive quality management: when adverse-event clusters appear, the response should not stop at clinical advisories. It should trigger targeted audits of raw material identity (including DNA-based checks where appropriate), batch chemistry, contaminant screening, and traceability back to cultivation geographies and processors. In this way, cultivation and therapeutic translation become coupled through continuous learning: agronomic choices and sourcing decisions are iteratively refined based on analytical outcomes and post-market safety data, aligning the ethnomedicinal sector with the reproducibility expectations of high-quality clinical science (Zhang et al., 2021; Ji et al., 2024).</w:t>
      </w:r>
    </w:p>
    <w:p w14:paraId="5DC6AA7F" w14:textId="77777777" w:rsidR="00451F19" w:rsidRPr="00451F19" w:rsidRDefault="00451F19"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6. Challenges and emerging directions for India’s ethnomedicinal plant sector</w:t>
      </w:r>
    </w:p>
    <w:p w14:paraId="6E1395EA"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6.1. Resource pressure, biodiversity loss, and conservation triage</w:t>
      </w:r>
    </w:p>
    <w:p w14:paraId="006B2F11" w14:textId="633613BF"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persistent structural challenge for India’s ethnomedicinal plant sector is the imbalance between demand growth and the ecological limits of wild collection. Even where cultivation has expanded, a large fraction of commercial biomass for many botanicals still originates from forests and other common-use landscapes, creating chronic risks of local depletion, genetic erosion, and supply volatility. A consolidated national assessment of threatened medicinal plants underscores that a sizeable subset of India’s medicinal flora is already under measurable threat, and it emphasizes the need for prioritization frameworks that connect threat status to targeted conservation actions (Gowthami et al., 2021). A forward-looking priority is to move from ad hoc “species rescue” to an integrated triage model that couples (</w:t>
      </w:r>
      <w:proofErr w:type="spellStart"/>
      <w:r w:rsidRPr="00451F19">
        <w:rPr>
          <w:rFonts w:ascii="Times New Roman" w:eastAsia="Times New Roman" w:hAnsi="Times New Roman" w:cs="Times New Roman"/>
          <w:kern w:val="0"/>
          <w:sz w:val="24"/>
          <w:szCs w:val="24"/>
          <w:lang w:eastAsia="en-IN"/>
          <w14:ligatures w14:val="none"/>
        </w:rPr>
        <w:t>i</w:t>
      </w:r>
      <w:proofErr w:type="spellEnd"/>
      <w:r w:rsidRPr="00451F19">
        <w:rPr>
          <w:rFonts w:ascii="Times New Roman" w:eastAsia="Times New Roman" w:hAnsi="Times New Roman" w:cs="Times New Roman"/>
          <w:kern w:val="0"/>
          <w:sz w:val="24"/>
          <w:szCs w:val="24"/>
          <w:lang w:eastAsia="en-IN"/>
          <w14:ligatures w14:val="none"/>
        </w:rPr>
        <w:t xml:space="preserve">) landscape-level habitat protection, (ii) community-led stewardship and regulated harvest protocols, and (iii) species-specific propagation pipelines for high-risk taxa. This integration is particularly important because threatened species are often those with narrow ecological </w:t>
      </w:r>
      <w:r w:rsidRPr="00451F19">
        <w:rPr>
          <w:rFonts w:ascii="Times New Roman" w:eastAsia="Times New Roman" w:hAnsi="Times New Roman" w:cs="Times New Roman"/>
          <w:kern w:val="0"/>
          <w:sz w:val="24"/>
          <w:szCs w:val="24"/>
          <w:lang w:eastAsia="en-IN"/>
          <w14:ligatures w14:val="none"/>
        </w:rPr>
        <w:lastRenderedPageBreak/>
        <w:t>niches and/or slow regeneration—traits that amplify vulnerability when commercial demand surges</w:t>
      </w:r>
      <w:r w:rsidR="00717E34">
        <w:rPr>
          <w:rFonts w:ascii="Times New Roman" w:eastAsia="Times New Roman" w:hAnsi="Times New Roman" w:cs="Times New Roman"/>
          <w:kern w:val="0"/>
          <w:sz w:val="24"/>
          <w:szCs w:val="24"/>
          <w:lang w:eastAsia="en-IN"/>
          <w14:ligatures w14:val="none"/>
        </w:rPr>
        <w:t xml:space="preserve"> (</w:t>
      </w:r>
      <w:r w:rsidR="00717E34" w:rsidRPr="00717E34">
        <w:rPr>
          <w:rFonts w:ascii="Times New Roman" w:eastAsia="Times New Roman" w:hAnsi="Times New Roman" w:cs="Times New Roman"/>
          <w:kern w:val="0"/>
          <w:sz w:val="24"/>
          <w:szCs w:val="24"/>
          <w:lang w:eastAsia="en-IN"/>
          <w14:ligatures w14:val="none"/>
        </w:rPr>
        <w:t>Sahu et al., 2025</w:t>
      </w:r>
      <w:r w:rsidR="00717E34">
        <w:rPr>
          <w:rFonts w:ascii="Times New Roman" w:eastAsia="Times New Roman" w:hAnsi="Times New Roman" w:cs="Times New Roman"/>
          <w:kern w:val="0"/>
          <w:sz w:val="24"/>
          <w:szCs w:val="24"/>
          <w:lang w:eastAsia="en-IN"/>
          <w14:ligatures w14:val="none"/>
        </w:rPr>
        <w:t>)</w:t>
      </w:r>
      <w:r w:rsidRPr="00451F19">
        <w:rPr>
          <w:rFonts w:ascii="Times New Roman" w:eastAsia="Times New Roman" w:hAnsi="Times New Roman" w:cs="Times New Roman"/>
          <w:kern w:val="0"/>
          <w:sz w:val="24"/>
          <w:szCs w:val="24"/>
          <w:lang w:eastAsia="en-IN"/>
          <w14:ligatures w14:val="none"/>
        </w:rPr>
        <w:t>.</w:t>
      </w:r>
    </w:p>
    <w:p w14:paraId="2AF958CC"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6.2. Climate stress, shifting suitability, and phytochemical uncertainty</w:t>
      </w:r>
    </w:p>
    <w:p w14:paraId="3AD057BD"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Climate change adds a new layer of complexity by altering cultivation suitability, phenology, pest–pathogen pressure, and—critically for therapeutics—secondary metabolite profiles. Reviews synthesizing global evidence show that climate-driven changes can shift distributions and affect both productivity and phytochemical composition, with downstream implications for standardization and clinical reproducibility (Zaman et al., 2025). Translating this to India’s ethnomedicinal pipeline implies that “place-based” traditional knowledge and sourcing norms may face rapid ecological re-mapping, while industrial buyers may see increased batch-to-batch variability unless climate-smart agronomy and adaptive quality systems are implemented. Emerging directions include climate-resilient cultivar development, assisted migration trials for select species, and predictive suitability mapping linked to metabolomic benchmarks. More broadly, there is a growing call for “new” research strategies that connect climate vulnerability assessment, conservation planning, and supply-chain governance into a single sustainability science agenda for medicinal plants (Mykhailenko et al., 2025).</w:t>
      </w:r>
    </w:p>
    <w:p w14:paraId="65C2B387"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6.3. Adulteration, substitution, and the credibility gap in markets</w:t>
      </w:r>
    </w:p>
    <w:p w14:paraId="796E3DAC"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Quality and authenticity remain central bottlenecks, especially where long, fragmented supply chains separate collectors and smallholders from processors and brand owners. Adulteration and substitution can be economically motivated, accidental (misidentification), or culturally embedded (local replacements), but all can undermine safety, efficacy, and global credibility. Recent syntheses highlight DNA barcoding as a practical response for detecting adulterants in the Indian herbal marketplace and for strengthening authentication where morphology-based identification fails after drying, powdering, or extraction (Aswin et al., 2026). In parallel, broader methodological reviews describe the maturation of DNA barcoding into “post-barcoding” workflows—such as mini-barcodes for degraded DNA, plastid genome “super-barcodes,” and metabarcoding approaches for complex mixtures—thereby expanding feasibility for routine quality assurance (Chen et al., 2023). The emerging direction is not merely adopting molecular tools, but embedding them into risk-based quality systems: verifying raw materials at entry, auditing intermediaries, and aligning molecular authentication with chemical fingerprinting and contaminant testing in a harmonized release protocol.</w:t>
      </w:r>
    </w:p>
    <w:p w14:paraId="1540E473"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6.4. Standardization and regulatory modernization for translational legitimacy</w:t>
      </w:r>
    </w:p>
    <w:p w14:paraId="7588D815" w14:textId="77777777"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Therapeutic translation requires a credible bridge from traditional use to reproducible products that meet stringent quality and safety expectations. A critical review of standardization needs for Indian medicinal plants emphasizes persistent gaps in robust monographs, validated analytical parameters, and consistent implementation of quality control across the value chain (</w:t>
      </w:r>
      <w:proofErr w:type="spellStart"/>
      <w:r w:rsidRPr="00451F19">
        <w:rPr>
          <w:rFonts w:ascii="Times New Roman" w:eastAsia="Times New Roman" w:hAnsi="Times New Roman" w:cs="Times New Roman"/>
          <w:kern w:val="0"/>
          <w:sz w:val="24"/>
          <w:szCs w:val="24"/>
          <w:lang w:eastAsia="en-IN"/>
          <w14:ligatures w14:val="none"/>
        </w:rPr>
        <w:t>Kaundal</w:t>
      </w:r>
      <w:proofErr w:type="spellEnd"/>
      <w:r w:rsidRPr="00451F19">
        <w:rPr>
          <w:rFonts w:ascii="Times New Roman" w:eastAsia="Times New Roman" w:hAnsi="Times New Roman" w:cs="Times New Roman"/>
          <w:kern w:val="0"/>
          <w:sz w:val="24"/>
          <w:szCs w:val="24"/>
          <w:lang w:eastAsia="en-IN"/>
          <w14:ligatures w14:val="none"/>
        </w:rPr>
        <w:t xml:space="preserve"> &amp; Kumar, 2025). This points to a sector-wide challenge: India’s ethnomedicinal strengths—diversity of </w:t>
      </w:r>
      <w:proofErr w:type="spellStart"/>
      <w:r w:rsidRPr="00451F19">
        <w:rPr>
          <w:rFonts w:ascii="Times New Roman" w:eastAsia="Times New Roman" w:hAnsi="Times New Roman" w:cs="Times New Roman"/>
          <w:kern w:val="0"/>
          <w:sz w:val="24"/>
          <w:szCs w:val="24"/>
          <w:lang w:eastAsia="en-IN"/>
          <w14:ligatures w14:val="none"/>
        </w:rPr>
        <w:t>materia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medica</w:t>
      </w:r>
      <w:proofErr w:type="spellEnd"/>
      <w:r w:rsidRPr="00451F19">
        <w:rPr>
          <w:rFonts w:ascii="Times New Roman" w:eastAsia="Times New Roman" w:hAnsi="Times New Roman" w:cs="Times New Roman"/>
          <w:kern w:val="0"/>
          <w:sz w:val="24"/>
          <w:szCs w:val="24"/>
          <w:lang w:eastAsia="en-IN"/>
          <w14:ligatures w14:val="none"/>
        </w:rPr>
        <w:t xml:space="preserve">, pluralistic medical systems, and deep local knowledge—must be matched by modern quality-by-design thinking, traceability, and manufacturing discipline. Strengthening pharmacovigilance is part of this </w:t>
      </w:r>
      <w:r w:rsidRPr="00451F19">
        <w:rPr>
          <w:rFonts w:ascii="Times New Roman" w:eastAsia="Times New Roman" w:hAnsi="Times New Roman" w:cs="Times New Roman"/>
          <w:kern w:val="0"/>
          <w:sz w:val="24"/>
          <w:szCs w:val="24"/>
          <w:lang w:eastAsia="en-IN"/>
          <w14:ligatures w14:val="none"/>
        </w:rPr>
        <w:lastRenderedPageBreak/>
        <w:t>modernization. A dedicated review on herbal pharmacovigilance highlights that adverse reactions and toxicity signals are often under-detected due to under-reporting, variable product composition, and unregulated distribution channels, and it argues for stronger systems-level monitoring to protect patients and enhance public trust (Choudhury et al., 2023). For India, the emerging direction is a “regulatory-science” ecosystem that connects standardization, authentication, and pharmacovigilance with transparent reporting and iterative risk management.</w:t>
      </w:r>
    </w:p>
    <w:p w14:paraId="1DD68256" w14:textId="77777777" w:rsidR="00451F19" w:rsidRPr="00451F19" w:rsidRDefault="00451F19" w:rsidP="00F21C0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6.5. Inclusive cultivation economics, governance capacity, and data infrastructure</w:t>
      </w:r>
    </w:p>
    <w:p w14:paraId="4952D583" w14:textId="5BD9F110"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final cross-cutting challenge is that economic incentives and governance capacity are unevenly distributed. Many cultivation initiatives operate in smallholder settings with limited access to irrigation, extension services, post-harvest infrastructure, and formal buyers; simultaneously, forest-dependent communities may lack secure benefit pathways from sustainable harvest. A national review focusing on long-term availability of medicinal plants in India highlights policy, institutional, and market drivers that shape sustainability outcomes, reinforcing the need for coherent governance that spans biodiversity protection, trade, and rural livelihoods (Singh et al., 2024). Looking ahead, the sector would benefit from interoperable data systems that link geo-referenced sourcing, batch identity, quality testing, and safety signals</w:t>
      </w:r>
      <w:r>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Mishra et al., 2024</w:t>
      </w:r>
      <w:r>
        <w:rPr>
          <w:rFonts w:ascii="Times New Roman" w:eastAsia="Times New Roman" w:hAnsi="Times New Roman" w:cs="Times New Roman"/>
          <w:kern w:val="0"/>
          <w:sz w:val="24"/>
          <w:szCs w:val="24"/>
          <w:lang w:eastAsia="en-IN"/>
          <w14:ligatures w14:val="none"/>
        </w:rPr>
        <w:t>)</w:t>
      </w:r>
      <w:r w:rsidRPr="00451F19">
        <w:rPr>
          <w:rFonts w:ascii="Times New Roman" w:eastAsia="Times New Roman" w:hAnsi="Times New Roman" w:cs="Times New Roman"/>
          <w:kern w:val="0"/>
          <w:sz w:val="24"/>
          <w:szCs w:val="24"/>
          <w:lang w:eastAsia="en-IN"/>
          <w14:ligatures w14:val="none"/>
        </w:rPr>
        <w:t>. Such infrastructure can support traceability, enable targeted interventions for threatened taxa, and help stabilize therapeutic translation by making variability visible, measurable, and manageable across time and geography.</w:t>
      </w:r>
    </w:p>
    <w:p w14:paraId="2E4AD8C0" w14:textId="77777777" w:rsidR="00F6642B" w:rsidRPr="00451F19" w:rsidRDefault="00F6642B"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7</w:t>
      </w:r>
      <w:r w:rsidRPr="00451F19">
        <w:rPr>
          <w:rFonts w:ascii="Times New Roman" w:eastAsia="Times New Roman" w:hAnsi="Times New Roman" w:cs="Times New Roman"/>
          <w:b/>
          <w:bCs/>
          <w:kern w:val="0"/>
          <w:sz w:val="36"/>
          <w:szCs w:val="36"/>
          <w:lang w:eastAsia="en-IN"/>
          <w14:ligatures w14:val="none"/>
        </w:rPr>
        <w:t>. Limitations</w:t>
      </w:r>
    </w:p>
    <w:p w14:paraId="0869F7C0" w14:textId="77777777" w:rsidR="00F6642B" w:rsidRPr="00451F19" w:rsidRDefault="00F6642B"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This review synthesizes recent peer-reviewed literature but does not constitute a systematic review with formal risk-of-bias scoring across all included studies. Therapeutic evidence is presented through representative exemplars rather than an exhaustive </w:t>
      </w:r>
      <w:proofErr w:type="spellStart"/>
      <w:r w:rsidRPr="00451F19">
        <w:rPr>
          <w:rFonts w:ascii="Times New Roman" w:eastAsia="Times New Roman" w:hAnsi="Times New Roman" w:cs="Times New Roman"/>
          <w:kern w:val="0"/>
          <w:sz w:val="24"/>
          <w:szCs w:val="24"/>
          <w:lang w:eastAsia="en-IN"/>
          <w14:ligatures w14:val="none"/>
        </w:rPr>
        <w:t>catalog</w:t>
      </w:r>
      <w:proofErr w:type="spellEnd"/>
      <w:r w:rsidRPr="00451F19">
        <w:rPr>
          <w:rFonts w:ascii="Times New Roman" w:eastAsia="Times New Roman" w:hAnsi="Times New Roman" w:cs="Times New Roman"/>
          <w:kern w:val="0"/>
          <w:sz w:val="24"/>
          <w:szCs w:val="24"/>
          <w:lang w:eastAsia="en-IN"/>
          <w14:ligatures w14:val="none"/>
        </w:rPr>
        <w:t xml:space="preserve"> of India’s ethnomedicinal flora. Because clinical outcomes depend strongly on formulation and trial design, generalization across products sold under the same plant name remains limited. Additionally, cultivation recommendations are discussed at a cross-cutting conceptual level; species-specific agronomic packages may differ substantially by region, cultivar, and farming system. Finally, rapidly evolving market dynamics and regulatory practices may change the practical landscape of cultivation and quality assurance beyond the time window emphasized here.</w:t>
      </w:r>
    </w:p>
    <w:p w14:paraId="5E57446C" w14:textId="6F266BC0" w:rsidR="00451F19" w:rsidRPr="00451F19" w:rsidRDefault="00F6642B"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8</w:t>
      </w:r>
      <w:r w:rsidR="00451F19" w:rsidRPr="00451F19">
        <w:rPr>
          <w:rFonts w:ascii="Times New Roman" w:eastAsia="Times New Roman" w:hAnsi="Times New Roman" w:cs="Times New Roman"/>
          <w:b/>
          <w:bCs/>
          <w:kern w:val="0"/>
          <w:sz w:val="36"/>
          <w:szCs w:val="36"/>
          <w:lang w:eastAsia="en-IN"/>
          <w14:ligatures w14:val="none"/>
        </w:rPr>
        <w:t>. Future research priorities</w:t>
      </w:r>
    </w:p>
    <w:p w14:paraId="021737A5" w14:textId="77B9FC73" w:rsidR="00451F19" w:rsidRPr="00451F19"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Future research should increasingly treat cultivation, chemistry, and clinical endpoints as a connected system. For widely used plants with existing clinical evidence (e.g., Ashwagandha, turmeric/curcumin, Tulsi), multi-site cultivation trials that track how agronomic variables influence marker profiles could directly support clinical reproducibility and reduce industry reliance on post-hoc blending. For plants with promising but preliminary evidence (including many region-specific taxa), research should focus on establishing safe, authenticated supply and building stepwise evidence from well-characterized extracts rather than rushing to broad health claims. Additionally, safety science must expand beyond isolated toxicity case reports to include systematic monitoring frameworks, particularly where public uptake is high and </w:t>
      </w:r>
      <w:r w:rsidRPr="00451F19">
        <w:rPr>
          <w:rFonts w:ascii="Times New Roman" w:eastAsia="Times New Roman" w:hAnsi="Times New Roman" w:cs="Times New Roman"/>
          <w:kern w:val="0"/>
          <w:sz w:val="24"/>
          <w:szCs w:val="24"/>
          <w:lang w:eastAsia="en-IN"/>
          <w14:ligatures w14:val="none"/>
        </w:rPr>
        <w:lastRenderedPageBreak/>
        <w:t xml:space="preserve">product diversity is large, as illustrated by Giloy-associated liver injury signals (Kulkarni et al., 2022). </w:t>
      </w:r>
    </w:p>
    <w:p w14:paraId="4FBE602D" w14:textId="208BFB6E" w:rsidR="00451F19" w:rsidRPr="00451F19" w:rsidRDefault="00F6642B" w:rsidP="00F21C0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9</w:t>
      </w:r>
      <w:r w:rsidR="00451F19" w:rsidRPr="00451F19">
        <w:rPr>
          <w:rFonts w:ascii="Times New Roman" w:eastAsia="Times New Roman" w:hAnsi="Times New Roman" w:cs="Times New Roman"/>
          <w:b/>
          <w:bCs/>
          <w:kern w:val="0"/>
          <w:sz w:val="36"/>
          <w:szCs w:val="36"/>
          <w:lang w:eastAsia="en-IN"/>
          <w14:ligatures w14:val="none"/>
        </w:rPr>
        <w:t>. Conclusions</w:t>
      </w:r>
    </w:p>
    <w:p w14:paraId="188694BB" w14:textId="1E4275A7" w:rsidR="00717E34" w:rsidRDefault="00451F19"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Ethnomedicinal plants in India represent a living interface between biodiversity, culture, and healthcare. This review shows that therapeutic applications cannot be meaningfully separated from cultivation and value-chain practices, because identity, phytochemical composition, and contaminant exposure are all shaped by upstream decisions. Recent clinical and systematic evidence supports the potential of selected plants and preparations—particularly standardized Ashwagandha extracts for stress-related outcomes and certain curcumin preparations for osteoarthritis-related symptoms—yet these benefits are conditional on preparation quality and appropriate use contexts. At the same time, evidence on contamination and herb-induced liver injury demonstrates that safety risks are real and can undermine both public health and confidence in traditional medicine. Advancing India’s ethnomedicinal plant sector therefore requires integrated strategies: ecologically matched cultivation using authenticated planting materials, robust post-harvest handling, multi-modal authentication and standardization, and stronger safety surveillance. When these components are aligned, ethnomedicinal plants can more credibly transition from culturally valued remedies to reproducible, safe, and ethically sustainable therapeutic options.</w:t>
      </w:r>
    </w:p>
    <w:p w14:paraId="76A83DC3" w14:textId="2F566797" w:rsidR="00CA44A8" w:rsidRDefault="00CA44A8"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0D0C82D" w14:textId="049C224B" w:rsidR="00CA44A8" w:rsidRDefault="00CA44A8"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C9F3B03" w14:textId="77777777" w:rsidR="00CA44A8" w:rsidRPr="00005ED1" w:rsidRDefault="00CA44A8" w:rsidP="00F21C0C">
      <w:pPr>
        <w:pStyle w:val="NoSpacing"/>
        <w:jc w:val="both"/>
        <w:rPr>
          <w:rFonts w:ascii="Arial" w:hAnsi="Arial" w:cs="Arial"/>
          <w:highlight w:val="yellow"/>
        </w:rPr>
      </w:pPr>
      <w:bookmarkStart w:id="2" w:name="_Hlk198031404"/>
      <w:r w:rsidRPr="00005ED1">
        <w:rPr>
          <w:rFonts w:ascii="Arial" w:hAnsi="Arial" w:cs="Arial"/>
          <w:highlight w:val="yellow"/>
        </w:rPr>
        <w:t>Disclaimer (Artificial intelligence)</w:t>
      </w:r>
    </w:p>
    <w:p w14:paraId="33A7E285" w14:textId="77777777" w:rsidR="00CA44A8" w:rsidRPr="00005ED1" w:rsidRDefault="00CA44A8" w:rsidP="00F21C0C">
      <w:pPr>
        <w:pStyle w:val="NoSpacing"/>
        <w:jc w:val="both"/>
        <w:rPr>
          <w:rFonts w:ascii="Arial" w:hAnsi="Arial" w:cs="Arial"/>
          <w:highlight w:val="yellow"/>
        </w:rPr>
      </w:pPr>
    </w:p>
    <w:p w14:paraId="4AA9C8AE" w14:textId="77777777" w:rsidR="00CA44A8" w:rsidRPr="00005ED1" w:rsidRDefault="00CA44A8" w:rsidP="00F21C0C">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6E84962C" w14:textId="77777777" w:rsidR="00CA44A8" w:rsidRDefault="00CA44A8" w:rsidP="00F21C0C">
      <w:pPr>
        <w:pStyle w:val="NoSpacing"/>
        <w:jc w:val="both"/>
        <w:rPr>
          <w:rFonts w:ascii="Arial" w:hAnsi="Arial" w:cs="Arial"/>
        </w:rPr>
      </w:pPr>
    </w:p>
    <w:p w14:paraId="6F820374" w14:textId="77777777" w:rsidR="00CA44A8" w:rsidRDefault="00CA44A8" w:rsidP="00F21C0C">
      <w:pPr>
        <w:pStyle w:val="NoSpacing"/>
        <w:jc w:val="both"/>
        <w:rPr>
          <w:rFonts w:ascii="Arial" w:hAnsi="Arial" w:cs="Arial"/>
        </w:rPr>
      </w:pPr>
    </w:p>
    <w:p w14:paraId="69CB6183" w14:textId="77777777" w:rsidR="00CA44A8" w:rsidRPr="00005ED1" w:rsidRDefault="00CA44A8" w:rsidP="00F21C0C">
      <w:pPr>
        <w:pStyle w:val="NoSpacing"/>
        <w:jc w:val="both"/>
        <w:rPr>
          <w:rFonts w:ascii="Arial" w:hAnsi="Arial" w:cs="Arial"/>
        </w:rPr>
      </w:pPr>
    </w:p>
    <w:p w14:paraId="74DC56B5" w14:textId="77777777" w:rsidR="00CA44A8" w:rsidRDefault="00CA44A8" w:rsidP="00F21C0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0067C84" w14:textId="77777777" w:rsidR="00717E34" w:rsidRPr="00EF5388" w:rsidRDefault="00717E34" w:rsidP="00F21C0C">
      <w:pPr>
        <w:pStyle w:val="NormalWeb"/>
        <w:jc w:val="both"/>
        <w:rPr>
          <w:b/>
          <w:bCs/>
          <w:sz w:val="32"/>
          <w:szCs w:val="32"/>
        </w:rPr>
      </w:pPr>
      <w:r w:rsidRPr="00EF5388">
        <w:rPr>
          <w:b/>
          <w:bCs/>
          <w:sz w:val="32"/>
          <w:szCs w:val="32"/>
        </w:rPr>
        <w:t>References</w:t>
      </w:r>
    </w:p>
    <w:p w14:paraId="33E38735" w14:textId="77777777" w:rsidR="00717E34" w:rsidRDefault="00717E34" w:rsidP="001B07BE">
      <w:pPr>
        <w:pStyle w:val="NormalWeb"/>
        <w:numPr>
          <w:ilvl w:val="0"/>
          <w:numId w:val="1"/>
        </w:numPr>
        <w:jc w:val="both"/>
      </w:pPr>
      <w:r>
        <w:t xml:space="preserve">Ahmad, S., Zahiruddin, S., Parveen, B., </w:t>
      </w:r>
      <w:proofErr w:type="spellStart"/>
      <w:r>
        <w:t>Basist</w:t>
      </w:r>
      <w:proofErr w:type="spellEnd"/>
      <w:r>
        <w:t xml:space="preserve">, P., Parveen, A., Gaurav, Parveen, R., &amp; Ahmad, M. (2021). Indian medicinal plants and formulations and their potential against COVID-19—Preclinical and clinical research. </w:t>
      </w:r>
      <w:r>
        <w:rPr>
          <w:rStyle w:val="Emphasis"/>
          <w:rFonts w:eastAsiaTheme="majorEastAsia"/>
        </w:rPr>
        <w:t>Frontiers in Pharmacology, 11</w:t>
      </w:r>
      <w:r>
        <w:t xml:space="preserve">, 578970. </w:t>
      </w:r>
      <w:hyperlink r:id="rId7" w:tgtFrame="_new" w:history="1">
        <w:r>
          <w:rPr>
            <w:rStyle w:val="Hyperlink"/>
            <w:rFonts w:eastAsiaTheme="majorEastAsia"/>
          </w:rPr>
          <w:t>https://doi.org/10.3389/fphar.2020.578970</w:t>
        </w:r>
      </w:hyperlink>
    </w:p>
    <w:p w14:paraId="3AC6B905" w14:textId="77777777" w:rsidR="00717E34" w:rsidRDefault="00717E34" w:rsidP="001B07BE">
      <w:pPr>
        <w:pStyle w:val="NormalWeb"/>
        <w:numPr>
          <w:ilvl w:val="0"/>
          <w:numId w:val="1"/>
        </w:numPr>
        <w:jc w:val="both"/>
      </w:pPr>
      <w:r>
        <w:t xml:space="preserve">Arumugam, V., Vijayakumar, V., Balakrishnan, A., Bhandari, R. B., Boopalan, D., </w:t>
      </w:r>
      <w:proofErr w:type="spellStart"/>
      <w:r>
        <w:t>Ponnurangam</w:t>
      </w:r>
      <w:proofErr w:type="spellEnd"/>
      <w:r>
        <w:t xml:space="preserve">, R., &amp; </w:t>
      </w:r>
      <w:proofErr w:type="spellStart"/>
      <w:r>
        <w:t>Thirupathy</w:t>
      </w:r>
      <w:proofErr w:type="spellEnd"/>
      <w:r>
        <w:t>, V. S. (2024). Effects of Ashwagandha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on stress and anxiety: A systematic review and meta-analysis. </w:t>
      </w:r>
      <w:r>
        <w:rPr>
          <w:rStyle w:val="Emphasis"/>
          <w:rFonts w:eastAsiaTheme="majorEastAsia"/>
        </w:rPr>
        <w:t>Explore, 20</w:t>
      </w:r>
      <w:r>
        <w:t xml:space="preserve">(6), 103062. </w:t>
      </w:r>
      <w:hyperlink r:id="rId8" w:tgtFrame="_new" w:history="1">
        <w:r>
          <w:rPr>
            <w:rStyle w:val="Hyperlink"/>
            <w:rFonts w:eastAsiaTheme="majorEastAsia"/>
          </w:rPr>
          <w:t>https://doi.org/10.1016/j.explore.2024.103062</w:t>
        </w:r>
      </w:hyperlink>
    </w:p>
    <w:p w14:paraId="74B4DA91" w14:textId="77777777" w:rsidR="00717E34" w:rsidRDefault="00717E34" w:rsidP="001B07BE">
      <w:pPr>
        <w:pStyle w:val="NormalWeb"/>
        <w:numPr>
          <w:ilvl w:val="0"/>
          <w:numId w:val="1"/>
        </w:numPr>
        <w:jc w:val="both"/>
      </w:pPr>
      <w:r>
        <w:t xml:space="preserve">Aswin, P. P., Shukla, S., &amp; Dalal, J. (2026). Enhancing authentication: A review of DNA barcoding technique for detecting adulterants in Indian herbal medicines. </w:t>
      </w:r>
      <w:r>
        <w:rPr>
          <w:rStyle w:val="Emphasis"/>
          <w:rFonts w:eastAsiaTheme="majorEastAsia"/>
        </w:rPr>
        <w:t>Microchemical Journal, 220</w:t>
      </w:r>
      <w:r>
        <w:t xml:space="preserve">, 116655. </w:t>
      </w:r>
      <w:hyperlink r:id="rId9" w:tgtFrame="_new" w:history="1">
        <w:r>
          <w:rPr>
            <w:rStyle w:val="Hyperlink"/>
            <w:rFonts w:eastAsiaTheme="majorEastAsia"/>
          </w:rPr>
          <w:t>https://doi.org/10.1016/j.microc.2025.116655</w:t>
        </w:r>
      </w:hyperlink>
    </w:p>
    <w:p w14:paraId="5931E024" w14:textId="77777777" w:rsidR="00717E34" w:rsidRDefault="00717E34" w:rsidP="001B07BE">
      <w:pPr>
        <w:pStyle w:val="NormalWeb"/>
        <w:numPr>
          <w:ilvl w:val="0"/>
          <w:numId w:val="1"/>
        </w:numPr>
        <w:jc w:val="both"/>
      </w:pPr>
      <w:r>
        <w:lastRenderedPageBreak/>
        <w:t xml:space="preserve">Balkrishna, A., Kumar, A., </w:t>
      </w:r>
      <w:proofErr w:type="spellStart"/>
      <w:r>
        <w:t>Rohela</w:t>
      </w:r>
      <w:proofErr w:type="spellEnd"/>
      <w:r>
        <w:t xml:space="preserve">, A., Arya, V., Gautam, A. K., Sharma, H., Rai, P., Kumari, A., &amp; </w:t>
      </w:r>
      <w:proofErr w:type="spellStart"/>
      <w:r>
        <w:t>Amarowicz</w:t>
      </w:r>
      <w:proofErr w:type="spellEnd"/>
      <w:r>
        <w:t xml:space="preserve">, R. (2024). Traditional uses, hepatoprotective potential, and phytopharmacology of </w:t>
      </w:r>
      <w:proofErr w:type="spellStart"/>
      <w:r>
        <w:rPr>
          <w:rStyle w:val="Emphasis"/>
          <w:rFonts w:eastAsiaTheme="majorEastAsia"/>
        </w:rPr>
        <w:t>Tinospora</w:t>
      </w:r>
      <w:proofErr w:type="spellEnd"/>
      <w:r>
        <w:rPr>
          <w:rStyle w:val="Emphasis"/>
          <w:rFonts w:eastAsiaTheme="majorEastAsia"/>
        </w:rPr>
        <w:t xml:space="preserve"> </w:t>
      </w:r>
      <w:proofErr w:type="spellStart"/>
      <w:r>
        <w:rPr>
          <w:rStyle w:val="Emphasis"/>
          <w:rFonts w:eastAsiaTheme="majorEastAsia"/>
        </w:rPr>
        <w:t>cordifolia</w:t>
      </w:r>
      <w:proofErr w:type="spellEnd"/>
      <w:r>
        <w:t xml:space="preserve">: A narrative review. </w:t>
      </w:r>
      <w:r>
        <w:rPr>
          <w:rStyle w:val="Emphasis"/>
          <w:rFonts w:eastAsiaTheme="majorEastAsia"/>
        </w:rPr>
        <w:t>Journal of Pharmacy and Pharmacology, 76</w:t>
      </w:r>
      <w:r>
        <w:t xml:space="preserve">(3), 183–200. </w:t>
      </w:r>
      <w:hyperlink r:id="rId10" w:tgtFrame="_new" w:history="1">
        <w:r>
          <w:rPr>
            <w:rStyle w:val="Hyperlink"/>
            <w:rFonts w:eastAsiaTheme="majorEastAsia"/>
          </w:rPr>
          <w:t>https://doi.org/10.1093/jpp/rgae013</w:t>
        </w:r>
      </w:hyperlink>
    </w:p>
    <w:p w14:paraId="69709B78" w14:textId="77777777" w:rsidR="00717E34" w:rsidRDefault="00717E34" w:rsidP="001B07BE">
      <w:pPr>
        <w:pStyle w:val="NormalWeb"/>
        <w:numPr>
          <w:ilvl w:val="0"/>
          <w:numId w:val="1"/>
        </w:numPr>
        <w:jc w:val="both"/>
      </w:pPr>
      <w:r>
        <w:t xml:space="preserve">Bisht, V. K., Uniyal, R. C., &amp; Sharma, S. M. (2022). Assessment of heavy metal content in herbal raw materials traded in India. </w:t>
      </w:r>
      <w:r>
        <w:rPr>
          <w:rStyle w:val="Emphasis"/>
          <w:rFonts w:eastAsiaTheme="majorEastAsia"/>
        </w:rPr>
        <w:t>South African Journal of Botany, 148</w:t>
      </w:r>
      <w:r>
        <w:t xml:space="preserve">, 154–161. </w:t>
      </w:r>
      <w:hyperlink r:id="rId11" w:tgtFrame="_new" w:history="1">
        <w:r>
          <w:rPr>
            <w:rStyle w:val="Hyperlink"/>
            <w:rFonts w:eastAsiaTheme="majorEastAsia"/>
          </w:rPr>
          <w:t>https://doi.org/10.1016/j.sajb.2022.01.045</w:t>
        </w:r>
      </w:hyperlink>
    </w:p>
    <w:p w14:paraId="200934FF" w14:textId="77777777" w:rsidR="00717E34" w:rsidRDefault="00717E34" w:rsidP="001B07BE">
      <w:pPr>
        <w:pStyle w:val="NormalWeb"/>
        <w:numPr>
          <w:ilvl w:val="0"/>
          <w:numId w:val="1"/>
        </w:numPr>
        <w:jc w:val="both"/>
      </w:pPr>
      <w:r>
        <w:t xml:space="preserve">Chen, S., Yin, X., Han, J., Sun, W., Yao, H., Song, J., &amp; Li, X. (2023). DNA barcoding in herbal medicine: Retrospective and prospective. </w:t>
      </w:r>
      <w:r>
        <w:rPr>
          <w:rStyle w:val="Emphasis"/>
          <w:rFonts w:eastAsiaTheme="majorEastAsia"/>
        </w:rPr>
        <w:t>Journal of Pharmaceutical Analysis, 13</w:t>
      </w:r>
      <w:r>
        <w:t xml:space="preserve">(5), 431–441. </w:t>
      </w:r>
      <w:hyperlink r:id="rId12" w:tgtFrame="_new" w:history="1">
        <w:r>
          <w:rPr>
            <w:rStyle w:val="Hyperlink"/>
            <w:rFonts w:eastAsiaTheme="majorEastAsia"/>
          </w:rPr>
          <w:t>https://doi.org/10.1016/j.jpha.2023.03.008</w:t>
        </w:r>
      </w:hyperlink>
    </w:p>
    <w:p w14:paraId="1C42CB6B" w14:textId="77777777" w:rsidR="00717E34" w:rsidRDefault="00717E34" w:rsidP="001B07BE">
      <w:pPr>
        <w:pStyle w:val="NormalWeb"/>
        <w:numPr>
          <w:ilvl w:val="0"/>
          <w:numId w:val="1"/>
        </w:numPr>
        <w:jc w:val="both"/>
      </w:pPr>
      <w:r>
        <w:t xml:space="preserve">Choudhury, A., Singh, P. A., Bajwa, N., Dash, S., &amp; Bisht, P. (2023). Pharmacovigilance of herbal medicines: Concerns and future prospects. </w:t>
      </w:r>
      <w:r>
        <w:rPr>
          <w:rStyle w:val="Emphasis"/>
          <w:rFonts w:eastAsiaTheme="majorEastAsia"/>
        </w:rPr>
        <w:t>Journal of Ethnopharmacology, 309</w:t>
      </w:r>
      <w:r>
        <w:t xml:space="preserve">, 116383. </w:t>
      </w:r>
      <w:hyperlink r:id="rId13" w:tgtFrame="_new" w:history="1">
        <w:r>
          <w:rPr>
            <w:rStyle w:val="Hyperlink"/>
            <w:rFonts w:eastAsiaTheme="majorEastAsia"/>
          </w:rPr>
          <w:t>https://doi.org/10.1016/j.jep.2023.116383</w:t>
        </w:r>
      </w:hyperlink>
    </w:p>
    <w:p w14:paraId="498284DD" w14:textId="77777777" w:rsidR="00717E34" w:rsidRDefault="00717E34" w:rsidP="001B07BE">
      <w:pPr>
        <w:pStyle w:val="NormalWeb"/>
        <w:numPr>
          <w:ilvl w:val="0"/>
          <w:numId w:val="1"/>
        </w:numPr>
        <w:jc w:val="both"/>
      </w:pPr>
      <w:r>
        <w:t xml:space="preserve">Deswal, M., Deswal, P., &amp; Laura, J. S. (2022). Study on heavy metals in some Ayurvedic herbal products and risk assessment of their calculated average daily dose intake in humans. </w:t>
      </w:r>
      <w:r>
        <w:rPr>
          <w:rStyle w:val="Emphasis"/>
          <w:rFonts w:eastAsiaTheme="majorEastAsia"/>
        </w:rPr>
        <w:t>Journal of Herbal Medicine, 34</w:t>
      </w:r>
      <w:r>
        <w:t xml:space="preserve">, 100569. </w:t>
      </w:r>
      <w:hyperlink r:id="rId14" w:tgtFrame="_new" w:history="1">
        <w:r>
          <w:rPr>
            <w:rStyle w:val="Hyperlink"/>
            <w:rFonts w:eastAsiaTheme="majorEastAsia"/>
          </w:rPr>
          <w:t>https://doi.org/10.1016/j.hermed.2022.100569</w:t>
        </w:r>
      </w:hyperlink>
    </w:p>
    <w:p w14:paraId="2F2FE695" w14:textId="77777777" w:rsidR="00717E34" w:rsidRDefault="00717E34" w:rsidP="001B07BE">
      <w:pPr>
        <w:pStyle w:val="NormalWeb"/>
        <w:numPr>
          <w:ilvl w:val="0"/>
          <w:numId w:val="1"/>
        </w:numPr>
        <w:jc w:val="both"/>
      </w:pPr>
      <w:r>
        <w:t xml:space="preserve">Gowthami, R., Sharma, N., Pandey, R., &amp; Agrawal, A. (2021). Status and consolidated list of threatened medicinal plants of India. </w:t>
      </w:r>
      <w:r>
        <w:rPr>
          <w:rStyle w:val="Emphasis"/>
          <w:rFonts w:eastAsiaTheme="majorEastAsia"/>
        </w:rPr>
        <w:t>Genetic Resources and Crop Evolution, 68</w:t>
      </w:r>
      <w:r>
        <w:t xml:space="preserve">, 2235–2263. </w:t>
      </w:r>
      <w:hyperlink r:id="rId15" w:tgtFrame="_new" w:history="1">
        <w:r>
          <w:rPr>
            <w:rStyle w:val="Hyperlink"/>
            <w:rFonts w:eastAsiaTheme="majorEastAsia"/>
          </w:rPr>
          <w:t>https://doi.org/10.1007/s10722-021-01199-0</w:t>
        </w:r>
      </w:hyperlink>
    </w:p>
    <w:p w14:paraId="5BADA2DE" w14:textId="77777777" w:rsidR="00717E34" w:rsidRDefault="00717E34" w:rsidP="001B07BE">
      <w:pPr>
        <w:pStyle w:val="NormalWeb"/>
        <w:numPr>
          <w:ilvl w:val="0"/>
          <w:numId w:val="1"/>
        </w:numPr>
        <w:jc w:val="both"/>
      </w:pPr>
      <w:r>
        <w:t xml:space="preserve">Ghoshal, S., Ghule, C., </w:t>
      </w:r>
      <w:proofErr w:type="spellStart"/>
      <w:r>
        <w:t>Mirgal</w:t>
      </w:r>
      <w:proofErr w:type="spellEnd"/>
      <w:r>
        <w:t xml:space="preserve">, A., </w:t>
      </w:r>
      <w:proofErr w:type="spellStart"/>
      <w:r>
        <w:t>Girme</w:t>
      </w:r>
      <w:proofErr w:type="spellEnd"/>
      <w:r>
        <w:t xml:space="preserve">, A., &amp; Hingorani, L. (2022). Recent findings by high-performance thin-layer chromatographic separation for a comprehensive analysis of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by densitometry and mass spectrometry: An assessment to quality and adulteration. </w:t>
      </w:r>
      <w:r>
        <w:rPr>
          <w:rStyle w:val="Emphasis"/>
          <w:rFonts w:eastAsiaTheme="majorEastAsia"/>
        </w:rPr>
        <w:t>JPC – Journal of Planar Chromatography – Modern TLC, 35</w:t>
      </w:r>
      <w:r>
        <w:t xml:space="preserve">, 439–451. </w:t>
      </w:r>
      <w:hyperlink r:id="rId16" w:tgtFrame="_new" w:history="1">
        <w:r>
          <w:rPr>
            <w:rStyle w:val="Hyperlink"/>
            <w:rFonts w:eastAsiaTheme="majorEastAsia"/>
          </w:rPr>
          <w:t>https://doi.org/10.1007/s00764-022-00187-z</w:t>
        </w:r>
      </w:hyperlink>
    </w:p>
    <w:p w14:paraId="2F4DF617" w14:textId="77777777" w:rsidR="00717E34" w:rsidRDefault="00717E34" w:rsidP="001B07BE">
      <w:pPr>
        <w:pStyle w:val="NormalWeb"/>
        <w:numPr>
          <w:ilvl w:val="0"/>
          <w:numId w:val="1"/>
        </w:numPr>
        <w:jc w:val="both"/>
      </w:pPr>
      <w:r>
        <w:t>Islas, J. F., Acosta, E., G-Buentello, Z., Delgado-Gallegos, J. L., Moreno-Treviño, M. G., Escalante, B., &amp; Moreno-Cuevas, J. E. (2020). An overview of Neem (</w:t>
      </w:r>
      <w:proofErr w:type="spellStart"/>
      <w:r>
        <w:rPr>
          <w:rStyle w:val="Emphasis"/>
          <w:rFonts w:eastAsiaTheme="majorEastAsia"/>
        </w:rPr>
        <w:t>Azadirachta</w:t>
      </w:r>
      <w:proofErr w:type="spellEnd"/>
      <w:r>
        <w:rPr>
          <w:rStyle w:val="Emphasis"/>
          <w:rFonts w:eastAsiaTheme="majorEastAsia"/>
        </w:rPr>
        <w:t xml:space="preserve"> </w:t>
      </w:r>
      <w:proofErr w:type="spellStart"/>
      <w:r>
        <w:rPr>
          <w:rStyle w:val="Emphasis"/>
          <w:rFonts w:eastAsiaTheme="majorEastAsia"/>
        </w:rPr>
        <w:t>indica</w:t>
      </w:r>
      <w:proofErr w:type="spellEnd"/>
      <w:r>
        <w:t xml:space="preserve">) and its potential impact on health. </w:t>
      </w:r>
      <w:r>
        <w:rPr>
          <w:rStyle w:val="Emphasis"/>
          <w:rFonts w:eastAsiaTheme="majorEastAsia"/>
        </w:rPr>
        <w:t>Journal of Functional Foods, 74</w:t>
      </w:r>
      <w:r>
        <w:t xml:space="preserve">, 104171. </w:t>
      </w:r>
      <w:hyperlink r:id="rId17" w:tgtFrame="_new" w:history="1">
        <w:r>
          <w:rPr>
            <w:rStyle w:val="Hyperlink"/>
            <w:rFonts w:eastAsiaTheme="majorEastAsia"/>
          </w:rPr>
          <w:t>https://doi.org/10.1016/j.jff.2020.104171</w:t>
        </w:r>
      </w:hyperlink>
    </w:p>
    <w:p w14:paraId="5CE6A938" w14:textId="77777777" w:rsidR="00717E34" w:rsidRDefault="00717E34" w:rsidP="001B07BE">
      <w:pPr>
        <w:pStyle w:val="NormalWeb"/>
        <w:numPr>
          <w:ilvl w:val="0"/>
          <w:numId w:val="1"/>
        </w:numPr>
        <w:jc w:val="both"/>
      </w:pPr>
      <w:r>
        <w:t xml:space="preserve">Ji, P., Yang, X., &amp; Zhao, X. (2024). Application of metabolomics in quality control of traditional Chinese medicines: A review. </w:t>
      </w:r>
      <w:r>
        <w:rPr>
          <w:rStyle w:val="Emphasis"/>
          <w:rFonts w:eastAsiaTheme="majorEastAsia"/>
        </w:rPr>
        <w:t>Frontiers in Plant Science, 15</w:t>
      </w:r>
      <w:r>
        <w:t xml:space="preserve">, 1463666. </w:t>
      </w:r>
      <w:hyperlink r:id="rId18" w:tgtFrame="_new" w:history="1">
        <w:r>
          <w:rPr>
            <w:rStyle w:val="Hyperlink"/>
            <w:rFonts w:eastAsiaTheme="majorEastAsia"/>
          </w:rPr>
          <w:t>https://doi.org/10.3389/fpls.2024.1463666</w:t>
        </w:r>
      </w:hyperlink>
    </w:p>
    <w:p w14:paraId="17F6B385" w14:textId="77777777" w:rsidR="00717E34" w:rsidRDefault="00717E34" w:rsidP="001B07BE">
      <w:pPr>
        <w:pStyle w:val="NormalWeb"/>
        <w:numPr>
          <w:ilvl w:val="0"/>
          <w:numId w:val="1"/>
        </w:numPr>
        <w:jc w:val="both"/>
      </w:pPr>
      <w:r>
        <w:t xml:space="preserve">Kanika, &amp; Panda, L. R. L. (2024). An ethnobotanical survey of plants used by communities around </w:t>
      </w:r>
      <w:proofErr w:type="spellStart"/>
      <w:r>
        <w:t>Jaunsar-Bawar</w:t>
      </w:r>
      <w:proofErr w:type="spellEnd"/>
      <w:r>
        <w:t xml:space="preserve"> Region of Uttarakhand, India. </w:t>
      </w:r>
      <w:r>
        <w:rPr>
          <w:rStyle w:val="Emphasis"/>
          <w:rFonts w:eastAsiaTheme="majorEastAsia"/>
        </w:rPr>
        <w:t>Asian Journal of Environment &amp; Ecology, 23</w:t>
      </w:r>
      <w:r>
        <w:t xml:space="preserve">(7), 95–109. </w:t>
      </w:r>
      <w:hyperlink r:id="rId19" w:tgtFrame="_new" w:history="1">
        <w:r>
          <w:rPr>
            <w:rStyle w:val="Hyperlink"/>
            <w:rFonts w:eastAsiaTheme="majorEastAsia"/>
          </w:rPr>
          <w:t>https://doi.org/10.9734/ajee/2024/v23i7566</w:t>
        </w:r>
      </w:hyperlink>
    </w:p>
    <w:p w14:paraId="6E51B78D" w14:textId="77777777" w:rsidR="00717E34" w:rsidRDefault="00717E34" w:rsidP="001B07BE">
      <w:pPr>
        <w:pStyle w:val="NormalWeb"/>
        <w:numPr>
          <w:ilvl w:val="0"/>
          <w:numId w:val="1"/>
        </w:numPr>
        <w:jc w:val="both"/>
      </w:pPr>
      <w:proofErr w:type="spellStart"/>
      <w:r>
        <w:t>Kaundal</w:t>
      </w:r>
      <w:proofErr w:type="spellEnd"/>
      <w:r>
        <w:t xml:space="preserve">, R., &amp; Kumar, D. (2025). Current demands for standardization of Indian medicinal plants: A critical review. </w:t>
      </w:r>
      <w:r>
        <w:rPr>
          <w:rStyle w:val="Emphasis"/>
          <w:rFonts w:eastAsiaTheme="majorEastAsia"/>
        </w:rPr>
        <w:t>Medicine in Drug Discovery, 27</w:t>
      </w:r>
      <w:r>
        <w:t xml:space="preserve">, 100211. </w:t>
      </w:r>
      <w:hyperlink r:id="rId20" w:tgtFrame="_new" w:history="1">
        <w:r>
          <w:rPr>
            <w:rStyle w:val="Hyperlink"/>
            <w:rFonts w:eastAsiaTheme="majorEastAsia"/>
          </w:rPr>
          <w:t>https://doi.org/10.1016/j.medidd.2025.100211</w:t>
        </w:r>
      </w:hyperlink>
    </w:p>
    <w:p w14:paraId="4FFB8BF1" w14:textId="77777777" w:rsidR="00717E34" w:rsidRDefault="00717E34" w:rsidP="001B07BE">
      <w:pPr>
        <w:pStyle w:val="NormalWeb"/>
        <w:numPr>
          <w:ilvl w:val="0"/>
          <w:numId w:val="1"/>
        </w:numPr>
        <w:jc w:val="both"/>
      </w:pPr>
      <w:r>
        <w:t xml:space="preserve">Kulkarni, A. V., </w:t>
      </w:r>
      <w:proofErr w:type="spellStart"/>
      <w:r>
        <w:t>Hanchanale</w:t>
      </w:r>
      <w:proofErr w:type="spellEnd"/>
      <w:r>
        <w:t xml:space="preserve">, P., Prakash, V., Kalal, C., Sharma, M., Kumar, K., Bishnu, S., Kulkarni, A. V., Anand, L., Patwa, A. K., Kumbar, S., Kainth, S., &amp; Philips, C. A. (2022). </w:t>
      </w:r>
      <w:proofErr w:type="spellStart"/>
      <w:r>
        <w:rPr>
          <w:rStyle w:val="Emphasis"/>
          <w:rFonts w:eastAsiaTheme="majorEastAsia"/>
        </w:rPr>
        <w:t>Tinospora</w:t>
      </w:r>
      <w:proofErr w:type="spellEnd"/>
      <w:r>
        <w:rPr>
          <w:rStyle w:val="Emphasis"/>
          <w:rFonts w:eastAsiaTheme="majorEastAsia"/>
        </w:rPr>
        <w:t xml:space="preserve"> </w:t>
      </w:r>
      <w:proofErr w:type="spellStart"/>
      <w:r>
        <w:rPr>
          <w:rStyle w:val="Emphasis"/>
          <w:rFonts w:eastAsiaTheme="majorEastAsia"/>
        </w:rPr>
        <w:t>cordifolia</w:t>
      </w:r>
      <w:proofErr w:type="spellEnd"/>
      <w:r>
        <w:t xml:space="preserve"> (</w:t>
      </w:r>
      <w:proofErr w:type="spellStart"/>
      <w:r>
        <w:t>Giloy</w:t>
      </w:r>
      <w:proofErr w:type="spellEnd"/>
      <w:r>
        <w:t>)–induced liver injury during the COVID-19 pandemic—</w:t>
      </w:r>
      <w:proofErr w:type="spellStart"/>
      <w:r>
        <w:t>Multicenter</w:t>
      </w:r>
      <w:proofErr w:type="spellEnd"/>
      <w:r>
        <w:t xml:space="preserve"> nationwide study from India. </w:t>
      </w:r>
      <w:r>
        <w:rPr>
          <w:rStyle w:val="Emphasis"/>
          <w:rFonts w:eastAsiaTheme="majorEastAsia"/>
        </w:rPr>
        <w:t>Hepatology Communications, 6</w:t>
      </w:r>
      <w:r>
        <w:t xml:space="preserve">(6), 1289–1300. </w:t>
      </w:r>
      <w:hyperlink r:id="rId21" w:tgtFrame="_new" w:history="1">
        <w:r>
          <w:rPr>
            <w:rStyle w:val="Hyperlink"/>
            <w:rFonts w:eastAsiaTheme="majorEastAsia"/>
          </w:rPr>
          <w:t>https://doi.org/10.1002/hep4.1904</w:t>
        </w:r>
      </w:hyperlink>
    </w:p>
    <w:p w14:paraId="00346FCD" w14:textId="77777777" w:rsidR="00717E34" w:rsidRDefault="00717E34" w:rsidP="001B07BE">
      <w:pPr>
        <w:pStyle w:val="NormalWeb"/>
        <w:numPr>
          <w:ilvl w:val="0"/>
          <w:numId w:val="1"/>
        </w:numPr>
        <w:jc w:val="both"/>
      </w:pPr>
      <w:r>
        <w:t xml:space="preserve">Kumar, M., Patel, M., Chauhan, R., Tank, C., Solanki, S., Patel, P., </w:t>
      </w:r>
      <w:proofErr w:type="spellStart"/>
      <w:r>
        <w:t>Bhadauria</w:t>
      </w:r>
      <w:proofErr w:type="spellEnd"/>
      <w:r>
        <w:t xml:space="preserve">, H., Gami, R., </w:t>
      </w:r>
      <w:proofErr w:type="spellStart"/>
      <w:r>
        <w:t>Pachchigar</w:t>
      </w:r>
      <w:proofErr w:type="spellEnd"/>
      <w:r>
        <w:t xml:space="preserve">, K., Soni, N., Patel, P., Singh, A., Patel, N., &amp; Patel, R. (2020). Elucidation of genotype–environment interactions and genetic stability parameters for yield, quality and </w:t>
      </w:r>
      <w:proofErr w:type="spellStart"/>
      <w:r>
        <w:t>agromorphological</w:t>
      </w:r>
      <w:proofErr w:type="spellEnd"/>
      <w:r>
        <w:t xml:space="preserve"> traits in ashwagandha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(L.) </w:t>
      </w:r>
      <w:proofErr w:type="spellStart"/>
      <w:r>
        <w:t>Dunal</w:t>
      </w:r>
      <w:proofErr w:type="spellEnd"/>
      <w:r>
        <w:t xml:space="preserve">). </w:t>
      </w:r>
      <w:r>
        <w:rPr>
          <w:rStyle w:val="Emphasis"/>
          <w:rFonts w:eastAsiaTheme="majorEastAsia"/>
        </w:rPr>
        <w:t>Journal of Genetics, 99</w:t>
      </w:r>
      <w:r>
        <w:t xml:space="preserve">, 59. </w:t>
      </w:r>
      <w:hyperlink r:id="rId22" w:tgtFrame="_new" w:history="1">
        <w:r>
          <w:rPr>
            <w:rStyle w:val="Hyperlink"/>
            <w:rFonts w:eastAsiaTheme="majorEastAsia"/>
          </w:rPr>
          <w:t>https://doi.org/10.1007/s12041-020-01207-9</w:t>
        </w:r>
      </w:hyperlink>
    </w:p>
    <w:p w14:paraId="76B1B761" w14:textId="77777777" w:rsidR="00717E34" w:rsidRDefault="00717E34" w:rsidP="001B07BE">
      <w:pPr>
        <w:pStyle w:val="NormalWeb"/>
        <w:numPr>
          <w:ilvl w:val="0"/>
          <w:numId w:val="1"/>
        </w:numPr>
        <w:jc w:val="both"/>
      </w:pPr>
      <w:r>
        <w:lastRenderedPageBreak/>
        <w:t xml:space="preserve">Lopresti, A. L., Smith, S. J., </w:t>
      </w:r>
      <w:proofErr w:type="spellStart"/>
      <w:r>
        <w:t>Metse</w:t>
      </w:r>
      <w:proofErr w:type="spellEnd"/>
      <w:r>
        <w:t xml:space="preserve">, A. P., &amp; Drummond, P. D. (2022). A randomized, double-blind, placebo-controlled trial investigating the effects of an </w:t>
      </w:r>
      <w:proofErr w:type="spellStart"/>
      <w:r>
        <w:rPr>
          <w:rStyle w:val="Emphasis"/>
          <w:rFonts w:eastAsiaTheme="majorEastAsia"/>
        </w:rPr>
        <w:t>Ocimum</w:t>
      </w:r>
      <w:proofErr w:type="spellEnd"/>
      <w:r>
        <w:rPr>
          <w:rStyle w:val="Emphasis"/>
          <w:rFonts w:eastAsiaTheme="majorEastAsia"/>
        </w:rPr>
        <w:t xml:space="preserve"> </w:t>
      </w:r>
      <w:proofErr w:type="spellStart"/>
      <w:r>
        <w:rPr>
          <w:rStyle w:val="Emphasis"/>
          <w:rFonts w:eastAsiaTheme="majorEastAsia"/>
        </w:rPr>
        <w:t>tenuiflorum</w:t>
      </w:r>
      <w:proofErr w:type="spellEnd"/>
      <w:r>
        <w:t xml:space="preserve"> extract on stress, mood, and sleep. </w:t>
      </w:r>
      <w:r>
        <w:rPr>
          <w:rStyle w:val="Emphasis"/>
          <w:rFonts w:eastAsiaTheme="majorEastAsia"/>
        </w:rPr>
        <w:t>Frontiers in Nutrition, 9</w:t>
      </w:r>
      <w:r>
        <w:t xml:space="preserve">, 965130. </w:t>
      </w:r>
      <w:hyperlink r:id="rId23" w:tgtFrame="_new" w:history="1">
        <w:r>
          <w:rPr>
            <w:rStyle w:val="Hyperlink"/>
            <w:rFonts w:eastAsiaTheme="majorEastAsia"/>
          </w:rPr>
          <w:t>https://doi.org/10.3389/fnut.2022.965130</w:t>
        </w:r>
      </w:hyperlink>
    </w:p>
    <w:p w14:paraId="1AD4EF04" w14:textId="77777777" w:rsidR="00717E34" w:rsidRDefault="00717E34" w:rsidP="001B07BE">
      <w:pPr>
        <w:pStyle w:val="NormalWeb"/>
        <w:numPr>
          <w:ilvl w:val="0"/>
          <w:numId w:val="1"/>
        </w:numPr>
        <w:jc w:val="both"/>
      </w:pPr>
      <w:r>
        <w:t xml:space="preserve">Mishra, S. P., </w:t>
      </w:r>
      <w:proofErr w:type="spellStart"/>
      <w:r>
        <w:t>Bohidar</w:t>
      </w:r>
      <w:proofErr w:type="spellEnd"/>
      <w:r>
        <w:t xml:space="preserve">, S., Padhi, S., Sethi, K. C., Manna, S., &amp; Pattnayak, S. K. (2024). Geo-hydrobiology and geoinformatics mapping of ethnobotany in the </w:t>
      </w:r>
      <w:proofErr w:type="spellStart"/>
      <w:r>
        <w:t>Gandhamardan</w:t>
      </w:r>
      <w:proofErr w:type="spellEnd"/>
      <w:r>
        <w:t xml:space="preserve"> Hills, Odisha, India. </w:t>
      </w:r>
      <w:r>
        <w:rPr>
          <w:rStyle w:val="Emphasis"/>
          <w:rFonts w:eastAsiaTheme="majorEastAsia"/>
        </w:rPr>
        <w:t>Journal of Scientific Research and Reports, 30</w:t>
      </w:r>
      <w:r>
        <w:t xml:space="preserve">(10), 28–38. </w:t>
      </w:r>
      <w:hyperlink r:id="rId24" w:tgtFrame="_new" w:history="1">
        <w:r>
          <w:rPr>
            <w:rStyle w:val="Hyperlink"/>
            <w:rFonts w:eastAsiaTheme="majorEastAsia"/>
          </w:rPr>
          <w:t>https://doi.org/10.9734/jsrr/2024/v30i102510</w:t>
        </w:r>
      </w:hyperlink>
    </w:p>
    <w:p w14:paraId="75E2282B" w14:textId="77777777" w:rsidR="00717E34" w:rsidRDefault="00717E34" w:rsidP="001B07BE">
      <w:pPr>
        <w:pStyle w:val="NormalWeb"/>
        <w:numPr>
          <w:ilvl w:val="0"/>
          <w:numId w:val="1"/>
        </w:numPr>
        <w:jc w:val="both"/>
      </w:pPr>
      <w:r>
        <w:t xml:space="preserve">Muyumba, N. W., Mutombo, S. C., Sheridan, H., </w:t>
      </w:r>
      <w:proofErr w:type="spellStart"/>
      <w:r>
        <w:t>Nachtergael</w:t>
      </w:r>
      <w:proofErr w:type="spellEnd"/>
      <w:r>
        <w:t xml:space="preserve">, A., &amp; Duez, P. (2021). Quality control of herbal drugs and preparations: The methods of analysis, their relevance and applications. </w:t>
      </w:r>
      <w:proofErr w:type="spellStart"/>
      <w:r>
        <w:rPr>
          <w:rStyle w:val="Emphasis"/>
          <w:rFonts w:eastAsiaTheme="majorEastAsia"/>
        </w:rPr>
        <w:t>Talanta</w:t>
      </w:r>
      <w:proofErr w:type="spellEnd"/>
      <w:r>
        <w:rPr>
          <w:rStyle w:val="Emphasis"/>
          <w:rFonts w:eastAsiaTheme="majorEastAsia"/>
        </w:rPr>
        <w:t xml:space="preserve"> Open, 4</w:t>
      </w:r>
      <w:r>
        <w:t xml:space="preserve">, 100070. </w:t>
      </w:r>
      <w:hyperlink r:id="rId25" w:tgtFrame="_new" w:history="1">
        <w:r>
          <w:rPr>
            <w:rStyle w:val="Hyperlink"/>
            <w:rFonts w:eastAsiaTheme="majorEastAsia"/>
          </w:rPr>
          <w:t>https://doi.org/10.1016/j.talo.2021.100070</w:t>
        </w:r>
      </w:hyperlink>
    </w:p>
    <w:p w14:paraId="002BF0E9" w14:textId="77777777" w:rsidR="00717E34" w:rsidRDefault="00717E34" w:rsidP="001B07BE">
      <w:pPr>
        <w:pStyle w:val="NormalWeb"/>
        <w:numPr>
          <w:ilvl w:val="0"/>
          <w:numId w:val="1"/>
        </w:numPr>
        <w:jc w:val="both"/>
      </w:pPr>
      <w:r>
        <w:t xml:space="preserve">Mykhailenko, O., Jalil, B., McGaw, L. J., Echeverría, J., </w:t>
      </w:r>
      <w:proofErr w:type="spellStart"/>
      <w:r>
        <w:t>Takubessi</w:t>
      </w:r>
      <w:proofErr w:type="spellEnd"/>
      <w:r>
        <w:t xml:space="preserve">, M., &amp; Heinrich, M. (2025). Climate change and the sustainable use of medicinal plants: A call for “new” research strategies. </w:t>
      </w:r>
      <w:r>
        <w:rPr>
          <w:rStyle w:val="Emphasis"/>
          <w:rFonts w:eastAsiaTheme="majorEastAsia"/>
        </w:rPr>
        <w:t>Frontiers in Pharmacology, 15</w:t>
      </w:r>
      <w:r>
        <w:t xml:space="preserve">, 1496792. </w:t>
      </w:r>
      <w:hyperlink r:id="rId26" w:tgtFrame="_new" w:history="1">
        <w:r>
          <w:rPr>
            <w:rStyle w:val="Hyperlink"/>
            <w:rFonts w:eastAsiaTheme="majorEastAsia"/>
          </w:rPr>
          <w:t>https://doi.org/10.3389/fphar.2024.1496792</w:t>
        </w:r>
      </w:hyperlink>
    </w:p>
    <w:p w14:paraId="30C5D4B7" w14:textId="77777777" w:rsidR="00717E34" w:rsidRDefault="00717E34" w:rsidP="001B07BE">
      <w:pPr>
        <w:pStyle w:val="NormalWeb"/>
        <w:numPr>
          <w:ilvl w:val="0"/>
          <w:numId w:val="1"/>
        </w:numPr>
        <w:jc w:val="both"/>
      </w:pPr>
      <w:r>
        <w:t xml:space="preserve">Pandit, S., Srivastav, A. K., Sur, T. K., Chaudhuri, S., Wang, Y., &amp; Biswas, T. K. (2024). Effects of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extract in chronically stressed adults: A randomized controlled trial. </w:t>
      </w:r>
      <w:r>
        <w:rPr>
          <w:rStyle w:val="Emphasis"/>
          <w:rFonts w:eastAsiaTheme="majorEastAsia"/>
        </w:rPr>
        <w:t>Nutrients, 16</w:t>
      </w:r>
      <w:r>
        <w:t xml:space="preserve">(9), 1293. </w:t>
      </w:r>
      <w:hyperlink r:id="rId27" w:tgtFrame="_new" w:history="1">
        <w:r>
          <w:rPr>
            <w:rStyle w:val="Hyperlink"/>
            <w:rFonts w:eastAsiaTheme="majorEastAsia"/>
          </w:rPr>
          <w:t>https://doi.org/10.3390/nu16091293</w:t>
        </w:r>
      </w:hyperlink>
    </w:p>
    <w:p w14:paraId="307E418E" w14:textId="77777777" w:rsidR="00717E34" w:rsidRDefault="00717E34" w:rsidP="001B07BE">
      <w:pPr>
        <w:pStyle w:val="NormalWeb"/>
        <w:numPr>
          <w:ilvl w:val="0"/>
          <w:numId w:val="1"/>
        </w:numPr>
        <w:jc w:val="both"/>
      </w:pPr>
      <w:r>
        <w:t xml:space="preserve">Pathak, S., &amp; </w:t>
      </w:r>
      <w:proofErr w:type="spellStart"/>
      <w:r>
        <w:t>Godela</w:t>
      </w:r>
      <w:proofErr w:type="spellEnd"/>
      <w:r>
        <w:t xml:space="preserve">, R. (2024). </w:t>
      </w:r>
      <w:proofErr w:type="spellStart"/>
      <w:r>
        <w:rPr>
          <w:rStyle w:val="Emphasis"/>
          <w:rFonts w:eastAsiaTheme="majorEastAsia"/>
        </w:rPr>
        <w:t>Nardostachys</w:t>
      </w:r>
      <w:proofErr w:type="spellEnd"/>
      <w:r>
        <w:rPr>
          <w:rStyle w:val="Emphasis"/>
          <w:rFonts w:eastAsiaTheme="majorEastAsia"/>
        </w:rPr>
        <w:t xml:space="preserve"> </w:t>
      </w:r>
      <w:proofErr w:type="spellStart"/>
      <w:r>
        <w:rPr>
          <w:rStyle w:val="Emphasis"/>
          <w:rFonts w:eastAsiaTheme="majorEastAsia"/>
        </w:rPr>
        <w:t>jatamansi</w:t>
      </w:r>
      <w:proofErr w:type="spellEnd"/>
      <w:r>
        <w:t xml:space="preserve">: Phytochemistry, ethnomedicinal uses, and pharmacological activities: A comprehensive review. </w:t>
      </w:r>
      <w:proofErr w:type="spellStart"/>
      <w:r>
        <w:rPr>
          <w:rStyle w:val="Emphasis"/>
          <w:rFonts w:eastAsiaTheme="majorEastAsia"/>
        </w:rPr>
        <w:t>Fitoterapia</w:t>
      </w:r>
      <w:proofErr w:type="spellEnd"/>
      <w:r>
        <w:rPr>
          <w:rStyle w:val="Emphasis"/>
          <w:rFonts w:eastAsiaTheme="majorEastAsia"/>
        </w:rPr>
        <w:t>, 172</w:t>
      </w:r>
      <w:r>
        <w:t xml:space="preserve">, 105764. </w:t>
      </w:r>
      <w:hyperlink r:id="rId28" w:tgtFrame="_new" w:history="1">
        <w:r>
          <w:rPr>
            <w:rStyle w:val="Hyperlink"/>
            <w:rFonts w:eastAsiaTheme="majorEastAsia"/>
          </w:rPr>
          <w:t>https://doi.org/10.1016/j.fitote.2023.105764</w:t>
        </w:r>
      </w:hyperlink>
    </w:p>
    <w:p w14:paraId="76A5BAFA" w14:textId="77777777" w:rsidR="00717E34" w:rsidRDefault="00717E34" w:rsidP="001B07BE">
      <w:pPr>
        <w:pStyle w:val="NormalWeb"/>
        <w:numPr>
          <w:ilvl w:val="0"/>
          <w:numId w:val="1"/>
        </w:numPr>
        <w:jc w:val="both"/>
      </w:pPr>
      <w:proofErr w:type="spellStart"/>
      <w:r>
        <w:t>Ralte</w:t>
      </w:r>
      <w:proofErr w:type="spellEnd"/>
      <w:r>
        <w:t xml:space="preserve">, L., &amp; Singh, Y. T. (2024). Ethnobotanical survey of medicinal plants used by various ethnic tribes of Mizoram, India. </w:t>
      </w:r>
      <w:r>
        <w:rPr>
          <w:rStyle w:val="Emphasis"/>
          <w:rFonts w:eastAsiaTheme="majorEastAsia"/>
        </w:rPr>
        <w:t>PLOS ONE, 19</w:t>
      </w:r>
      <w:r>
        <w:t xml:space="preserve">(5), e0302792. </w:t>
      </w:r>
      <w:hyperlink r:id="rId29" w:tgtFrame="_new" w:history="1">
        <w:r>
          <w:rPr>
            <w:rStyle w:val="Hyperlink"/>
            <w:rFonts w:eastAsiaTheme="majorEastAsia"/>
          </w:rPr>
          <w:t>https://doi.org/10.1371/journal.pone.0302792</w:t>
        </w:r>
      </w:hyperlink>
    </w:p>
    <w:p w14:paraId="4F02F338" w14:textId="77777777" w:rsidR="00717E34" w:rsidRDefault="00717E34" w:rsidP="001B07BE">
      <w:pPr>
        <w:pStyle w:val="NormalWeb"/>
        <w:numPr>
          <w:ilvl w:val="0"/>
          <w:numId w:val="1"/>
        </w:numPr>
        <w:jc w:val="both"/>
      </w:pPr>
      <w:proofErr w:type="spellStart"/>
      <w:r>
        <w:t>Ralte</w:t>
      </w:r>
      <w:proofErr w:type="spellEnd"/>
      <w:r>
        <w:t xml:space="preserve">, L., </w:t>
      </w:r>
      <w:proofErr w:type="spellStart"/>
      <w:r>
        <w:t>Sailo</w:t>
      </w:r>
      <w:proofErr w:type="spellEnd"/>
      <w:r>
        <w:t xml:space="preserve">, H., &amp; Singh, Y. T. (2024). Ethnobotanical study of medicinal plants used by the indigenous community of the western region of Mizoram, India. </w:t>
      </w:r>
      <w:r>
        <w:rPr>
          <w:rStyle w:val="Emphasis"/>
          <w:rFonts w:eastAsiaTheme="majorEastAsia"/>
        </w:rPr>
        <w:t>Journal of Ethnobiology and Ethnomedicine, 20</w:t>
      </w:r>
      <w:r>
        <w:t xml:space="preserve">, 2. </w:t>
      </w:r>
      <w:hyperlink r:id="rId30" w:tgtFrame="_new" w:history="1">
        <w:r>
          <w:rPr>
            <w:rStyle w:val="Hyperlink"/>
            <w:rFonts w:eastAsiaTheme="majorEastAsia"/>
          </w:rPr>
          <w:t>https://doi.org/10.1186/s13002-023-00642-z</w:t>
        </w:r>
      </w:hyperlink>
    </w:p>
    <w:p w14:paraId="3F39827C" w14:textId="77777777" w:rsidR="00717E34" w:rsidRDefault="00717E34" w:rsidP="001B07BE">
      <w:pPr>
        <w:pStyle w:val="NormalWeb"/>
        <w:numPr>
          <w:ilvl w:val="0"/>
          <w:numId w:val="1"/>
        </w:numPr>
        <w:jc w:val="both"/>
      </w:pPr>
      <w:r>
        <w:t xml:space="preserve">Sahu, J. K., Das, A., Das, K., Behera, B., Sharma, S., Kukreti, S., &amp; Kumar, S. (2025). Ethnomedicinal and phytochemical studies on sacred plants of Eastern and Northern India. </w:t>
      </w:r>
      <w:r>
        <w:rPr>
          <w:rStyle w:val="Emphasis"/>
          <w:rFonts w:eastAsiaTheme="majorEastAsia"/>
        </w:rPr>
        <w:t>BIONATURE, 45</w:t>
      </w:r>
      <w:r>
        <w:t xml:space="preserve">(2), 122–131. </w:t>
      </w:r>
      <w:hyperlink r:id="rId31" w:tgtFrame="_new" w:history="1">
        <w:r>
          <w:rPr>
            <w:rStyle w:val="Hyperlink"/>
            <w:rFonts w:eastAsiaTheme="majorEastAsia"/>
          </w:rPr>
          <w:t>https://doi.org/10.56557/bn/2025/v45i22076</w:t>
        </w:r>
      </w:hyperlink>
    </w:p>
    <w:p w14:paraId="1C4FB267" w14:textId="77777777" w:rsidR="00717E34" w:rsidRDefault="00717E34" w:rsidP="001B07BE">
      <w:pPr>
        <w:pStyle w:val="NormalWeb"/>
        <w:numPr>
          <w:ilvl w:val="0"/>
          <w:numId w:val="1"/>
        </w:numPr>
        <w:jc w:val="both"/>
      </w:pPr>
      <w:r>
        <w:t xml:space="preserve">Singh, P. A., Dash, S., Choudhury, A., &amp; Bajwa, N. (2024). Factors affecting long-term availability of medicinal plants in India. </w:t>
      </w:r>
      <w:r>
        <w:rPr>
          <w:rStyle w:val="Emphasis"/>
          <w:rFonts w:eastAsiaTheme="majorEastAsia"/>
        </w:rPr>
        <w:t>Journal of Crop Science and Biotechnology, 27</w:t>
      </w:r>
      <w:r>
        <w:t xml:space="preserve">, 145–173. </w:t>
      </w:r>
      <w:hyperlink r:id="rId32" w:tgtFrame="_new" w:history="1">
        <w:r>
          <w:rPr>
            <w:rStyle w:val="Hyperlink"/>
            <w:rFonts w:eastAsiaTheme="majorEastAsia"/>
          </w:rPr>
          <w:t>https://doi.org/10.1007/s12892-023-00219-y</w:t>
        </w:r>
      </w:hyperlink>
    </w:p>
    <w:p w14:paraId="387BEDB7" w14:textId="77777777" w:rsidR="00717E34" w:rsidRDefault="00717E34" w:rsidP="001B07BE">
      <w:pPr>
        <w:pStyle w:val="NormalWeb"/>
        <w:numPr>
          <w:ilvl w:val="0"/>
          <w:numId w:val="1"/>
        </w:numPr>
        <w:jc w:val="both"/>
      </w:pPr>
      <w:r>
        <w:t xml:space="preserve">Speers, A. B., Cabey, K. A., </w:t>
      </w:r>
      <w:proofErr w:type="spellStart"/>
      <w:r>
        <w:t>Soumyanath</w:t>
      </w:r>
      <w:proofErr w:type="spellEnd"/>
      <w:r>
        <w:t xml:space="preserve">, A., &amp; Wright, K. M. (2021). Effects of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(Ashwagandha) on stress and stress-related neuropsychiatric disorders. </w:t>
      </w:r>
      <w:r>
        <w:rPr>
          <w:rStyle w:val="Emphasis"/>
          <w:rFonts w:eastAsiaTheme="majorEastAsia"/>
        </w:rPr>
        <w:t>Current Neuropharmacology, 19</w:t>
      </w:r>
      <w:r>
        <w:t xml:space="preserve">(9), 1468–1495. </w:t>
      </w:r>
      <w:hyperlink r:id="rId33" w:tgtFrame="_new" w:history="1">
        <w:r>
          <w:rPr>
            <w:rStyle w:val="Hyperlink"/>
            <w:rFonts w:eastAsiaTheme="majorEastAsia"/>
          </w:rPr>
          <w:t>https://doi.org/10.2174/1570159X19666210712151556</w:t>
        </w:r>
      </w:hyperlink>
    </w:p>
    <w:p w14:paraId="055B4639" w14:textId="77777777" w:rsidR="00717E34" w:rsidRDefault="00717E34" w:rsidP="001B07BE">
      <w:pPr>
        <w:pStyle w:val="NormalWeb"/>
        <w:numPr>
          <w:ilvl w:val="0"/>
          <w:numId w:val="1"/>
        </w:numPr>
        <w:jc w:val="both"/>
      </w:pPr>
      <w:proofErr w:type="spellStart"/>
      <w:r>
        <w:t>Tuntiyatorn</w:t>
      </w:r>
      <w:proofErr w:type="spellEnd"/>
      <w:r>
        <w:t xml:space="preserve">, P., </w:t>
      </w:r>
      <w:proofErr w:type="spellStart"/>
      <w:r>
        <w:t>Lerspongpaibool</w:t>
      </w:r>
      <w:proofErr w:type="spellEnd"/>
      <w:r>
        <w:t xml:space="preserve">, C., </w:t>
      </w:r>
      <w:proofErr w:type="spellStart"/>
      <w:r>
        <w:t>Kanchanathepsak</w:t>
      </w:r>
      <w:proofErr w:type="spellEnd"/>
      <w:r>
        <w:t xml:space="preserve">, T., </w:t>
      </w:r>
      <w:proofErr w:type="spellStart"/>
      <w:r>
        <w:t>Watcharananan</w:t>
      </w:r>
      <w:proofErr w:type="spellEnd"/>
      <w:r>
        <w:t xml:space="preserve">, I., &amp; </w:t>
      </w:r>
      <w:proofErr w:type="spellStart"/>
      <w:r>
        <w:t>Tawonsawatruk</w:t>
      </w:r>
      <w:proofErr w:type="spellEnd"/>
      <w:r>
        <w:t xml:space="preserve">, T. (2025). Efficacy and safety of curcumin in patients with hand osteoarthritis: A pilot double-blinded randomised controlled trial. </w:t>
      </w:r>
      <w:r>
        <w:rPr>
          <w:rStyle w:val="Emphasis"/>
          <w:rFonts w:eastAsiaTheme="majorEastAsia"/>
        </w:rPr>
        <w:t>BMC Complementary Medicine and Therapies, 25</w:t>
      </w:r>
      <w:r>
        <w:t xml:space="preserve">, 356. </w:t>
      </w:r>
      <w:hyperlink r:id="rId34" w:tgtFrame="_new" w:history="1">
        <w:r>
          <w:rPr>
            <w:rStyle w:val="Hyperlink"/>
            <w:rFonts w:eastAsiaTheme="majorEastAsia"/>
          </w:rPr>
          <w:t>https://doi.org/10.1186/s12906-025-05096-2</w:t>
        </w:r>
      </w:hyperlink>
    </w:p>
    <w:p w14:paraId="19A1A9CA" w14:textId="77777777" w:rsidR="00717E34" w:rsidRDefault="00717E34" w:rsidP="001B07BE">
      <w:pPr>
        <w:pStyle w:val="NormalWeb"/>
        <w:numPr>
          <w:ilvl w:val="0"/>
          <w:numId w:val="1"/>
        </w:numPr>
        <w:jc w:val="both"/>
      </w:pPr>
      <w:r>
        <w:t xml:space="preserve">Zaman, W., Ayaz, A., &amp; Park, S. (2025). Climate change and medicinal plant biodiversity: Conservation strategies for sustainable use and genetic resource preservation. </w:t>
      </w:r>
      <w:r>
        <w:rPr>
          <w:rStyle w:val="Emphasis"/>
          <w:rFonts w:eastAsiaTheme="majorEastAsia"/>
        </w:rPr>
        <w:t>Genetic Resources and Crop Evolution, 72</w:t>
      </w:r>
      <w:r>
        <w:t xml:space="preserve">, 6275–6308. </w:t>
      </w:r>
      <w:hyperlink r:id="rId35" w:tgtFrame="_new" w:history="1">
        <w:r>
          <w:rPr>
            <w:rStyle w:val="Hyperlink"/>
            <w:rFonts w:eastAsiaTheme="majorEastAsia"/>
          </w:rPr>
          <w:t>https://doi.org/10.1007/s10722-025-02410-2</w:t>
        </w:r>
      </w:hyperlink>
    </w:p>
    <w:p w14:paraId="69FB5CE2" w14:textId="77777777" w:rsidR="00717E34" w:rsidRDefault="00717E34" w:rsidP="001B07BE">
      <w:pPr>
        <w:pStyle w:val="NormalWeb"/>
        <w:numPr>
          <w:ilvl w:val="0"/>
          <w:numId w:val="1"/>
        </w:numPr>
        <w:jc w:val="both"/>
      </w:pPr>
      <w:r>
        <w:lastRenderedPageBreak/>
        <w:t xml:space="preserve">Zeng, L., Yu, G., Hao, W., Yang, K., &amp; Chen, H. (2021). The efficacy and safety of </w:t>
      </w:r>
      <w:r>
        <w:rPr>
          <w:rStyle w:val="Emphasis"/>
          <w:rFonts w:eastAsiaTheme="majorEastAsia"/>
        </w:rPr>
        <w:t>Curcuma longa</w:t>
      </w:r>
      <w:r>
        <w:t xml:space="preserve"> extract and curcumin supplements on osteoarthritis: A systematic review and meta-analysis. </w:t>
      </w:r>
      <w:r>
        <w:rPr>
          <w:rStyle w:val="Emphasis"/>
          <w:rFonts w:eastAsiaTheme="majorEastAsia"/>
        </w:rPr>
        <w:t>Bioscience Reports, 41</w:t>
      </w:r>
      <w:r>
        <w:t xml:space="preserve">(6), BSR20210817. </w:t>
      </w:r>
      <w:hyperlink r:id="rId36" w:tgtFrame="_new" w:history="1">
        <w:r>
          <w:rPr>
            <w:rStyle w:val="Hyperlink"/>
            <w:rFonts w:eastAsiaTheme="majorEastAsia"/>
          </w:rPr>
          <w:t>https://doi.org/10.1042/BSR20210817</w:t>
        </w:r>
      </w:hyperlink>
    </w:p>
    <w:p w14:paraId="10E0ED91" w14:textId="38821D8A" w:rsidR="00717E34" w:rsidRPr="00451F19" w:rsidRDefault="00717E34" w:rsidP="001B07BE">
      <w:pPr>
        <w:pStyle w:val="NormalWeb"/>
        <w:numPr>
          <w:ilvl w:val="0"/>
          <w:numId w:val="1"/>
        </w:numPr>
        <w:jc w:val="both"/>
        <w:rPr>
          <w14:ligatures w14:val="none"/>
        </w:rPr>
      </w:pPr>
      <w:r>
        <w:t xml:space="preserve">Zhang, M., Wang, C., Zhang, R., Chen, Y., Zhang, C., Heuberger, H., &amp; Li, M. (2021). Comparison of the guidelines on good agricultural and collection practices in herbal medicine of the European Union, China, the WHO, and the United States of America. </w:t>
      </w:r>
      <w:r>
        <w:rPr>
          <w:rStyle w:val="Emphasis"/>
          <w:rFonts w:eastAsiaTheme="majorEastAsia"/>
        </w:rPr>
        <w:t>Pharmacological Research, 167</w:t>
      </w:r>
      <w:r>
        <w:t xml:space="preserve">, 105533. </w:t>
      </w:r>
      <w:hyperlink r:id="rId37" w:tgtFrame="_new" w:history="1">
        <w:r>
          <w:rPr>
            <w:rStyle w:val="Hyperlink"/>
            <w:rFonts w:eastAsiaTheme="majorEastAsia"/>
          </w:rPr>
          <w:t>https://doi.org/10.1016/j.phrs.2021.105533</w:t>
        </w:r>
      </w:hyperlink>
    </w:p>
    <w:p w14:paraId="21FF1EEB" w14:textId="6045CE0B" w:rsidR="00451F19" w:rsidRPr="00451F19" w:rsidRDefault="00451F19" w:rsidP="00F21C0C">
      <w:pPr>
        <w:spacing w:after="0" w:line="240" w:lineRule="auto"/>
        <w:jc w:val="both"/>
        <w:rPr>
          <w:rFonts w:ascii="Times New Roman" w:eastAsia="Times New Roman" w:hAnsi="Times New Roman" w:cs="Times New Roman"/>
          <w:kern w:val="0"/>
          <w:sz w:val="24"/>
          <w:szCs w:val="24"/>
          <w:lang w:eastAsia="en-IN"/>
          <w14:ligatures w14:val="none"/>
        </w:rPr>
      </w:pPr>
    </w:p>
    <w:p w14:paraId="5B4E6E25" w14:textId="77777777" w:rsidR="00CD4875" w:rsidRPr="001B07BE" w:rsidRDefault="00CD4875" w:rsidP="001B07BE">
      <w:pPr>
        <w:pStyle w:val="ListParagraph"/>
        <w:numPr>
          <w:ilvl w:val="0"/>
          <w:numId w:val="1"/>
        </w:numPr>
        <w:shd w:val="clear" w:color="auto" w:fill="FFFFFF"/>
        <w:spacing w:after="150" w:line="240" w:lineRule="auto"/>
        <w:rPr>
          <w:rFonts w:ascii="inherit" w:eastAsia="Times New Roman" w:hAnsi="inherit" w:cs="Helvetica"/>
          <w:color w:val="222222"/>
          <w:kern w:val="0"/>
          <w:sz w:val="18"/>
          <w:szCs w:val="18"/>
          <w:lang w:val="en-US"/>
          <w14:ligatures w14:val="none"/>
        </w:rPr>
      </w:pPr>
      <w:proofErr w:type="spellStart"/>
      <w:r w:rsidRPr="001B07BE">
        <w:rPr>
          <w:rFonts w:ascii="inherit" w:eastAsia="Times New Roman" w:hAnsi="inherit" w:cs="Helvetica"/>
          <w:color w:val="222222"/>
          <w:kern w:val="0"/>
          <w:sz w:val="18"/>
          <w:szCs w:val="18"/>
          <w:highlight w:val="yellow"/>
          <w:lang w:val="en-US"/>
          <w14:ligatures w14:val="none"/>
        </w:rPr>
        <w:t>Jabeen</w:t>
      </w:r>
      <w:proofErr w:type="spellEnd"/>
      <w:r w:rsidRPr="001B07BE">
        <w:rPr>
          <w:rFonts w:ascii="inherit" w:eastAsia="Times New Roman" w:hAnsi="inherit" w:cs="Helvetica"/>
          <w:color w:val="222222"/>
          <w:kern w:val="0"/>
          <w:sz w:val="18"/>
          <w:szCs w:val="18"/>
          <w:highlight w:val="yellow"/>
          <w:lang w:val="en-US"/>
          <w14:ligatures w14:val="none"/>
        </w:rPr>
        <w:t xml:space="preserve">, T., Amjad, M. S., Ahmad, K., Bussmann, R. W., Qureshi, H., &amp; </w:t>
      </w:r>
      <w:proofErr w:type="spellStart"/>
      <w:r w:rsidRPr="001B07BE">
        <w:rPr>
          <w:rFonts w:ascii="inherit" w:eastAsia="Times New Roman" w:hAnsi="inherit" w:cs="Helvetica"/>
          <w:color w:val="222222"/>
          <w:kern w:val="0"/>
          <w:sz w:val="18"/>
          <w:szCs w:val="18"/>
          <w:highlight w:val="yellow"/>
          <w:lang w:val="en-US"/>
          <w14:ligatures w14:val="none"/>
        </w:rPr>
        <w:t>Vitasović-Kosić</w:t>
      </w:r>
      <w:proofErr w:type="spellEnd"/>
      <w:r w:rsidRPr="001B07BE">
        <w:rPr>
          <w:rFonts w:ascii="inherit" w:eastAsia="Times New Roman" w:hAnsi="inherit" w:cs="Helvetica"/>
          <w:color w:val="222222"/>
          <w:kern w:val="0"/>
          <w:sz w:val="18"/>
          <w:szCs w:val="18"/>
          <w:highlight w:val="yellow"/>
          <w:lang w:val="en-US"/>
          <w14:ligatures w14:val="none"/>
        </w:rPr>
        <w:t xml:space="preserve">, I. (2024). Ethnomedicinal Plants and Herbal Preparations Used by Rural Communities in Tehsil </w:t>
      </w:r>
      <w:proofErr w:type="spellStart"/>
      <w:r w:rsidRPr="001B07BE">
        <w:rPr>
          <w:rFonts w:ascii="inherit" w:eastAsia="Times New Roman" w:hAnsi="inherit" w:cs="Helvetica"/>
          <w:color w:val="222222"/>
          <w:kern w:val="0"/>
          <w:sz w:val="18"/>
          <w:szCs w:val="18"/>
          <w:highlight w:val="yellow"/>
          <w:lang w:val="en-US"/>
          <w14:ligatures w14:val="none"/>
        </w:rPr>
        <w:t>Hajira</w:t>
      </w:r>
      <w:proofErr w:type="spellEnd"/>
      <w:r w:rsidRPr="001B07BE">
        <w:rPr>
          <w:rFonts w:ascii="inherit" w:eastAsia="Times New Roman" w:hAnsi="inherit" w:cs="Helvetica"/>
          <w:color w:val="222222"/>
          <w:kern w:val="0"/>
          <w:sz w:val="18"/>
          <w:szCs w:val="18"/>
          <w:highlight w:val="yellow"/>
          <w:lang w:val="en-US"/>
          <w14:ligatures w14:val="none"/>
        </w:rPr>
        <w:t xml:space="preserve"> (</w:t>
      </w:r>
      <w:proofErr w:type="spellStart"/>
      <w:r w:rsidRPr="001B07BE">
        <w:rPr>
          <w:rFonts w:ascii="inherit" w:eastAsia="Times New Roman" w:hAnsi="inherit" w:cs="Helvetica"/>
          <w:color w:val="222222"/>
          <w:kern w:val="0"/>
          <w:sz w:val="18"/>
          <w:szCs w:val="18"/>
          <w:highlight w:val="yellow"/>
          <w:lang w:val="en-US"/>
          <w14:ligatures w14:val="none"/>
        </w:rPr>
        <w:t>Poonch</w:t>
      </w:r>
      <w:proofErr w:type="spellEnd"/>
      <w:r w:rsidRPr="001B07BE">
        <w:rPr>
          <w:rFonts w:ascii="inherit" w:eastAsia="Times New Roman" w:hAnsi="inherit" w:cs="Helvetica"/>
          <w:color w:val="222222"/>
          <w:kern w:val="0"/>
          <w:sz w:val="18"/>
          <w:szCs w:val="18"/>
          <w:highlight w:val="yellow"/>
          <w:lang w:val="en-US"/>
          <w14:ligatures w14:val="none"/>
        </w:rPr>
        <w:t xml:space="preserve"> District of Azad Kashmir, Pakistan). </w:t>
      </w:r>
      <w:r w:rsidRPr="001B07BE">
        <w:rPr>
          <w:rFonts w:ascii="inherit" w:eastAsia="Times New Roman" w:hAnsi="inherit" w:cs="Helvetica"/>
          <w:i/>
          <w:iCs/>
          <w:color w:val="222222"/>
          <w:kern w:val="0"/>
          <w:sz w:val="18"/>
          <w:szCs w:val="18"/>
          <w:highlight w:val="yellow"/>
          <w:lang w:val="en-US"/>
          <w14:ligatures w14:val="none"/>
        </w:rPr>
        <w:t>Plants</w:t>
      </w:r>
      <w:r w:rsidRPr="001B07BE">
        <w:rPr>
          <w:rFonts w:ascii="inherit" w:eastAsia="Times New Roman" w:hAnsi="inherit" w:cs="Helvetica"/>
          <w:color w:val="222222"/>
          <w:kern w:val="0"/>
          <w:sz w:val="18"/>
          <w:szCs w:val="18"/>
          <w:highlight w:val="yellow"/>
          <w:lang w:val="en-US"/>
          <w14:ligatures w14:val="none"/>
        </w:rPr>
        <w:t>, </w:t>
      </w:r>
      <w:r w:rsidRPr="001B07BE">
        <w:rPr>
          <w:rFonts w:ascii="inherit" w:eastAsia="Times New Roman" w:hAnsi="inherit" w:cs="Helvetica"/>
          <w:i/>
          <w:iCs/>
          <w:color w:val="222222"/>
          <w:kern w:val="0"/>
          <w:sz w:val="18"/>
          <w:szCs w:val="18"/>
          <w:highlight w:val="yellow"/>
          <w:lang w:val="en-US"/>
          <w14:ligatures w14:val="none"/>
        </w:rPr>
        <w:t>13</w:t>
      </w:r>
      <w:r w:rsidRPr="001B07BE">
        <w:rPr>
          <w:rFonts w:ascii="inherit" w:eastAsia="Times New Roman" w:hAnsi="inherit" w:cs="Helvetica"/>
          <w:color w:val="222222"/>
          <w:kern w:val="0"/>
          <w:sz w:val="18"/>
          <w:szCs w:val="18"/>
          <w:highlight w:val="yellow"/>
          <w:lang w:val="en-US"/>
          <w14:ligatures w14:val="none"/>
        </w:rPr>
        <w:t>(10), 1379. https://doi.org/10.3390/plants13101379</w:t>
      </w:r>
    </w:p>
    <w:p w14:paraId="7FC269DE" w14:textId="77777777" w:rsidR="004E036B" w:rsidRPr="004237A9" w:rsidRDefault="004E036B" w:rsidP="001B07BE">
      <w:pPr>
        <w:pStyle w:val="c-bibliographic-informationcitation"/>
        <w:numPr>
          <w:ilvl w:val="0"/>
          <w:numId w:val="1"/>
        </w:numPr>
        <w:shd w:val="clear" w:color="auto" w:fill="FFFFFF"/>
        <w:spacing w:before="0" w:beforeAutospacing="0" w:after="240" w:afterAutospacing="0"/>
        <w:rPr>
          <w:rFonts w:ascii="Helvetica" w:hAnsi="Helvetica" w:cs="Helvetica"/>
          <w:color w:val="222222"/>
          <w:sz w:val="22"/>
        </w:rPr>
      </w:pPr>
      <w:r w:rsidRPr="004237A9">
        <w:rPr>
          <w:rFonts w:ascii="Helvetica" w:hAnsi="Helvetica" w:cs="Helvetica"/>
          <w:color w:val="222222"/>
          <w:sz w:val="22"/>
          <w:highlight w:val="yellow"/>
        </w:rPr>
        <w:t>Siddique, Z., Shad, N., Shah, G.M. </w:t>
      </w:r>
      <w:r w:rsidRPr="004237A9">
        <w:rPr>
          <w:rFonts w:ascii="Helvetica" w:hAnsi="Helvetica" w:cs="Helvetica"/>
          <w:i/>
          <w:iCs/>
          <w:color w:val="222222"/>
          <w:sz w:val="22"/>
          <w:highlight w:val="yellow"/>
        </w:rPr>
        <w:t>et al.</w:t>
      </w:r>
      <w:r w:rsidRPr="004237A9">
        <w:rPr>
          <w:rFonts w:ascii="Helvetica" w:hAnsi="Helvetica" w:cs="Helvetica"/>
          <w:color w:val="222222"/>
          <w:sz w:val="22"/>
          <w:highlight w:val="yellow"/>
        </w:rPr>
        <w:t> Exploration of ethnomedicinal plants and their practices in human and livestock healthcare in Haripur District, Khyber Pakhtunkhwa, Pakistan. </w:t>
      </w:r>
      <w:r w:rsidRPr="004237A9">
        <w:rPr>
          <w:rFonts w:ascii="Helvetica" w:hAnsi="Helvetica" w:cs="Helvetica"/>
          <w:i/>
          <w:iCs/>
          <w:color w:val="222222"/>
          <w:sz w:val="22"/>
          <w:highlight w:val="yellow"/>
        </w:rPr>
        <w:t>J Ethnobiology Ethnomedicine</w:t>
      </w:r>
      <w:r w:rsidRPr="004237A9">
        <w:rPr>
          <w:rFonts w:ascii="Helvetica" w:hAnsi="Helvetica" w:cs="Helvetica"/>
          <w:color w:val="222222"/>
          <w:sz w:val="22"/>
          <w:highlight w:val="yellow"/>
        </w:rPr>
        <w:t> </w:t>
      </w:r>
      <w:r w:rsidRPr="004237A9">
        <w:rPr>
          <w:rFonts w:ascii="Helvetica" w:hAnsi="Helvetica" w:cs="Helvetica"/>
          <w:b/>
          <w:bCs/>
          <w:color w:val="222222"/>
          <w:sz w:val="22"/>
          <w:highlight w:val="yellow"/>
        </w:rPr>
        <w:t>17</w:t>
      </w:r>
      <w:r w:rsidRPr="004237A9">
        <w:rPr>
          <w:rFonts w:ascii="Helvetica" w:hAnsi="Helvetica" w:cs="Helvetica"/>
          <w:color w:val="222222"/>
          <w:sz w:val="22"/>
          <w:highlight w:val="yellow"/>
        </w:rPr>
        <w:t>, 55 (2021). https://doi.org/10.1186/s13002-021-00480-x</w:t>
      </w:r>
    </w:p>
    <w:p w14:paraId="6A719067" w14:textId="2FE16601" w:rsidR="00451F19" w:rsidRPr="001B07BE" w:rsidRDefault="00FA0B4A" w:rsidP="001B07BE">
      <w:pPr>
        <w:pStyle w:val="ListParagraph"/>
        <w:numPr>
          <w:ilvl w:val="0"/>
          <w:numId w:val="1"/>
        </w:numPr>
        <w:jc w:val="both"/>
        <w:rPr>
          <w:b/>
          <w:bCs/>
          <w:sz w:val="28"/>
          <w:szCs w:val="28"/>
        </w:rPr>
      </w:pPr>
      <w:proofErr w:type="spellStart"/>
      <w:r w:rsidRPr="001B07BE">
        <w:rPr>
          <w:rFonts w:ascii="Arial" w:hAnsi="Arial" w:cs="Arial"/>
          <w:color w:val="222222"/>
          <w:sz w:val="20"/>
          <w:szCs w:val="20"/>
          <w:highlight w:val="yellow"/>
          <w:shd w:val="clear" w:color="auto" w:fill="FFFFFF"/>
        </w:rPr>
        <w:t>Ogu</w:t>
      </w:r>
      <w:proofErr w:type="spellEnd"/>
      <w:r w:rsidRPr="001B07BE">
        <w:rPr>
          <w:rFonts w:ascii="Arial" w:hAnsi="Arial" w:cs="Arial"/>
          <w:color w:val="222222"/>
          <w:sz w:val="20"/>
          <w:szCs w:val="20"/>
          <w:highlight w:val="yellow"/>
          <w:shd w:val="clear" w:color="auto" w:fill="FFFFFF"/>
        </w:rPr>
        <w:t xml:space="preserve">, E., </w:t>
      </w:r>
      <w:proofErr w:type="spellStart"/>
      <w:r w:rsidRPr="001B07BE">
        <w:rPr>
          <w:rFonts w:ascii="Arial" w:hAnsi="Arial" w:cs="Arial"/>
          <w:color w:val="222222"/>
          <w:sz w:val="20"/>
          <w:szCs w:val="20"/>
          <w:highlight w:val="yellow"/>
          <w:shd w:val="clear" w:color="auto" w:fill="FFFFFF"/>
        </w:rPr>
        <w:t>Bibinu</w:t>
      </w:r>
      <w:proofErr w:type="spellEnd"/>
      <w:r w:rsidRPr="001B07BE">
        <w:rPr>
          <w:rFonts w:ascii="Arial" w:hAnsi="Arial" w:cs="Arial"/>
          <w:color w:val="222222"/>
          <w:sz w:val="20"/>
          <w:szCs w:val="20"/>
          <w:highlight w:val="yellow"/>
          <w:shd w:val="clear" w:color="auto" w:fill="FFFFFF"/>
        </w:rPr>
        <w:t xml:space="preserve">, D. S., </w:t>
      </w:r>
      <w:proofErr w:type="spellStart"/>
      <w:r w:rsidRPr="001B07BE">
        <w:rPr>
          <w:rFonts w:ascii="Arial" w:hAnsi="Arial" w:cs="Arial"/>
          <w:color w:val="222222"/>
          <w:sz w:val="20"/>
          <w:szCs w:val="20"/>
          <w:highlight w:val="yellow"/>
          <w:shd w:val="clear" w:color="auto" w:fill="FFFFFF"/>
        </w:rPr>
        <w:t>Chidebe</w:t>
      </w:r>
      <w:proofErr w:type="spellEnd"/>
      <w:r w:rsidRPr="001B07BE">
        <w:rPr>
          <w:rFonts w:ascii="Arial" w:hAnsi="Arial" w:cs="Arial"/>
          <w:color w:val="222222"/>
          <w:sz w:val="20"/>
          <w:szCs w:val="20"/>
          <w:highlight w:val="yellow"/>
          <w:shd w:val="clear" w:color="auto" w:fill="FFFFFF"/>
        </w:rPr>
        <w:t xml:space="preserve">, I., </w:t>
      </w:r>
      <w:proofErr w:type="spellStart"/>
      <w:r w:rsidRPr="001B07BE">
        <w:rPr>
          <w:rFonts w:ascii="Arial" w:hAnsi="Arial" w:cs="Arial"/>
          <w:color w:val="222222"/>
          <w:sz w:val="20"/>
          <w:szCs w:val="20"/>
          <w:highlight w:val="yellow"/>
          <w:shd w:val="clear" w:color="auto" w:fill="FFFFFF"/>
        </w:rPr>
        <w:t>Emeje</w:t>
      </w:r>
      <w:proofErr w:type="spellEnd"/>
      <w:r w:rsidRPr="001B07BE">
        <w:rPr>
          <w:rFonts w:ascii="Arial" w:hAnsi="Arial" w:cs="Arial"/>
          <w:color w:val="222222"/>
          <w:sz w:val="20"/>
          <w:szCs w:val="20"/>
          <w:highlight w:val="yellow"/>
          <w:shd w:val="clear" w:color="auto" w:fill="FFFFFF"/>
        </w:rPr>
        <w:t>, M., Abdullahi, M., &amp; Roko, G. (2024). Therapeutic potential of medicinal plants: current situation and outlook. </w:t>
      </w:r>
      <w:r w:rsidRPr="001B07BE">
        <w:rPr>
          <w:rFonts w:ascii="Arial" w:hAnsi="Arial" w:cs="Arial"/>
          <w:i/>
          <w:iCs/>
          <w:color w:val="222222"/>
          <w:sz w:val="20"/>
          <w:szCs w:val="20"/>
          <w:highlight w:val="yellow"/>
          <w:shd w:val="clear" w:color="auto" w:fill="FFFFFF"/>
        </w:rPr>
        <w:t xml:space="preserve">Medicinal Plants-Harnessing the Healing Power of Plants. </w:t>
      </w:r>
      <w:proofErr w:type="spellStart"/>
      <w:r w:rsidRPr="001B07BE">
        <w:rPr>
          <w:rFonts w:ascii="Arial" w:hAnsi="Arial" w:cs="Arial"/>
          <w:i/>
          <w:iCs/>
          <w:color w:val="222222"/>
          <w:sz w:val="20"/>
          <w:szCs w:val="20"/>
          <w:highlight w:val="yellow"/>
          <w:shd w:val="clear" w:color="auto" w:fill="FFFFFF"/>
        </w:rPr>
        <w:t>IntechOpen</w:t>
      </w:r>
      <w:proofErr w:type="spellEnd"/>
      <w:r w:rsidRPr="001B07BE">
        <w:rPr>
          <w:rFonts w:ascii="Arial" w:hAnsi="Arial" w:cs="Arial"/>
          <w:i/>
          <w:iCs/>
          <w:color w:val="222222"/>
          <w:sz w:val="20"/>
          <w:szCs w:val="20"/>
          <w:highlight w:val="yellow"/>
          <w:shd w:val="clear" w:color="auto" w:fill="FFFFFF"/>
        </w:rPr>
        <w:t>. https://doi. org/10.5772/</w:t>
      </w:r>
      <w:proofErr w:type="spellStart"/>
      <w:r w:rsidRPr="001B07BE">
        <w:rPr>
          <w:rFonts w:ascii="Arial" w:hAnsi="Arial" w:cs="Arial"/>
          <w:i/>
          <w:iCs/>
          <w:color w:val="222222"/>
          <w:sz w:val="20"/>
          <w:szCs w:val="20"/>
          <w:highlight w:val="yellow"/>
          <w:shd w:val="clear" w:color="auto" w:fill="FFFFFF"/>
        </w:rPr>
        <w:t>intechopen</w:t>
      </w:r>
      <w:proofErr w:type="spellEnd"/>
      <w:r w:rsidRPr="001B07BE">
        <w:rPr>
          <w:rFonts w:ascii="Arial" w:hAnsi="Arial" w:cs="Arial"/>
          <w:color w:val="222222"/>
          <w:sz w:val="20"/>
          <w:szCs w:val="20"/>
          <w:highlight w:val="yellow"/>
          <w:shd w:val="clear" w:color="auto" w:fill="FFFFFF"/>
        </w:rPr>
        <w:t>, </w:t>
      </w:r>
      <w:r w:rsidRPr="001B07BE">
        <w:rPr>
          <w:rFonts w:ascii="Arial" w:hAnsi="Arial" w:cs="Arial"/>
          <w:i/>
          <w:iCs/>
          <w:color w:val="222222"/>
          <w:sz w:val="20"/>
          <w:szCs w:val="20"/>
          <w:highlight w:val="yellow"/>
          <w:shd w:val="clear" w:color="auto" w:fill="FFFFFF"/>
        </w:rPr>
        <w:t>1005828</w:t>
      </w:r>
      <w:r w:rsidRPr="001B07BE">
        <w:rPr>
          <w:rFonts w:ascii="Arial" w:hAnsi="Arial" w:cs="Arial"/>
          <w:color w:val="222222"/>
          <w:sz w:val="20"/>
          <w:szCs w:val="20"/>
          <w:highlight w:val="yellow"/>
          <w:shd w:val="clear" w:color="auto" w:fill="FFFFFF"/>
        </w:rPr>
        <w:t>.</w:t>
      </w:r>
    </w:p>
    <w:sectPr w:rsidR="00451F19" w:rsidRPr="001B07BE" w:rsidSect="001E337C">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B2F38" w14:textId="77777777" w:rsidR="00052DF0" w:rsidRDefault="00052DF0" w:rsidP="00045A87">
      <w:pPr>
        <w:spacing w:after="0" w:line="240" w:lineRule="auto"/>
      </w:pPr>
      <w:r>
        <w:separator/>
      </w:r>
    </w:p>
  </w:endnote>
  <w:endnote w:type="continuationSeparator" w:id="0">
    <w:p w14:paraId="55FAEB7C" w14:textId="77777777" w:rsidR="00052DF0" w:rsidRDefault="00052DF0" w:rsidP="000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5A3B" w14:textId="77777777" w:rsidR="00F21C0C" w:rsidRDefault="00F21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5D0E" w14:textId="77777777" w:rsidR="00F21C0C" w:rsidRDefault="00F21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386D" w14:textId="77777777" w:rsidR="00F21C0C" w:rsidRDefault="00F21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E4567" w14:textId="77777777" w:rsidR="00052DF0" w:rsidRDefault="00052DF0" w:rsidP="00045A87">
      <w:pPr>
        <w:spacing w:after="0" w:line="240" w:lineRule="auto"/>
      </w:pPr>
      <w:r>
        <w:separator/>
      </w:r>
    </w:p>
  </w:footnote>
  <w:footnote w:type="continuationSeparator" w:id="0">
    <w:p w14:paraId="4E91D042" w14:textId="77777777" w:rsidR="00052DF0" w:rsidRDefault="00052DF0" w:rsidP="0004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5A82" w14:textId="726D2DCC" w:rsidR="00F21C0C" w:rsidRDefault="00052DF0">
    <w:pPr>
      <w:pStyle w:val="Header"/>
    </w:pPr>
    <w:r>
      <w:rPr>
        <w:noProof/>
      </w:rPr>
      <w:pict w14:anchorId="57DDC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51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5379" w14:textId="277C7765" w:rsidR="00F21C0C" w:rsidRDefault="00052DF0">
    <w:pPr>
      <w:pStyle w:val="Header"/>
    </w:pPr>
    <w:r>
      <w:rPr>
        <w:noProof/>
      </w:rPr>
      <w:pict w14:anchorId="41A9B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51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E656" w14:textId="0F30430B" w:rsidR="00F21C0C" w:rsidRDefault="00052DF0">
    <w:pPr>
      <w:pStyle w:val="Header"/>
    </w:pPr>
    <w:r>
      <w:rPr>
        <w:noProof/>
      </w:rPr>
      <w:pict w14:anchorId="49DF1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51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5053C"/>
    <w:multiLevelType w:val="hybridMultilevel"/>
    <w:tmpl w:val="E330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BIhNDUyAwMAMxlHSUglOLizPz80AKTGoBunn/ICwAAAA="/>
  </w:docVars>
  <w:rsids>
    <w:rsidRoot w:val="00930AD9"/>
    <w:rsid w:val="00045A87"/>
    <w:rsid w:val="00052DF0"/>
    <w:rsid w:val="00065726"/>
    <w:rsid w:val="00122CB2"/>
    <w:rsid w:val="001B07BE"/>
    <w:rsid w:val="001C69F9"/>
    <w:rsid w:val="001E337C"/>
    <w:rsid w:val="002109EA"/>
    <w:rsid w:val="00270DDD"/>
    <w:rsid w:val="003A079D"/>
    <w:rsid w:val="004162A0"/>
    <w:rsid w:val="004237A9"/>
    <w:rsid w:val="004502EB"/>
    <w:rsid w:val="00451F19"/>
    <w:rsid w:val="004E036B"/>
    <w:rsid w:val="004F3CB4"/>
    <w:rsid w:val="005C5D1C"/>
    <w:rsid w:val="00717E34"/>
    <w:rsid w:val="00804FD1"/>
    <w:rsid w:val="00930AD9"/>
    <w:rsid w:val="00AC093C"/>
    <w:rsid w:val="00B04FBC"/>
    <w:rsid w:val="00C234D2"/>
    <w:rsid w:val="00C3517D"/>
    <w:rsid w:val="00C62167"/>
    <w:rsid w:val="00C83548"/>
    <w:rsid w:val="00CA44A8"/>
    <w:rsid w:val="00CD3234"/>
    <w:rsid w:val="00CD4875"/>
    <w:rsid w:val="00CD6081"/>
    <w:rsid w:val="00D263F6"/>
    <w:rsid w:val="00D5437D"/>
    <w:rsid w:val="00E32D49"/>
    <w:rsid w:val="00F21C0C"/>
    <w:rsid w:val="00F6642B"/>
    <w:rsid w:val="00FA0B4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E8B32"/>
  <w15:chartTrackingRefBased/>
  <w15:docId w15:val="{C6CE9B7C-A89C-4AE2-8A76-D4D734CC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930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30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30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30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30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AD9"/>
    <w:rPr>
      <w:rFonts w:eastAsiaTheme="majorEastAsia" w:cstheme="majorBidi"/>
      <w:color w:val="272727" w:themeColor="text1" w:themeTint="D8"/>
    </w:rPr>
  </w:style>
  <w:style w:type="paragraph" w:styleId="Title">
    <w:name w:val="Title"/>
    <w:basedOn w:val="Normal"/>
    <w:next w:val="Normal"/>
    <w:link w:val="TitleChar"/>
    <w:uiPriority w:val="10"/>
    <w:qFormat/>
    <w:rsid w:val="00930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AD9"/>
    <w:pPr>
      <w:spacing w:before="160"/>
      <w:jc w:val="center"/>
    </w:pPr>
    <w:rPr>
      <w:i/>
      <w:iCs/>
      <w:color w:val="404040" w:themeColor="text1" w:themeTint="BF"/>
    </w:rPr>
  </w:style>
  <w:style w:type="character" w:customStyle="1" w:styleId="QuoteChar">
    <w:name w:val="Quote Char"/>
    <w:basedOn w:val="DefaultParagraphFont"/>
    <w:link w:val="Quote"/>
    <w:uiPriority w:val="29"/>
    <w:rsid w:val="00930AD9"/>
    <w:rPr>
      <w:i/>
      <w:iCs/>
      <w:color w:val="404040" w:themeColor="text1" w:themeTint="BF"/>
    </w:rPr>
  </w:style>
  <w:style w:type="paragraph" w:styleId="ListParagraph">
    <w:name w:val="List Paragraph"/>
    <w:basedOn w:val="Normal"/>
    <w:uiPriority w:val="34"/>
    <w:qFormat/>
    <w:rsid w:val="00930AD9"/>
    <w:pPr>
      <w:ind w:left="720"/>
      <w:contextualSpacing/>
    </w:pPr>
  </w:style>
  <w:style w:type="character" w:styleId="IntenseEmphasis">
    <w:name w:val="Intense Emphasis"/>
    <w:basedOn w:val="DefaultParagraphFont"/>
    <w:uiPriority w:val="21"/>
    <w:qFormat/>
    <w:rsid w:val="00930AD9"/>
    <w:rPr>
      <w:i/>
      <w:iCs/>
      <w:color w:val="2F5496" w:themeColor="accent1" w:themeShade="BF"/>
    </w:rPr>
  </w:style>
  <w:style w:type="paragraph" w:styleId="IntenseQuote">
    <w:name w:val="Intense Quote"/>
    <w:basedOn w:val="Normal"/>
    <w:next w:val="Normal"/>
    <w:link w:val="IntenseQuoteChar"/>
    <w:uiPriority w:val="30"/>
    <w:qFormat/>
    <w:rsid w:val="00930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AD9"/>
    <w:rPr>
      <w:i/>
      <w:iCs/>
      <w:color w:val="2F5496" w:themeColor="accent1" w:themeShade="BF"/>
    </w:rPr>
  </w:style>
  <w:style w:type="character" w:styleId="IntenseReference">
    <w:name w:val="Intense Reference"/>
    <w:basedOn w:val="DefaultParagraphFont"/>
    <w:uiPriority w:val="32"/>
    <w:qFormat/>
    <w:rsid w:val="00930AD9"/>
    <w:rPr>
      <w:b/>
      <w:bCs/>
      <w:smallCaps/>
      <w:color w:val="2F5496" w:themeColor="accent1" w:themeShade="BF"/>
      <w:spacing w:val="5"/>
    </w:rPr>
  </w:style>
  <w:style w:type="paragraph" w:styleId="NormalWeb">
    <w:name w:val="Normal (Web)"/>
    <w:basedOn w:val="Normal"/>
    <w:uiPriority w:val="99"/>
    <w:unhideWhenUsed/>
    <w:rsid w:val="00451F1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451F19"/>
    <w:rPr>
      <w:b/>
      <w:bCs/>
    </w:rPr>
  </w:style>
  <w:style w:type="character" w:styleId="Emphasis">
    <w:name w:val="Emphasis"/>
    <w:basedOn w:val="DefaultParagraphFont"/>
    <w:uiPriority w:val="20"/>
    <w:qFormat/>
    <w:rsid w:val="00717E34"/>
    <w:rPr>
      <w:i/>
      <w:iCs/>
    </w:rPr>
  </w:style>
  <w:style w:type="character" w:styleId="Hyperlink">
    <w:name w:val="Hyperlink"/>
    <w:basedOn w:val="DefaultParagraphFont"/>
    <w:uiPriority w:val="99"/>
    <w:unhideWhenUsed/>
    <w:rsid w:val="00717E34"/>
    <w:rPr>
      <w:color w:val="0000FF"/>
      <w:u w:val="single"/>
    </w:rPr>
  </w:style>
  <w:style w:type="paragraph" w:styleId="Header">
    <w:name w:val="header"/>
    <w:basedOn w:val="Normal"/>
    <w:link w:val="HeaderChar"/>
    <w:uiPriority w:val="99"/>
    <w:unhideWhenUsed/>
    <w:rsid w:val="00045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A87"/>
  </w:style>
  <w:style w:type="paragraph" w:styleId="Footer">
    <w:name w:val="footer"/>
    <w:basedOn w:val="Normal"/>
    <w:link w:val="FooterChar"/>
    <w:uiPriority w:val="99"/>
    <w:unhideWhenUsed/>
    <w:rsid w:val="00045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A87"/>
  </w:style>
  <w:style w:type="paragraph" w:styleId="NoSpacing">
    <w:name w:val="No Spacing"/>
    <w:uiPriority w:val="1"/>
    <w:qFormat/>
    <w:rsid w:val="00CA44A8"/>
    <w:pPr>
      <w:spacing w:after="0" w:line="240" w:lineRule="auto"/>
    </w:pPr>
    <w:rPr>
      <w:lang w:val="en-US"/>
    </w:rPr>
  </w:style>
  <w:style w:type="paragraph" w:styleId="BalloonText">
    <w:name w:val="Balloon Text"/>
    <w:basedOn w:val="Normal"/>
    <w:link w:val="BalloonTextChar"/>
    <w:uiPriority w:val="99"/>
    <w:semiHidden/>
    <w:unhideWhenUsed/>
    <w:rsid w:val="00CD4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75"/>
    <w:rPr>
      <w:rFonts w:ascii="Segoe UI" w:hAnsi="Segoe UI" w:cs="Segoe UI"/>
      <w:sz w:val="18"/>
      <w:szCs w:val="18"/>
    </w:rPr>
  </w:style>
  <w:style w:type="paragraph" w:customStyle="1" w:styleId="c-bibliographic-informationcitation">
    <w:name w:val="c-bibliographic-information__citation"/>
    <w:basedOn w:val="Normal"/>
    <w:rsid w:val="004E036B"/>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8031">
      <w:bodyDiv w:val="1"/>
      <w:marLeft w:val="0"/>
      <w:marRight w:val="0"/>
      <w:marTop w:val="0"/>
      <w:marBottom w:val="0"/>
      <w:divBdr>
        <w:top w:val="none" w:sz="0" w:space="0" w:color="auto"/>
        <w:left w:val="none" w:sz="0" w:space="0" w:color="auto"/>
        <w:bottom w:val="none" w:sz="0" w:space="0" w:color="auto"/>
        <w:right w:val="none" w:sz="0" w:space="0" w:color="auto"/>
      </w:divBdr>
    </w:div>
    <w:div w:id="1632639006">
      <w:bodyDiv w:val="1"/>
      <w:marLeft w:val="0"/>
      <w:marRight w:val="0"/>
      <w:marTop w:val="0"/>
      <w:marBottom w:val="0"/>
      <w:divBdr>
        <w:top w:val="none" w:sz="0" w:space="0" w:color="auto"/>
        <w:left w:val="none" w:sz="0" w:space="0" w:color="auto"/>
        <w:bottom w:val="none" w:sz="0" w:space="0" w:color="auto"/>
        <w:right w:val="none" w:sz="0" w:space="0" w:color="auto"/>
      </w:divBdr>
      <w:divsChild>
        <w:div w:id="375545855">
          <w:marLeft w:val="0"/>
          <w:marRight w:val="0"/>
          <w:marTop w:val="0"/>
          <w:marBottom w:val="0"/>
          <w:divBdr>
            <w:top w:val="none" w:sz="0" w:space="0" w:color="auto"/>
            <w:left w:val="none" w:sz="0" w:space="0" w:color="auto"/>
            <w:bottom w:val="none" w:sz="0" w:space="0" w:color="auto"/>
            <w:right w:val="none" w:sz="0" w:space="0" w:color="auto"/>
          </w:divBdr>
          <w:divsChild>
            <w:div w:id="8116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ep.2023.116383" TargetMode="External"/><Relationship Id="rId18" Type="http://schemas.openxmlformats.org/officeDocument/2006/relationships/hyperlink" Target="https://doi.org/10.3389/fpls.2024.1463666" TargetMode="External"/><Relationship Id="rId26" Type="http://schemas.openxmlformats.org/officeDocument/2006/relationships/hyperlink" Target="https://doi.org/10.3389/fphar.2024.1496792" TargetMode="External"/><Relationship Id="rId39" Type="http://schemas.openxmlformats.org/officeDocument/2006/relationships/header" Target="header2.xml"/><Relationship Id="rId21" Type="http://schemas.openxmlformats.org/officeDocument/2006/relationships/hyperlink" Target="https://doi.org/10.1002/hep4.1904" TargetMode="External"/><Relationship Id="rId34" Type="http://schemas.openxmlformats.org/officeDocument/2006/relationships/hyperlink" Target="https://doi.org/10.1186/s12906-025-05096-2" TargetMode="External"/><Relationship Id="rId42" Type="http://schemas.openxmlformats.org/officeDocument/2006/relationships/header" Target="header3.xml"/><Relationship Id="rId7" Type="http://schemas.openxmlformats.org/officeDocument/2006/relationships/hyperlink" Target="https://doi.org/10.3389/fphar.2020.578970" TargetMode="External"/><Relationship Id="rId2" Type="http://schemas.openxmlformats.org/officeDocument/2006/relationships/styles" Target="styles.xml"/><Relationship Id="rId16" Type="http://schemas.openxmlformats.org/officeDocument/2006/relationships/hyperlink" Target="https://doi.org/10.1007/s00764-022-00187-z" TargetMode="External"/><Relationship Id="rId29" Type="http://schemas.openxmlformats.org/officeDocument/2006/relationships/hyperlink" Target="https://doi.org/10.1371/journal.pone.03027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ajb.2022.01.045" TargetMode="External"/><Relationship Id="rId24" Type="http://schemas.openxmlformats.org/officeDocument/2006/relationships/hyperlink" Target="https://doi.org/10.9734/jsrr/2024/v30i102510?utm_source=chatgpt.com" TargetMode="External"/><Relationship Id="rId32" Type="http://schemas.openxmlformats.org/officeDocument/2006/relationships/hyperlink" Target="https://doi.org/10.1007/s12892-023-00219-y" TargetMode="External"/><Relationship Id="rId37" Type="http://schemas.openxmlformats.org/officeDocument/2006/relationships/hyperlink" Target="https://doi.org/10.1016/j.phrs.2021.10553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722-021-01199-0" TargetMode="External"/><Relationship Id="rId23" Type="http://schemas.openxmlformats.org/officeDocument/2006/relationships/hyperlink" Target="https://doi.org/10.3389/fnut.2022.965130" TargetMode="External"/><Relationship Id="rId28" Type="http://schemas.openxmlformats.org/officeDocument/2006/relationships/hyperlink" Target="https://doi.org/10.1016/j.fitote.2023.105764" TargetMode="External"/><Relationship Id="rId36" Type="http://schemas.openxmlformats.org/officeDocument/2006/relationships/hyperlink" Target="https://doi.org/10.1042/BSR20210817" TargetMode="External"/><Relationship Id="rId10" Type="http://schemas.openxmlformats.org/officeDocument/2006/relationships/hyperlink" Target="https://doi.org/10.1093/jpp/rgae013" TargetMode="External"/><Relationship Id="rId19" Type="http://schemas.openxmlformats.org/officeDocument/2006/relationships/hyperlink" Target="https://doi.org/10.9734/ajee/2024/v23i7566?utm_source=chatgpt.com" TargetMode="External"/><Relationship Id="rId31" Type="http://schemas.openxmlformats.org/officeDocument/2006/relationships/hyperlink" Target="https://doi.org/10.56557/bn/2025/v45i22076?utm_source=chatgpt.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microc.2025.116655" TargetMode="External"/><Relationship Id="rId14" Type="http://schemas.openxmlformats.org/officeDocument/2006/relationships/hyperlink" Target="https://doi.org/10.1016/j.hermed.2022.100569" TargetMode="External"/><Relationship Id="rId22" Type="http://schemas.openxmlformats.org/officeDocument/2006/relationships/hyperlink" Target="https://doi.org/10.1007/s12041-020-01207-9" TargetMode="External"/><Relationship Id="rId27" Type="http://schemas.openxmlformats.org/officeDocument/2006/relationships/hyperlink" Target="https://doi.org/10.3390/nu16091293" TargetMode="External"/><Relationship Id="rId30" Type="http://schemas.openxmlformats.org/officeDocument/2006/relationships/hyperlink" Target="https://doi.org/10.1186/s13002-023-00642-z" TargetMode="External"/><Relationship Id="rId35" Type="http://schemas.openxmlformats.org/officeDocument/2006/relationships/hyperlink" Target="https://doi.org/10.1007/s10722-025-02410-2" TargetMode="External"/><Relationship Id="rId43" Type="http://schemas.openxmlformats.org/officeDocument/2006/relationships/footer" Target="footer3.xml"/><Relationship Id="rId8" Type="http://schemas.openxmlformats.org/officeDocument/2006/relationships/hyperlink" Target="https://doi.org/10.1016/j.explore.2024.103062" TargetMode="External"/><Relationship Id="rId3" Type="http://schemas.openxmlformats.org/officeDocument/2006/relationships/settings" Target="settings.xml"/><Relationship Id="rId12" Type="http://schemas.openxmlformats.org/officeDocument/2006/relationships/hyperlink" Target="https://doi.org/10.1016/j.jpha.2023.03.008" TargetMode="External"/><Relationship Id="rId17" Type="http://schemas.openxmlformats.org/officeDocument/2006/relationships/hyperlink" Target="https://doi.org/10.1016/j.jff.2020.104171" TargetMode="External"/><Relationship Id="rId25" Type="http://schemas.openxmlformats.org/officeDocument/2006/relationships/hyperlink" Target="https://doi.org/10.1016/j.talo.2021.100070" TargetMode="External"/><Relationship Id="rId33" Type="http://schemas.openxmlformats.org/officeDocument/2006/relationships/hyperlink" Target="https://doi.org/10.2174/1570159X19666210712151556" TargetMode="External"/><Relationship Id="rId38" Type="http://schemas.openxmlformats.org/officeDocument/2006/relationships/header" Target="header1.xml"/><Relationship Id="rId20" Type="http://schemas.openxmlformats.org/officeDocument/2006/relationships/hyperlink" Target="https://doi.org/10.1016/j.medidd.2025.100211"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16</Pages>
  <Words>8299</Words>
  <Characters>47309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Editor GP 005</cp:lastModifiedBy>
  <cp:revision>21</cp:revision>
  <dcterms:created xsi:type="dcterms:W3CDTF">2026-01-21T03:59:00Z</dcterms:created>
  <dcterms:modified xsi:type="dcterms:W3CDTF">2026-01-27T06:49:00Z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2de8ac46-94a3-4389-88d5-23a75897c6c7</vt:lpwstr>
  </property>
</Properties>
</file>