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1B64B" w14:textId="77777777" w:rsidR="00754C9A" w:rsidRDefault="00754C9A" w:rsidP="00441B6F">
      <w:pPr>
        <w:pStyle w:val="Title"/>
        <w:spacing w:after="0"/>
        <w:jc w:val="both"/>
        <w:rPr>
          <w:rFonts w:ascii="Arial" w:hAnsi="Arial" w:cs="Arial"/>
        </w:rPr>
      </w:pPr>
    </w:p>
    <w:p w14:paraId="1E3B2308" w14:textId="36573B63" w:rsidR="00163BC4" w:rsidRPr="00163BC4" w:rsidRDefault="009C7EC0" w:rsidP="00441B6F">
      <w:pPr>
        <w:pStyle w:val="Author"/>
        <w:spacing w:line="240" w:lineRule="auto"/>
        <w:rPr>
          <w:rFonts w:ascii="Arial" w:hAnsi="Arial" w:cs="Arial"/>
          <w:bCs/>
          <w:iCs/>
          <w:kern w:val="28"/>
          <w:sz w:val="36"/>
        </w:rPr>
      </w:pPr>
      <w:r w:rsidRPr="009C7EC0">
        <w:rPr>
          <w:rFonts w:ascii="Arial" w:hAnsi="Arial" w:cs="Arial"/>
          <w:bCs/>
          <w:iCs/>
          <w:kern w:val="28"/>
          <w:sz w:val="36"/>
        </w:rPr>
        <w:t xml:space="preserve">Ethnobotanical Study of Domesticated Edible Plants </w:t>
      </w:r>
      <w:r w:rsidR="008B5177">
        <w:rPr>
          <w:rFonts w:ascii="Arial" w:hAnsi="Arial" w:cs="Arial"/>
          <w:bCs/>
          <w:iCs/>
          <w:kern w:val="28"/>
          <w:sz w:val="36"/>
        </w:rPr>
        <w:t xml:space="preserve">in Mali </w:t>
      </w:r>
      <w:r w:rsidRPr="009C7EC0">
        <w:rPr>
          <w:rFonts w:ascii="Arial" w:hAnsi="Arial" w:cs="Arial"/>
          <w:bCs/>
          <w:iCs/>
          <w:kern w:val="28"/>
          <w:sz w:val="36"/>
        </w:rPr>
        <w:t xml:space="preserve">and Biochemical </w:t>
      </w:r>
      <w:r w:rsidR="007110B0">
        <w:rPr>
          <w:rFonts w:ascii="Arial" w:hAnsi="Arial" w:cs="Arial"/>
          <w:bCs/>
          <w:iCs/>
          <w:kern w:val="28"/>
          <w:sz w:val="36"/>
        </w:rPr>
        <w:t>screening</w:t>
      </w:r>
      <w:r w:rsidRPr="009C7EC0">
        <w:rPr>
          <w:rFonts w:ascii="Arial" w:hAnsi="Arial" w:cs="Arial"/>
          <w:bCs/>
          <w:iCs/>
          <w:kern w:val="28"/>
          <w:sz w:val="36"/>
        </w:rPr>
        <w:t xml:space="preserve"> of </w:t>
      </w:r>
      <w:r w:rsidRPr="009C7EC0">
        <w:rPr>
          <w:rFonts w:ascii="Arial" w:hAnsi="Arial" w:cs="Arial"/>
          <w:bCs/>
          <w:i/>
          <w:kern w:val="28"/>
          <w:sz w:val="36"/>
        </w:rPr>
        <w:t>Mangifera indica</w:t>
      </w:r>
      <w:r w:rsidRPr="009C7EC0">
        <w:rPr>
          <w:rFonts w:ascii="Arial" w:hAnsi="Arial" w:cs="Arial"/>
          <w:bCs/>
          <w:iCs/>
          <w:kern w:val="28"/>
          <w:sz w:val="36"/>
        </w:rPr>
        <w:t xml:space="preserve"> L.</w:t>
      </w:r>
      <w:r w:rsidR="00231920">
        <w:rPr>
          <w:rFonts w:ascii="Arial" w:hAnsi="Arial" w:cs="Arial"/>
          <w:bCs/>
          <w:iCs/>
          <w:kern w:val="28"/>
          <w:sz w:val="36"/>
        </w:rPr>
        <w:t xml:space="preserve"> </w:t>
      </w:r>
    </w:p>
    <w:p w14:paraId="5DBB9DD4" w14:textId="77777777" w:rsidR="00A258C3" w:rsidRPr="00790ADA" w:rsidRDefault="00A258C3" w:rsidP="00441B6F">
      <w:pPr>
        <w:pStyle w:val="Author"/>
        <w:spacing w:line="240" w:lineRule="auto"/>
        <w:jc w:val="both"/>
        <w:rPr>
          <w:rFonts w:ascii="Arial" w:hAnsi="Arial" w:cs="Arial"/>
          <w:sz w:val="36"/>
        </w:rPr>
      </w:pPr>
    </w:p>
    <w:p w14:paraId="0DDF5103" w14:textId="77777777" w:rsidR="002C57D2" w:rsidRPr="00FB3A86" w:rsidRDefault="002C57D2" w:rsidP="00441B6F">
      <w:pPr>
        <w:pStyle w:val="Affiliation"/>
        <w:spacing w:after="0" w:line="240" w:lineRule="auto"/>
        <w:jc w:val="both"/>
        <w:rPr>
          <w:rFonts w:ascii="Arial" w:hAnsi="Arial" w:cs="Arial"/>
        </w:rPr>
      </w:pPr>
    </w:p>
    <w:p w14:paraId="4B33894D" w14:textId="2E72E5E6" w:rsidR="00B01FCD" w:rsidRPr="00FB3A86" w:rsidRDefault="00ED1611" w:rsidP="00441B6F">
      <w:pPr>
        <w:pStyle w:val="Copyright"/>
        <w:spacing w:after="0" w:line="240" w:lineRule="auto"/>
        <w:jc w:val="both"/>
        <w:rPr>
          <w:rFonts w:ascii="Arial" w:hAnsi="Arial" w:cs="Arial"/>
        </w:rPr>
        <w:sectPr w:rsidR="00B01FCD" w:rsidRPr="00FB3A86" w:rsidSect="00A028F8">
          <w:headerReference w:type="even" r:id="rId8"/>
          <w:headerReference w:type="default"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AE61490" wp14:editId="2AA59C88">
                <wp:extent cx="5303520" cy="635"/>
                <wp:effectExtent l="17145" t="15240" r="13335" b="13335"/>
                <wp:docPr id="11180051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500FA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3272511" w14:textId="083272FA" w:rsidR="00B01FCD" w:rsidRDefault="00B01FCD" w:rsidP="008510D8">
      <w:pPr>
        <w:pStyle w:val="AbstHead"/>
        <w:spacing w:after="0"/>
        <w:jc w:val="both"/>
        <w:outlineLvl w:val="0"/>
        <w:rPr>
          <w:rFonts w:ascii="Arial" w:hAnsi="Arial" w:cs="Arial"/>
        </w:rPr>
      </w:pPr>
      <w:r w:rsidRPr="00FB3A86">
        <w:rPr>
          <w:rFonts w:ascii="Arial" w:hAnsi="Arial" w:cs="Arial"/>
        </w:rPr>
        <w:t>ABSTRACT</w:t>
      </w:r>
    </w:p>
    <w:p w14:paraId="5FC5CBB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08D425D" w14:textId="77777777" w:rsidTr="001E44FE">
        <w:tc>
          <w:tcPr>
            <w:tcW w:w="9576" w:type="dxa"/>
            <w:shd w:val="clear" w:color="auto" w:fill="F2F2F2"/>
          </w:tcPr>
          <w:p w14:paraId="29E99682" w14:textId="13585E49" w:rsidR="008830CE" w:rsidRDefault="00ED1611" w:rsidP="008830CE">
            <w:pPr>
              <w:pStyle w:val="Body"/>
              <w:spacing w:after="0"/>
              <w:rPr>
                <w:rFonts w:ascii="Arial" w:eastAsia="Calibri" w:hAnsi="Arial" w:cs="Arial"/>
                <w:szCs w:val="22"/>
              </w:rPr>
            </w:pPr>
            <w:r w:rsidRPr="00ED1611">
              <w:rPr>
                <w:rFonts w:ascii="Arial" w:eastAsia="Calibri" w:hAnsi="Arial" w:cs="Arial"/>
                <w:b/>
                <w:bCs/>
                <w:szCs w:val="22"/>
              </w:rPr>
              <w:t xml:space="preserve">Introduction: </w:t>
            </w:r>
            <w:r w:rsidR="008830CE" w:rsidRPr="008830CE">
              <w:rPr>
                <w:rFonts w:ascii="Arial" w:eastAsia="Calibri" w:hAnsi="Arial" w:cs="Arial"/>
                <w:szCs w:val="22"/>
              </w:rPr>
              <w:t xml:space="preserve">In Mali, several domesticated edible plants are commonly used for their nutritional and therapeutic properties. </w:t>
            </w:r>
            <w:r w:rsidR="00670D21">
              <w:rPr>
                <w:rFonts w:ascii="Arial" w:eastAsia="Calibri" w:hAnsi="Arial" w:cs="Arial"/>
                <w:szCs w:val="22"/>
              </w:rPr>
              <w:t xml:space="preserve">But their usage </w:t>
            </w:r>
            <w:proofErr w:type="gramStart"/>
            <w:r w:rsidR="00670D21">
              <w:rPr>
                <w:rFonts w:ascii="Arial" w:hAnsi="Arial" w:cs="Arial"/>
              </w:rPr>
              <w:t>are</w:t>
            </w:r>
            <w:proofErr w:type="gramEnd"/>
            <w:r w:rsidR="00670D21">
              <w:rPr>
                <w:rFonts w:ascii="Arial" w:hAnsi="Arial" w:cs="Arial"/>
              </w:rPr>
              <w:t xml:space="preserve"> </w:t>
            </w:r>
            <w:r w:rsidR="00670D21" w:rsidRPr="00F831F1">
              <w:rPr>
                <w:rFonts w:ascii="Arial" w:hAnsi="Arial" w:cs="Arial"/>
              </w:rPr>
              <w:t>poorly documented in terms of their chemical composition and pharmacological properties. This highlights the urgent need for ethnobotanical, phytochemical, and pharmacological investigations.</w:t>
            </w:r>
          </w:p>
          <w:p w14:paraId="6139C920" w14:textId="77777777" w:rsidR="008830CE" w:rsidRDefault="008830CE" w:rsidP="008830CE">
            <w:pPr>
              <w:pStyle w:val="Body"/>
              <w:spacing w:after="0"/>
              <w:rPr>
                <w:rFonts w:ascii="Arial" w:eastAsia="Calibri" w:hAnsi="Arial" w:cs="Arial"/>
                <w:szCs w:val="22"/>
              </w:rPr>
            </w:pPr>
            <w:r w:rsidRPr="00BA1B01">
              <w:rPr>
                <w:rFonts w:ascii="Arial" w:eastAsia="Calibri" w:hAnsi="Arial" w:cs="Arial"/>
                <w:b/>
                <w:szCs w:val="22"/>
              </w:rPr>
              <w:t>Aims:</w:t>
            </w:r>
            <w:r>
              <w:rPr>
                <w:rFonts w:ascii="Arial" w:eastAsia="Calibri" w:hAnsi="Arial" w:cs="Arial"/>
                <w:b/>
                <w:szCs w:val="22"/>
              </w:rPr>
              <w:t xml:space="preserve"> </w:t>
            </w:r>
            <w:r w:rsidRPr="008830CE">
              <w:rPr>
                <w:rFonts w:ascii="Arial" w:eastAsia="Calibri" w:hAnsi="Arial" w:cs="Arial"/>
                <w:szCs w:val="22"/>
              </w:rPr>
              <w:t xml:space="preserve">This study aimed to establish an ethnobotanical inventory of domesticated edible plants in Bamako and surrounding areas, document their therapeutic uses, and evaluate the phytochemical composition and biological activities of the most relevant species. </w:t>
            </w:r>
          </w:p>
          <w:p w14:paraId="21B22393" w14:textId="25373DBF" w:rsidR="009C7EC0" w:rsidRDefault="009C7EC0" w:rsidP="008830CE">
            <w:pPr>
              <w:pStyle w:val="Body"/>
              <w:spacing w:after="0"/>
              <w:rPr>
                <w:rFonts w:ascii="Arial" w:eastAsia="Calibri" w:hAnsi="Arial" w:cs="Arial"/>
                <w:szCs w:val="22"/>
              </w:rPr>
            </w:pPr>
            <w:r w:rsidRPr="00BA1B01">
              <w:rPr>
                <w:rFonts w:ascii="Arial" w:eastAsia="Calibri" w:hAnsi="Arial" w:cs="Arial"/>
                <w:b/>
                <w:szCs w:val="22"/>
              </w:rPr>
              <w:t>Place and Duration of Study</w:t>
            </w:r>
            <w:r>
              <w:rPr>
                <w:rFonts w:ascii="Arial" w:eastAsia="Calibri" w:hAnsi="Arial" w:cs="Arial"/>
                <w:b/>
                <w:szCs w:val="22"/>
              </w:rPr>
              <w:t xml:space="preserve">: </w:t>
            </w:r>
            <w:r w:rsidRPr="009C7EC0">
              <w:rPr>
                <w:rFonts w:ascii="Arial" w:eastAsia="Calibri" w:hAnsi="Arial" w:cs="Arial"/>
                <w:szCs w:val="22"/>
              </w:rPr>
              <w:t xml:space="preserve">The ethnobotanical survey was conducted in Bamako (District of Bamako), Kati, and </w:t>
            </w:r>
            <w:proofErr w:type="spellStart"/>
            <w:r w:rsidRPr="009C7EC0">
              <w:rPr>
                <w:rFonts w:ascii="Arial" w:eastAsia="Calibri" w:hAnsi="Arial" w:cs="Arial"/>
                <w:szCs w:val="22"/>
              </w:rPr>
              <w:t>Sanankoroba</w:t>
            </w:r>
            <w:proofErr w:type="spellEnd"/>
            <w:r w:rsidRPr="009C7EC0">
              <w:rPr>
                <w:rFonts w:ascii="Arial" w:eastAsia="Calibri" w:hAnsi="Arial" w:cs="Arial"/>
                <w:szCs w:val="22"/>
              </w:rPr>
              <w:t xml:space="preserve"> (</w:t>
            </w:r>
            <w:proofErr w:type="spellStart"/>
            <w:r w:rsidRPr="009C7EC0">
              <w:rPr>
                <w:rFonts w:ascii="Arial" w:eastAsia="Calibri" w:hAnsi="Arial" w:cs="Arial"/>
                <w:szCs w:val="22"/>
              </w:rPr>
              <w:t>Koulikoro</w:t>
            </w:r>
            <w:proofErr w:type="spellEnd"/>
            <w:r w:rsidRPr="009C7EC0">
              <w:rPr>
                <w:rFonts w:ascii="Arial" w:eastAsia="Calibri" w:hAnsi="Arial" w:cs="Arial"/>
                <w:szCs w:val="22"/>
              </w:rPr>
              <w:t xml:space="preserve"> region), </w:t>
            </w:r>
            <w:r>
              <w:rPr>
                <w:rFonts w:ascii="Arial" w:eastAsia="Calibri" w:hAnsi="Arial" w:cs="Arial"/>
                <w:szCs w:val="22"/>
              </w:rPr>
              <w:t>in</w:t>
            </w:r>
            <w:r w:rsidRPr="009C7EC0">
              <w:rPr>
                <w:rFonts w:ascii="Arial" w:eastAsia="Calibri" w:hAnsi="Arial" w:cs="Arial"/>
                <w:szCs w:val="22"/>
              </w:rPr>
              <w:t xml:space="preserve"> Mali</w:t>
            </w:r>
            <w:r>
              <w:rPr>
                <w:rFonts w:ascii="Arial" w:eastAsia="Calibri" w:hAnsi="Arial" w:cs="Arial"/>
                <w:szCs w:val="22"/>
              </w:rPr>
              <w:t xml:space="preserve">, </w:t>
            </w:r>
            <w:r w:rsidRPr="009C7EC0">
              <w:rPr>
                <w:rFonts w:ascii="Arial" w:eastAsia="Calibri" w:hAnsi="Arial" w:cs="Arial"/>
                <w:szCs w:val="22"/>
              </w:rPr>
              <w:t xml:space="preserve">from November 7, 2022, to March 2, 2023. </w:t>
            </w:r>
          </w:p>
          <w:p w14:paraId="1EBA62F3" w14:textId="25A28A69" w:rsidR="008830CE" w:rsidRPr="00A12AC6" w:rsidRDefault="009C7EC0" w:rsidP="008830CE">
            <w:pPr>
              <w:pStyle w:val="Body"/>
              <w:spacing w:after="0"/>
              <w:rPr>
                <w:rFonts w:ascii="Arial" w:eastAsia="Calibri" w:hAnsi="Arial" w:cs="Arial"/>
                <w:szCs w:val="22"/>
              </w:rPr>
            </w:pPr>
            <w:r w:rsidRPr="00BA1B01">
              <w:rPr>
                <w:rFonts w:ascii="Arial" w:eastAsia="Calibri" w:hAnsi="Arial" w:cs="Arial"/>
                <w:b/>
                <w:bCs/>
                <w:szCs w:val="22"/>
              </w:rPr>
              <w:t>Methodology:</w:t>
            </w:r>
            <w:r>
              <w:rPr>
                <w:rFonts w:ascii="Arial" w:eastAsia="Calibri" w:hAnsi="Arial" w:cs="Arial"/>
                <w:b/>
                <w:bCs/>
                <w:szCs w:val="22"/>
              </w:rPr>
              <w:t xml:space="preserve"> </w:t>
            </w:r>
            <w:r w:rsidR="008830CE" w:rsidRPr="008830CE">
              <w:rPr>
                <w:rFonts w:ascii="Arial" w:eastAsia="Calibri" w:hAnsi="Arial" w:cs="Arial"/>
                <w:szCs w:val="22"/>
              </w:rPr>
              <w:t xml:space="preserve">Samples (roots, stem bark, and leaves) of </w:t>
            </w:r>
            <w:r w:rsidR="008830CE" w:rsidRPr="008830CE">
              <w:rPr>
                <w:rFonts w:ascii="Arial" w:eastAsia="Calibri" w:hAnsi="Arial" w:cs="Arial"/>
                <w:i/>
                <w:iCs/>
                <w:szCs w:val="22"/>
              </w:rPr>
              <w:t>Mangifera indica</w:t>
            </w:r>
            <w:r w:rsidR="008830CE" w:rsidRPr="008830CE">
              <w:rPr>
                <w:rFonts w:ascii="Arial" w:eastAsia="Calibri" w:hAnsi="Arial" w:cs="Arial"/>
                <w:szCs w:val="22"/>
              </w:rPr>
              <w:t xml:space="preserve"> L. were collected and subjected to qualitative phytochemical </w:t>
            </w:r>
            <w:r w:rsidR="008830CE" w:rsidRPr="00A12AC6">
              <w:rPr>
                <w:rFonts w:ascii="Arial" w:eastAsia="Calibri" w:hAnsi="Arial" w:cs="Arial"/>
                <w:szCs w:val="22"/>
              </w:rPr>
              <w:t xml:space="preserve">screening </w:t>
            </w:r>
            <w:r w:rsidR="004A34E8" w:rsidRPr="00A12AC6">
              <w:rPr>
                <w:rFonts w:ascii="Arial" w:eastAsia="Calibri" w:hAnsi="Arial" w:cs="Arial"/>
                <w:szCs w:val="22"/>
              </w:rPr>
              <w:t xml:space="preserve">using the coloring and precipitation reactions </w:t>
            </w:r>
            <w:r w:rsidR="008830CE" w:rsidRPr="00A12AC6">
              <w:rPr>
                <w:rFonts w:ascii="Arial" w:eastAsia="Calibri" w:hAnsi="Arial" w:cs="Arial"/>
                <w:szCs w:val="22"/>
              </w:rPr>
              <w:t xml:space="preserve">Antioxidant and anti-amylase activities were assessed using DPPH and </w:t>
            </w:r>
            <w:r w:rsidR="008830CE" w:rsidRPr="00A12AC6">
              <w:rPr>
                <w:rFonts w:ascii="Arial" w:eastAsia="Calibri" w:hAnsi="Arial" w:cs="Arial"/>
                <w:szCs w:val="22"/>
                <w:lang w:val="fr-FR"/>
              </w:rPr>
              <w:t>α</w:t>
            </w:r>
            <w:r w:rsidR="008830CE" w:rsidRPr="00A12AC6">
              <w:rPr>
                <w:rFonts w:ascii="Arial" w:eastAsia="Calibri" w:hAnsi="Arial" w:cs="Arial"/>
                <w:szCs w:val="22"/>
              </w:rPr>
              <w:t>-amylase inhibition assay.</w:t>
            </w:r>
          </w:p>
          <w:p w14:paraId="6F72B7D3" w14:textId="5FAE24A8" w:rsidR="008830CE" w:rsidRPr="00A12AC6" w:rsidRDefault="009C7EC0" w:rsidP="008830CE">
            <w:pPr>
              <w:pStyle w:val="Body"/>
              <w:spacing w:after="0"/>
              <w:rPr>
                <w:rFonts w:ascii="Arial" w:eastAsia="Calibri" w:hAnsi="Arial" w:cs="Arial"/>
                <w:szCs w:val="22"/>
              </w:rPr>
            </w:pPr>
            <w:r w:rsidRPr="00A12AC6">
              <w:rPr>
                <w:rFonts w:ascii="Arial" w:eastAsia="Calibri" w:hAnsi="Arial" w:cs="Arial"/>
                <w:b/>
                <w:bCs/>
                <w:szCs w:val="22"/>
              </w:rPr>
              <w:t xml:space="preserve">Results: </w:t>
            </w:r>
            <w:r w:rsidR="008830CE" w:rsidRPr="00A12AC6">
              <w:rPr>
                <w:rFonts w:ascii="Arial" w:eastAsia="Calibri" w:hAnsi="Arial" w:cs="Arial"/>
                <w:szCs w:val="22"/>
              </w:rPr>
              <w:t xml:space="preserve">The survey documented </w:t>
            </w:r>
            <w:r w:rsidR="00E1381B">
              <w:rPr>
                <w:rFonts w:ascii="Arial" w:eastAsia="Calibri" w:hAnsi="Arial" w:cs="Arial"/>
                <w:szCs w:val="22"/>
              </w:rPr>
              <w:t xml:space="preserve">from </w:t>
            </w:r>
            <w:r w:rsidR="00E1381B" w:rsidRPr="0028304F">
              <w:rPr>
                <w:rFonts w:ascii="Arial" w:hAnsi="Arial" w:cs="Arial"/>
              </w:rPr>
              <w:t>101 households</w:t>
            </w:r>
            <w:r w:rsidR="00E1381B" w:rsidRPr="00A12AC6">
              <w:rPr>
                <w:rFonts w:ascii="Arial" w:eastAsia="Calibri" w:hAnsi="Arial" w:cs="Arial"/>
                <w:szCs w:val="22"/>
              </w:rPr>
              <w:t xml:space="preserve"> </w:t>
            </w:r>
            <w:r w:rsidR="00E1381B">
              <w:rPr>
                <w:rFonts w:ascii="Arial" w:eastAsia="Calibri" w:hAnsi="Arial" w:cs="Arial"/>
                <w:szCs w:val="22"/>
              </w:rPr>
              <w:t>29</w:t>
            </w:r>
            <w:r w:rsidR="008830CE" w:rsidRPr="00A12AC6">
              <w:rPr>
                <w:rFonts w:ascii="Arial" w:eastAsia="Calibri" w:hAnsi="Arial" w:cs="Arial"/>
                <w:szCs w:val="22"/>
              </w:rPr>
              <w:t xml:space="preserve"> </w:t>
            </w:r>
            <w:r w:rsidR="004A34E8" w:rsidRPr="00A12AC6">
              <w:rPr>
                <w:rFonts w:ascii="Arial" w:eastAsia="Calibri" w:hAnsi="Arial" w:cs="Arial"/>
                <w:szCs w:val="22"/>
              </w:rPr>
              <w:t xml:space="preserve">domesticated edible </w:t>
            </w:r>
            <w:r w:rsidR="008830CE" w:rsidRPr="00A12AC6">
              <w:rPr>
                <w:rFonts w:ascii="Arial" w:eastAsia="Calibri" w:hAnsi="Arial" w:cs="Arial"/>
                <w:szCs w:val="22"/>
              </w:rPr>
              <w:t>plant species distributed across 24 families</w:t>
            </w:r>
            <w:r w:rsidR="00A12AC6" w:rsidRPr="00A12AC6">
              <w:rPr>
                <w:rFonts w:ascii="Arial" w:eastAsia="Calibri" w:hAnsi="Arial" w:cs="Arial"/>
                <w:szCs w:val="22"/>
              </w:rPr>
              <w:t xml:space="preserve"> </w:t>
            </w:r>
            <w:r w:rsidR="008A2849">
              <w:rPr>
                <w:rFonts w:ascii="Arial" w:eastAsia="Calibri" w:hAnsi="Arial" w:cs="Arial"/>
                <w:szCs w:val="22"/>
              </w:rPr>
              <w:t>within</w:t>
            </w:r>
            <w:r w:rsidR="00AC56D3" w:rsidRPr="00A12AC6">
              <w:rPr>
                <w:rFonts w:ascii="Arial" w:eastAsia="Calibri" w:hAnsi="Arial" w:cs="Arial"/>
                <w:szCs w:val="22"/>
              </w:rPr>
              <w:t xml:space="preserve"> </w:t>
            </w:r>
            <w:proofErr w:type="spellStart"/>
            <w:r w:rsidR="008830CE" w:rsidRPr="00A12AC6">
              <w:rPr>
                <w:rFonts w:ascii="Arial" w:eastAsia="Calibri" w:hAnsi="Arial" w:cs="Arial"/>
                <w:szCs w:val="22"/>
              </w:rPr>
              <w:t>Anacardiaceae</w:t>
            </w:r>
            <w:proofErr w:type="spellEnd"/>
            <w:r w:rsidR="008830CE" w:rsidRPr="00A12AC6">
              <w:rPr>
                <w:rFonts w:ascii="Arial" w:eastAsia="Calibri" w:hAnsi="Arial" w:cs="Arial"/>
                <w:szCs w:val="22"/>
              </w:rPr>
              <w:t xml:space="preserve"> (66.07%), </w:t>
            </w:r>
            <w:proofErr w:type="spellStart"/>
            <w:r w:rsidR="008830CE" w:rsidRPr="00A12AC6">
              <w:rPr>
                <w:rFonts w:ascii="Arial" w:eastAsia="Calibri" w:hAnsi="Arial" w:cs="Arial"/>
                <w:szCs w:val="22"/>
              </w:rPr>
              <w:t>Caricaceae</w:t>
            </w:r>
            <w:proofErr w:type="spellEnd"/>
            <w:r w:rsidR="008830CE" w:rsidRPr="00A12AC6">
              <w:rPr>
                <w:rFonts w:ascii="Arial" w:eastAsia="Calibri" w:hAnsi="Arial" w:cs="Arial"/>
                <w:szCs w:val="22"/>
              </w:rPr>
              <w:t xml:space="preserve"> (12.65%), and </w:t>
            </w:r>
            <w:proofErr w:type="spellStart"/>
            <w:r w:rsidR="008830CE" w:rsidRPr="00A12AC6">
              <w:rPr>
                <w:rFonts w:ascii="Arial" w:eastAsia="Calibri" w:hAnsi="Arial" w:cs="Arial"/>
                <w:szCs w:val="22"/>
              </w:rPr>
              <w:t>Rutaceae</w:t>
            </w:r>
            <w:proofErr w:type="spellEnd"/>
            <w:r w:rsidR="008830CE" w:rsidRPr="00A12AC6">
              <w:rPr>
                <w:rFonts w:ascii="Arial" w:eastAsia="Calibri" w:hAnsi="Arial" w:cs="Arial"/>
                <w:szCs w:val="22"/>
              </w:rPr>
              <w:t xml:space="preserve"> (11.10%). </w:t>
            </w:r>
            <w:r w:rsidR="008830CE" w:rsidRPr="00A12AC6">
              <w:rPr>
                <w:rFonts w:ascii="Arial" w:eastAsia="Calibri" w:hAnsi="Arial" w:cs="Arial"/>
                <w:i/>
                <w:iCs/>
                <w:szCs w:val="22"/>
              </w:rPr>
              <w:t>Mangifera indica</w:t>
            </w:r>
            <w:r w:rsidR="008830CE" w:rsidRPr="00A12AC6">
              <w:rPr>
                <w:rFonts w:ascii="Arial" w:eastAsia="Calibri" w:hAnsi="Arial" w:cs="Arial"/>
                <w:szCs w:val="22"/>
              </w:rPr>
              <w:t xml:space="preserve"> L. was identified as the most domesticated plant and the second most frequently used species for diabetes treatment. Phytochemical screening revealed that </w:t>
            </w:r>
            <w:r w:rsidR="00ED1611" w:rsidRPr="00A12AC6">
              <w:rPr>
                <w:rFonts w:ascii="Arial" w:eastAsia="Calibri" w:hAnsi="Arial" w:cs="Arial"/>
                <w:szCs w:val="22"/>
              </w:rPr>
              <w:t xml:space="preserve">tannins, flavonoids, coumarins, terpenes, and reducing sugars were detected in all organs </w:t>
            </w:r>
            <w:r w:rsidR="00AC56D3" w:rsidRPr="00A12AC6">
              <w:rPr>
                <w:rFonts w:ascii="Arial" w:eastAsia="Calibri" w:hAnsi="Arial" w:cs="Arial"/>
                <w:szCs w:val="22"/>
              </w:rPr>
              <w:t xml:space="preserve">of </w:t>
            </w:r>
            <w:r w:rsidR="00AC56D3" w:rsidRPr="00A12AC6">
              <w:rPr>
                <w:rFonts w:ascii="Arial" w:eastAsia="Calibri" w:hAnsi="Arial" w:cs="Arial"/>
                <w:i/>
                <w:iCs/>
                <w:szCs w:val="22"/>
              </w:rPr>
              <w:t>M.</w:t>
            </w:r>
            <w:r w:rsidR="00AC56D3" w:rsidRPr="00A12AC6">
              <w:rPr>
                <w:rFonts w:ascii="Arial" w:eastAsia="Calibri" w:hAnsi="Arial" w:cs="Arial"/>
                <w:szCs w:val="22"/>
              </w:rPr>
              <w:t xml:space="preserve"> i</w:t>
            </w:r>
            <w:r w:rsidR="00AC56D3" w:rsidRPr="00A12AC6">
              <w:rPr>
                <w:rFonts w:ascii="Arial" w:eastAsia="Calibri" w:hAnsi="Arial" w:cs="Arial"/>
                <w:i/>
                <w:iCs/>
                <w:szCs w:val="22"/>
              </w:rPr>
              <w:t>ndica</w:t>
            </w:r>
            <w:r w:rsidR="00AC56D3" w:rsidRPr="00A12AC6">
              <w:rPr>
                <w:rFonts w:ascii="Arial" w:eastAsia="Calibri" w:hAnsi="Arial" w:cs="Arial"/>
                <w:szCs w:val="22"/>
              </w:rPr>
              <w:t xml:space="preserve"> </w:t>
            </w:r>
            <w:r w:rsidR="00ED1611" w:rsidRPr="00A12AC6">
              <w:rPr>
                <w:rFonts w:ascii="Arial" w:eastAsia="Calibri" w:hAnsi="Arial" w:cs="Arial"/>
                <w:szCs w:val="22"/>
              </w:rPr>
              <w:t xml:space="preserve">(roots, stem bark, and leaves) across both aqueous and hydroalcoholic extracts. </w:t>
            </w:r>
            <w:r w:rsidR="008830CE" w:rsidRPr="00A12AC6">
              <w:rPr>
                <w:rFonts w:ascii="Arial" w:eastAsia="Calibri" w:hAnsi="Arial" w:cs="Arial"/>
                <w:szCs w:val="22"/>
              </w:rPr>
              <w:t>Saponins were absent in all tested organs. The strongest antioxidant activity was observed in the hydroalcoholic extract of the stem bark (IC</w:t>
            </w:r>
            <w:r w:rsidR="008830CE" w:rsidRPr="00A12AC6">
              <w:rPr>
                <w:rFonts w:ascii="Cambria Math" w:eastAsia="Calibri" w:hAnsi="Cambria Math" w:cs="Cambria Math"/>
                <w:szCs w:val="22"/>
              </w:rPr>
              <w:t>₅₀</w:t>
            </w:r>
            <w:r w:rsidR="008830CE" w:rsidRPr="00A12AC6">
              <w:rPr>
                <w:rFonts w:ascii="Arial" w:eastAsia="Calibri" w:hAnsi="Arial" w:cs="Arial"/>
                <w:szCs w:val="22"/>
              </w:rPr>
              <w:t xml:space="preserve"> = 1.88 ± 0.41 </w:t>
            </w:r>
            <w:r w:rsidR="008830CE" w:rsidRPr="00A12AC6">
              <w:rPr>
                <w:rFonts w:ascii="Arial" w:eastAsia="Calibri" w:hAnsi="Arial" w:cs="Arial"/>
                <w:szCs w:val="22"/>
                <w:lang w:val="fr-FR"/>
              </w:rPr>
              <w:t>μ</w:t>
            </w:r>
            <w:r w:rsidR="008830CE" w:rsidRPr="00A12AC6">
              <w:rPr>
                <w:rFonts w:ascii="Arial" w:eastAsia="Calibri" w:hAnsi="Arial" w:cs="Arial"/>
                <w:szCs w:val="22"/>
              </w:rPr>
              <w:t xml:space="preserve">g/mL), while the aqueous leaf extract exhibited the highest </w:t>
            </w:r>
            <w:r w:rsidR="008830CE" w:rsidRPr="00A12AC6">
              <w:rPr>
                <w:rFonts w:ascii="Arial" w:eastAsia="Calibri" w:hAnsi="Arial" w:cs="Arial"/>
                <w:szCs w:val="22"/>
                <w:lang w:val="fr-FR"/>
              </w:rPr>
              <w:t>α</w:t>
            </w:r>
            <w:r w:rsidR="008830CE" w:rsidRPr="00A12AC6">
              <w:rPr>
                <w:rFonts w:ascii="Arial" w:eastAsia="Calibri" w:hAnsi="Arial" w:cs="Arial"/>
                <w:szCs w:val="22"/>
              </w:rPr>
              <w:t>-amylase inhibition (IC</w:t>
            </w:r>
            <w:r w:rsidR="008830CE" w:rsidRPr="00A12AC6">
              <w:rPr>
                <w:rFonts w:ascii="Cambria Math" w:eastAsia="Calibri" w:hAnsi="Cambria Math" w:cs="Cambria Math"/>
                <w:szCs w:val="22"/>
              </w:rPr>
              <w:t>₅₀</w:t>
            </w:r>
            <w:r w:rsidR="008830CE" w:rsidRPr="00A12AC6">
              <w:rPr>
                <w:rFonts w:ascii="Arial" w:eastAsia="Calibri" w:hAnsi="Arial" w:cs="Arial"/>
                <w:szCs w:val="22"/>
              </w:rPr>
              <w:t xml:space="preserve"> = 3.34 ± 0.09 </w:t>
            </w:r>
            <w:r w:rsidR="008830CE" w:rsidRPr="00A12AC6">
              <w:rPr>
                <w:rFonts w:ascii="Arial" w:eastAsia="Calibri" w:hAnsi="Arial" w:cs="Arial"/>
                <w:szCs w:val="22"/>
                <w:lang w:val="fr-FR"/>
              </w:rPr>
              <w:t>μ</w:t>
            </w:r>
            <w:r w:rsidR="008830CE" w:rsidRPr="00A12AC6">
              <w:rPr>
                <w:rFonts w:ascii="Arial" w:eastAsia="Calibri" w:hAnsi="Arial" w:cs="Arial"/>
                <w:szCs w:val="22"/>
              </w:rPr>
              <w:t>g/mL).</w:t>
            </w:r>
          </w:p>
          <w:p w14:paraId="1DE4E0B5" w14:textId="0A65140A" w:rsidR="00505F06" w:rsidRPr="00BA1B01" w:rsidRDefault="009C7EC0" w:rsidP="00441B6F">
            <w:pPr>
              <w:pStyle w:val="Body"/>
              <w:spacing w:after="0"/>
              <w:rPr>
                <w:rFonts w:ascii="Arial" w:eastAsia="Calibri" w:hAnsi="Arial" w:cs="Arial"/>
                <w:szCs w:val="22"/>
              </w:rPr>
            </w:pPr>
            <w:r w:rsidRPr="00A12AC6">
              <w:rPr>
                <w:rFonts w:ascii="Arial" w:eastAsia="Calibri" w:hAnsi="Arial" w:cs="Arial"/>
                <w:b/>
                <w:bCs/>
                <w:szCs w:val="22"/>
              </w:rPr>
              <w:t xml:space="preserve">Conclusion: </w:t>
            </w:r>
            <w:r w:rsidR="008830CE" w:rsidRPr="00A12AC6">
              <w:rPr>
                <w:rFonts w:ascii="Arial" w:eastAsia="Calibri" w:hAnsi="Arial" w:cs="Arial"/>
                <w:szCs w:val="22"/>
              </w:rPr>
              <w:t xml:space="preserve">This study highlights the </w:t>
            </w:r>
            <w:r w:rsidR="004F54E9" w:rsidRPr="00A12AC6">
              <w:rPr>
                <w:rFonts w:ascii="Arial" w:eastAsia="Calibri" w:hAnsi="Arial" w:cs="Arial"/>
                <w:szCs w:val="22"/>
              </w:rPr>
              <w:t xml:space="preserve">hidden therapeutic objective of the domestication of food plants, </w:t>
            </w:r>
            <w:r w:rsidR="008830CE" w:rsidRPr="00A12AC6">
              <w:rPr>
                <w:rFonts w:ascii="Arial" w:eastAsia="Calibri" w:hAnsi="Arial" w:cs="Arial"/>
                <w:szCs w:val="22"/>
              </w:rPr>
              <w:t>particularly in the management of diabetes.</w:t>
            </w:r>
          </w:p>
        </w:tc>
      </w:tr>
    </w:tbl>
    <w:p w14:paraId="7637D5FB" w14:textId="77777777" w:rsidR="00636EB2" w:rsidRDefault="00636EB2" w:rsidP="00441B6F">
      <w:pPr>
        <w:pStyle w:val="Body"/>
        <w:spacing w:after="0"/>
        <w:rPr>
          <w:rFonts w:ascii="Arial" w:hAnsi="Arial" w:cs="Arial"/>
          <w:i/>
        </w:rPr>
      </w:pPr>
    </w:p>
    <w:p w14:paraId="020EC585" w14:textId="33AF8F2E" w:rsidR="00713434" w:rsidRPr="00713434" w:rsidRDefault="00A24E7E" w:rsidP="00713434">
      <w:pPr>
        <w:pStyle w:val="Body"/>
        <w:rPr>
          <w:rFonts w:ascii="Arial" w:hAnsi="Arial" w:cs="Arial"/>
          <w:iCs/>
        </w:rPr>
      </w:pPr>
      <w:r w:rsidRPr="00E1381B">
        <w:rPr>
          <w:rFonts w:ascii="Arial" w:hAnsi="Arial" w:cs="Arial"/>
          <w:b/>
          <w:bCs/>
          <w:iCs/>
        </w:rPr>
        <w:t>Keywords:</w:t>
      </w:r>
      <w:r w:rsidRPr="00E1381B">
        <w:rPr>
          <w:rFonts w:ascii="Arial" w:hAnsi="Arial" w:cs="Arial"/>
          <w:iCs/>
        </w:rPr>
        <w:t xml:space="preserve"> </w:t>
      </w:r>
      <w:r w:rsidR="00713434" w:rsidRPr="00E1381B">
        <w:rPr>
          <w:rFonts w:ascii="Arial" w:hAnsi="Arial" w:cs="Arial"/>
          <w:iCs/>
        </w:rPr>
        <w:t xml:space="preserve">Domesticated edible plants, </w:t>
      </w:r>
      <w:r w:rsidR="00713434" w:rsidRPr="00713434">
        <w:rPr>
          <w:rFonts w:ascii="Arial" w:hAnsi="Arial" w:cs="Arial"/>
          <w:iCs/>
        </w:rPr>
        <w:t>Ethnobotany</w:t>
      </w:r>
      <w:r w:rsidR="00713434" w:rsidRPr="00E1381B">
        <w:rPr>
          <w:rFonts w:ascii="Arial" w:hAnsi="Arial" w:cs="Arial"/>
          <w:iCs/>
        </w:rPr>
        <w:t xml:space="preserve">, Mali, </w:t>
      </w:r>
      <w:r w:rsidR="00713434" w:rsidRPr="00713434">
        <w:rPr>
          <w:rFonts w:ascii="Arial" w:hAnsi="Arial" w:cs="Arial"/>
          <w:iCs/>
        </w:rPr>
        <w:t>Mangifera indica</w:t>
      </w:r>
      <w:r w:rsidR="00713434" w:rsidRPr="00E1381B">
        <w:rPr>
          <w:rFonts w:ascii="Arial" w:hAnsi="Arial" w:cs="Arial"/>
          <w:iCs/>
        </w:rPr>
        <w:t xml:space="preserve">, </w:t>
      </w:r>
      <w:bookmarkStart w:id="0" w:name="_GoBack"/>
      <w:bookmarkEnd w:id="0"/>
      <w:r w:rsidR="00713434" w:rsidRPr="00713434">
        <w:rPr>
          <w:rFonts w:ascii="Arial" w:hAnsi="Arial" w:cs="Arial"/>
          <w:iCs/>
        </w:rPr>
        <w:t>Phytochemical screening</w:t>
      </w:r>
    </w:p>
    <w:p w14:paraId="5718E31C" w14:textId="0BBC326C" w:rsidR="00A24E7E" w:rsidRDefault="00A24E7E" w:rsidP="00441B6F">
      <w:pPr>
        <w:pStyle w:val="Body"/>
        <w:spacing w:after="0"/>
        <w:rPr>
          <w:rFonts w:ascii="Arial" w:hAnsi="Arial" w:cs="Arial"/>
          <w:i/>
        </w:rPr>
      </w:pPr>
    </w:p>
    <w:p w14:paraId="70CD9CC9" w14:textId="77777777" w:rsidR="00790ADA" w:rsidRDefault="00790ADA" w:rsidP="00441B6F">
      <w:pPr>
        <w:pStyle w:val="Body"/>
        <w:spacing w:after="0"/>
        <w:rPr>
          <w:rFonts w:ascii="Arial" w:hAnsi="Arial" w:cs="Arial"/>
          <w:i/>
        </w:rPr>
      </w:pPr>
    </w:p>
    <w:p w14:paraId="100A276A" w14:textId="6B1432C5" w:rsidR="007F7B32" w:rsidRDefault="00902823" w:rsidP="008510D8">
      <w:pPr>
        <w:pStyle w:val="AbstHead"/>
        <w:spacing w:after="0"/>
        <w:jc w:val="both"/>
        <w:outlineLvl w:val="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096BD02" w14:textId="77777777" w:rsidR="00790ADA" w:rsidRPr="00FB3A86" w:rsidRDefault="00790ADA" w:rsidP="00441B6F">
      <w:pPr>
        <w:pStyle w:val="AbstHead"/>
        <w:spacing w:after="0"/>
        <w:jc w:val="both"/>
        <w:rPr>
          <w:rFonts w:ascii="Arial" w:hAnsi="Arial" w:cs="Arial"/>
        </w:rPr>
      </w:pPr>
    </w:p>
    <w:p w14:paraId="17F3E13B" w14:textId="44D1D786" w:rsidR="008B5177" w:rsidRDefault="008B5177" w:rsidP="00441B6F">
      <w:pPr>
        <w:pStyle w:val="Body"/>
        <w:spacing w:after="0"/>
        <w:rPr>
          <w:rFonts w:ascii="Arial" w:hAnsi="Arial" w:cs="Arial"/>
        </w:rPr>
      </w:pPr>
      <w:r w:rsidRPr="008B5177">
        <w:rPr>
          <w:rFonts w:ascii="Arial" w:hAnsi="Arial" w:cs="Arial"/>
        </w:rPr>
        <w:t>Humans have long maintained close relationships with plants, the nature and extent of which vary widely according to their uses</w:t>
      </w:r>
      <w:r w:rsidR="00667D37">
        <w:rPr>
          <w:rFonts w:ascii="Arial" w:hAnsi="Arial" w:cs="Arial"/>
        </w:rPr>
        <w:t xml:space="preserve"> </w:t>
      </w:r>
      <w:r w:rsidR="00667D37">
        <w:rPr>
          <w:rFonts w:ascii="Arial" w:hAnsi="Arial" w:cs="Arial"/>
        </w:rPr>
        <w:fldChar w:fldCharType="begin" w:fldLock="1"/>
      </w:r>
      <w:r w:rsidR="00261A37">
        <w:rPr>
          <w:rFonts w:ascii="Arial" w:hAnsi="Arial" w:cs="Arial"/>
        </w:rPr>
        <w:instrText>ADDIN CSL_CITATION {"citationItems":[{"id":"ITEM-1","itemData":{"DOI":"10.35248/2167-0412.24.13.498","author":[{"dropping-particle":"","family":"Lamy","given":"Elsa","non-dropping-particle":"","parse-names":false,"suffix":""}],"container-title":"Medicinal &amp; Aromatic Plants","id":"ITEM-1","issue":"3","issued":{"date-parts":[["2024"]]},"page":"1-2","title":"Ethnobotany : Preserving Plants Cultural Significance for Sustainable Medicine and Conservation","type":"article-journal","volume":"13"},"uris":["http://www.mendeley.com/documents/?uuid=6c07e58f-963f-4fd9-bbc8-1250c557370e"]}],"mendeley":{"formattedCitation":"[1]","plainTextFormattedCitation":"[1]","previouslyFormattedCitation":"[1]"},"properties":{"noteIndex":0},"schema":"https://github.com/citation-style-language/schema/raw/master/csl-citation.json"}</w:instrText>
      </w:r>
      <w:r w:rsidR="00667D37">
        <w:rPr>
          <w:rFonts w:ascii="Arial" w:hAnsi="Arial" w:cs="Arial"/>
        </w:rPr>
        <w:fldChar w:fldCharType="separate"/>
      </w:r>
      <w:r w:rsidR="008510D8" w:rsidRPr="008510D8">
        <w:rPr>
          <w:rFonts w:ascii="Arial" w:hAnsi="Arial" w:cs="Arial"/>
          <w:noProof/>
        </w:rPr>
        <w:t>[1]</w:t>
      </w:r>
      <w:r w:rsidR="00667D37">
        <w:rPr>
          <w:rFonts w:ascii="Arial" w:hAnsi="Arial" w:cs="Arial"/>
        </w:rPr>
        <w:fldChar w:fldCharType="end"/>
      </w:r>
      <w:r w:rsidRPr="008B5177">
        <w:rPr>
          <w:rFonts w:ascii="Arial" w:hAnsi="Arial" w:cs="Arial"/>
        </w:rPr>
        <w:t xml:space="preserve">. These relationships involve medicinal plants, edible plants, species of cultural or artisanal significance, as well as plant resources used for firewood, charcoal production, and construction purposes </w:t>
      </w:r>
      <w:r w:rsidR="00667D37">
        <w:rPr>
          <w:rFonts w:ascii="Arial" w:hAnsi="Arial" w:cs="Arial"/>
        </w:rPr>
        <w:fldChar w:fldCharType="begin" w:fldLock="1"/>
      </w:r>
      <w:r w:rsidR="00261A37">
        <w:rPr>
          <w:rFonts w:ascii="Arial" w:hAnsi="Arial" w:cs="Arial"/>
        </w:rPr>
        <w:instrText>ADDIN CSL_CITATION {"citationItems":[{"id":"ITEM-1","itemData":{"DOI":"http://dx.doi.org/10.32859/era.26.15.1-24","author":[{"dropping-particle":"","family":"Paul Kwame","given":"Essandoh","non-dropping-particle":"","parse-names":false,"suffix":""},{"dropping-particle":"","family":"Gertrude Lucky Aku","given":"Dali","non-dropping-particle":"","parse-names":false,"suffix":""},{"dropping-particle":"","family":"Isaac Mbir","given":"Bryant","non-dropping-particle":"","parse-names":false,"suffix":""}],"container-title":"Ethnobotany Research and Applications","id":"ITEM-1","issue":"15","issued":{"date-parts":[["2023"]]},"page":"1-24","title":"Medicinal plant use and integration of traditional healers into health care system : A case study at Ankasa Forest Reserve and catchment communities in Ghana","type":"article-journal","volume":"26"},"uris":["http://www.mendeley.com/documents/?uuid=25721fb9-8781-4bb6-a579-c8d564b5b52f"]}],"mendeley":{"formattedCitation":"[2]","plainTextFormattedCitation":"[2]","previouslyFormattedCitation":"[2]"},"properties":{"noteIndex":0},"schema":"https://github.com/citation-style-language/schema/raw/master/csl-citation.json"}</w:instrText>
      </w:r>
      <w:r w:rsidR="00667D37">
        <w:rPr>
          <w:rFonts w:ascii="Arial" w:hAnsi="Arial" w:cs="Arial"/>
        </w:rPr>
        <w:fldChar w:fldCharType="separate"/>
      </w:r>
      <w:r w:rsidR="008510D8" w:rsidRPr="008510D8">
        <w:rPr>
          <w:rFonts w:ascii="Arial" w:hAnsi="Arial" w:cs="Arial"/>
          <w:noProof/>
        </w:rPr>
        <w:t>[2]</w:t>
      </w:r>
      <w:r w:rsidR="00667D37">
        <w:rPr>
          <w:rFonts w:ascii="Arial" w:hAnsi="Arial" w:cs="Arial"/>
        </w:rPr>
        <w:fldChar w:fldCharType="end"/>
      </w:r>
      <w:r w:rsidR="00667D37">
        <w:rPr>
          <w:rFonts w:ascii="Arial" w:hAnsi="Arial" w:cs="Arial"/>
        </w:rPr>
        <w:t xml:space="preserve"> </w:t>
      </w:r>
      <w:r w:rsidR="00067CEE">
        <w:rPr>
          <w:rFonts w:ascii="Arial" w:hAnsi="Arial" w:cs="Arial"/>
        </w:rPr>
        <w:fldChar w:fldCharType="begin" w:fldLock="1"/>
      </w:r>
      <w:r w:rsidR="00261A37">
        <w:rPr>
          <w:rFonts w:ascii="Arial" w:hAnsi="Arial" w:cs="Arial"/>
        </w:rPr>
        <w:instrText>ADDIN CSL_CITATION {"citationItems":[{"id":"ITEM-1","itemData":{"author":[{"dropping-particle":"","family":"Perumal","given":"G","non-dropping-particle":"","parse-names":false,"suffix":""}],"container-title":"Ethnobotanical Leaflets","id":"ITEM-1","issued":{"date-parts":[["2010"]]},"page":"161-72","title":"Ethnomedicinal Use of Pteridophyte from Kolli Hills , Namakkal District , Tamil Nadu , India","type":"article-journal","volume":"14"},"uris":["http://www.mendeley.com/documents/?uuid=dba48e83-bf58-4199-a49b-e9bb8516c3c4"]}],"mendeley":{"formattedCitation":"[3]","plainTextFormattedCitation":"[3]","previouslyFormattedCitation":"[3]"},"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[3]</w:t>
      </w:r>
      <w:r w:rsidR="00067CEE">
        <w:rPr>
          <w:rFonts w:ascii="Arial" w:hAnsi="Arial" w:cs="Arial"/>
        </w:rPr>
        <w:fldChar w:fldCharType="end"/>
      </w:r>
      <w:r w:rsidRPr="008B5177">
        <w:rPr>
          <w:rFonts w:ascii="Arial" w:hAnsi="Arial" w:cs="Arial"/>
        </w:rPr>
        <w:t xml:space="preserve">. In addition, ornamental plants have attracted human interest primarily for their role in enhancing and improving the living </w:t>
      </w:r>
      <w:r w:rsidRPr="008B5177">
        <w:rPr>
          <w:rFonts w:ascii="Arial" w:hAnsi="Arial" w:cs="Arial"/>
        </w:rPr>
        <w:lastRenderedPageBreak/>
        <w:t>environment</w:t>
      </w:r>
      <w:r w:rsidR="00067CEE">
        <w:rPr>
          <w:rFonts w:ascii="Arial" w:hAnsi="Arial" w:cs="Arial"/>
        </w:rPr>
        <w:t xml:space="preserve"> </w:t>
      </w:r>
      <w:r w:rsidR="00067CEE">
        <w:rPr>
          <w:rFonts w:ascii="Arial" w:hAnsi="Arial" w:cs="Arial"/>
        </w:rPr>
        <w:fldChar w:fldCharType="begin" w:fldLock="1"/>
      </w:r>
      <w:r w:rsidR="00261A37">
        <w:rPr>
          <w:rFonts w:ascii="Arial" w:hAnsi="Arial" w:cs="Arial"/>
        </w:rPr>
        <w:instrText>ADDIN CSL_CITATION {"citationItems":[{"id":"ITEM-1","itemData":{"DOI":"10.22271/allresearch.2021.v7.i6a.8616","ISSN":"23947500","abstract":"La présente étude porte sur l’intérêt ethnobotanique et phytochimique d’une plante ornementale (Terminalia catappa L.) utilisée au Mali. Pour ce faire, il a été réalisé une enquête par questionnaire auprès de 65 tradi-praticiens de santé de Bamako, un screening phytochimique et une évaluation de l’activité antioxydante du fruit de la plante. Il ressort des résultats que seulement 23,03% des personnes interrogées utilisent Terminalia catappa à des fins thérapeutiques. L’espèce est utilisée dans la prise en charge du diabète, de l’hypertension artérielle, du paludisme et de l’ulcère gastrique. Les feuilles (57%), fruits (38%) et l’écorce du tronc (5%) sont tous utilisés et la majorité des remèdes est préparée sous forme de décoction. L’analyse phytochimique montre que le fruit contient beaucoup de métabolites notamment les composés phénoliques totaux (95,01 ± 0,35 mgEAG/g) dans l’épicarpe et les flavonoïdes totaux (21,66 ± 0,47 mgEQ/g) dans le mésocarpe. Ces deux couches possèdent une bonne activité antioxydante, cependant, l’épicarpe (IC50 = 171,04 ± 2,08 µg/ml) présente un pouvoir oxydant nettement supérieur à celui du mésocarpe (IC50 = 273,82 ± 17,75 µg/ml). Il importe de connaitre les constituantes biochimiques des plantes ornementales du pays et les valoriser à des fins utiles.","author":[{"dropping-particle":"","family":"Dembele","given":"Fousseyni","non-dropping-particle":"","parse-names":false,"suffix":""},{"dropping-particle":"","family":"Samake","given":"Savio","non-dropping-particle":"","parse-names":false,"suffix":""},{"dropping-particle":"","family":"Togola","given":"Issiaka","non-dropping-particle":"","parse-names":false,"suffix":""},{"dropping-particle":"","family":"Karembe","given":"Moussa","non-dropping-particle":"","parse-names":false,"suffix":""}],"container-title":"International Journal of Applied Research","id":"ITEM-1","issue":"6","issued":{"date-parts":[["2021","6","1"]]},"page":"01-07","publisher":"AkiNik Publications","title":"Etudes ethnobotanique et phytochimique despeces ornementales utilisees au Mali: cas de Terminalia catappa (L.) dans le district de Bamako","type":"article-journal","volume":"7"},"uris":["http://www.mendeley.com/documents/?uuid=922ff54f-4e38-33dc-8b39-dfb45c75491a"]}],"mendeley":{"formattedCitation":"[4]","plainTextFormattedCitation":"[4]","previouslyFormattedCitation":"[4]"},"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[4]</w:t>
      </w:r>
      <w:r w:rsidR="00067CEE">
        <w:rPr>
          <w:rFonts w:ascii="Arial" w:hAnsi="Arial" w:cs="Arial"/>
        </w:rPr>
        <w:fldChar w:fldCharType="end"/>
      </w:r>
      <w:r w:rsidRPr="008B5177">
        <w:rPr>
          <w:rFonts w:ascii="Arial" w:hAnsi="Arial" w:cs="Arial"/>
        </w:rPr>
        <w:t xml:space="preserve">. </w:t>
      </w:r>
      <w:r w:rsidR="009F0974">
        <w:rPr>
          <w:rFonts w:ascii="Arial" w:hAnsi="Arial" w:cs="Arial"/>
        </w:rPr>
        <w:t>O</w:t>
      </w:r>
      <w:r w:rsidRPr="008B5177">
        <w:rPr>
          <w:rFonts w:ascii="Arial" w:hAnsi="Arial" w:cs="Arial"/>
        </w:rPr>
        <w:t>rnamental plant species also possess therapeutic properties and are used in the management of various diseases, including malaria, hypertension, dermatoses, and diabetes</w:t>
      </w:r>
      <w:r w:rsidR="008A4DE5">
        <w:rPr>
          <w:rFonts w:ascii="Arial" w:hAnsi="Arial" w:cs="Arial"/>
        </w:rPr>
        <w:t xml:space="preserve"> </w:t>
      </w:r>
      <w:r w:rsidR="00067CEE">
        <w:rPr>
          <w:rFonts w:ascii="Arial" w:hAnsi="Arial" w:cs="Arial"/>
        </w:rPr>
        <w:fldChar w:fldCharType="begin" w:fldLock="1"/>
      </w:r>
      <w:r w:rsidR="00261A37">
        <w:rPr>
          <w:rFonts w:ascii="Arial" w:hAnsi="Arial" w:cs="Arial"/>
        </w:rPr>
        <w:instrText>ADDIN CSL_CITATION {"citationItems":[{"id":"ITEM-1","itemData":{"DOI":"10.21474/IJAR01/11487","ISSN":"23205407","author":[{"dropping-particle":"","family":"Samake","given":"Savio","non-dropping-particle":"","parse-names":false,"suffix":""},{"dropping-particle":"","family":"Togola","given":"Issiaka","non-dropping-particle":"","parse-names":false,"suffix":""},{"dropping-particle":"","family":"Diarra","given":"Nouhoum","non-dropping-particle":"","parse-names":false,"suffix":""},{"dropping-particle":"","family":"Samake","given":"Moussa","non-dropping-particle":"","parse-names":false,"suffix":""},{"dropping-particle":"","family":"Sanogo","given":"Rokia","non-dropping-particle":"","parse-names":false,"suffix":""}],"container-title":"International Journal of Advanced Research","id":"ITEM-1","issue":"8","issued":{"date-parts":[["2020","8","31"]]},"page":"251-262","title":"Etude Ethnobotanique Et Screening Phytochimique De Plantes Ornementales A Usage Therapeutique Du District De Bamako, Mali","type":"article-journal","volume":"8"},"uris":["http://www.mendeley.com/documents/?uuid=edc52d10-862f-3880-8b93-ed3812ac753f"]}],"mendeley":{"formattedCitation":"[5]","plainTextFormattedCitation":"[5]","previouslyFormattedCitation":"[5]"},"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[5]</w:t>
      </w:r>
      <w:r w:rsidR="00067CEE">
        <w:rPr>
          <w:rFonts w:ascii="Arial" w:hAnsi="Arial" w:cs="Arial"/>
        </w:rPr>
        <w:fldChar w:fldCharType="end"/>
      </w:r>
      <w:r w:rsidRPr="008B5177">
        <w:rPr>
          <w:rFonts w:ascii="Arial" w:hAnsi="Arial" w:cs="Arial"/>
        </w:rPr>
        <w:t>.</w:t>
      </w:r>
      <w:r>
        <w:rPr>
          <w:rFonts w:ascii="Arial" w:hAnsi="Arial" w:cs="Arial"/>
        </w:rPr>
        <w:t xml:space="preserve"> </w:t>
      </w:r>
      <w:r w:rsidR="009F0974">
        <w:rPr>
          <w:rFonts w:ascii="Arial" w:hAnsi="Arial" w:cs="Arial"/>
        </w:rPr>
        <w:t>This is the reason why many plants are increasingly domesticated, especially in urban areas.</w:t>
      </w:r>
    </w:p>
    <w:p w14:paraId="63B5BCED" w14:textId="77777777" w:rsidR="008B5177" w:rsidRDefault="008B5177" w:rsidP="00441B6F">
      <w:pPr>
        <w:pStyle w:val="Body"/>
        <w:spacing w:after="0"/>
        <w:rPr>
          <w:rFonts w:ascii="Arial" w:hAnsi="Arial" w:cs="Arial"/>
        </w:rPr>
      </w:pPr>
    </w:p>
    <w:p w14:paraId="6C630361" w14:textId="1D13ECD3" w:rsidR="008C3327" w:rsidRDefault="008C3327" w:rsidP="00441B6F">
      <w:pPr>
        <w:pStyle w:val="Body"/>
        <w:spacing w:after="0"/>
        <w:rPr>
          <w:rFonts w:ascii="Arial" w:hAnsi="Arial" w:cs="Arial"/>
        </w:rPr>
      </w:pPr>
      <w:r w:rsidRPr="008C3327">
        <w:rPr>
          <w:rFonts w:ascii="Arial" w:hAnsi="Arial" w:cs="Arial"/>
        </w:rPr>
        <w:t>Chronic metabolic diseases, such as diabetes, are characterized by imbalances in carbohydrate, lipid, or protein metabolism, leading to severe complications including cardiovascular, renal, ocular, and neurological damage</w:t>
      </w:r>
      <w:r w:rsidR="00067CEE">
        <w:rPr>
          <w:rFonts w:ascii="Arial" w:hAnsi="Arial" w:cs="Arial"/>
        </w:rPr>
        <w:t xml:space="preserve"> </w:t>
      </w:r>
      <w:r w:rsidR="00067CEE">
        <w:rPr>
          <w:rFonts w:ascii="Arial" w:hAnsi="Arial" w:cs="Arial"/>
        </w:rPr>
        <w:fldChar w:fldCharType="begin" w:fldLock="1"/>
      </w:r>
      <w:r w:rsidR="00261A37">
        <w:rPr>
          <w:rFonts w:ascii="Arial" w:hAnsi="Arial" w:cs="Arial"/>
        </w:rPr>
        <w:instrText xml:space="preserve">ADDIN CSL_CITATION {"citationItems":[{"id":"ITEM-1","itemData":{"DOI":"10.1038/s41598-023-29743-1","ISBN":"0123456789","ISSN":"2045-2322","author":[{"dropping-particle":"","family":"Diawara","given":"Abdoulaye","non-dropping-particle":"","parse-names":false,"suffix":""},{"dropping-particle":"","family":"Coulibaly","given":"Djibril Mamadou","non-dropping-particle":"","parse-names":false,"suffix":""},{"dropping-particle":"","family":"Yusuf","given":"Talib","non-dropping-particle":"","parse-names":false,"suffix":""},{"dropping-particle":"","family":"Hussain","given":"Abbas","non-dropping-particle":"","parse-names":false,"suffix":""},{"dropping-particle":"","family":"Cisse","given":"Cheickna","non-dropping-particle":"","parse-names":false,"suffix":""},{"dropping-particle":"","family":"Li","given":"Jian","non-dropping-particle":"","parse-names":false,"suffix":""},{"dropping-particle":"","family":"Wele","given":"Mamadou","non-dropping-particle":"","parse-names":false,"suffix":""},{"dropping-particle":"","family":"Diakite","given":"Mahamadou","non-dropping-particle":"","parse-names":false,"suffix":""},{"dropping-particle":"","family":"Traore","given":"Kassim","non-dropping-particle":"","parse-names":false,"suffix":""},{"dropping-particle":"","family":"Doumbia","given":"Seydou O","non-dropping-particle":"","parse-names":false,"suffix":""},{"dropping-particle":"","family":"Shaffer","given":"Jeffrey G","non-dropping-particle":"","parse-names":false,"suffix":""}],"container-title":"Scientific Reports","id":"ITEM-1","issue":"0123456789","issued":{"date-parts":[["2023"]]},"page":"1-10","publisher":"Nature Publishing Group UK","title":"Type 2 diabetes prevalence , awareness , and risk factors in rural Mali : a cross </w:instrText>
      </w:r>
      <w:r w:rsidR="00261A37">
        <w:rPr>
          <w:rFonts w:ascii="Cambria Math" w:hAnsi="Cambria Math" w:cs="Cambria Math"/>
        </w:rPr>
        <w:instrText>‑</w:instrText>
      </w:r>
      <w:r w:rsidR="00261A37">
        <w:rPr>
          <w:rFonts w:ascii="Arial" w:hAnsi="Arial" w:cs="Arial"/>
        </w:rPr>
        <w:instrText xml:space="preserve"> sectional study","type":"article-journal"},"uris":["http://www.mendeley.com/documents/?uuid=acc45309-ee21-4dd0-9884-807ab54f63bf"]}],"mendeley":{"formattedCitation":"[6]","plainTextFormattedCitation":"[6]","previouslyFormattedCitation":"[6]"},"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[6]</w:t>
      </w:r>
      <w:r w:rsidR="00067CEE">
        <w:rPr>
          <w:rFonts w:ascii="Arial" w:hAnsi="Arial" w:cs="Arial"/>
        </w:rPr>
        <w:fldChar w:fldCharType="end"/>
      </w:r>
      <w:r w:rsidRPr="008C3327">
        <w:rPr>
          <w:rFonts w:ascii="Arial" w:hAnsi="Arial" w:cs="Arial"/>
        </w:rPr>
        <w:t xml:space="preserve">. Diabetes, in particular, stems from persistent hyperglycemia due to insulin deficiency or resistance to this hormone, with normal fasting blood glucose levels ranging from 0.8 to 1.2 g/L </w:t>
      </w:r>
      <w:r w:rsidR="005159EB">
        <w:rPr>
          <w:rFonts w:ascii="Arial" w:hAnsi="Arial" w:cs="Arial"/>
        </w:rPr>
        <w:fldChar w:fldCharType="begin" w:fldLock="1"/>
      </w:r>
      <w:r w:rsidR="00261A37">
        <w:rPr>
          <w:rFonts w:ascii="Arial" w:hAnsi="Arial" w:cs="Arial"/>
        </w:rPr>
        <w:instrText>ADDIN CSL_CITATION {"citationItems":[{"id":"ITEM-1","itemData":{"DOI":"https://www.researchsquare.com/article/rs-3956597/v1","author":[{"dropping-particle":"","family":"Diawara","given":"Abdoulaye","non-dropping-particle":"","parse-names":false,"suffix":""},{"dropping-particle":"","family":"Traore","given":"Mariam","non-dropping-particle":"","parse-names":false,"suffix":""},{"dropping-particle":"","family":"Diabaté","given":"Oudou","non-dropping-particle":"","parse-names":false,"suffix":""},{"dropping-particle":"","family":"Kintu","given":"Christopher","non-dropping-particle":"","parse-names":false,"suffix":""},{"dropping-particle":"","family":"Saeed","given":"Ali Awadallah","non-dropping-particle":"","parse-names":false,"suffix":""},{"dropping-particle":"","family":"Abiola","given":"Julianah Ore","non-dropping-particle":"","parse-names":false,"suffix":""},{"dropping-particle":"","family":"Cisse","given":"Cheickna","non-dropping-particle":"","parse-names":false,"suffix":""},{"dropping-particle":"","family":"Traore","given":"Kassim","non-dropping-particle":"","parse-names":false,"suffix":""},{"dropping-particle":"","family":"Wele","given":"Mamadou","non-dropping-particle":"","parse-names":false,"suffix":""},{"dropping-particle":"","family":"Nash","given":"Oyekanmi","non-dropping-particle":"","parse-names":false,"suffix":""},{"dropping-particle":"","family":"Doumbia","given":"Seydou O.","non-dropping-particle":"","parse-names":false,"suffix":""},{"dropping-particle":"","family":"Abbas","given":"Talib Yusuf","non-dropping-particle":"","parse-names":false,"suffix":""},{"dropping-particle":"","family":"Shaffer","given":"Jeffrey G.","non-dropping-particle":"","parse-names":false,"suffix":""},{"dropping-particle":"","family":"Diakité","given":"Mahamadou","non-dropping-particle":"","parse-names":false,"suffix":""},{"dropping-particle":"","family":"Fatumo","given":"Segun","non-dropping-particle":"","parse-names":false,"suffix":""},{"dropping-particle":"","family":"Soremekun","given":"Opeyemi","non-dropping-particle":"","parse-names":false,"suffix":""}],"container-title":"research square","id":"ITEM-1","issued":{"date-parts":[["2024"]]},"title":"Genetically proxied therapeutic inhibition of kidney function drug targets and type 2 diabetes in Africans: A Mendelian randomization study","type":"article-journal"},"uris":["http://www.mendeley.com/documents/?uuid=0bd7d335-cb99-4d14-b214-173c078dc68c"]}],"mendeley":{"formattedCitation":"[7]","plainTextFormattedCitation":"[7]","previouslyFormattedCitation":"[7]"},"properties":{"noteIndex":0},"schema":"https://github.com/citation-style-language/schema/raw/master/csl-citation.json"}</w:instrText>
      </w:r>
      <w:r w:rsidR="005159EB">
        <w:rPr>
          <w:rFonts w:ascii="Arial" w:hAnsi="Arial" w:cs="Arial"/>
        </w:rPr>
        <w:fldChar w:fldCharType="separate"/>
      </w:r>
      <w:r w:rsidR="008510D8" w:rsidRPr="008510D8">
        <w:rPr>
          <w:rFonts w:ascii="Arial" w:hAnsi="Arial" w:cs="Arial"/>
          <w:noProof/>
        </w:rPr>
        <w:t>[7]</w:t>
      </w:r>
      <w:r w:rsidR="005159EB">
        <w:rPr>
          <w:rFonts w:ascii="Arial" w:hAnsi="Arial" w:cs="Arial"/>
        </w:rPr>
        <w:fldChar w:fldCharType="end"/>
      </w:r>
      <w:r w:rsidRPr="008C3327">
        <w:rPr>
          <w:rFonts w:ascii="Arial" w:hAnsi="Arial" w:cs="Arial"/>
        </w:rPr>
        <w:t>. Other conditions like obesity, dyslipidemia, or arterial hypertension exacerbate these risks by promoting systemic inflammation and vascular disorders.</w:t>
      </w:r>
    </w:p>
    <w:p w14:paraId="4533F17C" w14:textId="77777777" w:rsidR="008C3327" w:rsidRDefault="008C3327" w:rsidP="00441B6F">
      <w:pPr>
        <w:pStyle w:val="Body"/>
        <w:spacing w:after="0"/>
        <w:rPr>
          <w:rFonts w:ascii="Arial" w:hAnsi="Arial" w:cs="Arial"/>
        </w:rPr>
      </w:pPr>
    </w:p>
    <w:p w14:paraId="10C824CA" w14:textId="2561BE92" w:rsidR="008C3327" w:rsidRDefault="008C3327" w:rsidP="00B34474">
      <w:pPr>
        <w:pStyle w:val="Body"/>
        <w:spacing w:after="0"/>
        <w:rPr>
          <w:rFonts w:ascii="Arial" w:hAnsi="Arial" w:cs="Arial"/>
        </w:rPr>
      </w:pPr>
      <w:r w:rsidRPr="008C3327">
        <w:rPr>
          <w:rFonts w:ascii="Arial" w:hAnsi="Arial" w:cs="Arial"/>
        </w:rPr>
        <w:t xml:space="preserve">In sub-Saharan Africa, metabolic diseases pose a growing public health challenge, with type </w:t>
      </w:r>
      <w:r w:rsidRPr="009F0974">
        <w:rPr>
          <w:rFonts w:ascii="Arial" w:hAnsi="Arial" w:cs="Arial"/>
        </w:rPr>
        <w:t>2 diabetes being the most prevalent. The International Diabetes Federation (IDF) estimates that</w:t>
      </w:r>
      <w:r w:rsidRPr="009F0974">
        <w:rPr>
          <w:rFonts w:ascii="Arial" w:hAnsi="Arial" w:cs="Arial"/>
          <w:color w:val="FF0000"/>
        </w:rPr>
        <w:t xml:space="preserve"> </w:t>
      </w:r>
      <w:r w:rsidR="004F54E9" w:rsidRPr="009F0974">
        <w:rPr>
          <w:rFonts w:ascii="Arial" w:hAnsi="Arial" w:cs="Arial"/>
        </w:rPr>
        <w:t xml:space="preserve">25 </w:t>
      </w:r>
      <w:r w:rsidRPr="009F0974">
        <w:rPr>
          <w:rFonts w:ascii="Arial" w:hAnsi="Arial" w:cs="Arial"/>
        </w:rPr>
        <w:t xml:space="preserve">million adults in the African Region had diabetes in </w:t>
      </w:r>
      <w:r w:rsidR="004F54E9" w:rsidRPr="009F0974">
        <w:rPr>
          <w:rFonts w:ascii="Arial" w:hAnsi="Arial" w:cs="Arial"/>
        </w:rPr>
        <w:t>2025</w:t>
      </w:r>
      <w:r w:rsidRPr="009F0974">
        <w:rPr>
          <w:rFonts w:ascii="Arial" w:hAnsi="Arial" w:cs="Arial"/>
        </w:rPr>
        <w:t xml:space="preserve">, with </w:t>
      </w:r>
      <w:r w:rsidR="004F54E9" w:rsidRPr="009F0974">
        <w:rPr>
          <w:rFonts w:ascii="Arial" w:hAnsi="Arial" w:cs="Arial"/>
          <w:color w:val="FF0000"/>
        </w:rPr>
        <w:t xml:space="preserve"> </w:t>
      </w:r>
      <w:r w:rsidR="00DE3949" w:rsidRPr="009F0974">
        <w:rPr>
          <w:rFonts w:ascii="Arial" w:hAnsi="Arial" w:cs="Arial"/>
        </w:rPr>
        <w:t xml:space="preserve">a high proportion (73%) of cases remaining </w:t>
      </w:r>
      <w:r w:rsidRPr="00712BF0">
        <w:rPr>
          <w:rFonts w:ascii="Arial" w:hAnsi="Arial" w:cs="Arial"/>
        </w:rPr>
        <w:t>undiagnosed</w:t>
      </w:r>
      <w:r>
        <w:rPr>
          <w:rFonts w:ascii="Arial" w:hAnsi="Arial" w:cs="Arial"/>
        </w:rPr>
        <w:t xml:space="preserve"> </w:t>
      </w:r>
      <w:r w:rsidR="005159EB">
        <w:rPr>
          <w:rFonts w:ascii="Arial" w:hAnsi="Arial" w:cs="Arial"/>
        </w:rPr>
        <w:fldChar w:fldCharType="begin" w:fldLock="1"/>
      </w:r>
      <w:r w:rsidR="00261A37">
        <w:rPr>
          <w:rFonts w:ascii="Arial" w:hAnsi="Arial" w:cs="Arial"/>
        </w:rPr>
        <w:instrText>ADDIN CSL_CITATION {"citationItems":[{"id":"ITEM-1","itemData":{"author":[{"dropping-particle":"","family":"FID","given":"","non-dropping-particle":"","parse-names":false,"suffix":""}],"id":"ITEM-1","issued":{"date-parts":[["2024","5","7"]]},"publisher-place":"Brussels","title":"Faits et chiffres sur le diabète","type":"report"},"uris":["http://www.mendeley.com/documents/?uuid=b147a4e7-5bb3-3497-8079-fb1f9ae464d3"]}],"mendeley":{"formattedCitation":"[8]","plainTextFormattedCitation":"[8]","previouslyFormattedCitation":"[8]"},"properties":{"noteIndex":0},"schema":"https://github.com/citation-style-language/schema/raw/master/csl-citation.json"}</w:instrText>
      </w:r>
      <w:r w:rsidR="005159EB">
        <w:rPr>
          <w:rFonts w:ascii="Arial" w:hAnsi="Arial" w:cs="Arial"/>
        </w:rPr>
        <w:fldChar w:fldCharType="separate"/>
      </w:r>
      <w:r w:rsidR="008510D8" w:rsidRPr="008510D8">
        <w:rPr>
          <w:rFonts w:ascii="Arial" w:hAnsi="Arial" w:cs="Arial"/>
          <w:noProof/>
        </w:rPr>
        <w:t>[8]</w:t>
      </w:r>
      <w:r w:rsidR="005159EB">
        <w:rPr>
          <w:rFonts w:ascii="Arial" w:hAnsi="Arial" w:cs="Arial"/>
        </w:rPr>
        <w:fldChar w:fldCharType="end"/>
      </w:r>
      <w:r w:rsidRPr="00712BF0">
        <w:rPr>
          <w:rFonts w:ascii="Arial" w:hAnsi="Arial" w:cs="Arial"/>
        </w:rPr>
        <w:t>.</w:t>
      </w:r>
      <w:r>
        <w:rPr>
          <w:rFonts w:ascii="Arial" w:hAnsi="Arial" w:cs="Arial"/>
        </w:rPr>
        <w:t xml:space="preserve"> </w:t>
      </w:r>
      <w:r w:rsidRPr="00712BF0">
        <w:rPr>
          <w:rFonts w:ascii="Arial" w:hAnsi="Arial" w:cs="Arial"/>
        </w:rPr>
        <w:t>The region faces a projected 129% increase in type 2 diabetes by 2045, exacerbating existing challenges</w:t>
      </w:r>
      <w:r>
        <w:rPr>
          <w:rFonts w:ascii="Arial" w:hAnsi="Arial" w:cs="Arial"/>
        </w:rPr>
        <w:t xml:space="preserve"> </w:t>
      </w:r>
      <w:r>
        <w:rPr>
          <w:rFonts w:ascii="Arial" w:hAnsi="Arial" w:cs="Arial"/>
        </w:rPr>
        <w:fldChar w:fldCharType="begin" w:fldLock="1"/>
      </w:r>
      <w:r w:rsidR="00261A37">
        <w:rPr>
          <w:rFonts w:ascii="Arial" w:hAnsi="Arial" w:cs="Arial"/>
        </w:rPr>
        <w:instrText>ADDIN CSL_CITATION {"citationItems":[{"id":"ITEM-1","itemData":{"DOI":"10.1007/s00125-022-05795-2","ISSN":"1432-0428 (Electronic)","PMID":"36166072","abstract":"Sub-Saharan Africa (SSA) is the region with the highest projected rates of  increase in type 2 diabetes (129% by 2045), which will exacerbate the already high prevalence of type 2 diabetes complications and comorbidities in SSA. In addition, SSA is grappling with poverty-related health problems and infectious diseases and is also undergoing the most rapid rates of urbanisation globally. These socioenvironmental and lifestyle factors may interact with genetic factors to alter the pathophysiological sequence leading to type 2 diabetes in sub-Saharan African populations. Indeed, current evidence from SSA and the diaspora suggests that the pathophysiology of type 2 diabetes in Black Africans is different from that in their European counterparts. Studies from the diaspora suggest that insulin clearance is the primary defect underlying the development of type 2 diabetes. We propose that, among Black Africans from SSA, hyperinsulinaemia due to a combination of both increased insulin secretion and reduced hepatic insulin clearance is the primary defect, which promotes obesity and insulin resistance, exacerbating the hyperinsulinaemia and eventually leading to beta cell failure and type 2 diabetes. Nonetheless, the current understanding of the pathogenesis of type 2 diabetes and the clinical guidelines for preventing and managing the disease are largely based on studies including participants of predominately White European ancestry. In this review, we summarise the existing knowledge base and data from the only non-pharmacological intervention that explores the pathophysiology of type 2 diabetes in SSA. We also highlight factors that may influence the pathogenesis of type 2 diabetes in SSA, such as social determinants, infectious diseases and genetic and epigenetic influences.","author":[{"dropping-particle":"","family":"Goedecke","given":"Julia H","non-dropping-particle":"","parse-names":false,"suffix":""},{"dropping-particle":"","family":"Mendham","given":"Amy E","non-dropping-particle":"","parse-names":false,"suffix":""}],"container-title":"Diabetologia","id":"ITEM-1","issue":"12","issued":{"date-parts":[["2022","12"]]},"language":"eng","page":"1967-1980","publisher-place":"Germany","title":"Pathophysiology of type 2 diabetes in sub-Saharan Africans.","type":"article-journal","volume":"65"},"uris":["http://www.mendeley.com/documents/?uuid=95d4dafd-0d7a-49e9-ba42-044a522d986f"]}],"mendeley":{"formattedCitation":"[9]","plainTextFormattedCitation":"[9]","previouslyFormattedCitation":"[9]"},"properties":{"noteIndex":0},"schema":"https://github.com/citation-style-language/schema/raw/master/csl-citation.json"}</w:instrText>
      </w:r>
      <w:r>
        <w:rPr>
          <w:rFonts w:ascii="Arial" w:hAnsi="Arial" w:cs="Arial"/>
        </w:rPr>
        <w:fldChar w:fldCharType="separate"/>
      </w:r>
      <w:r w:rsidR="008510D8" w:rsidRPr="008510D8">
        <w:rPr>
          <w:rFonts w:ascii="Arial" w:hAnsi="Arial" w:cs="Arial"/>
          <w:noProof/>
        </w:rPr>
        <w:t>[9]</w:t>
      </w:r>
      <w:r>
        <w:rPr>
          <w:rFonts w:ascii="Arial" w:hAnsi="Arial" w:cs="Arial"/>
        </w:rPr>
        <w:fldChar w:fldCharType="end"/>
      </w:r>
      <w:r w:rsidRPr="00712BF0">
        <w:rPr>
          <w:rFonts w:ascii="Arial" w:hAnsi="Arial" w:cs="Arial"/>
        </w:rPr>
        <w:t>.</w:t>
      </w:r>
      <w:r>
        <w:rPr>
          <w:rFonts w:ascii="Arial" w:hAnsi="Arial" w:cs="Arial"/>
        </w:rPr>
        <w:t xml:space="preserve"> </w:t>
      </w:r>
      <w:r w:rsidRPr="008C3327">
        <w:rPr>
          <w:rFonts w:ascii="Arial" w:hAnsi="Arial" w:cs="Arial"/>
        </w:rPr>
        <w:t>Urbanization, dietary shifts, and sedentary lifestyles accelerate this epidemic, also affecting obesity and associated metabolic syndromes</w:t>
      </w:r>
      <w:r w:rsidR="008A4DE5">
        <w:rPr>
          <w:rFonts w:ascii="Arial" w:hAnsi="Arial" w:cs="Arial"/>
        </w:rPr>
        <w:t xml:space="preserve"> </w:t>
      </w:r>
      <w:r w:rsidR="008A4DE5">
        <w:rPr>
          <w:rFonts w:ascii="Arial" w:hAnsi="Arial" w:cs="Arial"/>
        </w:rPr>
        <w:fldChar w:fldCharType="begin" w:fldLock="1"/>
      </w:r>
      <w:r w:rsidR="00261A37">
        <w:rPr>
          <w:rFonts w:ascii="Arial" w:hAnsi="Arial" w:cs="Arial"/>
        </w:rPr>
        <w:instrText>ADDIN CSL_CITATION {"citationItems":[{"id":"ITEM-1","itemData":{"DOI":"10.1038/s41574-021-00613-y","ISSN":"1759-5037","abstract":"Type 2 diabetes mellitus (T2DM), which was once thought to be rare in sub-Saharan Africa (SSA), is now well established in this region. The SSA region is undergoing a rapid but variable epidemiological transition fuelled by the pace of urbanization, with disease burden profiles shifting from communicable diseases to non-communicable diseases (NCDs). Information on the epidemiology of T2DM has increased, but wide variations in study methods, diagnostic biomarkers and criteria hamper analytical comparison, and data from high-quality studies are limited. The prevalence of T2DM is still low in some rural populations but moderate or high rates are reported in many countries/regions, with evidence for an increase in some. In addition, the proportion of undiagnosed T2DM is still high. The prevalence of T2DM is highest in African people living in urban areas, and the gradient between African people living in urban areas and people in the African diaspora is rapidly fading. However, data from longitudinal studies are lacking and there is limited information on chronic complications and the genetics of T2DM. The large unmet needs for T2DM care call for greater investment of resources into health systems to manage NCDs in SSA. Proposed health-system paradigms are being developed in some countries/regions. However, national NCD programmes need to be adequately funded and coordinated to stem the tide of T2DM and its complications.","author":[{"dropping-particle":"","family":"Motala","given":"Ayesha A","non-dropping-particle":"","parse-names":false,"suffix":""},{"dropping-particle":"","family":"Mbanya","given":"Jean Claude","non-dropping-particle":"","parse-names":false,"suffix":""},{"dropping-particle":"","family":"Ramaiya","given":"Kaushik","non-dropping-particle":"","parse-names":false,"suffix":""},{"dropping-particle":"","family":"Pirie","given":"Fraser J","non-dropping-particle":"","parse-names":false,"suffix":""},{"dropping-particle":"","family":"Ekoru","given":"Kenneth","non-dropping-particle":"","parse-names":false,"suffix":""}],"container-title":"Nature Reviews Endocrinology","id":"ITEM-1","issue":"4","issued":{"date-parts":[["2022"]]},"page":"219-229","title":"Type 2 diabetes mellitus in sub-Saharan Africa: challenges and opportunities","type":"article-journal","volume":"18"},"uris":["http://www.mendeley.com/documents/?uuid=fa517273-fbd1-458d-ac47-ae295729d0cf"]}],"mendeley":{"formattedCitation":"[10]","plainTextFormattedCitation":"[10]","previouslyFormattedCitation":"[10]"},"properties":{"noteIndex":0},"schema":"https://github.com/citation-style-language/schema/raw/master/csl-citation.json"}</w:instrText>
      </w:r>
      <w:r w:rsidR="008A4DE5">
        <w:rPr>
          <w:rFonts w:ascii="Arial" w:hAnsi="Arial" w:cs="Arial"/>
        </w:rPr>
        <w:fldChar w:fldCharType="separate"/>
      </w:r>
      <w:r w:rsidR="008510D8" w:rsidRPr="008510D8">
        <w:rPr>
          <w:rFonts w:ascii="Arial" w:hAnsi="Arial" w:cs="Arial"/>
          <w:noProof/>
        </w:rPr>
        <w:t>[10]</w:t>
      </w:r>
      <w:r w:rsidR="008A4DE5">
        <w:rPr>
          <w:rFonts w:ascii="Arial" w:hAnsi="Arial" w:cs="Arial"/>
        </w:rPr>
        <w:fldChar w:fldCharType="end"/>
      </w:r>
      <w:r w:rsidRPr="008C3327">
        <w:rPr>
          <w:rFonts w:ascii="Arial" w:hAnsi="Arial" w:cs="Arial"/>
        </w:rPr>
        <w:t xml:space="preserve">. Investigating urban areas and local management strategies, including ethnobotanical and traditional approaches, is therefore essential. </w:t>
      </w:r>
    </w:p>
    <w:p w14:paraId="7EE8F7B6" w14:textId="4CA72970" w:rsidR="008C3327" w:rsidRDefault="008C3327" w:rsidP="00B34474">
      <w:pPr>
        <w:pStyle w:val="Body"/>
        <w:spacing w:after="0"/>
        <w:rPr>
          <w:rFonts w:ascii="Arial" w:hAnsi="Arial" w:cs="Arial"/>
        </w:rPr>
      </w:pPr>
    </w:p>
    <w:p w14:paraId="6C1814BD" w14:textId="7BDD0E09" w:rsidR="00B34474" w:rsidRDefault="001C2CE0" w:rsidP="00B34474">
      <w:pPr>
        <w:pStyle w:val="Body"/>
        <w:spacing w:after="0"/>
        <w:rPr>
          <w:rFonts w:ascii="Arial" w:hAnsi="Arial" w:cs="Arial"/>
        </w:rPr>
      </w:pPr>
      <w:r w:rsidRPr="00652B13">
        <w:rPr>
          <w:rFonts w:ascii="Arial" w:hAnsi="Arial" w:cs="Arial"/>
        </w:rPr>
        <w:t>Curiously following the increasing of metabolic prevalence, we have observed for several years</w:t>
      </w:r>
      <w:r w:rsidR="009E0C45" w:rsidRPr="00652B13">
        <w:rPr>
          <w:rFonts w:ascii="Arial" w:hAnsi="Arial" w:cs="Arial"/>
        </w:rPr>
        <w:t xml:space="preserve"> </w:t>
      </w:r>
      <w:r w:rsidRPr="00652B13">
        <w:rPr>
          <w:rFonts w:ascii="Arial" w:hAnsi="Arial" w:cs="Arial"/>
        </w:rPr>
        <w:t xml:space="preserve">an intensive domestication of food plant species by local populations in Bamako and surrounding. </w:t>
      </w:r>
      <w:r w:rsidR="009E0C45" w:rsidRPr="00652B13">
        <w:rPr>
          <w:rFonts w:ascii="Arial" w:hAnsi="Arial" w:cs="Arial"/>
        </w:rPr>
        <w:t>To understand this trend, a fundamental interrogation arises: what’s the real motivation of growing domestication interest of edible plant? Data curated from the literature reported tha</w:t>
      </w:r>
      <w:r w:rsidR="00066BE3" w:rsidRPr="00652B13">
        <w:rPr>
          <w:rFonts w:ascii="Arial" w:hAnsi="Arial" w:cs="Arial"/>
        </w:rPr>
        <w:t>t the</w:t>
      </w:r>
      <w:r w:rsidR="00B304A2" w:rsidRPr="00652B13">
        <w:rPr>
          <w:rFonts w:ascii="Arial" w:hAnsi="Arial" w:cs="Arial"/>
        </w:rPr>
        <w:t xml:space="preserve"> edible plant species </w:t>
      </w:r>
      <w:r w:rsidR="00FF4C74" w:rsidRPr="00652B13">
        <w:rPr>
          <w:rFonts w:ascii="Arial" w:hAnsi="Arial" w:cs="Arial"/>
        </w:rPr>
        <w:t>hold major sociocultural and socio-economic importance</w:t>
      </w:r>
      <w:r w:rsidR="00B304A2" w:rsidRPr="00652B13">
        <w:rPr>
          <w:rFonts w:ascii="Arial" w:hAnsi="Arial" w:cs="Arial"/>
        </w:rPr>
        <w:t xml:space="preserve"> in addition to their nutritional value</w:t>
      </w:r>
      <w:r w:rsidR="008A4DE5" w:rsidRPr="00652B13">
        <w:rPr>
          <w:rFonts w:ascii="Arial" w:hAnsi="Arial" w:cs="Arial"/>
        </w:rPr>
        <w:t xml:space="preserve"> </w:t>
      </w:r>
      <w:r w:rsidR="008A4DE5" w:rsidRPr="00652B13">
        <w:rPr>
          <w:rFonts w:ascii="Arial" w:hAnsi="Arial" w:cs="Arial"/>
        </w:rPr>
        <w:fldChar w:fldCharType="begin" w:fldLock="1"/>
      </w:r>
      <w:r w:rsidR="00A84CB5">
        <w:rPr>
          <w:rFonts w:ascii="Arial" w:hAnsi="Arial" w:cs="Arial"/>
        </w:rPr>
        <w:instrText>ADDIN CSL_CITATION {"citationItems":[{"id":"ITEM-1","itemData":{"DOI":"10.9734/ejnfs/2023/v15i11289","abstract":"Aims: This study aimed to assess the in vitro antibacterial effects of extracts from four wild food fruits: Balanites aegyptiaca, Saba senegalensis, Ziziphus mauritiana, and Raphia sudanica.\r Place and Duration of Study: The samples of plant material were collected at Banamba and Sikasso, Mali between January and May 2018. The bacterial strains were collected at Research Centre for Biological Food and Nutritional Sciences (CRSBAN), University Professor Joseph Ki-Zerbo; Ouagadougou, Burkina Faso. The experimental parts were also carried out at CRSBAN from October 2019 to January 2020.\r Methodology: The fruit extracts were screened for antibacterial activity against Escherichia coli, Salmonella typhi, S. aureus, B. cereus, and L. monocytogenes strains. The diameters of the inhibition zones (ID), the minimum inhibitory concentrations (MIC) as well as the minimum bactericidal concentrations (MBC) were evaluated using agar diffusion method.\r Results: The findings revealed that these parameters have varied as a function of fruit species and/or their zones of provenances. All fruit extracts showed significant growth reducing effect against all the tested bacteria. The extracts from R. sudanica have exhibited the strongest growth-inhibiting activity specifically against E. coli (ID = 15.33±0.58 mm) and Salmonella typhi (ID = 18.00±1.00 mm) with lower MIC (from 2.08±1.44 to 5.83±1.44 mg/mL). Moreover, the MBC/MIC ratios revealed that the extracts from the studied fruits possess mainly bacteriostatic effects towards the tested strains.\r Conclusion: These findings support local therapeutics properties attributed to these fruits. They also demonstrate that, in addition to their nutritional values, these edible fruits could be used for developing antibiotics to treat infectious diseases and food poisoning.","author":[{"dropping-particle":"","family":"Konaré","given":"Mamadou Abdoulaye","non-dropping-particle":"","parse-names":false,"suffix":""},{"dropping-particle":"","family":"Keita","given":"Singou","non-dropping-particle":"","parse-names":false,"suffix":""},{"dropping-particle":"","family":"Somda","given":"Marius K.","non-dropping-particle":"","parse-names":false,"suffix":""},{"dropping-particle":"","family":"Togola","given":"Issiaka","non-dropping-particle":"","parse-names":false,"suffix":""},{"dropping-particle":"","family":"Diarra","given":"Nouhoum","non-dropping-particle":"","parse-names":false,"suffix":""},{"dropping-particle":"","family":"Sanogo","given":"Rokia","non-dropping-particle":"","parse-names":false,"suffix":""}],"container-title":"European Journal of Nutrition &amp; Food Safety","id":"ITEM-1","issued":{"date-parts":[["2023","1","31"]]},"page":"62-71","publisher":"Sciencedomain International","title":"Antibacterial Activities of Extracts from four Wild Food Fruits","type":"article-journal"},"uris":["http://www.mendeley.com/documents/?uuid=7f283d46-f7ac-3173-b638-9c9bb17f468f"]}],"mendeley":{"formattedCitation":"[11]","plainTextFormattedCitation":"[11]","previouslyFormattedCitation":"[11]"},"properties":{"noteIndex":0},"schema":"https://github.com/citation-style-language/schema/raw/master/csl-citation.json"}</w:instrText>
      </w:r>
      <w:r w:rsidR="008A4DE5" w:rsidRPr="00652B13">
        <w:rPr>
          <w:rFonts w:ascii="Arial" w:hAnsi="Arial" w:cs="Arial"/>
        </w:rPr>
        <w:fldChar w:fldCharType="separate"/>
      </w:r>
      <w:r w:rsidR="00433E21" w:rsidRPr="00433E21">
        <w:rPr>
          <w:rFonts w:ascii="Arial" w:hAnsi="Arial" w:cs="Arial"/>
          <w:noProof/>
        </w:rPr>
        <w:t>[11]</w:t>
      </w:r>
      <w:r w:rsidR="008A4DE5" w:rsidRPr="00652B13">
        <w:rPr>
          <w:rFonts w:ascii="Arial" w:hAnsi="Arial" w:cs="Arial"/>
        </w:rPr>
        <w:fldChar w:fldCharType="end"/>
      </w:r>
      <w:r w:rsidR="00FF4C74" w:rsidRPr="00652B13">
        <w:rPr>
          <w:rFonts w:ascii="Arial" w:hAnsi="Arial" w:cs="Arial"/>
        </w:rPr>
        <w:t>. They are valued for therapeutic properties</w:t>
      </w:r>
      <w:r w:rsidR="008A4DE5" w:rsidRPr="00652B13">
        <w:rPr>
          <w:rFonts w:ascii="Arial" w:hAnsi="Arial" w:cs="Arial"/>
        </w:rPr>
        <w:t xml:space="preserve"> </w:t>
      </w:r>
      <w:r w:rsidR="008A4DE5" w:rsidRPr="00652B13">
        <w:rPr>
          <w:rFonts w:ascii="Arial" w:hAnsi="Arial" w:cs="Arial"/>
        </w:rPr>
        <w:fldChar w:fldCharType="begin" w:fldLock="1"/>
      </w:r>
      <w:r w:rsidR="00A84CB5">
        <w:rPr>
          <w:rFonts w:ascii="Arial" w:hAnsi="Arial" w:cs="Arial"/>
        </w:rPr>
        <w:instrText>ADDIN CSL_CITATION {"citationItems":[{"id":"ITEM-1","itemData":{"DOI":"10.3390/plants12020267","ISSN":"22237747","abstract":"Currently, microencapsulation has become a viable method of nutrient delivery for the food industry. This work microencapsulated the bioactive compounds extracted from two neglected species (Balanites aegyptiaca and Ziziphus mauritiana) by freeze-drying. A combination of wall materials (whey protein and pectin; soy protein and maltodextrin) was chosen to prepare the microcapsules. The phytochemical and physicochemical characterization of the microcapsules was then carried out. The encapsulation yield ranged from 82.77% to 96.05% for Balanites and Ziziphus, respectively, whereas the efficiency was 76.18 ± 1.39% and 80.93 ± 1.71%. The stimulated in vitro gastrointestinal test showed that encapsulation increased the bioavailability of the bioactive compounds. The total carotenoids were the most bioavailable compounds with 85.89 ± 0.06% for Ziziphus and 70.46 ± 1.10% for Balanites, followed by total flavonoids for Zizyphus with 63.27 ± 1.56%. Furthermore, regardless of species or wavelengths, the HPLC analysis resulted in the identification of 17 bioactive metabolites. The predominant one was epicatechin, whose level ranged from 231.52 ± 5.06 to 250.99 ± 3.72 mg/100 g DW in Ziziphus and 91.80 ± 3.85 to 116.40 ± 4.09 mg/100 g DW in Balanites. In estimating the enzyme inhibition and antioxidant power, both studied fruits showed antidiabetic, inflammatory, and antioxidant effects. These findings suggest that natural bioactive compounds are abundant in the fruits of Z. mauritiana and B. aegyptiaca and could be a valuable source for the food and pharmaceutical industries.","author":[{"dropping-particle":"","family":"Konaré","given":"Mamadou Abdoulaye","non-dropping-particle":"","parse-names":false,"suffix":""},{"dropping-particle":"","family":"Condurache","given":"Nina Nicoleta","non-dropping-particle":"","parse-names":false,"suffix":""},{"dropping-particle":"","family":"Togola","given":"Issiaka","non-dropping-particle":"","parse-names":false,"suffix":""},{"dropping-particle":"","family":"Păcularu-Burada","given":"Bogdan","non-dropping-particle":"","parse-names":false,"suffix":""},{"dropping-particle":"","family":"Diarra","given":"Nouhoum","non-dropping-particle":"","parse-names":false,"suffix":""},{"dropping-particle":"","family":"Stănciuc","given":"Nicoleta","non-dropping-particle":"","parse-names":false,"suffix":""},{"dropping-particle":"","family":"Râpeanu","given":"Gabriela","non-dropping-particle":"","parse-names":false,"suffix":""}],"container-title":"Plants","id":"ITEM-1","issue":"2","issued":{"date-parts":[["2023"]]},"title":"Valorization of Bioactive Compounds from Two Underutilized Wild Fruits by Microencapsulation in Order to Formulate Value-Added Food Products","type":"article-journal","volume":"12"},"uris":["http://www.mendeley.com/documents/?uuid=4afeb5a2-bcc3-49d6-9c3c-3ec128fcc7c0"]}],"mendeley":{"formattedCitation":"[12]","plainTextFormattedCitation":"[12]","previouslyFormattedCitation":"[12]"},"properties":{"noteIndex":0},"schema":"https://github.com/citation-style-language/schema/raw/master/csl-citation.json"}</w:instrText>
      </w:r>
      <w:r w:rsidR="008A4DE5" w:rsidRPr="00652B13">
        <w:rPr>
          <w:rFonts w:ascii="Arial" w:hAnsi="Arial" w:cs="Arial"/>
        </w:rPr>
        <w:fldChar w:fldCharType="separate"/>
      </w:r>
      <w:r w:rsidR="00433E21" w:rsidRPr="00433E21">
        <w:rPr>
          <w:rFonts w:ascii="Arial" w:hAnsi="Arial" w:cs="Arial"/>
          <w:noProof/>
        </w:rPr>
        <w:t>[12]</w:t>
      </w:r>
      <w:r w:rsidR="008A4DE5" w:rsidRPr="00652B13">
        <w:rPr>
          <w:rFonts w:ascii="Arial" w:hAnsi="Arial" w:cs="Arial"/>
        </w:rPr>
        <w:fldChar w:fldCharType="end"/>
      </w:r>
      <w:r w:rsidR="00FF4C74" w:rsidRPr="00652B13">
        <w:rPr>
          <w:rFonts w:ascii="Arial" w:hAnsi="Arial" w:cs="Arial"/>
        </w:rPr>
        <w:t xml:space="preserve">, which are especially crucial for rural populations and increasingly for urban communities. These plants </w:t>
      </w:r>
      <w:r w:rsidR="00AB7333" w:rsidRPr="00652B13">
        <w:rPr>
          <w:rFonts w:ascii="Arial" w:hAnsi="Arial" w:cs="Arial"/>
        </w:rPr>
        <w:t xml:space="preserve">with </w:t>
      </w:r>
      <w:r w:rsidR="00FF4C74" w:rsidRPr="00652B13">
        <w:rPr>
          <w:rFonts w:ascii="Arial" w:hAnsi="Arial" w:cs="Arial"/>
        </w:rPr>
        <w:t>a significant role in combating malnutrition and metabolic diseases</w:t>
      </w:r>
      <w:r w:rsidR="00B304A2" w:rsidRPr="00652B13">
        <w:rPr>
          <w:rFonts w:ascii="Arial" w:hAnsi="Arial" w:cs="Arial"/>
        </w:rPr>
        <w:t xml:space="preserve"> </w:t>
      </w:r>
      <w:r w:rsidR="00B304A2" w:rsidRPr="00652B13">
        <w:rPr>
          <w:rFonts w:ascii="Arial" w:hAnsi="Arial" w:cs="Arial"/>
        </w:rPr>
        <w:fldChar w:fldCharType="begin" w:fldLock="1"/>
      </w:r>
      <w:r w:rsidR="00A84CB5">
        <w:rPr>
          <w:rFonts w:ascii="Arial" w:hAnsi="Arial" w:cs="Arial"/>
        </w:rPr>
        <w:instrText>ADDIN CSL_CITATION {"citationItems":[{"id":"ITEM-1","itemData":{"DOI":"10.1186/s13002-023-00607-2","ISSN":"1746-4269 (Electronic)","PMID":"37658453","abstract":"BACKGROUND: In traditional food systems, especially those of rural populations  around the world, wild food plants remain crucial. These resources need to be urgently documented to lay the foundations for sustainable livelihoods and food security. METHODS: In the present field study, we gathered information about wild food plants and mushrooms consumed by four ethnic groups (Turis, Khushis, Hazaras, and Christians) living in Kurram District, NW Pakistan, by conducting semi-structured interviews and holding group discussions. RESULTS: A total of 57 wild edible plants and mushrooms were reported, with the documented taxa belonging to 50 genera and 34 families. Turis reported the highest number of wild food plants (41), followed by Hazaras (37), Khushis (35), and then Christians, who reported only 11 plants. The most dominant families were Rosaceae, followed by Polygonaceae, Brassicaceae, Fabaceae, Lamiaceae, Moraceae, and Plantaginaceae. The comparative analysis we conducted with the pre-existing Pakistani ethnobotanical studies revealed that 23 wild edible plants have not been previously reported as food items in the area under study, which included Fragaria nubicola, Lepidium draba, Pinus wallichiana, Podophyllum emodi, Prunus jacquemontii, Sambucus nigra, Sideroxylon mascatense, and Thymus linearis. Four wild edible mushrooms are also reported for the area for the first time: Calvatia gigantea, Morchella esculenta, Pisolithus albus, and Tulostoma squamosum. The cross-cultural analysis of wild edible plants and their uses revealed remarkable similarity between Khushis and Hazaras. The overlapping pattern of wild edible plant use among these two groups, as well as Turis, confirms the existence of cross-cultural interactions among these communities, which have shared the same environmental and socio-cultural space for several decades. Food heritage and some unique dishes are linked to wild edible plants in the area, such as Zamda, prepared by Turis, and Saba, famous among Khushis and Hazaras. CONCLUSION: This study suggests that some wild edible plants could be cultivated to protect a few threatened species from overexploitation, while the overall wild food plant heritage should be promoted and revitalized; for example, within educational platforms aimed at improving the wellbeing of local communities and the global ecological transition we must deal with.","author":[{"dropping-particle":"","family":"Hussain","given":"Sayed Taufiq","non-dropping-particle":"","parse-names":false,"suffix":""},{"dropping-particle":"","family":"Muhammad","given":"Sayed","non-dropping-particle":"","parse-names":false,"suffix":""},{"dropping-particle":"","family":"Khan","given":"Sheharyar","non-dropping-particle":"","parse-names":false,"suffix":""},{"dropping-particle":"","family":"Hussain","given":"Wahid","non-dropping-particle":"","parse-names":false,"suffix":""},{"dropping-particle":"","family":"Pieroni","given":"Andrea","non-dropping-particle":"","parse-names":false,"suffix":""}],"container-title":"Journal of ethnobiology and ethnomedicine","id":"ITEM-1","issue":"1","issued":{"date-parts":[["2023","9"]]},"language":"eng","page":"35","publisher-place":"England","title":"Ethnobotany for food security and ecological transition: wild food plant  gathering and consumption among four cultural groups in Kurram District, NW Pakistan.","type":"article-journal","volume":"19"},"uris":["http://www.mendeley.com/documents/?uuid=8ae9a20e-20e4-4ef2-87bf-1e80993d37a3"]}],"mendeley":{"formattedCitation":"[13]","plainTextFormattedCitation":"[13]","previouslyFormattedCitation":"[13]"},"properties":{"noteIndex":0},"schema":"https://github.com/citation-style-language/schema/raw/master/csl-citation.json"}</w:instrText>
      </w:r>
      <w:r w:rsidR="00B304A2" w:rsidRPr="00652B13">
        <w:rPr>
          <w:rFonts w:ascii="Arial" w:hAnsi="Arial" w:cs="Arial"/>
        </w:rPr>
        <w:fldChar w:fldCharType="separate"/>
      </w:r>
      <w:r w:rsidR="00433E21" w:rsidRPr="00433E21">
        <w:rPr>
          <w:rFonts w:ascii="Arial" w:hAnsi="Arial" w:cs="Arial"/>
          <w:noProof/>
        </w:rPr>
        <w:t>[13]</w:t>
      </w:r>
      <w:r w:rsidR="00B304A2" w:rsidRPr="00652B13">
        <w:rPr>
          <w:rFonts w:ascii="Arial" w:hAnsi="Arial" w:cs="Arial"/>
        </w:rPr>
        <w:fldChar w:fldCharType="end"/>
      </w:r>
      <w:r w:rsidR="00FF4C74" w:rsidRPr="00652B13">
        <w:rPr>
          <w:rFonts w:ascii="Arial" w:hAnsi="Arial" w:cs="Arial"/>
        </w:rPr>
        <w:t>, are often consumed as snacks, vegetables, spices, or condiments</w:t>
      </w:r>
      <w:r w:rsidR="00354E2A" w:rsidRPr="00652B13">
        <w:rPr>
          <w:rFonts w:ascii="Arial" w:hAnsi="Arial" w:cs="Arial"/>
          <w:lang w:val="fr-FR"/>
        </w:rPr>
        <w:fldChar w:fldCharType="begin"/>
      </w:r>
      <w:r w:rsidR="00354E2A" w:rsidRPr="00652B13">
        <w:rPr>
          <w:rFonts w:ascii="Arial" w:hAnsi="Arial" w:cs="Arial"/>
        </w:rPr>
        <w:instrText xml:space="preserve">CITATION Bet111 \l 1036 </w:instrText>
      </w:r>
      <w:r w:rsidR="00354E2A" w:rsidRPr="00652B13">
        <w:rPr>
          <w:rFonts w:ascii="Arial" w:hAnsi="Arial" w:cs="Arial"/>
          <w:lang w:val="fr-FR"/>
        </w:rPr>
        <w:fldChar w:fldCharType="end"/>
      </w:r>
      <w:r w:rsidR="00FF4C74" w:rsidRPr="00652B13">
        <w:rPr>
          <w:rFonts w:ascii="Arial" w:hAnsi="Arial" w:cs="Arial"/>
        </w:rPr>
        <w:t xml:space="preserve">, and represent an effective means of poverty </w:t>
      </w:r>
      <w:r w:rsidR="008C3327" w:rsidRPr="00652B13">
        <w:rPr>
          <w:rFonts w:ascii="Arial" w:hAnsi="Arial" w:cs="Arial"/>
        </w:rPr>
        <w:t>reduction</w:t>
      </w:r>
      <w:r w:rsidR="008A4DE5" w:rsidRPr="00652B13">
        <w:rPr>
          <w:rFonts w:ascii="Arial" w:hAnsi="Arial" w:cs="Arial"/>
        </w:rPr>
        <w:t xml:space="preserve"> </w:t>
      </w:r>
      <w:r w:rsidR="008A4DE5" w:rsidRPr="00652B13">
        <w:rPr>
          <w:rFonts w:ascii="Arial" w:hAnsi="Arial" w:cs="Arial"/>
        </w:rPr>
        <w:fldChar w:fldCharType="begin" w:fldLock="1"/>
      </w:r>
      <w:r w:rsidR="00A84CB5">
        <w:rPr>
          <w:rFonts w:ascii="Arial" w:hAnsi="Arial" w:cs="Arial"/>
        </w:rPr>
        <w:instrText>ADDIN CSL_CITATION {"citationItems":[{"id":"ITEM-1","itemData":{"DOI":"10.4314/ijbcs.v5i1.68105","abstract":"L’enquête ethnobotanique conduite sur les produits forestiers non ligneux du 1er avril au 30 septembre 2005 dans les ménages des villages basés autour du parc national de Kalamaloué a permis de recenser 26&amp;lt;br /&amp;gt;espèces végétales utilisées comme plantes alimentaires par les populations Arabes choa, Bornoa, Kotoko, et Mousgoum. Ces espèces sont distribuées dans 20 genres, 15 familles et interviennent dans 49 recettes&amp;lt;br /&amp;gt;alimentaires différentes. Les fruits, graines et feuilles sont les organes végétaux les plus cités, tandis que les amuse-gueule sont les modes de consommation des plantes les plus mentionnés. Les espèces telles que&amp;lt;br /&amp;gt;Balanites aegyptiaca, Tamarindus indica, Boscia senegalensis, Diospyros mespiliformis et Ziziphus mauritiana apparaissent comme les plantes les plus utilisées comme alimentaires. Les fruits produits par les espèces&amp;lt;br /&amp;gt;comme B. senegalensis et Z. mauritiana permettent aux communautés de survivre même pendant les périodes de disette. Les espèces indiquées à Kalamaloué sont également mentionnées pour les mêmes usages dans&amp;lt;br /&amp;gt;d’autres pays africains. L’administration en charge de la gestion des parcs devrait tenir compte de l’importance des produits forestiers non ligneux de nature végétale dans la vie des populations riveraines du parc national de&amp;lt;br /&amp;gt;Kalamaoué pour éviter des conflits.","author":[{"dropping-particle":"","family":"Betti","given":"J L","non-dropping-particle":"","parse-names":false,"suffix":""},{"dropping-particle":"","family":"Yemefa’a","given":"S R M","non-dropping-particle":"","parse-names":false,"suffix":""}],"container-title":"International Journal of Biological and Chemical Sciences","id":"ITEM-1","issue":"1 SE  - Articles","issued":{"date-parts":[["2011","7","20"]]},"title":"Contribution à la connaissance des produits forestiers non ligneux du parc national de Kalamaloué, Extrême-Nord Cameroun: Les plantes alimentaires","type":"article-journal","volume":"5"},"uris":["http://www.mendeley.com/documents/?uuid=d082f8e0-4db2-4334-8cfd-c975f7fd1ce8"]}],"mendeley":{"formattedCitation":"[14]","plainTextFormattedCitation":"[14]","previouslyFormattedCitation":"[14]"},"properties":{"noteIndex":0},"schema":"https://github.com/citation-style-language/schema/raw/master/csl-citation.json"}</w:instrText>
      </w:r>
      <w:r w:rsidR="008A4DE5" w:rsidRPr="00652B13">
        <w:rPr>
          <w:rFonts w:ascii="Arial" w:hAnsi="Arial" w:cs="Arial"/>
        </w:rPr>
        <w:fldChar w:fldCharType="separate"/>
      </w:r>
      <w:r w:rsidR="00433E21" w:rsidRPr="00433E21">
        <w:rPr>
          <w:rFonts w:ascii="Arial" w:hAnsi="Arial" w:cs="Arial"/>
          <w:noProof/>
        </w:rPr>
        <w:t>[14]</w:t>
      </w:r>
      <w:r w:rsidR="008A4DE5" w:rsidRPr="00652B13">
        <w:rPr>
          <w:rFonts w:ascii="Arial" w:hAnsi="Arial" w:cs="Arial"/>
        </w:rPr>
        <w:fldChar w:fldCharType="end"/>
      </w:r>
      <w:r w:rsidR="00FF4C74" w:rsidRPr="00652B13">
        <w:rPr>
          <w:rFonts w:ascii="Arial" w:hAnsi="Arial" w:cs="Arial"/>
        </w:rPr>
        <w:t>.</w:t>
      </w:r>
      <w:r w:rsidR="00780106" w:rsidRPr="00652B13">
        <w:rPr>
          <w:rFonts w:ascii="Arial" w:hAnsi="Arial" w:cs="Arial"/>
        </w:rPr>
        <w:t xml:space="preserve"> While some edible plants have shown </w:t>
      </w:r>
      <w:r w:rsidR="003A35B3" w:rsidRPr="00652B13">
        <w:rPr>
          <w:rFonts w:ascii="Arial" w:hAnsi="Arial" w:cs="Arial"/>
        </w:rPr>
        <w:t>promising</w:t>
      </w:r>
      <w:r w:rsidR="00780106" w:rsidRPr="00652B13">
        <w:rPr>
          <w:rFonts w:ascii="Arial" w:hAnsi="Arial" w:cs="Arial"/>
        </w:rPr>
        <w:t xml:space="preserve"> medicinal properties</w:t>
      </w:r>
      <w:r w:rsidR="003A35B3" w:rsidRPr="00652B13">
        <w:rPr>
          <w:rFonts w:ascii="Arial" w:hAnsi="Arial" w:cs="Arial"/>
        </w:rPr>
        <w:t xml:space="preserve"> </w:t>
      </w:r>
      <w:r w:rsidR="003A35B3" w:rsidRPr="00652B13">
        <w:rPr>
          <w:rFonts w:ascii="Arial" w:hAnsi="Arial" w:cs="Arial"/>
        </w:rPr>
        <w:fldChar w:fldCharType="begin" w:fldLock="1"/>
      </w:r>
      <w:r w:rsidR="00A84CB5">
        <w:rPr>
          <w:rFonts w:ascii="Arial" w:hAnsi="Arial" w:cs="Arial"/>
        </w:rPr>
        <w:instrText>ADDIN CSL_CITATION {"citationItems":[{"id":"ITEM-1","itemData":{"DOI":"10.21010/ajtcamv17i2.3","ISSN":"0189-6016","abstract":"Background: Moringa oleifera Lam. (Moringaceae) leaves are commonly used for diabetes in Mali. This pilot clinical study aimed to evaluate its effect on post-prandial blood glucose in preparation for a larger trial. Methods: Diabetic patients and non-diabetic healthy volunteers (35 each) were asked to fast for 13 hours on three occasions. Blood glucose was measured before and after eating 100g of white bread (at 30, 60, 90, 120, 150 and 180 minutes). On their second and third study visits, they were given 1g and 2g respectively, of M. oleifera leaf powder, 30 minutes after eating the bread.  The mean paired reduction in blood glucose at each time interval and the incremental area under the curve were calculated. Results: Ingestion of Moringa powder had no effect on blood glucose in non-diabetic participants, but in diabetic patients, it lowered blood glucose at 90 minutes. There was a trend towards lower incremental area under the curve when diabetic patients took 2g of Moringa. No side-effects were reported by any participant. Conclusions: Moringa oleifera leaf powder reduced post-prandial glycaemia in diabetic patients. A larger study is needed to define the optimal dose and to assess whether this translates into longer-term benefits.","author":[{"dropping-particle":"","family":"Sissoko","given":"Lassana","non-dropping-particle":"","parse-names":false,"suffix":""},{"dropping-particle":"","family":"Diarra","given":"Nouhoum","non-dropping-particle":"","parse-names":false,"suffix":""},{"dropping-particle":"","family":"Nientao","given":"Ibrahim","non-dropping-particle":"","parse-names":false,"suffix":""},{"dropping-particle":"","family":"Stuart","given":"Beth","non-dropping-particle":"","parse-names":false,"suffix":""},{"dropping-particle":"","family":"Togola","given":"Adiaratou","non-dropping-particle":"","parse-names":false,"suffix":""},{"dropping-particle":"","family":"Diallo","given":"Drissa","non-dropping-particle":"","parse-names":false,"suffix":""},{"dropping-particle":"","family":"Willcox","given":"Merlin Luke","non-dropping-particle":"","parse-names":false,"suffix":""}],"container-title":"African Journal of Traditional, Complementary and Alternative Medicines","id":"ITEM-1","issue":"2","issued":{"date-parts":[["2023"]]},"page":"29-36","title":"Moringa Oleifera Leaf Powder for Type 2 Diabetes: a Pilot Clinical Trial","type":"article-journal","volume":"17"},"uris":["http://www.mendeley.com/documents/?uuid=afec2361-6b26-4558-ba95-f203c09e0a58"]},{"id":"ITEM-2","itemData":{"author":[{"dropping-particle":"","family":"Togola","given":"Issiaka","non-dropping-particle":"","parse-names":false,"suffix":""},{"dropping-particle":"","family":"Konare","given":"Mamadou Abdoulaye","non-dropping-particle":"","parse-names":false,"suffix":""},{"dropping-particle":"","family":"Cisse","given":"Cheickna","non-dropping-particle":"","parse-names":false,"suffix":""},{"dropping-particle":"","family":"Diarra","given":"Nouhoum","non-dropping-particle":"","parse-names":false,"suffix":""}],"container-title":"Journal of Applied Life Sciences International","id":"ITEM-2","issue":"6","issued":{"date-parts":[["2023"]]},"page":"88-97","title":"Anti-Inflammatory and Anti-cancer Activities of Leaf Extracts from Three Datura Species Found in Mali","type":"article-journal","volume":"26"},"uris":["http://www.mendeley.com/documents/?uuid=65afa6ae-8f24-4518-84b5-9050563fb24b"]},{"id":"ITEM-3","itemData":{"author":[{"dropping-particle":"","family":"Konaré","given":"Mamadou A","non-dropping-particle":"","parse-names":false,"suffix":""},{"dropping-particle":"","family":"Cissé","given":"Cheickna","non-dropping-particle":"","parse-names":false,"suffix":""},{"dropping-particle":"","family":"Togola","given":"Issiaka","non-dropping-particle":"","parse-names":false,"suffix":""},{"dropping-particle":"","family":"Fomba","given":"Moussa","non-dropping-particle":"","parse-names":false,"suffix":""}],"container-title":"Annual Research &amp; Review in Biology","id":"ITEM-3","issued":{"date-parts":[["2024"]]},"page":"11-18","title":"Inhibitory Effects of Datura innoxia Mill Extracts on Two Enzymes Involved in the Control of Diabetes and Inflammation","type":"article-journal","volume":"39"},"uris":["http://www.mendeley.com/documents/?uuid=75aac14b-ed90-489d-b349-f8171edacbd7"]},{"id":"ITEM-4","itemData":{"DOI":"10.5281/hsd.v23i3.3500","abstract":"&amp;lt;p&amp;gt;RÉSUMÉ&amp;lt;br /&amp;gt;Introduction. La poudre de feuilles de moringa séchées aurait un impact positif dans les variations du taux des antioxydants enzymatiques plasmatiques et érythrocytaires telles que la superoxyde dismutase (SOD), la glutathion peroxydase (GPx) la glutathion réductase (GR) et les antioxydants totaux (TAS) chez les diabétiques de type 2. L’objectif de notre travail était d’étudier les activités antioxydantes des feuilles de Moringa oléifera chez les patients diabétiques de type 2. Méthodologie. Il s’agit d’un essai clinique ouvert non randomisé chez des diabétiques de type 2 qui ont été mis sous régime alimentaire supplémentaire à base de poudre de feuille de Moringa oleifera « Modia », en raison de 10 g par jour et pendant six mois. A l’inclusion avant instauration de toute supplémentation avec le Modia, les patients inclus constituaient le groupe témoin, le deuxième groupe était constitué par les patients qui revenaient au contrôle de trois mois de supplémentation (groupe M3) et le troisième groupe au contrôle de six mois de supplémentation Modia (groupe M6). Cent quarante-quatre (144) patients au total répartis entre : Témoins (48), Groupe M3 (48) et groupe M6 (48) patients. Les paramètres biochimiques mesurés étaient les marqueurs du stress oxydatif (TAS, SOD, GPx, le GR) dans le plasma et érythrocytaire. Les mesures ont été réalisées à l’aide d’un spectrophotomètre UV et visible par les méthodes enzymatiques. Résultats. Les patients de sexe féminin représentaient 75% de l’effectif. L’âge moyen était de 50 ± 11,55 ans (extrêmes 22 à 72 ans). Les statuts oxydatifs des patients ont été améliorées positivement, le TAS a diminué de 1,80±0,78 à 1,56±0,36 UI/L (P=0,00000), la SOD plasmatique a augmenté de 226,90±36,96 à 233,29±17,99 UI/L (P=0,00000), la SOD érythrocytaire de 225,27±39,08 à 1556,04±291,05 UI/L (P=0,00000) la GPX plasmatique (UI/L) de 2177,0±2517,19 à 17249,10±3220,0 (P=0,00865), et la GR plasmatique (UI/L) de 43,62±27,99 à 66,89±16,98 (P=0,00049) ont significativement augmenté après l’instauration du traitement à base de Modia (P-value&amp;amp;lt;0,05). Conclusion. Notre étude a montré que les feuilles du Moringa oleifera ont une capacité anti oxydante sur la stabilisation du système redox des diabétiques de type 2.&amp;lt;/p&amp;gt;&amp;lt;p&amp;gt;ABSTRACT&amp;lt;br /&amp;gt;Introduction. Powder of dry leaves of moringa olifeira have ben reported to influence positively the variations of plasma and red cell antioxidant enzymes such as supero…","author":[{"dropping-particle":"","family":"DRAME","given":"Boubacar Sidiki I","non-dropping-particle":"","parse-names":false,"suffix":""},{"dropping-particle":"","family":"KONE","given":"Adama","non-dropping-particle":"","parse-names":false,"suffix":""},{"dropping-particle":"","family":"SYLLA","given":"Sow Djénéba","non-dropping-particle":"","parse-names":false,"suffix":""},{"dropping-particle":"","family":"GOITA","given":"Yaya","non-dropping-particle":"","parse-names":false,"suffix":""},{"dropping-particle":"","family":"COULIBALY","given":"Djibril Mamadou","non-dropping-particle":"","parse-names":false,"suffix":""},{"dropping-particle":"","family":"SANOGO","given":"Rokia","non-dropping-particle":"","parse-names":false,"suffix":""},{"dropping-particle":"","family":"CISSE","given":"Bakary M","non-dropping-particle":"","parse-names":false,"suffix":""}],"container-title":"HEALTH SCIENCES AND DISEASE","id":"ITEM-4","issue":"3 SE  - Pharmacy and Pharmaceutical Sciences","issued":{"date-parts":[["2022","3","3"]]},"title":"Capacité Anti Oxydante des Feuilles du Moringa Oleifera chez les Diabétiques de Type 2","type":"article-journal","volume":"23"},"uris":["http://www.mendeley.com/documents/?uuid=ffa378bd-1dd5-441c-a8a4-eaf0a8e238e0"]}],"mendeley":{"formattedCitation":"[15–18]","plainTextFormattedCitation":"[15–18]","previouslyFormattedCitation":"[15–18]"},"properties":{"noteIndex":0},"schema":"https://github.com/citation-style-language/schema/raw/master/csl-citation.json"}</w:instrText>
      </w:r>
      <w:r w:rsidR="003A35B3" w:rsidRPr="00652B13">
        <w:rPr>
          <w:rFonts w:ascii="Arial" w:hAnsi="Arial" w:cs="Arial"/>
        </w:rPr>
        <w:fldChar w:fldCharType="separate"/>
      </w:r>
      <w:r w:rsidR="00433E21" w:rsidRPr="00433E21">
        <w:rPr>
          <w:rFonts w:ascii="Arial" w:hAnsi="Arial" w:cs="Arial"/>
          <w:noProof/>
        </w:rPr>
        <w:t>[15–18]</w:t>
      </w:r>
      <w:r w:rsidR="003A35B3" w:rsidRPr="00652B13">
        <w:rPr>
          <w:rFonts w:ascii="Arial" w:hAnsi="Arial" w:cs="Arial"/>
        </w:rPr>
        <w:fldChar w:fldCharType="end"/>
      </w:r>
      <w:r w:rsidR="00780106" w:rsidRPr="00652B13">
        <w:rPr>
          <w:rFonts w:ascii="Arial" w:hAnsi="Arial" w:cs="Arial"/>
        </w:rPr>
        <w:t xml:space="preserve">, it's crucial to approach their use with caution, as the safety and effectiveness of many </w:t>
      </w:r>
      <w:r w:rsidR="003A35B3" w:rsidRPr="00652B13">
        <w:rPr>
          <w:rFonts w:ascii="Arial" w:hAnsi="Arial" w:cs="Arial"/>
        </w:rPr>
        <w:t>traditional</w:t>
      </w:r>
      <w:r w:rsidR="00780106" w:rsidRPr="00652B13">
        <w:rPr>
          <w:rFonts w:ascii="Arial" w:hAnsi="Arial" w:cs="Arial"/>
        </w:rPr>
        <w:t xml:space="preserve"> remedies are not fully established. </w:t>
      </w:r>
      <w:r w:rsidR="00FF4C74" w:rsidRPr="00652B13">
        <w:rPr>
          <w:rFonts w:ascii="Arial" w:hAnsi="Arial" w:cs="Arial"/>
        </w:rPr>
        <w:t>Although widely used by diabetic patients</w:t>
      </w:r>
      <w:r w:rsidR="003A35B3" w:rsidRPr="00652B13">
        <w:rPr>
          <w:rFonts w:ascii="Arial" w:hAnsi="Arial" w:cs="Arial"/>
        </w:rPr>
        <w:t xml:space="preserve"> in Mali</w:t>
      </w:r>
      <w:r w:rsidR="00D67E19" w:rsidRPr="00652B13">
        <w:rPr>
          <w:rFonts w:ascii="Arial" w:hAnsi="Arial" w:cs="Arial"/>
        </w:rPr>
        <w:t xml:space="preserve"> </w:t>
      </w:r>
      <w:r w:rsidR="00D67E19" w:rsidRPr="00652B13">
        <w:rPr>
          <w:rFonts w:ascii="Arial" w:hAnsi="Arial" w:cs="Arial"/>
        </w:rPr>
        <w:fldChar w:fldCharType="begin" w:fldLock="1"/>
      </w:r>
      <w:r w:rsidR="00A84CB5">
        <w:rPr>
          <w:rFonts w:ascii="Arial" w:hAnsi="Arial" w:cs="Arial"/>
        </w:rPr>
        <w:instrText>ADDIN CSL_CITATION {"citationItems":[{"id":"ITEM-1","itemData":{"DOI":"10.5281/hsd.v23i3.3500","abstract":"&amp;lt;p&amp;gt;RÉSUMÉ&amp;lt;br /&amp;gt;Introduction. La poudre de feuilles de moringa séchées aurait un impact positif dans les variations du taux des antioxydants enzymatiques plasmatiques et érythrocytaires telles que la superoxyde dismutase (SOD), la glutathion peroxydase (GPx) la glutathion réductase (GR) et les antioxydants totaux (TAS) chez les diabétiques de type 2. L’objectif de notre travail était d’étudier les activités antioxydantes des feuilles de Moringa oléifera chez les patients diabétiques de type 2. Méthodologie. Il s’agit d’un essai clinique ouvert non randomisé chez des diabétiques de type 2 qui ont été mis sous régime alimentaire supplémentaire à base de poudre de feuille de Moringa oleifera « Modia », en raison de 10 g par jour et pendant six mois. A l’inclusion avant instauration de toute supplémentation avec le Modia, les patients inclus constituaient le groupe témoin, le deuxième groupe était constitué par les patients qui revenaient au contrôle de trois mois de supplémentation (groupe M3) et le troisième groupe au contrôle de six mois de supplémentation Modia (groupe M6). Cent quarante-quatre (144) patients au total répartis entre : Témoins (48), Groupe M3 (48) et groupe M6 (48) patients. Les paramètres biochimiques mesurés étaient les marqueurs du stress oxydatif (TAS, SOD, GPx, le GR) dans le plasma et érythrocytaire. Les mesures ont été réalisées à l’aide d’un spectrophotomètre UV et visible par les méthodes enzymatiques. Résultats. Les patients de sexe féminin représentaient 75% de l’effectif. L’âge moyen était de 50 ± 11,55 ans (extrêmes 22 à 72 ans). Les statuts oxydatifs des patients ont été améliorées positivement, le TAS a diminué de 1,80±0,78 à 1,56±0,36 UI/L (P=0,00000), la SOD plasmatique a augmenté de 226,90±36,96 à 233,29±17,99 UI/L (P=0,00000), la SOD érythrocytaire de 225,27±39,08 à 1556,04±291,05 UI/L (P=0,00000) la GPX plasmatique (UI/L) de 2177,0±2517,19 à 17249,10±3220,0 (P=0,00865), et la GR plasmatique (UI/L) de 43,62±27,99 à 66,89±16,98 (P=0,00049) ont significativement augmenté après l’instauration du traitement à base de Modia (P-value&amp;amp;lt;0,05). Conclusion. Notre étude a montré que les feuilles du Moringa oleifera ont une capacité anti oxydante sur la stabilisation du système redox des diabétiques de type 2.&amp;lt;/p&amp;gt;&amp;lt;p&amp;gt;ABSTRACT&amp;lt;br /&amp;gt;Introduction. Powder of dry leaves of moringa olifeira have ben reported to influence positively the variations of plasma and red cell antioxidant enzymes such as supero…","author":[{"dropping-particle":"","family":"DRAME","given":"Boubacar Sidiki I","non-dropping-particle":"","parse-names":false,"suffix":""},{"dropping-particle":"","family":"KONE","given":"Adama","non-dropping-particle":"","parse-names":false,"suffix":""},{"dropping-particle":"","family":"SYLLA","given":"Sow Djénéba","non-dropping-particle":"","parse-names":false,"suffix":""},{"dropping-particle":"","family":"GOITA","given":"Yaya","non-dropping-particle":"","parse-names":false,"suffix":""},{"dropping-particle":"","family":"COULIBALY","given":"Djibril Mamadou","non-dropping-particle":"","parse-names":false,"suffix":""},{"dropping-particle":"","family":"SANOGO","given":"Rokia","non-dropping-particle":"","parse-names":false,"suffix":""},{"dropping-particle":"","family":"CISSE","given":"Bakary M","non-dropping-particle":"","parse-names":false,"suffix":""}],"container-title":"HEALTH SCIENCES AND DISEASE","id":"ITEM-1","issue":"3 SE  - Pharmacy and Pharmaceutical Sciences","issued":{"date-parts":[["2022","3","3"]]},"title":"Capacité Anti Oxydante des Feuilles du Moringa Oleifera chez les Diabétiques de Type 2","type":"article-journal","volume":"23"},"uris":["http://www.mendeley.com/documents/?uuid=ffa378bd-1dd5-441c-a8a4-eaf0a8e238e0"]},{"id":"ITEM-2","itemData":{"DOI":"10.21010/ajtcamv17i2.3","ISSN":"0189-6016","abstract":"Background: Moringa oleifera Lam. (Moringaceae) leaves are commonly used for diabetes in Mali. This pilot clinical study aimed to evaluate its effect on post-prandial blood glucose in preparation for a larger trial. Methods: Diabetic patients and non-diabetic healthy volunteers (35 each) were asked to fast for 13 hours on three occasions. Blood glucose was measured before and after eating 100g of white bread (at 30, 60, 90, 120, 150 and 180 minutes). On their second and third study visits, they were given 1g and 2g respectively, of M. oleifera leaf powder, 30 minutes after eating the bread.  The mean paired reduction in blood glucose at each time interval and the incremental area under the curve were calculated. Results: Ingestion of Moringa powder had no effect on blood glucose in non-diabetic participants, but in diabetic patients, it lowered blood glucose at 90 minutes. There was a trend towards lower incremental area under the curve when diabetic patients took 2g of Moringa. No side-effects were reported by any participant. Conclusions: Moringa oleifera leaf powder reduced post-prandial glycaemia in diabetic patients. A larger study is needed to define the optimal dose and to assess whether this translates into longer-term benefits.","author":[{"dropping-particle":"","family":"Sissoko","given":"Lassana","non-dropping-particle":"","parse-names":false,"suffix":""},{"dropping-particle":"","family":"Diarra","given":"Nouhoum","non-dropping-particle":"","parse-names":false,"suffix":""},{"dropping-particle":"","family":"Nientao","given":"Ibrahim","non-dropping-particle":"","parse-names":false,"suffix":""},{"dropping-particle":"","family":"Stuart","given":"Beth","non-dropping-particle":"","parse-names":false,"suffix":""},{"dropping-particle":"","family":"Togola","given":"Adiaratou","non-dropping-particle":"","parse-names":false,"suffix":""},{"dropping-particle":"","family":"Diallo","given":"Drissa","non-dropping-particle":"","parse-names":false,"suffix":""},{"dropping-particle":"","family":"Willcox","given":"Merlin Luke","non-dropping-particle":"","parse-names":false,"suffix":""}],"container-title":"African Journal of Traditional, Complementary and Alternative Medicines","id":"ITEM-2","issue":"2","issued":{"date-parts":[["2023"]]},"page":"29-36","title":"Moringa Oleifera Leaf Powder for Type 2 Diabetes: a Pilot Clinical Trial","type":"article-journal","volume":"17"},"uris":["http://www.mendeley.com/documents/?uuid=afec2361-6b26-4558-ba95-f203c09e0a58"]}],"mendeley":{"formattedCitation":"[15, 18]","plainTextFormattedCitation":"[15, 18]","previouslyFormattedCitation":"[15, 18]"},"properties":{"noteIndex":0},"schema":"https://github.com/citation-style-language/schema/raw/master/csl-citation.json"}</w:instrText>
      </w:r>
      <w:r w:rsidR="00D67E19" w:rsidRPr="00652B13">
        <w:rPr>
          <w:rFonts w:ascii="Arial" w:hAnsi="Arial" w:cs="Arial"/>
        </w:rPr>
        <w:fldChar w:fldCharType="separate"/>
      </w:r>
      <w:r w:rsidR="00433E21" w:rsidRPr="00433E21">
        <w:rPr>
          <w:rFonts w:ascii="Arial" w:hAnsi="Arial" w:cs="Arial"/>
          <w:noProof/>
        </w:rPr>
        <w:t>[15, 18]</w:t>
      </w:r>
      <w:r w:rsidR="00D67E19" w:rsidRPr="00652B13">
        <w:rPr>
          <w:rFonts w:ascii="Arial" w:hAnsi="Arial" w:cs="Arial"/>
        </w:rPr>
        <w:fldChar w:fldCharType="end"/>
      </w:r>
      <w:r w:rsidR="00FF4C74" w:rsidRPr="00652B13">
        <w:rPr>
          <w:rFonts w:ascii="Arial" w:hAnsi="Arial" w:cs="Arial"/>
        </w:rPr>
        <w:t xml:space="preserve">, </w:t>
      </w:r>
      <w:r w:rsidR="003A35B3" w:rsidRPr="00652B13">
        <w:rPr>
          <w:rFonts w:ascii="Arial" w:hAnsi="Arial" w:cs="Arial"/>
        </w:rPr>
        <w:t>many</w:t>
      </w:r>
      <w:r w:rsidR="00FF4C74" w:rsidRPr="00652B13">
        <w:rPr>
          <w:rFonts w:ascii="Arial" w:hAnsi="Arial" w:cs="Arial"/>
        </w:rPr>
        <w:t xml:space="preserve"> </w:t>
      </w:r>
      <w:r w:rsidR="003A35B3" w:rsidRPr="00652B13">
        <w:rPr>
          <w:rFonts w:ascii="Arial" w:hAnsi="Arial" w:cs="Arial"/>
        </w:rPr>
        <w:t xml:space="preserve">local </w:t>
      </w:r>
      <w:r w:rsidR="00FF4C74" w:rsidRPr="00652B13">
        <w:rPr>
          <w:rFonts w:ascii="Arial" w:hAnsi="Arial" w:cs="Arial"/>
        </w:rPr>
        <w:t>preparations remain poorly documented in terms of their chemical composition and pharmacological properties. This highlights the urgent need for ethnobotanical, phytochemical, and pharmacological investigations to provide a scientific basis for their therapeutic claims.</w:t>
      </w:r>
    </w:p>
    <w:p w14:paraId="0FA13209" w14:textId="3634FFAD" w:rsidR="00433E21" w:rsidRDefault="00433E21" w:rsidP="00433E21">
      <w:pPr>
        <w:pStyle w:val="Body"/>
        <w:spacing w:before="240" w:after="0"/>
        <w:rPr>
          <w:rFonts w:ascii="Arial" w:hAnsi="Arial" w:cs="Arial"/>
        </w:rPr>
      </w:pPr>
      <w:r w:rsidRPr="00433E21">
        <w:rPr>
          <w:rFonts w:ascii="Arial" w:hAnsi="Arial" w:cs="Arial"/>
          <w:i/>
          <w:iCs/>
        </w:rPr>
        <w:t>Mangifera indica</w:t>
      </w:r>
      <w:r>
        <w:rPr>
          <w:rFonts w:ascii="Arial" w:hAnsi="Arial" w:cs="Arial"/>
        </w:rPr>
        <w:t xml:space="preserve"> Lam. (Mango tree)</w:t>
      </w:r>
      <w:r w:rsidRPr="00433E21">
        <w:rPr>
          <w:rFonts w:ascii="Arial" w:hAnsi="Arial" w:cs="Arial"/>
        </w:rPr>
        <w:t>,</w:t>
      </w:r>
      <w:r w:rsidR="00A84CB5">
        <w:rPr>
          <w:rFonts w:ascii="Arial" w:hAnsi="Arial" w:cs="Arial"/>
        </w:rPr>
        <w:t xml:space="preserve"> </w:t>
      </w:r>
      <w:r w:rsidR="00A84CB5" w:rsidRPr="00A84CB5">
        <w:rPr>
          <w:rFonts w:ascii="Arial" w:hAnsi="Arial" w:cs="Arial"/>
        </w:rPr>
        <w:t xml:space="preserve">originates from tropical Asia, cultivated over </w:t>
      </w:r>
      <w:proofErr w:type="gramStart"/>
      <w:r w:rsidR="00A84CB5">
        <w:rPr>
          <w:rFonts w:ascii="Arial" w:hAnsi="Arial" w:cs="Arial"/>
        </w:rPr>
        <w:t>thousands</w:t>
      </w:r>
      <w:proofErr w:type="gramEnd"/>
      <w:r w:rsidR="00A84CB5" w:rsidRPr="00A84CB5">
        <w:rPr>
          <w:rFonts w:ascii="Arial" w:hAnsi="Arial" w:cs="Arial"/>
        </w:rPr>
        <w:t xml:space="preserve"> years, and now naturalized across </w:t>
      </w:r>
      <w:r w:rsidR="00A84CB5">
        <w:rPr>
          <w:rFonts w:ascii="Arial" w:hAnsi="Arial" w:cs="Arial"/>
        </w:rPr>
        <w:t>West Africa</w:t>
      </w:r>
      <w:r w:rsidR="00A84CB5" w:rsidRPr="00A84CB5">
        <w:rPr>
          <w:rFonts w:ascii="Arial" w:hAnsi="Arial" w:cs="Arial"/>
        </w:rPr>
        <w:t xml:space="preserve">, including </w:t>
      </w:r>
      <w:r w:rsidR="00A84CB5">
        <w:rPr>
          <w:rFonts w:ascii="Arial" w:hAnsi="Arial" w:cs="Arial"/>
        </w:rPr>
        <w:t>Mali,</w:t>
      </w:r>
      <w:r w:rsidRPr="00433E21">
        <w:rPr>
          <w:rFonts w:ascii="Arial" w:hAnsi="Arial" w:cs="Arial"/>
        </w:rPr>
        <w:t xml:space="preserve"> is a large evergreen tree in the </w:t>
      </w:r>
      <w:proofErr w:type="spellStart"/>
      <w:r w:rsidRPr="00433E21">
        <w:rPr>
          <w:rFonts w:ascii="Arial" w:hAnsi="Arial" w:cs="Arial"/>
        </w:rPr>
        <w:t>Anacardiaceae</w:t>
      </w:r>
      <w:proofErr w:type="spellEnd"/>
      <w:r w:rsidRPr="00433E21">
        <w:rPr>
          <w:rFonts w:ascii="Arial" w:hAnsi="Arial" w:cs="Arial"/>
        </w:rPr>
        <w:t xml:space="preserve"> family. All parts—roots, bark, leaves, fruits, seeds, flowers, and kernels—serve medicinal purposes, including as dentifrice, antiseptic, astringent, stomachic, vermifuge, tonic, laxative, and diuretic for conditions like diarrhea, dysentery, anemia, asthma, cough, hypertension, and diabetes</w:t>
      </w:r>
      <w:r>
        <w:rPr>
          <w:rFonts w:ascii="Arial" w:hAnsi="Arial" w:cs="Arial"/>
        </w:rPr>
        <w:t xml:space="preserve"> </w:t>
      </w:r>
      <w:r>
        <w:rPr>
          <w:rFonts w:ascii="Arial" w:hAnsi="Arial" w:cs="Arial"/>
        </w:rPr>
        <w:fldChar w:fldCharType="begin" w:fldLock="1"/>
      </w:r>
      <w:r w:rsidR="00A84CB5">
        <w:rPr>
          <w:rFonts w:ascii="Arial" w:hAnsi="Arial" w:cs="Arial"/>
        </w:rPr>
        <w:instrText>ADDIN CSL_CITATION {"citationItems":[{"id":"ITEM-1","itemData":{"DOI":"10.4103/0973-7847.65325","ISSN":"0973-7847 (Print)","PMID":"22228940","abstract":"Mangifera indica, commonly used herb in ayurvedic medicine. Although review  articles on this plant are already published, but this review article is presented to compile all the updated information on its phytochemical and pharmacological activities, which were performed widely by different methods. Studies indicate mango possesses antidiabetic, anti-oxidant, anti-viral, cardiotonic, hypotensive, anti-inflammatory properties. Various effects like antibacterial, anti fungal, anthelmintic, anti parasitic, anti tumor, anti HIV, antibone resorption, antispasmodic, antipyretic, antidiarrhoeal, antiallergic, immunomodulation, hypolipidemic, anti microbial, hepatoprotective, gastroprotective have also been studied. These studies are very encouraging and indicate this herb should be studied more extensively to confirm these results and reveal other potential therapeutic effects. Clinical trials using mango for a variety of conditions should also be conducted.","author":[{"dropping-particle":"","family":"Shah","given":"K A","non-dropping-particle":"","parse-names":false,"suffix":""},{"dropping-particle":"","family":"Patel","given":"M B","non-dropping-particle":"","parse-names":false,"suffix":""},{"dropping-particle":"","family":"Patel","given":"R J","non-dropping-particle":"","parse-names":false,"suffix":""},{"dropping-particle":"","family":"Parmar","given":"P K","non-dropping-particle":"","parse-names":false,"suffix":""}],"container-title":"Pharmacognosy reviews","id":"ITEM-1","issue":"7","issued":{"date-parts":[["2010","1"]]},"language":"eng","page":"42-48","publisher-place":"India","title":"Mangifera indica (mango).","type":"article-journal","volume":"4"},"uris":["http://www.mendeley.com/documents/?uuid=c53621c5-96e2-4bae-bf4c-afd52298f7db"]}],"mendeley":{"formattedCitation":"[19]","plainTextFormattedCitation":"[19]","previouslyFormattedCitation":"[19]"},"properties":{"noteIndex":0},"schema":"https://github.com/citation-style-language/schema/raw/master/csl-citation.json"}</w:instrText>
      </w:r>
      <w:r>
        <w:rPr>
          <w:rFonts w:ascii="Arial" w:hAnsi="Arial" w:cs="Arial"/>
        </w:rPr>
        <w:fldChar w:fldCharType="separate"/>
      </w:r>
      <w:r w:rsidRPr="00433E21">
        <w:rPr>
          <w:rFonts w:ascii="Arial" w:hAnsi="Arial" w:cs="Arial"/>
          <w:noProof/>
        </w:rPr>
        <w:t>[19]</w:t>
      </w:r>
      <w:r>
        <w:rPr>
          <w:rFonts w:ascii="Arial" w:hAnsi="Arial" w:cs="Arial"/>
        </w:rPr>
        <w:fldChar w:fldCharType="end"/>
      </w:r>
      <w:r w:rsidRPr="00433E21">
        <w:rPr>
          <w:rFonts w:ascii="Arial" w:hAnsi="Arial" w:cs="Arial"/>
        </w:rPr>
        <w:t>.</w:t>
      </w:r>
      <w:r w:rsidR="00A84CB5">
        <w:rPr>
          <w:rFonts w:ascii="Arial" w:hAnsi="Arial" w:cs="Arial"/>
        </w:rPr>
        <w:t xml:space="preserve"> </w:t>
      </w:r>
      <w:r w:rsidR="00A84CB5" w:rsidRPr="00A84CB5">
        <w:rPr>
          <w:rFonts w:ascii="Arial" w:hAnsi="Arial" w:cs="Arial"/>
        </w:rPr>
        <w:t xml:space="preserve">In rural communities, stem-bark extracts provide folkloric remedies for inflammation, pain, arthritis, and type 2 diabetes management, </w:t>
      </w:r>
      <w:r w:rsidR="00A84CB5">
        <w:rPr>
          <w:rFonts w:ascii="Arial" w:hAnsi="Arial" w:cs="Arial"/>
        </w:rPr>
        <w:t>proved</w:t>
      </w:r>
      <w:r w:rsidR="00A84CB5" w:rsidRPr="00A84CB5">
        <w:rPr>
          <w:rFonts w:ascii="Arial" w:hAnsi="Arial" w:cs="Arial"/>
        </w:rPr>
        <w:t xml:space="preserve"> by pharmacological studies</w:t>
      </w:r>
      <w:r w:rsidR="00A84CB5">
        <w:rPr>
          <w:rFonts w:ascii="Arial" w:hAnsi="Arial" w:cs="Arial"/>
        </w:rPr>
        <w:t xml:space="preserve"> </w:t>
      </w:r>
      <w:r w:rsidR="00A84CB5">
        <w:rPr>
          <w:rFonts w:ascii="Arial" w:hAnsi="Arial" w:cs="Arial"/>
        </w:rPr>
        <w:fldChar w:fldCharType="begin" w:fldLock="1"/>
      </w:r>
      <w:r w:rsidR="00A84CB5">
        <w:rPr>
          <w:rFonts w:ascii="Arial" w:hAnsi="Arial" w:cs="Arial"/>
        </w:rPr>
        <w:instrText>ADDIN CSL_CITATION {"citationItems":[{"id":"ITEM-1","itemData":{"author":[{"dropping-particle":"","family":"Kitbumrungsart, P., Suntornwat","given":"O.","non-dropping-particle":"","parse-names":false,"suffix":""},{"dropping-particle":"","family":"Rayanil","given":"K.","non-dropping-particle":"","parse-names":false,"suffix":""}],"container-title":"Thai journal of Agricultural Science","id":"ITEM-1","issue":"5","issued":{"date-parts":[["2011"]]},"page":"62-66","title":"Mangiferin and antioxidant capacity from mango (Mangifera indica L.) leaves extracts","type":"article-journal","volume":"44"},"uris":["http://www.mendeley.com/documents/?uuid=8ec92427-aad4-4a86-b9f2-2a6b1f175c58"]},{"id":"ITEM-2","itemData":{"DOI":"10.1016/j.phymed.2019.152901","ISSN":"1618-095X (Electronic)","PMID":"30981189","abstract":"BACKGROUND: Diabetes mellitus poses serious threat to the global population due  to the alarming diabetic complications it leads to. The current therapeutic options available can be improved for better efficiency and maximum benefits. Combination therapy has been commonly used to improve the efficacy and to minimize the side effects of drugs in current clinical use. PURPOSE: The present study aims to assess the interaction between a natural molecule mangiferin with the commercially available oral hypoglycemic drugs metformin and gliclazide in diabetic rats. METHODS: In this study, the in vitro cytotoxicity and glucose uptake studies were performed in HepG2 cells. Based on experimental data, the combination index of the hypoglycemic drugs like metformin and gliclazide in combination with different doses of mangiferin was determined using COMPUSYN software. Further, in vivo studies were performed in HFD + STZ induced diabetic male Sprague Dawley rats. Serum parameters, enzyme markers, hepatic oxidative stress markers, gene and protein expression studies and histopathological analyses were performed in rat liver to identify the mode of action of the combination drug administration. RESULTS: The in vitro studies on HepG2 cells suggest a positive interaction of mangiferin with both metformin and gliclazide at specific concentrations as evidenced by glucose uptake. The hepatic enzymes, oxidative stress markers, carbohydrate metabolizing enzymes, gene (AMPK, Akt, ACC β and Glut-2) and protein (PPARα, PPARγ) expression confirmed the results of the in vitro studies. Both the combinations of mangiferin with metformin and mangiferin with gliclazide exhibited potent antidiabetic effect. The combination of mangiferin with metformin was insulin dependent (Akt pathway) whereas the combination of mangiferin and gliclazide was insulin independent (AMPK pathway). CONCLUSION: The overall results suggest that combination of mangiferin with both metformin and gliclazide alleviates diabetic conditions potentially at specific doses and modulates the adverse effect of high dose of commonly used OHD's. This combination therapy can be translated for its clinical use as a diabetes management strategy.","author":[{"dropping-particle":"","family":"Sekar","given":"Vidhushini","non-dropping-particle":"","parse-names":false,"suffix":""},{"dropping-particle":"","family":"Mani","given":"Sugumar","non-dropping-particle":"","parse-names":false,"suffix":""},{"dropping-particle":"","family":"Malarvizhi","given":"R","non-dropping-particle":"","parse-names":false,"suffix":""},{"dropping-particle":"","family":"Nithya","given":"P","non-dropping-particle":"","parse-names":false,"suffix":""},{"dropping-particle":"","family":"Vasanthi","given":"Hannah R","non-dropping-particle":"","parse-names":false,"suffix":""}],"container-title":"Phytomedicine : international journal of phytotherapy and phytopharmacology","id":"ITEM-2","issued":{"date-parts":[["2019","6"]]},"language":"eng","page":"152901","publisher-place":"Germany","title":"Antidiabetic effect of mangiferin in combination with oral hypoglycemic agents  metformin and gliclazide.","type":"article-journal","volume":"59"},"uris":["http://www.mendeley.com/documents/?uuid=309561d8-b6f2-4b2e-b668-ef714a35d3aa"]}],"mendeley":{"formattedCitation":"[20, 21]","plainTextFormattedCitation":"[20, 21]"},"properties":{"noteIndex":0},"schema":"https://github.com/citation-style-language/schema/raw/master/csl-citation.json"}</w:instrText>
      </w:r>
      <w:r w:rsidR="00A84CB5">
        <w:rPr>
          <w:rFonts w:ascii="Arial" w:hAnsi="Arial" w:cs="Arial"/>
        </w:rPr>
        <w:fldChar w:fldCharType="separate"/>
      </w:r>
      <w:r w:rsidR="00A84CB5" w:rsidRPr="00A84CB5">
        <w:rPr>
          <w:rFonts w:ascii="Arial" w:hAnsi="Arial" w:cs="Arial"/>
          <w:noProof/>
        </w:rPr>
        <w:t>[20, 21]</w:t>
      </w:r>
      <w:r w:rsidR="00A84CB5">
        <w:rPr>
          <w:rFonts w:ascii="Arial" w:hAnsi="Arial" w:cs="Arial"/>
        </w:rPr>
        <w:fldChar w:fldCharType="end"/>
      </w:r>
      <w:r w:rsidR="00A84CB5">
        <w:rPr>
          <w:rFonts w:ascii="Arial" w:hAnsi="Arial" w:cs="Arial"/>
        </w:rPr>
        <w:t>.</w:t>
      </w:r>
    </w:p>
    <w:p w14:paraId="450AB02C" w14:textId="7E4F7AFA" w:rsidR="00D67E19" w:rsidRPr="00B34474" w:rsidRDefault="00D67E19" w:rsidP="00D426A6">
      <w:pPr>
        <w:pStyle w:val="Body"/>
        <w:spacing w:before="240" w:after="0"/>
        <w:rPr>
          <w:rFonts w:ascii="Arial" w:hAnsi="Arial" w:cs="Arial"/>
        </w:rPr>
      </w:pPr>
      <w:r w:rsidRPr="00D67E19">
        <w:rPr>
          <w:rFonts w:ascii="Arial" w:hAnsi="Arial" w:cs="Arial"/>
        </w:rPr>
        <w:t xml:space="preserve">The present study aims to identify domesticated edible plants </w:t>
      </w:r>
      <w:r w:rsidR="00B304A2" w:rsidRPr="00652B13">
        <w:rPr>
          <w:rFonts w:ascii="Arial" w:hAnsi="Arial" w:cs="Arial"/>
        </w:rPr>
        <w:t xml:space="preserve">and to understand the </w:t>
      </w:r>
      <w:r w:rsidR="001317A7" w:rsidRPr="00652B13">
        <w:rPr>
          <w:rFonts w:ascii="Arial" w:hAnsi="Arial" w:cs="Arial"/>
        </w:rPr>
        <w:t>profound</w:t>
      </w:r>
      <w:r w:rsidR="00B304A2" w:rsidRPr="00652B13">
        <w:rPr>
          <w:rFonts w:ascii="Arial" w:hAnsi="Arial" w:cs="Arial"/>
        </w:rPr>
        <w:t xml:space="preserve"> motivation</w:t>
      </w:r>
      <w:r w:rsidR="001317A7" w:rsidRPr="00652B13">
        <w:rPr>
          <w:rFonts w:ascii="Arial" w:hAnsi="Arial" w:cs="Arial"/>
        </w:rPr>
        <w:t>s</w:t>
      </w:r>
      <w:r w:rsidR="00B304A2" w:rsidRPr="00652B13">
        <w:rPr>
          <w:rFonts w:ascii="Arial" w:hAnsi="Arial" w:cs="Arial"/>
        </w:rPr>
        <w:t xml:space="preserve"> of their intensive domesticatio</w:t>
      </w:r>
      <w:r w:rsidR="001317A7" w:rsidRPr="00652B13">
        <w:rPr>
          <w:rFonts w:ascii="Arial" w:hAnsi="Arial" w:cs="Arial"/>
        </w:rPr>
        <w:t xml:space="preserve">n in addition to their </w:t>
      </w:r>
      <w:r w:rsidRPr="00652B13">
        <w:rPr>
          <w:rFonts w:ascii="Arial" w:hAnsi="Arial" w:cs="Arial"/>
        </w:rPr>
        <w:t xml:space="preserve">potential therapeutic applications in </w:t>
      </w:r>
      <w:r w:rsidR="004D647B" w:rsidRPr="00652B13">
        <w:rPr>
          <w:rFonts w:ascii="Arial" w:hAnsi="Arial" w:cs="Arial"/>
        </w:rPr>
        <w:t>metabolic diseases</w:t>
      </w:r>
      <w:r w:rsidRPr="00652B13">
        <w:rPr>
          <w:rFonts w:ascii="Arial" w:hAnsi="Arial" w:cs="Arial"/>
        </w:rPr>
        <w:t xml:space="preserve"> management. A particular emphasis is placed on </w:t>
      </w:r>
      <w:r w:rsidRPr="00652B13">
        <w:rPr>
          <w:rFonts w:ascii="Arial" w:hAnsi="Arial" w:cs="Arial"/>
          <w:i/>
          <w:iCs/>
        </w:rPr>
        <w:t>Mangifera indica L.</w:t>
      </w:r>
      <w:r w:rsidRPr="00652B13">
        <w:rPr>
          <w:rFonts w:ascii="Arial" w:hAnsi="Arial" w:cs="Arial"/>
        </w:rPr>
        <w:t xml:space="preserve"> (mango tree), a widely distributed and highly consumed</w:t>
      </w:r>
      <w:r w:rsidRPr="00D67E19">
        <w:rPr>
          <w:rFonts w:ascii="Arial" w:hAnsi="Arial" w:cs="Arial"/>
        </w:rPr>
        <w:t xml:space="preserve"> species, whose biochemical properties warrant detailed characterization.</w:t>
      </w:r>
    </w:p>
    <w:p w14:paraId="7C0E2476" w14:textId="5353D6E3" w:rsidR="007F7B32" w:rsidRDefault="00902823" w:rsidP="00D67E19">
      <w:pPr>
        <w:pStyle w:val="AbstHead"/>
        <w:spacing w:after="0"/>
        <w:jc w:val="both"/>
        <w:outlineLvl w:val="0"/>
        <w:rPr>
          <w:rFonts w:ascii="Arial" w:hAnsi="Arial" w:cs="Arial"/>
        </w:rPr>
      </w:pPr>
      <w:r>
        <w:rPr>
          <w:rFonts w:ascii="Arial" w:hAnsi="Arial" w:cs="Arial"/>
        </w:rPr>
        <w:lastRenderedPageBreak/>
        <w:t>2. material and method</w:t>
      </w:r>
      <w:r w:rsidR="00000F8F">
        <w:rPr>
          <w:rFonts w:ascii="Arial" w:hAnsi="Arial" w:cs="Arial"/>
        </w:rPr>
        <w:t xml:space="preserve">s </w:t>
      </w:r>
    </w:p>
    <w:p w14:paraId="4599BB94" w14:textId="77777777" w:rsidR="00790ADA" w:rsidRPr="00FB3A86" w:rsidRDefault="00790ADA" w:rsidP="00441B6F">
      <w:pPr>
        <w:pStyle w:val="AbstHead"/>
        <w:spacing w:after="0"/>
        <w:jc w:val="both"/>
        <w:rPr>
          <w:rFonts w:ascii="Arial" w:hAnsi="Arial" w:cs="Arial"/>
        </w:rPr>
      </w:pPr>
    </w:p>
    <w:p w14:paraId="05DD1CEB" w14:textId="16DD10A2" w:rsidR="00AA74E0" w:rsidRDefault="00AA74E0" w:rsidP="00D67E19">
      <w:pPr>
        <w:pStyle w:val="Body"/>
        <w:spacing w:after="0"/>
        <w:outlineLvl w:val="1"/>
        <w:rPr>
          <w:rFonts w:ascii="Arial" w:hAnsi="Arial" w:cs="Arial"/>
        </w:rPr>
      </w:pPr>
      <w:bookmarkStart w:id="1" w:name="_Hlk206247333"/>
      <w:r w:rsidRPr="00C30A0F">
        <w:rPr>
          <w:rFonts w:ascii="Arial" w:hAnsi="Arial" w:cs="Arial"/>
          <w:b/>
          <w:caps/>
          <w:sz w:val="22"/>
        </w:rPr>
        <w:t xml:space="preserve">2.1 </w:t>
      </w:r>
      <w:r w:rsidR="00290D59" w:rsidRPr="00290D59">
        <w:rPr>
          <w:rFonts w:ascii="Arial" w:hAnsi="Arial" w:cs="Arial"/>
          <w:b/>
          <w:sz w:val="22"/>
        </w:rPr>
        <w:t>Study Sites</w:t>
      </w:r>
      <w:bookmarkEnd w:id="1"/>
      <w:r w:rsidRPr="00FB3A86">
        <w:rPr>
          <w:rFonts w:ascii="Arial" w:hAnsi="Arial" w:cs="Arial"/>
        </w:rPr>
        <w:t xml:space="preserve">  </w:t>
      </w:r>
    </w:p>
    <w:p w14:paraId="5D810623" w14:textId="465CA8C1" w:rsidR="00290D59" w:rsidRDefault="00290D59" w:rsidP="004D647B">
      <w:pPr>
        <w:spacing w:after="240"/>
        <w:jc w:val="both"/>
        <w:rPr>
          <w:rFonts w:ascii="Arial" w:hAnsi="Arial" w:cs="Arial"/>
        </w:rPr>
      </w:pPr>
      <w:r w:rsidRPr="00290D59">
        <w:rPr>
          <w:rFonts w:ascii="Arial" w:hAnsi="Arial" w:cs="Arial"/>
        </w:rPr>
        <w:t xml:space="preserve">The ethnobotanical survey was conducted in </w:t>
      </w:r>
      <w:r>
        <w:rPr>
          <w:rFonts w:ascii="Arial" w:hAnsi="Arial" w:cs="Arial"/>
        </w:rPr>
        <w:t xml:space="preserve">three different urban areas: </w:t>
      </w:r>
      <w:r w:rsidRPr="00290D59">
        <w:rPr>
          <w:rFonts w:ascii="Arial" w:hAnsi="Arial" w:cs="Arial"/>
        </w:rPr>
        <w:t xml:space="preserve">Bamako (District of Bamako), Kati, and </w:t>
      </w:r>
      <w:proofErr w:type="spellStart"/>
      <w:r w:rsidRPr="00290D59">
        <w:rPr>
          <w:rFonts w:ascii="Arial" w:hAnsi="Arial" w:cs="Arial"/>
        </w:rPr>
        <w:t>Sanankoroba</w:t>
      </w:r>
      <w:proofErr w:type="spellEnd"/>
      <w:r w:rsidRPr="00290D59">
        <w:rPr>
          <w:rFonts w:ascii="Arial" w:hAnsi="Arial" w:cs="Arial"/>
        </w:rPr>
        <w:t xml:space="preserve"> (</w:t>
      </w:r>
      <w:proofErr w:type="spellStart"/>
      <w:r w:rsidRPr="00290D59">
        <w:rPr>
          <w:rFonts w:ascii="Arial" w:hAnsi="Arial" w:cs="Arial"/>
        </w:rPr>
        <w:t>Koulikoro</w:t>
      </w:r>
      <w:proofErr w:type="spellEnd"/>
      <w:r w:rsidRPr="00290D59">
        <w:rPr>
          <w:rFonts w:ascii="Arial" w:hAnsi="Arial" w:cs="Arial"/>
        </w:rPr>
        <w:t xml:space="preserve"> Region), </w:t>
      </w:r>
      <w:r>
        <w:rPr>
          <w:rFonts w:ascii="Arial" w:hAnsi="Arial" w:cs="Arial"/>
        </w:rPr>
        <w:t xml:space="preserve">in </w:t>
      </w:r>
      <w:r w:rsidRPr="00290D59">
        <w:rPr>
          <w:rFonts w:ascii="Arial" w:hAnsi="Arial" w:cs="Arial"/>
        </w:rPr>
        <w:t>Mali, from November 7, 2022, to March 2, 2023</w:t>
      </w:r>
      <w:r w:rsidR="00E3523A">
        <w:rPr>
          <w:rFonts w:ascii="Arial" w:hAnsi="Arial" w:cs="Arial"/>
        </w:rPr>
        <w:t xml:space="preserve"> (</w:t>
      </w:r>
      <w:r w:rsidR="00E3523A">
        <w:rPr>
          <w:rFonts w:ascii="Arial" w:hAnsi="Arial" w:cs="Arial"/>
        </w:rPr>
        <w:fldChar w:fldCharType="begin"/>
      </w:r>
      <w:r w:rsidR="00E3523A">
        <w:rPr>
          <w:rFonts w:ascii="Arial" w:hAnsi="Arial" w:cs="Arial"/>
        </w:rPr>
        <w:instrText xml:space="preserve"> REF _Ref218457303 \h </w:instrText>
      </w:r>
      <w:r w:rsidR="00E3523A">
        <w:rPr>
          <w:rFonts w:ascii="Arial" w:hAnsi="Arial" w:cs="Arial"/>
        </w:rPr>
      </w:r>
      <w:r w:rsidR="00E3523A">
        <w:rPr>
          <w:rFonts w:ascii="Arial" w:hAnsi="Arial" w:cs="Arial"/>
        </w:rPr>
        <w:fldChar w:fldCharType="separate"/>
      </w:r>
      <w:r w:rsidR="00E3523A" w:rsidRPr="00E3523A">
        <w:rPr>
          <w:rFonts w:ascii="Arial" w:hAnsi="Arial" w:cs="Arial"/>
          <w:b/>
          <w:bCs/>
        </w:rPr>
        <w:t>Fig</w:t>
      </w:r>
      <w:r w:rsidR="00E3523A">
        <w:rPr>
          <w:rFonts w:ascii="Arial" w:hAnsi="Arial" w:cs="Arial"/>
          <w:b/>
          <w:bCs/>
        </w:rPr>
        <w:t xml:space="preserve">. </w:t>
      </w:r>
      <w:r w:rsidR="00E3523A" w:rsidRPr="00E3523A">
        <w:rPr>
          <w:rFonts w:ascii="Arial" w:hAnsi="Arial" w:cs="Arial"/>
          <w:b/>
          <w:bCs/>
          <w:noProof/>
        </w:rPr>
        <w:t>1</w:t>
      </w:r>
      <w:r w:rsidR="00E3523A">
        <w:rPr>
          <w:rFonts w:ascii="Arial" w:hAnsi="Arial" w:cs="Arial"/>
        </w:rPr>
        <w:fldChar w:fldCharType="end"/>
      </w:r>
      <w:r w:rsidR="00E3523A">
        <w:rPr>
          <w:rFonts w:ascii="Arial" w:hAnsi="Arial" w:cs="Arial"/>
        </w:rPr>
        <w:t>)</w:t>
      </w:r>
      <w:r w:rsidRPr="00290D59">
        <w:rPr>
          <w:rFonts w:ascii="Arial" w:hAnsi="Arial" w:cs="Arial"/>
        </w:rPr>
        <w:t xml:space="preserve">. These locations were selected </w:t>
      </w:r>
      <w:r w:rsidR="001317A7" w:rsidRPr="00652B13">
        <w:rPr>
          <w:rFonts w:ascii="Arial" w:hAnsi="Arial" w:cs="Arial"/>
        </w:rPr>
        <w:t xml:space="preserve">due to their high domestication rates of </w:t>
      </w:r>
      <w:r w:rsidR="00652B13" w:rsidRPr="00652B13">
        <w:rPr>
          <w:rFonts w:ascii="Arial" w:hAnsi="Arial" w:cs="Arial"/>
        </w:rPr>
        <w:t>edible</w:t>
      </w:r>
      <w:r w:rsidR="001317A7" w:rsidRPr="00652B13">
        <w:rPr>
          <w:rFonts w:ascii="Arial" w:hAnsi="Arial" w:cs="Arial"/>
        </w:rPr>
        <w:t xml:space="preserve"> plant species</w:t>
      </w:r>
      <w:r w:rsidRPr="00652B13">
        <w:rPr>
          <w:rFonts w:ascii="Arial" w:hAnsi="Arial" w:cs="Arial"/>
        </w:rPr>
        <w:t>. Plant</w:t>
      </w:r>
      <w:r w:rsidRPr="00290D59">
        <w:rPr>
          <w:rFonts w:ascii="Arial" w:hAnsi="Arial" w:cs="Arial"/>
        </w:rPr>
        <w:t xml:space="preserve"> collection was carried out in </w:t>
      </w:r>
      <w:proofErr w:type="spellStart"/>
      <w:r w:rsidRPr="00290D59">
        <w:rPr>
          <w:rFonts w:ascii="Arial" w:hAnsi="Arial" w:cs="Arial"/>
        </w:rPr>
        <w:t>Dougourakoro</w:t>
      </w:r>
      <w:proofErr w:type="spellEnd"/>
      <w:r w:rsidRPr="00290D59">
        <w:rPr>
          <w:rFonts w:ascii="Arial" w:hAnsi="Arial" w:cs="Arial"/>
        </w:rPr>
        <w:t xml:space="preserve">, a neighborhood of Bamako located in Commune V. </w:t>
      </w:r>
      <w:proofErr w:type="spellStart"/>
      <w:r w:rsidRPr="00290D59">
        <w:rPr>
          <w:rFonts w:ascii="Arial" w:hAnsi="Arial" w:cs="Arial"/>
        </w:rPr>
        <w:t>Dougourakoro</w:t>
      </w:r>
      <w:proofErr w:type="spellEnd"/>
      <w:r w:rsidRPr="00290D59">
        <w:rPr>
          <w:rFonts w:ascii="Arial" w:hAnsi="Arial" w:cs="Arial"/>
        </w:rPr>
        <w:t xml:space="preserve"> is well known for its lively atmosphere and bustling market, which is an important commercial hub of the city. The area lies at an elevation of 349 meters, with geographic coordinates of 12°28′31″ N and 7°27′18″ W (12.4753, –7.455 in decimal degrees). </w:t>
      </w:r>
    </w:p>
    <w:p w14:paraId="03D8FB99" w14:textId="77777777" w:rsidR="00E3523A" w:rsidRDefault="00E3523A" w:rsidP="00E3523A">
      <w:pPr>
        <w:keepNext/>
        <w:spacing w:after="240"/>
        <w:jc w:val="both"/>
      </w:pPr>
      <w:r w:rsidRPr="00E3523A">
        <w:rPr>
          <w:rFonts w:ascii="Arial" w:hAnsi="Arial" w:cs="Arial"/>
          <w:noProof/>
          <w:lang w:val="fr-FR"/>
        </w:rPr>
        <w:drawing>
          <wp:inline distT="0" distB="0" distL="0" distR="0" wp14:anchorId="4029BF8B" wp14:editId="594A3838">
            <wp:extent cx="5266944" cy="2962657"/>
            <wp:effectExtent l="0" t="0" r="0" b="9525"/>
            <wp:docPr id="1994905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9590" cy="2981020"/>
                    </a:xfrm>
                    <a:prstGeom prst="rect">
                      <a:avLst/>
                    </a:prstGeom>
                    <a:noFill/>
                    <a:ln>
                      <a:noFill/>
                    </a:ln>
                  </pic:spPr>
                </pic:pic>
              </a:graphicData>
            </a:graphic>
          </wp:inline>
        </w:drawing>
      </w:r>
    </w:p>
    <w:p w14:paraId="1A3259DD" w14:textId="3158B153" w:rsidR="00E3523A" w:rsidRDefault="00E3523A" w:rsidP="00E3523A">
      <w:pPr>
        <w:pStyle w:val="Caption"/>
        <w:jc w:val="both"/>
        <w:rPr>
          <w:rFonts w:ascii="Arial" w:hAnsi="Arial" w:cs="Arial"/>
        </w:rPr>
      </w:pPr>
      <w:bookmarkStart w:id="2" w:name="_Ref218457303"/>
      <w:r w:rsidRPr="00E3523A">
        <w:rPr>
          <w:rFonts w:ascii="Arial" w:hAnsi="Arial" w:cs="Arial"/>
          <w:b/>
          <w:bCs/>
          <w:color w:val="auto"/>
          <w:sz w:val="20"/>
          <w:szCs w:val="20"/>
        </w:rPr>
        <w:t>Fig</w:t>
      </w:r>
      <w:r>
        <w:rPr>
          <w:rFonts w:ascii="Arial" w:hAnsi="Arial" w:cs="Arial"/>
          <w:b/>
          <w:bCs/>
          <w:color w:val="auto"/>
          <w:sz w:val="20"/>
          <w:szCs w:val="20"/>
        </w:rPr>
        <w:t xml:space="preserve">. </w:t>
      </w:r>
      <w:r w:rsidRPr="00E3523A">
        <w:rPr>
          <w:rFonts w:ascii="Arial" w:hAnsi="Arial" w:cs="Arial"/>
          <w:b/>
          <w:bCs/>
          <w:color w:val="auto"/>
          <w:sz w:val="20"/>
          <w:szCs w:val="20"/>
        </w:rPr>
        <w:fldChar w:fldCharType="begin"/>
      </w:r>
      <w:r w:rsidRPr="00E3523A">
        <w:rPr>
          <w:rFonts w:ascii="Arial" w:hAnsi="Arial" w:cs="Arial"/>
          <w:b/>
          <w:bCs/>
          <w:color w:val="auto"/>
          <w:sz w:val="20"/>
          <w:szCs w:val="20"/>
        </w:rPr>
        <w:instrText xml:space="preserve"> SEQ Figure \* ARABIC </w:instrText>
      </w:r>
      <w:r w:rsidRPr="00E3523A">
        <w:rPr>
          <w:rFonts w:ascii="Arial" w:hAnsi="Arial" w:cs="Arial"/>
          <w:b/>
          <w:bCs/>
          <w:color w:val="auto"/>
          <w:sz w:val="20"/>
          <w:szCs w:val="20"/>
        </w:rPr>
        <w:fldChar w:fldCharType="separate"/>
      </w:r>
      <w:r w:rsidRPr="00E3523A">
        <w:rPr>
          <w:rFonts w:ascii="Arial" w:hAnsi="Arial" w:cs="Arial"/>
          <w:b/>
          <w:bCs/>
          <w:noProof/>
          <w:color w:val="auto"/>
          <w:sz w:val="20"/>
          <w:szCs w:val="20"/>
        </w:rPr>
        <w:t>1</w:t>
      </w:r>
      <w:r w:rsidRPr="00E3523A">
        <w:rPr>
          <w:rFonts w:ascii="Arial" w:hAnsi="Arial" w:cs="Arial"/>
          <w:b/>
          <w:bCs/>
          <w:color w:val="auto"/>
          <w:sz w:val="20"/>
          <w:szCs w:val="20"/>
        </w:rPr>
        <w:fldChar w:fldCharType="end"/>
      </w:r>
      <w:bookmarkEnd w:id="2"/>
      <w:r w:rsidRPr="00E3523A">
        <w:rPr>
          <w:rFonts w:ascii="Arial" w:hAnsi="Arial" w:cs="Arial"/>
          <w:b/>
          <w:bCs/>
          <w:color w:val="auto"/>
          <w:sz w:val="20"/>
          <w:szCs w:val="20"/>
        </w:rPr>
        <w:t xml:space="preserve">: Location map of the ethnobotanical survey sites (Kati, Bamako, </w:t>
      </w:r>
      <w:proofErr w:type="spellStart"/>
      <w:r w:rsidRPr="00E3523A">
        <w:rPr>
          <w:rFonts w:ascii="Arial" w:hAnsi="Arial" w:cs="Arial"/>
          <w:b/>
          <w:bCs/>
          <w:color w:val="auto"/>
          <w:sz w:val="20"/>
          <w:szCs w:val="20"/>
        </w:rPr>
        <w:t>Sanankoroba</w:t>
      </w:r>
      <w:proofErr w:type="spellEnd"/>
      <w:r w:rsidRPr="00E3523A">
        <w:rPr>
          <w:rFonts w:ascii="Arial" w:hAnsi="Arial" w:cs="Arial"/>
          <w:b/>
          <w:bCs/>
          <w:color w:val="auto"/>
          <w:sz w:val="20"/>
          <w:szCs w:val="20"/>
        </w:rPr>
        <w:t>) and the plant material collection site (</w:t>
      </w:r>
      <w:proofErr w:type="spellStart"/>
      <w:r w:rsidRPr="00E3523A">
        <w:rPr>
          <w:rFonts w:ascii="Arial" w:hAnsi="Arial" w:cs="Arial"/>
          <w:b/>
          <w:bCs/>
          <w:color w:val="auto"/>
          <w:sz w:val="20"/>
          <w:szCs w:val="20"/>
        </w:rPr>
        <w:t>Dougourakoro</w:t>
      </w:r>
      <w:proofErr w:type="spellEnd"/>
      <w:r w:rsidRPr="00E3523A">
        <w:rPr>
          <w:rFonts w:ascii="Arial" w:hAnsi="Arial" w:cs="Arial"/>
          <w:b/>
          <w:bCs/>
          <w:color w:val="auto"/>
          <w:sz w:val="20"/>
          <w:szCs w:val="20"/>
        </w:rPr>
        <w:t>, Mali).</w:t>
      </w:r>
    </w:p>
    <w:p w14:paraId="05C1A2AE" w14:textId="2E0AB1D7" w:rsidR="00290D59" w:rsidRPr="00290D59" w:rsidRDefault="00290D59" w:rsidP="00D67E19">
      <w:pPr>
        <w:pStyle w:val="Body"/>
        <w:spacing w:after="0"/>
        <w:outlineLvl w:val="1"/>
        <w:rPr>
          <w:rFonts w:ascii="Arial" w:hAnsi="Arial" w:cs="Arial"/>
          <w:b/>
          <w:sz w:val="22"/>
        </w:rPr>
      </w:pPr>
      <w:r w:rsidRPr="00290D59">
        <w:rPr>
          <w:rFonts w:ascii="Arial" w:hAnsi="Arial" w:cs="Arial"/>
          <w:b/>
          <w:sz w:val="22"/>
        </w:rPr>
        <w:t xml:space="preserve">2.2 </w:t>
      </w:r>
      <w:r>
        <w:rPr>
          <w:rFonts w:ascii="Arial" w:hAnsi="Arial" w:cs="Arial"/>
          <w:b/>
          <w:sz w:val="22"/>
        </w:rPr>
        <w:t>Material</w:t>
      </w:r>
    </w:p>
    <w:p w14:paraId="1DBB0E1F" w14:textId="17B18EC0" w:rsidR="00E10B7A" w:rsidRDefault="00E10B7A" w:rsidP="00E10B7A">
      <w:pPr>
        <w:jc w:val="both"/>
      </w:pPr>
      <w:r w:rsidRPr="00E10B7A">
        <w:rPr>
          <w:rFonts w:ascii="Arial" w:hAnsi="Arial" w:cs="Arial"/>
        </w:rPr>
        <w:t xml:space="preserve">The biological material consisted of leaves, trunk bark, </w:t>
      </w:r>
      <w:r w:rsidRPr="00652B13">
        <w:rPr>
          <w:rFonts w:ascii="Arial" w:hAnsi="Arial" w:cs="Arial"/>
        </w:rPr>
        <w:t xml:space="preserve">and root bark of </w:t>
      </w:r>
      <w:r w:rsidRPr="00652B13">
        <w:rPr>
          <w:rFonts w:ascii="Arial" w:hAnsi="Arial" w:cs="Arial"/>
          <w:i/>
          <w:iCs/>
        </w:rPr>
        <w:t>Mangifera indica</w:t>
      </w:r>
      <w:r w:rsidRPr="00652B13">
        <w:rPr>
          <w:rFonts w:ascii="Arial" w:hAnsi="Arial" w:cs="Arial"/>
        </w:rPr>
        <w:t xml:space="preserve"> L. (mango), collected in </w:t>
      </w:r>
      <w:proofErr w:type="spellStart"/>
      <w:r w:rsidRPr="00652B13">
        <w:rPr>
          <w:rFonts w:ascii="Arial" w:hAnsi="Arial" w:cs="Arial"/>
        </w:rPr>
        <w:t>Dougourakoro</w:t>
      </w:r>
      <w:proofErr w:type="spellEnd"/>
      <w:r w:rsidRPr="00652B13">
        <w:rPr>
          <w:rFonts w:ascii="Arial" w:hAnsi="Arial" w:cs="Arial"/>
        </w:rPr>
        <w:t xml:space="preserve"> on January 10, 2024. </w:t>
      </w:r>
      <w:r w:rsidR="00F22155" w:rsidRPr="00F22155">
        <w:rPr>
          <w:rFonts w:ascii="Arial" w:hAnsi="Arial" w:cs="Arial"/>
        </w:rPr>
        <w:t>The botanical identification of was carried out at the Ethnobotany Service of the INRMPT (formerly DMT)</w:t>
      </w:r>
      <w:r w:rsidR="00F22155">
        <w:rPr>
          <w:rFonts w:ascii="Arial" w:hAnsi="Arial" w:cs="Arial"/>
        </w:rPr>
        <w:t xml:space="preserve">, </w:t>
      </w:r>
      <w:r w:rsidR="00F22155" w:rsidRPr="00F22155">
        <w:rPr>
          <w:rFonts w:ascii="Arial" w:hAnsi="Arial" w:cs="Arial"/>
        </w:rPr>
        <w:t>Herbarium No. 1467</w:t>
      </w:r>
      <w:r w:rsidR="00F22155">
        <w:rPr>
          <w:rFonts w:ascii="Arial" w:hAnsi="Arial" w:cs="Arial"/>
        </w:rPr>
        <w:t xml:space="preserve">. </w:t>
      </w:r>
      <w:r w:rsidRPr="00652B13">
        <w:rPr>
          <w:rFonts w:ascii="Arial" w:hAnsi="Arial" w:cs="Arial"/>
        </w:rPr>
        <w:t>The samples were carefully washed and air-dried for several days at room temperature at the Laboratory of Food Biochemistry and Natural Substances (</w:t>
      </w:r>
      <w:proofErr w:type="spellStart"/>
      <w:r w:rsidRPr="00652B13">
        <w:rPr>
          <w:rFonts w:ascii="Arial" w:hAnsi="Arial" w:cs="Arial"/>
        </w:rPr>
        <w:t>LBASNa</w:t>
      </w:r>
      <w:proofErr w:type="spellEnd"/>
      <w:r w:rsidRPr="00652B13">
        <w:rPr>
          <w:rFonts w:ascii="Arial" w:hAnsi="Arial" w:cs="Arial"/>
        </w:rPr>
        <w:t>), Faculty of Science</w:t>
      </w:r>
      <w:r w:rsidR="001317A7" w:rsidRPr="00652B13">
        <w:rPr>
          <w:rFonts w:ascii="Arial" w:hAnsi="Arial" w:cs="Arial"/>
        </w:rPr>
        <w:t>s</w:t>
      </w:r>
      <w:r w:rsidRPr="00652B13">
        <w:rPr>
          <w:rFonts w:ascii="Arial" w:hAnsi="Arial" w:cs="Arial"/>
        </w:rPr>
        <w:t xml:space="preserve"> and </w:t>
      </w:r>
      <w:r w:rsidR="001317A7" w:rsidRPr="00652B13">
        <w:rPr>
          <w:rFonts w:ascii="Arial" w:hAnsi="Arial" w:cs="Arial"/>
        </w:rPr>
        <w:t>Techniques</w:t>
      </w:r>
      <w:r w:rsidRPr="00652B13">
        <w:rPr>
          <w:rFonts w:ascii="Arial" w:hAnsi="Arial" w:cs="Arial"/>
          <w:color w:val="FF0000"/>
        </w:rPr>
        <w:t xml:space="preserve"> </w:t>
      </w:r>
      <w:r w:rsidRPr="00652B13">
        <w:rPr>
          <w:rFonts w:ascii="Arial" w:hAnsi="Arial" w:cs="Arial"/>
        </w:rPr>
        <w:t>(FST), University of Science</w:t>
      </w:r>
      <w:r w:rsidR="001317A7" w:rsidRPr="00652B13">
        <w:rPr>
          <w:rFonts w:ascii="Arial" w:hAnsi="Arial" w:cs="Arial"/>
        </w:rPr>
        <w:t>s</w:t>
      </w:r>
      <w:r w:rsidRPr="00652B13">
        <w:rPr>
          <w:rFonts w:ascii="Arial" w:hAnsi="Arial" w:cs="Arial"/>
        </w:rPr>
        <w:t>, Techniques, and Technolog</w:t>
      </w:r>
      <w:r w:rsidR="001317A7" w:rsidRPr="00652B13">
        <w:rPr>
          <w:rFonts w:ascii="Arial" w:hAnsi="Arial" w:cs="Arial"/>
        </w:rPr>
        <w:t>ies</w:t>
      </w:r>
      <w:r w:rsidRPr="00652B13">
        <w:rPr>
          <w:rFonts w:ascii="Arial" w:hAnsi="Arial" w:cs="Arial"/>
        </w:rPr>
        <w:t xml:space="preserve"> of Bamako (USTTB).</w:t>
      </w:r>
      <w:r>
        <w:rPr>
          <w:rFonts w:ascii="Arial" w:hAnsi="Arial" w:cs="Arial"/>
        </w:rPr>
        <w:t xml:space="preserve"> </w:t>
      </w:r>
    </w:p>
    <w:p w14:paraId="0EAB1A4C" w14:textId="42D23677" w:rsidR="00505F06" w:rsidRPr="00684715" w:rsidRDefault="00E10B7A" w:rsidP="00E10B7A">
      <w:pPr>
        <w:jc w:val="both"/>
        <w:rPr>
          <w:rFonts w:ascii="Arial" w:hAnsi="Arial" w:cs="Arial"/>
        </w:rPr>
      </w:pPr>
      <w:r w:rsidRPr="00684715">
        <w:rPr>
          <w:rFonts w:ascii="Arial" w:hAnsi="Arial" w:cs="Arial"/>
        </w:rPr>
        <w:t>After drying, the samples were ground by an electronic grinder. The resulting powders were sieved and stored in conditions protected from light and moisture to prevent sample degradation. These powders were subsequently used for characterization studies</w:t>
      </w:r>
      <w:r>
        <w:t>.</w:t>
      </w:r>
      <w:r w:rsidR="00D82C48">
        <w:t xml:space="preserve"> </w:t>
      </w:r>
      <w:r w:rsidR="00D82C48">
        <w:fldChar w:fldCharType="begin"/>
      </w:r>
      <w:r w:rsidR="00D82C48">
        <w:instrText xml:space="preserve"> REF _Ref206252569 \h </w:instrText>
      </w:r>
      <w:r w:rsidR="00D82C48">
        <w:fldChar w:fldCharType="separate"/>
      </w:r>
      <w:r w:rsidR="00E3523A" w:rsidRPr="00D82C48">
        <w:rPr>
          <w:rFonts w:ascii="Arial" w:hAnsi="Arial" w:cs="Arial"/>
          <w:b/>
          <w:bCs/>
        </w:rPr>
        <w:t>Fig</w:t>
      </w:r>
      <w:r w:rsidR="00E3523A">
        <w:rPr>
          <w:rFonts w:ascii="Arial" w:hAnsi="Arial" w:cs="Arial"/>
          <w:b/>
          <w:bCs/>
        </w:rPr>
        <w:t>.</w:t>
      </w:r>
      <w:r w:rsidR="00E3523A" w:rsidRPr="00D82C48">
        <w:rPr>
          <w:rFonts w:ascii="Arial" w:hAnsi="Arial" w:cs="Arial"/>
          <w:b/>
          <w:bCs/>
        </w:rPr>
        <w:t xml:space="preserve"> </w:t>
      </w:r>
      <w:r w:rsidR="00E3523A">
        <w:rPr>
          <w:rFonts w:ascii="Arial" w:hAnsi="Arial" w:cs="Arial"/>
          <w:b/>
          <w:bCs/>
          <w:i/>
          <w:iCs/>
          <w:noProof/>
        </w:rPr>
        <w:t>2</w:t>
      </w:r>
      <w:r w:rsidR="00D82C48">
        <w:fldChar w:fldCharType="end"/>
      </w:r>
      <w:r w:rsidR="00D82C48">
        <w:t xml:space="preserve"> </w:t>
      </w:r>
      <w:r w:rsidR="00D82C48" w:rsidRPr="00684715">
        <w:rPr>
          <w:rFonts w:ascii="Arial" w:hAnsi="Arial" w:cs="Arial"/>
        </w:rPr>
        <w:t>below shows the biological samples used for characterization.</w:t>
      </w:r>
    </w:p>
    <w:p w14:paraId="22D92B42" w14:textId="77777777" w:rsidR="00A84F23" w:rsidRPr="00684715" w:rsidRDefault="00A84F23" w:rsidP="00E10B7A">
      <w:pPr>
        <w:jc w:val="both"/>
        <w:rPr>
          <w:rFonts w:ascii="Arial" w:hAnsi="Arial" w:cs="Arial"/>
        </w:rPr>
      </w:pPr>
    </w:p>
    <w:p w14:paraId="57970318" w14:textId="47B70CF5" w:rsidR="00A84F23" w:rsidRDefault="00366D7D" w:rsidP="00D82C48">
      <w:pPr>
        <w:ind w:left="-426"/>
        <w:jc w:val="center"/>
      </w:pPr>
      <w:r>
        <w:rPr>
          <w:noProof/>
        </w:rPr>
        <w:lastRenderedPageBreak/>
        <w:drawing>
          <wp:inline distT="0" distB="0" distL="0" distR="0" wp14:anchorId="4F86D3DD" wp14:editId="30EC57E6">
            <wp:extent cx="4410283" cy="3450336"/>
            <wp:effectExtent l="0" t="0" r="0" b="0"/>
            <wp:docPr id="11258926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5077" cy="3477557"/>
                    </a:xfrm>
                    <a:prstGeom prst="rect">
                      <a:avLst/>
                    </a:prstGeom>
                    <a:noFill/>
                  </pic:spPr>
                </pic:pic>
              </a:graphicData>
            </a:graphic>
          </wp:inline>
        </w:drawing>
      </w:r>
    </w:p>
    <w:p w14:paraId="71531418" w14:textId="666385F8" w:rsidR="00A84F23" w:rsidRPr="00B65ED9" w:rsidRDefault="00A84F23" w:rsidP="00A84F23">
      <w:pPr>
        <w:pStyle w:val="Caption"/>
        <w:rPr>
          <w:rFonts w:ascii="Arial" w:hAnsi="Arial" w:cs="Arial"/>
          <w:color w:val="auto"/>
        </w:rPr>
      </w:pPr>
      <w:bookmarkStart w:id="3" w:name="_Ref206252569"/>
      <w:r w:rsidRPr="00D82C48">
        <w:rPr>
          <w:rFonts w:ascii="Arial" w:hAnsi="Arial" w:cs="Arial"/>
          <w:b/>
          <w:bCs/>
          <w:i w:val="0"/>
          <w:iCs w:val="0"/>
          <w:color w:val="auto"/>
          <w:sz w:val="20"/>
          <w:szCs w:val="20"/>
        </w:rPr>
        <w:t>Fig</w:t>
      </w:r>
      <w:r w:rsidR="00B65ED9">
        <w:rPr>
          <w:rFonts w:ascii="Arial" w:hAnsi="Arial" w:cs="Arial"/>
          <w:b/>
          <w:bCs/>
          <w:i w:val="0"/>
          <w:iCs w:val="0"/>
          <w:color w:val="auto"/>
          <w:sz w:val="20"/>
          <w:szCs w:val="20"/>
        </w:rPr>
        <w:t>.</w:t>
      </w:r>
      <w:r w:rsidRPr="00D82C48">
        <w:rPr>
          <w:rFonts w:ascii="Arial" w:hAnsi="Arial" w:cs="Arial"/>
          <w:b/>
          <w:bCs/>
          <w:i w:val="0"/>
          <w:iCs w:val="0"/>
          <w:color w:val="auto"/>
          <w:sz w:val="20"/>
          <w:szCs w:val="20"/>
        </w:rPr>
        <w:t xml:space="preserve"> </w:t>
      </w:r>
      <w:r w:rsidRPr="00D82C48">
        <w:rPr>
          <w:rFonts w:ascii="Arial" w:hAnsi="Arial" w:cs="Arial"/>
          <w:b/>
          <w:bCs/>
          <w:i w:val="0"/>
          <w:iCs w:val="0"/>
          <w:color w:val="auto"/>
          <w:sz w:val="20"/>
          <w:szCs w:val="20"/>
        </w:rPr>
        <w:fldChar w:fldCharType="begin"/>
      </w:r>
      <w:r w:rsidRPr="00D82C48">
        <w:rPr>
          <w:rFonts w:ascii="Arial" w:hAnsi="Arial" w:cs="Arial"/>
          <w:b/>
          <w:bCs/>
          <w:i w:val="0"/>
          <w:iCs w:val="0"/>
          <w:color w:val="auto"/>
          <w:sz w:val="20"/>
          <w:szCs w:val="20"/>
        </w:rPr>
        <w:instrText xml:space="preserve"> SEQ Figure \* ARABIC </w:instrText>
      </w:r>
      <w:r w:rsidRPr="00D82C48">
        <w:rPr>
          <w:rFonts w:ascii="Arial" w:hAnsi="Arial" w:cs="Arial"/>
          <w:b/>
          <w:bCs/>
          <w:i w:val="0"/>
          <w:iCs w:val="0"/>
          <w:color w:val="auto"/>
          <w:sz w:val="20"/>
          <w:szCs w:val="20"/>
        </w:rPr>
        <w:fldChar w:fldCharType="separate"/>
      </w:r>
      <w:r w:rsidR="00E3523A">
        <w:rPr>
          <w:rFonts w:ascii="Arial" w:hAnsi="Arial" w:cs="Arial"/>
          <w:b/>
          <w:bCs/>
          <w:i w:val="0"/>
          <w:iCs w:val="0"/>
          <w:noProof/>
          <w:color w:val="auto"/>
          <w:sz w:val="20"/>
          <w:szCs w:val="20"/>
        </w:rPr>
        <w:t>2</w:t>
      </w:r>
      <w:r w:rsidRPr="00D82C48">
        <w:rPr>
          <w:rFonts w:ascii="Arial" w:hAnsi="Arial" w:cs="Arial"/>
          <w:b/>
          <w:bCs/>
          <w:i w:val="0"/>
          <w:iCs w:val="0"/>
          <w:color w:val="auto"/>
          <w:sz w:val="20"/>
          <w:szCs w:val="20"/>
        </w:rPr>
        <w:fldChar w:fldCharType="end"/>
      </w:r>
      <w:bookmarkEnd w:id="3"/>
      <w:r w:rsidR="00B65ED9">
        <w:rPr>
          <w:rFonts w:ascii="Arial" w:hAnsi="Arial" w:cs="Arial"/>
          <w:b/>
          <w:bCs/>
          <w:i w:val="0"/>
          <w:iCs w:val="0"/>
          <w:color w:val="auto"/>
          <w:sz w:val="20"/>
          <w:szCs w:val="20"/>
        </w:rPr>
        <w:t>.</w:t>
      </w:r>
      <w:r>
        <w:t xml:space="preserve"> </w:t>
      </w:r>
      <w:r w:rsidRPr="00B65ED9">
        <w:rPr>
          <w:rFonts w:ascii="Arial" w:hAnsi="Arial" w:cs="Arial"/>
          <w:b/>
          <w:bCs/>
          <w:i w:val="0"/>
          <w:iCs w:val="0"/>
          <w:color w:val="auto"/>
          <w:sz w:val="20"/>
          <w:szCs w:val="22"/>
        </w:rPr>
        <w:t xml:space="preserve">Biological samples of </w:t>
      </w:r>
      <w:r w:rsidR="00D426A6" w:rsidRPr="00D426A6">
        <w:rPr>
          <w:rFonts w:ascii="Arial" w:hAnsi="Arial" w:cs="Arial"/>
          <w:b/>
          <w:bCs/>
          <w:iCs w:val="0"/>
          <w:color w:val="auto"/>
          <w:sz w:val="20"/>
          <w:szCs w:val="22"/>
        </w:rPr>
        <w:t>Mangifera indica L</w:t>
      </w:r>
      <w:r w:rsidRPr="00B65ED9">
        <w:rPr>
          <w:rFonts w:ascii="Arial" w:hAnsi="Arial" w:cs="Arial"/>
          <w:b/>
          <w:bCs/>
          <w:i w:val="0"/>
          <w:iCs w:val="0"/>
          <w:color w:val="auto"/>
          <w:sz w:val="20"/>
          <w:szCs w:val="22"/>
        </w:rPr>
        <w:t xml:space="preserve">. </w:t>
      </w:r>
      <w:r w:rsidRPr="00366D7D">
        <w:rPr>
          <w:rFonts w:ascii="Arial" w:hAnsi="Arial" w:cs="Arial"/>
          <w:b/>
          <w:bCs/>
          <w:i w:val="0"/>
          <w:iCs w:val="0"/>
          <w:color w:val="auto"/>
          <w:sz w:val="20"/>
          <w:szCs w:val="22"/>
        </w:rPr>
        <w:t>used for characterization.</w:t>
      </w:r>
      <w:r w:rsidRPr="00366D7D">
        <w:rPr>
          <w:rFonts w:ascii="Arial" w:hAnsi="Arial" w:cs="Arial"/>
          <w:i w:val="0"/>
          <w:iCs w:val="0"/>
          <w:color w:val="auto"/>
          <w:sz w:val="20"/>
          <w:szCs w:val="20"/>
        </w:rPr>
        <w:t xml:space="preserve"> </w:t>
      </w:r>
      <w:r w:rsidRPr="00366D7D">
        <w:rPr>
          <w:rFonts w:ascii="Arial" w:hAnsi="Arial" w:cs="Arial"/>
          <w:color w:val="auto"/>
        </w:rPr>
        <w:t>(A) Leaves: dried (</w:t>
      </w:r>
      <w:r w:rsidR="009E1084" w:rsidRPr="00366D7D">
        <w:rPr>
          <w:rFonts w:ascii="Arial" w:hAnsi="Arial" w:cs="Arial"/>
          <w:color w:val="auto"/>
        </w:rPr>
        <w:t>top</w:t>
      </w:r>
      <w:r w:rsidRPr="00366D7D">
        <w:rPr>
          <w:rFonts w:ascii="Arial" w:hAnsi="Arial" w:cs="Arial"/>
          <w:color w:val="auto"/>
        </w:rPr>
        <w:t>) and powdered (</w:t>
      </w:r>
      <w:r w:rsidR="009E1084" w:rsidRPr="00366D7D">
        <w:rPr>
          <w:rFonts w:ascii="Arial" w:hAnsi="Arial" w:cs="Arial"/>
          <w:color w:val="auto"/>
        </w:rPr>
        <w:t>bottom</w:t>
      </w:r>
      <w:r w:rsidRPr="00366D7D">
        <w:rPr>
          <w:rFonts w:ascii="Arial" w:hAnsi="Arial" w:cs="Arial"/>
          <w:color w:val="auto"/>
        </w:rPr>
        <w:t>). (B) Trunk bark: dried (</w:t>
      </w:r>
      <w:r w:rsidR="009E1084" w:rsidRPr="00366D7D">
        <w:rPr>
          <w:rFonts w:ascii="Arial" w:hAnsi="Arial" w:cs="Arial"/>
          <w:color w:val="auto"/>
        </w:rPr>
        <w:t>top</w:t>
      </w:r>
      <w:r w:rsidRPr="00366D7D">
        <w:rPr>
          <w:rFonts w:ascii="Arial" w:hAnsi="Arial" w:cs="Arial"/>
          <w:color w:val="auto"/>
        </w:rPr>
        <w:t>) and powdered (</w:t>
      </w:r>
      <w:r w:rsidR="009E1084" w:rsidRPr="00366D7D">
        <w:rPr>
          <w:rFonts w:ascii="Arial" w:hAnsi="Arial" w:cs="Arial"/>
          <w:color w:val="auto"/>
        </w:rPr>
        <w:t>bottom</w:t>
      </w:r>
      <w:r w:rsidRPr="00366D7D">
        <w:rPr>
          <w:rFonts w:ascii="Arial" w:hAnsi="Arial" w:cs="Arial"/>
          <w:color w:val="auto"/>
        </w:rPr>
        <w:t>). (C) Root bark: dried (</w:t>
      </w:r>
      <w:r w:rsidR="009E1084" w:rsidRPr="00366D7D">
        <w:rPr>
          <w:rFonts w:ascii="Arial" w:hAnsi="Arial" w:cs="Arial"/>
          <w:color w:val="auto"/>
        </w:rPr>
        <w:t>top</w:t>
      </w:r>
      <w:r w:rsidRPr="00366D7D">
        <w:rPr>
          <w:rFonts w:ascii="Arial" w:hAnsi="Arial" w:cs="Arial"/>
          <w:color w:val="auto"/>
        </w:rPr>
        <w:t>) and powdered (</w:t>
      </w:r>
      <w:r w:rsidR="009E1084" w:rsidRPr="00366D7D">
        <w:rPr>
          <w:rFonts w:ascii="Arial" w:hAnsi="Arial" w:cs="Arial"/>
          <w:color w:val="auto"/>
        </w:rPr>
        <w:t>bottom</w:t>
      </w:r>
      <w:r w:rsidRPr="00366D7D">
        <w:rPr>
          <w:rFonts w:ascii="Arial" w:hAnsi="Arial" w:cs="Arial"/>
          <w:color w:val="auto"/>
        </w:rPr>
        <w:t>).</w:t>
      </w:r>
      <w:r w:rsidR="009E1084">
        <w:rPr>
          <w:rFonts w:ascii="Arial" w:hAnsi="Arial" w:cs="Arial"/>
          <w:color w:val="auto"/>
        </w:rPr>
        <w:t xml:space="preserve"> </w:t>
      </w:r>
    </w:p>
    <w:p w14:paraId="61EF9F2A" w14:textId="1FC1F04E" w:rsidR="00AA74E0" w:rsidRDefault="00AA74E0" w:rsidP="00441B6F">
      <w:pPr>
        <w:pStyle w:val="Body"/>
        <w:spacing w:after="0"/>
        <w:rPr>
          <w:rFonts w:ascii="Arial" w:hAnsi="Arial" w:cs="Arial"/>
        </w:rPr>
      </w:pPr>
      <w:r w:rsidRPr="00FB3A86">
        <w:rPr>
          <w:rFonts w:ascii="Arial" w:hAnsi="Arial" w:cs="Arial"/>
        </w:rPr>
        <w:t xml:space="preserve">  </w:t>
      </w:r>
    </w:p>
    <w:p w14:paraId="5E18C267" w14:textId="0C8C3066" w:rsidR="00D67E19" w:rsidRDefault="00D67E19" w:rsidP="00D67E19">
      <w:pPr>
        <w:pStyle w:val="Body"/>
        <w:spacing w:after="0"/>
        <w:outlineLvl w:val="1"/>
        <w:rPr>
          <w:rFonts w:ascii="Arial" w:hAnsi="Arial" w:cs="Arial"/>
          <w:b/>
          <w:sz w:val="22"/>
        </w:rPr>
      </w:pPr>
      <w:r w:rsidRPr="00C30A0F">
        <w:rPr>
          <w:rFonts w:ascii="Arial" w:hAnsi="Arial" w:cs="Arial"/>
          <w:b/>
          <w:caps/>
          <w:sz w:val="22"/>
        </w:rPr>
        <w:t>2.</w:t>
      </w:r>
      <w:r w:rsidR="00290D59">
        <w:rPr>
          <w:rFonts w:ascii="Arial" w:hAnsi="Arial" w:cs="Arial"/>
          <w:b/>
          <w:caps/>
          <w:sz w:val="22"/>
        </w:rPr>
        <w:t>3</w:t>
      </w:r>
      <w:r w:rsidRPr="00C30A0F">
        <w:rPr>
          <w:rFonts w:ascii="Arial" w:hAnsi="Arial" w:cs="Arial"/>
          <w:b/>
          <w:caps/>
          <w:sz w:val="22"/>
        </w:rPr>
        <w:t xml:space="preserve"> </w:t>
      </w:r>
      <w:r>
        <w:rPr>
          <w:rFonts w:ascii="Arial" w:hAnsi="Arial" w:cs="Arial"/>
          <w:b/>
          <w:sz w:val="22"/>
        </w:rPr>
        <w:t>Methods</w:t>
      </w:r>
    </w:p>
    <w:p w14:paraId="77E1975C" w14:textId="1DE9C4E4" w:rsidR="00D67E19" w:rsidRPr="00F21E51" w:rsidRDefault="00290D59" w:rsidP="00290D59">
      <w:pPr>
        <w:pStyle w:val="Body"/>
        <w:spacing w:after="0"/>
        <w:outlineLvl w:val="1"/>
        <w:rPr>
          <w:rFonts w:ascii="Arial" w:hAnsi="Arial" w:cs="Arial"/>
          <w:b/>
          <w:u w:val="single"/>
        </w:rPr>
      </w:pPr>
      <w:r w:rsidRPr="00F21E51">
        <w:rPr>
          <w:rFonts w:ascii="Arial" w:hAnsi="Arial" w:cs="Arial"/>
          <w:b/>
          <w:u w:val="single"/>
        </w:rPr>
        <w:t>2.</w:t>
      </w:r>
      <w:r w:rsidR="00F21E51" w:rsidRPr="00F21E51">
        <w:rPr>
          <w:rFonts w:ascii="Arial" w:hAnsi="Arial" w:cs="Arial"/>
          <w:b/>
          <w:u w:val="single"/>
        </w:rPr>
        <w:t>3</w:t>
      </w:r>
      <w:r w:rsidRPr="00F21E51">
        <w:rPr>
          <w:rFonts w:ascii="Arial" w:hAnsi="Arial" w:cs="Arial"/>
          <w:b/>
          <w:u w:val="single"/>
        </w:rPr>
        <w:t>.1</w:t>
      </w:r>
      <w:r w:rsidR="00F21E51" w:rsidRPr="00F21E51">
        <w:rPr>
          <w:rFonts w:ascii="Arial" w:hAnsi="Arial" w:cs="Arial"/>
          <w:b/>
          <w:u w:val="single"/>
        </w:rPr>
        <w:t xml:space="preserve"> Ethnobotanical Survey</w:t>
      </w:r>
    </w:p>
    <w:p w14:paraId="77ECA073" w14:textId="7DB38D57" w:rsidR="00290D59" w:rsidRDefault="00F21E51" w:rsidP="00F21E51">
      <w:pPr>
        <w:jc w:val="both"/>
      </w:pPr>
      <w:r w:rsidRPr="00F21E51">
        <w:rPr>
          <w:rFonts w:ascii="Arial" w:hAnsi="Arial" w:cs="Arial"/>
        </w:rPr>
        <w:t xml:space="preserve">The study population consisted of members of various families in Bamako, and its surrounding areas. Data were collected using a structured questionnaire from November 7, 2022, to March 2, 2023. It involved visiting </w:t>
      </w:r>
      <w:r w:rsidR="00D426A6" w:rsidRPr="00F21E51">
        <w:rPr>
          <w:rFonts w:ascii="Arial" w:hAnsi="Arial" w:cs="Arial"/>
        </w:rPr>
        <w:t>household</w:t>
      </w:r>
      <w:r w:rsidRPr="00F21E51">
        <w:rPr>
          <w:rFonts w:ascii="Arial" w:hAnsi="Arial" w:cs="Arial"/>
        </w:rPr>
        <w:t xml:space="preserve"> door-to-door and asking questions about domesticated plants, their uses, and those specifically employed in the traditional treatment of diabetes, including the plant parts used, preparation methods, and modes of administration</w:t>
      </w:r>
      <w:r w:rsidRPr="00F21E51">
        <w:t>.</w:t>
      </w:r>
    </w:p>
    <w:p w14:paraId="340249AA" w14:textId="5B698D14" w:rsidR="00F21E51" w:rsidRPr="00F21E51" w:rsidRDefault="00F21E51" w:rsidP="00F21E51">
      <w:pPr>
        <w:pStyle w:val="Body"/>
        <w:spacing w:after="0"/>
        <w:outlineLvl w:val="1"/>
        <w:rPr>
          <w:rFonts w:ascii="Arial" w:hAnsi="Arial" w:cs="Arial"/>
          <w:b/>
          <w:u w:val="single"/>
        </w:rPr>
      </w:pPr>
      <w:r>
        <w:rPr>
          <w:rFonts w:ascii="Arial" w:hAnsi="Arial" w:cs="Arial"/>
          <w:b/>
          <w:u w:val="single"/>
        </w:rPr>
        <w:t xml:space="preserve">2.3.2 </w:t>
      </w:r>
      <w:r w:rsidRPr="00F21E51">
        <w:rPr>
          <w:rFonts w:ascii="Arial" w:hAnsi="Arial" w:cs="Arial"/>
          <w:b/>
          <w:u w:val="single"/>
        </w:rPr>
        <w:t>Phytochemical Screening</w:t>
      </w:r>
    </w:p>
    <w:p w14:paraId="00A94778" w14:textId="4F9AC461" w:rsidR="008326C4" w:rsidRDefault="00F21E51" w:rsidP="008326C4">
      <w:pPr>
        <w:jc w:val="both"/>
      </w:pPr>
      <w:r>
        <w:t>For the characterization of chemical groups, four types of extracts were prepared: Aqueous maceration (AM), Hydroalcoholic maceration (HAM), Aqueous decoction (AD) and Hydroalcoholic decoction (HAD).</w:t>
      </w:r>
      <w:r w:rsidR="008326C4">
        <w:t xml:space="preserve"> </w:t>
      </w:r>
      <w:r w:rsidR="008326C4" w:rsidRPr="008326C4">
        <w:t xml:space="preserve">To determine the presence or absence of specific secondary metabolites, standard procedures were employed as described by </w:t>
      </w:r>
      <w:r w:rsidR="008326C4" w:rsidRPr="00D426A6">
        <w:rPr>
          <w:lang w:val="fr-FR"/>
        </w:rPr>
        <w:fldChar w:fldCharType="begin"/>
      </w:r>
      <w:r w:rsidR="008326C4" w:rsidRPr="00D426A6">
        <w:instrText xml:space="preserve">CITATION Bru09 \l 1036 </w:instrText>
      </w:r>
      <w:r w:rsidR="008326C4" w:rsidRPr="00D426A6">
        <w:rPr>
          <w:lang w:val="fr-FR"/>
        </w:rPr>
        <w:fldChar w:fldCharType="separate"/>
      </w:r>
      <w:r w:rsidR="008326C4" w:rsidRPr="00D426A6">
        <w:t xml:space="preserve"> (Bruneton, 2009)</w:t>
      </w:r>
      <w:r w:rsidR="008326C4" w:rsidRPr="00D426A6">
        <w:fldChar w:fldCharType="end"/>
      </w:r>
      <w:r w:rsidR="008326C4" w:rsidRPr="00D426A6">
        <w:rPr>
          <w:lang w:val="fr-FR"/>
        </w:rPr>
        <w:fldChar w:fldCharType="begin"/>
      </w:r>
      <w:r w:rsidR="008326C4" w:rsidRPr="00D426A6">
        <w:instrText xml:space="preserve">CITATION Har98 \l 1036 </w:instrText>
      </w:r>
      <w:r w:rsidR="008326C4" w:rsidRPr="00D426A6">
        <w:rPr>
          <w:lang w:val="fr-FR"/>
        </w:rPr>
        <w:fldChar w:fldCharType="separate"/>
      </w:r>
      <w:r w:rsidR="008326C4" w:rsidRPr="00D426A6">
        <w:t xml:space="preserve"> (Harbone, 1998)</w:t>
      </w:r>
      <w:r w:rsidR="008326C4" w:rsidRPr="00D426A6">
        <w:fldChar w:fldCharType="end"/>
      </w:r>
      <w:r w:rsidR="008326C4">
        <w:t xml:space="preserve"> slightly modified by </w:t>
      </w:r>
      <w:r w:rsidR="008326C4">
        <w:fldChar w:fldCharType="begin" w:fldLock="1"/>
      </w:r>
      <w:r w:rsidR="00A84CB5">
        <w:instrText>ADDIN CSL_CITATION {"citationItems":[{"id":"ITEM-1","itemData":{"DOI":"10.5897/jmpr2019.6874","author":[{"dropping-particle":"","family":"Mamadou","given":"Abdoulaye Konaré","non-dropping-particle":"","parse-names":false,"suffix":""},{"dropping-particle":"","family":"Nouhoum","given":"Diarra","non-dropping-particle":"","parse-names":false,"suffix":""},{"dropping-particle":"","family":"Cheickna","given":"Cissé","non-dropping-particle":"","parse-names":false,"suffix":""},{"dropping-particle":"","family":"Daouda","given":"Abdoul Karim Traoré","non-dropping-particle":"","parse-names":false,"suffix":""},{"dropping-particle":"","family":"Issiaka","given":"Togola","non-dropping-particle":"","parse-names":false,"suffix":""},{"dropping-particle":"","family":"Adounigna","given":"Kassogué","non-dropping-particle":"","parse-names":false,"suffix":""},{"dropping-particle":"","family":"Rokia","given":"Sanogo","non-dropping-particle":"","parse-names":false,"suffix":""},{"dropping-particle":"","family":"Aboubacar","given":"Sidiki Ouattara","non-dropping-particle":"","parse-names":false,"suffix":""},{"dropping-particle":"","family":"Konaré","given":"Mamadou Abdoulaye","non-dropping-particle":"","parse-names":false,"suffix":""},{"dropping-particle":"","family":"Diarra","given":"Nouhoum","non-dropping-particle":"","parse-names":false,"suffix":""},{"dropping-particle":"","family":"Cissé","given":"Cheickna","non-dropping-particle":"","parse-names":false,"suffix":""},{"dropping-particle":"","family":"Abdoul","given":"Daouda","non-dropping-particle":"","parse-names":false,"suffix":""},{"dropping-particle":"","family":"Traoré","given":"Karim","non-dropping-particle":"","parse-names":false,"suffix":""},{"dropping-particle":"","family":"Togola","given":"Issiaka","non-dropping-particle":"","parse-names":false,"suffix":""},{"dropping-particle":"","family":"Kassogué","given":"Adounigna","non-dropping-particle":"","parse-names":false,"suffix":""},{"dropping-particle":"","family":"Sanogo","given":"Rokia","non-dropping-particle":"","parse-names":false,"suffix":""}],"container-title":"Journal of Medicinal Plants Research","id":"ITEM-1","issue":"3","issued":{"date-parts":[["2020"]]},"page":"118-128","title":"Evaluation of the biological activities of leaf and bark extracts of Ficus platiphylla Delile, a medicinal plant used in Mali","type":"article-journal","volume":"14"},"uris":["http://www.mendeley.com/documents/?uuid=983fa471-82fb-415a-ab67-ed2dcaca214a"]}],"mendeley":{"formattedCitation":"[22]","plainTextFormattedCitation":"[22]","previouslyFormattedCitation":"[21]"},"properties":{"noteIndex":0},"schema":"https://github.com/citation-style-language/schema/raw/master/csl-citation.json"}</w:instrText>
      </w:r>
      <w:r w:rsidR="008326C4">
        <w:fldChar w:fldCharType="separate"/>
      </w:r>
      <w:r w:rsidR="00A84CB5" w:rsidRPr="00A84CB5">
        <w:rPr>
          <w:noProof/>
        </w:rPr>
        <w:t>[22]</w:t>
      </w:r>
      <w:r w:rsidR="008326C4">
        <w:fldChar w:fldCharType="end"/>
      </w:r>
      <w:r w:rsidR="008326C4">
        <w:t>.</w:t>
      </w:r>
    </w:p>
    <w:p w14:paraId="28DAAA88" w14:textId="4DDC7E2D" w:rsidR="008326C4" w:rsidRPr="008326C4" w:rsidRDefault="008326C4" w:rsidP="008326C4">
      <w:pPr>
        <w:jc w:val="both"/>
        <w:rPr>
          <w:rFonts w:ascii="Arial" w:hAnsi="Arial" w:cs="Arial"/>
          <w:b/>
          <w:u w:val="single"/>
        </w:rPr>
      </w:pPr>
      <w:r>
        <w:rPr>
          <w:rFonts w:ascii="Arial" w:hAnsi="Arial" w:cs="Arial"/>
          <w:b/>
          <w:u w:val="single"/>
        </w:rPr>
        <w:t xml:space="preserve">2.3.3 </w:t>
      </w:r>
      <w:r w:rsidRPr="008326C4">
        <w:rPr>
          <w:rFonts w:ascii="Arial" w:hAnsi="Arial" w:cs="Arial"/>
          <w:b/>
          <w:u w:val="single"/>
        </w:rPr>
        <w:t>DPPH Radical Scavenging Assay</w:t>
      </w:r>
    </w:p>
    <w:p w14:paraId="3449BECD" w14:textId="747C1445" w:rsidR="008326C4" w:rsidRDefault="008326C4" w:rsidP="008326C4">
      <w:pPr>
        <w:jc w:val="both"/>
      </w:pPr>
      <w:r>
        <w:t xml:space="preserve">The antioxidant activity was evaluated using the DPPH (2,2-diphenyl-1-picrylhydrazyl) method, following the protocol described by </w:t>
      </w:r>
      <w:r w:rsidR="00684715" w:rsidRPr="00684715">
        <w:t xml:space="preserve">Williams et al. </w:t>
      </w:r>
      <w:r w:rsidR="00684715">
        <w:t>(</w:t>
      </w:r>
      <w:r w:rsidR="00684715" w:rsidRPr="00684715">
        <w:t>1995)</w:t>
      </w:r>
      <w:r>
        <w:t xml:space="preserve">, with slight modifications according to </w:t>
      </w:r>
      <w:r w:rsidR="00684715">
        <w:fldChar w:fldCharType="begin" w:fldLock="1"/>
      </w:r>
      <w:r w:rsidR="00A84CB5">
        <w:instrText>ADDIN CSL_CITATION {"citationItems":[{"id":"ITEM-1","itemData":{"author":[{"dropping-particle":"","family":"Togola","given":"Issiaka","non-dropping-particle":"","parse-names":false,"suffix":""},{"dropping-particle":"","family":"Konare","given":"Mamadou Abdoulaye","non-dropping-particle":"","parse-names":false,"suffix":""},{"dropping-particle":"","family":"Cisse","given":"Cheickna","non-dropping-particle":"","parse-names":false,"suffix":""},{"dropping-particle":"","family":"Diarra","given":"Nouhoum","non-dropping-particle":"","parse-names":false,"suffix":""}],"container-title":"Journal of Applied Life Sciences International","id":"ITEM-1","issue":"6","issued":{"date-parts":[["2023"]]},"page":"88-97","title":"Anti-Inflammatory and Anti-cancer Activities of Leaf Extracts from Three Datura Species Found in Mali","type":"article-journal","volume":"26"},"uris":["http://www.mendeley.com/documents/?uuid=65afa6ae-8f24-4518-84b5-9050563fb24b"]}],"mendeley":{"formattedCitation":"[16]","plainTextFormattedCitation":"[16]","previouslyFormattedCitation":"[16]"},"properties":{"noteIndex":0},"schema":"https://github.com/citation-style-language/schema/raw/master/csl-citation.json"}</w:instrText>
      </w:r>
      <w:r w:rsidR="00684715">
        <w:fldChar w:fldCharType="separate"/>
      </w:r>
      <w:r w:rsidR="00433E21" w:rsidRPr="00433E21">
        <w:rPr>
          <w:noProof/>
        </w:rPr>
        <w:t>[16]</w:t>
      </w:r>
      <w:r w:rsidR="00684715">
        <w:fldChar w:fldCharType="end"/>
      </w:r>
      <w:r>
        <w:t>. Briefly, 50 µL of each extract solution at different concentrations was added to 1.95 mL of ethanolic DPPH solution (0.024 g/L). A negative control was prepared by mixing 50 µL of ethanol with 1.95 mL of the DPPH solution. The mixtures were incubated for 30 min in the dark at room temperature, and absorbance was measured at 515 nm against a blank using a spectrophotometer. Ascorbic acid, prepared under the same conditions, was used as a positive control. The antioxidant activity, corresponding to the radical scavenging effect on DPPH, was expressed as the percentage of inhibition (PI) calculated according to the formula:</w:t>
      </w:r>
    </w:p>
    <w:p w14:paraId="0EAE6532" w14:textId="516215DB" w:rsidR="008326C4" w:rsidRPr="008326C4" w:rsidRDefault="008326C4" w:rsidP="008326C4">
      <w:pPr>
        <w:jc w:val="both"/>
      </w:pPr>
      <m:oMathPara>
        <m:oMath>
          <m:r>
            <w:rPr>
              <w:rFonts w:ascii="Cambria Math" w:hAnsi="Cambria Math"/>
            </w:rPr>
            <m:t>PI</m:t>
          </m:r>
          <m:d>
            <m:dPr>
              <m:ctrlPr>
                <w:rPr>
                  <w:rFonts w:ascii="Cambria Math" w:hAnsi="Cambria Math"/>
                  <w:i/>
                </w:rPr>
              </m:ctrlPr>
            </m:dPr>
            <m:e>
              <m:f>
                <m:fPr>
                  <m:type m:val="skw"/>
                  <m:ctrlPr>
                    <w:rPr>
                      <w:rFonts w:ascii="Cambria Math" w:hAnsi="Cambria Math"/>
                      <w:i/>
                    </w:rPr>
                  </m:ctrlPr>
                </m:fPr>
                <m:num>
                  <m:r>
                    <w:rPr>
                      <w:rFonts w:ascii="Cambria Math" w:hAnsi="Cambria Math"/>
                    </w:rPr>
                    <m:t>0</m:t>
                  </m:r>
                </m:num>
                <m:den>
                  <m:r>
                    <w:rPr>
                      <w:rFonts w:ascii="Cambria Math" w:hAnsi="Cambria Math"/>
                    </w:rPr>
                    <m:t>0</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0</m:t>
                  </m:r>
                </m:sub>
              </m:sSub>
            </m:den>
          </m:f>
          <m:r>
            <w:rPr>
              <w:rFonts w:ascii="Cambria Math" w:hAnsi="Cambria Math"/>
            </w:rPr>
            <m:t>×100</m:t>
          </m:r>
        </m:oMath>
      </m:oMathPara>
    </w:p>
    <w:p w14:paraId="72522076" w14:textId="223570DF" w:rsidR="008326C4" w:rsidRPr="008326C4" w:rsidRDefault="008326C4" w:rsidP="008326C4">
      <w:pPr>
        <w:pStyle w:val="Body"/>
        <w:spacing w:after="0"/>
        <w:rPr>
          <w:rFonts w:ascii="Arial" w:hAnsi="Arial" w:cs="Arial"/>
        </w:rPr>
      </w:pPr>
      <w:r w:rsidRPr="008326C4">
        <w:rPr>
          <w:rFonts w:ascii="Arial" w:hAnsi="Arial" w:cs="Arial"/>
        </w:rPr>
        <w:lastRenderedPageBreak/>
        <w:t>where A</w:t>
      </w:r>
      <w:r w:rsidRPr="008326C4">
        <w:rPr>
          <w:rFonts w:ascii="Arial" w:hAnsi="Arial" w:cs="Arial"/>
          <w:vertAlign w:val="subscript"/>
        </w:rPr>
        <w:t>0</w:t>
      </w:r>
      <w:r w:rsidR="00684715">
        <w:rPr>
          <w:rFonts w:ascii="Arial" w:hAnsi="Arial" w:cs="Arial"/>
        </w:rPr>
        <w:t xml:space="preserve"> </w:t>
      </w:r>
      <w:r w:rsidRPr="008326C4">
        <w:rPr>
          <w:rFonts w:ascii="Arial" w:hAnsi="Arial" w:cs="Arial"/>
        </w:rPr>
        <w:t>is the absorbance of the control (DPPH solution without extract) and A</w:t>
      </w:r>
      <w:r w:rsidRPr="008326C4">
        <w:rPr>
          <w:rFonts w:ascii="Arial" w:hAnsi="Arial" w:cs="Arial"/>
          <w:vertAlign w:val="subscript"/>
        </w:rPr>
        <w:t>1</w:t>
      </w:r>
      <w:r w:rsidR="00684715">
        <w:rPr>
          <w:rFonts w:ascii="Arial" w:hAnsi="Arial" w:cs="Arial"/>
        </w:rPr>
        <w:t xml:space="preserve"> </w:t>
      </w:r>
      <w:r w:rsidRPr="008326C4">
        <w:rPr>
          <w:rFonts w:ascii="Arial" w:hAnsi="Arial" w:cs="Arial"/>
        </w:rPr>
        <w:t>is the absorbance in the presence of the extract.</w:t>
      </w:r>
    </w:p>
    <w:p w14:paraId="53B4464D" w14:textId="5191C4B4" w:rsidR="008326C4" w:rsidRPr="008326C4" w:rsidRDefault="008326C4" w:rsidP="008326C4">
      <w:pPr>
        <w:pStyle w:val="Body"/>
        <w:spacing w:after="0"/>
        <w:rPr>
          <w:rFonts w:ascii="Arial" w:hAnsi="Arial" w:cs="Arial"/>
        </w:rPr>
      </w:pPr>
      <w:r w:rsidRPr="008326C4">
        <w:rPr>
          <w:rFonts w:ascii="Arial" w:hAnsi="Arial" w:cs="Arial"/>
        </w:rPr>
        <w:t>The IC</w:t>
      </w:r>
      <w:r w:rsidRPr="008326C4">
        <w:rPr>
          <w:rFonts w:ascii="Arial" w:hAnsi="Arial" w:cs="Arial"/>
          <w:vertAlign w:val="subscript"/>
        </w:rPr>
        <w:t>50</w:t>
      </w:r>
      <w:r w:rsidRPr="008326C4">
        <w:rPr>
          <w:rFonts w:ascii="Arial" w:hAnsi="Arial" w:cs="Arial"/>
        </w:rPr>
        <w:t>​ values (concentration required to inhibit 50% of the DPPH radical) were determined from the linear regression curve plotting inhibition percentage against extract concentration.</w:t>
      </w:r>
    </w:p>
    <w:p w14:paraId="40B9F7D5" w14:textId="3A58C5C1" w:rsidR="00790ADA" w:rsidRDefault="00684715" w:rsidP="00441B6F">
      <w:pPr>
        <w:pStyle w:val="Body"/>
        <w:spacing w:after="0"/>
        <w:rPr>
          <w:rFonts w:ascii="Arial" w:hAnsi="Arial" w:cs="Arial"/>
          <w:b/>
          <w:u w:val="single"/>
        </w:rPr>
      </w:pPr>
      <w:r w:rsidRPr="00684715">
        <w:rPr>
          <w:rFonts w:ascii="Arial" w:hAnsi="Arial" w:cs="Arial"/>
          <w:b/>
          <w:u w:val="single"/>
        </w:rPr>
        <w:t>2.3.4 Antidiabetic Activity (α-Amylase Inhibition Assay)</w:t>
      </w:r>
    </w:p>
    <w:p w14:paraId="13F06D78" w14:textId="6842EB98" w:rsidR="00684715" w:rsidRPr="00684715" w:rsidRDefault="00684715" w:rsidP="00684715">
      <w:pPr>
        <w:jc w:val="both"/>
        <w:rPr>
          <w:rFonts w:ascii="Arial" w:hAnsi="Arial" w:cs="Arial"/>
        </w:rPr>
      </w:pPr>
      <w:r w:rsidRPr="00684715">
        <w:rPr>
          <w:rFonts w:ascii="Arial" w:hAnsi="Arial" w:cs="Arial"/>
        </w:rPr>
        <w:t xml:space="preserve">The antidiabetic potential was assessed using the </w:t>
      </w:r>
      <w:r w:rsidRPr="00684715">
        <w:rPr>
          <w:rFonts w:ascii="Arial" w:hAnsi="Arial" w:cs="Arial"/>
          <w:lang w:val="fr-FR"/>
        </w:rPr>
        <w:t>α</w:t>
      </w:r>
      <w:r w:rsidRPr="00684715">
        <w:rPr>
          <w:rFonts w:ascii="Arial" w:hAnsi="Arial" w:cs="Arial"/>
        </w:rPr>
        <w:t>-amylase inhibition assay, following the protocol described by Williams et al. (1995), with slight modifications according to</w:t>
      </w:r>
      <w:r>
        <w:rPr>
          <w:rFonts w:ascii="Arial" w:hAnsi="Arial" w:cs="Arial"/>
        </w:rPr>
        <w:t xml:space="preserve"> </w:t>
      </w:r>
      <w:r>
        <w:rPr>
          <w:rFonts w:ascii="Arial" w:hAnsi="Arial" w:cs="Arial"/>
        </w:rPr>
        <w:fldChar w:fldCharType="begin" w:fldLock="1"/>
      </w:r>
      <w:r w:rsidR="00A84CB5">
        <w:rPr>
          <w:rFonts w:ascii="Arial" w:hAnsi="Arial" w:cs="Arial"/>
        </w:rPr>
        <w:instrText>ADDIN CSL_CITATION {"citationItems":[{"id":"ITEM-1","itemData":{"DOI":"10.51847/zpFCZqyBFX","ISSN":"0974-2328","abstract":"Anacardium occidentale and Sclerocarya birrea are two medicinal plant species highly coveted for the traditional treatment of diabetes in Mali. This study aimed to investigate the chemical constituents and the anti-radical and antidiabetic potential of extracts from these two species. The phytochemical characterization tests identified several prominent chemical groups in the extracts. The best solvent for extracting polyphenolic and flavonoid compounds was 70% ethanol. The highest levels of polyphenols were presented by the leaves of A. occidentale (3.85±0.49 mg GAE/100) and the bark of S. birrea (2.58±0.08 mg GAE/100 g). As for flavonoids, the bark presented the best levels. The aqueous bark extracts of S. birrea and the hydroethanolic leaf extracts of A. occidentale with respective IC50=174.61±2.77 µg/mL and 178.64±3.42 µg/mL showed the best anti-radical activity. Regardless of the species, the hydroethanolic extracts exhibited the highest inhibition potential of α-amylase, i.e., the lowest IC50. These IC50 were 316.8±31.4 µg/mL for the bark of S. birrea and 4201±254 µg/mL for the leaves of A. occidentale. The kinetic parameters (Michaelis-Menten constants) found the inhibition mode non-competitive against α-amylase for each species. The current work reveals the richness of A. occidentale and S. birrea in bioactive compounds which would offer them antiradical and antidiabetic potential. These species should be more valorized for the management of diabetes in Mali.","author":[{"dropping-particle":"","family":"Konaré","given":"Mamadou Abdoulaye","non-dropping-particle":"","parse-names":false,"suffix":""},{"dropping-particle":"","family":"Diadie Maïga","given":"Amadou","non-dropping-particle":"","parse-names":false,"suffix":""},{"dropping-particle":"","family":"Togola","given":"Issiaka","non-dropping-particle":"","parse-names":false,"suffix":""},{"dropping-particle":"","family":"Diarra","given":"Nouhoum","non-dropping-particle":"","parse-names":false,"suffix":""}],"container-title":"J Biochem Technol","id":"ITEM-1","issue":"3","issued":{"date-parts":[["2024"]]},"page":"15-24","title":"Antioxidant and Antidiabetic Potential of Extracts from Anacardium occidentale and Sclerocarya birrea","type":"article-journal","volume":"15"},"uris":["http://www.mendeley.com/documents/?uuid=6882b7af-b6e1-35f4-ac02-4378b081c01c"]}],"mendeley":{"formattedCitation":"[23]","plainTextFormattedCitation":"[23]","previouslyFormattedCitation":"[22]"},"properties":{"noteIndex":0},"schema":"https://github.com/citation-style-language/schema/raw/master/csl-citation.json"}</w:instrText>
      </w:r>
      <w:r>
        <w:rPr>
          <w:rFonts w:ascii="Arial" w:hAnsi="Arial" w:cs="Arial"/>
        </w:rPr>
        <w:fldChar w:fldCharType="separate"/>
      </w:r>
      <w:r w:rsidR="00A84CB5" w:rsidRPr="00A84CB5">
        <w:rPr>
          <w:rFonts w:ascii="Arial" w:hAnsi="Arial" w:cs="Arial"/>
          <w:noProof/>
        </w:rPr>
        <w:t>[23]</w:t>
      </w:r>
      <w:r>
        <w:rPr>
          <w:rFonts w:ascii="Arial" w:hAnsi="Arial" w:cs="Arial"/>
        </w:rPr>
        <w:fldChar w:fldCharType="end"/>
      </w:r>
      <w:r w:rsidRPr="00684715">
        <w:rPr>
          <w:rFonts w:ascii="Arial" w:hAnsi="Arial" w:cs="Arial"/>
        </w:rPr>
        <w:t>.</w:t>
      </w:r>
      <w:r>
        <w:rPr>
          <w:rFonts w:ascii="Arial" w:hAnsi="Arial" w:cs="Arial"/>
        </w:rPr>
        <w:t xml:space="preserve"> </w:t>
      </w:r>
      <w:r w:rsidRPr="00684715">
        <w:rPr>
          <w:rFonts w:ascii="Arial" w:hAnsi="Arial" w:cs="Arial"/>
        </w:rPr>
        <w:t xml:space="preserve">Briefly, different concentrations of each extract solution were mixed with 100 µL of starch solution and incubated for 10 min. Subsequently, 100 µL of </w:t>
      </w:r>
      <w:r w:rsidRPr="00684715">
        <w:rPr>
          <w:rFonts w:ascii="Arial" w:hAnsi="Arial" w:cs="Arial"/>
          <w:lang w:val="fr-FR"/>
        </w:rPr>
        <w:t>α</w:t>
      </w:r>
      <w:r w:rsidRPr="00684715">
        <w:rPr>
          <w:rFonts w:ascii="Arial" w:hAnsi="Arial" w:cs="Arial"/>
        </w:rPr>
        <w:t>-amylase solution was added, followed by a second incubation of 10 min. Then, 200 µL of DNS (3,5-dinitrosalicylic acid) reagent was added, and the mixture was boiled in a water bath for 5 min. After cooling to room temperature, 2 mL of distilled water was added, and absorbance was measured at 540 nm.</w:t>
      </w:r>
    </w:p>
    <w:p w14:paraId="09A4551C" w14:textId="77777777" w:rsidR="00684715" w:rsidRDefault="00684715" w:rsidP="00684715">
      <w:pPr>
        <w:jc w:val="both"/>
        <w:rPr>
          <w:rFonts w:ascii="Arial" w:hAnsi="Arial" w:cs="Arial"/>
        </w:rPr>
      </w:pPr>
      <w:r w:rsidRPr="00684715">
        <w:rPr>
          <w:rFonts w:ascii="Arial" w:hAnsi="Arial" w:cs="Arial"/>
        </w:rPr>
        <w:t xml:space="preserve">The inhibitory activity against </w:t>
      </w:r>
      <w:r w:rsidRPr="00684715">
        <w:rPr>
          <w:rFonts w:ascii="Arial" w:hAnsi="Arial" w:cs="Arial"/>
          <w:lang w:val="fr-FR"/>
        </w:rPr>
        <w:t>α</w:t>
      </w:r>
      <w:r w:rsidRPr="00684715">
        <w:rPr>
          <w:rFonts w:ascii="Arial" w:hAnsi="Arial" w:cs="Arial"/>
        </w:rPr>
        <w:t>-amylase was expressed as a percentage of inhibition (PI), calculated using the following formula:</w:t>
      </w:r>
    </w:p>
    <w:p w14:paraId="18BAA1A4" w14:textId="3C3A19E5" w:rsidR="00684715" w:rsidRPr="00684715" w:rsidRDefault="00684715" w:rsidP="00684715">
      <w:pPr>
        <w:jc w:val="both"/>
        <w:rPr>
          <w:rFonts w:ascii="Arial" w:hAnsi="Arial" w:cs="Arial"/>
        </w:rPr>
      </w:pPr>
      <m:oMathPara>
        <m:oMath>
          <m:r>
            <w:rPr>
              <w:rFonts w:ascii="Cambria Math" w:hAnsi="Cambria Math"/>
            </w:rPr>
            <m:t>PI</m:t>
          </m:r>
          <m:d>
            <m:dPr>
              <m:ctrlPr>
                <w:rPr>
                  <w:rFonts w:ascii="Cambria Math" w:hAnsi="Cambria Math"/>
                  <w:i/>
                </w:rPr>
              </m:ctrlPr>
            </m:dPr>
            <m:e>
              <m:f>
                <m:fPr>
                  <m:type m:val="skw"/>
                  <m:ctrlPr>
                    <w:rPr>
                      <w:rFonts w:ascii="Cambria Math" w:hAnsi="Cambria Math"/>
                      <w:i/>
                    </w:rPr>
                  </m:ctrlPr>
                </m:fPr>
                <m:num>
                  <m:r>
                    <w:rPr>
                      <w:rFonts w:ascii="Cambria Math" w:hAnsi="Cambria Math"/>
                    </w:rPr>
                    <m:t>0</m:t>
                  </m:r>
                </m:num>
                <m:den>
                  <m:r>
                    <w:rPr>
                      <w:rFonts w:ascii="Cambria Math" w:hAnsi="Cambria Math"/>
                    </w:rPr>
                    <m:t>0</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0</m:t>
                  </m:r>
                </m:sub>
              </m:sSub>
            </m:den>
          </m:f>
          <m:r>
            <w:rPr>
              <w:rFonts w:ascii="Cambria Math" w:hAnsi="Cambria Math"/>
            </w:rPr>
            <m:t>×100</m:t>
          </m:r>
        </m:oMath>
      </m:oMathPara>
    </w:p>
    <w:p w14:paraId="2D7F1CED" w14:textId="1FE1988D" w:rsidR="00684715" w:rsidRPr="00684715" w:rsidRDefault="00684715" w:rsidP="00684715">
      <w:pPr>
        <w:jc w:val="both"/>
        <w:rPr>
          <w:rFonts w:ascii="Arial" w:hAnsi="Arial" w:cs="Arial"/>
        </w:rPr>
      </w:pPr>
      <w:r w:rsidRPr="00684715">
        <w:rPr>
          <w:rFonts w:ascii="Arial" w:hAnsi="Arial" w:cs="Arial"/>
        </w:rPr>
        <w:t xml:space="preserve">where </w:t>
      </w:r>
      <w:r w:rsidRPr="008326C4">
        <w:rPr>
          <w:rFonts w:ascii="Arial" w:hAnsi="Arial" w:cs="Arial"/>
        </w:rPr>
        <w:t>A</w:t>
      </w:r>
      <w:r w:rsidRPr="008326C4">
        <w:rPr>
          <w:rFonts w:ascii="Arial" w:hAnsi="Arial" w:cs="Arial"/>
          <w:vertAlign w:val="subscript"/>
        </w:rPr>
        <w:t>0</w:t>
      </w:r>
      <w:r w:rsidRPr="00684715">
        <w:rPr>
          <w:rFonts w:ascii="Arial" w:hAnsi="Arial" w:cs="Arial"/>
        </w:rPr>
        <w:t xml:space="preserve"> is the absorbance of the control (</w:t>
      </w:r>
      <w:r w:rsidRPr="00684715">
        <w:rPr>
          <w:rFonts w:ascii="Arial" w:hAnsi="Arial" w:cs="Arial"/>
          <w:lang w:val="fr-FR"/>
        </w:rPr>
        <w:t>α</w:t>
      </w:r>
      <w:r w:rsidRPr="00684715">
        <w:rPr>
          <w:rFonts w:ascii="Arial" w:hAnsi="Arial" w:cs="Arial"/>
        </w:rPr>
        <w:t xml:space="preserve">-amylase without extract) and </w:t>
      </w:r>
      <w:r w:rsidRPr="008326C4">
        <w:rPr>
          <w:rFonts w:ascii="Arial" w:hAnsi="Arial" w:cs="Arial"/>
        </w:rPr>
        <w:t>A</w:t>
      </w:r>
      <w:r w:rsidRPr="008326C4">
        <w:rPr>
          <w:rFonts w:ascii="Arial" w:hAnsi="Arial" w:cs="Arial"/>
          <w:vertAlign w:val="subscript"/>
        </w:rPr>
        <w:t>1</w:t>
      </w:r>
      <w:r w:rsidRPr="00684715">
        <w:rPr>
          <w:rFonts w:ascii="Arial" w:hAnsi="Arial" w:cs="Arial"/>
        </w:rPr>
        <w:t>​ is the absorbance in the presence of the extract.</w:t>
      </w:r>
    </w:p>
    <w:p w14:paraId="00857BB4" w14:textId="5FC8F9A6" w:rsidR="00684715" w:rsidRDefault="00684715" w:rsidP="00684715">
      <w:pPr>
        <w:jc w:val="both"/>
        <w:rPr>
          <w:rFonts w:ascii="Arial" w:hAnsi="Arial" w:cs="Arial"/>
        </w:rPr>
      </w:pPr>
      <w:r w:rsidRPr="00684715">
        <w:rPr>
          <w:rFonts w:ascii="Arial" w:hAnsi="Arial" w:cs="Arial"/>
        </w:rPr>
        <w:t xml:space="preserve">The </w:t>
      </w:r>
      <w:r w:rsidRPr="008326C4">
        <w:rPr>
          <w:rFonts w:ascii="Arial" w:hAnsi="Arial" w:cs="Arial"/>
        </w:rPr>
        <w:t>IC</w:t>
      </w:r>
      <w:r w:rsidRPr="008326C4">
        <w:rPr>
          <w:rFonts w:ascii="Arial" w:hAnsi="Arial" w:cs="Arial"/>
          <w:vertAlign w:val="subscript"/>
        </w:rPr>
        <w:t>50</w:t>
      </w:r>
      <w:r w:rsidRPr="00684715">
        <w:rPr>
          <w:rFonts w:ascii="Arial" w:hAnsi="Arial" w:cs="Arial"/>
        </w:rPr>
        <w:t xml:space="preserve"> values (concentration required to inhibit 50% of </w:t>
      </w:r>
      <w:r w:rsidRPr="00684715">
        <w:rPr>
          <w:rFonts w:ascii="Arial" w:hAnsi="Arial" w:cs="Arial"/>
          <w:lang w:val="fr-FR"/>
        </w:rPr>
        <w:t>α</w:t>
      </w:r>
      <w:r w:rsidRPr="00684715">
        <w:rPr>
          <w:rFonts w:ascii="Arial" w:hAnsi="Arial" w:cs="Arial"/>
        </w:rPr>
        <w:t>-amylase activity) were determined from the linear regression curve obtained by plotting the percentage of inhibition against extract concentration.</w:t>
      </w:r>
    </w:p>
    <w:p w14:paraId="7EDDE176" w14:textId="77777777" w:rsidR="00023AF0" w:rsidRDefault="00023AF0" w:rsidP="00023AF0">
      <w:pPr>
        <w:jc w:val="both"/>
        <w:rPr>
          <w:rFonts w:ascii="Arial" w:hAnsi="Arial" w:cs="Arial"/>
          <w:b/>
          <w:u w:val="single"/>
        </w:rPr>
      </w:pPr>
      <w:r>
        <w:rPr>
          <w:rFonts w:ascii="Arial" w:hAnsi="Arial" w:cs="Arial"/>
          <w:b/>
          <w:u w:val="single"/>
        </w:rPr>
        <w:t xml:space="preserve">2.3.5 </w:t>
      </w:r>
      <w:r w:rsidRPr="00023AF0">
        <w:rPr>
          <w:rFonts w:ascii="Arial" w:hAnsi="Arial" w:cs="Arial"/>
          <w:b/>
          <w:u w:val="single"/>
        </w:rPr>
        <w:t>Data Analysis</w:t>
      </w:r>
    </w:p>
    <w:p w14:paraId="238E89A4" w14:textId="59CF2126" w:rsidR="00684715" w:rsidRPr="00684715" w:rsidRDefault="00023AF0" w:rsidP="00023AF0">
      <w:pPr>
        <w:jc w:val="both"/>
        <w:rPr>
          <w:rFonts w:ascii="Arial" w:hAnsi="Arial" w:cs="Arial"/>
        </w:rPr>
      </w:pPr>
      <w:r w:rsidRPr="00023AF0">
        <w:rPr>
          <w:rFonts w:ascii="Arial" w:hAnsi="Arial" w:cs="Arial"/>
        </w:rPr>
        <w:t>Survey data were processed using Microsoft Excel version 2019. For the statistical analysis of quantitative variables, Minitab version 18.1 was employed. Analysis of variance (ANOVA) was performed to compare mean values of the different variables, and Fisher’s test was applied at a probability threshold of p=0.05.</w:t>
      </w:r>
    </w:p>
    <w:p w14:paraId="6C59E130" w14:textId="77777777" w:rsidR="00684715" w:rsidRPr="00684715" w:rsidRDefault="00684715" w:rsidP="00684715">
      <w:pPr>
        <w:jc w:val="both"/>
        <w:rPr>
          <w:rFonts w:ascii="Arial" w:hAnsi="Arial" w:cs="Arial"/>
        </w:rPr>
      </w:pPr>
    </w:p>
    <w:p w14:paraId="39657D99" w14:textId="77777777" w:rsidR="00902823" w:rsidRDefault="00000F8F" w:rsidP="00D67E19">
      <w:pPr>
        <w:pStyle w:val="Head1"/>
        <w:spacing w:after="0"/>
        <w:jc w:val="both"/>
        <w:outlineLvl w:val="0"/>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6EC0B6A" w14:textId="507EE9E5" w:rsidR="00C30A0F" w:rsidRDefault="00C30A0F" w:rsidP="0028304F">
      <w:pPr>
        <w:pStyle w:val="Body"/>
        <w:spacing w:after="0"/>
        <w:outlineLvl w:val="1"/>
        <w:rPr>
          <w:rFonts w:ascii="Arial" w:hAnsi="Arial" w:cs="Arial"/>
        </w:rPr>
      </w:pPr>
      <w:r>
        <w:rPr>
          <w:rFonts w:ascii="Arial" w:hAnsi="Arial" w:cs="Arial"/>
          <w:b/>
          <w:caps/>
          <w:sz w:val="22"/>
        </w:rPr>
        <w:t>3</w:t>
      </w:r>
      <w:r w:rsidRPr="00C30A0F">
        <w:rPr>
          <w:rFonts w:ascii="Arial" w:hAnsi="Arial" w:cs="Arial"/>
          <w:b/>
          <w:caps/>
          <w:sz w:val="22"/>
        </w:rPr>
        <w:t xml:space="preserve">.1 </w:t>
      </w:r>
      <w:r w:rsidR="0028304F" w:rsidRPr="0028304F">
        <w:rPr>
          <w:rFonts w:ascii="Arial" w:hAnsi="Arial" w:cs="Arial"/>
          <w:b/>
          <w:sz w:val="22"/>
        </w:rPr>
        <w:t xml:space="preserve">Domesticated </w:t>
      </w:r>
      <w:r w:rsidR="008F05F1">
        <w:rPr>
          <w:rFonts w:ascii="Arial" w:hAnsi="Arial" w:cs="Arial"/>
          <w:b/>
          <w:sz w:val="22"/>
        </w:rPr>
        <w:t>P</w:t>
      </w:r>
      <w:r w:rsidR="0028304F" w:rsidRPr="0028304F">
        <w:rPr>
          <w:rFonts w:ascii="Arial" w:hAnsi="Arial" w:cs="Arial"/>
          <w:b/>
          <w:sz w:val="22"/>
        </w:rPr>
        <w:t xml:space="preserve">lant </w:t>
      </w:r>
      <w:r w:rsidR="008F05F1">
        <w:rPr>
          <w:rFonts w:ascii="Arial" w:hAnsi="Arial" w:cs="Arial"/>
          <w:b/>
          <w:sz w:val="22"/>
        </w:rPr>
        <w:t xml:space="preserve">Species </w:t>
      </w:r>
      <w:r w:rsidR="0028304F" w:rsidRPr="0028304F">
        <w:rPr>
          <w:rFonts w:ascii="Arial" w:hAnsi="Arial" w:cs="Arial"/>
          <w:b/>
          <w:sz w:val="22"/>
        </w:rPr>
        <w:t>and Their Uses</w:t>
      </w:r>
      <w:r w:rsidRPr="00FB3A86">
        <w:rPr>
          <w:rFonts w:ascii="Arial" w:hAnsi="Arial" w:cs="Arial"/>
        </w:rPr>
        <w:t xml:space="preserve">.  </w:t>
      </w:r>
    </w:p>
    <w:p w14:paraId="1540CBD7" w14:textId="118C7ED3" w:rsidR="001A7C67" w:rsidRPr="00B3360C" w:rsidRDefault="0028304F" w:rsidP="001A7C67">
      <w:pPr>
        <w:pStyle w:val="Body"/>
        <w:rPr>
          <w:rFonts w:ascii="Arial" w:hAnsi="Arial" w:cs="Arial"/>
        </w:rPr>
      </w:pPr>
      <w:r w:rsidRPr="0028304F">
        <w:rPr>
          <w:rFonts w:ascii="Arial" w:hAnsi="Arial" w:cs="Arial"/>
        </w:rPr>
        <w:t>Our survey was conducted among 101 households, of which 84 practiced plant domestication, while 17 did not.</w:t>
      </w:r>
      <w:r>
        <w:rPr>
          <w:rFonts w:ascii="Arial" w:hAnsi="Arial" w:cs="Arial"/>
        </w:rPr>
        <w:t xml:space="preserve"> </w:t>
      </w:r>
      <w:r w:rsidRPr="0028304F">
        <w:rPr>
          <w:rFonts w:ascii="Arial" w:hAnsi="Arial" w:cs="Arial"/>
        </w:rPr>
        <w:t xml:space="preserve">The different domesticated plants and their citation counts are presented in </w:t>
      </w:r>
      <w:r>
        <w:rPr>
          <w:rFonts w:ascii="Arial" w:hAnsi="Arial" w:cs="Arial"/>
        </w:rPr>
        <w:fldChar w:fldCharType="begin"/>
      </w:r>
      <w:r>
        <w:rPr>
          <w:rFonts w:ascii="Arial" w:hAnsi="Arial" w:cs="Arial"/>
        </w:rPr>
        <w:instrText xml:space="preserve"> REF _Ref207291928 \h </w:instrText>
      </w:r>
      <w:r>
        <w:rPr>
          <w:rFonts w:ascii="Arial" w:hAnsi="Arial" w:cs="Arial"/>
        </w:rPr>
      </w:r>
      <w:r>
        <w:rPr>
          <w:rFonts w:ascii="Arial" w:hAnsi="Arial" w:cs="Arial"/>
        </w:rPr>
        <w:fldChar w:fldCharType="separate"/>
      </w:r>
      <w:r w:rsidRPr="0028304F">
        <w:rPr>
          <w:rFonts w:ascii="Arial" w:hAnsi="Arial"/>
          <w:b/>
          <w:i/>
          <w:iCs/>
        </w:rPr>
        <w:t>Table 1</w:t>
      </w:r>
      <w:r>
        <w:rPr>
          <w:rFonts w:ascii="Arial" w:hAnsi="Arial" w:cs="Arial"/>
        </w:rPr>
        <w:fldChar w:fldCharType="end"/>
      </w:r>
      <w:r w:rsidRPr="0028304F">
        <w:rPr>
          <w:rFonts w:ascii="Arial" w:hAnsi="Arial" w:cs="Arial"/>
        </w:rPr>
        <w:t xml:space="preserve"> below.</w:t>
      </w:r>
      <w:r>
        <w:rPr>
          <w:rFonts w:ascii="Arial" w:hAnsi="Arial" w:cs="Arial"/>
        </w:rPr>
        <w:t xml:space="preserve"> </w:t>
      </w:r>
      <w:r w:rsidRPr="0028304F">
        <w:rPr>
          <w:rFonts w:ascii="Arial" w:hAnsi="Arial" w:cs="Arial"/>
        </w:rPr>
        <w:t xml:space="preserve">The different plants identified belong to a total of 25 major plant families, of which the </w:t>
      </w:r>
      <w:proofErr w:type="spellStart"/>
      <w:r w:rsidRPr="0028304F">
        <w:rPr>
          <w:rFonts w:ascii="Arial" w:hAnsi="Arial" w:cs="Arial"/>
          <w:i/>
          <w:iCs/>
        </w:rPr>
        <w:t>Anacardiaceae</w:t>
      </w:r>
      <w:proofErr w:type="spellEnd"/>
      <w:r w:rsidRPr="0028304F">
        <w:rPr>
          <w:rFonts w:ascii="Arial" w:hAnsi="Arial" w:cs="Arial"/>
        </w:rPr>
        <w:t xml:space="preserve"> family was the most cited</w:t>
      </w:r>
      <w:r w:rsidR="008F05F1">
        <w:rPr>
          <w:rFonts w:ascii="Arial" w:hAnsi="Arial" w:cs="Arial"/>
        </w:rPr>
        <w:t>, due to the Mango Tree (</w:t>
      </w:r>
      <w:r w:rsidR="008F05F1" w:rsidRPr="008F05F1">
        <w:rPr>
          <w:rFonts w:ascii="Arial" w:hAnsi="Arial" w:cs="Arial"/>
          <w:i/>
          <w:iCs/>
        </w:rPr>
        <w:t>Mangifera indica L</w:t>
      </w:r>
      <w:r w:rsidR="008F05F1">
        <w:rPr>
          <w:rFonts w:ascii="Arial" w:hAnsi="Arial" w:cs="Arial"/>
          <w:i/>
          <w:iCs/>
        </w:rPr>
        <w:t>.</w:t>
      </w:r>
      <w:r w:rsidR="008F05F1">
        <w:rPr>
          <w:rFonts w:ascii="Arial" w:hAnsi="Arial" w:cs="Arial"/>
        </w:rPr>
        <w:t xml:space="preserve">). </w:t>
      </w:r>
      <w:r w:rsidR="008F05F1" w:rsidRPr="008F05F1">
        <w:rPr>
          <w:rFonts w:ascii="Arial" w:hAnsi="Arial" w:cs="Arial"/>
        </w:rPr>
        <w:t>The</w:t>
      </w:r>
      <w:r w:rsidR="008F05F1">
        <w:rPr>
          <w:rFonts w:ascii="Arial" w:hAnsi="Arial" w:cs="Arial"/>
        </w:rPr>
        <w:t xml:space="preserve"> </w:t>
      </w:r>
      <w:proofErr w:type="spellStart"/>
      <w:r w:rsidR="008F05F1" w:rsidRPr="0028304F">
        <w:rPr>
          <w:rFonts w:ascii="Arial" w:hAnsi="Arial" w:cs="Arial"/>
          <w:i/>
          <w:iCs/>
        </w:rPr>
        <w:t>Anacardiaceae</w:t>
      </w:r>
      <w:proofErr w:type="spellEnd"/>
      <w:r w:rsidR="008F05F1" w:rsidRPr="008F05F1">
        <w:rPr>
          <w:rFonts w:ascii="Arial" w:hAnsi="Arial" w:cs="Arial"/>
        </w:rPr>
        <w:t xml:space="preserve"> family is known to contain a variety of bioactive compounds, such as flavonoids, tannins, and phenolic acids, which have demonstrated therapeutic properties</w:t>
      </w:r>
      <w:r w:rsidR="008F05F1">
        <w:rPr>
          <w:rFonts w:ascii="Arial" w:hAnsi="Arial" w:cs="Arial"/>
        </w:rPr>
        <w:t xml:space="preserve"> </w:t>
      </w:r>
      <w:r w:rsidR="008F05F1">
        <w:rPr>
          <w:rFonts w:ascii="Arial" w:hAnsi="Arial" w:cs="Arial"/>
        </w:rPr>
        <w:fldChar w:fldCharType="begin" w:fldLock="1"/>
      </w:r>
      <w:r w:rsidR="00A84CB5">
        <w:rPr>
          <w:rFonts w:ascii="Arial" w:hAnsi="Arial" w:cs="Arial"/>
        </w:rPr>
        <w:instrText>ADDIN CSL_CITATION {"citationItems":[{"id":"ITEM-1","itemData":{"DOI":"10.3390/antiox10020299","ISBN":"2076-3921","abstract":"Mangifera indica L. belongs to the family of Anacardiaceae and is an important fruit from South and Southeast Asia. India, China, Thailand, Indonesia, Pakistan, Mexico, Brazil, Bangladesh, Nigeria, and the Philippines are among the top mango producer countries. Leaves of the mango plant have been studied for their health benefits, which are attributed to a plethora of phytochemicals such as mangiferin, followed by phenolic acids, benzophenones, and other antioxidants such as flavonoids, ascorbic acid, carotenoids, and tocopherols. The extracts from mango leaves (MLs) have been studied for their biological activities, including anti-cancer, anti-diabetic, anti-oxidant, anti-microbial, anti-obesity, lipid-lowering, hepato-protection, and anti-diarrheal. In the present review, we have elaborated on the nutritional and phytochemical profile of the MLs. Further, various bioactivities of the ML extracts are also critically discussed. Considering the phytochemical profile and beneficial effects of the MLs, they can be used as a potential ingredient for the development of functional foods and pharmaceutical drugs. However, more detailed clinical trials still needed to be conducted for establishing the actual efficacy of the ML extracts.","author":[{"dropping-particle":"","family":"Kumar","given":"Manoj","non-dropping-particle":"","parse-names":false,"suffix":""},{"dropping-particle":"","family":"Saurabh","given":"Vivek","non-dropping-particle":"","parse-names":false,"suffix":""},{"dropping-particle":"","family":"Tomar","given":"Maharishi","non-dropping-particle":"","parse-names":false,"suffix":""},{"dropping-particle":"","family":"Hasan","given":"Muzaffar","non-dropping-particle":"","parse-names":false,"suffix":""},{"dropping-particle":"","family":"Changan","given":"Sushil","non-dropping-particle":"","parse-names":false,"suffix":""},{"dropping-particle":"","family":"Sasi","given":"Minnu","non-dropping-particle":"","parse-names":false,"suffix":""},{"dropping-particle":"","family":"Maheshwari","given":"Chirag","non-dropping-particle":"","parse-names":false,"suffix":""},{"dropping-particle":"","family":"Prajapati","given":"Uma","non-dropping-particle":"","parse-names":false,"suffix":""},{"dropping-particle":"","family":"Singh","given":"Surinder","non-dropping-particle":"","parse-names":false,"suffix":""},{"dropping-particle":"","family":"Prajapat","given":"Rakesh K","non-dropping-particle":"","parse-names":false,"suffix":""},{"dropping-particle":"","family":"Dhumal","given":"Sangram","non-dropping-particle":"","parse-names":false,"suffix":""},{"dropping-particle":"","family":"Punia","given":"Sneh","non-dropping-particle":"","parse-names":false,"suffix":""},{"dropping-particle":"","family":"Amarowicz","given":"Ryszard","non-dropping-particle":"","parse-names":false,"suffix":""},{"dropping-particle":"","family":"Mekhemar","given":"Mohamed","non-dropping-particle":"","parse-names":false,"suffix":""}],"container-title":"Antioxidants","id":"ITEM-1","issue":"2","issued":{"date-parts":[["2021"]]},"title":"Mango (Mangifera indica L.) Leaves: Nutritional Composition, Phytochemical Profile, and Health-Promoting Bioactivities","type":"article","volume":"10"},"uris":["http://www.mendeley.com/documents/?uuid=93bd6559-9d53-4ae8-a829-f9e2b6dc78fa"]},{"id":"ITEM-2","itemData":{"DOI":"10.3892/ijfn.2025.46","ISSN":"2634-7989 2634-7237","abstract":"Mango (&lt;em&gt;Mangifera indica L.&lt;/em&gt;), a member of the Anacardiaceae family, is one of the most economically significant tropical fruit crops worldwide. Both mango leaves and bark have been traditionally used for their medicinal properties. Locally, individuals tend to combine different parts of medicinal plants in an attempt to increase their therapeutic potency; however, the adverse effects of such combinations are mostly unreported. The present study investigated the biochemical activities and phytoconstituents of ethanol extracts from the leaves and bark of &lt;em&gt;Mangifera indica&lt;/em&gt; individually and in combination. The antioxidant properties of these extracts were evaluated using various assays, including 2,2</w:instrText>
      </w:r>
      <w:r w:rsidR="00A84CB5">
        <w:rPr>
          <w:rFonts w:ascii="Cambria Math" w:hAnsi="Cambria Math" w:cs="Cambria Math"/>
        </w:rPr>
        <w:instrText>‑</w:instrText>
      </w:r>
      <w:r w:rsidR="00A84CB5">
        <w:rPr>
          <w:rFonts w:ascii="Arial" w:hAnsi="Arial" w:cs="Arial"/>
        </w:rPr>
        <w:instrText>diphenyl</w:instrText>
      </w:r>
      <w:r w:rsidR="00A84CB5">
        <w:rPr>
          <w:rFonts w:ascii="Cambria Math" w:hAnsi="Cambria Math" w:cs="Cambria Math"/>
        </w:rPr>
        <w:instrText>‑</w:instrText>
      </w:r>
      <w:r w:rsidR="00A84CB5">
        <w:rPr>
          <w:rFonts w:ascii="Arial" w:hAnsi="Arial" w:cs="Arial"/>
        </w:rPr>
        <w:instrText>l</w:instrText>
      </w:r>
      <w:r w:rsidR="00A84CB5">
        <w:rPr>
          <w:rFonts w:ascii="Cambria Math" w:hAnsi="Cambria Math" w:cs="Cambria Math"/>
        </w:rPr>
        <w:instrText>‑</w:instrText>
      </w:r>
      <w:r w:rsidR="00A84CB5">
        <w:rPr>
          <w:rFonts w:ascii="Arial" w:hAnsi="Arial" w:cs="Arial"/>
        </w:rPr>
        <w:instrText>picrylhydrazyl, 2,2'</w:instrText>
      </w:r>
      <w:r w:rsidR="00A84CB5">
        <w:rPr>
          <w:rFonts w:ascii="Cambria Math" w:hAnsi="Cambria Math" w:cs="Cambria Math"/>
        </w:rPr>
        <w:instrText>‑</w:instrText>
      </w:r>
      <w:r w:rsidR="00A84CB5">
        <w:rPr>
          <w:rFonts w:ascii="Arial" w:hAnsi="Arial" w:cs="Arial"/>
        </w:rPr>
        <w:instrText>azinobis(3</w:instrText>
      </w:r>
      <w:r w:rsidR="00A84CB5">
        <w:rPr>
          <w:rFonts w:ascii="Cambria Math" w:hAnsi="Cambria Math" w:cs="Cambria Math"/>
        </w:rPr>
        <w:instrText>‑</w:instrText>
      </w:r>
      <w:r w:rsidR="00A84CB5">
        <w:rPr>
          <w:rFonts w:ascii="Arial" w:hAnsi="Arial" w:cs="Arial"/>
        </w:rPr>
        <w:instrText>ethylbenzothiazoline</w:instrText>
      </w:r>
      <w:r w:rsidR="00A84CB5">
        <w:rPr>
          <w:rFonts w:ascii="Cambria Math" w:hAnsi="Cambria Math" w:cs="Cambria Math"/>
        </w:rPr>
        <w:instrText>‑</w:instrText>
      </w:r>
      <w:r w:rsidR="00A84CB5">
        <w:rPr>
          <w:rFonts w:ascii="Arial" w:hAnsi="Arial" w:cs="Arial"/>
        </w:rPr>
        <w:instrText>6</w:instrText>
      </w:r>
      <w:r w:rsidR="00A84CB5">
        <w:rPr>
          <w:rFonts w:ascii="Cambria Math" w:hAnsi="Cambria Math" w:cs="Cambria Math"/>
        </w:rPr>
        <w:instrText>‑</w:instrText>
      </w:r>
      <w:r w:rsidR="00A84CB5">
        <w:rPr>
          <w:rFonts w:ascii="Arial" w:hAnsi="Arial" w:cs="Arial"/>
        </w:rPr>
        <w:instrText>sulphonic acid radical scavenging assays, ferric reducing antioxidant power assay and total antioxidant activity assay along with the analysis of total phenolic and flavonoid contents. The anti</w:instrText>
      </w:r>
      <w:r w:rsidR="00A84CB5">
        <w:rPr>
          <w:rFonts w:ascii="Cambria Math" w:hAnsi="Cambria Math" w:cs="Cambria Math"/>
        </w:rPr>
        <w:instrText>‑</w:instrText>
      </w:r>
      <w:r w:rsidR="00A84CB5">
        <w:rPr>
          <w:rFonts w:ascii="Arial" w:hAnsi="Arial" w:cs="Arial"/>
        </w:rPr>
        <w:instrText>diabetic activity was evaluated through &lt;em&gt;in vitro&lt;/em&gt; assays of &amp;alpha;</w:instrText>
      </w:r>
      <w:r w:rsidR="00A84CB5">
        <w:rPr>
          <w:rFonts w:ascii="Cambria Math" w:hAnsi="Cambria Math" w:cs="Cambria Math"/>
        </w:rPr>
        <w:instrText>‑</w:instrText>
      </w:r>
      <w:r w:rsidR="00A84CB5">
        <w:rPr>
          <w:rFonts w:ascii="Arial" w:hAnsi="Arial" w:cs="Arial"/>
        </w:rPr>
        <w:instrText>glucosidase and &amp;alpha;</w:instrText>
      </w:r>
      <w:r w:rsidR="00A84CB5">
        <w:rPr>
          <w:rFonts w:ascii="Cambria Math" w:hAnsi="Cambria Math" w:cs="Cambria Math"/>
        </w:rPr>
        <w:instrText>‑</w:instrText>
      </w:r>
      <w:r w:rsidR="00A84CB5">
        <w:rPr>
          <w:rFonts w:ascii="Arial" w:hAnsi="Arial" w:cs="Arial"/>
        </w:rPr>
        <w:instrText>amylase inhibition and antifungal properties were assessed against the fungal pathogen, &lt;em&gt;Fusarium solani&lt;/em&gt;. Gas chromatography</w:instrText>
      </w:r>
      <w:r w:rsidR="00A84CB5">
        <w:rPr>
          <w:rFonts w:ascii="Cambria Math" w:hAnsi="Cambria Math" w:cs="Cambria Math"/>
        </w:rPr>
        <w:instrText>‑</w:instrText>
      </w:r>
      <w:r w:rsidR="00A84CB5">
        <w:rPr>
          <w:rFonts w:ascii="Arial" w:hAnsi="Arial" w:cs="Arial"/>
        </w:rPr>
        <w:instrText>mass spectrometry analysis revealed numerous bioactive compounds, such as phenols, sesquiterpenes, terpenoids, fatty acids and esters. The results demonstrated marked antioxidant, anti</w:instrText>
      </w:r>
      <w:r w:rsidR="00A84CB5">
        <w:rPr>
          <w:rFonts w:ascii="Cambria Math" w:hAnsi="Cambria Math" w:cs="Cambria Math"/>
        </w:rPr>
        <w:instrText>‑</w:instrText>
      </w:r>
      <w:r w:rsidR="00A84CB5">
        <w:rPr>
          <w:rFonts w:ascii="Arial" w:hAnsi="Arial" w:cs="Arial"/>
        </w:rPr>
        <w:instrText>diabetic and antifungal activities which were highest in the bark extract. However, combining the bark with leaf extract of &lt;em&gt;Mangifera indica&lt;/em&gt; was antagonistic as the biochemical activities were significantly reduced.","author":[{"dropping-particle":"","family":"Karigidi Esther","given":"Mojisola","non-dropping-particle":"","parse-names":false,"suffix":""},{"dropping-particle":"","family":"Fakunle Ewaoluwa","given":"Oluwalonimi","non-dropping-particle":"","parse-names":false,"suffix":""},{"dropping-particle":"","family":"Karigidi Olayele","given":"Kayode","non-dropping-particle":"","parse-names":false,"suffix":""}],"container-title":"Int J Funct Nutr","id":"ITEM-2","issue":"1","issued":{"date-parts":[["2025"]]},"page":"5","publisher-place":"Department of Biological Sciences (Biochemistry Programme), KolaDaisi University, Ibadan, Onidundun 200138, Oyo State, Nigeria Department of Chemical Sciences, Olusegun Agagu University of Science and Technology, Okitipupa 350105, Ondo State, Nigeria","title":"Antioxidant, antidiabetic and antifungal activities of leaf and bark ethanol extracts of &lt;em&gt;Mangifera indica&lt;/em&gt; and their antagonistic biochemical effects","type":"article-journal","volume":"6"},"uris":["http://www.mendeley.com/documents/?uuid=e5799264-6fa6-4c20-9027-069bbe24b7af"]},{"id":"ITEM-3","itemData":{"DOI":"10.51847/zpFCZqyBFX","ISSN":"0974-2328","abstract":"Anacardium occidentale and Sclerocarya birrea are two medicinal plant species highly coveted for the traditional treatment of diabetes in Mali. This study aimed to investigate the chemical constituents and the anti-radical and antidiabetic potential of extracts from these two species. The phytochemical characterization tests identified several prominent chemical groups in the extracts. The best solvent for extracting polyphenolic and flavonoid compounds was 70% ethanol. The highest levels of polyphenols were presented by the leaves of A. occidentale (3.85±0.49 mg GAE/100) and the bark of S. birrea (2.58±0.08 mg GAE/100 g). As for flavonoids, the bark presented the best levels. The aqueous bark extracts of S. birrea and the hydroethanolic leaf extracts of A. occidentale with respective IC50=174.61±2.77 µg/mL and 178.64±3.42 µg/mL showed the best anti-radical activity. Regardless of the species, the hydroethanolic extracts exhibited the highest inhibition potential of α-amylase, i.e., the lowest IC50. These IC50 were 316.8±31.4 µg/mL for the bark of S. birrea and 4201±254 µg/mL for the leaves of A. occidentale. The kinetic parameters (Michaelis-Menten constants) found the inhibition mode non-competitive against α-amylase for each species. The current work reveals the richness of A. occidentale and S. birrea in bioactive compounds which would offer them antiradical and antidiabetic potential. These species should be more valorized for the management of diabetes in Mali.","author":[{"dropping-particle":"","family":"Konaré","given":"Mamadou Abdoulaye","non-dropping-particle":"","parse-names":false,"suffix":""},{"dropping-particle":"","family":"Diadie Maïga","given":"Amadou","non-dropping-particle":"","parse-names":false,"suffix":""},{"dropping-particle":"","family":"Togola","given":"Issiaka","non-dropping-particle":"","parse-names":false,"suffix":""},{"dropping-particle":"","family":"Diarra","given":"Nouhoum","non-dropping-particle":"","parse-names":false,"suffix":""}],"container-title":"J Biochem Technol","id":"ITEM-3","issue":"3","issued":{"date-parts":[["2024"]]},"page":"15-24","title":"Antioxidant and Antidiabetic Potential of Extracts from Anacardium occidentale and Sclerocarya birrea","type":"article-journal","volume":"15"},"uris":["http://www.mendeley.com/documents/?uuid=6882b7af-b6e1-35f4-ac02-4378b081c01c"]}],"mendeley":{"formattedCitation":"[23–25]","plainTextFormattedCitation":"[23–25]","previouslyFormattedCitation":"[22–24]"},"properties":{"noteIndex":0},"schema":"https://github.com/citation-style-language/schema/raw/master/csl-citation.json"}</w:instrText>
      </w:r>
      <w:r w:rsidR="008F05F1">
        <w:rPr>
          <w:rFonts w:ascii="Arial" w:hAnsi="Arial" w:cs="Arial"/>
        </w:rPr>
        <w:fldChar w:fldCharType="separate"/>
      </w:r>
      <w:r w:rsidR="00A84CB5" w:rsidRPr="00A84CB5">
        <w:rPr>
          <w:rFonts w:ascii="Arial" w:hAnsi="Arial" w:cs="Arial"/>
          <w:noProof/>
        </w:rPr>
        <w:t>[23–25]</w:t>
      </w:r>
      <w:r w:rsidR="008F05F1">
        <w:rPr>
          <w:rFonts w:ascii="Arial" w:hAnsi="Arial" w:cs="Arial"/>
        </w:rPr>
        <w:fldChar w:fldCharType="end"/>
      </w:r>
      <w:r w:rsidR="008F05F1" w:rsidRPr="008510D8">
        <w:rPr>
          <w:rFonts w:ascii="Arial" w:hAnsi="Arial" w:cs="Arial"/>
        </w:rPr>
        <w:t xml:space="preserve">. </w:t>
      </w:r>
      <w:r w:rsidR="00B3360C">
        <w:rPr>
          <w:rFonts w:ascii="Arial" w:hAnsi="Arial" w:cs="Arial"/>
        </w:rPr>
        <w:t>In addition, the</w:t>
      </w:r>
      <w:r w:rsidR="00DC15F1" w:rsidRPr="00DC15F1">
        <w:rPr>
          <w:rFonts w:ascii="Arial" w:hAnsi="Arial" w:cs="Arial"/>
        </w:rPr>
        <w:t xml:space="preserve"> survey revealed that leaves </w:t>
      </w:r>
      <w:r w:rsidR="00DC15F1" w:rsidRPr="00366D7D">
        <w:rPr>
          <w:rFonts w:ascii="Arial" w:hAnsi="Arial" w:cs="Arial"/>
        </w:rPr>
        <w:t xml:space="preserve">were the most </w:t>
      </w:r>
      <w:r w:rsidR="00DC15F1" w:rsidRPr="00DC15F1">
        <w:rPr>
          <w:rFonts w:ascii="Arial" w:hAnsi="Arial" w:cs="Arial"/>
        </w:rPr>
        <w:t xml:space="preserve">frequently cited part, accounting for </w:t>
      </w:r>
      <w:r w:rsidR="00DC15F1" w:rsidRPr="00DC15F1">
        <w:rPr>
          <w:rFonts w:ascii="Arial" w:hAnsi="Arial" w:cs="Arial"/>
          <w:b/>
          <w:bCs/>
        </w:rPr>
        <w:t>50.4%</w:t>
      </w:r>
      <w:r w:rsidR="00B3360C">
        <w:rPr>
          <w:rFonts w:ascii="Arial" w:hAnsi="Arial" w:cs="Arial"/>
        </w:rPr>
        <w:t>, mainly by decoction</w:t>
      </w:r>
      <w:r w:rsidR="00DC15F1" w:rsidRPr="00DC15F1">
        <w:rPr>
          <w:rFonts w:ascii="Arial" w:hAnsi="Arial" w:cs="Arial"/>
        </w:rPr>
        <w:t xml:space="preserve">. This was followed by barks at </w:t>
      </w:r>
      <w:r w:rsidR="00DC15F1" w:rsidRPr="00DC15F1">
        <w:rPr>
          <w:rFonts w:ascii="Arial" w:hAnsi="Arial" w:cs="Arial"/>
          <w:b/>
          <w:bCs/>
        </w:rPr>
        <w:t>27.2%</w:t>
      </w:r>
      <w:r w:rsidR="00DC15F1" w:rsidRPr="00DC15F1">
        <w:rPr>
          <w:rFonts w:ascii="Arial" w:hAnsi="Arial" w:cs="Arial"/>
        </w:rPr>
        <w:t xml:space="preserve">. Seeds and fruits were also commonly cited at </w:t>
      </w:r>
      <w:r w:rsidR="00DC15F1" w:rsidRPr="00DC15F1">
        <w:rPr>
          <w:rFonts w:ascii="Arial" w:hAnsi="Arial" w:cs="Arial"/>
          <w:b/>
          <w:bCs/>
        </w:rPr>
        <w:t>12.8%</w:t>
      </w:r>
      <w:r w:rsidR="00DC15F1" w:rsidRPr="00DC15F1">
        <w:rPr>
          <w:rFonts w:ascii="Arial" w:hAnsi="Arial" w:cs="Arial"/>
        </w:rPr>
        <w:t xml:space="preserve">, while roots represented only </w:t>
      </w:r>
      <w:r w:rsidR="00DC15F1" w:rsidRPr="00DC15F1">
        <w:rPr>
          <w:rFonts w:ascii="Arial" w:hAnsi="Arial" w:cs="Arial"/>
          <w:b/>
          <w:bCs/>
        </w:rPr>
        <w:t>7.2%</w:t>
      </w:r>
      <w:r w:rsidR="00DC15F1" w:rsidRPr="00DC15F1">
        <w:rPr>
          <w:rFonts w:ascii="Arial" w:hAnsi="Arial" w:cs="Arial"/>
        </w:rPr>
        <w:t>.</w:t>
      </w:r>
      <w:r w:rsidR="00DC15F1">
        <w:rPr>
          <w:rFonts w:ascii="Arial" w:hAnsi="Arial" w:cs="Arial"/>
        </w:rPr>
        <w:t xml:space="preserve"> </w:t>
      </w:r>
      <w:r w:rsidR="00DC15F1" w:rsidRPr="00DC15F1">
        <w:rPr>
          <w:rFonts w:ascii="Arial" w:hAnsi="Arial" w:cs="Arial"/>
        </w:rPr>
        <w:t xml:space="preserve">This high frequency of </w:t>
      </w:r>
      <w:r w:rsidR="00DC15F1">
        <w:rPr>
          <w:rFonts w:ascii="Arial" w:hAnsi="Arial" w:cs="Arial"/>
        </w:rPr>
        <w:t>leave</w:t>
      </w:r>
      <w:r w:rsidR="00407476">
        <w:rPr>
          <w:rFonts w:ascii="Arial" w:hAnsi="Arial" w:cs="Arial"/>
        </w:rPr>
        <w:t xml:space="preserve">s </w:t>
      </w:r>
      <w:r w:rsidR="00DC15F1" w:rsidRPr="00DC15F1">
        <w:rPr>
          <w:rFonts w:ascii="Arial" w:hAnsi="Arial" w:cs="Arial"/>
        </w:rPr>
        <w:t>us</w:t>
      </w:r>
      <w:r w:rsidR="00407476">
        <w:rPr>
          <w:rFonts w:ascii="Arial" w:hAnsi="Arial" w:cs="Arial"/>
        </w:rPr>
        <w:t>age</w:t>
      </w:r>
      <w:r w:rsidR="00DC15F1" w:rsidRPr="00DC15F1">
        <w:rPr>
          <w:rFonts w:ascii="Arial" w:hAnsi="Arial" w:cs="Arial"/>
        </w:rPr>
        <w:t xml:space="preserve"> can be attributed to the ease of access and collection of leaves, their renewability throughout the year, and their established richness in secondary metabolites and bioactive compounds</w:t>
      </w:r>
      <w:r w:rsidR="00407476">
        <w:rPr>
          <w:rFonts w:ascii="Arial" w:hAnsi="Arial" w:cs="Arial"/>
        </w:rPr>
        <w:t xml:space="preserve"> </w:t>
      </w:r>
      <w:r w:rsidR="00407476">
        <w:rPr>
          <w:rFonts w:ascii="Arial" w:hAnsi="Arial" w:cs="Arial"/>
        </w:rPr>
        <w:fldChar w:fldCharType="begin" w:fldLock="1"/>
      </w:r>
      <w:r w:rsidR="00A84CB5">
        <w:rPr>
          <w:rFonts w:ascii="Arial" w:hAnsi="Arial" w:cs="Arial"/>
        </w:rPr>
        <w:instrText>ADDIN CSL_CITATION {"citationItems":[{"id":"ITEM-1","itemData":{"DOI":"10.9734/arrb/2019/v33i230115","abstract":"Aims: The purpose of this study was to evaluate the in vitro antioxidant activities of Datura innoxia Mill. leaves and seeds harvested in Mali.\r Place and Duration of Study: Collection of plant materials were done at Kolondieba (Mali) in june 2016. Evaluation of polyphenols and flavonoids contents, determination of antioxidant activities were done at Laboratory of Plant and Food Biochemistry and Biotechnology of University of Sciences, Techniques and Technologies of Bamako (Mali) between august 2016 and March 2017.\r Methodology: The leaves and seeds were collected in Kolondieba, Mali. The phytochemical screening based on the standard methods of tube reactions has been performed with ethanol extracts. The quantitative estimation of total polyphenols was made by the Folin-Ciocalteu method and that of flavonoids by the use of aluminum trichloride. The in vitro antioxidant activities of the ethanol extracts was determined by three methods: the 1,1- diphenyl - 2- picrylhydrazyl (DPPH) test, the ferric reducing ability power (FRAP) test and the Phosphomolybdate test (PPM).\r Results: The phytochemical screening revealed that leaves and seeds of this plant contains alkaloids, polyphenols, flavonoids, coumarins, tannins, triterpenes and saponin. Phenolic contents of ethanol extracts are 30.97 ± 0.33 mg equivalent gallic acid / g in leaves and 14.02 ± 0.15 mg equivalent gallic acid / g in seeds; those of flavonoids are 15.13 ± 0.2 mg equivalent of quercetin / g in the leaves and 4.93 ± 0.41 mg equivalent of quercetin / g in the seeds. The three tests showed that the leaves have a higher level of antiradical activity in vitro than seeds.\r Conclusion: The results of this work showed that Datura innoxia Mill. has a good antioxidant activity which would justify its use as a potential source of natural antioxidants.","author":[{"dropping-particle":"","family":"Togola","given":"Issiaka","non-dropping-particle":"","parse-names":false,"suffix":""},{"dropping-particle":"","family":"Dembélé","given":"Abdramane Ansoumany","non-dropping-particle":"","parse-names":false,"suffix":""},{"dropping-particle":"","family":"Tounkara","given":"Fatoumata","non-dropping-particle":"","parse-names":false,"suffix":""},{"dropping-particle":"","family":"Diarra","given":"Nouhoum","non-dropping-particle":"","parse-names":false,"suffix":""},{"dropping-particle":"","family":"Konaré","given":"Mamadou Abdoulaye","non-dropping-particle":"","parse-names":false,"suffix":""},{"dropping-particle":"","family":"Karembé","given":"Moussa","non-dropping-particle":"","parse-names":false,"suffix":""},{"dropping-particle":"","family":"Maïga","given":"Seydou Zibba","non-dropping-particle":"","parse-names":false,"suffix":""},{"dropping-particle":"","family":"Dembélé","given":"Doulaye","non-dropping-particle":"","parse-names":false,"suffix":""}],"container-title":"Annual Research &amp; Review in Biology","id":"ITEM-1","issued":{"date-parts":[["2019"]]},"title":"Evaluation of in vitro Antioxidant Activities of Ethanol Extracts of Datura innoxia Mill. Leaves and Seeds Harvested in Mali","type":"article-journal"},"uris":["http://www.mendeley.com/documents/?uuid=cef24e2d-edbb-30af-a993-b129312fc244"]},{"id":"ITEM-2","itemData":{"DOI":"10.51847/zpFCZqyBFX","ISSN":"0974-2328","abstract":"Anacardium occidentale and Sclerocarya birrea are two medicinal plant species highly coveted for the traditional treatment of diabetes in Mali. This study aimed to investigate the chemical constituents and the anti-radical and antidiabetic potential of extracts from these two species. The phytochemical characterization tests identified several prominent chemical groups in the extracts. The best solvent for extracting polyphenolic and flavonoid compounds was 70% ethanol. The highest levels of polyphenols were presented by the leaves of A. occidentale (3.85±0.49 mg GAE/100) and the bark of S. birrea (2.58±0.08 mg GAE/100 g). As for flavonoids, the bark presented the best levels. The aqueous bark extracts of S. birrea and the hydroethanolic leaf extracts of A. occidentale with respective IC50=174.61±2.77 µg/mL and 178.64±3.42 µg/mL showed the best anti-radical activity. Regardless of the species, the hydroethanolic extracts exhibited the highest inhibition potential of α-amylase, i.e., the lowest IC50. These IC50 were 316.8±31.4 µg/mL for the bark of S. birrea and 4201±254 µg/mL for the leaves of A. occidentale. The kinetic parameters (Michaelis-Menten constants) found the inhibition mode non-competitive against α-amylase for each species. The current work reveals the richness of A. occidentale and S. birrea in bioactive compounds which would offer them antiradical and antidiabetic potential. These species should be more valorized for the management of diabetes in Mali.","author":[{"dropping-particle":"","family":"Konaré","given":"Mamadou Abdoulaye","non-dropping-particle":"","parse-names":false,"suffix":""},{"dropping-particle":"","family":"Diadie Maïga","given":"Amadou","non-dropping-particle":"","parse-names":false,"suffix":""},{"dropping-particle":"","family":"Togola","given":"Issiaka","non-dropping-particle":"","parse-names":false,"suffix":""},{"dropping-particle":"","family":"Diarra","given":"Nouhoum","non-dropping-particle":"","parse-names":false,"suffix":""}],"container-title":"J Biochem Technol","id":"ITEM-2","issue":"3","issued":{"date-parts":[["2024"]]},"page":"15-24","title":"Antioxidant and Antidiabetic Potential of Extracts from Anacardium occidentale and Sclerocarya birrea","type":"article-journal","volume":"15"},"uris":["http://www.mendeley.com/documents/?uuid=6882b7af-b6e1-35f4-ac02-4378b081c01c"]},{"id":"ITEM-3","itemData":{"DOI":"10.5296/jfs.v11i1.20464","abstract":"The baobab (Adansonia digitata) occupies an important place in the diet of local populations in Mali. This work aimed to conduct an ethnobotanical survey in two regions of Mali: Ségou (municipality of Cinzana) and Mopti (municipalities of Bankass and Kopropin) in order to determine the forms of use of baobab organs. The survey was conducted using a semi-structured questionnaire and direct interviews. The results showed that all parts of the baobab were used, with the leaves (100%) and the fruit pulp (98.30%) as the most consumed. In addition, the barks (68.30%), the branches, and the trunks (60%) were also widely used for socio-economic and therapeutic needs. All the edible organs were consumed in the sauce. The pulp was mainly consumed in the form of cream (96.70%), porridge (43.30%), and juice and syrup (10%). Despite their nutritional values, the seeds were little used (8.30%) and transformed into soap, oil \"soumbala\" and \"datou\" (forms of local spices). The taste (30-66.70%) and the color (1.70-38.30%) were the main criteria used to assess the quality of edible organs. The sun drying (100%) was the main method of preservation. Due to the bad storage conditions, the populations are facing problems of termite and worm infestation (20%). These results indicate the need to develop improved technologies to better preserve the nutritional quality of baobab products.","author":[{"dropping-particle":"","family":"Guindo","given":"Fanta","non-dropping-particle":"","parse-names":false,"suffix":""},{"dropping-particle":"","family":"Konaré","given":"Mamadou Abdoulaye","non-dropping-particle":"","parse-names":false,"suffix":""},{"dropping-particle":"","family":"Daou","given":"Cheickna","non-dropping-particle":"","parse-names":false,"suffix":""},{"dropping-particle":"","family":"Cissé","given":"Fatimata","non-dropping-particle":"","parse-names":false,"suffix":""}],"container-title":"Journal of Food Studies","id":"ITEM-3","issue":"1","issued":{"date-parts":[["2022"]]},"title":"Inventory of Local Practices of Use and Conservation of Baobab Products in Two Regions of Mali","type":"article-journal","volume":"11"},"uris":["http://www.mendeley.com/documents/?uuid=f77a46bb-c811-358b-9d52-0990ac3c6521"]}],"mendeley":{"formattedCitation":"[23, 26, 27]","plainTextFormattedCitation":"[23, 26, 27]","previouslyFormattedCitation":"[22, 25, 26]"},"properties":{"noteIndex":0},"schema":"https://github.com/citation-style-language/schema/raw/master/csl-citation.json"}</w:instrText>
      </w:r>
      <w:r w:rsidR="00407476">
        <w:rPr>
          <w:rFonts w:ascii="Arial" w:hAnsi="Arial" w:cs="Arial"/>
        </w:rPr>
        <w:fldChar w:fldCharType="separate"/>
      </w:r>
      <w:r w:rsidR="00A84CB5" w:rsidRPr="00A84CB5">
        <w:rPr>
          <w:rFonts w:ascii="Arial" w:hAnsi="Arial" w:cs="Arial"/>
          <w:noProof/>
        </w:rPr>
        <w:t>[23, 26, 27]</w:t>
      </w:r>
      <w:r w:rsidR="00407476">
        <w:rPr>
          <w:rFonts w:ascii="Arial" w:hAnsi="Arial" w:cs="Arial"/>
        </w:rPr>
        <w:fldChar w:fldCharType="end"/>
      </w:r>
      <w:r w:rsidR="00DC15F1" w:rsidRPr="008510D8">
        <w:rPr>
          <w:rFonts w:ascii="Arial" w:hAnsi="Arial" w:cs="Arial"/>
        </w:rPr>
        <w:t>.</w:t>
      </w:r>
      <w:r w:rsidR="001A7C67" w:rsidRPr="008510D8">
        <w:rPr>
          <w:rFonts w:ascii="Arial" w:hAnsi="Arial" w:cs="Arial"/>
        </w:rPr>
        <w:t xml:space="preserve"> </w:t>
      </w:r>
      <w:r w:rsidR="001A7C67" w:rsidRPr="001A7C67">
        <w:rPr>
          <w:rFonts w:ascii="Arial" w:hAnsi="Arial" w:cs="Arial"/>
        </w:rPr>
        <w:t>The domesticated plants are also used for their therapeutic properties. Our survey revealed that these plants are primarily used to treat malaria (50 citations), followed by diabetes (24 citations) and hypertension (14 citations)</w:t>
      </w:r>
      <w:r w:rsidR="001A7C67">
        <w:rPr>
          <w:rFonts w:ascii="Arial" w:hAnsi="Arial" w:cs="Arial"/>
        </w:rPr>
        <w:t>.</w:t>
      </w:r>
    </w:p>
    <w:p w14:paraId="3973D524" w14:textId="71D8C0E8" w:rsidR="00DC15F1" w:rsidRPr="00DC15F1" w:rsidRDefault="00DC15F1" w:rsidP="00DC15F1">
      <w:pPr>
        <w:pStyle w:val="Body"/>
        <w:rPr>
          <w:rFonts w:ascii="Arial" w:hAnsi="Arial" w:cs="Arial"/>
        </w:rPr>
      </w:pPr>
    </w:p>
    <w:p w14:paraId="24FB99DC" w14:textId="50D31D64" w:rsidR="00B01FCD" w:rsidRDefault="00B01FCD" w:rsidP="00441B6F">
      <w:pPr>
        <w:pStyle w:val="Body"/>
        <w:spacing w:after="0"/>
        <w:rPr>
          <w:rFonts w:ascii="Arial" w:hAnsi="Arial" w:cs="Arial"/>
        </w:rPr>
      </w:pPr>
    </w:p>
    <w:p w14:paraId="05BC973A" w14:textId="77777777" w:rsidR="0028304F" w:rsidRDefault="0028304F" w:rsidP="00441B6F">
      <w:pPr>
        <w:pStyle w:val="Body"/>
        <w:spacing w:after="0"/>
        <w:rPr>
          <w:rFonts w:ascii="Arial" w:hAnsi="Arial" w:cs="Arial"/>
        </w:rPr>
        <w:sectPr w:rsidR="0028304F" w:rsidSect="00A028F8">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p>
    <w:p w14:paraId="634A620A" w14:textId="69BDC603" w:rsidR="00790ADA" w:rsidRPr="0028304F" w:rsidRDefault="0028304F" w:rsidP="0028304F">
      <w:pPr>
        <w:pStyle w:val="Caption"/>
        <w:rPr>
          <w:rFonts w:ascii="Arial" w:hAnsi="Arial"/>
          <w:b/>
          <w:i w:val="0"/>
          <w:iCs w:val="0"/>
          <w:color w:val="auto"/>
          <w:sz w:val="20"/>
          <w:szCs w:val="20"/>
        </w:rPr>
      </w:pPr>
      <w:bookmarkStart w:id="4" w:name="_Ref207291928"/>
      <w:r w:rsidRPr="0028304F">
        <w:rPr>
          <w:rFonts w:ascii="Arial" w:hAnsi="Arial"/>
          <w:b/>
          <w:i w:val="0"/>
          <w:iCs w:val="0"/>
          <w:color w:val="auto"/>
          <w:sz w:val="20"/>
          <w:szCs w:val="20"/>
        </w:rPr>
        <w:lastRenderedPageBreak/>
        <w:t xml:space="preserve">Table </w:t>
      </w:r>
      <w:r w:rsidRPr="0028304F">
        <w:rPr>
          <w:rFonts w:ascii="Arial" w:hAnsi="Arial"/>
          <w:b/>
          <w:i w:val="0"/>
          <w:iCs w:val="0"/>
          <w:color w:val="auto"/>
          <w:sz w:val="20"/>
          <w:szCs w:val="20"/>
        </w:rPr>
        <w:fldChar w:fldCharType="begin"/>
      </w:r>
      <w:r w:rsidRPr="0028304F">
        <w:rPr>
          <w:rFonts w:ascii="Arial" w:hAnsi="Arial"/>
          <w:b/>
          <w:i w:val="0"/>
          <w:iCs w:val="0"/>
          <w:color w:val="auto"/>
          <w:sz w:val="20"/>
          <w:szCs w:val="20"/>
        </w:rPr>
        <w:instrText xml:space="preserve"> SEQ Table \* ARABIC </w:instrText>
      </w:r>
      <w:r w:rsidRPr="0028304F">
        <w:rPr>
          <w:rFonts w:ascii="Arial" w:hAnsi="Arial"/>
          <w:b/>
          <w:i w:val="0"/>
          <w:iCs w:val="0"/>
          <w:color w:val="auto"/>
          <w:sz w:val="20"/>
          <w:szCs w:val="20"/>
        </w:rPr>
        <w:fldChar w:fldCharType="separate"/>
      </w:r>
      <w:r w:rsidR="00491D86">
        <w:rPr>
          <w:rFonts w:ascii="Arial" w:hAnsi="Arial"/>
          <w:b/>
          <w:i w:val="0"/>
          <w:iCs w:val="0"/>
          <w:noProof/>
          <w:color w:val="auto"/>
          <w:sz w:val="20"/>
          <w:szCs w:val="20"/>
        </w:rPr>
        <w:t>1</w:t>
      </w:r>
      <w:r w:rsidRPr="0028304F">
        <w:rPr>
          <w:rFonts w:ascii="Arial" w:hAnsi="Arial"/>
          <w:b/>
          <w:i w:val="0"/>
          <w:iCs w:val="0"/>
          <w:color w:val="auto"/>
          <w:sz w:val="20"/>
          <w:szCs w:val="20"/>
        </w:rPr>
        <w:fldChar w:fldCharType="end"/>
      </w:r>
      <w:bookmarkEnd w:id="4"/>
      <w:r>
        <w:rPr>
          <w:rFonts w:ascii="Arial" w:hAnsi="Arial"/>
          <w:b/>
          <w:i w:val="0"/>
          <w:iCs w:val="0"/>
          <w:color w:val="auto"/>
          <w:sz w:val="20"/>
          <w:szCs w:val="20"/>
        </w:rPr>
        <w:t>.</w:t>
      </w:r>
      <w:r>
        <w:rPr>
          <w:rFonts w:ascii="Arial" w:hAnsi="Arial"/>
          <w:b/>
          <w:i w:val="0"/>
          <w:iCs w:val="0"/>
          <w:color w:val="auto"/>
          <w:sz w:val="20"/>
          <w:szCs w:val="20"/>
        </w:rPr>
        <w:tab/>
      </w:r>
      <w:r w:rsidRPr="0028304F">
        <w:rPr>
          <w:rFonts w:ascii="Arial" w:hAnsi="Arial"/>
          <w:b/>
          <w:i w:val="0"/>
          <w:iCs w:val="0"/>
          <w:color w:val="auto"/>
          <w:sz w:val="20"/>
          <w:szCs w:val="20"/>
        </w:rPr>
        <w:t>Domesticated Plants species and Percentage of Citations</w:t>
      </w:r>
      <w:r>
        <w:rPr>
          <w:rFonts w:ascii="Arial" w:hAnsi="Arial"/>
          <w:b/>
          <w:i w:val="0"/>
          <w:iCs w:val="0"/>
          <w:color w:val="auto"/>
          <w:sz w:val="20"/>
          <w:szCs w:val="20"/>
        </w:rPr>
        <w:t xml:space="preserve"> from the survey</w:t>
      </w:r>
    </w:p>
    <w:tbl>
      <w:tblPr>
        <w:tblW w:w="0" w:type="auto"/>
        <w:tblCellMar>
          <w:left w:w="70" w:type="dxa"/>
          <w:right w:w="70" w:type="dxa"/>
        </w:tblCellMar>
        <w:tblLook w:val="04A0" w:firstRow="1" w:lastRow="0" w:firstColumn="1" w:lastColumn="0" w:noHBand="0" w:noVBand="1"/>
      </w:tblPr>
      <w:tblGrid>
        <w:gridCol w:w="2353"/>
        <w:gridCol w:w="1786"/>
        <w:gridCol w:w="3486"/>
        <w:gridCol w:w="2018"/>
        <w:gridCol w:w="1585"/>
      </w:tblGrid>
      <w:tr w:rsidR="001F7E86" w:rsidRPr="001F7E86" w14:paraId="67342F73"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C2BD5E1"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Scientific Names</w:t>
            </w:r>
          </w:p>
        </w:tc>
        <w:tc>
          <w:tcPr>
            <w:tcW w:w="0" w:type="auto"/>
            <w:tcBorders>
              <w:top w:val="single" w:sz="8" w:space="0" w:color="7F7F7F"/>
              <w:left w:val="nil"/>
              <w:bottom w:val="single" w:sz="8" w:space="0" w:color="7F7F7F"/>
              <w:right w:val="nil"/>
            </w:tcBorders>
            <w:vAlign w:val="center"/>
            <w:hideMark/>
          </w:tcPr>
          <w:p w14:paraId="18B8FEB8" w14:textId="77777777" w:rsidR="007C0956" w:rsidRPr="007C0956" w:rsidRDefault="007C0956" w:rsidP="001F7E86">
            <w:pPr>
              <w:jc w:val="both"/>
              <w:rPr>
                <w:rFonts w:ascii="Arial" w:hAnsi="Arial" w:cs="Arial"/>
                <w:b/>
                <w:bCs/>
                <w:color w:val="000000"/>
                <w:lang w:val="fr-FR" w:eastAsia="fr-FR"/>
              </w:rPr>
            </w:pPr>
            <w:proofErr w:type="spellStart"/>
            <w:r w:rsidRPr="007C0956">
              <w:rPr>
                <w:rFonts w:ascii="Arial" w:hAnsi="Arial" w:cs="Arial"/>
                <w:b/>
                <w:bCs/>
                <w:color w:val="000000"/>
                <w:lang w:val="fr-FR" w:eastAsia="fr-FR"/>
              </w:rPr>
              <w:t>Families</w:t>
            </w:r>
            <w:proofErr w:type="spellEnd"/>
          </w:p>
        </w:tc>
        <w:tc>
          <w:tcPr>
            <w:tcW w:w="0" w:type="auto"/>
            <w:tcBorders>
              <w:top w:val="single" w:sz="8" w:space="0" w:color="7F7F7F"/>
              <w:left w:val="nil"/>
              <w:bottom w:val="single" w:sz="8" w:space="0" w:color="7F7F7F"/>
              <w:right w:val="nil"/>
            </w:tcBorders>
            <w:vAlign w:val="center"/>
            <w:hideMark/>
          </w:tcPr>
          <w:p w14:paraId="0C10947D"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Common Names (French/Bambara)</w:t>
            </w:r>
          </w:p>
        </w:tc>
        <w:tc>
          <w:tcPr>
            <w:tcW w:w="0" w:type="auto"/>
            <w:tcBorders>
              <w:top w:val="single" w:sz="8" w:space="0" w:color="7F7F7F"/>
              <w:left w:val="nil"/>
              <w:bottom w:val="single" w:sz="8" w:space="0" w:color="7F7F7F"/>
              <w:right w:val="nil"/>
            </w:tcBorders>
            <w:vAlign w:val="center"/>
            <w:hideMark/>
          </w:tcPr>
          <w:p w14:paraId="731D495D" w14:textId="77777777" w:rsidR="007C0956" w:rsidRPr="007C0956" w:rsidRDefault="007C0956" w:rsidP="001F7E86">
            <w:pPr>
              <w:rPr>
                <w:rFonts w:ascii="Arial" w:hAnsi="Arial" w:cs="Arial"/>
                <w:b/>
                <w:bCs/>
                <w:color w:val="000000"/>
                <w:lang w:val="fr-FR" w:eastAsia="fr-FR"/>
              </w:rPr>
            </w:pPr>
            <w:r w:rsidRPr="007C0956">
              <w:rPr>
                <w:rFonts w:ascii="Arial" w:hAnsi="Arial" w:cs="Arial"/>
                <w:b/>
                <w:bCs/>
                <w:color w:val="000000"/>
                <w:lang w:val="fr-FR" w:eastAsia="fr-FR"/>
              </w:rPr>
              <w:t>Number of citations</w:t>
            </w:r>
          </w:p>
        </w:tc>
        <w:tc>
          <w:tcPr>
            <w:tcW w:w="0" w:type="auto"/>
            <w:tcBorders>
              <w:top w:val="single" w:sz="8" w:space="0" w:color="7F7F7F"/>
              <w:left w:val="nil"/>
              <w:bottom w:val="single" w:sz="8" w:space="0" w:color="7F7F7F"/>
              <w:right w:val="nil"/>
            </w:tcBorders>
            <w:vAlign w:val="center"/>
            <w:hideMark/>
          </w:tcPr>
          <w:p w14:paraId="45945957"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Percentage (%)</w:t>
            </w:r>
          </w:p>
        </w:tc>
      </w:tr>
      <w:tr w:rsidR="007110B0" w:rsidRPr="001F7E86" w14:paraId="274BF8B7" w14:textId="77777777" w:rsidTr="001F7E86">
        <w:trPr>
          <w:trHeight w:val="227"/>
        </w:trPr>
        <w:tc>
          <w:tcPr>
            <w:tcW w:w="0" w:type="auto"/>
            <w:tcBorders>
              <w:top w:val="nil"/>
              <w:left w:val="nil"/>
              <w:bottom w:val="single" w:sz="8" w:space="0" w:color="7F7F7F"/>
              <w:right w:val="nil"/>
            </w:tcBorders>
            <w:vAlign w:val="center"/>
            <w:hideMark/>
          </w:tcPr>
          <w:p w14:paraId="580D4E9B" w14:textId="3E5E2D87" w:rsidR="007110B0" w:rsidRPr="007C0956" w:rsidRDefault="007110B0" w:rsidP="007110B0">
            <w:pPr>
              <w:jc w:val="both"/>
              <w:rPr>
                <w:rFonts w:ascii="Arial" w:hAnsi="Arial" w:cs="Arial"/>
                <w:b/>
                <w:bCs/>
                <w:i/>
                <w:iCs/>
                <w:color w:val="000000"/>
                <w:lang w:val="fr-FR" w:eastAsia="fr-FR"/>
              </w:rPr>
            </w:pPr>
            <w:proofErr w:type="spellStart"/>
            <w:r w:rsidRPr="007C0956">
              <w:rPr>
                <w:rFonts w:ascii="Arial" w:hAnsi="Arial" w:cs="Arial"/>
                <w:b/>
                <w:bCs/>
                <w:i/>
                <w:iCs/>
                <w:color w:val="000000"/>
                <w:lang w:val="fr-FR" w:eastAsia="fr-FR"/>
              </w:rPr>
              <w:t>Mangifera</w:t>
            </w:r>
            <w:proofErr w:type="spellEnd"/>
            <w:r w:rsidRPr="007C0956">
              <w:rPr>
                <w:rFonts w:ascii="Arial" w:hAnsi="Arial" w:cs="Arial"/>
                <w:b/>
                <w:bCs/>
                <w:i/>
                <w:iCs/>
                <w:color w:val="000000"/>
                <w:lang w:val="fr-FR" w:eastAsia="fr-FR"/>
              </w:rPr>
              <w:t xml:space="preserve"> </w:t>
            </w:r>
            <w:proofErr w:type="spellStart"/>
            <w:r w:rsidRPr="007C0956">
              <w:rPr>
                <w:rFonts w:ascii="Arial" w:hAnsi="Arial" w:cs="Arial"/>
                <w:b/>
                <w:bCs/>
                <w:i/>
                <w:iCs/>
                <w:color w:val="000000"/>
                <w:lang w:val="fr-FR" w:eastAsia="fr-FR"/>
              </w:rPr>
              <w:t>indica</w:t>
            </w:r>
            <w:proofErr w:type="spellEnd"/>
            <w:r w:rsidRPr="007C0956">
              <w:rPr>
                <w:rFonts w:ascii="Arial" w:hAnsi="Arial" w:cs="Arial"/>
                <w:b/>
                <w:bCs/>
                <w:i/>
                <w:iCs/>
                <w:color w:val="000000"/>
                <w:lang w:val="fr-FR" w:eastAsia="fr-FR"/>
              </w:rPr>
              <w:t xml:space="preserve"> </w:t>
            </w:r>
          </w:p>
        </w:tc>
        <w:tc>
          <w:tcPr>
            <w:tcW w:w="0" w:type="auto"/>
            <w:tcBorders>
              <w:top w:val="nil"/>
              <w:left w:val="nil"/>
              <w:bottom w:val="single" w:sz="8" w:space="0" w:color="7F7F7F"/>
              <w:right w:val="nil"/>
            </w:tcBorders>
            <w:vAlign w:val="center"/>
            <w:hideMark/>
          </w:tcPr>
          <w:p w14:paraId="118D6581" w14:textId="77777777" w:rsidR="007110B0" w:rsidRPr="007C0956" w:rsidRDefault="007110B0" w:rsidP="007110B0">
            <w:pPr>
              <w:jc w:val="both"/>
              <w:rPr>
                <w:rFonts w:ascii="Arial" w:hAnsi="Arial" w:cs="Arial"/>
                <w:b/>
                <w:bCs/>
                <w:color w:val="000000"/>
                <w:lang w:val="fr-FR" w:eastAsia="fr-FR"/>
              </w:rPr>
            </w:pPr>
            <w:proofErr w:type="spellStart"/>
            <w:r w:rsidRPr="007C0956">
              <w:rPr>
                <w:rFonts w:ascii="Arial" w:hAnsi="Arial" w:cs="Arial"/>
                <w:b/>
                <w:bCs/>
                <w:color w:val="000000"/>
                <w:lang w:val="fr-FR" w:eastAsia="fr-FR"/>
              </w:rPr>
              <w:t>Anacardiaceae</w:t>
            </w:r>
            <w:proofErr w:type="spellEnd"/>
          </w:p>
        </w:tc>
        <w:tc>
          <w:tcPr>
            <w:tcW w:w="0" w:type="auto"/>
            <w:tcBorders>
              <w:top w:val="nil"/>
              <w:left w:val="nil"/>
              <w:bottom w:val="single" w:sz="8" w:space="0" w:color="7F7F7F"/>
              <w:right w:val="nil"/>
            </w:tcBorders>
            <w:vAlign w:val="center"/>
            <w:hideMark/>
          </w:tcPr>
          <w:p w14:paraId="787BCD7E" w14:textId="77777777" w:rsidR="007110B0" w:rsidRPr="007C0956" w:rsidRDefault="007110B0" w:rsidP="007110B0">
            <w:pPr>
              <w:jc w:val="both"/>
              <w:rPr>
                <w:rFonts w:ascii="Arial" w:hAnsi="Arial" w:cs="Arial"/>
                <w:b/>
                <w:bCs/>
                <w:color w:val="000000"/>
                <w:lang w:val="fr-FR" w:eastAsia="fr-FR"/>
              </w:rPr>
            </w:pPr>
            <w:r w:rsidRPr="007C0956">
              <w:rPr>
                <w:rFonts w:ascii="Arial" w:hAnsi="Arial" w:cs="Arial"/>
                <w:b/>
                <w:bCs/>
                <w:color w:val="000000"/>
                <w:lang w:val="fr-FR" w:eastAsia="fr-FR"/>
              </w:rPr>
              <w:t xml:space="preserve">Manguier / </w:t>
            </w:r>
            <w:proofErr w:type="spellStart"/>
            <w:r w:rsidRPr="007C0956">
              <w:rPr>
                <w:rFonts w:ascii="Arial" w:hAnsi="Arial" w:cs="Arial"/>
                <w:b/>
                <w:bCs/>
                <w:color w:val="000000"/>
                <w:lang w:val="fr-FR" w:eastAsia="fr-FR"/>
              </w:rPr>
              <w:t>Mangoro</w:t>
            </w:r>
            <w:proofErr w:type="spellEnd"/>
            <w:r w:rsidRPr="007C0956">
              <w:rPr>
                <w:rFonts w:ascii="Arial" w:hAnsi="Arial" w:cs="Arial"/>
                <w:b/>
                <w:bCs/>
                <w:color w:val="000000"/>
                <w:lang w:val="fr-FR" w:eastAsia="fr-FR"/>
              </w:rPr>
              <w:t xml:space="preserve"> </w:t>
            </w:r>
            <w:proofErr w:type="spellStart"/>
            <w:r w:rsidRPr="007C0956">
              <w:rPr>
                <w:rFonts w:ascii="Arial" w:hAnsi="Arial" w:cs="Arial"/>
                <w:b/>
                <w:bCs/>
                <w:color w:val="000000"/>
                <w:lang w:val="fr-FR" w:eastAsia="fr-FR"/>
              </w:rPr>
              <w:t>sun</w:t>
            </w:r>
            <w:proofErr w:type="spellEnd"/>
          </w:p>
        </w:tc>
        <w:tc>
          <w:tcPr>
            <w:tcW w:w="0" w:type="auto"/>
            <w:tcBorders>
              <w:top w:val="nil"/>
              <w:left w:val="nil"/>
              <w:bottom w:val="single" w:sz="8" w:space="0" w:color="7F7F7F"/>
              <w:right w:val="nil"/>
            </w:tcBorders>
            <w:vAlign w:val="center"/>
            <w:hideMark/>
          </w:tcPr>
          <w:p w14:paraId="40874D7D" w14:textId="77777777" w:rsidR="007110B0" w:rsidRPr="007C0956" w:rsidRDefault="007110B0" w:rsidP="007110B0">
            <w:pPr>
              <w:jc w:val="both"/>
              <w:rPr>
                <w:rFonts w:ascii="Arial" w:hAnsi="Arial" w:cs="Arial"/>
                <w:b/>
                <w:bCs/>
                <w:color w:val="000000"/>
                <w:lang w:val="fr-FR" w:eastAsia="fr-FR"/>
              </w:rPr>
            </w:pPr>
            <w:r w:rsidRPr="007C0956">
              <w:rPr>
                <w:rFonts w:ascii="Arial" w:hAnsi="Arial" w:cs="Arial"/>
                <w:b/>
                <w:bCs/>
                <w:color w:val="000000"/>
                <w:lang w:val="fr-FR" w:eastAsia="fr-FR"/>
              </w:rPr>
              <w:t>66</w:t>
            </w:r>
          </w:p>
        </w:tc>
        <w:tc>
          <w:tcPr>
            <w:tcW w:w="0" w:type="auto"/>
            <w:tcBorders>
              <w:top w:val="nil"/>
              <w:left w:val="nil"/>
              <w:bottom w:val="single" w:sz="8" w:space="0" w:color="7F7F7F"/>
              <w:right w:val="nil"/>
            </w:tcBorders>
            <w:vAlign w:val="center"/>
            <w:hideMark/>
          </w:tcPr>
          <w:p w14:paraId="21B491D9" w14:textId="77777777" w:rsidR="007110B0" w:rsidRPr="007C0956" w:rsidRDefault="007110B0" w:rsidP="007110B0">
            <w:pPr>
              <w:jc w:val="both"/>
              <w:rPr>
                <w:rFonts w:ascii="Arial" w:hAnsi="Arial" w:cs="Arial"/>
                <w:b/>
                <w:bCs/>
                <w:color w:val="000000"/>
                <w:lang w:val="fr-FR" w:eastAsia="fr-FR"/>
              </w:rPr>
            </w:pPr>
            <w:r w:rsidRPr="007C0956">
              <w:rPr>
                <w:rFonts w:ascii="Arial" w:hAnsi="Arial" w:cs="Arial"/>
                <w:b/>
                <w:bCs/>
                <w:color w:val="000000"/>
                <w:lang w:val="fr-FR" w:eastAsia="fr-FR"/>
              </w:rPr>
              <w:t>66.06</w:t>
            </w:r>
          </w:p>
        </w:tc>
      </w:tr>
      <w:tr w:rsidR="007110B0" w:rsidRPr="001F7E86" w14:paraId="36DF4EBA" w14:textId="77777777" w:rsidTr="001F7E86">
        <w:trPr>
          <w:trHeight w:val="227"/>
        </w:trPr>
        <w:tc>
          <w:tcPr>
            <w:tcW w:w="0" w:type="auto"/>
            <w:tcBorders>
              <w:top w:val="nil"/>
              <w:left w:val="nil"/>
              <w:bottom w:val="nil"/>
              <w:right w:val="nil"/>
            </w:tcBorders>
            <w:vAlign w:val="center"/>
            <w:hideMark/>
          </w:tcPr>
          <w:p w14:paraId="289157E1" w14:textId="6FCE5A5C" w:rsidR="007110B0" w:rsidRPr="007C0956" w:rsidRDefault="007110B0" w:rsidP="007110B0">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Carica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papaya</w:t>
            </w:r>
            <w:proofErr w:type="spellEnd"/>
            <w:r w:rsidRPr="007C0956">
              <w:rPr>
                <w:rFonts w:ascii="Arial" w:hAnsi="Arial" w:cs="Arial"/>
                <w:i/>
                <w:iCs/>
                <w:color w:val="000000"/>
                <w:lang w:val="fr-FR" w:eastAsia="fr-FR"/>
              </w:rPr>
              <w:t xml:space="preserve"> </w:t>
            </w:r>
          </w:p>
        </w:tc>
        <w:tc>
          <w:tcPr>
            <w:tcW w:w="0" w:type="auto"/>
            <w:tcBorders>
              <w:top w:val="nil"/>
              <w:left w:val="nil"/>
              <w:bottom w:val="nil"/>
              <w:right w:val="nil"/>
            </w:tcBorders>
            <w:vAlign w:val="center"/>
            <w:hideMark/>
          </w:tcPr>
          <w:p w14:paraId="6AE50C95"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Caricaceae</w:t>
            </w:r>
            <w:proofErr w:type="spellEnd"/>
          </w:p>
        </w:tc>
        <w:tc>
          <w:tcPr>
            <w:tcW w:w="0" w:type="auto"/>
            <w:tcBorders>
              <w:top w:val="nil"/>
              <w:left w:val="nil"/>
              <w:bottom w:val="nil"/>
              <w:right w:val="nil"/>
            </w:tcBorders>
            <w:vAlign w:val="center"/>
            <w:hideMark/>
          </w:tcPr>
          <w:p w14:paraId="702092A8"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Papayer / </w:t>
            </w:r>
            <w:proofErr w:type="spellStart"/>
            <w:r w:rsidRPr="007C0956">
              <w:rPr>
                <w:rFonts w:ascii="Arial" w:hAnsi="Arial" w:cs="Arial"/>
                <w:color w:val="000000"/>
                <w:lang w:val="fr-FR" w:eastAsia="fr-FR"/>
              </w:rPr>
              <w:t>mandjé</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CA731D7"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32</w:t>
            </w:r>
          </w:p>
        </w:tc>
        <w:tc>
          <w:tcPr>
            <w:tcW w:w="0" w:type="auto"/>
            <w:tcBorders>
              <w:top w:val="nil"/>
              <w:left w:val="nil"/>
              <w:bottom w:val="nil"/>
              <w:right w:val="nil"/>
            </w:tcBorders>
            <w:vAlign w:val="center"/>
            <w:hideMark/>
          </w:tcPr>
          <w:p w14:paraId="252FD3DB"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12.64</w:t>
            </w:r>
          </w:p>
        </w:tc>
      </w:tr>
      <w:tr w:rsidR="007110B0" w:rsidRPr="001F7E86" w14:paraId="029FEC62" w14:textId="77777777" w:rsidTr="001F7E86">
        <w:trPr>
          <w:trHeight w:val="227"/>
        </w:trPr>
        <w:tc>
          <w:tcPr>
            <w:tcW w:w="0" w:type="auto"/>
            <w:tcBorders>
              <w:top w:val="single" w:sz="8" w:space="0" w:color="7F7F7F"/>
              <w:left w:val="nil"/>
              <w:bottom w:val="single" w:sz="8" w:space="0" w:color="7F7F7F"/>
              <w:right w:val="nil"/>
            </w:tcBorders>
            <w:vAlign w:val="center"/>
            <w:hideMark/>
          </w:tcPr>
          <w:p w14:paraId="2FDC0B11" w14:textId="32DC5584"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Citrus (Limon)</w:t>
            </w:r>
          </w:p>
        </w:tc>
        <w:tc>
          <w:tcPr>
            <w:tcW w:w="0" w:type="auto"/>
            <w:tcBorders>
              <w:top w:val="single" w:sz="8" w:space="0" w:color="7F7F7F"/>
              <w:left w:val="nil"/>
              <w:bottom w:val="single" w:sz="8" w:space="0" w:color="7F7F7F"/>
              <w:right w:val="nil"/>
            </w:tcBorders>
            <w:vAlign w:val="center"/>
            <w:hideMark/>
          </w:tcPr>
          <w:p w14:paraId="27A14852" w14:textId="7CF67CBA" w:rsidR="007110B0" w:rsidRPr="007C0956" w:rsidRDefault="007110B0" w:rsidP="007110B0">
            <w:pPr>
              <w:pStyle w:val="Body"/>
              <w:spacing w:after="0"/>
              <w:rPr>
                <w:rFonts w:ascii="Arial" w:hAnsi="Arial" w:cs="Arial"/>
                <w:lang w:val="fr-FR"/>
              </w:rPr>
            </w:pPr>
            <w:r w:rsidRPr="007C0956">
              <w:rPr>
                <w:rFonts w:ascii="Arial" w:hAnsi="Arial" w:cs="Arial"/>
                <w:color w:val="000000"/>
                <w:lang w:val="fr-FR" w:eastAsia="fr-FR"/>
              </w:rPr>
              <w:t> </w:t>
            </w:r>
            <w:proofErr w:type="spellStart"/>
            <w:r w:rsidRPr="001F7E86">
              <w:rPr>
                <w:rFonts w:ascii="Arial" w:hAnsi="Arial" w:cs="Arial"/>
                <w:lang w:val="fr-FR"/>
              </w:rPr>
              <w:t>Rutaceae</w:t>
            </w:r>
            <w:proofErr w:type="spellEnd"/>
          </w:p>
        </w:tc>
        <w:tc>
          <w:tcPr>
            <w:tcW w:w="0" w:type="auto"/>
            <w:tcBorders>
              <w:top w:val="single" w:sz="8" w:space="0" w:color="7F7F7F"/>
              <w:left w:val="nil"/>
              <w:bottom w:val="single" w:sz="8" w:space="0" w:color="7F7F7F"/>
              <w:right w:val="nil"/>
            </w:tcBorders>
            <w:vAlign w:val="center"/>
            <w:hideMark/>
          </w:tcPr>
          <w:p w14:paraId="71602DA7"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Citronnier / </w:t>
            </w:r>
            <w:proofErr w:type="spellStart"/>
            <w:r w:rsidRPr="007C0956">
              <w:rPr>
                <w:rFonts w:ascii="Arial" w:hAnsi="Arial" w:cs="Arial"/>
                <w:color w:val="000000"/>
                <w:lang w:val="fr-FR" w:eastAsia="fr-FR"/>
              </w:rPr>
              <w:t>lémouroukoumouni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11C464E5"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28</w:t>
            </w:r>
          </w:p>
        </w:tc>
        <w:tc>
          <w:tcPr>
            <w:tcW w:w="0" w:type="auto"/>
            <w:tcBorders>
              <w:top w:val="single" w:sz="8" w:space="0" w:color="7F7F7F"/>
              <w:left w:val="nil"/>
              <w:bottom w:val="single" w:sz="8" w:space="0" w:color="7F7F7F"/>
              <w:right w:val="nil"/>
            </w:tcBorders>
            <w:vAlign w:val="center"/>
            <w:hideMark/>
          </w:tcPr>
          <w:p w14:paraId="365F572B"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11.09</w:t>
            </w:r>
          </w:p>
        </w:tc>
      </w:tr>
      <w:tr w:rsidR="007110B0" w:rsidRPr="001F7E86" w14:paraId="0BE9E439" w14:textId="77777777" w:rsidTr="001F7E86">
        <w:trPr>
          <w:trHeight w:val="227"/>
        </w:trPr>
        <w:tc>
          <w:tcPr>
            <w:tcW w:w="0" w:type="auto"/>
            <w:tcBorders>
              <w:top w:val="nil"/>
              <w:left w:val="nil"/>
              <w:bottom w:val="nil"/>
              <w:right w:val="nil"/>
            </w:tcBorders>
            <w:vAlign w:val="center"/>
            <w:hideMark/>
          </w:tcPr>
          <w:p w14:paraId="4C3C2452" w14:textId="4EA385D8" w:rsidR="007110B0" w:rsidRPr="007C0956" w:rsidRDefault="007110B0" w:rsidP="007110B0">
            <w:pPr>
              <w:jc w:val="both"/>
              <w:rPr>
                <w:rFonts w:ascii="Arial" w:hAnsi="Arial" w:cs="Arial"/>
                <w:i/>
                <w:iCs/>
                <w:color w:val="000000"/>
                <w:lang w:val="fr-FR" w:eastAsia="fr-FR"/>
              </w:rPr>
            </w:pPr>
            <w:proofErr w:type="spellStart"/>
            <w:r w:rsidRPr="005F2C49">
              <w:rPr>
                <w:rFonts w:ascii="Arial" w:hAnsi="Arial" w:cs="Arial"/>
                <w:i/>
                <w:iCs/>
                <w:color w:val="000000"/>
                <w:lang w:val="fr-FR" w:eastAsia="fr-FR"/>
              </w:rPr>
              <w:t>Mentha</w:t>
            </w:r>
            <w:proofErr w:type="spellEnd"/>
            <w:r w:rsidRPr="005F2C49">
              <w:rPr>
                <w:rFonts w:ascii="Arial" w:hAnsi="Arial" w:cs="Arial"/>
                <w:i/>
                <w:iCs/>
                <w:color w:val="000000"/>
                <w:lang w:val="fr-FR" w:eastAsia="fr-FR"/>
              </w:rPr>
              <w:t xml:space="preserve"> </w:t>
            </w:r>
            <w:proofErr w:type="spellStart"/>
            <w:r w:rsidRPr="005F2C49">
              <w:rPr>
                <w:rFonts w:ascii="Arial" w:hAnsi="Arial" w:cs="Arial"/>
                <w:i/>
                <w:iCs/>
                <w:color w:val="000000"/>
                <w:lang w:val="fr-FR" w:eastAsia="fr-FR"/>
              </w:rPr>
              <w:t>spicata</w:t>
            </w:r>
            <w:proofErr w:type="spellEnd"/>
          </w:p>
        </w:tc>
        <w:tc>
          <w:tcPr>
            <w:tcW w:w="0" w:type="auto"/>
            <w:tcBorders>
              <w:top w:val="nil"/>
              <w:left w:val="nil"/>
              <w:bottom w:val="nil"/>
              <w:right w:val="nil"/>
            </w:tcBorders>
            <w:vAlign w:val="center"/>
            <w:hideMark/>
          </w:tcPr>
          <w:p w14:paraId="3A4A4AE3"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Lamiaceae</w:t>
            </w:r>
            <w:proofErr w:type="spellEnd"/>
          </w:p>
        </w:tc>
        <w:tc>
          <w:tcPr>
            <w:tcW w:w="0" w:type="auto"/>
            <w:tcBorders>
              <w:top w:val="nil"/>
              <w:left w:val="nil"/>
              <w:bottom w:val="nil"/>
              <w:right w:val="nil"/>
            </w:tcBorders>
            <w:vAlign w:val="center"/>
            <w:hideMark/>
          </w:tcPr>
          <w:p w14:paraId="4F27C2ED"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Menthe / </w:t>
            </w:r>
            <w:proofErr w:type="spellStart"/>
            <w:r w:rsidRPr="007C0956">
              <w:rPr>
                <w:rFonts w:ascii="Arial" w:hAnsi="Arial" w:cs="Arial"/>
                <w:color w:val="000000"/>
                <w:lang w:val="fr-FR" w:eastAsia="fr-FR"/>
              </w:rPr>
              <w:t>nanayé</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436DDD7B"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19</w:t>
            </w:r>
          </w:p>
        </w:tc>
        <w:tc>
          <w:tcPr>
            <w:tcW w:w="0" w:type="auto"/>
            <w:tcBorders>
              <w:top w:val="nil"/>
              <w:left w:val="nil"/>
              <w:bottom w:val="nil"/>
              <w:right w:val="nil"/>
            </w:tcBorders>
            <w:vAlign w:val="center"/>
            <w:hideMark/>
          </w:tcPr>
          <w:p w14:paraId="68D69A49"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7.50</w:t>
            </w:r>
          </w:p>
        </w:tc>
      </w:tr>
      <w:tr w:rsidR="007110B0" w:rsidRPr="001F7E86" w14:paraId="319C7F67" w14:textId="77777777" w:rsidTr="001F7E86">
        <w:trPr>
          <w:trHeight w:val="227"/>
        </w:trPr>
        <w:tc>
          <w:tcPr>
            <w:tcW w:w="0" w:type="auto"/>
            <w:tcBorders>
              <w:top w:val="single" w:sz="8" w:space="0" w:color="7F7F7F"/>
              <w:left w:val="nil"/>
              <w:bottom w:val="single" w:sz="8" w:space="0" w:color="7F7F7F"/>
              <w:right w:val="nil"/>
            </w:tcBorders>
            <w:vAlign w:val="center"/>
            <w:hideMark/>
          </w:tcPr>
          <w:p w14:paraId="26E5224B" w14:textId="6697E8C5"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 xml:space="preserve">Moringa </w:t>
            </w:r>
            <w:proofErr w:type="spellStart"/>
            <w:r w:rsidRPr="007C0956">
              <w:rPr>
                <w:rFonts w:ascii="Arial" w:hAnsi="Arial" w:cs="Arial"/>
                <w:i/>
                <w:iCs/>
                <w:color w:val="000000"/>
                <w:lang w:val="fr-FR" w:eastAsia="fr-FR"/>
              </w:rPr>
              <w:t>oleifera</w:t>
            </w:r>
            <w:proofErr w:type="spellEnd"/>
            <w:r w:rsidRPr="007C0956">
              <w:rPr>
                <w:rFonts w:ascii="Arial" w:hAnsi="Arial" w:cs="Arial"/>
                <w:i/>
                <w:iCs/>
                <w:color w:val="000000"/>
                <w:lang w:val="fr-FR" w:eastAsia="fr-FR"/>
              </w:rPr>
              <w:t xml:space="preserve"> </w:t>
            </w:r>
          </w:p>
        </w:tc>
        <w:tc>
          <w:tcPr>
            <w:tcW w:w="0" w:type="auto"/>
            <w:tcBorders>
              <w:top w:val="single" w:sz="8" w:space="0" w:color="7F7F7F"/>
              <w:left w:val="nil"/>
              <w:bottom w:val="single" w:sz="8" w:space="0" w:color="7F7F7F"/>
              <w:right w:val="nil"/>
            </w:tcBorders>
            <w:vAlign w:val="center"/>
            <w:hideMark/>
          </w:tcPr>
          <w:p w14:paraId="3F616AF1"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Moringaceae</w:t>
            </w:r>
            <w:proofErr w:type="spellEnd"/>
          </w:p>
        </w:tc>
        <w:tc>
          <w:tcPr>
            <w:tcW w:w="0" w:type="auto"/>
            <w:tcBorders>
              <w:top w:val="single" w:sz="8" w:space="0" w:color="7F7F7F"/>
              <w:left w:val="nil"/>
              <w:bottom w:val="single" w:sz="8" w:space="0" w:color="7F7F7F"/>
              <w:right w:val="nil"/>
            </w:tcBorders>
            <w:vAlign w:val="center"/>
            <w:hideMark/>
          </w:tcPr>
          <w:p w14:paraId="17507546"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Moringa / </w:t>
            </w:r>
            <w:proofErr w:type="spellStart"/>
            <w:r w:rsidRPr="007C0956">
              <w:rPr>
                <w:rFonts w:ascii="Arial" w:hAnsi="Arial" w:cs="Arial"/>
                <w:color w:val="000000"/>
                <w:lang w:val="fr-FR" w:eastAsia="fr-FR"/>
              </w:rPr>
              <w:t>bachiyirini</w:t>
            </w:r>
            <w:proofErr w:type="spellEnd"/>
            <w:r w:rsidRPr="007C0956">
              <w:rPr>
                <w:rFonts w:ascii="Arial" w:hAnsi="Arial" w:cs="Arial"/>
                <w:color w:val="000000"/>
                <w:lang w:val="fr-FR" w:eastAsia="fr-FR"/>
              </w:rPr>
              <w:t xml:space="preserve"> </w:t>
            </w:r>
          </w:p>
        </w:tc>
        <w:tc>
          <w:tcPr>
            <w:tcW w:w="0" w:type="auto"/>
            <w:tcBorders>
              <w:top w:val="single" w:sz="8" w:space="0" w:color="7F7F7F"/>
              <w:left w:val="nil"/>
              <w:bottom w:val="single" w:sz="8" w:space="0" w:color="7F7F7F"/>
              <w:right w:val="nil"/>
            </w:tcBorders>
            <w:vAlign w:val="center"/>
            <w:hideMark/>
          </w:tcPr>
          <w:p w14:paraId="04AFAA1E"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18</w:t>
            </w:r>
          </w:p>
        </w:tc>
        <w:tc>
          <w:tcPr>
            <w:tcW w:w="0" w:type="auto"/>
            <w:tcBorders>
              <w:top w:val="single" w:sz="8" w:space="0" w:color="7F7F7F"/>
              <w:left w:val="nil"/>
              <w:bottom w:val="single" w:sz="8" w:space="0" w:color="7F7F7F"/>
              <w:right w:val="nil"/>
            </w:tcBorders>
            <w:vAlign w:val="center"/>
            <w:hideMark/>
          </w:tcPr>
          <w:p w14:paraId="621DF067"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7.11</w:t>
            </w:r>
          </w:p>
        </w:tc>
      </w:tr>
      <w:tr w:rsidR="007110B0" w:rsidRPr="001F7E86" w14:paraId="2A900C5C" w14:textId="77777777" w:rsidTr="001F7E86">
        <w:trPr>
          <w:trHeight w:val="227"/>
        </w:trPr>
        <w:tc>
          <w:tcPr>
            <w:tcW w:w="0" w:type="auto"/>
            <w:tcBorders>
              <w:top w:val="nil"/>
              <w:left w:val="nil"/>
              <w:bottom w:val="nil"/>
              <w:right w:val="nil"/>
            </w:tcBorders>
            <w:vAlign w:val="center"/>
            <w:hideMark/>
          </w:tcPr>
          <w:p w14:paraId="5BD0600B" w14:textId="128C2B66"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 xml:space="preserve">Musa </w:t>
            </w:r>
            <w:r w:rsidRPr="005F2C49">
              <w:rPr>
                <w:rFonts w:ascii="Arial" w:hAnsi="Arial" w:cs="Arial"/>
                <w:i/>
                <w:iCs/>
                <w:color w:val="000000"/>
                <w:lang w:eastAsia="fr-FR"/>
              </w:rPr>
              <w:t>paradisiaca</w:t>
            </w:r>
          </w:p>
        </w:tc>
        <w:tc>
          <w:tcPr>
            <w:tcW w:w="0" w:type="auto"/>
            <w:tcBorders>
              <w:top w:val="nil"/>
              <w:left w:val="nil"/>
              <w:bottom w:val="nil"/>
              <w:right w:val="nil"/>
            </w:tcBorders>
            <w:vAlign w:val="center"/>
            <w:hideMark/>
          </w:tcPr>
          <w:p w14:paraId="640166BA"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Musaceae</w:t>
            </w:r>
            <w:proofErr w:type="spellEnd"/>
          </w:p>
        </w:tc>
        <w:tc>
          <w:tcPr>
            <w:tcW w:w="0" w:type="auto"/>
            <w:tcBorders>
              <w:top w:val="nil"/>
              <w:left w:val="nil"/>
              <w:bottom w:val="nil"/>
              <w:right w:val="nil"/>
            </w:tcBorders>
            <w:vAlign w:val="center"/>
            <w:hideMark/>
          </w:tcPr>
          <w:p w14:paraId="24CEDA85"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Bananier / </w:t>
            </w:r>
            <w:proofErr w:type="spellStart"/>
            <w:r w:rsidRPr="007C0956">
              <w:rPr>
                <w:rFonts w:ascii="Arial" w:hAnsi="Arial" w:cs="Arial"/>
                <w:color w:val="000000"/>
                <w:lang w:val="fr-FR" w:eastAsia="fr-FR"/>
              </w:rPr>
              <w:t>namassa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EA1D7D7"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15</w:t>
            </w:r>
          </w:p>
        </w:tc>
        <w:tc>
          <w:tcPr>
            <w:tcW w:w="0" w:type="auto"/>
            <w:tcBorders>
              <w:top w:val="nil"/>
              <w:left w:val="nil"/>
              <w:bottom w:val="nil"/>
              <w:right w:val="nil"/>
            </w:tcBorders>
            <w:vAlign w:val="center"/>
            <w:hideMark/>
          </w:tcPr>
          <w:p w14:paraId="11E21D70"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5.92</w:t>
            </w:r>
          </w:p>
        </w:tc>
      </w:tr>
      <w:tr w:rsidR="007110B0" w:rsidRPr="001F7E86" w14:paraId="29FC0874" w14:textId="77777777" w:rsidTr="001F7E86">
        <w:trPr>
          <w:trHeight w:val="227"/>
        </w:trPr>
        <w:tc>
          <w:tcPr>
            <w:tcW w:w="0" w:type="auto"/>
            <w:tcBorders>
              <w:top w:val="single" w:sz="8" w:space="0" w:color="7F7F7F"/>
              <w:left w:val="nil"/>
              <w:bottom w:val="single" w:sz="8" w:space="0" w:color="7F7F7F"/>
              <w:right w:val="nil"/>
            </w:tcBorders>
            <w:vAlign w:val="center"/>
            <w:hideMark/>
          </w:tcPr>
          <w:p w14:paraId="7336E183" w14:textId="3FA55DDE"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 xml:space="preserve">Citrus </w:t>
            </w:r>
            <w:proofErr w:type="spellStart"/>
            <w:r w:rsidRPr="007C0956">
              <w:rPr>
                <w:rFonts w:ascii="Arial" w:hAnsi="Arial" w:cs="Arial"/>
                <w:i/>
                <w:iCs/>
                <w:color w:val="000000"/>
                <w:lang w:val="fr-FR" w:eastAsia="fr-FR"/>
              </w:rPr>
              <w:t>sinensis</w:t>
            </w:r>
            <w:proofErr w:type="spellEnd"/>
          </w:p>
        </w:tc>
        <w:tc>
          <w:tcPr>
            <w:tcW w:w="0" w:type="auto"/>
            <w:tcBorders>
              <w:top w:val="single" w:sz="8" w:space="0" w:color="7F7F7F"/>
              <w:left w:val="nil"/>
              <w:bottom w:val="single" w:sz="8" w:space="0" w:color="7F7F7F"/>
              <w:right w:val="nil"/>
            </w:tcBorders>
            <w:vAlign w:val="center"/>
            <w:hideMark/>
          </w:tcPr>
          <w:p w14:paraId="1B76525B" w14:textId="77777777" w:rsidR="007110B0" w:rsidRPr="007C0956" w:rsidRDefault="007110B0" w:rsidP="007110B0">
            <w:pPr>
              <w:rPr>
                <w:rFonts w:ascii="Arial" w:hAnsi="Arial" w:cs="Arial"/>
                <w:color w:val="000000"/>
                <w:lang w:val="fr-FR" w:eastAsia="fr-FR"/>
              </w:rPr>
            </w:pPr>
            <w:proofErr w:type="spellStart"/>
            <w:r w:rsidRPr="007C0956">
              <w:rPr>
                <w:rFonts w:ascii="Arial" w:hAnsi="Arial" w:cs="Arial"/>
                <w:color w:val="000000"/>
                <w:lang w:val="fr-FR" w:eastAsia="fr-FR"/>
              </w:rPr>
              <w:t>Rutaceae</w:t>
            </w:r>
            <w:proofErr w:type="spellEnd"/>
          </w:p>
        </w:tc>
        <w:tc>
          <w:tcPr>
            <w:tcW w:w="0" w:type="auto"/>
            <w:tcBorders>
              <w:top w:val="single" w:sz="8" w:space="0" w:color="7F7F7F"/>
              <w:left w:val="nil"/>
              <w:bottom w:val="single" w:sz="8" w:space="0" w:color="7F7F7F"/>
              <w:right w:val="nil"/>
            </w:tcBorders>
            <w:vAlign w:val="center"/>
            <w:hideMark/>
          </w:tcPr>
          <w:p w14:paraId="254238F7"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Orangier</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lémourouba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78900F47"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10</w:t>
            </w:r>
          </w:p>
        </w:tc>
        <w:tc>
          <w:tcPr>
            <w:tcW w:w="0" w:type="auto"/>
            <w:tcBorders>
              <w:top w:val="single" w:sz="8" w:space="0" w:color="7F7F7F"/>
              <w:left w:val="nil"/>
              <w:bottom w:val="single" w:sz="8" w:space="0" w:color="7F7F7F"/>
              <w:right w:val="nil"/>
            </w:tcBorders>
            <w:vAlign w:val="center"/>
            <w:hideMark/>
          </w:tcPr>
          <w:p w14:paraId="49A715CC"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3.95</w:t>
            </w:r>
          </w:p>
        </w:tc>
      </w:tr>
      <w:tr w:rsidR="007110B0" w:rsidRPr="001F7E86" w14:paraId="1557B2B6" w14:textId="77777777" w:rsidTr="001F7E86">
        <w:trPr>
          <w:trHeight w:val="227"/>
        </w:trPr>
        <w:tc>
          <w:tcPr>
            <w:tcW w:w="0" w:type="auto"/>
            <w:tcBorders>
              <w:top w:val="nil"/>
              <w:left w:val="nil"/>
              <w:bottom w:val="nil"/>
              <w:right w:val="nil"/>
            </w:tcBorders>
            <w:vAlign w:val="center"/>
            <w:hideMark/>
          </w:tcPr>
          <w:p w14:paraId="44DD1FB5" w14:textId="444F3E08" w:rsidR="007110B0" w:rsidRPr="007C0956" w:rsidRDefault="007110B0" w:rsidP="007110B0">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Annona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muricata</w:t>
            </w:r>
            <w:proofErr w:type="spellEnd"/>
          </w:p>
        </w:tc>
        <w:tc>
          <w:tcPr>
            <w:tcW w:w="0" w:type="auto"/>
            <w:tcBorders>
              <w:top w:val="single" w:sz="8" w:space="0" w:color="7F7F7F"/>
              <w:left w:val="nil"/>
              <w:bottom w:val="single" w:sz="4" w:space="0" w:color="auto"/>
              <w:right w:val="nil"/>
            </w:tcBorders>
            <w:vAlign w:val="center"/>
            <w:hideMark/>
          </w:tcPr>
          <w:p w14:paraId="72164D39"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Annonaceae</w:t>
            </w:r>
            <w:proofErr w:type="spellEnd"/>
          </w:p>
        </w:tc>
        <w:tc>
          <w:tcPr>
            <w:tcW w:w="0" w:type="auto"/>
            <w:tcBorders>
              <w:top w:val="nil"/>
              <w:left w:val="nil"/>
              <w:bottom w:val="nil"/>
              <w:right w:val="nil"/>
            </w:tcBorders>
            <w:vAlign w:val="center"/>
            <w:hideMark/>
          </w:tcPr>
          <w:p w14:paraId="5C9D882E"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Corossolier/ </w:t>
            </w:r>
            <w:proofErr w:type="spellStart"/>
            <w:r w:rsidRPr="007C0956">
              <w:rPr>
                <w:rFonts w:ascii="Arial" w:hAnsi="Arial" w:cs="Arial"/>
                <w:color w:val="000000"/>
                <w:lang w:val="fr-FR" w:eastAsia="fr-FR"/>
              </w:rPr>
              <w:t>sunsun</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27E2BF2"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9</w:t>
            </w:r>
          </w:p>
        </w:tc>
        <w:tc>
          <w:tcPr>
            <w:tcW w:w="0" w:type="auto"/>
            <w:tcBorders>
              <w:top w:val="nil"/>
              <w:left w:val="nil"/>
              <w:bottom w:val="nil"/>
              <w:right w:val="nil"/>
            </w:tcBorders>
            <w:vAlign w:val="center"/>
            <w:hideMark/>
          </w:tcPr>
          <w:p w14:paraId="5D68B795"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3.55</w:t>
            </w:r>
          </w:p>
        </w:tc>
      </w:tr>
      <w:tr w:rsidR="007110B0" w:rsidRPr="001F7E86" w14:paraId="640D9C8B" w14:textId="77777777" w:rsidTr="001F7E86">
        <w:trPr>
          <w:trHeight w:val="227"/>
        </w:trPr>
        <w:tc>
          <w:tcPr>
            <w:tcW w:w="0" w:type="auto"/>
            <w:tcBorders>
              <w:top w:val="single" w:sz="8" w:space="0" w:color="7F7F7F"/>
              <w:left w:val="nil"/>
              <w:bottom w:val="single" w:sz="8" w:space="0" w:color="7F7F7F"/>
              <w:right w:val="nil"/>
            </w:tcBorders>
            <w:vAlign w:val="center"/>
            <w:hideMark/>
          </w:tcPr>
          <w:p w14:paraId="606FB2F4" w14:textId="69A1FFB6" w:rsidR="007110B0" w:rsidRPr="007C0956" w:rsidRDefault="007110B0" w:rsidP="007110B0">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Psidium</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guajava</w:t>
            </w:r>
            <w:proofErr w:type="spellEnd"/>
          </w:p>
        </w:tc>
        <w:tc>
          <w:tcPr>
            <w:tcW w:w="0" w:type="auto"/>
            <w:tcBorders>
              <w:top w:val="single" w:sz="4" w:space="0" w:color="auto"/>
              <w:left w:val="nil"/>
              <w:bottom w:val="single" w:sz="4" w:space="0" w:color="auto"/>
              <w:right w:val="nil"/>
            </w:tcBorders>
            <w:vAlign w:val="center"/>
            <w:hideMark/>
          </w:tcPr>
          <w:p w14:paraId="38311561"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Mirtaceae</w:t>
            </w:r>
            <w:proofErr w:type="spellEnd"/>
          </w:p>
        </w:tc>
        <w:tc>
          <w:tcPr>
            <w:tcW w:w="0" w:type="auto"/>
            <w:tcBorders>
              <w:top w:val="single" w:sz="8" w:space="0" w:color="7F7F7F"/>
              <w:left w:val="nil"/>
              <w:bottom w:val="single" w:sz="8" w:space="0" w:color="7F7F7F"/>
              <w:right w:val="nil"/>
            </w:tcBorders>
            <w:vAlign w:val="center"/>
            <w:hideMark/>
          </w:tcPr>
          <w:p w14:paraId="4E0E02CE"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Goyavier / </w:t>
            </w:r>
            <w:proofErr w:type="spellStart"/>
            <w:r w:rsidRPr="007C0956">
              <w:rPr>
                <w:rFonts w:ascii="Arial" w:hAnsi="Arial" w:cs="Arial"/>
                <w:color w:val="000000"/>
                <w:lang w:val="fr-FR" w:eastAsia="fr-FR"/>
              </w:rPr>
              <w:t>bouyaki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A8E6724"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9</w:t>
            </w:r>
          </w:p>
        </w:tc>
        <w:tc>
          <w:tcPr>
            <w:tcW w:w="0" w:type="auto"/>
            <w:tcBorders>
              <w:top w:val="single" w:sz="8" w:space="0" w:color="7F7F7F"/>
              <w:left w:val="nil"/>
              <w:bottom w:val="single" w:sz="8" w:space="0" w:color="7F7F7F"/>
              <w:right w:val="nil"/>
            </w:tcBorders>
            <w:vAlign w:val="center"/>
            <w:hideMark/>
          </w:tcPr>
          <w:p w14:paraId="14177C70"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3.55</w:t>
            </w:r>
          </w:p>
        </w:tc>
      </w:tr>
      <w:tr w:rsidR="007110B0" w:rsidRPr="001F7E86" w14:paraId="5D385874" w14:textId="77777777" w:rsidTr="001F7E86">
        <w:trPr>
          <w:trHeight w:val="227"/>
        </w:trPr>
        <w:tc>
          <w:tcPr>
            <w:tcW w:w="0" w:type="auto"/>
            <w:tcBorders>
              <w:top w:val="nil"/>
              <w:left w:val="nil"/>
              <w:bottom w:val="nil"/>
              <w:right w:val="nil"/>
            </w:tcBorders>
            <w:vAlign w:val="center"/>
            <w:hideMark/>
          </w:tcPr>
          <w:p w14:paraId="793B61C0" w14:textId="3CBE0A08" w:rsidR="007110B0" w:rsidRPr="007C0956" w:rsidRDefault="007110B0" w:rsidP="007110B0">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Cymbopogon</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citratus</w:t>
            </w:r>
            <w:proofErr w:type="spellEnd"/>
          </w:p>
        </w:tc>
        <w:tc>
          <w:tcPr>
            <w:tcW w:w="0" w:type="auto"/>
            <w:tcBorders>
              <w:top w:val="single" w:sz="4" w:space="0" w:color="auto"/>
              <w:left w:val="nil"/>
              <w:bottom w:val="single" w:sz="4" w:space="0" w:color="auto"/>
              <w:right w:val="nil"/>
            </w:tcBorders>
            <w:vAlign w:val="center"/>
            <w:hideMark/>
          </w:tcPr>
          <w:p w14:paraId="7621FA1C"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Poaceae</w:t>
            </w:r>
            <w:proofErr w:type="spellEnd"/>
          </w:p>
        </w:tc>
        <w:tc>
          <w:tcPr>
            <w:tcW w:w="0" w:type="auto"/>
            <w:tcBorders>
              <w:top w:val="nil"/>
              <w:left w:val="nil"/>
              <w:bottom w:val="nil"/>
              <w:right w:val="nil"/>
            </w:tcBorders>
            <w:vAlign w:val="center"/>
            <w:hideMark/>
          </w:tcPr>
          <w:p w14:paraId="1084EBA7"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Citronnel</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binblouni</w:t>
            </w:r>
            <w:proofErr w:type="spellEnd"/>
          </w:p>
        </w:tc>
        <w:tc>
          <w:tcPr>
            <w:tcW w:w="0" w:type="auto"/>
            <w:tcBorders>
              <w:top w:val="nil"/>
              <w:left w:val="nil"/>
              <w:bottom w:val="nil"/>
              <w:right w:val="nil"/>
            </w:tcBorders>
            <w:vAlign w:val="center"/>
            <w:hideMark/>
          </w:tcPr>
          <w:p w14:paraId="5651134C"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7</w:t>
            </w:r>
          </w:p>
        </w:tc>
        <w:tc>
          <w:tcPr>
            <w:tcW w:w="0" w:type="auto"/>
            <w:tcBorders>
              <w:top w:val="nil"/>
              <w:left w:val="nil"/>
              <w:bottom w:val="nil"/>
              <w:right w:val="nil"/>
            </w:tcBorders>
            <w:vAlign w:val="center"/>
            <w:hideMark/>
          </w:tcPr>
          <w:p w14:paraId="7F5E3C32"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2.76</w:t>
            </w:r>
          </w:p>
        </w:tc>
      </w:tr>
      <w:tr w:rsidR="007110B0" w:rsidRPr="001F7E86" w14:paraId="39380B5F"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5A63195" w14:textId="7947AB32"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 xml:space="preserve">Aloe </w:t>
            </w:r>
            <w:proofErr w:type="spellStart"/>
            <w:r w:rsidRPr="007C0956">
              <w:rPr>
                <w:rFonts w:ascii="Arial" w:hAnsi="Arial" w:cs="Arial"/>
                <w:i/>
                <w:iCs/>
                <w:color w:val="000000"/>
                <w:lang w:val="fr-FR" w:eastAsia="fr-FR"/>
              </w:rPr>
              <w:t>vera</w:t>
            </w:r>
            <w:proofErr w:type="spellEnd"/>
          </w:p>
        </w:tc>
        <w:tc>
          <w:tcPr>
            <w:tcW w:w="0" w:type="auto"/>
            <w:tcBorders>
              <w:top w:val="single" w:sz="4" w:space="0" w:color="auto"/>
              <w:left w:val="nil"/>
              <w:bottom w:val="single" w:sz="8" w:space="0" w:color="7F7F7F"/>
              <w:right w:val="nil"/>
            </w:tcBorders>
            <w:vAlign w:val="center"/>
            <w:hideMark/>
          </w:tcPr>
          <w:p w14:paraId="63C8F9FE"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Xanthorrhoeaceae</w:t>
            </w:r>
            <w:proofErr w:type="spellEnd"/>
          </w:p>
        </w:tc>
        <w:tc>
          <w:tcPr>
            <w:tcW w:w="0" w:type="auto"/>
            <w:tcBorders>
              <w:top w:val="single" w:sz="8" w:space="0" w:color="7F7F7F"/>
              <w:left w:val="nil"/>
              <w:bottom w:val="single" w:sz="8" w:space="0" w:color="7F7F7F"/>
              <w:right w:val="nil"/>
            </w:tcBorders>
            <w:vAlign w:val="center"/>
            <w:hideMark/>
          </w:tcPr>
          <w:p w14:paraId="302B6F73"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it-IT" w:eastAsia="fr-FR"/>
              </w:rPr>
              <w:t>Aloe vera / aloe vera sun</w:t>
            </w:r>
          </w:p>
        </w:tc>
        <w:tc>
          <w:tcPr>
            <w:tcW w:w="0" w:type="auto"/>
            <w:tcBorders>
              <w:top w:val="single" w:sz="8" w:space="0" w:color="7F7F7F"/>
              <w:left w:val="nil"/>
              <w:bottom w:val="single" w:sz="8" w:space="0" w:color="7F7F7F"/>
              <w:right w:val="nil"/>
            </w:tcBorders>
            <w:vAlign w:val="center"/>
            <w:hideMark/>
          </w:tcPr>
          <w:p w14:paraId="0D5F5104"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6</w:t>
            </w:r>
          </w:p>
        </w:tc>
        <w:tc>
          <w:tcPr>
            <w:tcW w:w="0" w:type="auto"/>
            <w:tcBorders>
              <w:top w:val="single" w:sz="8" w:space="0" w:color="7F7F7F"/>
              <w:left w:val="nil"/>
              <w:bottom w:val="single" w:sz="8" w:space="0" w:color="7F7F7F"/>
              <w:right w:val="nil"/>
            </w:tcBorders>
            <w:vAlign w:val="center"/>
            <w:hideMark/>
          </w:tcPr>
          <w:p w14:paraId="1CB3CFCF"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2.37</w:t>
            </w:r>
          </w:p>
        </w:tc>
      </w:tr>
      <w:tr w:rsidR="007110B0" w:rsidRPr="001F7E86" w14:paraId="4C39673D" w14:textId="77777777" w:rsidTr="001F7E86">
        <w:trPr>
          <w:trHeight w:val="227"/>
        </w:trPr>
        <w:tc>
          <w:tcPr>
            <w:tcW w:w="0" w:type="auto"/>
            <w:tcBorders>
              <w:top w:val="nil"/>
              <w:left w:val="nil"/>
              <w:bottom w:val="nil"/>
              <w:right w:val="nil"/>
            </w:tcBorders>
            <w:vAlign w:val="center"/>
            <w:hideMark/>
          </w:tcPr>
          <w:p w14:paraId="361906D1" w14:textId="3077D6EB" w:rsidR="007110B0" w:rsidRPr="007C0956" w:rsidRDefault="007110B0" w:rsidP="007110B0">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Tamarindus</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indica</w:t>
            </w:r>
            <w:proofErr w:type="spellEnd"/>
          </w:p>
        </w:tc>
        <w:tc>
          <w:tcPr>
            <w:tcW w:w="0" w:type="auto"/>
            <w:tcBorders>
              <w:top w:val="nil"/>
              <w:left w:val="nil"/>
              <w:bottom w:val="nil"/>
              <w:right w:val="nil"/>
            </w:tcBorders>
            <w:vAlign w:val="center"/>
            <w:hideMark/>
          </w:tcPr>
          <w:p w14:paraId="79274874" w14:textId="77777777" w:rsidR="007110B0" w:rsidRPr="007C0956" w:rsidRDefault="007110B0" w:rsidP="007110B0">
            <w:pPr>
              <w:rPr>
                <w:rFonts w:ascii="Arial" w:hAnsi="Arial" w:cs="Arial"/>
                <w:color w:val="000000"/>
                <w:lang w:val="fr-FR" w:eastAsia="fr-FR"/>
              </w:rPr>
            </w:pPr>
            <w:proofErr w:type="spellStart"/>
            <w:r w:rsidRPr="007C0956">
              <w:rPr>
                <w:rFonts w:ascii="Arial" w:hAnsi="Arial" w:cs="Arial"/>
                <w:color w:val="000000"/>
                <w:lang w:val="fr-FR" w:eastAsia="fr-FR"/>
              </w:rPr>
              <w:t>Fabaceae</w:t>
            </w:r>
            <w:proofErr w:type="spellEnd"/>
          </w:p>
        </w:tc>
        <w:tc>
          <w:tcPr>
            <w:tcW w:w="0" w:type="auto"/>
            <w:tcBorders>
              <w:top w:val="nil"/>
              <w:left w:val="nil"/>
              <w:bottom w:val="nil"/>
              <w:right w:val="nil"/>
            </w:tcBorders>
            <w:vAlign w:val="center"/>
            <w:hideMark/>
          </w:tcPr>
          <w:p w14:paraId="731383BF"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Tamarin / </w:t>
            </w:r>
            <w:proofErr w:type="spellStart"/>
            <w:r w:rsidRPr="007C0956">
              <w:rPr>
                <w:rFonts w:ascii="Arial" w:hAnsi="Arial" w:cs="Arial"/>
                <w:color w:val="000000"/>
                <w:lang w:val="fr-FR" w:eastAsia="fr-FR"/>
              </w:rPr>
              <w:t>tomi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4EB22F18"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4</w:t>
            </w:r>
          </w:p>
        </w:tc>
        <w:tc>
          <w:tcPr>
            <w:tcW w:w="0" w:type="auto"/>
            <w:tcBorders>
              <w:top w:val="nil"/>
              <w:left w:val="nil"/>
              <w:bottom w:val="nil"/>
              <w:right w:val="nil"/>
            </w:tcBorders>
            <w:vAlign w:val="center"/>
            <w:hideMark/>
          </w:tcPr>
          <w:p w14:paraId="24C59D89"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1.58</w:t>
            </w:r>
          </w:p>
        </w:tc>
      </w:tr>
      <w:tr w:rsidR="007110B0" w:rsidRPr="001F7E86" w14:paraId="54736A87"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13A5A2A" w14:textId="4DB90CB7" w:rsidR="007110B0" w:rsidRPr="007C0956" w:rsidRDefault="007110B0" w:rsidP="007110B0">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Spinacia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oleracea</w:t>
            </w:r>
            <w:proofErr w:type="spellEnd"/>
          </w:p>
        </w:tc>
        <w:tc>
          <w:tcPr>
            <w:tcW w:w="0" w:type="auto"/>
            <w:tcBorders>
              <w:top w:val="single" w:sz="8" w:space="0" w:color="7F7F7F"/>
              <w:left w:val="nil"/>
              <w:bottom w:val="single" w:sz="8" w:space="0" w:color="7F7F7F"/>
              <w:right w:val="nil"/>
            </w:tcBorders>
            <w:vAlign w:val="center"/>
            <w:hideMark/>
          </w:tcPr>
          <w:p w14:paraId="46A1D047"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Amaranthaceae</w:t>
            </w:r>
            <w:proofErr w:type="spellEnd"/>
          </w:p>
        </w:tc>
        <w:tc>
          <w:tcPr>
            <w:tcW w:w="0" w:type="auto"/>
            <w:tcBorders>
              <w:top w:val="single" w:sz="8" w:space="0" w:color="7F7F7F"/>
              <w:left w:val="nil"/>
              <w:bottom w:val="single" w:sz="8" w:space="0" w:color="7F7F7F"/>
              <w:right w:val="nil"/>
            </w:tcBorders>
            <w:vAlign w:val="center"/>
            <w:hideMark/>
          </w:tcPr>
          <w:p w14:paraId="48C01786"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Epinard / </w:t>
            </w:r>
            <w:proofErr w:type="spellStart"/>
            <w:r w:rsidRPr="007C0956">
              <w:rPr>
                <w:rFonts w:ascii="Arial" w:hAnsi="Arial" w:cs="Arial"/>
                <w:color w:val="000000"/>
                <w:lang w:val="fr-FR" w:eastAsia="fr-FR"/>
              </w:rPr>
              <w:t>pinari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C534075"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single" w:sz="8" w:space="0" w:color="7F7F7F"/>
              <w:left w:val="nil"/>
              <w:bottom w:val="single" w:sz="8" w:space="0" w:color="7F7F7F"/>
              <w:right w:val="nil"/>
            </w:tcBorders>
            <w:vAlign w:val="center"/>
            <w:hideMark/>
          </w:tcPr>
          <w:p w14:paraId="70DC74A2"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1.18</w:t>
            </w:r>
          </w:p>
        </w:tc>
      </w:tr>
      <w:tr w:rsidR="007110B0" w:rsidRPr="001F7E86" w14:paraId="0FAA85B4" w14:textId="77777777" w:rsidTr="001F7E86">
        <w:trPr>
          <w:trHeight w:val="227"/>
        </w:trPr>
        <w:tc>
          <w:tcPr>
            <w:tcW w:w="0" w:type="auto"/>
            <w:tcBorders>
              <w:top w:val="nil"/>
              <w:left w:val="nil"/>
              <w:bottom w:val="nil"/>
              <w:right w:val="nil"/>
            </w:tcBorders>
            <w:vAlign w:val="center"/>
            <w:hideMark/>
          </w:tcPr>
          <w:p w14:paraId="6ACAAAA9" w14:textId="0925B95F" w:rsidR="007110B0" w:rsidRPr="007C0956" w:rsidRDefault="007110B0" w:rsidP="007110B0">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Punica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granatum</w:t>
            </w:r>
            <w:proofErr w:type="spellEnd"/>
          </w:p>
        </w:tc>
        <w:tc>
          <w:tcPr>
            <w:tcW w:w="0" w:type="auto"/>
            <w:tcBorders>
              <w:top w:val="nil"/>
              <w:left w:val="nil"/>
              <w:bottom w:val="nil"/>
              <w:right w:val="nil"/>
            </w:tcBorders>
            <w:vAlign w:val="center"/>
            <w:hideMark/>
          </w:tcPr>
          <w:p w14:paraId="7C020BA1"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Punicaceae</w:t>
            </w:r>
            <w:proofErr w:type="spellEnd"/>
          </w:p>
        </w:tc>
        <w:tc>
          <w:tcPr>
            <w:tcW w:w="0" w:type="auto"/>
            <w:tcBorders>
              <w:top w:val="nil"/>
              <w:left w:val="nil"/>
              <w:bottom w:val="nil"/>
              <w:right w:val="nil"/>
            </w:tcBorders>
            <w:vAlign w:val="center"/>
            <w:hideMark/>
          </w:tcPr>
          <w:p w14:paraId="7585119A"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Grenadier / </w:t>
            </w:r>
            <w:proofErr w:type="spellStart"/>
            <w:r w:rsidRPr="007C0956">
              <w:rPr>
                <w:rFonts w:ascii="Arial" w:hAnsi="Arial" w:cs="Arial"/>
                <w:color w:val="000000"/>
                <w:lang w:val="fr-FR" w:eastAsia="fr-FR"/>
              </w:rPr>
              <w:t>grenadini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r w:rsidRPr="007C0956">
              <w:rPr>
                <w:rFonts w:ascii="Arial" w:hAnsi="Arial" w:cs="Arial"/>
                <w:color w:val="000000"/>
                <w:lang w:val="fr-FR" w:eastAsia="fr-FR"/>
              </w:rPr>
              <w:t xml:space="preserve"> </w:t>
            </w:r>
          </w:p>
        </w:tc>
        <w:tc>
          <w:tcPr>
            <w:tcW w:w="0" w:type="auto"/>
            <w:tcBorders>
              <w:top w:val="nil"/>
              <w:left w:val="nil"/>
              <w:bottom w:val="nil"/>
              <w:right w:val="nil"/>
            </w:tcBorders>
            <w:vAlign w:val="center"/>
            <w:hideMark/>
          </w:tcPr>
          <w:p w14:paraId="0D01335D"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nil"/>
              <w:left w:val="nil"/>
              <w:bottom w:val="nil"/>
              <w:right w:val="nil"/>
            </w:tcBorders>
            <w:vAlign w:val="center"/>
            <w:hideMark/>
          </w:tcPr>
          <w:p w14:paraId="021C385A"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1.18</w:t>
            </w:r>
          </w:p>
        </w:tc>
      </w:tr>
      <w:tr w:rsidR="007110B0" w:rsidRPr="001F7E86" w14:paraId="262F95BB" w14:textId="77777777" w:rsidTr="001F7E86">
        <w:trPr>
          <w:trHeight w:val="227"/>
        </w:trPr>
        <w:tc>
          <w:tcPr>
            <w:tcW w:w="0" w:type="auto"/>
            <w:tcBorders>
              <w:top w:val="single" w:sz="8" w:space="0" w:color="7F7F7F"/>
              <w:left w:val="nil"/>
              <w:bottom w:val="single" w:sz="8" w:space="0" w:color="7F7F7F"/>
              <w:right w:val="nil"/>
            </w:tcBorders>
            <w:vAlign w:val="center"/>
            <w:hideMark/>
          </w:tcPr>
          <w:p w14:paraId="1BD7F5EE" w14:textId="03218A28"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 xml:space="preserve">Hibiscus </w:t>
            </w:r>
            <w:r w:rsidRPr="005F2C49">
              <w:rPr>
                <w:rFonts w:ascii="Arial" w:hAnsi="Arial" w:cs="Arial"/>
                <w:i/>
                <w:iCs/>
                <w:color w:val="000000"/>
                <w:lang w:eastAsia="fr-FR"/>
              </w:rPr>
              <w:t>sabdariffa </w:t>
            </w:r>
          </w:p>
        </w:tc>
        <w:tc>
          <w:tcPr>
            <w:tcW w:w="0" w:type="auto"/>
            <w:tcBorders>
              <w:top w:val="single" w:sz="8" w:space="0" w:color="7F7F7F"/>
              <w:left w:val="nil"/>
              <w:bottom w:val="single" w:sz="8" w:space="0" w:color="7F7F7F"/>
              <w:right w:val="nil"/>
            </w:tcBorders>
            <w:vAlign w:val="center"/>
            <w:hideMark/>
          </w:tcPr>
          <w:p w14:paraId="47026408" w14:textId="77777777" w:rsidR="007110B0" w:rsidRPr="007C0956" w:rsidRDefault="007110B0" w:rsidP="007110B0">
            <w:pPr>
              <w:rPr>
                <w:rFonts w:ascii="Arial" w:hAnsi="Arial" w:cs="Arial"/>
                <w:color w:val="000000"/>
                <w:lang w:val="fr-FR" w:eastAsia="fr-FR"/>
              </w:rPr>
            </w:pPr>
            <w:proofErr w:type="spellStart"/>
            <w:r w:rsidRPr="007C0956">
              <w:rPr>
                <w:rFonts w:ascii="Arial" w:hAnsi="Arial" w:cs="Arial"/>
                <w:color w:val="000000"/>
                <w:lang w:val="fr-FR" w:eastAsia="fr-FR"/>
              </w:rPr>
              <w:t>Malvaceae</w:t>
            </w:r>
            <w:proofErr w:type="spellEnd"/>
          </w:p>
        </w:tc>
        <w:tc>
          <w:tcPr>
            <w:tcW w:w="0" w:type="auto"/>
            <w:tcBorders>
              <w:top w:val="single" w:sz="8" w:space="0" w:color="7F7F7F"/>
              <w:left w:val="nil"/>
              <w:bottom w:val="single" w:sz="8" w:space="0" w:color="7F7F7F"/>
              <w:right w:val="nil"/>
            </w:tcBorders>
            <w:vAlign w:val="center"/>
            <w:hideMark/>
          </w:tcPr>
          <w:p w14:paraId="41C46611"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Hibiscus / da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268C67E1"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single" w:sz="8" w:space="0" w:color="7F7F7F"/>
              <w:left w:val="nil"/>
              <w:bottom w:val="single" w:sz="8" w:space="0" w:color="7F7F7F"/>
              <w:right w:val="nil"/>
            </w:tcBorders>
            <w:vAlign w:val="center"/>
            <w:hideMark/>
          </w:tcPr>
          <w:p w14:paraId="7379E413"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1.18</w:t>
            </w:r>
          </w:p>
        </w:tc>
      </w:tr>
      <w:tr w:rsidR="007110B0" w:rsidRPr="001F7E86" w14:paraId="5D43F299" w14:textId="77777777" w:rsidTr="001F7E86">
        <w:trPr>
          <w:trHeight w:val="227"/>
        </w:trPr>
        <w:tc>
          <w:tcPr>
            <w:tcW w:w="0" w:type="auto"/>
            <w:tcBorders>
              <w:top w:val="nil"/>
              <w:left w:val="nil"/>
              <w:bottom w:val="nil"/>
              <w:right w:val="nil"/>
            </w:tcBorders>
            <w:vAlign w:val="center"/>
            <w:hideMark/>
          </w:tcPr>
          <w:p w14:paraId="0A8FDEE9" w14:textId="6278C50F" w:rsidR="007110B0" w:rsidRPr="007C0956" w:rsidRDefault="007110B0" w:rsidP="007110B0">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Abelmoschus</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esculentus</w:t>
            </w:r>
            <w:proofErr w:type="spellEnd"/>
          </w:p>
        </w:tc>
        <w:tc>
          <w:tcPr>
            <w:tcW w:w="0" w:type="auto"/>
            <w:tcBorders>
              <w:top w:val="nil"/>
              <w:left w:val="nil"/>
              <w:bottom w:val="nil"/>
              <w:right w:val="nil"/>
            </w:tcBorders>
            <w:vAlign w:val="center"/>
            <w:hideMark/>
          </w:tcPr>
          <w:p w14:paraId="4C67380E" w14:textId="69839F0E" w:rsidR="007110B0" w:rsidRPr="007C0956" w:rsidRDefault="007110B0" w:rsidP="007110B0">
            <w:pPr>
              <w:jc w:val="both"/>
              <w:rPr>
                <w:rFonts w:ascii="Arial" w:hAnsi="Arial" w:cs="Arial"/>
                <w:i/>
                <w:iCs/>
                <w:color w:val="000000"/>
                <w:lang w:val="fr-FR" w:eastAsia="fr-FR"/>
              </w:rPr>
            </w:pPr>
            <w:proofErr w:type="spellStart"/>
            <w:r w:rsidRPr="001F7E86">
              <w:rPr>
                <w:rFonts w:ascii="Arial" w:hAnsi="Arial" w:cs="Arial"/>
                <w:lang w:val="fr-FR"/>
              </w:rPr>
              <w:t>Malvaceae</w:t>
            </w:r>
            <w:proofErr w:type="spellEnd"/>
          </w:p>
        </w:tc>
        <w:tc>
          <w:tcPr>
            <w:tcW w:w="0" w:type="auto"/>
            <w:tcBorders>
              <w:top w:val="nil"/>
              <w:left w:val="nil"/>
              <w:bottom w:val="nil"/>
              <w:right w:val="nil"/>
            </w:tcBorders>
            <w:vAlign w:val="center"/>
            <w:hideMark/>
          </w:tcPr>
          <w:p w14:paraId="2EDE5FC2"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Gombo / gan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40C53D2"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nil"/>
              <w:left w:val="nil"/>
              <w:bottom w:val="nil"/>
              <w:right w:val="nil"/>
            </w:tcBorders>
            <w:vAlign w:val="center"/>
            <w:hideMark/>
          </w:tcPr>
          <w:p w14:paraId="07F85790"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1.18</w:t>
            </w:r>
          </w:p>
        </w:tc>
      </w:tr>
      <w:tr w:rsidR="007110B0" w:rsidRPr="001F7E86" w14:paraId="2CC4AE90" w14:textId="77777777" w:rsidTr="001F7E86">
        <w:trPr>
          <w:trHeight w:val="227"/>
        </w:trPr>
        <w:tc>
          <w:tcPr>
            <w:tcW w:w="0" w:type="auto"/>
            <w:tcBorders>
              <w:top w:val="single" w:sz="8" w:space="0" w:color="7F7F7F"/>
              <w:left w:val="nil"/>
              <w:bottom w:val="single" w:sz="8" w:space="0" w:color="7F7F7F"/>
              <w:right w:val="nil"/>
            </w:tcBorders>
            <w:vAlign w:val="center"/>
            <w:hideMark/>
          </w:tcPr>
          <w:p w14:paraId="12BEB5C5" w14:textId="24B87199"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 xml:space="preserve">Daucus </w:t>
            </w:r>
            <w:proofErr w:type="spellStart"/>
            <w:r w:rsidRPr="007C0956">
              <w:rPr>
                <w:rFonts w:ascii="Arial" w:hAnsi="Arial" w:cs="Arial"/>
                <w:i/>
                <w:iCs/>
                <w:color w:val="000000"/>
                <w:lang w:val="fr-FR" w:eastAsia="fr-FR"/>
              </w:rPr>
              <w:t>carota</w:t>
            </w:r>
            <w:proofErr w:type="spellEnd"/>
          </w:p>
        </w:tc>
        <w:tc>
          <w:tcPr>
            <w:tcW w:w="0" w:type="auto"/>
            <w:tcBorders>
              <w:top w:val="single" w:sz="8" w:space="0" w:color="7F7F7F"/>
              <w:left w:val="nil"/>
              <w:bottom w:val="single" w:sz="8" w:space="0" w:color="7F7F7F"/>
              <w:right w:val="nil"/>
            </w:tcBorders>
            <w:vAlign w:val="center"/>
            <w:hideMark/>
          </w:tcPr>
          <w:p w14:paraId="39500668"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Apiaceae</w:t>
            </w:r>
            <w:proofErr w:type="spellEnd"/>
          </w:p>
        </w:tc>
        <w:tc>
          <w:tcPr>
            <w:tcW w:w="0" w:type="auto"/>
            <w:tcBorders>
              <w:top w:val="single" w:sz="8" w:space="0" w:color="7F7F7F"/>
              <w:left w:val="nil"/>
              <w:bottom w:val="single" w:sz="8" w:space="0" w:color="7F7F7F"/>
              <w:right w:val="nil"/>
            </w:tcBorders>
            <w:vAlign w:val="center"/>
            <w:hideMark/>
          </w:tcPr>
          <w:p w14:paraId="4E129454"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Caotier</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caroti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39D13E78"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single" w:sz="8" w:space="0" w:color="7F7F7F"/>
              <w:left w:val="nil"/>
              <w:bottom w:val="single" w:sz="8" w:space="0" w:color="7F7F7F"/>
              <w:right w:val="nil"/>
            </w:tcBorders>
            <w:vAlign w:val="center"/>
            <w:hideMark/>
          </w:tcPr>
          <w:p w14:paraId="2B566746"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1.18</w:t>
            </w:r>
          </w:p>
        </w:tc>
      </w:tr>
      <w:tr w:rsidR="007110B0" w:rsidRPr="001F7E86" w14:paraId="6069A86F" w14:textId="77777777" w:rsidTr="001F7E86">
        <w:trPr>
          <w:trHeight w:val="227"/>
        </w:trPr>
        <w:tc>
          <w:tcPr>
            <w:tcW w:w="0" w:type="auto"/>
            <w:tcBorders>
              <w:top w:val="nil"/>
              <w:left w:val="nil"/>
              <w:bottom w:val="nil"/>
              <w:right w:val="nil"/>
            </w:tcBorders>
            <w:vAlign w:val="center"/>
            <w:hideMark/>
          </w:tcPr>
          <w:p w14:paraId="1069A4C1" w14:textId="119CD62F" w:rsidR="007110B0" w:rsidRPr="007C0956" w:rsidRDefault="007110B0" w:rsidP="007110B0">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Persea</w:t>
            </w:r>
            <w:proofErr w:type="spellEnd"/>
            <w:r w:rsidRPr="007C0956">
              <w:rPr>
                <w:rFonts w:ascii="Arial" w:hAnsi="Arial" w:cs="Arial"/>
                <w:i/>
                <w:iCs/>
                <w:color w:val="000000"/>
                <w:lang w:val="fr-FR" w:eastAsia="fr-FR"/>
              </w:rPr>
              <w:t xml:space="preserve"> americana</w:t>
            </w:r>
          </w:p>
        </w:tc>
        <w:tc>
          <w:tcPr>
            <w:tcW w:w="0" w:type="auto"/>
            <w:tcBorders>
              <w:top w:val="nil"/>
              <w:left w:val="nil"/>
              <w:bottom w:val="nil"/>
              <w:right w:val="nil"/>
            </w:tcBorders>
            <w:vAlign w:val="center"/>
            <w:hideMark/>
          </w:tcPr>
          <w:p w14:paraId="3FE23CCE"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Lauraceae</w:t>
            </w:r>
            <w:proofErr w:type="spellEnd"/>
          </w:p>
        </w:tc>
        <w:tc>
          <w:tcPr>
            <w:tcW w:w="0" w:type="auto"/>
            <w:tcBorders>
              <w:top w:val="nil"/>
              <w:left w:val="nil"/>
              <w:bottom w:val="nil"/>
              <w:right w:val="nil"/>
            </w:tcBorders>
            <w:vAlign w:val="center"/>
            <w:hideMark/>
          </w:tcPr>
          <w:p w14:paraId="6543899E"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Avocatier / </w:t>
            </w:r>
            <w:proofErr w:type="spellStart"/>
            <w:r w:rsidRPr="007C0956">
              <w:rPr>
                <w:rFonts w:ascii="Arial" w:hAnsi="Arial" w:cs="Arial"/>
                <w:color w:val="000000"/>
                <w:lang w:val="fr-FR" w:eastAsia="fr-FR"/>
              </w:rPr>
              <w:t>avoca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yiri</w:t>
            </w:r>
            <w:proofErr w:type="spellEnd"/>
          </w:p>
        </w:tc>
        <w:tc>
          <w:tcPr>
            <w:tcW w:w="0" w:type="auto"/>
            <w:tcBorders>
              <w:top w:val="nil"/>
              <w:left w:val="nil"/>
              <w:bottom w:val="nil"/>
              <w:right w:val="nil"/>
            </w:tcBorders>
            <w:vAlign w:val="center"/>
            <w:hideMark/>
          </w:tcPr>
          <w:p w14:paraId="6B0369FB"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2</w:t>
            </w:r>
          </w:p>
        </w:tc>
        <w:tc>
          <w:tcPr>
            <w:tcW w:w="0" w:type="auto"/>
            <w:tcBorders>
              <w:top w:val="nil"/>
              <w:left w:val="nil"/>
              <w:bottom w:val="nil"/>
              <w:right w:val="nil"/>
            </w:tcBorders>
            <w:vAlign w:val="center"/>
            <w:hideMark/>
          </w:tcPr>
          <w:p w14:paraId="7D05BE7C"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0.79</w:t>
            </w:r>
          </w:p>
        </w:tc>
      </w:tr>
      <w:tr w:rsidR="007110B0" w:rsidRPr="001F7E86" w14:paraId="73318FA9"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06FA13C" w14:textId="27286475"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 xml:space="preserve">Manihot </w:t>
            </w:r>
            <w:proofErr w:type="spellStart"/>
            <w:r w:rsidRPr="007C0956">
              <w:rPr>
                <w:rFonts w:ascii="Arial" w:hAnsi="Arial" w:cs="Arial"/>
                <w:i/>
                <w:iCs/>
                <w:color w:val="000000"/>
                <w:lang w:val="fr-FR" w:eastAsia="fr-FR"/>
              </w:rPr>
              <w:t>esculenta</w:t>
            </w:r>
            <w:proofErr w:type="spellEnd"/>
          </w:p>
        </w:tc>
        <w:tc>
          <w:tcPr>
            <w:tcW w:w="0" w:type="auto"/>
            <w:tcBorders>
              <w:top w:val="nil"/>
              <w:left w:val="nil"/>
              <w:bottom w:val="single" w:sz="8" w:space="0" w:color="7F7F7F"/>
              <w:right w:val="nil"/>
            </w:tcBorders>
            <w:vAlign w:val="center"/>
            <w:hideMark/>
          </w:tcPr>
          <w:p w14:paraId="65895EC0"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Euphorbiaceae</w:t>
            </w:r>
            <w:proofErr w:type="spellEnd"/>
          </w:p>
        </w:tc>
        <w:tc>
          <w:tcPr>
            <w:tcW w:w="0" w:type="auto"/>
            <w:tcBorders>
              <w:top w:val="single" w:sz="8" w:space="0" w:color="7F7F7F"/>
              <w:left w:val="nil"/>
              <w:bottom w:val="single" w:sz="8" w:space="0" w:color="7F7F7F"/>
              <w:right w:val="nil"/>
            </w:tcBorders>
            <w:vAlign w:val="center"/>
            <w:hideMark/>
          </w:tcPr>
          <w:p w14:paraId="6204D16D"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Manioc / </w:t>
            </w:r>
            <w:proofErr w:type="spellStart"/>
            <w:r w:rsidRPr="007C0956">
              <w:rPr>
                <w:rFonts w:ascii="Arial" w:hAnsi="Arial" w:cs="Arial"/>
                <w:color w:val="000000"/>
                <w:lang w:val="fr-FR" w:eastAsia="fr-FR"/>
              </w:rPr>
              <w:t>banaku</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6DE32F17"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2</w:t>
            </w:r>
          </w:p>
        </w:tc>
        <w:tc>
          <w:tcPr>
            <w:tcW w:w="0" w:type="auto"/>
            <w:tcBorders>
              <w:top w:val="single" w:sz="8" w:space="0" w:color="7F7F7F"/>
              <w:left w:val="nil"/>
              <w:bottom w:val="single" w:sz="8" w:space="0" w:color="7F7F7F"/>
              <w:right w:val="nil"/>
            </w:tcBorders>
            <w:vAlign w:val="center"/>
            <w:hideMark/>
          </w:tcPr>
          <w:p w14:paraId="3F928628"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0.79</w:t>
            </w:r>
          </w:p>
        </w:tc>
      </w:tr>
      <w:tr w:rsidR="007110B0" w:rsidRPr="001F7E86" w14:paraId="5780196A" w14:textId="77777777" w:rsidTr="001F7E86">
        <w:trPr>
          <w:trHeight w:val="227"/>
        </w:trPr>
        <w:tc>
          <w:tcPr>
            <w:tcW w:w="0" w:type="auto"/>
            <w:tcBorders>
              <w:top w:val="nil"/>
              <w:left w:val="nil"/>
              <w:bottom w:val="nil"/>
              <w:right w:val="nil"/>
            </w:tcBorders>
            <w:vAlign w:val="center"/>
            <w:hideMark/>
          </w:tcPr>
          <w:p w14:paraId="4F612C26" w14:textId="21F859A3"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 xml:space="preserve">Phoenix </w:t>
            </w:r>
            <w:proofErr w:type="spellStart"/>
            <w:r w:rsidRPr="007C0956">
              <w:rPr>
                <w:rFonts w:ascii="Arial" w:hAnsi="Arial" w:cs="Arial"/>
                <w:i/>
                <w:iCs/>
                <w:color w:val="000000"/>
                <w:lang w:val="fr-FR" w:eastAsia="fr-FR"/>
              </w:rPr>
              <w:t>dactylifera</w:t>
            </w:r>
            <w:proofErr w:type="spellEnd"/>
          </w:p>
        </w:tc>
        <w:tc>
          <w:tcPr>
            <w:tcW w:w="0" w:type="auto"/>
            <w:tcBorders>
              <w:top w:val="nil"/>
              <w:left w:val="nil"/>
              <w:bottom w:val="nil"/>
              <w:right w:val="nil"/>
            </w:tcBorders>
            <w:vAlign w:val="center"/>
            <w:hideMark/>
          </w:tcPr>
          <w:p w14:paraId="5DE77B0E"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Arecaceae</w:t>
            </w:r>
            <w:proofErr w:type="spellEnd"/>
          </w:p>
        </w:tc>
        <w:tc>
          <w:tcPr>
            <w:tcW w:w="0" w:type="auto"/>
            <w:tcBorders>
              <w:top w:val="nil"/>
              <w:left w:val="nil"/>
              <w:bottom w:val="nil"/>
              <w:right w:val="nil"/>
            </w:tcBorders>
            <w:vAlign w:val="center"/>
            <w:hideMark/>
          </w:tcPr>
          <w:p w14:paraId="1468AC58"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Dattier / </w:t>
            </w:r>
            <w:proofErr w:type="spellStart"/>
            <w:r w:rsidRPr="007C0956">
              <w:rPr>
                <w:rFonts w:ascii="Arial" w:hAnsi="Arial" w:cs="Arial"/>
                <w:color w:val="000000"/>
                <w:lang w:val="fr-FR" w:eastAsia="fr-FR"/>
              </w:rPr>
              <w:t>tamaro</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yiri</w:t>
            </w:r>
            <w:proofErr w:type="spellEnd"/>
          </w:p>
        </w:tc>
        <w:tc>
          <w:tcPr>
            <w:tcW w:w="0" w:type="auto"/>
            <w:tcBorders>
              <w:top w:val="nil"/>
              <w:left w:val="nil"/>
              <w:bottom w:val="nil"/>
              <w:right w:val="nil"/>
            </w:tcBorders>
            <w:vAlign w:val="center"/>
            <w:hideMark/>
          </w:tcPr>
          <w:p w14:paraId="0EA860CC"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2</w:t>
            </w:r>
          </w:p>
        </w:tc>
        <w:tc>
          <w:tcPr>
            <w:tcW w:w="0" w:type="auto"/>
            <w:tcBorders>
              <w:top w:val="nil"/>
              <w:left w:val="nil"/>
              <w:bottom w:val="nil"/>
              <w:right w:val="nil"/>
            </w:tcBorders>
            <w:vAlign w:val="center"/>
            <w:hideMark/>
          </w:tcPr>
          <w:p w14:paraId="6C9627C1"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0.79</w:t>
            </w:r>
          </w:p>
        </w:tc>
      </w:tr>
      <w:tr w:rsidR="007110B0" w:rsidRPr="001F7E86" w14:paraId="32076664" w14:textId="77777777" w:rsidTr="001F7E86">
        <w:trPr>
          <w:trHeight w:val="227"/>
        </w:trPr>
        <w:tc>
          <w:tcPr>
            <w:tcW w:w="0" w:type="auto"/>
            <w:tcBorders>
              <w:top w:val="single" w:sz="8" w:space="0" w:color="7F7F7F"/>
              <w:left w:val="nil"/>
              <w:bottom w:val="single" w:sz="8" w:space="0" w:color="7F7F7F"/>
              <w:right w:val="nil"/>
            </w:tcBorders>
            <w:vAlign w:val="center"/>
            <w:hideMark/>
          </w:tcPr>
          <w:p w14:paraId="685BCC8D" w14:textId="6A6C9290"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 xml:space="preserve">Ziziphus </w:t>
            </w:r>
            <w:proofErr w:type="spellStart"/>
            <w:r>
              <w:rPr>
                <w:rFonts w:ascii="Arial" w:hAnsi="Arial" w:cs="Arial"/>
                <w:i/>
                <w:iCs/>
                <w:color w:val="000000"/>
                <w:lang w:val="fr-FR" w:eastAsia="fr-FR"/>
              </w:rPr>
              <w:t>mauritiana</w:t>
            </w:r>
            <w:proofErr w:type="spellEnd"/>
          </w:p>
        </w:tc>
        <w:tc>
          <w:tcPr>
            <w:tcW w:w="0" w:type="auto"/>
            <w:tcBorders>
              <w:top w:val="single" w:sz="8" w:space="0" w:color="7F7F7F"/>
              <w:left w:val="nil"/>
              <w:bottom w:val="single" w:sz="8" w:space="0" w:color="7F7F7F"/>
              <w:right w:val="nil"/>
            </w:tcBorders>
            <w:vAlign w:val="center"/>
            <w:hideMark/>
          </w:tcPr>
          <w:p w14:paraId="24C31D48"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Zingiberaceae</w:t>
            </w:r>
            <w:proofErr w:type="spellEnd"/>
          </w:p>
        </w:tc>
        <w:tc>
          <w:tcPr>
            <w:tcW w:w="0" w:type="auto"/>
            <w:tcBorders>
              <w:top w:val="single" w:sz="8" w:space="0" w:color="7F7F7F"/>
              <w:left w:val="nil"/>
              <w:bottom w:val="single" w:sz="8" w:space="0" w:color="7F7F7F"/>
              <w:right w:val="nil"/>
            </w:tcBorders>
            <w:vAlign w:val="center"/>
            <w:hideMark/>
          </w:tcPr>
          <w:p w14:paraId="6C4727BF"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Jujubier / </w:t>
            </w:r>
            <w:proofErr w:type="spellStart"/>
            <w:r w:rsidRPr="007C0956">
              <w:rPr>
                <w:rFonts w:ascii="Arial" w:hAnsi="Arial" w:cs="Arial"/>
                <w:color w:val="000000"/>
                <w:lang w:val="fr-FR" w:eastAsia="fr-FR"/>
              </w:rPr>
              <w:t>tomonon</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0CCCD5E"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4BEF2FBE"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0.39</w:t>
            </w:r>
          </w:p>
        </w:tc>
      </w:tr>
      <w:tr w:rsidR="007110B0" w:rsidRPr="001F7E86" w14:paraId="3BCFC8BF" w14:textId="77777777" w:rsidTr="001F7E86">
        <w:trPr>
          <w:trHeight w:val="227"/>
        </w:trPr>
        <w:tc>
          <w:tcPr>
            <w:tcW w:w="0" w:type="auto"/>
            <w:tcBorders>
              <w:top w:val="nil"/>
              <w:left w:val="nil"/>
              <w:bottom w:val="nil"/>
              <w:right w:val="nil"/>
            </w:tcBorders>
            <w:vAlign w:val="center"/>
            <w:hideMark/>
          </w:tcPr>
          <w:p w14:paraId="60EFCB84" w14:textId="386CDC48"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 xml:space="preserve">Olea </w:t>
            </w:r>
            <w:proofErr w:type="spellStart"/>
            <w:r w:rsidRPr="007C0956">
              <w:rPr>
                <w:rFonts w:ascii="Arial" w:hAnsi="Arial" w:cs="Arial"/>
                <w:i/>
                <w:iCs/>
                <w:color w:val="000000"/>
                <w:lang w:val="fr-FR" w:eastAsia="fr-FR"/>
              </w:rPr>
              <w:t>europaea</w:t>
            </w:r>
            <w:proofErr w:type="spellEnd"/>
          </w:p>
        </w:tc>
        <w:tc>
          <w:tcPr>
            <w:tcW w:w="0" w:type="auto"/>
            <w:tcBorders>
              <w:top w:val="nil"/>
              <w:left w:val="nil"/>
              <w:bottom w:val="nil"/>
              <w:right w:val="nil"/>
            </w:tcBorders>
            <w:vAlign w:val="center"/>
            <w:hideMark/>
          </w:tcPr>
          <w:p w14:paraId="6A5F61D7"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Oleaceae</w:t>
            </w:r>
            <w:proofErr w:type="spellEnd"/>
          </w:p>
        </w:tc>
        <w:tc>
          <w:tcPr>
            <w:tcW w:w="0" w:type="auto"/>
            <w:tcBorders>
              <w:top w:val="nil"/>
              <w:left w:val="nil"/>
              <w:bottom w:val="nil"/>
              <w:right w:val="nil"/>
            </w:tcBorders>
            <w:vAlign w:val="center"/>
            <w:hideMark/>
          </w:tcPr>
          <w:p w14:paraId="68395B9B"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Olive / olive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7B7C35BA"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67261A67"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0.39</w:t>
            </w:r>
          </w:p>
        </w:tc>
      </w:tr>
      <w:tr w:rsidR="007110B0" w:rsidRPr="001F7E86" w14:paraId="37230DA5" w14:textId="77777777" w:rsidTr="001F7E86">
        <w:trPr>
          <w:trHeight w:val="227"/>
        </w:trPr>
        <w:tc>
          <w:tcPr>
            <w:tcW w:w="0" w:type="auto"/>
            <w:tcBorders>
              <w:top w:val="single" w:sz="8" w:space="0" w:color="7F7F7F"/>
              <w:left w:val="nil"/>
              <w:bottom w:val="single" w:sz="8" w:space="0" w:color="7F7F7F"/>
              <w:right w:val="nil"/>
            </w:tcBorders>
            <w:vAlign w:val="center"/>
            <w:hideMark/>
          </w:tcPr>
          <w:p w14:paraId="2D550D5F" w14:textId="413F8515"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 xml:space="preserve">Solanum </w:t>
            </w:r>
            <w:proofErr w:type="spellStart"/>
            <w:r w:rsidRPr="007C0956">
              <w:rPr>
                <w:rFonts w:ascii="Arial" w:hAnsi="Arial" w:cs="Arial"/>
                <w:i/>
                <w:iCs/>
                <w:color w:val="000000"/>
                <w:lang w:val="fr-FR" w:eastAsia="fr-FR"/>
              </w:rPr>
              <w:t>lycopersicum</w:t>
            </w:r>
            <w:proofErr w:type="spellEnd"/>
          </w:p>
        </w:tc>
        <w:tc>
          <w:tcPr>
            <w:tcW w:w="0" w:type="auto"/>
            <w:tcBorders>
              <w:top w:val="single" w:sz="8" w:space="0" w:color="7F7F7F"/>
              <w:left w:val="nil"/>
              <w:bottom w:val="single" w:sz="8" w:space="0" w:color="7F7F7F"/>
              <w:right w:val="nil"/>
            </w:tcBorders>
            <w:vAlign w:val="center"/>
            <w:hideMark/>
          </w:tcPr>
          <w:p w14:paraId="32EEC204"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Solanaceae</w:t>
            </w:r>
            <w:proofErr w:type="spellEnd"/>
          </w:p>
        </w:tc>
        <w:tc>
          <w:tcPr>
            <w:tcW w:w="0" w:type="auto"/>
            <w:tcBorders>
              <w:top w:val="single" w:sz="8" w:space="0" w:color="7F7F7F"/>
              <w:left w:val="nil"/>
              <w:bottom w:val="single" w:sz="8" w:space="0" w:color="7F7F7F"/>
              <w:right w:val="nil"/>
            </w:tcBorders>
            <w:vAlign w:val="center"/>
            <w:hideMark/>
          </w:tcPr>
          <w:p w14:paraId="0C95D864"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Tomate / </w:t>
            </w:r>
            <w:proofErr w:type="spellStart"/>
            <w:r w:rsidRPr="007C0956">
              <w:rPr>
                <w:rFonts w:ascii="Arial" w:hAnsi="Arial" w:cs="Arial"/>
                <w:color w:val="000000"/>
                <w:lang w:val="fr-FR" w:eastAsia="fr-FR"/>
              </w:rPr>
              <w:t>tamati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6B9B2BFF"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3AF3D444"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0.39</w:t>
            </w:r>
          </w:p>
        </w:tc>
      </w:tr>
      <w:tr w:rsidR="007110B0" w:rsidRPr="001F7E86" w14:paraId="174E61F8" w14:textId="77777777" w:rsidTr="001F7E86">
        <w:trPr>
          <w:trHeight w:val="227"/>
        </w:trPr>
        <w:tc>
          <w:tcPr>
            <w:tcW w:w="0" w:type="auto"/>
            <w:tcBorders>
              <w:top w:val="nil"/>
              <w:left w:val="nil"/>
              <w:bottom w:val="nil"/>
              <w:right w:val="nil"/>
            </w:tcBorders>
            <w:vAlign w:val="center"/>
            <w:hideMark/>
          </w:tcPr>
          <w:p w14:paraId="56CF3DB8" w14:textId="290A1217" w:rsidR="007110B0" w:rsidRPr="007C0956" w:rsidRDefault="007110B0" w:rsidP="007110B0">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Ipomoea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batatas</w:t>
            </w:r>
            <w:proofErr w:type="spellEnd"/>
          </w:p>
        </w:tc>
        <w:tc>
          <w:tcPr>
            <w:tcW w:w="0" w:type="auto"/>
            <w:tcBorders>
              <w:top w:val="nil"/>
              <w:left w:val="nil"/>
              <w:bottom w:val="single" w:sz="8" w:space="0" w:color="7F7F7F"/>
              <w:right w:val="nil"/>
            </w:tcBorders>
            <w:vAlign w:val="center"/>
            <w:hideMark/>
          </w:tcPr>
          <w:p w14:paraId="677FA052"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Convulvulaceae</w:t>
            </w:r>
            <w:proofErr w:type="spellEnd"/>
          </w:p>
        </w:tc>
        <w:tc>
          <w:tcPr>
            <w:tcW w:w="0" w:type="auto"/>
            <w:tcBorders>
              <w:top w:val="nil"/>
              <w:left w:val="nil"/>
              <w:bottom w:val="nil"/>
              <w:right w:val="nil"/>
            </w:tcBorders>
            <w:vAlign w:val="center"/>
            <w:hideMark/>
          </w:tcPr>
          <w:p w14:paraId="263659E2"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Patate / </w:t>
            </w:r>
            <w:proofErr w:type="spellStart"/>
            <w:r w:rsidRPr="007C0956">
              <w:rPr>
                <w:rFonts w:ascii="Arial" w:hAnsi="Arial" w:cs="Arial"/>
                <w:color w:val="000000"/>
                <w:lang w:val="fr-FR" w:eastAsia="fr-FR"/>
              </w:rPr>
              <w:t>wosso</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0E2302C1"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702D5CCF"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0.39</w:t>
            </w:r>
          </w:p>
        </w:tc>
      </w:tr>
      <w:tr w:rsidR="007110B0" w:rsidRPr="001F7E86" w14:paraId="591CD86F" w14:textId="77777777" w:rsidTr="001F7E86">
        <w:trPr>
          <w:trHeight w:val="227"/>
        </w:trPr>
        <w:tc>
          <w:tcPr>
            <w:tcW w:w="0" w:type="auto"/>
            <w:tcBorders>
              <w:top w:val="single" w:sz="8" w:space="0" w:color="7F7F7F"/>
              <w:left w:val="nil"/>
              <w:bottom w:val="single" w:sz="8" w:space="0" w:color="7F7F7F"/>
              <w:right w:val="nil"/>
            </w:tcBorders>
            <w:vAlign w:val="center"/>
            <w:hideMark/>
          </w:tcPr>
          <w:p w14:paraId="351128CF" w14:textId="6D5B1D4C"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 xml:space="preserve">Vitis </w:t>
            </w:r>
            <w:proofErr w:type="spellStart"/>
            <w:r w:rsidRPr="007C0956">
              <w:rPr>
                <w:rFonts w:ascii="Arial" w:hAnsi="Arial" w:cs="Arial"/>
                <w:i/>
                <w:iCs/>
                <w:color w:val="000000"/>
                <w:lang w:val="fr-FR" w:eastAsia="fr-FR"/>
              </w:rPr>
              <w:t>vea</w:t>
            </w:r>
            <w:proofErr w:type="spellEnd"/>
          </w:p>
        </w:tc>
        <w:tc>
          <w:tcPr>
            <w:tcW w:w="0" w:type="auto"/>
            <w:tcBorders>
              <w:top w:val="single" w:sz="8" w:space="0" w:color="7F7F7F"/>
              <w:left w:val="nil"/>
              <w:bottom w:val="single" w:sz="4" w:space="0" w:color="auto"/>
              <w:right w:val="nil"/>
            </w:tcBorders>
            <w:vAlign w:val="center"/>
            <w:hideMark/>
          </w:tcPr>
          <w:p w14:paraId="6E574C23"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Vitaceae</w:t>
            </w:r>
            <w:proofErr w:type="spellEnd"/>
          </w:p>
        </w:tc>
        <w:tc>
          <w:tcPr>
            <w:tcW w:w="0" w:type="auto"/>
            <w:tcBorders>
              <w:top w:val="single" w:sz="8" w:space="0" w:color="7F7F7F"/>
              <w:left w:val="nil"/>
              <w:bottom w:val="single" w:sz="8" w:space="0" w:color="7F7F7F"/>
              <w:right w:val="nil"/>
            </w:tcBorders>
            <w:vAlign w:val="center"/>
            <w:hideMark/>
          </w:tcPr>
          <w:p w14:paraId="2610CABC"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Raisin / toubabou </w:t>
            </w:r>
            <w:proofErr w:type="spellStart"/>
            <w:r w:rsidRPr="007C0956">
              <w:rPr>
                <w:rFonts w:ascii="Arial" w:hAnsi="Arial" w:cs="Arial"/>
                <w:color w:val="000000"/>
                <w:lang w:val="fr-FR" w:eastAsia="fr-FR"/>
              </w:rPr>
              <w:t>pekou</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6D3E570D"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0B9E75E0"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0.39</w:t>
            </w:r>
          </w:p>
        </w:tc>
      </w:tr>
      <w:tr w:rsidR="007110B0" w:rsidRPr="001F7E86" w14:paraId="7EBFA0FD" w14:textId="77777777" w:rsidTr="001F7E86">
        <w:trPr>
          <w:trHeight w:val="227"/>
        </w:trPr>
        <w:tc>
          <w:tcPr>
            <w:tcW w:w="0" w:type="auto"/>
            <w:tcBorders>
              <w:top w:val="nil"/>
              <w:left w:val="nil"/>
              <w:bottom w:val="nil"/>
              <w:right w:val="nil"/>
            </w:tcBorders>
            <w:vAlign w:val="center"/>
            <w:hideMark/>
          </w:tcPr>
          <w:p w14:paraId="42A7EDCB" w14:textId="524B973D" w:rsidR="007110B0" w:rsidRPr="007C0956" w:rsidRDefault="007110B0" w:rsidP="007110B0">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Parkia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biglobosa</w:t>
            </w:r>
            <w:proofErr w:type="spellEnd"/>
          </w:p>
        </w:tc>
        <w:tc>
          <w:tcPr>
            <w:tcW w:w="0" w:type="auto"/>
            <w:tcBorders>
              <w:top w:val="single" w:sz="4" w:space="0" w:color="auto"/>
              <w:left w:val="nil"/>
              <w:bottom w:val="single" w:sz="8" w:space="0" w:color="7F7F7F"/>
              <w:right w:val="nil"/>
            </w:tcBorders>
            <w:vAlign w:val="center"/>
            <w:hideMark/>
          </w:tcPr>
          <w:p w14:paraId="3F5A6BEC" w14:textId="27DBECCD" w:rsidR="007110B0" w:rsidRPr="007C0956" w:rsidRDefault="007110B0" w:rsidP="007110B0">
            <w:pPr>
              <w:pStyle w:val="Body"/>
              <w:spacing w:after="0"/>
              <w:rPr>
                <w:rFonts w:ascii="Arial" w:hAnsi="Arial" w:cs="Arial"/>
                <w:lang w:val="fr-FR"/>
              </w:rPr>
            </w:pPr>
            <w:r w:rsidRPr="007C0956">
              <w:rPr>
                <w:rFonts w:ascii="Arial" w:hAnsi="Arial" w:cs="Arial"/>
                <w:color w:val="000000"/>
                <w:lang w:val="fr-FR" w:eastAsia="fr-FR"/>
              </w:rPr>
              <w:t> </w:t>
            </w:r>
            <w:proofErr w:type="spellStart"/>
            <w:r w:rsidRPr="001F7E86">
              <w:rPr>
                <w:rFonts w:ascii="Arial" w:hAnsi="Arial" w:cs="Arial"/>
                <w:lang w:val="fr-FR"/>
              </w:rPr>
              <w:t>Fabaceae</w:t>
            </w:r>
            <w:proofErr w:type="spellEnd"/>
          </w:p>
        </w:tc>
        <w:tc>
          <w:tcPr>
            <w:tcW w:w="0" w:type="auto"/>
            <w:tcBorders>
              <w:top w:val="nil"/>
              <w:left w:val="nil"/>
              <w:bottom w:val="nil"/>
              <w:right w:val="nil"/>
            </w:tcBorders>
            <w:vAlign w:val="center"/>
            <w:hideMark/>
          </w:tcPr>
          <w:p w14:paraId="0AEB1B26"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Porkia</w:t>
            </w:r>
            <w:proofErr w:type="spellEnd"/>
            <w:r w:rsidRPr="007C0956">
              <w:rPr>
                <w:rFonts w:ascii="Arial" w:hAnsi="Arial" w:cs="Arial"/>
                <w:color w:val="000000"/>
                <w:lang w:val="fr-FR" w:eastAsia="fr-FR"/>
              </w:rPr>
              <w:t> / néré</w:t>
            </w:r>
          </w:p>
        </w:tc>
        <w:tc>
          <w:tcPr>
            <w:tcW w:w="0" w:type="auto"/>
            <w:tcBorders>
              <w:top w:val="nil"/>
              <w:left w:val="nil"/>
              <w:bottom w:val="nil"/>
              <w:right w:val="nil"/>
            </w:tcBorders>
            <w:vAlign w:val="center"/>
            <w:hideMark/>
          </w:tcPr>
          <w:p w14:paraId="787D2F2F"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7588089F"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0.39</w:t>
            </w:r>
          </w:p>
        </w:tc>
      </w:tr>
      <w:tr w:rsidR="007110B0" w:rsidRPr="001F7E86" w14:paraId="0A70F60B" w14:textId="77777777" w:rsidTr="001F7E86">
        <w:trPr>
          <w:trHeight w:val="227"/>
        </w:trPr>
        <w:tc>
          <w:tcPr>
            <w:tcW w:w="0" w:type="auto"/>
            <w:tcBorders>
              <w:top w:val="single" w:sz="8" w:space="0" w:color="7F7F7F"/>
              <w:left w:val="nil"/>
              <w:bottom w:val="single" w:sz="8" w:space="0" w:color="7F7F7F"/>
              <w:right w:val="nil"/>
            </w:tcBorders>
            <w:vAlign w:val="center"/>
            <w:hideMark/>
          </w:tcPr>
          <w:p w14:paraId="188FF30A" w14:textId="4C1C74F4"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Zingibier officinale</w:t>
            </w:r>
          </w:p>
        </w:tc>
        <w:tc>
          <w:tcPr>
            <w:tcW w:w="0" w:type="auto"/>
            <w:tcBorders>
              <w:top w:val="nil"/>
              <w:left w:val="nil"/>
              <w:bottom w:val="single" w:sz="8" w:space="0" w:color="7F7F7F"/>
              <w:right w:val="nil"/>
            </w:tcBorders>
            <w:vAlign w:val="center"/>
            <w:hideMark/>
          </w:tcPr>
          <w:p w14:paraId="656B741D"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Rhamnaceae</w:t>
            </w:r>
            <w:proofErr w:type="spellEnd"/>
          </w:p>
        </w:tc>
        <w:tc>
          <w:tcPr>
            <w:tcW w:w="0" w:type="auto"/>
            <w:tcBorders>
              <w:top w:val="single" w:sz="8" w:space="0" w:color="7F7F7F"/>
              <w:left w:val="nil"/>
              <w:bottom w:val="single" w:sz="8" w:space="0" w:color="7F7F7F"/>
              <w:right w:val="nil"/>
            </w:tcBorders>
            <w:vAlign w:val="center"/>
            <w:hideMark/>
          </w:tcPr>
          <w:p w14:paraId="66526030"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Jingembre</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yanmakou</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141019C"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35E76DED"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0.39</w:t>
            </w:r>
          </w:p>
        </w:tc>
      </w:tr>
      <w:tr w:rsidR="007110B0" w:rsidRPr="001F7E86" w14:paraId="04532085" w14:textId="77777777" w:rsidTr="001F7E86">
        <w:trPr>
          <w:trHeight w:val="227"/>
        </w:trPr>
        <w:tc>
          <w:tcPr>
            <w:tcW w:w="0" w:type="auto"/>
            <w:tcBorders>
              <w:top w:val="nil"/>
              <w:left w:val="nil"/>
              <w:bottom w:val="nil"/>
              <w:right w:val="nil"/>
            </w:tcBorders>
            <w:vAlign w:val="center"/>
            <w:hideMark/>
          </w:tcPr>
          <w:p w14:paraId="2A9BB3E0" w14:textId="23596462"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 xml:space="preserve">Allium </w:t>
            </w:r>
            <w:proofErr w:type="spellStart"/>
            <w:r w:rsidRPr="007C0956">
              <w:rPr>
                <w:rFonts w:ascii="Arial" w:hAnsi="Arial" w:cs="Arial"/>
                <w:i/>
                <w:iCs/>
                <w:color w:val="000000"/>
                <w:lang w:val="fr-FR" w:eastAsia="fr-FR"/>
              </w:rPr>
              <w:t>cepa</w:t>
            </w:r>
            <w:proofErr w:type="spellEnd"/>
            <w:r w:rsidRPr="007C0956">
              <w:rPr>
                <w:rFonts w:ascii="Arial" w:hAnsi="Arial" w:cs="Arial"/>
                <w:i/>
                <w:iCs/>
                <w:color w:val="000000"/>
                <w:lang w:val="fr-FR" w:eastAsia="fr-FR"/>
              </w:rPr>
              <w:t xml:space="preserve"> </w:t>
            </w:r>
          </w:p>
        </w:tc>
        <w:tc>
          <w:tcPr>
            <w:tcW w:w="0" w:type="auto"/>
            <w:tcBorders>
              <w:top w:val="nil"/>
              <w:left w:val="nil"/>
              <w:bottom w:val="nil"/>
              <w:right w:val="nil"/>
            </w:tcBorders>
            <w:vAlign w:val="center"/>
            <w:hideMark/>
          </w:tcPr>
          <w:p w14:paraId="325074D6" w14:textId="77777777" w:rsidR="007110B0" w:rsidRPr="007C0956" w:rsidRDefault="007110B0" w:rsidP="007110B0">
            <w:pPr>
              <w:jc w:val="both"/>
              <w:rPr>
                <w:rFonts w:ascii="Arial" w:hAnsi="Arial" w:cs="Arial"/>
                <w:color w:val="000000"/>
                <w:lang w:val="fr-FR" w:eastAsia="fr-FR"/>
              </w:rPr>
            </w:pPr>
            <w:proofErr w:type="spellStart"/>
            <w:r w:rsidRPr="007C0956">
              <w:rPr>
                <w:rFonts w:ascii="Arial" w:hAnsi="Arial" w:cs="Arial"/>
                <w:color w:val="000000"/>
                <w:lang w:val="fr-FR" w:eastAsia="fr-FR"/>
              </w:rPr>
              <w:t>Liliaceae</w:t>
            </w:r>
            <w:proofErr w:type="spellEnd"/>
          </w:p>
        </w:tc>
        <w:tc>
          <w:tcPr>
            <w:tcW w:w="0" w:type="auto"/>
            <w:tcBorders>
              <w:top w:val="nil"/>
              <w:left w:val="nil"/>
              <w:bottom w:val="nil"/>
              <w:right w:val="nil"/>
            </w:tcBorders>
            <w:vAlign w:val="center"/>
            <w:hideMark/>
          </w:tcPr>
          <w:p w14:paraId="539F1520"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Oignon / </w:t>
            </w:r>
            <w:proofErr w:type="spellStart"/>
            <w:r w:rsidRPr="007C0956">
              <w:rPr>
                <w:rFonts w:ascii="Arial" w:hAnsi="Arial" w:cs="Arial"/>
                <w:color w:val="000000"/>
                <w:lang w:val="fr-FR" w:eastAsia="fr-FR"/>
              </w:rPr>
              <w:t>djaba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18FA4F3C"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55BE65C5"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0.39</w:t>
            </w:r>
          </w:p>
        </w:tc>
      </w:tr>
      <w:tr w:rsidR="007110B0" w:rsidRPr="001F7E86" w14:paraId="4802CD5F" w14:textId="77777777" w:rsidTr="001F7E86">
        <w:trPr>
          <w:trHeight w:val="227"/>
        </w:trPr>
        <w:tc>
          <w:tcPr>
            <w:tcW w:w="0" w:type="auto"/>
            <w:tcBorders>
              <w:top w:val="single" w:sz="8" w:space="0" w:color="7F7F7F"/>
              <w:left w:val="nil"/>
              <w:bottom w:val="single" w:sz="8" w:space="0" w:color="7F7F7F"/>
              <w:right w:val="nil"/>
            </w:tcBorders>
            <w:vAlign w:val="center"/>
            <w:hideMark/>
          </w:tcPr>
          <w:p w14:paraId="04133BA7" w14:textId="0586784D" w:rsidR="007110B0" w:rsidRPr="007C0956" w:rsidRDefault="007110B0" w:rsidP="007110B0">
            <w:pPr>
              <w:jc w:val="both"/>
              <w:rPr>
                <w:rFonts w:ascii="Arial" w:hAnsi="Arial" w:cs="Arial"/>
                <w:i/>
                <w:iCs/>
                <w:color w:val="000000"/>
                <w:lang w:val="fr-FR" w:eastAsia="fr-FR"/>
              </w:rPr>
            </w:pPr>
            <w:r w:rsidRPr="007C0956">
              <w:rPr>
                <w:rFonts w:ascii="Arial" w:hAnsi="Arial" w:cs="Arial"/>
                <w:i/>
                <w:iCs/>
                <w:color w:val="000000"/>
                <w:lang w:val="fr-FR" w:eastAsia="fr-FR"/>
              </w:rPr>
              <w:t>Citrus maxima</w:t>
            </w:r>
          </w:p>
        </w:tc>
        <w:tc>
          <w:tcPr>
            <w:tcW w:w="0" w:type="auto"/>
            <w:tcBorders>
              <w:top w:val="single" w:sz="8" w:space="0" w:color="7F7F7F"/>
              <w:left w:val="nil"/>
              <w:bottom w:val="single" w:sz="8" w:space="0" w:color="7F7F7F"/>
              <w:right w:val="nil"/>
            </w:tcBorders>
            <w:vAlign w:val="center"/>
            <w:hideMark/>
          </w:tcPr>
          <w:p w14:paraId="70E42505" w14:textId="5C8903C4" w:rsidR="007110B0" w:rsidRPr="007C0956" w:rsidRDefault="007110B0" w:rsidP="007110B0">
            <w:pPr>
              <w:pStyle w:val="Body"/>
              <w:spacing w:after="0"/>
              <w:rPr>
                <w:rFonts w:ascii="Arial" w:hAnsi="Arial" w:cs="Arial"/>
                <w:lang w:val="fr-FR"/>
              </w:rPr>
            </w:pPr>
            <w:r w:rsidRPr="007C0956">
              <w:rPr>
                <w:rFonts w:ascii="Arial" w:hAnsi="Arial" w:cs="Arial"/>
                <w:color w:val="000000"/>
                <w:lang w:val="fr-FR" w:eastAsia="fr-FR"/>
              </w:rPr>
              <w:t> </w:t>
            </w:r>
            <w:proofErr w:type="spellStart"/>
            <w:r w:rsidRPr="001F7E86">
              <w:rPr>
                <w:rFonts w:ascii="Arial" w:hAnsi="Arial" w:cs="Arial"/>
                <w:lang w:val="fr-FR"/>
              </w:rPr>
              <w:t>Rutaceae</w:t>
            </w:r>
            <w:proofErr w:type="spellEnd"/>
          </w:p>
        </w:tc>
        <w:tc>
          <w:tcPr>
            <w:tcW w:w="0" w:type="auto"/>
            <w:tcBorders>
              <w:top w:val="single" w:sz="8" w:space="0" w:color="7F7F7F"/>
              <w:left w:val="nil"/>
              <w:bottom w:val="single" w:sz="8" w:space="0" w:color="7F7F7F"/>
              <w:right w:val="nil"/>
            </w:tcBorders>
            <w:vAlign w:val="center"/>
            <w:hideMark/>
          </w:tcPr>
          <w:p w14:paraId="7B6D2939"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 xml:space="preserve">Pamplemousse / </w:t>
            </w:r>
            <w:proofErr w:type="spellStart"/>
            <w:r w:rsidRPr="007C0956">
              <w:rPr>
                <w:rFonts w:ascii="Arial" w:hAnsi="Arial" w:cs="Arial"/>
                <w:color w:val="000000"/>
                <w:lang w:val="fr-FR" w:eastAsia="fr-FR"/>
              </w:rPr>
              <w:t>pampulemusi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25D36C04"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3AE3961E" w14:textId="77777777" w:rsidR="007110B0" w:rsidRPr="007C0956" w:rsidRDefault="007110B0" w:rsidP="007110B0">
            <w:pPr>
              <w:jc w:val="both"/>
              <w:rPr>
                <w:rFonts w:ascii="Arial" w:hAnsi="Arial" w:cs="Arial"/>
                <w:color w:val="000000"/>
                <w:lang w:val="fr-FR" w:eastAsia="fr-FR"/>
              </w:rPr>
            </w:pPr>
            <w:r w:rsidRPr="007C0956">
              <w:rPr>
                <w:rFonts w:ascii="Arial" w:hAnsi="Arial" w:cs="Arial"/>
                <w:color w:val="000000"/>
                <w:lang w:val="fr-FR" w:eastAsia="fr-FR"/>
              </w:rPr>
              <w:t>0.39</w:t>
            </w:r>
          </w:p>
        </w:tc>
      </w:tr>
    </w:tbl>
    <w:p w14:paraId="1BB90397" w14:textId="61AF87E8" w:rsidR="007C0956" w:rsidRDefault="007C0956" w:rsidP="00441B6F">
      <w:pPr>
        <w:pStyle w:val="Body"/>
        <w:spacing w:after="0"/>
        <w:rPr>
          <w:rFonts w:ascii="Arial" w:hAnsi="Arial" w:cs="Arial"/>
        </w:rPr>
        <w:sectPr w:rsidR="007C0956" w:rsidSect="00A028F8">
          <w:headerReference w:type="even" r:id="rId19"/>
          <w:headerReference w:type="default" r:id="rId20"/>
          <w:headerReference w:type="first" r:id="rId21"/>
          <w:pgSz w:w="15840" w:h="12240" w:orient="landscape"/>
          <w:pgMar w:top="2016" w:right="1440" w:bottom="2016" w:left="2016" w:header="720" w:footer="1123" w:gutter="0"/>
          <w:cols w:space="720"/>
          <w:docGrid w:linePitch="272"/>
        </w:sectPr>
      </w:pPr>
    </w:p>
    <w:p w14:paraId="71641E95" w14:textId="2818CDAA" w:rsidR="00B3360C" w:rsidRDefault="00B3360C" w:rsidP="00566C44">
      <w:pPr>
        <w:spacing w:line="276" w:lineRule="auto"/>
        <w:outlineLvl w:val="1"/>
      </w:pPr>
      <w:r w:rsidRPr="00B3360C">
        <w:rPr>
          <w:b/>
        </w:rPr>
        <w:lastRenderedPageBreak/>
        <w:t>3.</w:t>
      </w:r>
      <w:r w:rsidR="001A7C67">
        <w:rPr>
          <w:b/>
        </w:rPr>
        <w:t>2</w:t>
      </w:r>
      <w:r w:rsidRPr="00B3360C">
        <w:rPr>
          <w:b/>
        </w:rPr>
        <w:t xml:space="preserve"> </w:t>
      </w:r>
      <w:r>
        <w:rPr>
          <w:b/>
        </w:rPr>
        <w:t xml:space="preserve">Antidiabetic Plants among </w:t>
      </w:r>
      <w:r w:rsidRPr="00B3360C">
        <w:rPr>
          <w:b/>
        </w:rPr>
        <w:t xml:space="preserve">Domesticated </w:t>
      </w:r>
      <w:r w:rsidR="00097F28">
        <w:rPr>
          <w:b/>
        </w:rPr>
        <w:t>edible</w:t>
      </w:r>
      <w:r w:rsidR="00F31EDA" w:rsidRPr="00097F28">
        <w:rPr>
          <w:b/>
        </w:rPr>
        <w:t xml:space="preserve"> Plant</w:t>
      </w:r>
      <w:r w:rsidR="00F31EDA">
        <w:rPr>
          <w:b/>
        </w:rPr>
        <w:t xml:space="preserve"> </w:t>
      </w:r>
      <w:r w:rsidR="001A7C67">
        <w:rPr>
          <w:b/>
        </w:rPr>
        <w:t>Species</w:t>
      </w:r>
      <w:r w:rsidRPr="00B3360C">
        <w:t xml:space="preserve">.  </w:t>
      </w:r>
    </w:p>
    <w:p w14:paraId="5A96C6D3" w14:textId="77777777" w:rsidR="00FE2DF9" w:rsidRPr="007110B0" w:rsidRDefault="00FE2DF9" w:rsidP="007110B0"/>
    <w:p w14:paraId="5AD390DF" w14:textId="28811B52" w:rsidR="00FE2DF9" w:rsidRDefault="00E1381B" w:rsidP="00984C57">
      <w:pPr>
        <w:spacing w:after="240" w:line="276" w:lineRule="auto"/>
      </w:pPr>
      <w:r>
        <w:t xml:space="preserve">The </w:t>
      </w:r>
      <w:r w:rsidR="00FE2DF9" w:rsidRPr="00FE2DF9">
        <w:t xml:space="preserve">Fig. </w:t>
      </w:r>
      <w:r w:rsidR="00841676">
        <w:t>3</w:t>
      </w:r>
      <w:r w:rsidR="00FE2DF9" w:rsidRPr="00FE2DF9">
        <w:t xml:space="preserve"> highlights the most cited antidiabetic plants among domesticated edible plant species.</w:t>
      </w:r>
    </w:p>
    <w:p w14:paraId="28B69695" w14:textId="55CD7C13" w:rsidR="00FE2DF9" w:rsidRDefault="00984C57" w:rsidP="00B3360C">
      <w:pPr>
        <w:pStyle w:val="Body"/>
        <w:rPr>
          <w:rFonts w:ascii="Arial" w:hAnsi="Arial" w:cs="Arial"/>
        </w:rPr>
      </w:pPr>
      <w:r>
        <w:rPr>
          <w:noProof/>
        </w:rPr>
        <mc:AlternateContent>
          <mc:Choice Requires="wps">
            <w:drawing>
              <wp:anchor distT="0" distB="0" distL="114300" distR="114300" simplePos="0" relativeHeight="251661312" behindDoc="0" locked="0" layoutInCell="1" allowOverlap="1" wp14:anchorId="3973BD2E" wp14:editId="5D0A112C">
                <wp:simplePos x="0" y="0"/>
                <wp:positionH relativeFrom="column">
                  <wp:posOffset>461</wp:posOffset>
                </wp:positionH>
                <wp:positionV relativeFrom="paragraph">
                  <wp:posOffset>2854431</wp:posOffset>
                </wp:positionV>
                <wp:extent cx="5260975" cy="258445"/>
                <wp:effectExtent l="0" t="0" r="0" b="8255"/>
                <wp:wrapSquare wrapText="bothSides"/>
                <wp:docPr id="1941746984" name="Zone de texte 1"/>
                <wp:cNvGraphicFramePr/>
                <a:graphic xmlns:a="http://schemas.openxmlformats.org/drawingml/2006/main">
                  <a:graphicData uri="http://schemas.microsoft.com/office/word/2010/wordprocessingShape">
                    <wps:wsp>
                      <wps:cNvSpPr txBox="1"/>
                      <wps:spPr>
                        <a:xfrm>
                          <a:off x="0" y="0"/>
                          <a:ext cx="5260975" cy="258445"/>
                        </a:xfrm>
                        <a:prstGeom prst="rect">
                          <a:avLst/>
                        </a:prstGeom>
                        <a:solidFill>
                          <a:prstClr val="white"/>
                        </a:solidFill>
                        <a:ln>
                          <a:noFill/>
                        </a:ln>
                      </wps:spPr>
                      <wps:txbx>
                        <w:txbxContent>
                          <w:p w14:paraId="20FC4501" w14:textId="58C7F647" w:rsidR="00B65ED9" w:rsidRPr="00B65ED9" w:rsidRDefault="00B65ED9" w:rsidP="00B65ED9">
                            <w:pPr>
                              <w:rPr>
                                <w:rFonts w:ascii="Arial" w:hAnsi="Arial" w:cs="Arial"/>
                                <w:b/>
                                <w:bCs/>
                                <w:i/>
                                <w:iCs/>
                                <w:noProof/>
                                <w:sz w:val="22"/>
                                <w:szCs w:val="22"/>
                              </w:rPr>
                            </w:pPr>
                            <w:bookmarkStart w:id="5" w:name="_Ref207295824"/>
                            <w:r w:rsidRPr="00B65ED9">
                              <w:rPr>
                                <w:rFonts w:ascii="Arial" w:hAnsi="Arial" w:cs="Arial"/>
                                <w:b/>
                                <w:bCs/>
                                <w:i/>
                                <w:iCs/>
                              </w:rPr>
                              <w:t xml:space="preserve">Fig. </w:t>
                            </w:r>
                            <w:r w:rsidRPr="00B65ED9">
                              <w:rPr>
                                <w:rFonts w:ascii="Arial" w:hAnsi="Arial" w:cs="Arial"/>
                                <w:b/>
                                <w:bCs/>
                                <w:i/>
                                <w:iCs/>
                              </w:rPr>
                              <w:fldChar w:fldCharType="begin"/>
                            </w:r>
                            <w:r w:rsidRPr="00B65ED9">
                              <w:rPr>
                                <w:rFonts w:ascii="Arial" w:hAnsi="Arial" w:cs="Arial"/>
                                <w:b/>
                                <w:bCs/>
                                <w:i/>
                                <w:iCs/>
                              </w:rPr>
                              <w:instrText xml:space="preserve"> SEQ Figure \* ARABIC </w:instrText>
                            </w:r>
                            <w:r w:rsidRPr="00B65ED9">
                              <w:rPr>
                                <w:rFonts w:ascii="Arial" w:hAnsi="Arial" w:cs="Arial"/>
                                <w:b/>
                                <w:bCs/>
                                <w:i/>
                                <w:iCs/>
                              </w:rPr>
                              <w:fldChar w:fldCharType="separate"/>
                            </w:r>
                            <w:r w:rsidR="00E3523A">
                              <w:rPr>
                                <w:rFonts w:ascii="Arial" w:hAnsi="Arial" w:cs="Arial"/>
                                <w:b/>
                                <w:bCs/>
                                <w:i/>
                                <w:iCs/>
                                <w:noProof/>
                              </w:rPr>
                              <w:t>3</w:t>
                            </w:r>
                            <w:r w:rsidRPr="00B65ED9">
                              <w:rPr>
                                <w:rFonts w:ascii="Arial" w:hAnsi="Arial" w:cs="Arial"/>
                                <w:b/>
                                <w:bCs/>
                                <w:i/>
                                <w:iCs/>
                              </w:rPr>
                              <w:fldChar w:fldCharType="end"/>
                            </w:r>
                            <w:bookmarkEnd w:id="5"/>
                            <w:r>
                              <w:rPr>
                                <w:rFonts w:ascii="Arial" w:hAnsi="Arial" w:cs="Arial"/>
                                <w:b/>
                                <w:bCs/>
                                <w:i/>
                                <w:iCs/>
                              </w:rPr>
                              <w:t xml:space="preserve">. </w:t>
                            </w:r>
                            <w:r w:rsidRPr="00B65ED9">
                              <w:rPr>
                                <w:rFonts w:ascii="Arial" w:hAnsi="Arial" w:cs="Arial"/>
                                <w:b/>
                                <w:bCs/>
                              </w:rPr>
                              <w:t xml:space="preserve">Number of citations for antidiabetic Plants among domesticated </w:t>
                            </w:r>
                            <w:r>
                              <w:rPr>
                                <w:rFonts w:ascii="Arial" w:hAnsi="Arial" w:cs="Arial"/>
                                <w:b/>
                                <w:bCs/>
                              </w:rPr>
                              <w:t>Species</w:t>
                            </w:r>
                          </w:p>
                          <w:p w14:paraId="0DC367A0" w14:textId="3E71357F" w:rsidR="00B65ED9" w:rsidRPr="00B65ED9" w:rsidRDefault="00B65ED9" w:rsidP="00B65ED9">
                            <w:pPr>
                              <w:pStyle w:val="Caption"/>
                              <w:jc w:val="center"/>
                              <w:rPr>
                                <w:rFonts w:ascii="Arial" w:hAnsi="Arial" w:cs="Arial"/>
                                <w:b/>
                                <w:bCs/>
                                <w:i w:val="0"/>
                                <w:iCs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973BD2E" id="_x0000_t202" coordsize="21600,21600" o:spt="202" path="m,l,21600r21600,l21600,xe">
                <v:stroke joinstyle="miter"/>
                <v:path gradientshapeok="t" o:connecttype="rect"/>
              </v:shapetype>
              <v:shape id="Zone de texte 1" o:spid="_x0000_s1026" type="#_x0000_t202" style="position:absolute;left:0;text-align:left;margin-left:.05pt;margin-top:224.75pt;width:414.25pt;height:20.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" stroked="f">
                <v:textbox inset="0,0,0,0">
                  <w:txbxContent>
                    <w:p w14:paraId="20FC4501" w14:textId="58C7F647" w:rsidR="00B65ED9" w:rsidRPr="00B65ED9" w:rsidRDefault="00B65ED9" w:rsidP="00B65ED9">
                      <w:pPr>
                        <w:rPr>
                          <w:rFonts w:ascii="Arial" w:hAnsi="Arial" w:cs="Arial"/>
                          <w:b/>
                          <w:bCs/>
                          <w:i/>
                          <w:iCs/>
                          <w:noProof/>
                          <w:sz w:val="22"/>
                          <w:szCs w:val="22"/>
                        </w:rPr>
                      </w:pPr>
                      <w:bookmarkStart w:id="5" w:name="_Ref207295824"/>
                      <w:r w:rsidRPr="00B65ED9">
                        <w:rPr>
                          <w:rFonts w:ascii="Arial" w:hAnsi="Arial" w:cs="Arial"/>
                          <w:b/>
                          <w:bCs/>
                          <w:i/>
                          <w:iCs/>
                        </w:rPr>
                        <w:t xml:space="preserve">Fig. </w:t>
                      </w:r>
                      <w:r w:rsidRPr="00B65ED9">
                        <w:rPr>
                          <w:rFonts w:ascii="Arial" w:hAnsi="Arial" w:cs="Arial"/>
                          <w:b/>
                          <w:bCs/>
                          <w:i/>
                          <w:iCs/>
                        </w:rPr>
                        <w:fldChar w:fldCharType="begin"/>
                      </w:r>
                      <w:r w:rsidRPr="00B65ED9">
                        <w:rPr>
                          <w:rFonts w:ascii="Arial" w:hAnsi="Arial" w:cs="Arial"/>
                          <w:b/>
                          <w:bCs/>
                          <w:i/>
                          <w:iCs/>
                        </w:rPr>
                        <w:instrText xml:space="preserve"> SEQ Figure \* ARABIC </w:instrText>
                      </w:r>
                      <w:r w:rsidRPr="00B65ED9">
                        <w:rPr>
                          <w:rFonts w:ascii="Arial" w:hAnsi="Arial" w:cs="Arial"/>
                          <w:b/>
                          <w:bCs/>
                          <w:i/>
                          <w:iCs/>
                        </w:rPr>
                        <w:fldChar w:fldCharType="separate"/>
                      </w:r>
                      <w:r w:rsidR="00E3523A">
                        <w:rPr>
                          <w:rFonts w:ascii="Arial" w:hAnsi="Arial" w:cs="Arial"/>
                          <w:b/>
                          <w:bCs/>
                          <w:i/>
                          <w:iCs/>
                          <w:noProof/>
                        </w:rPr>
                        <w:t>3</w:t>
                      </w:r>
                      <w:r w:rsidRPr="00B65ED9">
                        <w:rPr>
                          <w:rFonts w:ascii="Arial" w:hAnsi="Arial" w:cs="Arial"/>
                          <w:b/>
                          <w:bCs/>
                          <w:i/>
                          <w:iCs/>
                        </w:rPr>
                        <w:fldChar w:fldCharType="end"/>
                      </w:r>
                      <w:bookmarkEnd w:id="5"/>
                      <w:r>
                        <w:rPr>
                          <w:rFonts w:ascii="Arial" w:hAnsi="Arial" w:cs="Arial"/>
                          <w:b/>
                          <w:bCs/>
                          <w:i/>
                          <w:iCs/>
                        </w:rPr>
                        <w:t xml:space="preserve">. </w:t>
                      </w:r>
                      <w:r w:rsidRPr="00B65ED9">
                        <w:rPr>
                          <w:rFonts w:ascii="Arial" w:hAnsi="Arial" w:cs="Arial"/>
                          <w:b/>
                          <w:bCs/>
                        </w:rPr>
                        <w:t xml:space="preserve">Number of citations for antidiabetic Plants among domesticated </w:t>
                      </w:r>
                      <w:r>
                        <w:rPr>
                          <w:rFonts w:ascii="Arial" w:hAnsi="Arial" w:cs="Arial"/>
                          <w:b/>
                          <w:bCs/>
                        </w:rPr>
                        <w:t>Species</w:t>
                      </w:r>
                    </w:p>
                    <w:p w14:paraId="0DC367A0" w14:textId="3E71357F" w:rsidR="00B65ED9" w:rsidRPr="00B65ED9" w:rsidRDefault="00B65ED9" w:rsidP="00B65ED9">
                      <w:pPr>
                        <w:pStyle w:val="Lgende"/>
                        <w:jc w:val="center"/>
                        <w:rPr>
                          <w:rFonts w:ascii="Arial" w:hAnsi="Arial" w:cs="Arial"/>
                          <w:b/>
                          <w:bCs/>
                          <w:i w:val="0"/>
                          <w:iCs w:val="0"/>
                          <w:noProof/>
                          <w:color w:val="auto"/>
                          <w:sz w:val="22"/>
                          <w:szCs w:val="22"/>
                        </w:rPr>
                      </w:pPr>
                    </w:p>
                  </w:txbxContent>
                </v:textbox>
                <w10:wrap type="square"/>
              </v:shape>
            </w:pict>
          </mc:Fallback>
        </mc:AlternateContent>
      </w:r>
      <w:r w:rsidR="006542EA">
        <w:rPr>
          <w:noProof/>
        </w:rPr>
        <w:drawing>
          <wp:inline distT="0" distB="0" distL="0" distR="0" wp14:anchorId="680278DD" wp14:editId="2DC7EE6C">
            <wp:extent cx="5260975" cy="2809875"/>
            <wp:effectExtent l="0" t="0" r="15875" b="9525"/>
            <wp:docPr id="1165"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491D6B" w14:textId="3704FF93" w:rsidR="00FE2DF9" w:rsidRDefault="00FE2DF9" w:rsidP="00B3360C">
      <w:pPr>
        <w:pStyle w:val="Body"/>
        <w:rPr>
          <w:rFonts w:ascii="Arial" w:hAnsi="Arial" w:cs="Arial"/>
        </w:rPr>
      </w:pPr>
    </w:p>
    <w:p w14:paraId="208A38F3" w14:textId="18F62F33" w:rsidR="006542EA" w:rsidRPr="006542EA" w:rsidRDefault="006542EA" w:rsidP="00B3360C">
      <w:pPr>
        <w:pStyle w:val="Body"/>
        <w:rPr>
          <w:rFonts w:ascii="Arial" w:hAnsi="Arial" w:cs="Arial"/>
        </w:rPr>
      </w:pPr>
      <w:r>
        <w:rPr>
          <w:rFonts w:ascii="Arial" w:hAnsi="Arial" w:cs="Arial"/>
        </w:rPr>
        <w:t>The Figure shows</w:t>
      </w:r>
      <w:r w:rsidR="00543FDB">
        <w:rPr>
          <w:rFonts w:ascii="Arial" w:hAnsi="Arial" w:cs="Arial"/>
        </w:rPr>
        <w:t xml:space="preserve"> that</w:t>
      </w:r>
      <w:r>
        <w:rPr>
          <w:rFonts w:ascii="Arial" w:hAnsi="Arial" w:cs="Arial"/>
        </w:rPr>
        <w:t xml:space="preserve"> </w:t>
      </w:r>
      <w:r w:rsidRPr="006542EA">
        <w:rPr>
          <w:rFonts w:ascii="Arial" w:hAnsi="Arial" w:cs="Arial"/>
          <w:i/>
          <w:iCs/>
        </w:rPr>
        <w:t>Moringa</w:t>
      </w:r>
      <w:r w:rsidRPr="006542EA">
        <w:rPr>
          <w:rFonts w:ascii="Arial" w:hAnsi="Arial" w:cs="Arial"/>
        </w:rPr>
        <w:t xml:space="preserve"> stands out as the most frequently cited plant, with a total of 38 citations</w:t>
      </w:r>
      <w:r>
        <w:rPr>
          <w:rFonts w:ascii="Arial" w:hAnsi="Arial" w:cs="Arial"/>
        </w:rPr>
        <w:t xml:space="preserve"> followed by </w:t>
      </w:r>
      <w:r w:rsidRPr="006542EA">
        <w:rPr>
          <w:rFonts w:ascii="Arial" w:hAnsi="Arial" w:cs="Arial"/>
          <w:i/>
          <w:iCs/>
        </w:rPr>
        <w:t>Papaya</w:t>
      </w:r>
      <w:r w:rsidRPr="006542EA">
        <w:rPr>
          <w:rFonts w:ascii="Arial" w:hAnsi="Arial" w:cs="Arial"/>
        </w:rPr>
        <w:t xml:space="preserve"> (13 citations), </w:t>
      </w:r>
      <w:r w:rsidRPr="006542EA">
        <w:rPr>
          <w:rFonts w:ascii="Arial" w:hAnsi="Arial" w:cs="Arial"/>
          <w:i/>
          <w:iCs/>
        </w:rPr>
        <w:t>Aloe Vera</w:t>
      </w:r>
      <w:r w:rsidRPr="006542EA">
        <w:rPr>
          <w:rFonts w:ascii="Arial" w:hAnsi="Arial" w:cs="Arial"/>
        </w:rPr>
        <w:t xml:space="preserve"> (12 citations), and </w:t>
      </w:r>
      <w:r w:rsidRPr="006542EA">
        <w:rPr>
          <w:rFonts w:ascii="Arial" w:hAnsi="Arial" w:cs="Arial"/>
          <w:i/>
          <w:iCs/>
        </w:rPr>
        <w:t>Mango</w:t>
      </w:r>
      <w:r w:rsidRPr="006542EA">
        <w:rPr>
          <w:rFonts w:ascii="Arial" w:hAnsi="Arial" w:cs="Arial"/>
        </w:rPr>
        <w:t xml:space="preserve"> (12 citations).</w:t>
      </w:r>
      <w:r>
        <w:rPr>
          <w:rFonts w:ascii="Arial" w:hAnsi="Arial" w:cs="Arial"/>
        </w:rPr>
        <w:t xml:space="preserve"> Results </w:t>
      </w:r>
      <w:r w:rsidR="00566C44">
        <w:rPr>
          <w:rFonts w:ascii="Arial" w:hAnsi="Arial" w:cs="Arial"/>
        </w:rPr>
        <w:t>highlight</w:t>
      </w:r>
      <w:r>
        <w:rPr>
          <w:rFonts w:ascii="Arial" w:hAnsi="Arial" w:cs="Arial"/>
        </w:rPr>
        <w:t xml:space="preserve"> importance of these plants in local </w:t>
      </w:r>
      <w:r w:rsidR="00566C44">
        <w:rPr>
          <w:rFonts w:ascii="Arial" w:hAnsi="Arial" w:cs="Arial"/>
        </w:rPr>
        <w:t xml:space="preserve">usage, justifying </w:t>
      </w:r>
      <w:r w:rsidR="00566C44" w:rsidRPr="00566C44">
        <w:rPr>
          <w:rFonts w:ascii="Arial" w:hAnsi="Arial" w:cs="Arial"/>
        </w:rPr>
        <w:t xml:space="preserve">a more in-depth investigation of their phytochemical and </w:t>
      </w:r>
      <w:r w:rsidR="00566C44">
        <w:rPr>
          <w:rFonts w:ascii="Arial" w:hAnsi="Arial" w:cs="Arial"/>
        </w:rPr>
        <w:t>bio</w:t>
      </w:r>
      <w:r w:rsidR="00566C44" w:rsidRPr="00566C44">
        <w:rPr>
          <w:rFonts w:ascii="Arial" w:hAnsi="Arial" w:cs="Arial"/>
        </w:rPr>
        <w:t>logical properties.</w:t>
      </w:r>
      <w:r w:rsidR="00566C44">
        <w:rPr>
          <w:rFonts w:ascii="Arial" w:hAnsi="Arial" w:cs="Arial"/>
        </w:rPr>
        <w:t xml:space="preserve"> As t</w:t>
      </w:r>
      <w:r w:rsidR="00566C44" w:rsidRPr="00566C44">
        <w:rPr>
          <w:rFonts w:ascii="Arial" w:hAnsi="Arial" w:cs="Arial"/>
        </w:rPr>
        <w:t>he mango tree (</w:t>
      </w:r>
      <w:r w:rsidR="00566C44" w:rsidRPr="00566C44">
        <w:rPr>
          <w:rFonts w:ascii="Arial" w:hAnsi="Arial" w:cs="Arial"/>
          <w:i/>
          <w:iCs/>
        </w:rPr>
        <w:t>Mangifera indica</w:t>
      </w:r>
      <w:r w:rsidR="00566C44" w:rsidRPr="00566C44">
        <w:rPr>
          <w:rFonts w:ascii="Arial" w:hAnsi="Arial" w:cs="Arial"/>
        </w:rPr>
        <w:t xml:space="preserve"> L.) emerged as the most frequently cited species among domesticated edible plants </w:t>
      </w:r>
      <w:r w:rsidR="00566C44">
        <w:rPr>
          <w:rFonts w:ascii="Arial" w:hAnsi="Arial" w:cs="Arial"/>
        </w:rPr>
        <w:t>(</w:t>
      </w:r>
      <w:r w:rsidR="00566C44">
        <w:rPr>
          <w:rFonts w:ascii="Arial" w:hAnsi="Arial" w:cs="Arial"/>
        </w:rPr>
        <w:fldChar w:fldCharType="begin"/>
      </w:r>
      <w:r w:rsidR="00566C44">
        <w:rPr>
          <w:rFonts w:ascii="Arial" w:hAnsi="Arial" w:cs="Arial"/>
        </w:rPr>
        <w:instrText xml:space="preserve"> REF _Ref207291928 \h </w:instrText>
      </w:r>
      <w:r w:rsidR="00566C44">
        <w:rPr>
          <w:rFonts w:ascii="Arial" w:hAnsi="Arial" w:cs="Arial"/>
        </w:rPr>
      </w:r>
      <w:r w:rsidR="00566C44">
        <w:rPr>
          <w:rFonts w:ascii="Arial" w:hAnsi="Arial" w:cs="Arial"/>
        </w:rPr>
        <w:fldChar w:fldCharType="separate"/>
      </w:r>
      <w:r w:rsidR="00566C44" w:rsidRPr="0028304F">
        <w:rPr>
          <w:rFonts w:ascii="Arial" w:hAnsi="Arial"/>
          <w:b/>
          <w:i/>
          <w:iCs/>
        </w:rPr>
        <w:t>Table 1</w:t>
      </w:r>
      <w:r w:rsidR="00566C44">
        <w:rPr>
          <w:rFonts w:ascii="Arial" w:hAnsi="Arial" w:cs="Arial"/>
        </w:rPr>
        <w:fldChar w:fldCharType="end"/>
      </w:r>
      <w:r w:rsidR="00566C44">
        <w:rPr>
          <w:rFonts w:ascii="Arial" w:hAnsi="Arial" w:cs="Arial"/>
        </w:rPr>
        <w:t xml:space="preserve">) </w:t>
      </w:r>
      <w:r w:rsidR="00566C44" w:rsidRPr="00566C44">
        <w:rPr>
          <w:rFonts w:ascii="Arial" w:hAnsi="Arial" w:cs="Arial"/>
        </w:rPr>
        <w:t>and ranked among the most commonly employed species in the treatment of diabetes</w:t>
      </w:r>
      <w:r w:rsidR="00566C44">
        <w:rPr>
          <w:rFonts w:ascii="Arial" w:hAnsi="Arial" w:cs="Arial"/>
        </w:rPr>
        <w:t xml:space="preserve"> </w:t>
      </w:r>
      <w:r w:rsidR="00D426A6">
        <w:rPr>
          <w:rFonts w:ascii="Arial" w:hAnsi="Arial" w:cs="Arial"/>
        </w:rPr>
        <w:t>(</w:t>
      </w:r>
      <w:r w:rsidR="00566C44">
        <w:rPr>
          <w:rFonts w:ascii="Arial" w:hAnsi="Arial" w:cs="Arial"/>
        </w:rPr>
        <w:fldChar w:fldCharType="begin"/>
      </w:r>
      <w:r w:rsidR="00566C44">
        <w:rPr>
          <w:rFonts w:ascii="Arial" w:hAnsi="Arial" w:cs="Arial"/>
        </w:rPr>
        <w:instrText xml:space="preserve"> REF _Ref207295824 \h </w:instrText>
      </w:r>
      <w:r w:rsidR="00566C44">
        <w:rPr>
          <w:rFonts w:ascii="Arial" w:hAnsi="Arial" w:cs="Arial"/>
        </w:rPr>
      </w:r>
      <w:r w:rsidR="00566C44">
        <w:rPr>
          <w:rFonts w:ascii="Arial" w:hAnsi="Arial" w:cs="Arial"/>
        </w:rPr>
        <w:fldChar w:fldCharType="separate"/>
      </w:r>
      <w:r w:rsidR="00566C44" w:rsidRPr="00B65ED9">
        <w:rPr>
          <w:rFonts w:ascii="Arial" w:hAnsi="Arial" w:cs="Arial"/>
          <w:b/>
          <w:bCs/>
          <w:i/>
          <w:iCs/>
        </w:rPr>
        <w:t>Fig.</w:t>
      </w:r>
      <w:r w:rsidR="00841676">
        <w:rPr>
          <w:rFonts w:ascii="Arial" w:hAnsi="Arial" w:cs="Arial"/>
          <w:b/>
          <w:bCs/>
          <w:i/>
          <w:iCs/>
        </w:rPr>
        <w:t>3</w:t>
      </w:r>
      <w:r w:rsidR="00566C44">
        <w:rPr>
          <w:rFonts w:ascii="Arial" w:hAnsi="Arial" w:cs="Arial"/>
        </w:rPr>
        <w:fldChar w:fldCharType="end"/>
      </w:r>
      <w:r w:rsidR="00D426A6">
        <w:rPr>
          <w:rFonts w:ascii="Arial" w:hAnsi="Arial" w:cs="Arial"/>
        </w:rPr>
        <w:t>)</w:t>
      </w:r>
      <w:r w:rsidR="00566C44">
        <w:rPr>
          <w:rFonts w:ascii="Arial" w:hAnsi="Arial" w:cs="Arial"/>
        </w:rPr>
        <w:t xml:space="preserve">, </w:t>
      </w:r>
      <w:r w:rsidR="00543FDB">
        <w:rPr>
          <w:rFonts w:ascii="Arial" w:hAnsi="Arial" w:cs="Arial"/>
        </w:rPr>
        <w:t>it</w:t>
      </w:r>
      <w:r w:rsidR="00566C44" w:rsidRPr="00566C44">
        <w:rPr>
          <w:rFonts w:ascii="Arial" w:hAnsi="Arial" w:cs="Arial"/>
        </w:rPr>
        <w:t xml:space="preserve"> was selected for further investigations. </w:t>
      </w:r>
    </w:p>
    <w:p w14:paraId="56D55A5C" w14:textId="41C1FAF0" w:rsidR="00566C44" w:rsidRDefault="00566C44" w:rsidP="00A125E9">
      <w:pPr>
        <w:pStyle w:val="Body"/>
        <w:spacing w:after="0"/>
        <w:outlineLvl w:val="1"/>
      </w:pPr>
      <w:r w:rsidRPr="00B3360C">
        <w:rPr>
          <w:b/>
        </w:rPr>
        <w:t>3.</w:t>
      </w:r>
      <w:r>
        <w:rPr>
          <w:b/>
        </w:rPr>
        <w:t>3</w:t>
      </w:r>
      <w:r w:rsidRPr="00B3360C">
        <w:rPr>
          <w:b/>
        </w:rPr>
        <w:t xml:space="preserve"> </w:t>
      </w:r>
      <w:r>
        <w:rPr>
          <w:b/>
        </w:rPr>
        <w:t>P</w:t>
      </w:r>
      <w:r w:rsidRPr="00566C44">
        <w:rPr>
          <w:b/>
        </w:rPr>
        <w:t xml:space="preserve">hytochemical Investigation of </w:t>
      </w:r>
      <w:r w:rsidRPr="00566C44">
        <w:rPr>
          <w:b/>
          <w:i/>
          <w:iCs/>
        </w:rPr>
        <w:t>Mangifera indica</w:t>
      </w:r>
      <w:r w:rsidRPr="00566C44">
        <w:rPr>
          <w:b/>
        </w:rPr>
        <w:t xml:space="preserve"> L.</w:t>
      </w:r>
    </w:p>
    <w:p w14:paraId="5EC3B9B7" w14:textId="656FC707" w:rsidR="00566C44" w:rsidRDefault="00A125E9" w:rsidP="00B3360C">
      <w:pPr>
        <w:pStyle w:val="Body"/>
        <w:spacing w:after="0"/>
        <w:rPr>
          <w:rFonts w:ascii="Arial" w:hAnsi="Arial" w:cs="Arial"/>
          <w:bCs/>
        </w:rPr>
      </w:pPr>
      <w:r w:rsidRPr="00A125E9">
        <w:rPr>
          <w:rFonts w:ascii="Arial" w:hAnsi="Arial" w:cs="Arial"/>
          <w:bCs/>
        </w:rPr>
        <w:t>The results of the phytochemical screening of the ethanolic and aqueous extracts from the three plant organs (leaves, bark, and roots) are summarized in</w:t>
      </w:r>
      <w:r w:rsidR="00543FDB">
        <w:rPr>
          <w:rFonts w:ascii="Arial" w:hAnsi="Arial" w:cs="Arial"/>
          <w:bCs/>
        </w:rPr>
        <w:t xml:space="preserve"> </w:t>
      </w:r>
      <w:r w:rsidR="00543FDB">
        <w:rPr>
          <w:rFonts w:ascii="Arial" w:hAnsi="Arial" w:cs="Arial"/>
          <w:bCs/>
        </w:rPr>
        <w:fldChar w:fldCharType="begin"/>
      </w:r>
      <w:r w:rsidR="00543FDB">
        <w:rPr>
          <w:rFonts w:ascii="Arial" w:hAnsi="Arial" w:cs="Arial"/>
          <w:bCs/>
        </w:rPr>
        <w:instrText xml:space="preserve"> REF _Ref207298102 \h </w:instrText>
      </w:r>
      <w:r w:rsidR="00543FDB">
        <w:rPr>
          <w:rFonts w:ascii="Arial" w:hAnsi="Arial" w:cs="Arial"/>
          <w:bCs/>
        </w:rPr>
      </w:r>
      <w:r w:rsidR="00543FDB">
        <w:rPr>
          <w:rFonts w:ascii="Arial" w:hAnsi="Arial" w:cs="Arial"/>
          <w:bCs/>
        </w:rPr>
        <w:fldChar w:fldCharType="separate"/>
      </w:r>
      <w:r w:rsidR="00543FDB" w:rsidRPr="00543FDB">
        <w:rPr>
          <w:rFonts w:ascii="Arial" w:hAnsi="Arial" w:cs="Arial"/>
          <w:b/>
          <w:bCs/>
          <w:i/>
          <w:iCs/>
        </w:rPr>
        <w:t xml:space="preserve">Table </w:t>
      </w:r>
      <w:r w:rsidR="00543FDB" w:rsidRPr="00543FDB">
        <w:rPr>
          <w:rFonts w:ascii="Arial" w:hAnsi="Arial" w:cs="Arial"/>
          <w:b/>
          <w:bCs/>
          <w:i/>
          <w:iCs/>
          <w:noProof/>
        </w:rPr>
        <w:t>2</w:t>
      </w:r>
      <w:r w:rsidR="00543FDB">
        <w:rPr>
          <w:rFonts w:ascii="Arial" w:hAnsi="Arial" w:cs="Arial"/>
          <w:bCs/>
        </w:rPr>
        <w:fldChar w:fldCharType="end"/>
      </w:r>
      <w:r w:rsidR="00543FDB">
        <w:rPr>
          <w:rFonts w:ascii="Arial" w:hAnsi="Arial" w:cs="Arial"/>
          <w:bCs/>
        </w:rPr>
        <w:t>.</w:t>
      </w:r>
    </w:p>
    <w:p w14:paraId="24E98026" w14:textId="77777777" w:rsidR="00A125E9" w:rsidRDefault="00A125E9" w:rsidP="00B3360C">
      <w:pPr>
        <w:pStyle w:val="Body"/>
        <w:spacing w:after="0"/>
        <w:rPr>
          <w:rFonts w:ascii="Arial" w:hAnsi="Arial" w:cs="Arial"/>
          <w:bCs/>
        </w:rPr>
      </w:pPr>
    </w:p>
    <w:p w14:paraId="2139C25B" w14:textId="693F6B73" w:rsidR="00543FDB" w:rsidRPr="00543FDB" w:rsidRDefault="00543FDB" w:rsidP="00543FDB">
      <w:pPr>
        <w:pStyle w:val="Caption"/>
        <w:keepNext/>
        <w:rPr>
          <w:rFonts w:ascii="Arial" w:hAnsi="Arial" w:cs="Arial"/>
          <w:b/>
          <w:bCs/>
          <w:color w:val="auto"/>
          <w:sz w:val="20"/>
          <w:szCs w:val="20"/>
        </w:rPr>
      </w:pPr>
      <w:bookmarkStart w:id="6" w:name="_Ref207298102"/>
      <w:r w:rsidRPr="00543FDB">
        <w:rPr>
          <w:rFonts w:ascii="Arial" w:hAnsi="Arial" w:cs="Arial"/>
          <w:b/>
          <w:bCs/>
          <w:i w:val="0"/>
          <w:iCs w:val="0"/>
          <w:color w:val="auto"/>
          <w:sz w:val="20"/>
          <w:szCs w:val="20"/>
        </w:rPr>
        <w:t xml:space="preserve">Table </w:t>
      </w:r>
      <w:r w:rsidRPr="00543FDB">
        <w:rPr>
          <w:rFonts w:ascii="Arial" w:hAnsi="Arial" w:cs="Arial"/>
          <w:b/>
          <w:bCs/>
          <w:i w:val="0"/>
          <w:iCs w:val="0"/>
          <w:color w:val="auto"/>
          <w:sz w:val="20"/>
          <w:szCs w:val="20"/>
        </w:rPr>
        <w:fldChar w:fldCharType="begin"/>
      </w:r>
      <w:r w:rsidRPr="00543FDB">
        <w:rPr>
          <w:rFonts w:ascii="Arial" w:hAnsi="Arial" w:cs="Arial"/>
          <w:b/>
          <w:bCs/>
          <w:i w:val="0"/>
          <w:iCs w:val="0"/>
          <w:color w:val="auto"/>
          <w:sz w:val="20"/>
          <w:szCs w:val="20"/>
        </w:rPr>
        <w:instrText xml:space="preserve"> SEQ Table \* ARABIC </w:instrText>
      </w:r>
      <w:r w:rsidRPr="00543FDB">
        <w:rPr>
          <w:rFonts w:ascii="Arial" w:hAnsi="Arial" w:cs="Arial"/>
          <w:b/>
          <w:bCs/>
          <w:i w:val="0"/>
          <w:iCs w:val="0"/>
          <w:color w:val="auto"/>
          <w:sz w:val="20"/>
          <w:szCs w:val="20"/>
        </w:rPr>
        <w:fldChar w:fldCharType="separate"/>
      </w:r>
      <w:r w:rsidR="00491D86">
        <w:rPr>
          <w:rFonts w:ascii="Arial" w:hAnsi="Arial" w:cs="Arial"/>
          <w:b/>
          <w:bCs/>
          <w:i w:val="0"/>
          <w:iCs w:val="0"/>
          <w:noProof/>
          <w:color w:val="auto"/>
          <w:sz w:val="20"/>
          <w:szCs w:val="20"/>
        </w:rPr>
        <w:t>2</w:t>
      </w:r>
      <w:r w:rsidRPr="00543FDB">
        <w:rPr>
          <w:rFonts w:ascii="Arial" w:hAnsi="Arial" w:cs="Arial"/>
          <w:b/>
          <w:bCs/>
          <w:i w:val="0"/>
          <w:iCs w:val="0"/>
          <w:color w:val="auto"/>
          <w:sz w:val="20"/>
          <w:szCs w:val="20"/>
        </w:rPr>
        <w:fldChar w:fldCharType="end"/>
      </w:r>
      <w:bookmarkEnd w:id="6"/>
      <w:r w:rsidRPr="00543FDB">
        <w:rPr>
          <w:rFonts w:ascii="Arial" w:hAnsi="Arial" w:cs="Arial"/>
          <w:b/>
          <w:bCs/>
          <w:i w:val="0"/>
          <w:iCs w:val="0"/>
          <w:color w:val="auto"/>
          <w:sz w:val="20"/>
          <w:szCs w:val="20"/>
        </w:rPr>
        <w:t xml:space="preserve">. Phytochemical </w:t>
      </w:r>
      <w:r w:rsidR="007110B0">
        <w:rPr>
          <w:rFonts w:ascii="Arial" w:hAnsi="Arial" w:cs="Arial"/>
          <w:b/>
          <w:bCs/>
          <w:i w:val="0"/>
          <w:iCs w:val="0"/>
          <w:color w:val="auto"/>
          <w:sz w:val="20"/>
          <w:szCs w:val="20"/>
        </w:rPr>
        <w:t>screening</w:t>
      </w:r>
      <w:r w:rsidRPr="00543FDB">
        <w:rPr>
          <w:rFonts w:ascii="Arial" w:hAnsi="Arial" w:cs="Arial"/>
          <w:b/>
          <w:bCs/>
          <w:i w:val="0"/>
          <w:iCs w:val="0"/>
          <w:color w:val="auto"/>
          <w:sz w:val="20"/>
          <w:szCs w:val="20"/>
        </w:rPr>
        <w:t xml:space="preserve"> of </w:t>
      </w:r>
      <w:r w:rsidRPr="00543FDB">
        <w:rPr>
          <w:rFonts w:ascii="Arial" w:hAnsi="Arial" w:cs="Arial"/>
          <w:b/>
          <w:bCs/>
          <w:color w:val="auto"/>
          <w:sz w:val="20"/>
          <w:szCs w:val="20"/>
        </w:rPr>
        <w:t>Mangifera indica L</w:t>
      </w:r>
      <w:r>
        <w:rPr>
          <w:rFonts w:ascii="Arial" w:hAnsi="Arial" w:cs="Arial"/>
          <w:b/>
          <w:bCs/>
          <w:color w:val="auto"/>
          <w:sz w:val="20"/>
          <w:szCs w:val="20"/>
        </w:rPr>
        <w:t>.</w:t>
      </w:r>
    </w:p>
    <w:tbl>
      <w:tblPr>
        <w:tblStyle w:val="PlainTable2"/>
        <w:tblW w:w="0" w:type="auto"/>
        <w:tblLayout w:type="fixed"/>
        <w:tblLook w:val="04A0" w:firstRow="1" w:lastRow="0" w:firstColumn="1" w:lastColumn="0" w:noHBand="0" w:noVBand="1"/>
      </w:tblPr>
      <w:tblGrid>
        <w:gridCol w:w="2263"/>
        <w:gridCol w:w="851"/>
        <w:gridCol w:w="709"/>
        <w:gridCol w:w="992"/>
        <w:gridCol w:w="992"/>
        <w:gridCol w:w="851"/>
        <w:gridCol w:w="1275"/>
      </w:tblGrid>
      <w:tr w:rsidR="00A125E9" w14:paraId="691CD7B2" w14:textId="77777777" w:rsidTr="00A125E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64797FFE" w14:textId="6AE40996" w:rsidR="00A125E9" w:rsidRDefault="00543FDB" w:rsidP="00136AC9">
            <w:pPr>
              <w:spacing w:after="153" w:line="266" w:lineRule="auto"/>
              <w:ind w:right="596"/>
              <w:jc w:val="center"/>
              <w:rPr>
                <w:b w:val="0"/>
                <w:szCs w:val="24"/>
              </w:rPr>
            </w:pPr>
            <w:r>
              <w:rPr>
                <w:szCs w:val="24"/>
              </w:rPr>
              <w:t>Phytochemical groups</w:t>
            </w:r>
          </w:p>
        </w:tc>
        <w:tc>
          <w:tcPr>
            <w:tcW w:w="2552" w:type="dxa"/>
            <w:gridSpan w:val="3"/>
          </w:tcPr>
          <w:p w14:paraId="24301D86" w14:textId="5F98D292" w:rsidR="00A125E9" w:rsidRDefault="00543FDB" w:rsidP="00C23D04">
            <w:pPr>
              <w:spacing w:after="153" w:line="266" w:lineRule="auto"/>
              <w:cnfStyle w:val="100000000000" w:firstRow="1" w:lastRow="0" w:firstColumn="0" w:lastColumn="0" w:oddVBand="0" w:evenVBand="0" w:oddHBand="0" w:evenHBand="0" w:firstRowFirstColumn="0" w:firstRowLastColumn="0" w:lastRowFirstColumn="0" w:lastRowLastColumn="0"/>
              <w:rPr>
                <w:b w:val="0"/>
                <w:szCs w:val="24"/>
              </w:rPr>
            </w:pPr>
            <w:r>
              <w:rPr>
                <w:rFonts w:ascii="Arial" w:hAnsi="Arial" w:cs="Arial"/>
                <w:bCs w:val="0"/>
              </w:rPr>
              <w:t>A</w:t>
            </w:r>
            <w:r w:rsidRPr="00A125E9">
              <w:rPr>
                <w:rFonts w:ascii="Arial" w:hAnsi="Arial" w:cs="Arial"/>
                <w:bCs w:val="0"/>
              </w:rPr>
              <w:t>queous</w:t>
            </w:r>
            <w:r>
              <w:rPr>
                <w:rFonts w:ascii="Arial" w:hAnsi="Arial" w:cs="Arial"/>
                <w:bCs w:val="0"/>
              </w:rPr>
              <w:t xml:space="preserve"> </w:t>
            </w:r>
            <w:r w:rsidR="00C23D04">
              <w:rPr>
                <w:rFonts w:ascii="Arial" w:hAnsi="Arial" w:cs="Arial"/>
                <w:bCs w:val="0"/>
              </w:rPr>
              <w:t>s</w:t>
            </w:r>
            <w:r>
              <w:rPr>
                <w:rFonts w:ascii="Arial" w:hAnsi="Arial" w:cs="Arial"/>
                <w:bCs w:val="0"/>
              </w:rPr>
              <w:t>olution</w:t>
            </w:r>
          </w:p>
        </w:tc>
        <w:tc>
          <w:tcPr>
            <w:tcW w:w="3118" w:type="dxa"/>
            <w:gridSpan w:val="3"/>
          </w:tcPr>
          <w:p w14:paraId="64E966E2" w14:textId="5581CCD8" w:rsidR="00A125E9" w:rsidRDefault="00543FDB" w:rsidP="00136AC9">
            <w:pPr>
              <w:spacing w:after="153" w:line="266" w:lineRule="auto"/>
              <w:ind w:right="749"/>
              <w:jc w:val="center"/>
              <w:cnfStyle w:val="100000000000" w:firstRow="1" w:lastRow="0" w:firstColumn="0" w:lastColumn="0" w:oddVBand="0" w:evenVBand="0" w:oddHBand="0" w:evenHBand="0" w:firstRowFirstColumn="0" w:firstRowLastColumn="0" w:lastRowFirstColumn="0" w:lastRowLastColumn="0"/>
              <w:rPr>
                <w:b w:val="0"/>
                <w:szCs w:val="24"/>
              </w:rPr>
            </w:pPr>
            <w:r>
              <w:rPr>
                <w:rFonts w:ascii="Arial" w:hAnsi="Arial" w:cs="Arial"/>
                <w:bCs w:val="0"/>
              </w:rPr>
              <w:t>E</w:t>
            </w:r>
            <w:r w:rsidRPr="00A125E9">
              <w:rPr>
                <w:rFonts w:ascii="Arial" w:hAnsi="Arial" w:cs="Arial"/>
                <w:bCs w:val="0"/>
              </w:rPr>
              <w:t xml:space="preserve">thanolic </w:t>
            </w:r>
            <w:r w:rsidR="00A125E9">
              <w:rPr>
                <w:szCs w:val="24"/>
              </w:rPr>
              <w:t>Solution</w:t>
            </w:r>
          </w:p>
        </w:tc>
      </w:tr>
      <w:tr w:rsidR="00A125E9" w14:paraId="4C36C0F7" w14:textId="77777777" w:rsidTr="00A125E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263" w:type="dxa"/>
            <w:vMerge/>
          </w:tcPr>
          <w:p w14:paraId="128BC193" w14:textId="77777777" w:rsidR="00A125E9" w:rsidRDefault="00A125E9" w:rsidP="00136AC9">
            <w:pPr>
              <w:spacing w:after="153" w:line="266" w:lineRule="auto"/>
              <w:ind w:right="749"/>
              <w:jc w:val="center"/>
              <w:rPr>
                <w:b w:val="0"/>
                <w:szCs w:val="24"/>
              </w:rPr>
            </w:pPr>
          </w:p>
        </w:tc>
        <w:tc>
          <w:tcPr>
            <w:tcW w:w="851" w:type="dxa"/>
          </w:tcPr>
          <w:p w14:paraId="168DEC30" w14:textId="14F7B427" w:rsidR="00A125E9" w:rsidRDefault="00543FDB" w:rsidP="00136AC9">
            <w:pPr>
              <w:spacing w:after="153" w:line="266" w:lineRule="auto"/>
              <w:ind w:right="-105"/>
              <w:cnfStyle w:val="000000100000" w:firstRow="0" w:lastRow="0" w:firstColumn="0" w:lastColumn="0" w:oddVBand="0" w:evenVBand="0" w:oddHBand="1" w:evenHBand="0" w:firstRowFirstColumn="0" w:firstRowLastColumn="0" w:lastRowFirstColumn="0" w:lastRowLastColumn="0"/>
              <w:rPr>
                <w:bCs/>
                <w:szCs w:val="24"/>
              </w:rPr>
            </w:pPr>
            <w:r>
              <w:rPr>
                <w:bCs/>
                <w:szCs w:val="24"/>
              </w:rPr>
              <w:t>Leaves</w:t>
            </w:r>
          </w:p>
        </w:tc>
        <w:tc>
          <w:tcPr>
            <w:tcW w:w="709" w:type="dxa"/>
          </w:tcPr>
          <w:p w14:paraId="5DAAA15C" w14:textId="733D19B4" w:rsidR="00A125E9" w:rsidRDefault="00543FDB" w:rsidP="00136AC9">
            <w:pPr>
              <w:spacing w:after="153" w:line="266" w:lineRule="auto"/>
              <w:ind w:right="-102"/>
              <w:cnfStyle w:val="000000100000" w:firstRow="0" w:lastRow="0" w:firstColumn="0" w:lastColumn="0" w:oddVBand="0" w:evenVBand="0" w:oddHBand="1" w:evenHBand="0" w:firstRowFirstColumn="0" w:firstRowLastColumn="0" w:lastRowFirstColumn="0" w:lastRowLastColumn="0"/>
              <w:rPr>
                <w:bCs/>
                <w:szCs w:val="24"/>
              </w:rPr>
            </w:pPr>
            <w:r>
              <w:rPr>
                <w:bCs/>
                <w:szCs w:val="24"/>
              </w:rPr>
              <w:t>Barks</w:t>
            </w:r>
          </w:p>
        </w:tc>
        <w:tc>
          <w:tcPr>
            <w:tcW w:w="992" w:type="dxa"/>
          </w:tcPr>
          <w:p w14:paraId="75FD41E7" w14:textId="7E21E3B2" w:rsidR="00A125E9" w:rsidRDefault="00543FDB" w:rsidP="00136AC9">
            <w:pPr>
              <w:spacing w:after="153" w:line="266" w:lineRule="auto"/>
              <w:ind w:right="-111"/>
              <w:cnfStyle w:val="000000100000" w:firstRow="0" w:lastRow="0" w:firstColumn="0" w:lastColumn="0" w:oddVBand="0" w:evenVBand="0" w:oddHBand="1" w:evenHBand="0" w:firstRowFirstColumn="0" w:firstRowLastColumn="0" w:lastRowFirstColumn="0" w:lastRowLastColumn="0"/>
              <w:rPr>
                <w:bCs/>
                <w:szCs w:val="24"/>
              </w:rPr>
            </w:pPr>
            <w:r>
              <w:rPr>
                <w:bCs/>
                <w:szCs w:val="24"/>
              </w:rPr>
              <w:t>Roots</w:t>
            </w:r>
          </w:p>
        </w:tc>
        <w:tc>
          <w:tcPr>
            <w:tcW w:w="992" w:type="dxa"/>
          </w:tcPr>
          <w:p w14:paraId="0FD621F3" w14:textId="3A0A4DC5" w:rsidR="00A125E9" w:rsidRDefault="00543FDB" w:rsidP="00136AC9">
            <w:pPr>
              <w:spacing w:after="153" w:line="266" w:lineRule="auto"/>
              <w:ind w:right="-108"/>
              <w:cnfStyle w:val="000000100000" w:firstRow="0" w:lastRow="0" w:firstColumn="0" w:lastColumn="0" w:oddVBand="0" w:evenVBand="0" w:oddHBand="1" w:evenHBand="0" w:firstRowFirstColumn="0" w:firstRowLastColumn="0" w:lastRowFirstColumn="0" w:lastRowLastColumn="0"/>
              <w:rPr>
                <w:bCs/>
                <w:szCs w:val="24"/>
              </w:rPr>
            </w:pPr>
            <w:r>
              <w:rPr>
                <w:bCs/>
                <w:szCs w:val="24"/>
              </w:rPr>
              <w:t>Leaves</w:t>
            </w:r>
          </w:p>
        </w:tc>
        <w:tc>
          <w:tcPr>
            <w:tcW w:w="851" w:type="dxa"/>
          </w:tcPr>
          <w:p w14:paraId="24E11177" w14:textId="1F4DBEBA" w:rsidR="00A125E9" w:rsidRDefault="00543FDB" w:rsidP="00136AC9">
            <w:pPr>
              <w:spacing w:after="153" w:line="266" w:lineRule="auto"/>
              <w:ind w:right="-103"/>
              <w:cnfStyle w:val="000000100000" w:firstRow="0" w:lastRow="0" w:firstColumn="0" w:lastColumn="0" w:oddVBand="0" w:evenVBand="0" w:oddHBand="1" w:evenHBand="0" w:firstRowFirstColumn="0" w:firstRowLastColumn="0" w:lastRowFirstColumn="0" w:lastRowLastColumn="0"/>
              <w:rPr>
                <w:bCs/>
                <w:szCs w:val="24"/>
              </w:rPr>
            </w:pPr>
            <w:r>
              <w:rPr>
                <w:bCs/>
                <w:szCs w:val="24"/>
              </w:rPr>
              <w:t>Barks</w:t>
            </w:r>
          </w:p>
        </w:tc>
        <w:tc>
          <w:tcPr>
            <w:tcW w:w="1275" w:type="dxa"/>
          </w:tcPr>
          <w:p w14:paraId="6967BFD2" w14:textId="3C803A49" w:rsidR="00A125E9" w:rsidRDefault="00543FDB" w:rsidP="00136AC9">
            <w:pPr>
              <w:spacing w:after="153" w:line="266" w:lineRule="auto"/>
              <w:ind w:right="-102"/>
              <w:cnfStyle w:val="000000100000" w:firstRow="0" w:lastRow="0" w:firstColumn="0" w:lastColumn="0" w:oddVBand="0" w:evenVBand="0" w:oddHBand="1" w:evenHBand="0" w:firstRowFirstColumn="0" w:firstRowLastColumn="0" w:lastRowFirstColumn="0" w:lastRowLastColumn="0"/>
              <w:rPr>
                <w:bCs/>
                <w:szCs w:val="24"/>
              </w:rPr>
            </w:pPr>
            <w:r>
              <w:rPr>
                <w:bCs/>
                <w:szCs w:val="24"/>
              </w:rPr>
              <w:t>Roots</w:t>
            </w:r>
          </w:p>
        </w:tc>
      </w:tr>
      <w:tr w:rsidR="00A125E9" w14:paraId="55143D9F"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6B95B039" w14:textId="06AC45FF" w:rsidR="00A125E9" w:rsidRDefault="00A125E9" w:rsidP="00136AC9">
            <w:pPr>
              <w:spacing w:after="153" w:line="266" w:lineRule="auto"/>
              <w:ind w:right="454"/>
              <w:jc w:val="center"/>
              <w:rPr>
                <w:b w:val="0"/>
                <w:szCs w:val="24"/>
              </w:rPr>
            </w:pPr>
            <w:r>
              <w:rPr>
                <w:szCs w:val="24"/>
              </w:rPr>
              <w:t>Al</w:t>
            </w:r>
            <w:r w:rsidR="00543FDB">
              <w:rPr>
                <w:szCs w:val="24"/>
              </w:rPr>
              <w:t>k</w:t>
            </w:r>
            <w:r>
              <w:rPr>
                <w:szCs w:val="24"/>
              </w:rPr>
              <w:t>alo</w:t>
            </w:r>
            <w:r w:rsidR="00543FDB">
              <w:rPr>
                <w:szCs w:val="24"/>
              </w:rPr>
              <w:t>ids</w:t>
            </w:r>
          </w:p>
        </w:tc>
        <w:tc>
          <w:tcPr>
            <w:tcW w:w="851" w:type="dxa"/>
          </w:tcPr>
          <w:p w14:paraId="68967B82" w14:textId="77777777" w:rsidR="00A125E9" w:rsidRDefault="00A125E9" w:rsidP="00136AC9">
            <w:pPr>
              <w:spacing w:after="153" w:line="266" w:lineRule="auto"/>
              <w:ind w:right="749"/>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700D0D5B"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3FC641D0"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33D795D1"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709B30D0"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0CAC9D1E"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212009BD"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8CDFAC" w14:textId="3B2B864B" w:rsidR="00A125E9" w:rsidRDefault="00A125E9" w:rsidP="00136AC9">
            <w:pPr>
              <w:spacing w:after="153" w:line="266" w:lineRule="auto"/>
              <w:ind w:right="749"/>
              <w:jc w:val="center"/>
              <w:rPr>
                <w:b w:val="0"/>
                <w:szCs w:val="24"/>
              </w:rPr>
            </w:pPr>
            <w:r>
              <w:rPr>
                <w:szCs w:val="24"/>
              </w:rPr>
              <w:t>Tan</w:t>
            </w:r>
            <w:r w:rsidR="00543FDB">
              <w:rPr>
                <w:szCs w:val="24"/>
              </w:rPr>
              <w:t>n</w:t>
            </w:r>
            <w:r>
              <w:rPr>
                <w:szCs w:val="24"/>
              </w:rPr>
              <w:t>ins</w:t>
            </w:r>
          </w:p>
        </w:tc>
        <w:tc>
          <w:tcPr>
            <w:tcW w:w="851" w:type="dxa"/>
          </w:tcPr>
          <w:p w14:paraId="2B6D73F8"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2106CA8F"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1C95A525"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33ED4413"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30595941"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6EC1EFF9"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r w:rsidR="00A125E9" w14:paraId="223D97D3"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652248E3" w14:textId="10646A6C" w:rsidR="00A125E9" w:rsidRDefault="00A125E9" w:rsidP="00136AC9">
            <w:pPr>
              <w:spacing w:after="153" w:line="266" w:lineRule="auto"/>
              <w:ind w:right="454"/>
              <w:jc w:val="center"/>
              <w:rPr>
                <w:b w:val="0"/>
                <w:szCs w:val="24"/>
              </w:rPr>
            </w:pPr>
            <w:r>
              <w:rPr>
                <w:szCs w:val="24"/>
              </w:rPr>
              <w:t>Flavono</w:t>
            </w:r>
            <w:r w:rsidR="00543FDB">
              <w:rPr>
                <w:szCs w:val="24"/>
              </w:rPr>
              <w:t>ids</w:t>
            </w:r>
          </w:p>
        </w:tc>
        <w:tc>
          <w:tcPr>
            <w:tcW w:w="851" w:type="dxa"/>
          </w:tcPr>
          <w:p w14:paraId="6F531344"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6116F9A2"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4973A547"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74985E12"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145DCB1B"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6D459A4E"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14081020"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FF64C4D" w14:textId="77777777" w:rsidR="00A125E9" w:rsidRDefault="00A125E9" w:rsidP="00136AC9">
            <w:pPr>
              <w:spacing w:after="153" w:line="266" w:lineRule="auto"/>
              <w:ind w:right="749"/>
              <w:jc w:val="center"/>
              <w:rPr>
                <w:b w:val="0"/>
                <w:szCs w:val="24"/>
              </w:rPr>
            </w:pPr>
            <w:r>
              <w:rPr>
                <w:szCs w:val="24"/>
              </w:rPr>
              <w:t>Mucilage</w:t>
            </w:r>
          </w:p>
        </w:tc>
        <w:tc>
          <w:tcPr>
            <w:tcW w:w="851" w:type="dxa"/>
          </w:tcPr>
          <w:p w14:paraId="16D9E6DD"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407A6B4D"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33733999"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66756724"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4102B1A3"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1F6580BA"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r w:rsidR="00A125E9" w14:paraId="3435DCDB"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145F6A14" w14:textId="6C34FDD1" w:rsidR="00A125E9" w:rsidRDefault="00A125E9" w:rsidP="00136AC9">
            <w:pPr>
              <w:spacing w:after="153" w:line="266" w:lineRule="auto"/>
              <w:ind w:right="454"/>
              <w:jc w:val="center"/>
              <w:rPr>
                <w:b w:val="0"/>
                <w:szCs w:val="24"/>
              </w:rPr>
            </w:pPr>
            <w:r>
              <w:rPr>
                <w:szCs w:val="24"/>
              </w:rPr>
              <w:t>Coumarins</w:t>
            </w:r>
          </w:p>
        </w:tc>
        <w:tc>
          <w:tcPr>
            <w:tcW w:w="851" w:type="dxa"/>
          </w:tcPr>
          <w:p w14:paraId="2B753B90"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4B7AC2ED"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3F94E01B"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4D6635C3"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65295E64"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7F171963"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0F759B68"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1669AFF" w14:textId="31504CE4" w:rsidR="00A125E9" w:rsidRDefault="00A125E9" w:rsidP="00136AC9">
            <w:pPr>
              <w:spacing w:after="153" w:line="266" w:lineRule="auto"/>
              <w:ind w:right="454"/>
              <w:jc w:val="center"/>
              <w:rPr>
                <w:b w:val="0"/>
                <w:szCs w:val="24"/>
              </w:rPr>
            </w:pPr>
            <w:r>
              <w:rPr>
                <w:szCs w:val="24"/>
              </w:rPr>
              <w:t>Saponins</w:t>
            </w:r>
          </w:p>
        </w:tc>
        <w:tc>
          <w:tcPr>
            <w:tcW w:w="851" w:type="dxa"/>
          </w:tcPr>
          <w:p w14:paraId="2854EF85"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5D7594B6"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02D6EA54"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09E854B0"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310591F2"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3DBCCF9D"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r w:rsidR="00A125E9" w14:paraId="0F922486"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2DD7AD03" w14:textId="59473E88" w:rsidR="00A125E9" w:rsidRDefault="00A125E9" w:rsidP="00136AC9">
            <w:pPr>
              <w:spacing w:after="153" w:line="266" w:lineRule="auto"/>
              <w:ind w:right="749"/>
              <w:jc w:val="center"/>
              <w:rPr>
                <w:b w:val="0"/>
                <w:szCs w:val="24"/>
              </w:rPr>
            </w:pPr>
            <w:r>
              <w:rPr>
                <w:szCs w:val="24"/>
              </w:rPr>
              <w:t>Terp</w:t>
            </w:r>
            <w:r w:rsidR="00543FDB">
              <w:rPr>
                <w:szCs w:val="24"/>
              </w:rPr>
              <w:t>e</w:t>
            </w:r>
            <w:r>
              <w:rPr>
                <w:szCs w:val="24"/>
              </w:rPr>
              <w:t>n</w:t>
            </w:r>
            <w:r w:rsidR="00543FDB">
              <w:rPr>
                <w:szCs w:val="24"/>
              </w:rPr>
              <w:t>oids</w:t>
            </w:r>
          </w:p>
        </w:tc>
        <w:tc>
          <w:tcPr>
            <w:tcW w:w="851" w:type="dxa"/>
          </w:tcPr>
          <w:p w14:paraId="461529D3"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34F26669"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524F8D0E"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50E333CB"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3746C731"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3154717A"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31E4D0D3"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48FDBEE" w14:textId="3FF61D2F" w:rsidR="00A125E9" w:rsidRDefault="00543FDB" w:rsidP="00C23D04">
            <w:pPr>
              <w:spacing w:after="153" w:line="266" w:lineRule="auto"/>
              <w:jc w:val="center"/>
              <w:rPr>
                <w:b w:val="0"/>
                <w:szCs w:val="24"/>
              </w:rPr>
            </w:pPr>
            <w:r>
              <w:rPr>
                <w:szCs w:val="24"/>
              </w:rPr>
              <w:t xml:space="preserve">Reducing </w:t>
            </w:r>
            <w:r w:rsidR="00A125E9">
              <w:rPr>
                <w:szCs w:val="24"/>
              </w:rPr>
              <w:t>Su</w:t>
            </w:r>
            <w:r>
              <w:rPr>
                <w:szCs w:val="24"/>
              </w:rPr>
              <w:t>gars</w:t>
            </w:r>
          </w:p>
        </w:tc>
        <w:tc>
          <w:tcPr>
            <w:tcW w:w="851" w:type="dxa"/>
          </w:tcPr>
          <w:p w14:paraId="4DF51C97"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4F56B2AF"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4C11B7A5"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5EBF0723"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6181AD85"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46EA9F0F"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bl>
    <w:p w14:paraId="632109F5" w14:textId="631FCC7E" w:rsidR="00A125E9" w:rsidRDefault="00543FDB" w:rsidP="00B3360C">
      <w:pPr>
        <w:pStyle w:val="Body"/>
        <w:spacing w:after="0"/>
        <w:rPr>
          <w:rFonts w:ascii="Arial" w:hAnsi="Arial" w:cs="Arial"/>
          <w:bCs/>
        </w:rPr>
      </w:pPr>
      <w:r w:rsidRPr="00543FDB">
        <w:rPr>
          <w:rFonts w:ascii="Arial" w:hAnsi="Arial" w:cs="Arial"/>
          <w:bCs/>
        </w:rPr>
        <w:t>(+): presence et (-): absence</w:t>
      </w:r>
    </w:p>
    <w:p w14:paraId="07F3AE2A" w14:textId="5122189C" w:rsidR="00255959" w:rsidRPr="00097F28" w:rsidRDefault="007A79ED" w:rsidP="00FC76A0">
      <w:pPr>
        <w:pStyle w:val="Body"/>
        <w:spacing w:before="240" w:after="0"/>
        <w:rPr>
          <w:rFonts w:ascii="Arial" w:hAnsi="Arial" w:cs="Arial"/>
        </w:rPr>
      </w:pPr>
      <w:r>
        <w:rPr>
          <w:rFonts w:ascii="Arial" w:hAnsi="Arial" w:cs="Arial"/>
          <w:bCs/>
        </w:rPr>
        <w:lastRenderedPageBreak/>
        <w:t>The p</w:t>
      </w:r>
      <w:r w:rsidRPr="007A79ED">
        <w:rPr>
          <w:rFonts w:ascii="Arial" w:hAnsi="Arial" w:cs="Arial"/>
          <w:bCs/>
        </w:rPr>
        <w:t xml:space="preserve">hytochemical screening of </w:t>
      </w:r>
      <w:r w:rsidRPr="007A79ED">
        <w:rPr>
          <w:rFonts w:ascii="Arial" w:hAnsi="Arial" w:cs="Arial"/>
          <w:bCs/>
          <w:i/>
          <w:iCs/>
        </w:rPr>
        <w:t>Mangifera indica</w:t>
      </w:r>
      <w:r w:rsidRPr="007A79ED">
        <w:rPr>
          <w:rFonts w:ascii="Arial" w:hAnsi="Arial" w:cs="Arial"/>
          <w:bCs/>
        </w:rPr>
        <w:t xml:space="preserve"> L. revealed that the plant </w:t>
      </w:r>
      <w:r>
        <w:rPr>
          <w:rFonts w:ascii="Arial" w:hAnsi="Arial" w:cs="Arial"/>
          <w:bCs/>
        </w:rPr>
        <w:t>contains</w:t>
      </w:r>
      <w:r w:rsidRPr="007A79ED">
        <w:rPr>
          <w:rFonts w:ascii="Arial" w:hAnsi="Arial" w:cs="Arial"/>
          <w:bCs/>
        </w:rPr>
        <w:t xml:space="preserve"> tannins, flavonoids, coumarins, terpenes, and reducing sugars, while saponins were absent in all </w:t>
      </w:r>
      <w:r w:rsidR="00AF3AB5">
        <w:rPr>
          <w:rFonts w:ascii="Arial" w:hAnsi="Arial" w:cs="Arial"/>
          <w:bCs/>
        </w:rPr>
        <w:t>parts of the plants</w:t>
      </w:r>
      <w:r w:rsidRPr="007A79ED">
        <w:rPr>
          <w:rFonts w:ascii="Arial" w:hAnsi="Arial" w:cs="Arial"/>
          <w:bCs/>
        </w:rPr>
        <w:t>.</w:t>
      </w:r>
      <w:r w:rsidRPr="007A79ED">
        <w:rPr>
          <w:rFonts w:ascii="Arial" w:hAnsi="Arial" w:cs="Arial"/>
          <w:b/>
          <w:bCs/>
        </w:rPr>
        <w:t xml:space="preserve"> </w:t>
      </w:r>
      <w:r w:rsidRPr="007A79ED">
        <w:rPr>
          <w:rFonts w:ascii="Arial" w:hAnsi="Arial" w:cs="Arial"/>
        </w:rPr>
        <w:t>Alkaloids</w:t>
      </w:r>
      <w:r>
        <w:rPr>
          <w:rFonts w:ascii="Arial" w:hAnsi="Arial" w:cs="Arial"/>
        </w:rPr>
        <w:t xml:space="preserve"> are</w:t>
      </w:r>
      <w:r w:rsidRPr="007A79ED">
        <w:rPr>
          <w:rFonts w:ascii="Arial" w:hAnsi="Arial" w:cs="Arial"/>
          <w:bCs/>
        </w:rPr>
        <w:t xml:space="preserve"> detected </w:t>
      </w:r>
      <w:r w:rsidRPr="00097F28">
        <w:rPr>
          <w:rFonts w:ascii="Arial" w:hAnsi="Arial" w:cs="Arial"/>
          <w:bCs/>
        </w:rPr>
        <w:t>only in the barks (aqueous and hydroalcoholic extracts), but absent in leaves</w:t>
      </w:r>
      <w:r w:rsidR="00255959" w:rsidRPr="00097F28">
        <w:rPr>
          <w:rFonts w:ascii="Arial" w:hAnsi="Arial" w:cs="Arial"/>
          <w:bCs/>
        </w:rPr>
        <w:t xml:space="preserve">, </w:t>
      </w:r>
      <w:r w:rsidRPr="00097F28">
        <w:rPr>
          <w:rFonts w:ascii="Arial" w:hAnsi="Arial" w:cs="Arial"/>
          <w:bCs/>
        </w:rPr>
        <w:t>consistent with</w:t>
      </w:r>
      <w:r w:rsidR="00C23D04" w:rsidRPr="00097F28">
        <w:rPr>
          <w:rFonts w:ascii="Arial" w:hAnsi="Arial" w:cs="Arial"/>
          <w:bCs/>
        </w:rPr>
        <w:t xml:space="preserve"> </w:t>
      </w:r>
      <w:r w:rsidR="00C23D04" w:rsidRPr="00097F28">
        <w:rPr>
          <w:rFonts w:cs="Helvetica"/>
          <w:noProof/>
        </w:rPr>
        <w:t>Liberata et al.</w:t>
      </w:r>
      <w:r w:rsidR="00261A37" w:rsidRPr="00097F28">
        <w:rPr>
          <w:rFonts w:ascii="Arial" w:hAnsi="Arial" w:cs="Arial"/>
          <w:bCs/>
        </w:rPr>
        <w:t xml:space="preserve"> </w:t>
      </w:r>
      <w:r w:rsidR="00261A37" w:rsidRPr="00097F28">
        <w:rPr>
          <w:rFonts w:ascii="Arial" w:hAnsi="Arial" w:cs="Arial"/>
          <w:bCs/>
        </w:rPr>
        <w:fldChar w:fldCharType="begin" w:fldLock="1"/>
      </w:r>
      <w:r w:rsidR="00A84CB5">
        <w:rPr>
          <w:rFonts w:ascii="Arial" w:hAnsi="Arial" w:cs="Arial"/>
          <w:bCs/>
        </w:rPr>
        <w:instrText>ADDIN CSL_CITATION {"citationItems":[{"id":"ITEM-1","itemData":{"author":[{"dropping-particle":"","family":"Liberata","given":"Nizigiyimana","non-dropping-particle":"","parse-names":false,"suffix":""},{"dropping-particle":"","family":"Nahimana","given":"Stanislas","non-dropping-particle":"","parse-names":false,"suffix":""},{"dropping-particle":"","family":"Léonard","given":"Ndayiziga","non-dropping-particle":"","parse-names":false,"suffix":""}],"container-title":"Série : Sciences Exactes Et Naturelles","id":"ITEM-1","issue":"29","issued":{"date-parts":[["2024"]]},"page":"13-22","title":"Tests d’activités antiparasitaires et antibactériennes des extraits des feuilles de Psidium guajava L. (ipera)du Burundi","type":"article-journal","volume":"2"},"uris":["http://www.mendeley.com/documents/?uuid=7119dfe6-ed3c-46ce-b921-3de598f0724d"]}],"mendeley":{"formattedCitation":"[28]","plainTextFormattedCitation":"[28]","previouslyFormattedCitation":"[27]"},"properties":{"noteIndex":0},"schema":"https://github.com/citation-style-language/schema/raw/master/csl-citation.json"}</w:instrText>
      </w:r>
      <w:r w:rsidR="00261A37" w:rsidRPr="00097F28">
        <w:rPr>
          <w:rFonts w:ascii="Arial" w:hAnsi="Arial" w:cs="Arial"/>
          <w:bCs/>
        </w:rPr>
        <w:fldChar w:fldCharType="separate"/>
      </w:r>
      <w:r w:rsidR="00A84CB5" w:rsidRPr="00A84CB5">
        <w:rPr>
          <w:rFonts w:ascii="Arial" w:hAnsi="Arial" w:cs="Arial"/>
          <w:bCs/>
          <w:noProof/>
        </w:rPr>
        <w:t>[28]</w:t>
      </w:r>
      <w:r w:rsidR="00261A37" w:rsidRPr="00097F28">
        <w:rPr>
          <w:rFonts w:ascii="Arial" w:hAnsi="Arial" w:cs="Arial"/>
          <w:bCs/>
        </w:rPr>
        <w:fldChar w:fldCharType="end"/>
      </w:r>
      <w:r w:rsidR="00255959" w:rsidRPr="00097F28">
        <w:rPr>
          <w:rFonts w:ascii="Arial" w:hAnsi="Arial" w:cs="Arial"/>
          <w:bCs/>
        </w:rPr>
        <w:t>. Saponins are absent in all organs. These results indicated that</w:t>
      </w:r>
      <w:r w:rsidR="00255959" w:rsidRPr="00097F28">
        <w:rPr>
          <w:rFonts w:ascii="Arial" w:hAnsi="Arial" w:cs="Arial"/>
          <w:bCs/>
          <w:i/>
          <w:iCs/>
          <w:color w:val="FF0000"/>
        </w:rPr>
        <w:t xml:space="preserve"> </w:t>
      </w:r>
      <w:r w:rsidR="00C23D04" w:rsidRPr="00097F28">
        <w:rPr>
          <w:rFonts w:ascii="Arial" w:hAnsi="Arial" w:cs="Arial"/>
          <w:bCs/>
          <w:i/>
          <w:iCs/>
        </w:rPr>
        <w:t xml:space="preserve">M. </w:t>
      </w:r>
      <w:r w:rsidR="00255959" w:rsidRPr="00097F28">
        <w:rPr>
          <w:rFonts w:ascii="Arial" w:hAnsi="Arial" w:cs="Arial"/>
          <w:bCs/>
          <w:i/>
          <w:iCs/>
        </w:rPr>
        <w:t>indica</w:t>
      </w:r>
      <w:r w:rsidR="00255959" w:rsidRPr="00097F28">
        <w:rPr>
          <w:rFonts w:ascii="Arial" w:hAnsi="Arial" w:cs="Arial"/>
          <w:bCs/>
        </w:rPr>
        <w:t xml:space="preserve"> is a valuable source of polyphenols (tannins, flavonoids, coumarins) and terpenes through the leaves and barks.</w:t>
      </w:r>
      <w:r w:rsidR="00255959" w:rsidRPr="00097F28">
        <w:rPr>
          <w:rFonts w:ascii="Arial" w:hAnsi="Arial" w:cs="Arial"/>
          <w:b/>
          <w:bCs/>
        </w:rPr>
        <w:t xml:space="preserve"> </w:t>
      </w:r>
      <w:r w:rsidR="00B14125" w:rsidRPr="00097F28">
        <w:rPr>
          <w:rFonts w:ascii="Arial" w:hAnsi="Arial" w:cs="Arial"/>
        </w:rPr>
        <w:t xml:space="preserve">These results are consistent with recent studies that have shown </w:t>
      </w:r>
      <w:r w:rsidR="00C23D04" w:rsidRPr="00097F28">
        <w:rPr>
          <w:rFonts w:ascii="Arial" w:hAnsi="Arial" w:cs="Arial"/>
        </w:rPr>
        <w:t xml:space="preserve">the </w:t>
      </w:r>
      <w:r w:rsidR="00B14125" w:rsidRPr="00097F28">
        <w:rPr>
          <w:rFonts w:ascii="Arial" w:hAnsi="Arial" w:cs="Arial"/>
        </w:rPr>
        <w:t xml:space="preserve">leaves to be the richest organs in secondary metabolites and bioactive compounds </w:t>
      </w:r>
      <w:r w:rsidR="00B14125" w:rsidRPr="00097F28">
        <w:rPr>
          <w:rFonts w:ascii="Arial" w:hAnsi="Arial" w:cs="Arial"/>
        </w:rPr>
        <w:fldChar w:fldCharType="begin" w:fldLock="1"/>
      </w:r>
      <w:r w:rsidR="00A84CB5">
        <w:rPr>
          <w:rFonts w:ascii="Arial" w:hAnsi="Arial" w:cs="Arial"/>
        </w:rPr>
        <w:instrText>ADDIN CSL_CITATION {"citationItems":[{"id":"ITEM-1","itemData":{"DOI":"10.5897/jmpr2019.6874","author":[{"dropping-particle":"","family":"Mamadou","given":"Abdoulaye Konaré","non-dropping-particle":"","parse-names":false,"suffix":""},{"dropping-particle":"","family":"Nouhoum","given":"Diarra","non-dropping-particle":"","parse-names":false,"suffix":""},{"dropping-particle":"","family":"Cheickna","given":"Cissé","non-dropping-particle":"","parse-names":false,"suffix":""},{"dropping-particle":"","family":"Daouda","given":"Abdoul Karim Traoré","non-dropping-particle":"","parse-names":false,"suffix":""},{"dropping-particle":"","family":"Issiaka","given":"Togola","non-dropping-particle":"","parse-names":false,"suffix":""},{"dropping-particle":"","family":"Adounigna","given":"Kassogué","non-dropping-particle":"","parse-names":false,"suffix":""},{"dropping-particle":"","family":"Rokia","given":"Sanogo","non-dropping-particle":"","parse-names":false,"suffix":""},{"dropping-particle":"","family":"Aboubacar","given":"Sidiki Ouattara","non-dropping-particle":"","parse-names":false,"suffix":""},{"dropping-particle":"","family":"Konaré","given":"Mamadou Abdoulaye","non-dropping-particle":"","parse-names":false,"suffix":""},{"dropping-particle":"","family":"Diarra","given":"Nouhoum","non-dropping-particle":"","parse-names":false,"suffix":""},{"dropping-particle":"","family":"Cissé","given":"Cheickna","non-dropping-particle":"","parse-names":false,"suffix":""},{"dropping-particle":"","family":"Abdoul","given":"Daouda","non-dropping-particle":"","parse-names":false,"suffix":""},{"dropping-particle":"","family":"Traoré","given":"Karim","non-dropping-particle":"","parse-names":false,"suffix":""},{"dropping-particle":"","family":"Togola","given":"Issiaka","non-dropping-particle":"","parse-names":false,"suffix":""},{"dropping-particle":"","family":"Kassogué","given":"Adounigna","non-dropping-particle":"","parse-names":false,"suffix":""},{"dropping-particle":"","family":"Sanogo","given":"Rokia","non-dropping-particle":"","parse-names":false,"suffix":""}],"container-title":"Journal of Medicinal Plants Research","id":"ITEM-1","issue":"3","issued":{"date-parts":[["2020"]]},"page":"118-128","title":"Evaluation of the biological activities of leaf and bark extracts of Ficus platiphylla Delile, a medicinal plant used in Mali","type":"article-journal","volume":"14"},"uris":["http://www.mendeley.com/documents/?uuid=983fa471-82fb-415a-ab67-ed2dcaca214a"]},{"id":"ITEM-2","itemData":{"ISSN":"2250-1177","abstract":"Objective: The saponin extract of Ziziphus mauritiana was screened for antidiabetic and antioxidant potential. Method: The methanolic extract of leaves of Ziziphus mauritiana was solvent extracted with water saturated n-butanol. Both the layer where separated and the organic layer was acidified with 1 N KOH to obtain the raw saponin extract. The different concentrations of saponin extract was treated with alpha amylase enzyme and 1% starch solution in phosphate buffer (pH 6.9). Spectroscopic estimation of incubated extracts was done at 540 nm after stopping the reaction with di nitro salicylic acid reagent. The antioxidant activity of extract was evaluated by reducing power assay. The saponin extract was mixed with equal volume of phosphate buffer (pH 6.9) and potassium ferricyanide (1%). T he mixture was heated and treated with trichloro acetic acid (10%), which was further centrifuged and spectroscopically estimated at 700nm on the addition of freshly prepared ferric chloride solution (0.1%). The increase in absorbance as compare to standard indicates inc rease in reducing power. Result: The saponin extract have produced significant alpha amylase enzyme inhibition and reducing capacity potential. The IC50 value was observed to be 82.12µg/ml ± 0.60 and the reducing capacity was observed to more than standard Ascorbic acid. Conclusion: Saponin extract were found to be active towards alpha amylase inhibitory activity and elicit the reducing potential which significantly indicates their potent antioxidant activity.","author":[{"dropping-particle":"","family":"Dubey","given":"K","non-dropping-particle":"","parse-names":false,"suffix":""},{"dropping-particle":"","family":"Dubey","given":"R","non-dropping-particle":"","parse-names":false,"suffix":""},{"dropping-particle":"","family":"Gupta","given":"R A","non-dropping-particle":"","parse-names":false,"suffix":""},{"dropping-particle":"","family":"Gupta","given":"A K","non-dropping-particle":"","parse-names":false,"suffix":""}],"container-title":"Journal of Drug Delivery and Therapeutics","id":"ITEM-2","issue":"A","issued":{"date-parts":[["2019"]]},"page":"75-77","title":"Anti-Diabetic and Antioxidant Potential of Saponin Extract of Leaves of Ziziphus Mauritiana","type":"article-journal","volume":"9"},"uris":["http://www.mendeley.com/documents/?uuid=a8bb59de-690e-3013-aee9-bca28e6b8a0a"]},{"id":"ITEM-3","itemData":{"DOI":"10.3892/ijfn.2025.46","ISSN":"2634-7989 2634-7237","abstract":"Mango (&lt;em&gt;Mangifera indica L.&lt;/em&gt;), a member of the Anacardiaceae family, is one of the most economically significant tropical fruit crops worldwide. Both mango leaves and bark have been traditionally used for their medicinal properties. Locally, individuals tend to combine different parts of medicinal plants in an attempt to increase their therapeutic potency; however, the adverse effects of such combinations are mostly unreported. The present study investigated the biochemical activities and phytoconstituents of ethanol extracts from the leaves and bark of &lt;em&gt;Mangifera indica&lt;/em&gt; individually and in combination. The antioxidant properties of these extracts were evaluated using various assays, including 2,2</w:instrText>
      </w:r>
      <w:r w:rsidR="00A84CB5">
        <w:rPr>
          <w:rFonts w:ascii="Cambria Math" w:hAnsi="Cambria Math" w:cs="Cambria Math"/>
        </w:rPr>
        <w:instrText>‑</w:instrText>
      </w:r>
      <w:r w:rsidR="00A84CB5">
        <w:rPr>
          <w:rFonts w:ascii="Arial" w:hAnsi="Arial" w:cs="Arial"/>
        </w:rPr>
        <w:instrText>diphenyl</w:instrText>
      </w:r>
      <w:r w:rsidR="00A84CB5">
        <w:rPr>
          <w:rFonts w:ascii="Cambria Math" w:hAnsi="Cambria Math" w:cs="Cambria Math"/>
        </w:rPr>
        <w:instrText>‑</w:instrText>
      </w:r>
      <w:r w:rsidR="00A84CB5">
        <w:rPr>
          <w:rFonts w:ascii="Arial" w:hAnsi="Arial" w:cs="Arial"/>
        </w:rPr>
        <w:instrText>l</w:instrText>
      </w:r>
      <w:r w:rsidR="00A84CB5">
        <w:rPr>
          <w:rFonts w:ascii="Cambria Math" w:hAnsi="Cambria Math" w:cs="Cambria Math"/>
        </w:rPr>
        <w:instrText>‑</w:instrText>
      </w:r>
      <w:r w:rsidR="00A84CB5">
        <w:rPr>
          <w:rFonts w:ascii="Arial" w:hAnsi="Arial" w:cs="Arial"/>
        </w:rPr>
        <w:instrText>picrylhydrazyl, 2,2'</w:instrText>
      </w:r>
      <w:r w:rsidR="00A84CB5">
        <w:rPr>
          <w:rFonts w:ascii="Cambria Math" w:hAnsi="Cambria Math" w:cs="Cambria Math"/>
        </w:rPr>
        <w:instrText>‑</w:instrText>
      </w:r>
      <w:r w:rsidR="00A84CB5">
        <w:rPr>
          <w:rFonts w:ascii="Arial" w:hAnsi="Arial" w:cs="Arial"/>
        </w:rPr>
        <w:instrText>azinobis(3</w:instrText>
      </w:r>
      <w:r w:rsidR="00A84CB5">
        <w:rPr>
          <w:rFonts w:ascii="Cambria Math" w:hAnsi="Cambria Math" w:cs="Cambria Math"/>
        </w:rPr>
        <w:instrText>‑</w:instrText>
      </w:r>
      <w:r w:rsidR="00A84CB5">
        <w:rPr>
          <w:rFonts w:ascii="Arial" w:hAnsi="Arial" w:cs="Arial"/>
        </w:rPr>
        <w:instrText>ethylbenzothiazoline</w:instrText>
      </w:r>
      <w:r w:rsidR="00A84CB5">
        <w:rPr>
          <w:rFonts w:ascii="Cambria Math" w:hAnsi="Cambria Math" w:cs="Cambria Math"/>
        </w:rPr>
        <w:instrText>‑</w:instrText>
      </w:r>
      <w:r w:rsidR="00A84CB5">
        <w:rPr>
          <w:rFonts w:ascii="Arial" w:hAnsi="Arial" w:cs="Arial"/>
        </w:rPr>
        <w:instrText>6</w:instrText>
      </w:r>
      <w:r w:rsidR="00A84CB5">
        <w:rPr>
          <w:rFonts w:ascii="Cambria Math" w:hAnsi="Cambria Math" w:cs="Cambria Math"/>
        </w:rPr>
        <w:instrText>‑</w:instrText>
      </w:r>
      <w:r w:rsidR="00A84CB5">
        <w:rPr>
          <w:rFonts w:ascii="Arial" w:hAnsi="Arial" w:cs="Arial"/>
        </w:rPr>
        <w:instrText>sulphonic acid radical scavenging assays, ferric reducing antioxidant power assay and total antioxidant activity assay along with the analysis of total phenolic and flavonoid contents. The anti</w:instrText>
      </w:r>
      <w:r w:rsidR="00A84CB5">
        <w:rPr>
          <w:rFonts w:ascii="Cambria Math" w:hAnsi="Cambria Math" w:cs="Cambria Math"/>
        </w:rPr>
        <w:instrText>‑</w:instrText>
      </w:r>
      <w:r w:rsidR="00A84CB5">
        <w:rPr>
          <w:rFonts w:ascii="Arial" w:hAnsi="Arial" w:cs="Arial"/>
        </w:rPr>
        <w:instrText>diabetic activity was evaluated through &lt;em&gt;in vitro&lt;/em&gt; assays of &amp;alpha;</w:instrText>
      </w:r>
      <w:r w:rsidR="00A84CB5">
        <w:rPr>
          <w:rFonts w:ascii="Cambria Math" w:hAnsi="Cambria Math" w:cs="Cambria Math"/>
        </w:rPr>
        <w:instrText>‑</w:instrText>
      </w:r>
      <w:r w:rsidR="00A84CB5">
        <w:rPr>
          <w:rFonts w:ascii="Arial" w:hAnsi="Arial" w:cs="Arial"/>
        </w:rPr>
        <w:instrText>glucosidase and &amp;alpha;</w:instrText>
      </w:r>
      <w:r w:rsidR="00A84CB5">
        <w:rPr>
          <w:rFonts w:ascii="Cambria Math" w:hAnsi="Cambria Math" w:cs="Cambria Math"/>
        </w:rPr>
        <w:instrText>‑</w:instrText>
      </w:r>
      <w:r w:rsidR="00A84CB5">
        <w:rPr>
          <w:rFonts w:ascii="Arial" w:hAnsi="Arial" w:cs="Arial"/>
        </w:rPr>
        <w:instrText>amylase inhibition and antifungal properties were assessed against the fungal pathogen, &lt;em&gt;Fusarium solani&lt;/em&gt;. Gas chromatography</w:instrText>
      </w:r>
      <w:r w:rsidR="00A84CB5">
        <w:rPr>
          <w:rFonts w:ascii="Cambria Math" w:hAnsi="Cambria Math" w:cs="Cambria Math"/>
        </w:rPr>
        <w:instrText>‑</w:instrText>
      </w:r>
      <w:r w:rsidR="00A84CB5">
        <w:rPr>
          <w:rFonts w:ascii="Arial" w:hAnsi="Arial" w:cs="Arial"/>
        </w:rPr>
        <w:instrText>mass spectrometry analysis revealed numerous bioactive compounds, such as phenols, sesquiterpenes, terpenoids, fatty acids and esters. The results demonstrated marked antioxidant, anti</w:instrText>
      </w:r>
      <w:r w:rsidR="00A84CB5">
        <w:rPr>
          <w:rFonts w:ascii="Cambria Math" w:hAnsi="Cambria Math" w:cs="Cambria Math"/>
        </w:rPr>
        <w:instrText>‑</w:instrText>
      </w:r>
      <w:r w:rsidR="00A84CB5">
        <w:rPr>
          <w:rFonts w:ascii="Arial" w:hAnsi="Arial" w:cs="Arial"/>
        </w:rPr>
        <w:instrText>diabetic and antifungal activities which were highest in the bark extract. However, combining the bark with leaf extract of &lt;em&gt;Mangifera indica&lt;/em&gt; was antagonistic as the biochemical activities were significantly reduced.","author":[{"dropping-particle":"","family":"Karigidi Esther","given":"Mojisola","non-dropping-particle":"","parse-names":false,"suffix":""},{"dropping-particle":"","family":"Fakunle Ewaoluwa","given":"Oluwalonimi","non-dropping-particle":"","parse-names":false,"suffix":""},{"dropping-particle":"","family":"Karigidi Olayele","given":"Kayode","non-dropping-particle":"","parse-names":false,"suffix":""}],"container-title":"Int J Funct Nutr","id":"ITEM-3","issue":"1","issued":{"date-parts":[["2025"]]},"page":"5","publisher-place":"Department of Biological Sciences (Biochemistry Programme), KolaDaisi University, Ibadan, Onidundun 200138, Oyo State, Nigeria Department of Chemical Sciences, Olusegun Agagu University of Science and Technology, Okitipupa 350105, Ondo State, Nigeria","title":"Antioxidant, antidiabetic and antifungal activities of leaf and bark ethanol extracts of &lt;em&gt;Mangifera indica&lt;/em&gt; and their antagonistic biochemical effects","type":"article-journal","volume":"6"},"uris":["http://www.mendeley.com/documents/?uuid=e5799264-6fa6-4c20-9027-069bbe24b7af"]}],"mendeley":{"formattedCitation":"[22, 25, 29]","plainTextFormattedCitation":"[22, 25, 29]","previouslyFormattedCitation":"[21, 24, 28]"},"properties":{"noteIndex":0},"schema":"https://github.com/citation-style-language/schema/raw/master/csl-citation.json"}</w:instrText>
      </w:r>
      <w:r w:rsidR="00B14125" w:rsidRPr="00097F28">
        <w:rPr>
          <w:rFonts w:ascii="Arial" w:hAnsi="Arial" w:cs="Arial"/>
        </w:rPr>
        <w:fldChar w:fldCharType="separate"/>
      </w:r>
      <w:r w:rsidR="00A84CB5" w:rsidRPr="00A84CB5">
        <w:rPr>
          <w:rFonts w:ascii="Arial" w:hAnsi="Arial" w:cs="Arial"/>
          <w:noProof/>
        </w:rPr>
        <w:t>[22, 25, 29]</w:t>
      </w:r>
      <w:r w:rsidR="00B14125" w:rsidRPr="00097F28">
        <w:rPr>
          <w:rFonts w:ascii="Arial" w:hAnsi="Arial" w:cs="Arial"/>
        </w:rPr>
        <w:fldChar w:fldCharType="end"/>
      </w:r>
      <w:r w:rsidR="00B14125" w:rsidRPr="00097F28">
        <w:rPr>
          <w:rFonts w:ascii="Arial" w:hAnsi="Arial" w:cs="Arial"/>
        </w:rPr>
        <w:t xml:space="preserve">. Nevertheless, the use of barks </w:t>
      </w:r>
      <w:r w:rsidR="00C23D04" w:rsidRPr="00097F28">
        <w:rPr>
          <w:rFonts w:ascii="Arial" w:hAnsi="Arial" w:cs="Arial"/>
        </w:rPr>
        <w:t xml:space="preserve">and roots </w:t>
      </w:r>
      <w:r w:rsidR="00B14125" w:rsidRPr="00097F28">
        <w:rPr>
          <w:rFonts w:ascii="Arial" w:hAnsi="Arial" w:cs="Arial"/>
        </w:rPr>
        <w:t>poses a sustainability problem, as harvesting can severely harm the tree's health, or even kill it.</w:t>
      </w:r>
    </w:p>
    <w:p w14:paraId="4C7AB3B5" w14:textId="436BE90E" w:rsidR="007A79ED" w:rsidRPr="00097F28" w:rsidRDefault="007A79ED" w:rsidP="007A79ED">
      <w:pPr>
        <w:pStyle w:val="Body"/>
        <w:spacing w:after="0"/>
        <w:rPr>
          <w:rFonts w:ascii="Arial" w:hAnsi="Arial" w:cs="Arial"/>
          <w:bCs/>
        </w:rPr>
      </w:pPr>
    </w:p>
    <w:p w14:paraId="2ADA869B" w14:textId="6899EC58" w:rsidR="008423F6" w:rsidRPr="00DD1675" w:rsidRDefault="008423F6" w:rsidP="008423F6">
      <w:pPr>
        <w:pStyle w:val="Body"/>
        <w:spacing w:after="0"/>
        <w:outlineLvl w:val="1"/>
        <w:rPr>
          <w:rFonts w:ascii="Arial" w:hAnsi="Arial" w:cs="Arial"/>
        </w:rPr>
      </w:pPr>
      <w:r w:rsidRPr="00097F28">
        <w:rPr>
          <w:rFonts w:ascii="Arial" w:hAnsi="Arial" w:cs="Arial"/>
          <w:b/>
        </w:rPr>
        <w:t>3.4 Antiradical and Anti-amylase Activities (IC</w:t>
      </w:r>
      <w:r w:rsidRPr="00097F28">
        <w:rPr>
          <w:rFonts w:ascii="Arial" w:hAnsi="Arial" w:cs="Arial"/>
          <w:b/>
          <w:vertAlign w:val="subscript"/>
        </w:rPr>
        <w:t>50</w:t>
      </w:r>
      <w:r w:rsidRPr="00097F28">
        <w:rPr>
          <w:rFonts w:ascii="Arial" w:hAnsi="Arial" w:cs="Arial"/>
          <w:b/>
        </w:rPr>
        <w:t xml:space="preserve">) of </w:t>
      </w:r>
      <w:r w:rsidR="00C23D04" w:rsidRPr="00097F28">
        <w:rPr>
          <w:rFonts w:ascii="Arial" w:hAnsi="Arial" w:cs="Arial"/>
          <w:b/>
          <w:i/>
          <w:iCs/>
        </w:rPr>
        <w:t>M. i</w:t>
      </w:r>
      <w:r w:rsidRPr="00097F28">
        <w:rPr>
          <w:rFonts w:ascii="Arial" w:hAnsi="Arial" w:cs="Arial"/>
          <w:b/>
          <w:i/>
          <w:iCs/>
        </w:rPr>
        <w:t>ndica</w:t>
      </w:r>
      <w:r w:rsidRPr="00097F28">
        <w:rPr>
          <w:rFonts w:ascii="Arial" w:hAnsi="Arial" w:cs="Arial"/>
          <w:b/>
        </w:rPr>
        <w:t xml:space="preserve"> Extracts</w:t>
      </w:r>
      <w:r w:rsidRPr="00097F28">
        <w:rPr>
          <w:rFonts w:ascii="Arial" w:hAnsi="Arial" w:cs="Arial"/>
        </w:rPr>
        <w:t>.</w:t>
      </w:r>
    </w:p>
    <w:p w14:paraId="6D0BE4AD" w14:textId="77777777" w:rsidR="008423F6" w:rsidRPr="00CB26DB" w:rsidRDefault="008423F6" w:rsidP="00CB26DB"/>
    <w:p w14:paraId="532A1A7F" w14:textId="4D1DAA4F" w:rsidR="00DD1675" w:rsidRPr="00DD1675" w:rsidRDefault="00DD1675" w:rsidP="00DD1675">
      <w:pPr>
        <w:pStyle w:val="Caption"/>
        <w:keepNext/>
        <w:rPr>
          <w:rFonts w:ascii="Arial" w:hAnsi="Arial" w:cs="Arial"/>
          <w:b/>
          <w:bCs/>
          <w:i w:val="0"/>
          <w:iCs w:val="0"/>
          <w:color w:val="auto"/>
          <w:sz w:val="20"/>
          <w:szCs w:val="20"/>
        </w:rPr>
      </w:pPr>
      <w:bookmarkStart w:id="7" w:name="_Ref207302380"/>
      <w:r w:rsidRPr="00DD1675">
        <w:rPr>
          <w:rFonts w:ascii="Arial" w:hAnsi="Arial" w:cs="Arial"/>
          <w:b/>
          <w:bCs/>
          <w:i w:val="0"/>
          <w:iCs w:val="0"/>
          <w:color w:val="auto"/>
          <w:sz w:val="20"/>
          <w:szCs w:val="20"/>
        </w:rPr>
        <w:t xml:space="preserve">Table </w:t>
      </w:r>
      <w:r w:rsidRPr="00DD1675">
        <w:rPr>
          <w:rFonts w:ascii="Arial" w:hAnsi="Arial" w:cs="Arial"/>
          <w:b/>
          <w:bCs/>
          <w:i w:val="0"/>
          <w:iCs w:val="0"/>
          <w:color w:val="auto"/>
          <w:sz w:val="20"/>
          <w:szCs w:val="20"/>
        </w:rPr>
        <w:fldChar w:fldCharType="begin"/>
      </w:r>
      <w:r w:rsidRPr="00DD1675">
        <w:rPr>
          <w:rFonts w:ascii="Arial" w:hAnsi="Arial" w:cs="Arial"/>
          <w:b/>
          <w:bCs/>
          <w:i w:val="0"/>
          <w:iCs w:val="0"/>
          <w:color w:val="auto"/>
          <w:sz w:val="20"/>
          <w:szCs w:val="20"/>
        </w:rPr>
        <w:instrText xml:space="preserve"> SEQ Table \* ARABIC </w:instrText>
      </w:r>
      <w:r w:rsidRPr="00DD1675">
        <w:rPr>
          <w:rFonts w:ascii="Arial" w:hAnsi="Arial" w:cs="Arial"/>
          <w:b/>
          <w:bCs/>
          <w:i w:val="0"/>
          <w:iCs w:val="0"/>
          <w:color w:val="auto"/>
          <w:sz w:val="20"/>
          <w:szCs w:val="20"/>
        </w:rPr>
        <w:fldChar w:fldCharType="separate"/>
      </w:r>
      <w:r w:rsidR="00491D86">
        <w:rPr>
          <w:rFonts w:ascii="Arial" w:hAnsi="Arial" w:cs="Arial"/>
          <w:b/>
          <w:bCs/>
          <w:i w:val="0"/>
          <w:iCs w:val="0"/>
          <w:noProof/>
          <w:color w:val="auto"/>
          <w:sz w:val="20"/>
          <w:szCs w:val="20"/>
        </w:rPr>
        <w:t>3</w:t>
      </w:r>
      <w:r w:rsidRPr="00DD1675">
        <w:rPr>
          <w:rFonts w:ascii="Arial" w:hAnsi="Arial" w:cs="Arial"/>
          <w:b/>
          <w:bCs/>
          <w:i w:val="0"/>
          <w:iCs w:val="0"/>
          <w:color w:val="auto"/>
          <w:sz w:val="20"/>
          <w:szCs w:val="20"/>
        </w:rPr>
        <w:fldChar w:fldCharType="end"/>
      </w:r>
      <w:bookmarkEnd w:id="7"/>
      <w:r w:rsidRPr="00DD1675">
        <w:rPr>
          <w:rFonts w:ascii="Arial" w:hAnsi="Arial" w:cs="Arial"/>
          <w:b/>
          <w:bCs/>
          <w:i w:val="0"/>
          <w:iCs w:val="0"/>
          <w:color w:val="auto"/>
          <w:sz w:val="20"/>
          <w:szCs w:val="20"/>
        </w:rPr>
        <w:t xml:space="preserve">. </w:t>
      </w:r>
      <w:bookmarkStart w:id="8" w:name="_Hlk207302951"/>
      <w:r w:rsidRPr="00DD1675">
        <w:rPr>
          <w:rFonts w:ascii="Arial" w:hAnsi="Arial" w:cs="Arial"/>
          <w:b/>
          <w:bCs/>
          <w:i w:val="0"/>
          <w:iCs w:val="0"/>
          <w:color w:val="auto"/>
          <w:sz w:val="20"/>
          <w:szCs w:val="20"/>
        </w:rPr>
        <w:t>Summary of Antiradical Activity (DPPH Assay, expressed as IC</w:t>
      </w:r>
      <w:r w:rsidRPr="00FC76A0">
        <w:rPr>
          <w:rFonts w:ascii="Arial" w:hAnsi="Arial" w:cs="Arial"/>
          <w:b/>
          <w:bCs/>
          <w:i w:val="0"/>
          <w:iCs w:val="0"/>
          <w:color w:val="auto"/>
          <w:sz w:val="20"/>
          <w:szCs w:val="20"/>
          <w:vertAlign w:val="subscript"/>
        </w:rPr>
        <w:t>50</w:t>
      </w:r>
      <w:r w:rsidRPr="00DD1675">
        <w:rPr>
          <w:rFonts w:ascii="Arial" w:hAnsi="Arial" w:cs="Arial"/>
          <w:b/>
          <w:bCs/>
          <w:i w:val="0"/>
          <w:iCs w:val="0"/>
          <w:color w:val="auto"/>
          <w:sz w:val="20"/>
          <w:szCs w:val="20"/>
        </w:rPr>
        <w:t>)</w:t>
      </w:r>
      <w:bookmarkEnd w:id="8"/>
    </w:p>
    <w:tbl>
      <w:tblPr>
        <w:tblStyle w:val="PlainTable2"/>
        <w:tblW w:w="5000" w:type="pct"/>
        <w:tblLook w:val="04A0" w:firstRow="1" w:lastRow="0" w:firstColumn="1" w:lastColumn="0" w:noHBand="0" w:noVBand="1"/>
      </w:tblPr>
      <w:tblGrid>
        <w:gridCol w:w="3264"/>
        <w:gridCol w:w="2868"/>
        <w:gridCol w:w="4668"/>
      </w:tblGrid>
      <w:tr w:rsidR="008423F6" w:rsidRPr="008423F6" w14:paraId="38505316" w14:textId="77777777" w:rsidTr="008423F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511" w:type="pct"/>
          </w:tcPr>
          <w:p w14:paraId="17DEFB16" w14:textId="4402E222" w:rsidR="008423F6" w:rsidRPr="008423F6" w:rsidRDefault="008423F6" w:rsidP="008423F6">
            <w:pPr>
              <w:rPr>
                <w:rFonts w:ascii="Arial" w:hAnsi="Arial" w:cs="Arial"/>
              </w:rPr>
            </w:pPr>
            <w:r w:rsidRPr="00220815">
              <w:rPr>
                <w:rFonts w:ascii="Arial" w:hAnsi="Arial" w:cs="Arial"/>
              </w:rPr>
              <w:t>Organs</w:t>
            </w:r>
          </w:p>
        </w:tc>
        <w:tc>
          <w:tcPr>
            <w:tcW w:w="1328" w:type="pct"/>
          </w:tcPr>
          <w:p w14:paraId="60533C2E" w14:textId="11653BA2" w:rsidR="008423F6" w:rsidRPr="008423F6" w:rsidRDefault="008423F6" w:rsidP="008423F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Extra</w:t>
            </w:r>
            <w:r w:rsidRPr="00220815">
              <w:rPr>
                <w:rFonts w:ascii="Arial" w:hAnsi="Arial" w:cs="Arial"/>
              </w:rPr>
              <w:t>ct</w:t>
            </w:r>
          </w:p>
        </w:tc>
        <w:tc>
          <w:tcPr>
            <w:tcW w:w="2161" w:type="pct"/>
          </w:tcPr>
          <w:p w14:paraId="74388B99" w14:textId="77777777" w:rsidR="008423F6" w:rsidRPr="008423F6" w:rsidRDefault="008423F6" w:rsidP="008423F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DPPH, IC</w:t>
            </w:r>
            <w:r w:rsidRPr="008423F6">
              <w:rPr>
                <w:rFonts w:ascii="Arial" w:hAnsi="Arial" w:cs="Arial"/>
                <w:vertAlign w:val="subscript"/>
              </w:rPr>
              <w:t>50</w:t>
            </w:r>
            <w:r w:rsidRPr="008423F6">
              <w:rPr>
                <w:rFonts w:ascii="Arial" w:hAnsi="Arial" w:cs="Arial"/>
              </w:rPr>
              <w:t xml:space="preserve"> (</w:t>
            </w:r>
            <w:proofErr w:type="spellStart"/>
            <w:r w:rsidRPr="008423F6">
              <w:rPr>
                <w:rFonts w:ascii="Arial" w:hAnsi="Arial" w:cs="Arial"/>
              </w:rPr>
              <w:t>μg</w:t>
            </w:r>
            <w:proofErr w:type="spellEnd"/>
            <w:r w:rsidRPr="008423F6">
              <w:rPr>
                <w:rFonts w:ascii="Arial" w:hAnsi="Arial" w:cs="Arial"/>
              </w:rPr>
              <w:t>/ml)</w:t>
            </w:r>
          </w:p>
        </w:tc>
      </w:tr>
      <w:tr w:rsidR="008423F6" w:rsidRPr="008423F6" w14:paraId="69E72DF8" w14:textId="77777777" w:rsidTr="00842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7C90390C" w14:textId="276E2C3B" w:rsidR="008423F6" w:rsidRPr="008423F6" w:rsidRDefault="008423F6" w:rsidP="008423F6">
            <w:pPr>
              <w:rPr>
                <w:rFonts w:ascii="Arial" w:hAnsi="Arial" w:cs="Arial"/>
              </w:rPr>
            </w:pPr>
            <w:r w:rsidRPr="00220815">
              <w:rPr>
                <w:rFonts w:ascii="Arial" w:hAnsi="Arial" w:cs="Arial"/>
              </w:rPr>
              <w:t>Leaves</w:t>
            </w:r>
          </w:p>
        </w:tc>
        <w:tc>
          <w:tcPr>
            <w:tcW w:w="1328" w:type="pct"/>
          </w:tcPr>
          <w:p w14:paraId="43E97B31" w14:textId="689227B0"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6F27EE20" w14:textId="6B03B87D"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97±0</w:t>
            </w:r>
            <w:r w:rsidRPr="00220815">
              <w:rPr>
                <w:rFonts w:ascii="Arial" w:hAnsi="Arial" w:cs="Arial"/>
              </w:rPr>
              <w:t>.</w:t>
            </w:r>
            <w:r w:rsidRPr="008423F6">
              <w:rPr>
                <w:rFonts w:ascii="Arial" w:hAnsi="Arial" w:cs="Arial"/>
              </w:rPr>
              <w:t>22</w:t>
            </w:r>
            <w:r w:rsidRPr="008423F6">
              <w:rPr>
                <w:rFonts w:ascii="Arial" w:hAnsi="Arial" w:cs="Arial"/>
                <w:vertAlign w:val="superscript"/>
              </w:rPr>
              <w:t>b</w:t>
            </w:r>
          </w:p>
        </w:tc>
      </w:tr>
      <w:tr w:rsidR="008423F6" w:rsidRPr="008423F6" w14:paraId="50370866" w14:textId="77777777" w:rsidTr="008423F6">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64DB761B" w14:textId="77777777" w:rsidR="008423F6" w:rsidRPr="008423F6" w:rsidRDefault="008423F6" w:rsidP="008423F6">
            <w:pPr>
              <w:rPr>
                <w:rFonts w:ascii="Arial" w:hAnsi="Arial" w:cs="Arial"/>
              </w:rPr>
            </w:pPr>
          </w:p>
        </w:tc>
        <w:tc>
          <w:tcPr>
            <w:tcW w:w="1328" w:type="pct"/>
          </w:tcPr>
          <w:p w14:paraId="524EE30B" w14:textId="5449A574"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3768F2CA" w14:textId="36EF2F4B"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27±0</w:t>
            </w:r>
            <w:r w:rsidRPr="00220815">
              <w:rPr>
                <w:rFonts w:ascii="Arial" w:hAnsi="Arial" w:cs="Arial"/>
              </w:rPr>
              <w:t>.</w:t>
            </w:r>
            <w:r w:rsidRPr="008423F6">
              <w:rPr>
                <w:rFonts w:ascii="Arial" w:hAnsi="Arial" w:cs="Arial"/>
              </w:rPr>
              <w:t>65</w:t>
            </w:r>
            <w:r w:rsidRPr="008423F6">
              <w:rPr>
                <w:rFonts w:ascii="Arial" w:hAnsi="Arial" w:cs="Arial"/>
                <w:vertAlign w:val="superscript"/>
              </w:rPr>
              <w:t>bc</w:t>
            </w:r>
          </w:p>
        </w:tc>
      </w:tr>
      <w:tr w:rsidR="008423F6" w:rsidRPr="008423F6" w14:paraId="14AF842D" w14:textId="77777777" w:rsidTr="00842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6A4A02CD" w14:textId="1681A038" w:rsidR="008423F6" w:rsidRPr="008423F6" w:rsidRDefault="008423F6" w:rsidP="008423F6">
            <w:pPr>
              <w:rPr>
                <w:rFonts w:ascii="Arial" w:hAnsi="Arial" w:cs="Arial"/>
              </w:rPr>
            </w:pPr>
            <w:r w:rsidRPr="00220815">
              <w:rPr>
                <w:rFonts w:ascii="Arial" w:hAnsi="Arial" w:cs="Arial"/>
              </w:rPr>
              <w:t>Barks</w:t>
            </w:r>
            <w:r w:rsidRPr="008423F6">
              <w:rPr>
                <w:rFonts w:ascii="Arial" w:hAnsi="Arial" w:cs="Arial"/>
              </w:rPr>
              <w:t xml:space="preserve"> </w:t>
            </w:r>
          </w:p>
        </w:tc>
        <w:tc>
          <w:tcPr>
            <w:tcW w:w="1328" w:type="pct"/>
          </w:tcPr>
          <w:p w14:paraId="345A52D5" w14:textId="6C0A3B67"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08287F7D" w14:textId="5DCA1983"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13±0</w:t>
            </w:r>
            <w:r w:rsidRPr="00220815">
              <w:rPr>
                <w:rFonts w:ascii="Arial" w:hAnsi="Arial" w:cs="Arial"/>
              </w:rPr>
              <w:t>.</w:t>
            </w:r>
            <w:r w:rsidRPr="008423F6">
              <w:rPr>
                <w:rFonts w:ascii="Arial" w:hAnsi="Arial" w:cs="Arial"/>
              </w:rPr>
              <w:t>51</w:t>
            </w:r>
            <w:r w:rsidRPr="008423F6">
              <w:rPr>
                <w:rFonts w:ascii="Arial" w:hAnsi="Arial" w:cs="Arial"/>
                <w:vertAlign w:val="superscript"/>
              </w:rPr>
              <w:t>bc</w:t>
            </w:r>
          </w:p>
        </w:tc>
      </w:tr>
      <w:tr w:rsidR="008423F6" w:rsidRPr="008423F6" w14:paraId="6042C97F" w14:textId="77777777" w:rsidTr="008423F6">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2C6E7ACE" w14:textId="77777777" w:rsidR="008423F6" w:rsidRPr="008423F6" w:rsidRDefault="008423F6" w:rsidP="008423F6">
            <w:pPr>
              <w:rPr>
                <w:rFonts w:ascii="Arial" w:hAnsi="Arial" w:cs="Arial"/>
              </w:rPr>
            </w:pPr>
          </w:p>
        </w:tc>
        <w:tc>
          <w:tcPr>
            <w:tcW w:w="1328" w:type="pct"/>
          </w:tcPr>
          <w:p w14:paraId="2569FD1D" w14:textId="0E79E5C3"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6E2017ED" w14:textId="55427820"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423F6">
              <w:rPr>
                <w:rFonts w:ascii="Arial" w:hAnsi="Arial" w:cs="Arial"/>
              </w:rPr>
              <w:t>1</w:t>
            </w:r>
            <w:r w:rsidRPr="00220815">
              <w:rPr>
                <w:rFonts w:ascii="Arial" w:hAnsi="Arial" w:cs="Arial"/>
              </w:rPr>
              <w:t>.</w:t>
            </w:r>
            <w:r w:rsidRPr="008423F6">
              <w:rPr>
                <w:rFonts w:ascii="Arial" w:hAnsi="Arial" w:cs="Arial"/>
              </w:rPr>
              <w:t>88±0</w:t>
            </w:r>
            <w:r w:rsidRPr="00220815">
              <w:rPr>
                <w:rFonts w:ascii="Arial" w:hAnsi="Arial" w:cs="Arial"/>
              </w:rPr>
              <w:t>.</w:t>
            </w:r>
            <w:r w:rsidRPr="008423F6">
              <w:rPr>
                <w:rFonts w:ascii="Arial" w:hAnsi="Arial" w:cs="Arial"/>
              </w:rPr>
              <w:t>41</w:t>
            </w:r>
            <w:r w:rsidRPr="008423F6">
              <w:rPr>
                <w:rFonts w:ascii="Arial" w:hAnsi="Arial" w:cs="Arial"/>
                <w:vertAlign w:val="superscript"/>
              </w:rPr>
              <w:t>c</w:t>
            </w:r>
          </w:p>
        </w:tc>
      </w:tr>
      <w:tr w:rsidR="008423F6" w:rsidRPr="008423F6" w14:paraId="5E1586EC" w14:textId="77777777" w:rsidTr="00842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7D38E446" w14:textId="6740A92A" w:rsidR="008423F6" w:rsidRPr="008423F6" w:rsidRDefault="008423F6" w:rsidP="008423F6">
            <w:pPr>
              <w:rPr>
                <w:rFonts w:ascii="Arial" w:hAnsi="Arial" w:cs="Arial"/>
              </w:rPr>
            </w:pPr>
            <w:r w:rsidRPr="008423F6">
              <w:rPr>
                <w:rFonts w:ascii="Arial" w:hAnsi="Arial" w:cs="Arial"/>
              </w:rPr>
              <w:t>R</w:t>
            </w:r>
            <w:r w:rsidRPr="00220815">
              <w:rPr>
                <w:rFonts w:ascii="Arial" w:hAnsi="Arial" w:cs="Arial"/>
              </w:rPr>
              <w:t>oots</w:t>
            </w:r>
          </w:p>
        </w:tc>
        <w:tc>
          <w:tcPr>
            <w:tcW w:w="1328" w:type="pct"/>
          </w:tcPr>
          <w:p w14:paraId="0A9A5B27" w14:textId="4D7B6AAB"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5EA7953F" w14:textId="68B2053A"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80±0</w:t>
            </w:r>
            <w:r w:rsidRPr="00220815">
              <w:rPr>
                <w:rFonts w:ascii="Arial" w:hAnsi="Arial" w:cs="Arial"/>
              </w:rPr>
              <w:t>.</w:t>
            </w:r>
            <w:r w:rsidRPr="008423F6">
              <w:rPr>
                <w:rFonts w:ascii="Arial" w:hAnsi="Arial" w:cs="Arial"/>
              </w:rPr>
              <w:t>55</w:t>
            </w:r>
            <w:r w:rsidRPr="008423F6">
              <w:rPr>
                <w:rFonts w:ascii="Arial" w:hAnsi="Arial" w:cs="Arial"/>
                <w:vertAlign w:val="superscript"/>
              </w:rPr>
              <w:t>b</w:t>
            </w:r>
          </w:p>
        </w:tc>
      </w:tr>
      <w:tr w:rsidR="008423F6" w:rsidRPr="008423F6" w14:paraId="387A7A7F" w14:textId="77777777" w:rsidTr="008423F6">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7AE6014B" w14:textId="77777777" w:rsidR="008423F6" w:rsidRPr="008423F6" w:rsidRDefault="008423F6" w:rsidP="008423F6">
            <w:pPr>
              <w:rPr>
                <w:rFonts w:ascii="Arial" w:hAnsi="Arial" w:cs="Arial"/>
              </w:rPr>
            </w:pPr>
          </w:p>
        </w:tc>
        <w:tc>
          <w:tcPr>
            <w:tcW w:w="1328" w:type="pct"/>
          </w:tcPr>
          <w:p w14:paraId="64CC9A39" w14:textId="3774FC1A"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18455FD7" w14:textId="286BE377"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423F6">
              <w:rPr>
                <w:rFonts w:ascii="Arial" w:hAnsi="Arial" w:cs="Arial"/>
              </w:rPr>
              <w:t>4</w:t>
            </w:r>
            <w:r w:rsidRPr="00220815">
              <w:rPr>
                <w:rFonts w:ascii="Arial" w:hAnsi="Arial" w:cs="Arial"/>
              </w:rPr>
              <w:t>.</w:t>
            </w:r>
            <w:r w:rsidRPr="008423F6">
              <w:rPr>
                <w:rFonts w:ascii="Arial" w:hAnsi="Arial" w:cs="Arial"/>
              </w:rPr>
              <w:t>20±0</w:t>
            </w:r>
            <w:r w:rsidRPr="00220815">
              <w:rPr>
                <w:rFonts w:ascii="Arial" w:hAnsi="Arial" w:cs="Arial"/>
              </w:rPr>
              <w:t>.</w:t>
            </w:r>
            <w:r w:rsidRPr="008423F6">
              <w:rPr>
                <w:rFonts w:ascii="Arial" w:hAnsi="Arial" w:cs="Arial"/>
              </w:rPr>
              <w:t>53</w:t>
            </w:r>
            <w:r w:rsidRPr="008423F6">
              <w:rPr>
                <w:rFonts w:ascii="Arial" w:hAnsi="Arial" w:cs="Arial"/>
                <w:vertAlign w:val="superscript"/>
              </w:rPr>
              <w:t>a</w:t>
            </w:r>
          </w:p>
        </w:tc>
      </w:tr>
      <w:tr w:rsidR="008423F6" w:rsidRPr="008423F6" w14:paraId="31CC4D17" w14:textId="77777777" w:rsidTr="008423F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839" w:type="pct"/>
            <w:gridSpan w:val="2"/>
          </w:tcPr>
          <w:p w14:paraId="4DBA273D" w14:textId="77777777" w:rsidR="008423F6" w:rsidRPr="008423F6" w:rsidRDefault="008423F6" w:rsidP="008423F6">
            <w:pPr>
              <w:rPr>
                <w:rFonts w:ascii="Arial" w:hAnsi="Arial" w:cs="Arial"/>
                <w:b w:val="0"/>
                <w:bCs w:val="0"/>
              </w:rPr>
            </w:pPr>
            <w:r w:rsidRPr="008423F6">
              <w:rPr>
                <w:rFonts w:ascii="Arial" w:hAnsi="Arial" w:cs="Arial"/>
                <w:b w:val="0"/>
                <w:bCs w:val="0"/>
                <w:i/>
                <w:iCs/>
              </w:rPr>
              <w:t>P</w:t>
            </w:r>
            <w:r w:rsidRPr="008423F6">
              <w:rPr>
                <w:rFonts w:ascii="Arial" w:hAnsi="Arial" w:cs="Arial"/>
                <w:b w:val="0"/>
                <w:bCs w:val="0"/>
              </w:rPr>
              <w:t>-value</w:t>
            </w:r>
          </w:p>
        </w:tc>
        <w:tc>
          <w:tcPr>
            <w:tcW w:w="2161" w:type="pct"/>
          </w:tcPr>
          <w:p w14:paraId="442A9CC0" w14:textId="169DADAB"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815">
              <w:rPr>
                <w:rFonts w:ascii="Arial" w:hAnsi="Arial" w:cs="Arial"/>
              </w:rPr>
              <w:t>.</w:t>
            </w:r>
            <w:r w:rsidRPr="008423F6">
              <w:rPr>
                <w:rFonts w:ascii="Arial" w:hAnsi="Arial" w:cs="Arial"/>
              </w:rPr>
              <w:t>001</w:t>
            </w:r>
          </w:p>
        </w:tc>
      </w:tr>
    </w:tbl>
    <w:p w14:paraId="451F765D" w14:textId="7B79F63A" w:rsidR="007C00B7" w:rsidRPr="00097F28" w:rsidRDefault="003766A8" w:rsidP="007C00B7">
      <w:pPr>
        <w:jc w:val="both"/>
        <w:rPr>
          <w:rFonts w:ascii="Arial" w:hAnsi="Arial" w:cs="Arial"/>
          <w:b/>
          <w:bCs/>
          <w:sz w:val="18"/>
          <w:szCs w:val="18"/>
        </w:rPr>
      </w:pPr>
      <w:r w:rsidRPr="00097F28">
        <w:rPr>
          <w:rFonts w:ascii="Arial" w:hAnsi="Arial" w:cs="Arial"/>
          <w:b/>
          <w:bCs/>
          <w:sz w:val="18"/>
          <w:szCs w:val="18"/>
        </w:rPr>
        <w:t>*</w:t>
      </w:r>
      <w:r w:rsidR="007C00B7" w:rsidRPr="00097F28">
        <w:rPr>
          <w:rFonts w:ascii="Arial" w:hAnsi="Arial" w:cs="Arial"/>
          <w:b/>
          <w:bCs/>
          <w:sz w:val="18"/>
          <w:szCs w:val="18"/>
        </w:rPr>
        <w:t xml:space="preserve">Values followed by different letters are significantly different at </w:t>
      </w:r>
      <w:r w:rsidR="007C00B7" w:rsidRPr="00097F28">
        <w:rPr>
          <w:rFonts w:ascii="Arial" w:hAnsi="Arial" w:cs="Arial"/>
          <w:b/>
          <w:bCs/>
          <w:i/>
          <w:iCs/>
          <w:sz w:val="18"/>
          <w:szCs w:val="18"/>
        </w:rPr>
        <w:t>P</w:t>
      </w:r>
      <w:r w:rsidR="007C00B7" w:rsidRPr="00097F28">
        <w:rPr>
          <w:rFonts w:ascii="Arial" w:hAnsi="Arial" w:cs="Arial"/>
          <w:b/>
          <w:bCs/>
          <w:sz w:val="18"/>
          <w:szCs w:val="18"/>
        </w:rPr>
        <w:t xml:space="preserve"> &lt; .05</w:t>
      </w:r>
    </w:p>
    <w:p w14:paraId="6CE30A1F" w14:textId="77777777" w:rsidR="007C00B7" w:rsidRPr="00097F28" w:rsidRDefault="007C00B7" w:rsidP="007C00B7">
      <w:pPr>
        <w:jc w:val="both"/>
      </w:pPr>
    </w:p>
    <w:p w14:paraId="38832EAD" w14:textId="7342D48F" w:rsidR="00491D86" w:rsidRDefault="00491D86" w:rsidP="00DD1675">
      <w:pPr>
        <w:spacing w:line="276" w:lineRule="auto"/>
        <w:jc w:val="both"/>
        <w:rPr>
          <w:rFonts w:ascii="Arial" w:hAnsi="Arial" w:cs="Arial"/>
        </w:rPr>
      </w:pPr>
      <w:r w:rsidRPr="00097F28">
        <w:rPr>
          <w:rFonts w:ascii="Arial" w:hAnsi="Arial" w:cs="Arial"/>
        </w:rPr>
        <w:t xml:space="preserve">Analysis of this table reveals that the extracts from all parts of </w:t>
      </w:r>
      <w:r w:rsidR="003766A8" w:rsidRPr="00097F28">
        <w:rPr>
          <w:rFonts w:ascii="Arial" w:hAnsi="Arial" w:cs="Arial"/>
          <w:i/>
          <w:iCs/>
        </w:rPr>
        <w:t>M.</w:t>
      </w:r>
      <w:r w:rsidRPr="00097F28">
        <w:rPr>
          <w:rFonts w:ascii="Arial" w:hAnsi="Arial" w:cs="Arial"/>
          <w:i/>
          <w:iCs/>
        </w:rPr>
        <w:t xml:space="preserve"> indica</w:t>
      </w:r>
      <w:r w:rsidRPr="00097F28">
        <w:rPr>
          <w:rFonts w:ascii="Arial" w:hAnsi="Arial" w:cs="Arial"/>
        </w:rPr>
        <w:t xml:space="preserve"> exhibit a very good antiradical activity, with IC</w:t>
      </w:r>
      <w:r w:rsidRPr="00097F28">
        <w:rPr>
          <w:rFonts w:ascii="Arial" w:hAnsi="Arial" w:cs="Arial"/>
          <w:vertAlign w:val="subscript"/>
        </w:rPr>
        <w:t>50</w:t>
      </w:r>
      <w:r w:rsidRPr="00097F28">
        <w:rPr>
          <w:rFonts w:ascii="Arial" w:hAnsi="Arial" w:cs="Arial"/>
        </w:rPr>
        <w:t xml:space="preserve"> values ranging between 1.88±0.41 and 4.20±0.53 </w:t>
      </w:r>
      <w:proofErr w:type="spellStart"/>
      <w:r w:rsidRPr="00097F28">
        <w:rPr>
          <w:rFonts w:ascii="Arial" w:hAnsi="Arial" w:cs="Arial"/>
        </w:rPr>
        <w:t>μg</w:t>
      </w:r>
      <w:proofErr w:type="spellEnd"/>
      <w:r w:rsidRPr="00097F28">
        <w:rPr>
          <w:rFonts w:ascii="Arial" w:hAnsi="Arial" w:cs="Arial"/>
        </w:rPr>
        <w:t xml:space="preserve">/ml. The </w:t>
      </w:r>
      <w:r w:rsidR="003766A8" w:rsidRPr="00097F28">
        <w:rPr>
          <w:rFonts w:ascii="Arial" w:hAnsi="Arial" w:cs="Arial"/>
        </w:rPr>
        <w:t>e</w:t>
      </w:r>
      <w:r w:rsidRPr="00097F28">
        <w:rPr>
          <w:rFonts w:ascii="Arial" w:hAnsi="Arial" w:cs="Arial"/>
        </w:rPr>
        <w:t>thanolic extracts of the trunk bark show the most potent inhibitory effect on DPPH free radicals, with IC</w:t>
      </w:r>
      <w:r w:rsidRPr="00097F28">
        <w:rPr>
          <w:rFonts w:ascii="Arial" w:hAnsi="Arial" w:cs="Arial"/>
          <w:vertAlign w:val="subscript"/>
        </w:rPr>
        <w:t>50</w:t>
      </w:r>
      <w:r w:rsidRPr="00097F28">
        <w:rPr>
          <w:rFonts w:ascii="Arial" w:hAnsi="Arial" w:cs="Arial"/>
        </w:rPr>
        <w:t xml:space="preserve"> values of 1.88±0.41 (p&lt;</w:t>
      </w:r>
      <w:r w:rsidR="00220815" w:rsidRPr="00097F28">
        <w:rPr>
          <w:rFonts w:ascii="Arial" w:hAnsi="Arial" w:cs="Arial"/>
        </w:rPr>
        <w:t>0</w:t>
      </w:r>
      <w:r w:rsidRPr="00097F28">
        <w:rPr>
          <w:rFonts w:ascii="Arial" w:hAnsi="Arial" w:cs="Arial"/>
        </w:rPr>
        <w:t>.05).</w:t>
      </w:r>
      <w:r w:rsidR="00EA398C" w:rsidRPr="00097F28">
        <w:rPr>
          <w:rFonts w:ascii="Arial" w:hAnsi="Arial" w:cs="Arial"/>
        </w:rPr>
        <w:t xml:space="preserve"> Our results of IC</w:t>
      </w:r>
      <w:r w:rsidR="00EA398C" w:rsidRPr="00097F28">
        <w:rPr>
          <w:rFonts w:ascii="Arial" w:hAnsi="Arial" w:cs="Arial"/>
          <w:vertAlign w:val="subscript"/>
        </w:rPr>
        <w:t>50</w:t>
      </w:r>
      <w:r w:rsidR="00EA398C" w:rsidRPr="00097F28">
        <w:rPr>
          <w:rFonts w:ascii="Arial" w:hAnsi="Arial" w:cs="Arial"/>
        </w:rPr>
        <w:t xml:space="preserve"> values are lower than those obtained by</w:t>
      </w:r>
      <w:r w:rsidR="003766A8" w:rsidRPr="00097F28">
        <w:rPr>
          <w:rFonts w:ascii="Arial" w:hAnsi="Arial" w:cs="Arial"/>
        </w:rPr>
        <w:t xml:space="preserve"> </w:t>
      </w:r>
      <w:r w:rsidR="003766A8" w:rsidRPr="00097F28">
        <w:rPr>
          <w:rFonts w:cs="Helvetica"/>
          <w:noProof/>
        </w:rPr>
        <w:t>Kitbumrungsart et al.</w:t>
      </w:r>
      <w:r w:rsidR="00F703DF" w:rsidRPr="00097F28">
        <w:rPr>
          <w:rFonts w:ascii="Arial" w:hAnsi="Arial" w:cs="Arial"/>
        </w:rPr>
        <w:t xml:space="preserve"> </w:t>
      </w:r>
      <w:r w:rsidR="00F703DF" w:rsidRPr="00097F28">
        <w:rPr>
          <w:rFonts w:ascii="Arial" w:hAnsi="Arial" w:cs="Arial"/>
        </w:rPr>
        <w:fldChar w:fldCharType="begin" w:fldLock="1"/>
      </w:r>
      <w:r w:rsidR="00A84CB5">
        <w:rPr>
          <w:rFonts w:ascii="Arial" w:hAnsi="Arial" w:cs="Arial"/>
        </w:rPr>
        <w:instrText>ADDIN CSL_CITATION {"citationItems":[{"id":"ITEM-1","itemData":{"author":[{"dropping-particle":"","family":"Kitbumrungsart, P., Suntornwat","given":"O.","non-dropping-particle":"","parse-names":false,"suffix":""},{"dropping-particle":"","family":"Rayanil","given":"K.","non-dropping-particle":"","parse-names":false,"suffix":""}],"container-title":"Thai journal of Agricultural Science","id":"ITEM-1","issue":"5","issued":{"date-parts":[["2011"]]},"page":"62-66","title":"Mangiferin and antioxidant capacity from mango (Mangifera indica L.) leaves extracts","type":"article-journal","volume":"44"},"uris":["http://www.mendeley.com/documents/?uuid=8ec92427-aad4-4a86-b9f2-2a6b1f175c58"]}],"mendeley":{"formattedCitation":"[20]","plainTextFormattedCitation":"[20]","previouslyFormattedCitation":"[29]"},"properties":{"noteIndex":0},"schema":"https://github.com/citation-style-language/schema/raw/master/csl-citation.json"}</w:instrText>
      </w:r>
      <w:r w:rsidR="00F703DF" w:rsidRPr="00097F28">
        <w:rPr>
          <w:rFonts w:ascii="Arial" w:hAnsi="Arial" w:cs="Arial"/>
        </w:rPr>
        <w:fldChar w:fldCharType="separate"/>
      </w:r>
      <w:r w:rsidR="00A84CB5" w:rsidRPr="00A84CB5">
        <w:rPr>
          <w:rFonts w:ascii="Arial" w:hAnsi="Arial" w:cs="Arial"/>
          <w:noProof/>
        </w:rPr>
        <w:t>[20]</w:t>
      </w:r>
      <w:r w:rsidR="00F703DF" w:rsidRPr="00097F28">
        <w:rPr>
          <w:rFonts w:ascii="Arial" w:hAnsi="Arial" w:cs="Arial"/>
        </w:rPr>
        <w:fldChar w:fldCharType="end"/>
      </w:r>
      <w:r w:rsidR="00EA398C" w:rsidRPr="00097F28">
        <w:rPr>
          <w:rFonts w:ascii="Arial" w:hAnsi="Arial" w:cs="Arial"/>
        </w:rPr>
        <w:t xml:space="preserve"> and</w:t>
      </w:r>
      <w:r w:rsidR="003766A8" w:rsidRPr="00097F28">
        <w:rPr>
          <w:rFonts w:ascii="Arial" w:hAnsi="Arial" w:cs="Arial"/>
        </w:rPr>
        <w:t xml:space="preserve"> Nga et al.</w:t>
      </w:r>
      <w:r w:rsidR="00EA398C" w:rsidRPr="00097F28">
        <w:rPr>
          <w:rFonts w:ascii="Arial" w:hAnsi="Arial" w:cs="Arial"/>
        </w:rPr>
        <w:t xml:space="preserve"> </w:t>
      </w:r>
      <w:r w:rsidR="00EA398C" w:rsidRPr="00097F28">
        <w:rPr>
          <w:rFonts w:ascii="Arial" w:hAnsi="Arial" w:cs="Arial"/>
        </w:rPr>
        <w:fldChar w:fldCharType="begin" w:fldLock="1"/>
      </w:r>
      <w:r w:rsidR="00A84CB5">
        <w:rPr>
          <w:rFonts w:ascii="Arial" w:hAnsi="Arial" w:cs="Arial"/>
        </w:rPr>
        <w:instrText>ADDIN CSL_CITATION {"citationItems":[{"id":"ITEM-1","itemData":{"DOI":"10.4314/jab.v109i1.9","ISBN":"1064910661","author":[{"dropping-particle":"","family":"Nga","given":"Emmanuel Nnanga","non-dropping-particle":"","parse-names":false,"suffix":""},{"dropping-particle":"","family":"Yinyang","given":"Jacques","non-dropping-particle":"","parse-names":false,"suffix":""},{"dropping-particle":"","family":"Baran","given":"Elisabeth","non-dropping-particle":"","parse-names":false,"suffix":""},{"dropping-particle":"","family":"Etame-loe","given":"Gisèle","non-dropping-particle":"","parse-names":false,"suffix":""},{"dropping-particle":"","family":"Dibong","given":"Siegfried Didier","non-dropping-particle":"","parse-names":false,"suffix":""}],"container-title":"Journal of Applied Biosciences","id":"ITEM-1","issued":{"date-parts":[["2017"]]},"page":"10649-10661","title":"Étude phytochimique et pharmacologique d ’ Alchornea cordifolia ( Schum . &amp; Thonn .) Mull . Arg . et la maladie hémorroïdaire","type":"article-journal","volume":"109"},"uris":["http://www.mendeley.com/documents/?uuid=aa77c984-5e2b-403a-b880-bd87d81246c0"]}],"mendeley":{"formattedCitation":"[30]","plainTextFormattedCitation":"[30]","previouslyFormattedCitation":"[30]"},"properties":{"noteIndex":0},"schema":"https://github.com/citation-style-language/schema/raw/master/csl-citation.json"}</w:instrText>
      </w:r>
      <w:r w:rsidR="00EA398C" w:rsidRPr="00097F28">
        <w:rPr>
          <w:rFonts w:ascii="Arial" w:hAnsi="Arial" w:cs="Arial"/>
        </w:rPr>
        <w:fldChar w:fldCharType="separate"/>
      </w:r>
      <w:r w:rsidR="00A84CB5" w:rsidRPr="00A84CB5">
        <w:rPr>
          <w:rFonts w:ascii="Arial" w:hAnsi="Arial" w:cs="Arial"/>
          <w:noProof/>
        </w:rPr>
        <w:t>[30]</w:t>
      </w:r>
      <w:r w:rsidR="00EA398C" w:rsidRPr="00097F28">
        <w:rPr>
          <w:rFonts w:ascii="Arial" w:hAnsi="Arial" w:cs="Arial"/>
        </w:rPr>
        <w:fldChar w:fldCharType="end"/>
      </w:r>
      <w:r w:rsidR="00EA398C" w:rsidRPr="00097F28">
        <w:rPr>
          <w:rFonts w:ascii="Arial" w:hAnsi="Arial" w:cs="Arial"/>
        </w:rPr>
        <w:t xml:space="preserve">, who worked with the trunk of </w:t>
      </w:r>
      <w:r w:rsidR="003766A8" w:rsidRPr="00097F28">
        <w:rPr>
          <w:rFonts w:ascii="Arial" w:hAnsi="Arial" w:cs="Arial"/>
          <w:i/>
          <w:iCs/>
        </w:rPr>
        <w:t xml:space="preserve">M. </w:t>
      </w:r>
      <w:r w:rsidR="00EA398C" w:rsidRPr="00097F28">
        <w:rPr>
          <w:rFonts w:ascii="Arial" w:hAnsi="Arial" w:cs="Arial"/>
          <w:i/>
          <w:iCs/>
        </w:rPr>
        <w:t>indica</w:t>
      </w:r>
      <w:r w:rsidR="00EA398C" w:rsidRPr="00097F28">
        <w:rPr>
          <w:rFonts w:ascii="Arial" w:hAnsi="Arial" w:cs="Arial"/>
        </w:rPr>
        <w:t xml:space="preserve"> and obtained IC</w:t>
      </w:r>
      <w:r w:rsidR="00EA398C" w:rsidRPr="00097F28">
        <w:rPr>
          <w:rFonts w:ascii="Arial" w:hAnsi="Arial" w:cs="Arial"/>
          <w:vertAlign w:val="subscript"/>
        </w:rPr>
        <w:t>50</w:t>
      </w:r>
      <w:r w:rsidR="00EA398C" w:rsidRPr="00097F28">
        <w:rPr>
          <w:rFonts w:ascii="Arial" w:hAnsi="Arial" w:cs="Arial"/>
        </w:rPr>
        <w:t xml:space="preserve"> values of 68.27±0.50 µg/ml and 0.03 mg/ml, respectively. The difference could be explained by the methods and varieties of </w:t>
      </w:r>
      <w:r w:rsidR="003766A8" w:rsidRPr="00097F28">
        <w:rPr>
          <w:rFonts w:ascii="Arial" w:hAnsi="Arial" w:cs="Arial"/>
        </w:rPr>
        <w:t>p</w:t>
      </w:r>
      <w:r w:rsidR="00EA398C" w:rsidRPr="00097F28">
        <w:rPr>
          <w:rFonts w:ascii="Arial" w:hAnsi="Arial" w:cs="Arial"/>
        </w:rPr>
        <w:t>lants.</w:t>
      </w:r>
    </w:p>
    <w:p w14:paraId="207692C9" w14:textId="77777777" w:rsidR="00220815" w:rsidRDefault="00220815" w:rsidP="00DD1675">
      <w:pPr>
        <w:spacing w:line="276" w:lineRule="auto"/>
        <w:jc w:val="both"/>
        <w:rPr>
          <w:rFonts w:ascii="Arial" w:hAnsi="Arial" w:cs="Arial"/>
        </w:rPr>
      </w:pPr>
    </w:p>
    <w:p w14:paraId="37D2559C" w14:textId="77777777" w:rsidR="00491D86" w:rsidRDefault="00491D86" w:rsidP="00DD1675">
      <w:pPr>
        <w:spacing w:line="276" w:lineRule="auto"/>
        <w:jc w:val="both"/>
        <w:rPr>
          <w:rFonts w:ascii="Arial" w:hAnsi="Arial" w:cs="Arial"/>
        </w:rPr>
      </w:pPr>
    </w:p>
    <w:p w14:paraId="7FD7EA6C" w14:textId="02C63195" w:rsidR="00491D86" w:rsidRDefault="00491D86" w:rsidP="00491D86">
      <w:pPr>
        <w:pStyle w:val="Caption"/>
        <w:keepNext/>
      </w:pPr>
      <w:bookmarkStart w:id="9" w:name="_Ref207303232"/>
      <w:r w:rsidRPr="00491D86">
        <w:rPr>
          <w:rFonts w:ascii="Arial" w:hAnsi="Arial" w:cs="Arial"/>
          <w:b/>
          <w:bCs/>
          <w:i w:val="0"/>
          <w:iCs w:val="0"/>
          <w:color w:val="auto"/>
          <w:sz w:val="20"/>
          <w:szCs w:val="20"/>
        </w:rPr>
        <w:t xml:space="preserve">Table </w:t>
      </w:r>
      <w:r w:rsidRPr="00491D86">
        <w:rPr>
          <w:rFonts w:ascii="Arial" w:hAnsi="Arial" w:cs="Arial"/>
          <w:b/>
          <w:bCs/>
          <w:i w:val="0"/>
          <w:iCs w:val="0"/>
          <w:color w:val="auto"/>
          <w:sz w:val="20"/>
          <w:szCs w:val="20"/>
        </w:rPr>
        <w:fldChar w:fldCharType="begin"/>
      </w:r>
      <w:r w:rsidRPr="00491D86">
        <w:rPr>
          <w:rFonts w:ascii="Arial" w:hAnsi="Arial" w:cs="Arial"/>
          <w:b/>
          <w:bCs/>
          <w:i w:val="0"/>
          <w:iCs w:val="0"/>
          <w:color w:val="auto"/>
          <w:sz w:val="20"/>
          <w:szCs w:val="20"/>
        </w:rPr>
        <w:instrText xml:space="preserve"> SEQ Table \* ARABIC </w:instrText>
      </w:r>
      <w:r w:rsidRPr="00491D86">
        <w:rPr>
          <w:rFonts w:ascii="Arial" w:hAnsi="Arial" w:cs="Arial"/>
          <w:b/>
          <w:bCs/>
          <w:i w:val="0"/>
          <w:iCs w:val="0"/>
          <w:color w:val="auto"/>
          <w:sz w:val="20"/>
          <w:szCs w:val="20"/>
        </w:rPr>
        <w:fldChar w:fldCharType="separate"/>
      </w:r>
      <w:r w:rsidRPr="00491D86">
        <w:rPr>
          <w:rFonts w:ascii="Arial" w:hAnsi="Arial" w:cs="Arial"/>
          <w:b/>
          <w:bCs/>
          <w:i w:val="0"/>
          <w:iCs w:val="0"/>
          <w:color w:val="auto"/>
          <w:sz w:val="20"/>
          <w:szCs w:val="20"/>
        </w:rPr>
        <w:t>4</w:t>
      </w:r>
      <w:r w:rsidRPr="00491D86">
        <w:rPr>
          <w:rFonts w:ascii="Arial" w:hAnsi="Arial" w:cs="Arial"/>
          <w:b/>
          <w:bCs/>
          <w:i w:val="0"/>
          <w:iCs w:val="0"/>
          <w:color w:val="auto"/>
          <w:sz w:val="20"/>
          <w:szCs w:val="20"/>
        </w:rPr>
        <w:fldChar w:fldCharType="end"/>
      </w:r>
      <w:bookmarkEnd w:id="9"/>
      <w:r w:rsidRPr="00491D86">
        <w:rPr>
          <w:rFonts w:ascii="Arial" w:hAnsi="Arial" w:cs="Arial"/>
          <w:b/>
          <w:bCs/>
          <w:i w:val="0"/>
          <w:iCs w:val="0"/>
          <w:color w:val="auto"/>
          <w:sz w:val="20"/>
          <w:szCs w:val="20"/>
        </w:rPr>
        <w:t>.</w:t>
      </w:r>
      <w:r w:rsidRPr="00491D86">
        <w:rPr>
          <w:rFonts w:ascii="Arial" w:hAnsi="Arial" w:cs="Arial"/>
          <w:b/>
          <w:bCs/>
          <w:i w:val="0"/>
          <w:iCs w:val="0"/>
          <w:color w:val="auto"/>
          <w:sz w:val="22"/>
          <w:szCs w:val="22"/>
        </w:rPr>
        <w:t xml:space="preserve"> </w:t>
      </w:r>
      <w:r w:rsidRPr="00DD1675">
        <w:rPr>
          <w:rFonts w:ascii="Arial" w:hAnsi="Arial" w:cs="Arial"/>
          <w:b/>
          <w:bCs/>
          <w:i w:val="0"/>
          <w:iCs w:val="0"/>
          <w:color w:val="auto"/>
          <w:sz w:val="20"/>
          <w:szCs w:val="20"/>
        </w:rPr>
        <w:t xml:space="preserve">Summary of </w:t>
      </w:r>
      <w:r w:rsidR="00220815" w:rsidRPr="00220815">
        <w:rPr>
          <w:rFonts w:ascii="Arial" w:hAnsi="Arial" w:cs="Arial"/>
          <w:b/>
          <w:bCs/>
          <w:i w:val="0"/>
          <w:iCs w:val="0"/>
          <w:color w:val="auto"/>
          <w:sz w:val="20"/>
          <w:szCs w:val="20"/>
        </w:rPr>
        <w:t>anti-</w:t>
      </w:r>
      <w:r w:rsidR="00220815" w:rsidRPr="00220815">
        <w:rPr>
          <w:rFonts w:ascii="Symbol" w:hAnsi="Symbol" w:cs="Arial"/>
          <w:b/>
          <w:bCs/>
          <w:i w:val="0"/>
          <w:iCs w:val="0"/>
          <w:color w:val="auto"/>
          <w:sz w:val="20"/>
          <w:szCs w:val="20"/>
        </w:rPr>
        <w:t></w:t>
      </w:r>
      <w:r w:rsidR="00220815" w:rsidRPr="00220815">
        <w:rPr>
          <w:rFonts w:ascii="Arial" w:hAnsi="Arial" w:cs="Arial"/>
          <w:b/>
          <w:bCs/>
          <w:i w:val="0"/>
          <w:iCs w:val="0"/>
          <w:color w:val="auto"/>
          <w:sz w:val="20"/>
          <w:szCs w:val="20"/>
        </w:rPr>
        <w:t>-amylase activity</w:t>
      </w:r>
      <w:r w:rsidRPr="00DD1675">
        <w:rPr>
          <w:rFonts w:ascii="Arial" w:hAnsi="Arial" w:cs="Arial"/>
          <w:b/>
          <w:bCs/>
          <w:i w:val="0"/>
          <w:iCs w:val="0"/>
          <w:color w:val="auto"/>
          <w:sz w:val="20"/>
          <w:szCs w:val="20"/>
        </w:rPr>
        <w:t xml:space="preserve"> (expressed as IC</w:t>
      </w:r>
      <w:r w:rsidRPr="00220815">
        <w:rPr>
          <w:rFonts w:ascii="Arial" w:hAnsi="Arial" w:cs="Arial"/>
          <w:b/>
          <w:bCs/>
          <w:i w:val="0"/>
          <w:iCs w:val="0"/>
          <w:color w:val="auto"/>
          <w:sz w:val="20"/>
          <w:szCs w:val="20"/>
          <w:vertAlign w:val="subscript"/>
        </w:rPr>
        <w:t>50</w:t>
      </w:r>
      <w:r w:rsidRPr="00DD1675">
        <w:rPr>
          <w:rFonts w:ascii="Arial" w:hAnsi="Arial" w:cs="Arial"/>
          <w:b/>
          <w:bCs/>
          <w:i w:val="0"/>
          <w:iCs w:val="0"/>
          <w:color w:val="auto"/>
          <w:sz w:val="20"/>
          <w:szCs w:val="20"/>
        </w:rPr>
        <w:t>)</w:t>
      </w:r>
    </w:p>
    <w:tbl>
      <w:tblPr>
        <w:tblStyle w:val="PlainTable2"/>
        <w:tblW w:w="5000" w:type="pct"/>
        <w:tblLook w:val="04A0" w:firstRow="1" w:lastRow="0" w:firstColumn="1" w:lastColumn="0" w:noHBand="0" w:noVBand="1"/>
      </w:tblPr>
      <w:tblGrid>
        <w:gridCol w:w="3264"/>
        <w:gridCol w:w="2868"/>
        <w:gridCol w:w="4668"/>
      </w:tblGrid>
      <w:tr w:rsidR="00491D86" w:rsidRPr="008423F6" w14:paraId="11ADA679" w14:textId="77777777" w:rsidTr="003766A8">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11" w:type="pct"/>
          </w:tcPr>
          <w:p w14:paraId="726003A9" w14:textId="77777777" w:rsidR="00491D86" w:rsidRPr="008423F6" w:rsidRDefault="00491D86" w:rsidP="00136AC9">
            <w:pPr>
              <w:rPr>
                <w:rFonts w:ascii="Arial" w:hAnsi="Arial" w:cs="Arial"/>
              </w:rPr>
            </w:pPr>
            <w:r w:rsidRPr="00220815">
              <w:rPr>
                <w:rFonts w:ascii="Arial" w:hAnsi="Arial" w:cs="Arial"/>
              </w:rPr>
              <w:t>Organs</w:t>
            </w:r>
          </w:p>
        </w:tc>
        <w:tc>
          <w:tcPr>
            <w:tcW w:w="1328" w:type="pct"/>
          </w:tcPr>
          <w:p w14:paraId="6879710A" w14:textId="77777777" w:rsidR="00491D86" w:rsidRPr="008423F6" w:rsidRDefault="00491D86" w:rsidP="00136A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Extra</w:t>
            </w:r>
            <w:r w:rsidRPr="00220815">
              <w:rPr>
                <w:rFonts w:ascii="Arial" w:hAnsi="Arial" w:cs="Arial"/>
              </w:rPr>
              <w:t>ct</w:t>
            </w:r>
          </w:p>
        </w:tc>
        <w:tc>
          <w:tcPr>
            <w:tcW w:w="2161" w:type="pct"/>
          </w:tcPr>
          <w:p w14:paraId="15F27636" w14:textId="77777777" w:rsidR="00491D86" w:rsidRPr="008423F6" w:rsidRDefault="00491D86" w:rsidP="00136A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DPPH, IC</w:t>
            </w:r>
            <w:r w:rsidRPr="008423F6">
              <w:rPr>
                <w:rFonts w:ascii="Arial" w:hAnsi="Arial" w:cs="Arial"/>
                <w:vertAlign w:val="subscript"/>
              </w:rPr>
              <w:t>50</w:t>
            </w:r>
            <w:r w:rsidRPr="008423F6">
              <w:rPr>
                <w:rFonts w:ascii="Arial" w:hAnsi="Arial" w:cs="Arial"/>
              </w:rPr>
              <w:t xml:space="preserve"> (</w:t>
            </w:r>
            <w:proofErr w:type="spellStart"/>
            <w:r w:rsidRPr="008423F6">
              <w:rPr>
                <w:rFonts w:ascii="Arial" w:hAnsi="Arial" w:cs="Arial"/>
              </w:rPr>
              <w:t>μg</w:t>
            </w:r>
            <w:proofErr w:type="spellEnd"/>
            <w:r w:rsidRPr="008423F6">
              <w:rPr>
                <w:rFonts w:ascii="Arial" w:hAnsi="Arial" w:cs="Arial"/>
              </w:rPr>
              <w:t>/ml)</w:t>
            </w:r>
          </w:p>
        </w:tc>
      </w:tr>
      <w:tr w:rsidR="00491D86" w:rsidRPr="008423F6" w14:paraId="75269173" w14:textId="77777777" w:rsidTr="00136AC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4DD833EB" w14:textId="77777777" w:rsidR="00491D86" w:rsidRPr="008423F6" w:rsidRDefault="00491D86" w:rsidP="00491D86">
            <w:pPr>
              <w:rPr>
                <w:rFonts w:ascii="Arial" w:hAnsi="Arial" w:cs="Arial"/>
              </w:rPr>
            </w:pPr>
            <w:r w:rsidRPr="00220815">
              <w:rPr>
                <w:rFonts w:ascii="Arial" w:hAnsi="Arial" w:cs="Arial"/>
              </w:rPr>
              <w:t>Leaves</w:t>
            </w:r>
          </w:p>
        </w:tc>
        <w:tc>
          <w:tcPr>
            <w:tcW w:w="1328" w:type="pct"/>
          </w:tcPr>
          <w:p w14:paraId="7A4C8E8B" w14:textId="77777777"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660551F8" w14:textId="580271EA"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220815">
              <w:rPr>
                <w:rFonts w:ascii="Arial" w:hAnsi="Arial" w:cs="Arial"/>
              </w:rPr>
              <w:t>3.34±0.09</w:t>
            </w:r>
            <w:r w:rsidRPr="00220815">
              <w:rPr>
                <w:rFonts w:ascii="Arial" w:hAnsi="Arial" w:cs="Arial"/>
                <w:vertAlign w:val="superscript"/>
              </w:rPr>
              <w:t>d</w:t>
            </w:r>
          </w:p>
        </w:tc>
      </w:tr>
      <w:tr w:rsidR="00491D86" w:rsidRPr="008423F6" w14:paraId="7633C8F6" w14:textId="77777777" w:rsidTr="00136AC9">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63A6DA5E" w14:textId="77777777" w:rsidR="00491D86" w:rsidRPr="008423F6" w:rsidRDefault="00491D86" w:rsidP="00491D86">
            <w:pPr>
              <w:rPr>
                <w:rFonts w:ascii="Arial" w:hAnsi="Arial" w:cs="Arial"/>
              </w:rPr>
            </w:pPr>
          </w:p>
        </w:tc>
        <w:tc>
          <w:tcPr>
            <w:tcW w:w="1328" w:type="pct"/>
          </w:tcPr>
          <w:p w14:paraId="13143014" w14:textId="77777777"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08852046" w14:textId="15BF3C51"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220815">
              <w:rPr>
                <w:rFonts w:ascii="Arial" w:hAnsi="Arial" w:cs="Arial"/>
              </w:rPr>
              <w:t>4.86±0.19</w:t>
            </w:r>
            <w:r w:rsidRPr="00220815">
              <w:rPr>
                <w:rFonts w:ascii="Arial" w:hAnsi="Arial" w:cs="Arial"/>
                <w:vertAlign w:val="superscript"/>
              </w:rPr>
              <w:t>b</w:t>
            </w:r>
          </w:p>
        </w:tc>
      </w:tr>
      <w:tr w:rsidR="00491D86" w:rsidRPr="008423F6" w14:paraId="0C1606FE" w14:textId="77777777" w:rsidTr="00136AC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3BB173AA" w14:textId="77777777" w:rsidR="00491D86" w:rsidRPr="008423F6" w:rsidRDefault="00491D86" w:rsidP="00491D86">
            <w:pPr>
              <w:rPr>
                <w:rFonts w:ascii="Arial" w:hAnsi="Arial" w:cs="Arial"/>
              </w:rPr>
            </w:pPr>
            <w:r w:rsidRPr="00220815">
              <w:rPr>
                <w:rFonts w:ascii="Arial" w:hAnsi="Arial" w:cs="Arial"/>
              </w:rPr>
              <w:t>Barks</w:t>
            </w:r>
            <w:r w:rsidRPr="008423F6">
              <w:rPr>
                <w:rFonts w:ascii="Arial" w:hAnsi="Arial" w:cs="Arial"/>
              </w:rPr>
              <w:t xml:space="preserve"> </w:t>
            </w:r>
          </w:p>
        </w:tc>
        <w:tc>
          <w:tcPr>
            <w:tcW w:w="1328" w:type="pct"/>
          </w:tcPr>
          <w:p w14:paraId="21AF029F" w14:textId="77777777"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52045AA3" w14:textId="34C5C693"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220815">
              <w:rPr>
                <w:rFonts w:ascii="Arial" w:hAnsi="Arial" w:cs="Arial"/>
              </w:rPr>
              <w:t>4.34±0.41</w:t>
            </w:r>
            <w:r w:rsidRPr="00220815">
              <w:rPr>
                <w:rFonts w:ascii="Arial" w:hAnsi="Arial" w:cs="Arial"/>
                <w:vertAlign w:val="superscript"/>
              </w:rPr>
              <w:t>c</w:t>
            </w:r>
          </w:p>
        </w:tc>
      </w:tr>
      <w:tr w:rsidR="00491D86" w:rsidRPr="008423F6" w14:paraId="1F15BFC3" w14:textId="77777777" w:rsidTr="00136AC9">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441707B4" w14:textId="77777777" w:rsidR="00491D86" w:rsidRPr="008423F6" w:rsidRDefault="00491D86" w:rsidP="00491D86">
            <w:pPr>
              <w:rPr>
                <w:rFonts w:ascii="Arial" w:hAnsi="Arial" w:cs="Arial"/>
              </w:rPr>
            </w:pPr>
          </w:p>
        </w:tc>
        <w:tc>
          <w:tcPr>
            <w:tcW w:w="1328" w:type="pct"/>
          </w:tcPr>
          <w:p w14:paraId="428F5E88" w14:textId="77777777"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112A4E97" w14:textId="0708AFAB"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220815">
              <w:rPr>
                <w:rFonts w:ascii="Arial" w:hAnsi="Arial" w:cs="Arial"/>
              </w:rPr>
              <w:t>4.83±0.20</w:t>
            </w:r>
            <w:r w:rsidRPr="00220815">
              <w:rPr>
                <w:rFonts w:ascii="Arial" w:hAnsi="Arial" w:cs="Arial"/>
                <w:vertAlign w:val="superscript"/>
              </w:rPr>
              <w:t>b</w:t>
            </w:r>
          </w:p>
        </w:tc>
      </w:tr>
      <w:tr w:rsidR="00491D86" w:rsidRPr="008423F6" w14:paraId="0D5D2CA1" w14:textId="77777777" w:rsidTr="00136AC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206A6B91" w14:textId="77777777" w:rsidR="00491D86" w:rsidRPr="008423F6" w:rsidRDefault="00491D86" w:rsidP="00491D86">
            <w:pPr>
              <w:rPr>
                <w:rFonts w:ascii="Arial" w:hAnsi="Arial" w:cs="Arial"/>
              </w:rPr>
            </w:pPr>
            <w:r w:rsidRPr="008423F6">
              <w:rPr>
                <w:rFonts w:ascii="Arial" w:hAnsi="Arial" w:cs="Arial"/>
              </w:rPr>
              <w:t>R</w:t>
            </w:r>
            <w:r w:rsidRPr="00220815">
              <w:rPr>
                <w:rFonts w:ascii="Arial" w:hAnsi="Arial" w:cs="Arial"/>
              </w:rPr>
              <w:t>oots</w:t>
            </w:r>
          </w:p>
        </w:tc>
        <w:tc>
          <w:tcPr>
            <w:tcW w:w="1328" w:type="pct"/>
          </w:tcPr>
          <w:p w14:paraId="2DAD5758" w14:textId="77777777"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6DFC9140" w14:textId="31D46625"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220815">
              <w:rPr>
                <w:rFonts w:ascii="Arial" w:hAnsi="Arial" w:cs="Arial"/>
              </w:rPr>
              <w:t>7.19±0.30</w:t>
            </w:r>
            <w:r w:rsidRPr="00220815">
              <w:rPr>
                <w:rFonts w:ascii="Arial" w:hAnsi="Arial" w:cs="Arial"/>
                <w:vertAlign w:val="superscript"/>
              </w:rPr>
              <w:t>a</w:t>
            </w:r>
          </w:p>
        </w:tc>
      </w:tr>
      <w:tr w:rsidR="00491D86" w:rsidRPr="008423F6" w14:paraId="0004A644" w14:textId="77777777" w:rsidTr="00136AC9">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4A85D103" w14:textId="77777777" w:rsidR="00491D86" w:rsidRPr="008423F6" w:rsidRDefault="00491D86" w:rsidP="00491D86">
            <w:pPr>
              <w:rPr>
                <w:rFonts w:ascii="Arial" w:hAnsi="Arial" w:cs="Arial"/>
              </w:rPr>
            </w:pPr>
          </w:p>
        </w:tc>
        <w:tc>
          <w:tcPr>
            <w:tcW w:w="1328" w:type="pct"/>
          </w:tcPr>
          <w:p w14:paraId="0AB04698" w14:textId="77777777"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2790FB47" w14:textId="2AD637E6"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220815">
              <w:rPr>
                <w:rFonts w:ascii="Arial" w:hAnsi="Arial" w:cs="Arial"/>
              </w:rPr>
              <w:t>4.45±0.20</w:t>
            </w:r>
            <w:r w:rsidRPr="00220815">
              <w:rPr>
                <w:rFonts w:ascii="Arial" w:hAnsi="Arial" w:cs="Arial"/>
                <w:vertAlign w:val="superscript"/>
              </w:rPr>
              <w:t>bc</w:t>
            </w:r>
          </w:p>
        </w:tc>
      </w:tr>
      <w:tr w:rsidR="00491D86" w:rsidRPr="008423F6" w14:paraId="6986B2AA" w14:textId="77777777" w:rsidTr="00136AC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839" w:type="pct"/>
            <w:gridSpan w:val="2"/>
          </w:tcPr>
          <w:p w14:paraId="4D6B3F84" w14:textId="5748F682" w:rsidR="00491D86" w:rsidRPr="008423F6" w:rsidRDefault="00491D86" w:rsidP="00136AC9">
            <w:pPr>
              <w:rPr>
                <w:rFonts w:ascii="Arial" w:hAnsi="Arial" w:cs="Arial"/>
                <w:b w:val="0"/>
                <w:bCs w:val="0"/>
              </w:rPr>
            </w:pPr>
            <w:r w:rsidRPr="008423F6">
              <w:rPr>
                <w:rFonts w:ascii="Arial" w:hAnsi="Arial" w:cs="Arial"/>
                <w:b w:val="0"/>
                <w:bCs w:val="0"/>
                <w:i/>
                <w:iCs/>
              </w:rPr>
              <w:t>P</w:t>
            </w:r>
            <w:r w:rsidRPr="008423F6">
              <w:rPr>
                <w:rFonts w:ascii="Arial" w:hAnsi="Arial" w:cs="Arial"/>
                <w:b w:val="0"/>
                <w:bCs w:val="0"/>
              </w:rPr>
              <w:t>-value</w:t>
            </w:r>
            <w:r w:rsidRPr="00220815">
              <w:rPr>
                <w:rFonts w:ascii="Arial" w:hAnsi="Arial" w:cs="Arial"/>
                <w:b w:val="0"/>
                <w:bCs w:val="0"/>
              </w:rPr>
              <w:t xml:space="preserve"> ˂</w:t>
            </w:r>
          </w:p>
        </w:tc>
        <w:tc>
          <w:tcPr>
            <w:tcW w:w="2161" w:type="pct"/>
          </w:tcPr>
          <w:p w14:paraId="46529764" w14:textId="63127BD6" w:rsidR="00491D86" w:rsidRPr="008423F6" w:rsidRDefault="00491D86" w:rsidP="00136A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815">
              <w:rPr>
                <w:rFonts w:ascii="Arial" w:hAnsi="Arial" w:cs="Arial"/>
              </w:rPr>
              <w:t>.</w:t>
            </w:r>
            <w:r w:rsidRPr="008423F6">
              <w:rPr>
                <w:rFonts w:ascii="Arial" w:hAnsi="Arial" w:cs="Arial"/>
              </w:rPr>
              <w:t>001</w:t>
            </w:r>
          </w:p>
        </w:tc>
      </w:tr>
    </w:tbl>
    <w:p w14:paraId="78BAD9D6" w14:textId="068AB146" w:rsidR="00220815" w:rsidRPr="00097F28" w:rsidRDefault="003766A8" w:rsidP="00220815">
      <w:pPr>
        <w:jc w:val="both"/>
        <w:rPr>
          <w:rFonts w:ascii="Arial" w:hAnsi="Arial" w:cs="Arial"/>
          <w:b/>
          <w:bCs/>
          <w:sz w:val="18"/>
          <w:szCs w:val="18"/>
        </w:rPr>
      </w:pPr>
      <w:r w:rsidRPr="00097F28">
        <w:rPr>
          <w:rFonts w:ascii="Arial" w:hAnsi="Arial" w:cs="Arial"/>
          <w:b/>
          <w:bCs/>
          <w:sz w:val="18"/>
          <w:szCs w:val="18"/>
        </w:rPr>
        <w:t>*</w:t>
      </w:r>
      <w:r w:rsidR="00220815" w:rsidRPr="00097F28">
        <w:rPr>
          <w:rFonts w:ascii="Arial" w:hAnsi="Arial" w:cs="Arial"/>
          <w:b/>
          <w:bCs/>
          <w:sz w:val="18"/>
          <w:szCs w:val="18"/>
        </w:rPr>
        <w:t xml:space="preserve">Values followed by different letters are significantly different at </w:t>
      </w:r>
      <w:r w:rsidR="00220815" w:rsidRPr="00097F28">
        <w:rPr>
          <w:rFonts w:ascii="Arial" w:hAnsi="Arial" w:cs="Arial"/>
          <w:b/>
          <w:bCs/>
          <w:i/>
          <w:iCs/>
          <w:sz w:val="18"/>
          <w:szCs w:val="18"/>
        </w:rPr>
        <w:t>P</w:t>
      </w:r>
      <w:r w:rsidR="00220815" w:rsidRPr="00097F28">
        <w:rPr>
          <w:rFonts w:ascii="Arial" w:hAnsi="Arial" w:cs="Arial"/>
          <w:b/>
          <w:bCs/>
          <w:sz w:val="18"/>
          <w:szCs w:val="18"/>
        </w:rPr>
        <w:t xml:space="preserve"> &lt; .001</w:t>
      </w:r>
    </w:p>
    <w:p w14:paraId="24728E20" w14:textId="77777777" w:rsidR="00491D86" w:rsidRPr="00097F28" w:rsidRDefault="00491D86" w:rsidP="00DD1675">
      <w:pPr>
        <w:spacing w:line="276" w:lineRule="auto"/>
        <w:jc w:val="both"/>
        <w:rPr>
          <w:rFonts w:ascii="Arial" w:hAnsi="Arial" w:cs="Arial"/>
        </w:rPr>
      </w:pPr>
    </w:p>
    <w:p w14:paraId="19C430F4" w14:textId="5C09BE19" w:rsidR="00EA398C" w:rsidRPr="00EA398C" w:rsidRDefault="007C00B7" w:rsidP="00EA398C">
      <w:pPr>
        <w:spacing w:line="276" w:lineRule="auto"/>
        <w:jc w:val="both"/>
        <w:rPr>
          <w:rFonts w:ascii="Arial" w:hAnsi="Arial" w:cs="Arial"/>
        </w:rPr>
      </w:pPr>
      <w:r w:rsidRPr="00097F28">
        <w:rPr>
          <w:rFonts w:ascii="Arial" w:hAnsi="Arial" w:cs="Arial"/>
        </w:rPr>
        <w:t xml:space="preserve">The analysis of this table shows that extracts from all parts of </w:t>
      </w:r>
      <w:r w:rsidR="003766A8" w:rsidRPr="00097F28">
        <w:rPr>
          <w:rFonts w:ascii="Arial" w:hAnsi="Arial" w:cs="Arial"/>
          <w:i/>
          <w:iCs/>
        </w:rPr>
        <w:t>M.</w:t>
      </w:r>
      <w:r w:rsidRPr="00097F28">
        <w:rPr>
          <w:rFonts w:ascii="Arial" w:hAnsi="Arial" w:cs="Arial"/>
          <w:i/>
          <w:iCs/>
        </w:rPr>
        <w:t xml:space="preserve"> indica </w:t>
      </w:r>
      <w:r w:rsidRPr="00097F28">
        <w:rPr>
          <w:rFonts w:ascii="Arial" w:hAnsi="Arial" w:cs="Arial"/>
        </w:rPr>
        <w:t xml:space="preserve">exhibit </w:t>
      </w:r>
      <w:r w:rsidR="00DD1675" w:rsidRPr="00097F28">
        <w:rPr>
          <w:rFonts w:ascii="Arial" w:hAnsi="Arial" w:cs="Arial"/>
        </w:rPr>
        <w:t xml:space="preserve">a very </w:t>
      </w:r>
      <w:r w:rsidRPr="00097F28">
        <w:rPr>
          <w:rFonts w:ascii="Arial" w:hAnsi="Arial" w:cs="Arial"/>
        </w:rPr>
        <w:t xml:space="preserve">strong </w:t>
      </w:r>
      <w:bookmarkStart w:id="10" w:name="_Hlk207303379"/>
      <w:r w:rsidRPr="00097F28">
        <w:rPr>
          <w:rFonts w:ascii="Arial" w:hAnsi="Arial" w:cs="Arial"/>
        </w:rPr>
        <w:t>anti</w:t>
      </w:r>
      <w:r w:rsidR="00220815" w:rsidRPr="00097F28">
        <w:rPr>
          <w:rFonts w:ascii="Arial" w:hAnsi="Arial" w:cs="Arial"/>
        </w:rPr>
        <w:t>-</w:t>
      </w:r>
      <w:r w:rsidR="00220815" w:rsidRPr="00097F28">
        <w:rPr>
          <w:rFonts w:ascii="Symbol" w:hAnsi="Symbol" w:cs="Arial"/>
        </w:rPr>
        <w:t></w:t>
      </w:r>
      <w:r w:rsidR="00220815" w:rsidRPr="00097F28">
        <w:rPr>
          <w:rFonts w:ascii="Arial" w:hAnsi="Arial" w:cs="Arial"/>
        </w:rPr>
        <w:t xml:space="preserve">-amylase </w:t>
      </w:r>
      <w:r w:rsidRPr="00097F28">
        <w:rPr>
          <w:rFonts w:ascii="Arial" w:hAnsi="Arial" w:cs="Arial"/>
        </w:rPr>
        <w:t>activity</w:t>
      </w:r>
      <w:bookmarkEnd w:id="10"/>
      <w:r w:rsidRPr="00097F28">
        <w:rPr>
          <w:rFonts w:ascii="Arial" w:hAnsi="Arial" w:cs="Arial"/>
        </w:rPr>
        <w:t>, with IC</w:t>
      </w:r>
      <w:r w:rsidRPr="00097F28">
        <w:rPr>
          <w:rFonts w:ascii="Cambria Math" w:hAnsi="Cambria Math" w:cs="Cambria Math"/>
        </w:rPr>
        <w:t>₅₀</w:t>
      </w:r>
      <w:r w:rsidRPr="00097F28">
        <w:rPr>
          <w:rFonts w:ascii="Arial" w:hAnsi="Arial" w:cs="Arial"/>
        </w:rPr>
        <w:t xml:space="preserve"> values ranging from 3.34±0.09 to 7.19±0.30 </w:t>
      </w:r>
      <w:proofErr w:type="spellStart"/>
      <w:r w:rsidRPr="00097F28">
        <w:rPr>
          <w:rFonts w:ascii="Arial" w:hAnsi="Arial" w:cs="Arial"/>
        </w:rPr>
        <w:t>μg</w:t>
      </w:r>
      <w:proofErr w:type="spellEnd"/>
      <w:r w:rsidRPr="00097F28">
        <w:rPr>
          <w:rFonts w:ascii="Arial" w:hAnsi="Arial" w:cs="Arial"/>
        </w:rPr>
        <w:t>/</w:t>
      </w:r>
      <w:proofErr w:type="spellStart"/>
      <w:r w:rsidRPr="00097F28">
        <w:rPr>
          <w:rFonts w:ascii="Arial" w:hAnsi="Arial" w:cs="Arial"/>
        </w:rPr>
        <w:t>mL.</w:t>
      </w:r>
      <w:proofErr w:type="spellEnd"/>
      <w:r w:rsidRPr="00097F28">
        <w:rPr>
          <w:rFonts w:ascii="Arial" w:hAnsi="Arial" w:cs="Arial"/>
        </w:rPr>
        <w:t xml:space="preserve"> The aqueous leaf extract demonstrated the highest inhibitory potential, with an IC</w:t>
      </w:r>
      <w:r w:rsidRPr="00097F28">
        <w:rPr>
          <w:rFonts w:ascii="Cambria Math" w:hAnsi="Cambria Math" w:cs="Cambria Math"/>
        </w:rPr>
        <w:t>₅₀</w:t>
      </w:r>
      <w:r w:rsidRPr="00097F28">
        <w:rPr>
          <w:rFonts w:ascii="Arial" w:hAnsi="Arial" w:cs="Arial"/>
        </w:rPr>
        <w:t xml:space="preserve"> of 3.34±0.09 </w:t>
      </w:r>
      <w:proofErr w:type="spellStart"/>
      <w:r w:rsidRPr="00097F28">
        <w:rPr>
          <w:rFonts w:ascii="Arial" w:hAnsi="Arial" w:cs="Arial"/>
        </w:rPr>
        <w:t>μg</w:t>
      </w:r>
      <w:proofErr w:type="spellEnd"/>
      <w:r w:rsidRPr="00097F28">
        <w:rPr>
          <w:rFonts w:ascii="Arial" w:hAnsi="Arial" w:cs="Arial"/>
        </w:rPr>
        <w:t>/mL (p &lt;</w:t>
      </w:r>
      <w:r w:rsidR="007B76C8" w:rsidRPr="00097F28">
        <w:rPr>
          <w:rFonts w:ascii="Arial" w:hAnsi="Arial" w:cs="Arial"/>
        </w:rPr>
        <w:t xml:space="preserve"> </w:t>
      </w:r>
      <w:r w:rsidRPr="00097F28">
        <w:rPr>
          <w:rFonts w:ascii="Arial" w:hAnsi="Arial" w:cs="Arial"/>
        </w:rPr>
        <w:t>0.05)</w:t>
      </w:r>
      <w:r w:rsidR="00EA398C" w:rsidRPr="00097F28">
        <w:rPr>
          <w:rFonts w:ascii="Arial" w:hAnsi="Arial" w:cs="Arial"/>
        </w:rPr>
        <w:t>. This anti-amylase activity is more significant than the results obtained by</w:t>
      </w:r>
      <w:r w:rsidR="003766A8" w:rsidRPr="00097F28">
        <w:rPr>
          <w:rFonts w:ascii="Arial" w:hAnsi="Arial" w:cs="Arial"/>
        </w:rPr>
        <w:t xml:space="preserve"> </w:t>
      </w:r>
      <w:r w:rsidR="003766A8" w:rsidRPr="00097F28">
        <w:rPr>
          <w:rFonts w:cs="Helvetica"/>
          <w:noProof/>
        </w:rPr>
        <w:t>Sekar et al.</w:t>
      </w:r>
      <w:r w:rsidR="00EA398C" w:rsidRPr="00097F28">
        <w:rPr>
          <w:rFonts w:ascii="Arial" w:hAnsi="Arial" w:cs="Arial"/>
        </w:rPr>
        <w:t xml:space="preserve"> </w:t>
      </w:r>
      <w:r w:rsidR="00F703DF" w:rsidRPr="00097F28">
        <w:rPr>
          <w:rFonts w:ascii="Arial" w:hAnsi="Arial" w:cs="Arial"/>
        </w:rPr>
        <w:fldChar w:fldCharType="begin" w:fldLock="1"/>
      </w:r>
      <w:r w:rsidR="00A84CB5">
        <w:rPr>
          <w:rFonts w:ascii="Arial" w:hAnsi="Arial" w:cs="Arial"/>
        </w:rPr>
        <w:instrText>ADDIN CSL_CITATION {"citationItems":[{"id":"ITEM-1","itemData":{"DOI":"10.1016/j.phymed.2019.152901","ISSN":"1618-095X (Electronic)","PMID":"30981189","abstract":"BACKGROUND: Diabetes mellitus poses serious threat to the global population due  to the alarming diabetic complications it leads to. The current therapeutic options available can be improved for better efficiency and maximum benefits. Combination therapy has been commonly used to improve the efficacy and to minimize the side effects of drugs in current clinical use. PURPOSE: The present study aims to assess the interaction between a natural molecule mangiferin with the commercially available oral hypoglycemic drugs metformin and gliclazide in diabetic rats. METHODS: In this study, the in vitro cytotoxicity and glucose uptake studies were performed in HepG2 cells. Based on experimental data, the combination index of the hypoglycemic drugs like metformin and gliclazide in combination with different doses of mangiferin was determined using COMPUSYN software. Further, in vivo studies were performed in HFD + STZ induced diabetic male Sprague Dawley rats. Serum parameters, enzyme markers, hepatic oxidative stress markers, gene and protein expression studies and histopathological analyses were performed in rat liver to identify the mode of action of the combination drug administration. RESULTS: The in vitro studies on HepG2 cells suggest a positive interaction of mangiferin with both metformin and gliclazide at specific concentrations as evidenced by glucose uptake. The hepatic enzymes, oxidative stress markers, carbohydrate metabolizing enzymes, gene (AMPK, Akt, ACC β and Glut-2) and protein (PPARα, PPARγ) expression confirmed the results of the in vitro studies. Both the combinations of mangiferin with metformin and mangiferin with gliclazide exhibited potent antidiabetic effect. The combination of mangiferin with metformin was insulin dependent (Akt pathway) whereas the combination of mangiferin and gliclazide was insulin independent (AMPK pathway). CONCLUSION: The overall results suggest that combination of mangiferin with both metformin and gliclazide alleviates diabetic conditions potentially at specific doses and modulates the adverse effect of high dose of commonly used OHD's. This combination therapy can be translated for its clinical use as a diabetes management strategy.","author":[{"dropping-particle":"","family":"Sekar","given":"Vidhushini","non-dropping-particle":"","parse-names":false,"suffix":""},{"dropping-particle":"","family":"Mani","given":"Sugumar","non-dropping-particle":"","parse-names":false,"suffix":""},{"dropping-particle":"","family":"Malarvizhi","given":"R","non-dropping-particle":"","parse-names":false,"suffix":""},{"dropping-particle":"","family":"Nithya","given":"P","non-dropping-particle":"","parse-names":false,"suffix":""},{"dropping-particle":"","family":"Vasanthi","given":"Hannah R","non-dropping-particle":"","parse-names":false,"suffix":""}],"container-title":"Phytomedicine : international journal of phytotherapy and phytopharmacology","id":"ITEM-1","issued":{"date-parts":[["2019","6"]]},"language":"eng","page":"152901","publisher-place":"Germany","title":"Antidiabetic effect of mangiferin in combination with oral hypoglycemic agents  metformin and gliclazide.","type":"article-journal","volume":"59"},"uris":["http://www.mendeley.com/documents/?uuid=309561d8-b6f2-4b2e-b668-ef714a35d3aa"]}],"mendeley":{"formattedCitation":"[21]","plainTextFormattedCitation":"[21]","previouslyFormattedCitation":"[31]"},"properties":{"noteIndex":0},"schema":"https://github.com/citation-style-language/schema/raw/master/csl-citation.json"}</w:instrText>
      </w:r>
      <w:r w:rsidR="00F703DF" w:rsidRPr="00097F28">
        <w:rPr>
          <w:rFonts w:ascii="Arial" w:hAnsi="Arial" w:cs="Arial"/>
        </w:rPr>
        <w:fldChar w:fldCharType="separate"/>
      </w:r>
      <w:r w:rsidR="00A84CB5" w:rsidRPr="00A84CB5">
        <w:rPr>
          <w:rFonts w:ascii="Arial" w:hAnsi="Arial" w:cs="Arial"/>
          <w:noProof/>
        </w:rPr>
        <w:t>[21]</w:t>
      </w:r>
      <w:r w:rsidR="00F703DF" w:rsidRPr="00097F28">
        <w:rPr>
          <w:rFonts w:ascii="Arial" w:hAnsi="Arial" w:cs="Arial"/>
        </w:rPr>
        <w:fldChar w:fldCharType="end"/>
      </w:r>
      <w:r w:rsidR="00EA398C" w:rsidRPr="00097F28">
        <w:rPr>
          <w:rFonts w:ascii="Arial" w:hAnsi="Arial" w:cs="Arial"/>
        </w:rPr>
        <w:t>, who found IC</w:t>
      </w:r>
      <w:r w:rsidR="00EA398C" w:rsidRPr="00097F28">
        <w:rPr>
          <w:rFonts w:ascii="Arial" w:hAnsi="Arial" w:cs="Arial"/>
          <w:vertAlign w:val="subscript"/>
        </w:rPr>
        <w:t>50</w:t>
      </w:r>
      <w:r w:rsidR="00EA398C" w:rsidRPr="00097F28">
        <w:rPr>
          <w:rFonts w:ascii="Arial" w:hAnsi="Arial" w:cs="Arial"/>
        </w:rPr>
        <w:t xml:space="preserve"> values of 287.57 µg/ml and 318.1 µg/ml for ripe and unripe mangoes, respectively. The </w:t>
      </w:r>
      <w:r w:rsidR="00EA398C" w:rsidRPr="00097F28">
        <w:rPr>
          <w:rFonts w:ascii="Arial" w:hAnsi="Arial" w:cs="Arial"/>
          <w:lang w:val="fr-FR"/>
        </w:rPr>
        <w:t>α</w:t>
      </w:r>
      <w:r w:rsidR="00EA398C" w:rsidRPr="00097F28">
        <w:rPr>
          <w:rFonts w:ascii="Arial" w:hAnsi="Arial" w:cs="Arial"/>
        </w:rPr>
        <w:t xml:space="preserve">-amylase inhibitory capacity is much more active in the leaves compared to other parts of the mango tree, which </w:t>
      </w:r>
      <w:r w:rsidR="003766A8" w:rsidRPr="00097F28">
        <w:rPr>
          <w:rFonts w:ascii="Arial" w:hAnsi="Arial" w:cs="Arial"/>
        </w:rPr>
        <w:t xml:space="preserve">could </w:t>
      </w:r>
      <w:r w:rsidR="00EA398C" w:rsidRPr="00097F28">
        <w:rPr>
          <w:rFonts w:ascii="Arial" w:hAnsi="Arial" w:cs="Arial"/>
        </w:rPr>
        <w:t xml:space="preserve">explain the high use of this </w:t>
      </w:r>
      <w:r w:rsidR="003766A8" w:rsidRPr="00097F28">
        <w:rPr>
          <w:rFonts w:ascii="Arial" w:hAnsi="Arial" w:cs="Arial"/>
        </w:rPr>
        <w:t xml:space="preserve">plant </w:t>
      </w:r>
      <w:r w:rsidR="00EA398C" w:rsidRPr="00097F28">
        <w:rPr>
          <w:rFonts w:ascii="Arial" w:hAnsi="Arial" w:cs="Arial"/>
        </w:rPr>
        <w:t xml:space="preserve">part by diabetic individuals. These results corroborate the data obtained from the surveys regarding the traditional use of </w:t>
      </w:r>
      <w:r w:rsidR="003766A8" w:rsidRPr="00097F28">
        <w:rPr>
          <w:rFonts w:ascii="Arial" w:hAnsi="Arial" w:cs="Arial"/>
          <w:i/>
          <w:iCs/>
        </w:rPr>
        <w:t xml:space="preserve">M. </w:t>
      </w:r>
      <w:r w:rsidR="00EA398C" w:rsidRPr="00097F28">
        <w:rPr>
          <w:rFonts w:ascii="Arial" w:hAnsi="Arial" w:cs="Arial"/>
          <w:i/>
          <w:iCs/>
        </w:rPr>
        <w:t>indica</w:t>
      </w:r>
      <w:r w:rsidR="00EA398C" w:rsidRPr="00097F28">
        <w:rPr>
          <w:rFonts w:ascii="Arial" w:hAnsi="Arial" w:cs="Arial"/>
        </w:rPr>
        <w:t xml:space="preserve"> in the management of numerous diseases, particularly diabetes. </w:t>
      </w:r>
      <w:r w:rsidR="001D11C7" w:rsidRPr="00097F28">
        <w:rPr>
          <w:rFonts w:ascii="Arial" w:hAnsi="Arial" w:cs="Arial"/>
        </w:rPr>
        <w:t>These lower IC</w:t>
      </w:r>
      <w:r w:rsidR="001D11C7" w:rsidRPr="00097F28">
        <w:rPr>
          <w:rFonts w:ascii="Cambria Math" w:hAnsi="Cambria Math" w:cs="Cambria Math"/>
        </w:rPr>
        <w:t>₅₀</w:t>
      </w:r>
      <w:r w:rsidR="001D11C7" w:rsidRPr="00097F28">
        <w:rPr>
          <w:rFonts w:ascii="Arial" w:hAnsi="Arial" w:cs="Arial"/>
        </w:rPr>
        <w:t xml:space="preserve"> registered with </w:t>
      </w:r>
      <w:r w:rsidR="001D11C7" w:rsidRPr="00097F28">
        <w:rPr>
          <w:rFonts w:ascii="Symbol" w:hAnsi="Symbol" w:cs="Arial"/>
        </w:rPr>
        <w:t></w:t>
      </w:r>
      <w:r w:rsidR="001D11C7" w:rsidRPr="00097F28">
        <w:rPr>
          <w:rFonts w:ascii="Arial" w:hAnsi="Arial" w:cs="Arial"/>
        </w:rPr>
        <w:t xml:space="preserve">-amylase support the involvement of Mangifera’s extracts in the regulation of diabetes. This potential regulation of </w:t>
      </w:r>
      <w:r w:rsidR="001D11C7" w:rsidRPr="00097F28">
        <w:rPr>
          <w:rFonts w:ascii="Symbol" w:hAnsi="Symbol" w:cs="Arial"/>
        </w:rPr>
        <w:t></w:t>
      </w:r>
      <w:r w:rsidR="001D11C7" w:rsidRPr="00097F28">
        <w:rPr>
          <w:rFonts w:ascii="Arial" w:hAnsi="Arial" w:cs="Arial"/>
        </w:rPr>
        <w:t xml:space="preserve">-amylase’s activity could rely on their composition in phenolic compound which are closely incriminated in the </w:t>
      </w:r>
      <w:r w:rsidR="001D11C7" w:rsidRPr="00097F28">
        <w:rPr>
          <w:rFonts w:ascii="Symbol" w:hAnsi="Symbol" w:cs="Arial"/>
        </w:rPr>
        <w:t></w:t>
      </w:r>
      <w:r w:rsidR="001D11C7" w:rsidRPr="00097F28">
        <w:rPr>
          <w:rFonts w:ascii="Arial" w:hAnsi="Arial" w:cs="Arial"/>
        </w:rPr>
        <w:t xml:space="preserve">-amylase’s regulation and therefore in the management of diabetes [13]. </w:t>
      </w:r>
      <w:r w:rsidR="00EA398C" w:rsidRPr="00097F28">
        <w:rPr>
          <w:rFonts w:ascii="Arial" w:hAnsi="Arial" w:cs="Arial"/>
        </w:rPr>
        <w:t xml:space="preserve">However, more in-depth investigations, especially on the content of phytochemical groups and other hypoglycemic activities, are necessary to confirm the mechanism </w:t>
      </w:r>
      <w:r w:rsidR="000524B6" w:rsidRPr="00097F28">
        <w:rPr>
          <w:rFonts w:ascii="Arial" w:hAnsi="Arial" w:cs="Arial"/>
        </w:rPr>
        <w:t xml:space="preserve">mechanistic </w:t>
      </w:r>
      <w:r w:rsidR="00EA398C" w:rsidRPr="00097F28">
        <w:rPr>
          <w:rFonts w:ascii="Arial" w:hAnsi="Arial" w:cs="Arial"/>
        </w:rPr>
        <w:t xml:space="preserve">of action of the bioactive substances of </w:t>
      </w:r>
      <w:r w:rsidR="005F4853" w:rsidRPr="00097F28">
        <w:rPr>
          <w:rFonts w:ascii="Arial" w:hAnsi="Arial" w:cs="Arial"/>
          <w:i/>
          <w:iCs/>
        </w:rPr>
        <w:t>M. indica</w:t>
      </w:r>
      <w:r w:rsidR="00EA398C" w:rsidRPr="00097F28">
        <w:rPr>
          <w:rFonts w:ascii="Arial" w:hAnsi="Arial" w:cs="Arial"/>
        </w:rPr>
        <w:t>.</w:t>
      </w:r>
    </w:p>
    <w:p w14:paraId="059DC52A" w14:textId="77777777" w:rsidR="00B3360C" w:rsidRPr="00FB3A86" w:rsidRDefault="00B3360C" w:rsidP="00B3360C">
      <w:pPr>
        <w:pStyle w:val="Body"/>
        <w:spacing w:after="0"/>
        <w:rPr>
          <w:rFonts w:ascii="Arial" w:hAnsi="Arial" w:cs="Arial"/>
        </w:rPr>
      </w:pPr>
    </w:p>
    <w:p w14:paraId="10A1907C" w14:textId="1B4D8860" w:rsidR="00B3360C" w:rsidRDefault="00B3360C" w:rsidP="00CB26DB">
      <w:pPr>
        <w:pStyle w:val="ConcHead"/>
        <w:spacing w:after="0"/>
        <w:jc w:val="both"/>
        <w:outlineLvl w:val="0"/>
        <w:rPr>
          <w:rFonts w:ascii="Arial" w:hAnsi="Arial" w:cs="Arial"/>
        </w:rPr>
      </w:pPr>
      <w:r>
        <w:rPr>
          <w:rFonts w:ascii="Arial" w:hAnsi="Arial" w:cs="Arial"/>
        </w:rPr>
        <w:lastRenderedPageBreak/>
        <w:t xml:space="preserve">4. </w:t>
      </w:r>
      <w:r w:rsidRPr="00FB3A86">
        <w:rPr>
          <w:rFonts w:ascii="Arial" w:hAnsi="Arial" w:cs="Arial"/>
        </w:rPr>
        <w:t>Conclusion</w:t>
      </w:r>
      <w:r w:rsidR="000524B6">
        <w:rPr>
          <w:rFonts w:ascii="Arial" w:hAnsi="Arial" w:cs="Arial"/>
        </w:rPr>
        <w:t xml:space="preserve"> </w:t>
      </w:r>
    </w:p>
    <w:p w14:paraId="2130AFAD" w14:textId="77777777" w:rsidR="00B3360C" w:rsidRPr="00FB3A86" w:rsidRDefault="00B3360C" w:rsidP="00B3360C">
      <w:pPr>
        <w:pStyle w:val="ConcHead"/>
        <w:spacing w:after="0"/>
        <w:jc w:val="both"/>
        <w:rPr>
          <w:rFonts w:ascii="Arial" w:hAnsi="Arial" w:cs="Arial"/>
        </w:rPr>
      </w:pPr>
    </w:p>
    <w:p w14:paraId="4EC937A2" w14:textId="7D05AAAD" w:rsidR="00315186" w:rsidRPr="00315186" w:rsidRDefault="00416156" w:rsidP="00FC76A0">
      <w:pPr>
        <w:jc w:val="both"/>
      </w:pPr>
      <w:r w:rsidRPr="004F3035">
        <w:rPr>
          <w:rFonts w:ascii="Arial" w:hAnsi="Arial" w:cs="Arial"/>
        </w:rPr>
        <w:t xml:space="preserve">The survey of this study revealed that the </w:t>
      </w:r>
      <w:r w:rsidR="004F3035">
        <w:rPr>
          <w:rFonts w:ascii="Arial" w:hAnsi="Arial" w:cs="Arial"/>
        </w:rPr>
        <w:t>vast</w:t>
      </w:r>
      <w:r w:rsidRPr="004F3035">
        <w:rPr>
          <w:rFonts w:ascii="Arial" w:hAnsi="Arial" w:cs="Arial"/>
        </w:rPr>
        <w:t xml:space="preserve"> majority of households in Bamako and around practice plant domestication, </w:t>
      </w:r>
      <w:r w:rsidR="004F3035">
        <w:rPr>
          <w:rFonts w:ascii="Arial" w:hAnsi="Arial" w:cs="Arial"/>
        </w:rPr>
        <w:t>including</w:t>
      </w:r>
      <w:r w:rsidRPr="004F3035">
        <w:rPr>
          <w:rFonts w:ascii="Arial" w:hAnsi="Arial" w:cs="Arial"/>
        </w:rPr>
        <w:t xml:space="preserve"> a </w:t>
      </w:r>
      <w:r w:rsidR="004F3035">
        <w:rPr>
          <w:rFonts w:ascii="Arial" w:hAnsi="Arial" w:cs="Arial"/>
        </w:rPr>
        <w:t>high</w:t>
      </w:r>
      <w:r w:rsidRPr="004F3035">
        <w:rPr>
          <w:rFonts w:ascii="Arial" w:hAnsi="Arial" w:cs="Arial"/>
        </w:rPr>
        <w:t xml:space="preserve"> diversity of </w:t>
      </w:r>
      <w:r w:rsidR="004F3035">
        <w:rPr>
          <w:rFonts w:ascii="Arial" w:hAnsi="Arial" w:cs="Arial"/>
        </w:rPr>
        <w:t xml:space="preserve">edible </w:t>
      </w:r>
      <w:r w:rsidRPr="004F3035">
        <w:rPr>
          <w:rFonts w:ascii="Arial" w:hAnsi="Arial" w:cs="Arial"/>
        </w:rPr>
        <w:t xml:space="preserve">species belonging to 25 plant families, with </w:t>
      </w:r>
      <w:proofErr w:type="spellStart"/>
      <w:r w:rsidRPr="004411B8">
        <w:rPr>
          <w:rFonts w:ascii="Arial" w:hAnsi="Arial" w:cs="Arial"/>
          <w:i/>
          <w:iCs/>
        </w:rPr>
        <w:t>Anacardiaceae</w:t>
      </w:r>
      <w:proofErr w:type="spellEnd"/>
      <w:r w:rsidRPr="004F3035">
        <w:rPr>
          <w:rFonts w:ascii="Arial" w:hAnsi="Arial" w:cs="Arial"/>
        </w:rPr>
        <w:t xml:space="preserve"> being the most cited, </w:t>
      </w:r>
      <w:r w:rsidR="004F3035">
        <w:rPr>
          <w:rFonts w:ascii="Arial" w:hAnsi="Arial" w:cs="Arial"/>
        </w:rPr>
        <w:t>mainly</w:t>
      </w:r>
      <w:r w:rsidRPr="004F3035">
        <w:rPr>
          <w:rFonts w:ascii="Arial" w:hAnsi="Arial" w:cs="Arial"/>
        </w:rPr>
        <w:t xml:space="preserve"> due to the prominence of </w:t>
      </w:r>
      <w:r w:rsidRPr="004411B8">
        <w:rPr>
          <w:rFonts w:ascii="Arial" w:hAnsi="Arial" w:cs="Arial"/>
          <w:i/>
          <w:iCs/>
        </w:rPr>
        <w:t>Mangifera</w:t>
      </w:r>
      <w:r w:rsidRPr="004F3035">
        <w:rPr>
          <w:rFonts w:ascii="Arial" w:hAnsi="Arial" w:cs="Arial"/>
        </w:rPr>
        <w:t xml:space="preserve"> </w:t>
      </w:r>
      <w:r w:rsidRPr="004411B8">
        <w:rPr>
          <w:rFonts w:ascii="Arial" w:hAnsi="Arial" w:cs="Arial"/>
          <w:i/>
          <w:iCs/>
        </w:rPr>
        <w:t>indica</w:t>
      </w:r>
      <w:r w:rsidRPr="004F3035">
        <w:rPr>
          <w:rFonts w:ascii="Arial" w:hAnsi="Arial" w:cs="Arial"/>
        </w:rPr>
        <w:t xml:space="preserve"> L. The</w:t>
      </w:r>
      <w:r w:rsidR="004F3035">
        <w:rPr>
          <w:rFonts w:ascii="Arial" w:hAnsi="Arial" w:cs="Arial"/>
        </w:rPr>
        <w:t>se</w:t>
      </w:r>
      <w:r w:rsidRPr="004F3035">
        <w:rPr>
          <w:rFonts w:ascii="Arial" w:hAnsi="Arial" w:cs="Arial"/>
        </w:rPr>
        <w:t xml:space="preserve"> plants are </w:t>
      </w:r>
      <w:r w:rsidR="004F3035">
        <w:rPr>
          <w:rFonts w:ascii="Arial" w:hAnsi="Arial" w:cs="Arial"/>
        </w:rPr>
        <w:t>domesticated</w:t>
      </w:r>
      <w:r w:rsidRPr="004F3035">
        <w:rPr>
          <w:rFonts w:ascii="Arial" w:hAnsi="Arial" w:cs="Arial"/>
        </w:rPr>
        <w:t xml:space="preserve"> for various rea</w:t>
      </w:r>
      <w:r w:rsidR="004F3035" w:rsidRPr="004F3035">
        <w:rPr>
          <w:rFonts w:ascii="Arial" w:hAnsi="Arial" w:cs="Arial"/>
        </w:rPr>
        <w:t>s</w:t>
      </w:r>
      <w:r w:rsidRPr="004F3035">
        <w:rPr>
          <w:rFonts w:ascii="Arial" w:hAnsi="Arial" w:cs="Arial"/>
        </w:rPr>
        <w:t>ons</w:t>
      </w:r>
      <w:r w:rsidR="004F3035">
        <w:rPr>
          <w:rFonts w:ascii="Arial" w:hAnsi="Arial" w:cs="Arial"/>
        </w:rPr>
        <w:t xml:space="preserve"> including</w:t>
      </w:r>
      <w:r w:rsidRPr="004F3035">
        <w:rPr>
          <w:rFonts w:ascii="Arial" w:hAnsi="Arial" w:cs="Arial"/>
        </w:rPr>
        <w:t xml:space="preserve"> </w:t>
      </w:r>
      <w:r w:rsidR="00EA398C" w:rsidRPr="00097F28">
        <w:rPr>
          <w:rFonts w:ascii="Arial" w:hAnsi="Arial" w:cs="Arial"/>
        </w:rPr>
        <w:t>nutrition, shade</w:t>
      </w:r>
      <w:r w:rsidR="004F3035">
        <w:rPr>
          <w:rFonts w:ascii="Arial" w:hAnsi="Arial" w:cs="Arial"/>
        </w:rPr>
        <w:t xml:space="preserve"> provision</w:t>
      </w:r>
      <w:r w:rsidR="00EA398C" w:rsidRPr="00097F28">
        <w:rPr>
          <w:rFonts w:ascii="Arial" w:hAnsi="Arial" w:cs="Arial"/>
        </w:rPr>
        <w:t xml:space="preserve">, and especially for its </w:t>
      </w:r>
      <w:r w:rsidR="004411B8">
        <w:rPr>
          <w:rFonts w:ascii="Arial" w:hAnsi="Arial" w:cs="Arial"/>
        </w:rPr>
        <w:t>medicinal</w:t>
      </w:r>
      <w:r w:rsidR="00EA398C" w:rsidRPr="00097F28">
        <w:rPr>
          <w:rFonts w:ascii="Arial" w:hAnsi="Arial" w:cs="Arial"/>
        </w:rPr>
        <w:t xml:space="preserve"> properties. The phytochemical analysis </w:t>
      </w:r>
      <w:r>
        <w:rPr>
          <w:rFonts w:ascii="Arial" w:hAnsi="Arial" w:cs="Arial"/>
        </w:rPr>
        <w:t>of</w:t>
      </w:r>
      <w:r w:rsidRPr="00097F28">
        <w:rPr>
          <w:rFonts w:ascii="Arial" w:hAnsi="Arial" w:cs="Arial"/>
        </w:rPr>
        <w:t xml:space="preserve"> the </w:t>
      </w:r>
      <w:r w:rsidRPr="00097F28">
        <w:rPr>
          <w:rFonts w:ascii="Arial" w:hAnsi="Arial" w:cs="Arial"/>
          <w:i/>
          <w:iCs/>
        </w:rPr>
        <w:t>M</w:t>
      </w:r>
      <w:r>
        <w:rPr>
          <w:rFonts w:ascii="Arial" w:hAnsi="Arial" w:cs="Arial"/>
          <w:i/>
          <w:iCs/>
        </w:rPr>
        <w:t>.</w:t>
      </w:r>
      <w:r w:rsidRPr="00097F28">
        <w:rPr>
          <w:rFonts w:ascii="Arial" w:hAnsi="Arial" w:cs="Arial"/>
          <w:i/>
          <w:iCs/>
        </w:rPr>
        <w:t xml:space="preserve"> indica</w:t>
      </w:r>
      <w:r>
        <w:rPr>
          <w:rFonts w:ascii="Arial" w:hAnsi="Arial" w:cs="Arial"/>
        </w:rPr>
        <w:t>,</w:t>
      </w:r>
      <w:r w:rsidRPr="00097F28">
        <w:rPr>
          <w:rFonts w:ascii="Arial" w:hAnsi="Arial" w:cs="Arial"/>
        </w:rPr>
        <w:t xml:space="preserve"> </w:t>
      </w:r>
      <w:r w:rsidR="004411B8">
        <w:rPr>
          <w:rFonts w:ascii="Arial" w:hAnsi="Arial" w:cs="Arial"/>
        </w:rPr>
        <w:t xml:space="preserve">a valued plant identified among the edible plants, </w:t>
      </w:r>
      <w:r w:rsidR="00EA398C" w:rsidRPr="00097F28">
        <w:rPr>
          <w:rFonts w:ascii="Arial" w:hAnsi="Arial" w:cs="Arial"/>
        </w:rPr>
        <w:t xml:space="preserve">highlighted the presence of numerous phytochemical groups which </w:t>
      </w:r>
      <w:r w:rsidR="0050493B" w:rsidRPr="00097F28">
        <w:rPr>
          <w:rFonts w:ascii="Arial" w:hAnsi="Arial" w:cs="Arial"/>
        </w:rPr>
        <w:t xml:space="preserve">reinforce </w:t>
      </w:r>
      <w:r w:rsidR="00EA398C" w:rsidRPr="00097F28">
        <w:rPr>
          <w:rFonts w:ascii="Arial" w:hAnsi="Arial" w:cs="Arial"/>
        </w:rPr>
        <w:t xml:space="preserve">the antioxidant and antidiabetic potential of </w:t>
      </w:r>
      <w:r w:rsidR="00EA398C" w:rsidRPr="00097F28">
        <w:rPr>
          <w:rFonts w:ascii="Arial" w:hAnsi="Arial" w:cs="Arial"/>
          <w:i/>
          <w:iCs/>
        </w:rPr>
        <w:t>M</w:t>
      </w:r>
      <w:r w:rsidR="000524B6" w:rsidRPr="00097F28">
        <w:rPr>
          <w:rFonts w:ascii="Arial" w:hAnsi="Arial" w:cs="Arial"/>
          <w:i/>
          <w:iCs/>
        </w:rPr>
        <w:t>.</w:t>
      </w:r>
      <w:r w:rsidR="00EA398C" w:rsidRPr="00097F28">
        <w:rPr>
          <w:rFonts w:ascii="Arial" w:hAnsi="Arial" w:cs="Arial"/>
          <w:i/>
          <w:iCs/>
        </w:rPr>
        <w:t xml:space="preserve"> indica.</w:t>
      </w:r>
      <w:r w:rsidR="00EA398C" w:rsidRPr="00097F28">
        <w:rPr>
          <w:rFonts w:ascii="Arial" w:hAnsi="Arial" w:cs="Arial"/>
        </w:rPr>
        <w:t xml:space="preserve"> </w:t>
      </w:r>
      <w:r w:rsidR="004411B8">
        <w:rPr>
          <w:rFonts w:ascii="Arial" w:hAnsi="Arial" w:cs="Arial"/>
        </w:rPr>
        <w:t>Together, t</w:t>
      </w:r>
      <w:r w:rsidR="00EA398C" w:rsidRPr="00097F28">
        <w:rPr>
          <w:rFonts w:ascii="Arial" w:hAnsi="Arial" w:cs="Arial"/>
        </w:rPr>
        <w:t xml:space="preserve">hese results help to </w:t>
      </w:r>
      <w:r w:rsidR="004411B8">
        <w:rPr>
          <w:rFonts w:ascii="Arial" w:hAnsi="Arial" w:cs="Arial"/>
        </w:rPr>
        <w:t>explain</w:t>
      </w:r>
      <w:r w:rsidR="00EA398C" w:rsidRPr="00097F28">
        <w:rPr>
          <w:rFonts w:ascii="Arial" w:hAnsi="Arial" w:cs="Arial"/>
        </w:rPr>
        <w:t xml:space="preserve"> the increasing </w:t>
      </w:r>
      <w:r w:rsidR="004F3035">
        <w:rPr>
          <w:rFonts w:ascii="Arial" w:hAnsi="Arial" w:cs="Arial"/>
        </w:rPr>
        <w:t>domestication</w:t>
      </w:r>
      <w:r w:rsidR="00EA398C" w:rsidRPr="00097F28">
        <w:rPr>
          <w:rFonts w:ascii="Arial" w:hAnsi="Arial" w:cs="Arial"/>
        </w:rPr>
        <w:t xml:space="preserve"> of </w:t>
      </w:r>
      <w:r w:rsidR="004F3035">
        <w:rPr>
          <w:rFonts w:ascii="Arial" w:hAnsi="Arial" w:cs="Arial"/>
        </w:rPr>
        <w:t xml:space="preserve">edible plants such as </w:t>
      </w:r>
      <w:r w:rsidR="000524B6" w:rsidRPr="00097F28">
        <w:rPr>
          <w:rFonts w:ascii="Arial" w:hAnsi="Arial" w:cs="Arial"/>
          <w:i/>
          <w:iCs/>
        </w:rPr>
        <w:t>M. indica</w:t>
      </w:r>
      <w:r w:rsidR="00EA398C" w:rsidRPr="00097F28">
        <w:rPr>
          <w:rFonts w:ascii="Arial" w:hAnsi="Arial" w:cs="Arial"/>
        </w:rPr>
        <w:t xml:space="preserve"> in the traditional management of </w:t>
      </w:r>
      <w:r w:rsidR="004F3035">
        <w:rPr>
          <w:rFonts w:ascii="Arial" w:hAnsi="Arial" w:cs="Arial"/>
        </w:rPr>
        <w:t>metabolic diseases</w:t>
      </w:r>
      <w:r w:rsidR="004411B8">
        <w:rPr>
          <w:rFonts w:ascii="Arial" w:hAnsi="Arial" w:cs="Arial"/>
        </w:rPr>
        <w:t>, particularly</w:t>
      </w:r>
      <w:r w:rsidR="004F3035">
        <w:rPr>
          <w:rFonts w:ascii="Arial" w:hAnsi="Arial" w:cs="Arial"/>
        </w:rPr>
        <w:t xml:space="preserve"> </w:t>
      </w:r>
      <w:r w:rsidR="00EA398C" w:rsidRPr="00097F28">
        <w:rPr>
          <w:rFonts w:ascii="Arial" w:hAnsi="Arial" w:cs="Arial"/>
        </w:rPr>
        <w:t xml:space="preserve">diabetes, in addition to </w:t>
      </w:r>
      <w:r w:rsidR="004411B8">
        <w:rPr>
          <w:rFonts w:ascii="Arial" w:hAnsi="Arial" w:cs="Arial"/>
        </w:rPr>
        <w:t>their</w:t>
      </w:r>
      <w:r w:rsidR="00EA398C" w:rsidRPr="00097F28">
        <w:rPr>
          <w:rFonts w:ascii="Arial" w:hAnsi="Arial" w:cs="Arial"/>
        </w:rPr>
        <w:t xml:space="preserve"> </w:t>
      </w:r>
      <w:r w:rsidR="004411B8">
        <w:rPr>
          <w:rFonts w:ascii="Arial" w:hAnsi="Arial" w:cs="Arial"/>
        </w:rPr>
        <w:t>broader</w:t>
      </w:r>
      <w:r w:rsidR="00EA398C" w:rsidRPr="00097F28">
        <w:rPr>
          <w:rFonts w:ascii="Arial" w:hAnsi="Arial" w:cs="Arial"/>
        </w:rPr>
        <w:t xml:space="preserve"> </w:t>
      </w:r>
      <w:r w:rsidR="004411B8" w:rsidRPr="004411B8">
        <w:rPr>
          <w:rFonts w:ascii="Arial" w:hAnsi="Arial" w:cs="Arial"/>
        </w:rPr>
        <w:t>household benefits in Bamako and surrounding areas</w:t>
      </w:r>
      <w:r w:rsidR="00EA398C" w:rsidRPr="00097F28">
        <w:rPr>
          <w:rFonts w:ascii="Arial" w:hAnsi="Arial" w:cs="Arial"/>
        </w:rPr>
        <w:t>.</w:t>
      </w:r>
      <w:r w:rsidR="00FC76A0" w:rsidRPr="00097F28">
        <w:rPr>
          <w:rFonts w:ascii="Arial" w:hAnsi="Arial" w:cs="Arial"/>
        </w:rPr>
        <w:t xml:space="preserve"> Future studies should focus on the quantitative determination of the major phytochemical groups identified in </w:t>
      </w:r>
      <w:r w:rsidR="000524B6" w:rsidRPr="00097F28">
        <w:rPr>
          <w:rFonts w:ascii="Arial" w:hAnsi="Arial" w:cs="Arial"/>
          <w:i/>
          <w:iCs/>
        </w:rPr>
        <w:t>M. indica</w:t>
      </w:r>
      <w:r w:rsidR="004411B8">
        <w:rPr>
          <w:rFonts w:ascii="Arial" w:hAnsi="Arial" w:cs="Arial"/>
          <w:i/>
          <w:iCs/>
        </w:rPr>
        <w:t xml:space="preserve">, </w:t>
      </w:r>
      <w:r w:rsidR="004411B8" w:rsidRPr="004411B8">
        <w:rPr>
          <w:rFonts w:ascii="Arial" w:hAnsi="Arial" w:cs="Arial"/>
        </w:rPr>
        <w:t>as well as</w:t>
      </w:r>
      <w:r w:rsidR="00FC76A0" w:rsidRPr="00097F28">
        <w:rPr>
          <w:rFonts w:ascii="Arial" w:hAnsi="Arial" w:cs="Arial"/>
        </w:rPr>
        <w:t xml:space="preserve"> </w:t>
      </w:r>
      <w:r w:rsidR="004411B8">
        <w:rPr>
          <w:rFonts w:ascii="Arial" w:hAnsi="Arial" w:cs="Arial"/>
        </w:rPr>
        <w:t xml:space="preserve">on the biochemical </w:t>
      </w:r>
      <w:r w:rsidR="00543A42" w:rsidRPr="00097F28">
        <w:rPr>
          <w:rFonts w:ascii="Arial" w:hAnsi="Arial" w:cs="Arial"/>
        </w:rPr>
        <w:t>characterization o</w:t>
      </w:r>
      <w:r w:rsidR="004411B8">
        <w:rPr>
          <w:rFonts w:ascii="Arial" w:hAnsi="Arial" w:cs="Arial"/>
        </w:rPr>
        <w:t>f</w:t>
      </w:r>
      <w:r w:rsidR="00543A42" w:rsidRPr="00097F28">
        <w:rPr>
          <w:rFonts w:ascii="Arial" w:hAnsi="Arial" w:cs="Arial"/>
        </w:rPr>
        <w:t xml:space="preserve"> </w:t>
      </w:r>
      <w:r w:rsidR="004F3035">
        <w:rPr>
          <w:rFonts w:ascii="Arial" w:hAnsi="Arial" w:cs="Arial"/>
        </w:rPr>
        <w:t xml:space="preserve">domesticated </w:t>
      </w:r>
      <w:r w:rsidR="00543A42" w:rsidRPr="00097F28">
        <w:rPr>
          <w:rFonts w:ascii="Arial" w:hAnsi="Arial" w:cs="Arial"/>
        </w:rPr>
        <w:t>edible</w:t>
      </w:r>
      <w:r w:rsidR="00543A42">
        <w:rPr>
          <w:rFonts w:ascii="Arial" w:hAnsi="Arial" w:cs="Arial"/>
        </w:rPr>
        <w:t xml:space="preserve"> plants</w:t>
      </w:r>
      <w:r w:rsidR="004411B8">
        <w:rPr>
          <w:rFonts w:ascii="Arial" w:hAnsi="Arial" w:cs="Arial"/>
        </w:rPr>
        <w:t>.</w:t>
      </w:r>
      <w:r w:rsidR="00543A42">
        <w:rPr>
          <w:rFonts w:ascii="Arial" w:hAnsi="Arial" w:cs="Arial"/>
        </w:rPr>
        <w:t xml:space="preserve"> </w:t>
      </w:r>
      <w:r w:rsidR="004411B8" w:rsidRPr="004411B8">
        <w:rPr>
          <w:rFonts w:ascii="Arial" w:hAnsi="Arial" w:cs="Arial"/>
        </w:rPr>
        <w:t>Further evaluation and comparison of their inhibitory effects on α-amylase and other key metabolic enzymes would also be valuable to better assess their therapeutic potential.</w:t>
      </w:r>
      <w:r w:rsidR="000524B6">
        <w:rPr>
          <w:rFonts w:ascii="Arial" w:hAnsi="Arial" w:cs="Arial"/>
        </w:rPr>
        <w:t xml:space="preserve"> </w:t>
      </w:r>
    </w:p>
    <w:p w14:paraId="4E02B212" w14:textId="77777777" w:rsidR="002B685A" w:rsidRDefault="002B685A" w:rsidP="00441B6F">
      <w:pPr>
        <w:pStyle w:val="ReferHead"/>
        <w:spacing w:after="0"/>
        <w:jc w:val="both"/>
        <w:rPr>
          <w:rFonts w:ascii="Arial" w:hAnsi="Arial" w:cs="Arial"/>
          <w:b w:val="0"/>
          <w:caps w:val="0"/>
          <w:sz w:val="20"/>
        </w:rPr>
      </w:pPr>
    </w:p>
    <w:p w14:paraId="587630C2" w14:textId="76799F24" w:rsidR="002B685A" w:rsidRDefault="002B685A" w:rsidP="00441B6F">
      <w:pPr>
        <w:pStyle w:val="ReferHead"/>
        <w:spacing w:after="0"/>
        <w:jc w:val="both"/>
        <w:rPr>
          <w:rFonts w:ascii="Arial" w:hAnsi="Arial" w:cs="Arial"/>
          <w:bCs/>
        </w:rPr>
      </w:pPr>
      <w:r w:rsidRPr="002B685A">
        <w:rPr>
          <w:rFonts w:ascii="Arial" w:hAnsi="Arial" w:cs="Arial"/>
          <w:bCs/>
        </w:rPr>
        <w:t>Consent</w:t>
      </w:r>
    </w:p>
    <w:p w14:paraId="4939629C" w14:textId="77777777" w:rsidR="002B685A" w:rsidRPr="002B685A" w:rsidRDefault="002B685A" w:rsidP="00441B6F">
      <w:pPr>
        <w:pStyle w:val="ReferHead"/>
        <w:spacing w:after="0"/>
        <w:jc w:val="both"/>
        <w:rPr>
          <w:rFonts w:ascii="Arial" w:hAnsi="Arial" w:cs="Arial"/>
          <w:bCs/>
        </w:rPr>
      </w:pPr>
    </w:p>
    <w:p w14:paraId="2333662B" w14:textId="5A8CCA0B" w:rsidR="001A29D8" w:rsidRDefault="00CB26DB" w:rsidP="00441B6F">
      <w:pPr>
        <w:pStyle w:val="ReferHead"/>
        <w:spacing w:after="0"/>
        <w:jc w:val="both"/>
        <w:rPr>
          <w:rFonts w:ascii="Arial" w:hAnsi="Arial" w:cs="Arial"/>
          <w:b w:val="0"/>
          <w:caps w:val="0"/>
          <w:sz w:val="20"/>
        </w:rPr>
      </w:pPr>
      <w:r w:rsidRPr="00CB26DB">
        <w:rPr>
          <w:rFonts w:ascii="Arial" w:hAnsi="Arial" w:cs="Arial"/>
          <w:b w:val="0"/>
          <w:caps w:val="0"/>
          <w:sz w:val="20"/>
        </w:rPr>
        <w:t>Prior informed consent was obtained from all participants before data collection. The purpose of the study was clearly explained, participation was voluntary, and participants were informed of their right to withdraw at any stage. To ensure confidentiality, no personal identifiers are disclosed.</w:t>
      </w:r>
      <w:r>
        <w:rPr>
          <w:rFonts w:ascii="Arial" w:hAnsi="Arial" w:cs="Arial"/>
          <w:b w:val="0"/>
          <w:caps w:val="0"/>
          <w:sz w:val="20"/>
        </w:rPr>
        <w:t xml:space="preserve"> </w:t>
      </w:r>
    </w:p>
    <w:p w14:paraId="331C4A95" w14:textId="77777777" w:rsidR="00B21B9C" w:rsidRDefault="00B21B9C" w:rsidP="00441B6F">
      <w:pPr>
        <w:pStyle w:val="ReferHead"/>
        <w:spacing w:after="0"/>
        <w:jc w:val="both"/>
        <w:rPr>
          <w:rFonts w:ascii="Arial" w:hAnsi="Arial" w:cs="Arial"/>
          <w:b w:val="0"/>
          <w:caps w:val="0"/>
          <w:sz w:val="20"/>
        </w:rPr>
      </w:pPr>
    </w:p>
    <w:p w14:paraId="38291C54" w14:textId="77777777" w:rsidR="00B21B9C" w:rsidRPr="00B21B9C" w:rsidRDefault="00B21B9C" w:rsidP="00B21B9C">
      <w:pPr>
        <w:pStyle w:val="ReferHead"/>
        <w:jc w:val="both"/>
        <w:rPr>
          <w:rFonts w:ascii="Arial" w:hAnsi="Arial" w:cs="Arial"/>
          <w:bCs/>
          <w:caps w:val="0"/>
          <w:sz w:val="20"/>
        </w:rPr>
      </w:pPr>
      <w:r w:rsidRPr="00B21B9C">
        <w:rPr>
          <w:rFonts w:ascii="Arial" w:hAnsi="Arial" w:cs="Arial"/>
          <w:bCs/>
          <w:caps w:val="0"/>
          <w:sz w:val="20"/>
        </w:rPr>
        <w:t>DISCLAIMER (ARTIFICIAL INTELLIGENCE)</w:t>
      </w:r>
    </w:p>
    <w:p w14:paraId="1913A23B" w14:textId="3C0AC58E" w:rsidR="00B21B9C" w:rsidRPr="00B21B9C" w:rsidRDefault="00B21B9C" w:rsidP="00B21B9C">
      <w:pPr>
        <w:pStyle w:val="ReferHead"/>
        <w:jc w:val="both"/>
        <w:rPr>
          <w:rFonts w:ascii="Arial" w:hAnsi="Arial" w:cs="Arial"/>
          <w:b w:val="0"/>
          <w:caps w:val="0"/>
          <w:sz w:val="20"/>
        </w:rPr>
      </w:pPr>
      <w:r w:rsidRPr="00B21B9C">
        <w:rPr>
          <w:rFonts w:ascii="Arial" w:hAnsi="Arial" w:cs="Arial"/>
          <w:b w:val="0"/>
          <w:caps w:val="0"/>
          <w:sz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438368" w14:textId="77777777" w:rsidR="00B21B9C" w:rsidRPr="00B21B9C" w:rsidRDefault="00B21B9C" w:rsidP="00B21B9C">
      <w:pPr>
        <w:pStyle w:val="ReferHead"/>
        <w:jc w:val="both"/>
        <w:rPr>
          <w:rFonts w:ascii="Arial" w:hAnsi="Arial" w:cs="Arial"/>
          <w:bCs/>
          <w:caps w:val="0"/>
          <w:sz w:val="20"/>
        </w:rPr>
      </w:pPr>
      <w:r w:rsidRPr="00B21B9C">
        <w:rPr>
          <w:rFonts w:ascii="Arial" w:hAnsi="Arial" w:cs="Arial"/>
          <w:bCs/>
          <w:caps w:val="0"/>
          <w:sz w:val="20"/>
        </w:rPr>
        <w:t>Details of the AI usage are given below:</w:t>
      </w:r>
    </w:p>
    <w:p w14:paraId="0028ED29" w14:textId="5739A8D0" w:rsidR="00B21B9C" w:rsidRPr="00CB26DB" w:rsidRDefault="00B21B9C" w:rsidP="00B21B9C">
      <w:pPr>
        <w:pStyle w:val="ReferHead"/>
        <w:spacing w:after="0"/>
        <w:jc w:val="both"/>
        <w:rPr>
          <w:rFonts w:ascii="Arial" w:hAnsi="Arial" w:cs="Arial"/>
          <w:b w:val="0"/>
          <w:caps w:val="0"/>
          <w:sz w:val="20"/>
        </w:rPr>
      </w:pPr>
      <w:r w:rsidRPr="00B21B9C">
        <w:rPr>
          <w:rFonts w:ascii="Arial" w:hAnsi="Arial" w:cs="Arial"/>
          <w:b w:val="0"/>
          <w:caps w:val="0"/>
          <w:sz w:val="20"/>
        </w:rPr>
        <w:t>We disclose that ChatGPT (OpenAI, GPT-4) was used during the preparation of this manuscript</w:t>
      </w:r>
      <w:r>
        <w:rPr>
          <w:rFonts w:ascii="Arial" w:hAnsi="Arial" w:cs="Arial"/>
          <w:b w:val="0"/>
          <w:caps w:val="0"/>
          <w:sz w:val="20"/>
        </w:rPr>
        <w:t xml:space="preserve"> </w:t>
      </w:r>
      <w:r w:rsidRPr="00B21B9C">
        <w:rPr>
          <w:rFonts w:ascii="Arial" w:hAnsi="Arial" w:cs="Arial"/>
          <w:b w:val="0"/>
          <w:caps w:val="0"/>
          <w:sz w:val="20"/>
        </w:rPr>
        <w:t>to assist in improving the quality of written English, including grammar, clarity, and style.</w:t>
      </w:r>
    </w:p>
    <w:p w14:paraId="05E33892" w14:textId="77777777" w:rsidR="001A29D8" w:rsidRDefault="001A29D8" w:rsidP="00441B6F">
      <w:pPr>
        <w:pStyle w:val="ReferHead"/>
        <w:spacing w:after="0"/>
        <w:jc w:val="both"/>
        <w:rPr>
          <w:rFonts w:ascii="Arial" w:hAnsi="Arial" w:cs="Arial"/>
          <w:b w:val="0"/>
          <w:caps w:val="0"/>
          <w:sz w:val="20"/>
        </w:rPr>
      </w:pPr>
    </w:p>
    <w:p w14:paraId="78FDEE4F" w14:textId="77777777" w:rsidR="005C784C" w:rsidRDefault="005C784C" w:rsidP="00441B6F">
      <w:pPr>
        <w:pStyle w:val="ReferHead"/>
        <w:spacing w:after="0"/>
        <w:jc w:val="both"/>
        <w:rPr>
          <w:rFonts w:ascii="Arial" w:hAnsi="Arial" w:cs="Arial"/>
          <w:b w:val="0"/>
          <w:caps w:val="0"/>
          <w:sz w:val="20"/>
        </w:rPr>
      </w:pPr>
    </w:p>
    <w:p w14:paraId="7952C5B8" w14:textId="77777777" w:rsidR="00B21B9C" w:rsidRPr="00B21B9C" w:rsidRDefault="00B21B9C" w:rsidP="00441B6F">
      <w:pPr>
        <w:pStyle w:val="ReferHead"/>
        <w:spacing w:after="0"/>
        <w:jc w:val="both"/>
        <w:rPr>
          <w:rFonts w:ascii="Arial" w:hAnsi="Arial" w:cs="Arial"/>
          <w:b w:val="0"/>
          <w:caps w:val="0"/>
          <w:sz w:val="20"/>
        </w:rPr>
      </w:pPr>
    </w:p>
    <w:p w14:paraId="104BC575" w14:textId="77777777" w:rsidR="00B01FCD" w:rsidRDefault="00B01FCD" w:rsidP="00CB26DB">
      <w:pPr>
        <w:pStyle w:val="ReferHead"/>
        <w:spacing w:after="0"/>
        <w:jc w:val="both"/>
        <w:outlineLvl w:val="0"/>
        <w:rPr>
          <w:rFonts w:ascii="Arial" w:hAnsi="Arial" w:cs="Arial"/>
        </w:rPr>
      </w:pPr>
      <w:r w:rsidRPr="00FB3A86">
        <w:rPr>
          <w:rFonts w:ascii="Arial" w:hAnsi="Arial" w:cs="Arial"/>
        </w:rPr>
        <w:t>References</w:t>
      </w:r>
    </w:p>
    <w:p w14:paraId="45E2D2D3" w14:textId="77777777" w:rsidR="00790ADA" w:rsidRPr="00FB3A86" w:rsidRDefault="00790ADA" w:rsidP="001F7E86">
      <w:pPr>
        <w:pStyle w:val="ReferHead"/>
        <w:jc w:val="both"/>
        <w:rPr>
          <w:rFonts w:ascii="Arial" w:hAnsi="Arial" w:cs="Arial"/>
        </w:rPr>
      </w:pPr>
    </w:p>
    <w:p w14:paraId="08A1DC8B" w14:textId="1C240201" w:rsidR="00A84CB5" w:rsidRPr="00A84CB5" w:rsidRDefault="00B21B9C" w:rsidP="00A84CB5">
      <w:pPr>
        <w:widowControl w:val="0"/>
        <w:autoSpaceDE w:val="0"/>
        <w:autoSpaceDN w:val="0"/>
        <w:adjustRightInd w:val="0"/>
        <w:spacing w:after="240"/>
        <w:ind w:left="640" w:hanging="640"/>
        <w:rPr>
          <w:rFonts w:cs="Helvetica"/>
          <w:noProof/>
        </w:rPr>
      </w:pPr>
      <w:r>
        <w:fldChar w:fldCharType="begin" w:fldLock="1"/>
      </w:r>
      <w:r>
        <w:instrText xml:space="preserve">ADDIN Mendeley Bibliography CSL_BIBLIOGRAPHY </w:instrText>
      </w:r>
      <w:r>
        <w:fldChar w:fldCharType="separate"/>
      </w:r>
      <w:r w:rsidR="00A84CB5" w:rsidRPr="00A84CB5">
        <w:rPr>
          <w:rFonts w:cs="Helvetica"/>
          <w:noProof/>
        </w:rPr>
        <w:t xml:space="preserve">1. </w:t>
      </w:r>
      <w:r w:rsidR="00A84CB5" w:rsidRPr="00A84CB5">
        <w:rPr>
          <w:rFonts w:cs="Helvetica"/>
          <w:noProof/>
        </w:rPr>
        <w:tab/>
        <w:t>Lamy E (2024) Ethnobotany : Preserving Plants Cultural Significance for Sustainable Medicine and Conservation. Med Aromat Plants 13:1–2</w:t>
      </w:r>
    </w:p>
    <w:p w14:paraId="44967CAA"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2. </w:t>
      </w:r>
      <w:r w:rsidRPr="00A84CB5">
        <w:rPr>
          <w:rFonts w:cs="Helvetica"/>
          <w:noProof/>
        </w:rPr>
        <w:tab/>
        <w:t>Paul Kwame E, Gertrude Lucky Aku D, Isaac Mbir B (2023) Medicinal plant use and integration of traditional healers into health care system : A case study at Ankasa Forest Reserve and catchment communities in Ghana. Ethnobot Res Appl 26:1–24</w:t>
      </w:r>
    </w:p>
    <w:p w14:paraId="5C395A20"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3. </w:t>
      </w:r>
      <w:r w:rsidRPr="00A84CB5">
        <w:rPr>
          <w:rFonts w:cs="Helvetica"/>
          <w:noProof/>
        </w:rPr>
        <w:tab/>
        <w:t>Perumal G (2010) Ethnomedicinal Use of Pteridophyte from Kolli Hills , Namakkal District , Tamil Nadu , India. Ethnobot Leafl 14:161–72</w:t>
      </w:r>
    </w:p>
    <w:p w14:paraId="1F436BB2"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4. </w:t>
      </w:r>
      <w:r w:rsidRPr="00A84CB5">
        <w:rPr>
          <w:rFonts w:cs="Helvetica"/>
          <w:noProof/>
        </w:rPr>
        <w:tab/>
        <w:t>Dembele F, Samake S, Togola I, Karembe M (2021) Etudes ethnobotanique et phytochimique despeces ornementales utilisees au Mali: cas de Terminalia catappa (L.) dans le district de Bamako. Int J Appl Res 7:01–07</w:t>
      </w:r>
    </w:p>
    <w:p w14:paraId="78875EFB"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5. </w:t>
      </w:r>
      <w:r w:rsidRPr="00A84CB5">
        <w:rPr>
          <w:rFonts w:cs="Helvetica"/>
          <w:noProof/>
        </w:rPr>
        <w:tab/>
        <w:t>Samake S, Togola I, Diarra N, Samake M, Sanogo R (2020) Etude Ethnobotanique Et Screening Phytochimique De Plantes Ornementales A Usage Therapeutique Du District De Bamako, Mali. Int J Adv Res 8:251–262</w:t>
      </w:r>
    </w:p>
    <w:p w14:paraId="7C53C2C8"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6. </w:t>
      </w:r>
      <w:r w:rsidRPr="00A84CB5">
        <w:rPr>
          <w:rFonts w:cs="Helvetica"/>
          <w:noProof/>
        </w:rPr>
        <w:tab/>
        <w:t xml:space="preserve">Diawara A, Coulibaly DM, Yusuf T, et al (2023) Type 2 diabetes prevalence , awareness , and risk factors in rural Mali : a cross </w:t>
      </w:r>
      <w:r w:rsidRPr="00A84CB5">
        <w:rPr>
          <w:rFonts w:ascii="Cambria Math" w:hAnsi="Cambria Math" w:cs="Cambria Math"/>
          <w:noProof/>
        </w:rPr>
        <w:t>‑</w:t>
      </w:r>
      <w:r w:rsidRPr="00A84CB5">
        <w:rPr>
          <w:rFonts w:cs="Helvetica"/>
          <w:noProof/>
        </w:rPr>
        <w:t xml:space="preserve"> sectional study. Sci Rep 1–10</w:t>
      </w:r>
    </w:p>
    <w:p w14:paraId="34647FBF"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7. </w:t>
      </w:r>
      <w:r w:rsidRPr="00A84CB5">
        <w:rPr>
          <w:rFonts w:cs="Helvetica"/>
          <w:noProof/>
        </w:rPr>
        <w:tab/>
        <w:t>Diawara A, Traore M, Diabaté O, et al (2024) Genetically proxied therapeutic inhibition of kidney function drug targets and type 2 diabetes in Africans: A Mendelian randomization study. Res Sq. https://doi.org/https://www.researchsquare.com/article/rs-3956597/v1</w:t>
      </w:r>
    </w:p>
    <w:p w14:paraId="0E859D6E"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lastRenderedPageBreak/>
        <w:t xml:space="preserve">8. </w:t>
      </w:r>
      <w:r w:rsidRPr="00A84CB5">
        <w:rPr>
          <w:rFonts w:cs="Helvetica"/>
          <w:noProof/>
        </w:rPr>
        <w:tab/>
        <w:t>FID (2024) Faits et chiffres sur le diabète. Brussels</w:t>
      </w:r>
    </w:p>
    <w:p w14:paraId="36F52CAC"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9. </w:t>
      </w:r>
      <w:r w:rsidRPr="00A84CB5">
        <w:rPr>
          <w:rFonts w:cs="Helvetica"/>
          <w:noProof/>
        </w:rPr>
        <w:tab/>
        <w:t>Goedecke JH, Mendham AE (2022) Pathophysiology of type 2 diabetes in sub-Saharan Africans. Diabetologia 65:1967–1980</w:t>
      </w:r>
    </w:p>
    <w:p w14:paraId="76BFA6A9"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10. </w:t>
      </w:r>
      <w:r w:rsidRPr="00A84CB5">
        <w:rPr>
          <w:rFonts w:cs="Helvetica"/>
          <w:noProof/>
        </w:rPr>
        <w:tab/>
        <w:t>Motala AA, Mbanya JC, Ramaiya K, Pirie FJ, Ekoru K (2022) Type 2 diabetes mellitus in sub-Saharan Africa: challenges and opportunities. Nat Rev Endocrinol 18:219–229</w:t>
      </w:r>
    </w:p>
    <w:p w14:paraId="31699BFA"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11. </w:t>
      </w:r>
      <w:r w:rsidRPr="00A84CB5">
        <w:rPr>
          <w:rFonts w:cs="Helvetica"/>
          <w:noProof/>
        </w:rPr>
        <w:tab/>
        <w:t>Konaré MA, Keita S, Somda MK, Togola I, Diarra N, Sanogo R (2023) Antibacterial Activities of Extracts from four Wild Food Fruits. Eur J Nutr Food Saf 62–71</w:t>
      </w:r>
    </w:p>
    <w:p w14:paraId="3B91A5F4"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12. </w:t>
      </w:r>
      <w:r w:rsidRPr="00A84CB5">
        <w:rPr>
          <w:rFonts w:cs="Helvetica"/>
          <w:noProof/>
        </w:rPr>
        <w:tab/>
        <w:t>Konaré MA, Condurache NN, Togola I, Păcularu-Burada B, Diarra N, Stănciuc N, Râpeanu G (2023) Valorization of Bioactive Compounds from Two Underutilized Wild Fruits by Microencapsulation in Order to Formulate Value-Added Food Products. Plants. https://doi.org/10.3390/plants12020267</w:t>
      </w:r>
    </w:p>
    <w:p w14:paraId="5D985D34"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13. </w:t>
      </w:r>
      <w:r w:rsidRPr="00A84CB5">
        <w:rPr>
          <w:rFonts w:cs="Helvetica"/>
          <w:noProof/>
        </w:rPr>
        <w:tab/>
        <w:t>Hussain ST, Muhammad S, Khan S, Hussain W, Pieroni A (2023) Ethnobotany for food security and ecological transition: wild food plant  gathering and consumption among four cultural groups in Kurram District, NW Pakistan. J Ethnobiol Ethnomed 19:35</w:t>
      </w:r>
    </w:p>
    <w:p w14:paraId="393C6C62"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14. </w:t>
      </w:r>
      <w:r w:rsidRPr="00A84CB5">
        <w:rPr>
          <w:rFonts w:cs="Helvetica"/>
          <w:noProof/>
        </w:rPr>
        <w:tab/>
        <w:t>Betti JL, Yemefa’a SRM (2011) Contribution à la connaissance des produits forestiers non ligneux du parc national de Kalamaloué, Extrême-Nord Cameroun: Les plantes alimentaires. Int J Biol Chem Sci. https://doi.org/10.4314/ijbcs.v5i1.68105</w:t>
      </w:r>
    </w:p>
    <w:p w14:paraId="5E16B2EF"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15. </w:t>
      </w:r>
      <w:r w:rsidRPr="00A84CB5">
        <w:rPr>
          <w:rFonts w:cs="Helvetica"/>
          <w:noProof/>
        </w:rPr>
        <w:tab/>
        <w:t>Sissoko L, Diarra N, Nientao I, Stuart B, Togola A, Diallo D, Willcox ML (2023) Moringa Oleifera Leaf Powder for Type 2 Diabetes: a Pilot Clinical Trial. African J Tradit Complement Altern Med 17:29–36</w:t>
      </w:r>
    </w:p>
    <w:p w14:paraId="27DB51AB"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16. </w:t>
      </w:r>
      <w:r w:rsidRPr="00A84CB5">
        <w:rPr>
          <w:rFonts w:cs="Helvetica"/>
          <w:noProof/>
        </w:rPr>
        <w:tab/>
        <w:t>Togola I, Konare MA, Cisse C, Diarra N (2023) Anti-Inflammatory and Anti-cancer Activities of Leaf Extracts from Three Datura Species Found in Mali. J Appl Life Sci Int 26:88–97</w:t>
      </w:r>
    </w:p>
    <w:p w14:paraId="23D8D49B"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17. </w:t>
      </w:r>
      <w:r w:rsidRPr="00A84CB5">
        <w:rPr>
          <w:rFonts w:cs="Helvetica"/>
          <w:noProof/>
        </w:rPr>
        <w:tab/>
        <w:t>Konaré MA, Cissé C, Togola I, Fomba M (2024) Inhibitory Effects of Datura innoxia Mill Extracts on Two Enzymes Involved in the Control of Diabetes and Inflammation. Annu Res Rev Biol 39:11–18</w:t>
      </w:r>
    </w:p>
    <w:p w14:paraId="5060FCB9"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18. </w:t>
      </w:r>
      <w:r w:rsidRPr="00A84CB5">
        <w:rPr>
          <w:rFonts w:cs="Helvetica"/>
          <w:noProof/>
        </w:rPr>
        <w:tab/>
        <w:t>DRAME BSI, KONE A, SYLLA SD, GOITA Y, COULIBALY DM, SANOGO R, CISSE BM (2022) Capacité Anti Oxydante des Feuilles du Moringa Oleifera chez les Diabétiques de Type 2. Heal Sci Dis. https://doi.org/10.5281/hsd.v23i3.3500</w:t>
      </w:r>
    </w:p>
    <w:p w14:paraId="33CC2AD0"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19. </w:t>
      </w:r>
      <w:r w:rsidRPr="00A84CB5">
        <w:rPr>
          <w:rFonts w:cs="Helvetica"/>
          <w:noProof/>
        </w:rPr>
        <w:tab/>
        <w:t>Shah KA, Patel MB, Patel RJ, Parmar PK (2010) Mangifera indica (mango). Pharmacogn Rev 4:42–48</w:t>
      </w:r>
    </w:p>
    <w:p w14:paraId="3A932CBA"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20. </w:t>
      </w:r>
      <w:r w:rsidRPr="00A84CB5">
        <w:rPr>
          <w:rFonts w:cs="Helvetica"/>
          <w:noProof/>
        </w:rPr>
        <w:tab/>
        <w:t>Kitbumrungsart, P., Suntornwat O, Rayanil K (2011) Mangiferin and antioxidant capacity from mango (Mangifera indica L.) leaves extracts. Thai J Agric Sci 44:62–66</w:t>
      </w:r>
    </w:p>
    <w:p w14:paraId="3B27BA21"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21. </w:t>
      </w:r>
      <w:r w:rsidRPr="00A84CB5">
        <w:rPr>
          <w:rFonts w:cs="Helvetica"/>
          <w:noProof/>
        </w:rPr>
        <w:tab/>
        <w:t>Sekar V, Mani S, Malarvizhi R, Nithya P, Vasanthi HR (2019) Antidiabetic effect of mangiferin in combination with oral hypoglycemic agents  metformin and gliclazide. Phytomedicine 59:152901</w:t>
      </w:r>
    </w:p>
    <w:p w14:paraId="7E1C66AA"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22. </w:t>
      </w:r>
      <w:r w:rsidRPr="00A84CB5">
        <w:rPr>
          <w:rFonts w:cs="Helvetica"/>
          <w:noProof/>
        </w:rPr>
        <w:tab/>
        <w:t>Mamadou AK, Nouhoum D, Cheickna C, et al (2020) Evaluation of the biological activities of leaf and bark extracts of Ficus platiphylla Delile, a medicinal plant used in Mali. J Med Plants Res 14:118–128</w:t>
      </w:r>
    </w:p>
    <w:p w14:paraId="229B906E"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23. </w:t>
      </w:r>
      <w:r w:rsidRPr="00A84CB5">
        <w:rPr>
          <w:rFonts w:cs="Helvetica"/>
          <w:noProof/>
        </w:rPr>
        <w:tab/>
        <w:t>Konaré MA, Diadie Maïga A, Togola I, Diarra N (2024) Antioxidant and Antidiabetic Potential of Extracts from Anacardium occidentale and Sclerocarya birrea. J Biochem Technol 15:15–24</w:t>
      </w:r>
    </w:p>
    <w:p w14:paraId="45008B6D"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24. </w:t>
      </w:r>
      <w:r w:rsidRPr="00A84CB5">
        <w:rPr>
          <w:rFonts w:cs="Helvetica"/>
          <w:noProof/>
        </w:rPr>
        <w:tab/>
        <w:t>Kumar M, Saurabh V, Tomar M, et al (2021) Mango (Mangifera indica L.) Leaves: Nutritional Composition, Phytochemical Profile, and Health-Promoting Bioactivities. Antioxidants. https://doi.org/10.3390/antiox10020299</w:t>
      </w:r>
    </w:p>
    <w:p w14:paraId="40F1A8AB"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25. </w:t>
      </w:r>
      <w:r w:rsidRPr="00A84CB5">
        <w:rPr>
          <w:rFonts w:cs="Helvetica"/>
          <w:noProof/>
        </w:rPr>
        <w:tab/>
        <w:t>Karigidi Esther M, Fakunle Ewaoluwa O, Karigidi Olayele K (2025) Antioxidant, antidiabetic and antifungal activities of leaf and bark ethanol extracts of &lt;em&gt;Mangifera indica&lt;/em&gt; and their antagonistic biochemical effects. Int J Funct Nutr 6:5</w:t>
      </w:r>
    </w:p>
    <w:p w14:paraId="11E07A52"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26. </w:t>
      </w:r>
      <w:r w:rsidRPr="00A84CB5">
        <w:rPr>
          <w:rFonts w:cs="Helvetica"/>
          <w:noProof/>
        </w:rPr>
        <w:tab/>
        <w:t xml:space="preserve">Togola I, Dembélé AA, Tounkara F, Diarra N, Konaré MA, Karembé M, Maïga SZ, Dembélé D (2019) Evaluation of in vitro Antioxidant Activities of Ethanol Extracts of Datura innoxia Mill. Leaves and Seeds Harvested in Mali. Annu </w:t>
      </w:r>
      <w:r w:rsidRPr="00A84CB5">
        <w:rPr>
          <w:rFonts w:cs="Helvetica"/>
          <w:noProof/>
        </w:rPr>
        <w:lastRenderedPageBreak/>
        <w:t>Res Rev Biol. https://doi.org/10.9734/arrb/2019/v33i230115</w:t>
      </w:r>
    </w:p>
    <w:p w14:paraId="6BC1593A"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27. </w:t>
      </w:r>
      <w:r w:rsidRPr="00A84CB5">
        <w:rPr>
          <w:rFonts w:cs="Helvetica"/>
          <w:noProof/>
        </w:rPr>
        <w:tab/>
        <w:t>Guindo F, Konaré MA, Daou C, Cissé F (2022) Inventory of Local Practices of Use and Conservation of Baobab Products in Two Regions of Mali. J Food Stud. https://doi.org/10.5296/jfs.v11i1.20464</w:t>
      </w:r>
    </w:p>
    <w:p w14:paraId="7389042C"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28. </w:t>
      </w:r>
      <w:r w:rsidRPr="00A84CB5">
        <w:rPr>
          <w:rFonts w:cs="Helvetica"/>
          <w:noProof/>
        </w:rPr>
        <w:tab/>
        <w:t>Liberata N, Nahimana S, Léonard N (2024) Tests d’activités antiparasitaires et antibactériennes des extraits des feuilles de Psidium guajava L. (ipera)du Burundi. Série  Sci Exactes Nat 2:13–22</w:t>
      </w:r>
    </w:p>
    <w:p w14:paraId="6A7200CC"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29. </w:t>
      </w:r>
      <w:r w:rsidRPr="00A84CB5">
        <w:rPr>
          <w:rFonts w:cs="Helvetica"/>
          <w:noProof/>
        </w:rPr>
        <w:tab/>
        <w:t>Dubey K, Dubey R, Gupta RA, Gupta AK (2019) Anti-Diabetic and Antioxidant Potential of Saponin Extract of Leaves of Ziziphus Mauritiana. J Drug Deliv Ther 9:75–77</w:t>
      </w:r>
    </w:p>
    <w:p w14:paraId="329572D8" w14:textId="77777777" w:rsidR="00A84CB5" w:rsidRPr="00A84CB5" w:rsidRDefault="00A84CB5" w:rsidP="00A84CB5">
      <w:pPr>
        <w:widowControl w:val="0"/>
        <w:autoSpaceDE w:val="0"/>
        <w:autoSpaceDN w:val="0"/>
        <w:adjustRightInd w:val="0"/>
        <w:spacing w:after="240"/>
        <w:ind w:left="640" w:hanging="640"/>
        <w:rPr>
          <w:rFonts w:cs="Helvetica"/>
          <w:noProof/>
        </w:rPr>
      </w:pPr>
      <w:r w:rsidRPr="00A84CB5">
        <w:rPr>
          <w:rFonts w:cs="Helvetica"/>
          <w:noProof/>
        </w:rPr>
        <w:t xml:space="preserve">30. </w:t>
      </w:r>
      <w:r w:rsidRPr="00A84CB5">
        <w:rPr>
          <w:rFonts w:cs="Helvetica"/>
          <w:noProof/>
        </w:rPr>
        <w:tab/>
        <w:t>Nga EN, Yinyang J, Baran E, Etame-loe G, Dibong SD (2017) Étude phytochimique et pharmacologique d ’ Alchornea cordifolia ( Schum . &amp; Thonn .) Mull . Arg . et la maladie hémorroïdaire. J Appl Biosci 109:10649–10661</w:t>
      </w:r>
    </w:p>
    <w:p w14:paraId="78495855" w14:textId="49367061" w:rsidR="00441B6F" w:rsidRDefault="00B21B9C" w:rsidP="001F7E86">
      <w:pPr>
        <w:pStyle w:val="Body"/>
      </w:pPr>
      <w:r>
        <w:fldChar w:fldCharType="end"/>
      </w:r>
    </w:p>
    <w:p w14:paraId="30CE9AC8" w14:textId="77777777" w:rsidR="00287E68" w:rsidRDefault="00287E68" w:rsidP="00441B6F">
      <w:pPr>
        <w:pStyle w:val="Body"/>
        <w:spacing w:after="0"/>
        <w:rPr>
          <w:rFonts w:ascii="Arial" w:hAnsi="Arial" w:cs="Arial"/>
          <w:b/>
        </w:rPr>
      </w:pPr>
    </w:p>
    <w:p w14:paraId="620D14DC" w14:textId="2A72C128" w:rsidR="00B01FCD" w:rsidRPr="00FB3A86" w:rsidRDefault="00B01FCD" w:rsidP="00441B6F">
      <w:pPr>
        <w:pStyle w:val="Appendix"/>
        <w:spacing w:after="0"/>
        <w:jc w:val="both"/>
        <w:rPr>
          <w:rFonts w:ascii="Arial" w:hAnsi="Arial" w:cs="Arial"/>
          <w:b w:val="0"/>
        </w:rPr>
      </w:pPr>
    </w:p>
    <w:sectPr w:rsidR="00B01FCD" w:rsidRPr="00FB3A86" w:rsidSect="00A028F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D03F7" w14:textId="77777777" w:rsidR="00F22665" w:rsidRDefault="00F22665" w:rsidP="00C37E61">
      <w:r>
        <w:separator/>
      </w:r>
    </w:p>
  </w:endnote>
  <w:endnote w:type="continuationSeparator" w:id="0">
    <w:p w14:paraId="08799E67" w14:textId="77777777" w:rsidR="00F22665" w:rsidRDefault="00F2266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16C41" w14:textId="7C871BD9" w:rsidR="00C37E61" w:rsidRPr="0011126A" w:rsidRDefault="009C7EC0" w:rsidP="0011126A">
    <w:pPr>
      <w:pStyle w:val="Footer"/>
    </w:pPr>
    <w:r w:rsidRPr="0011126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1D520" w14:textId="77777777" w:rsidR="009E048A" w:rsidRDefault="009E048A">
    <w:pPr>
      <w:pStyle w:val="Footer"/>
      <w:rPr>
        <w:rFonts w:ascii="Arial" w:hAnsi="Arial" w:cs="Arial"/>
        <w:sz w:val="16"/>
      </w:rPr>
    </w:pPr>
  </w:p>
  <w:p w14:paraId="4F8A172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FA7D80F" w14:textId="77777777" w:rsidR="009E048A" w:rsidRDefault="009E048A">
    <w:pPr>
      <w:pStyle w:val="Footer"/>
      <w:rPr>
        <w:rFonts w:ascii="Arial" w:hAnsi="Arial" w:cs="Arial"/>
        <w:sz w:val="16"/>
      </w:rPr>
    </w:pPr>
  </w:p>
  <w:p w14:paraId="6518B8E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9122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D92E6" w14:textId="77777777" w:rsidR="00F22665" w:rsidRDefault="00F22665" w:rsidP="00C37E61">
      <w:r>
        <w:separator/>
      </w:r>
    </w:p>
  </w:footnote>
  <w:footnote w:type="continuationSeparator" w:id="0">
    <w:p w14:paraId="7F5BDBE0" w14:textId="77777777" w:rsidR="00F22665" w:rsidRDefault="00F2266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9D28F" w14:textId="00CE1238" w:rsidR="00A028F8" w:rsidRDefault="00F22665">
    <w:pPr>
      <w:pStyle w:val="Header"/>
    </w:pPr>
    <w:r>
      <w:rPr>
        <w:noProof/>
      </w:rPr>
      <w:pict w14:anchorId="0034B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38"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EAF4E" w14:textId="1CB442D4" w:rsidR="00A028F8" w:rsidRDefault="00F22665">
    <w:pPr>
      <w:pStyle w:val="Header"/>
    </w:pPr>
    <w:r>
      <w:rPr>
        <w:noProof/>
      </w:rPr>
      <w:pict w14:anchorId="30433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39"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DC939" w14:textId="737DFCBD" w:rsidR="00296529" w:rsidRPr="00296529" w:rsidRDefault="00F22665" w:rsidP="00296529">
    <w:pPr>
      <w:ind w:left="2160"/>
      <w:jc w:val="center"/>
      <w:rPr>
        <w:rFonts w:ascii="Times New Roman" w:eastAsia="Calibri" w:hAnsi="Times New Roman"/>
        <w:i/>
        <w:sz w:val="18"/>
        <w:szCs w:val="22"/>
      </w:rPr>
    </w:pPr>
    <w:r>
      <w:rPr>
        <w:noProof/>
      </w:rPr>
      <w:pict w14:anchorId="27AB5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37"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ED781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52498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7FBE67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5C4DC9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4E53C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3F106D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FF88C" w14:textId="0A6F54DE" w:rsidR="00A028F8" w:rsidRDefault="00F22665">
    <w:pPr>
      <w:pStyle w:val="Header"/>
    </w:pPr>
    <w:r>
      <w:rPr>
        <w:noProof/>
      </w:rPr>
      <w:pict w14:anchorId="7E186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1"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90388" w14:textId="717D84F7" w:rsidR="00A028F8" w:rsidRDefault="00F22665">
    <w:pPr>
      <w:pStyle w:val="Header"/>
    </w:pPr>
    <w:r>
      <w:rPr>
        <w:noProof/>
      </w:rPr>
      <w:pict w14:anchorId="00CA7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2"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1918B" w14:textId="62F14817" w:rsidR="00A028F8" w:rsidRDefault="00F22665">
    <w:pPr>
      <w:pStyle w:val="Header"/>
    </w:pPr>
    <w:r>
      <w:rPr>
        <w:noProof/>
      </w:rPr>
      <w:pict w14:anchorId="1B77E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0"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786C5" w14:textId="638A7652" w:rsidR="00A028F8" w:rsidRDefault="00F22665">
    <w:pPr>
      <w:pStyle w:val="Header"/>
    </w:pPr>
    <w:r>
      <w:rPr>
        <w:noProof/>
      </w:rPr>
      <w:pict w14:anchorId="5A936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4" o:spid="_x0000_s2056" type="#_x0000_t136" style="position:absolute;margin-left:0;margin-top:0;width:684.1pt;height:77.1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BFE6C" w14:textId="0967DFDC" w:rsidR="0028304F" w:rsidRDefault="00F22665">
    <w:pPr>
      <w:pStyle w:val="Header"/>
    </w:pPr>
    <w:r>
      <w:rPr>
        <w:noProof/>
      </w:rPr>
      <w:pict w14:anchorId="4263C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5" o:spid="_x0000_s2057" type="#_x0000_t136" style="position:absolute;margin-left:0;margin-top:0;width:684.1pt;height:77.1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BA226" w14:textId="6611658B" w:rsidR="00A028F8" w:rsidRDefault="00F22665">
    <w:pPr>
      <w:pStyle w:val="Header"/>
    </w:pPr>
    <w:r>
      <w:rPr>
        <w:noProof/>
      </w:rPr>
      <w:pict w14:anchorId="08454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3" o:spid="_x0000_s2055" type="#_x0000_t136" style="position:absolute;margin-left:0;margin-top:0;width:684.1pt;height:77.1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F32500"/>
    <w:multiLevelType w:val="multilevel"/>
    <w:tmpl w:val="41E8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3550732"/>
    <w:multiLevelType w:val="hybridMultilevel"/>
    <w:tmpl w:val="7180C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AE51A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8"/>
  </w:num>
  <w:num w:numId="10">
    <w:abstractNumId w:val="3"/>
  </w:num>
  <w:num w:numId="11">
    <w:abstractNumId w:val="20"/>
  </w:num>
  <w:num w:numId="12">
    <w:abstractNumId w:val="4"/>
  </w:num>
  <w:num w:numId="13">
    <w:abstractNumId w:val="18"/>
  </w:num>
  <w:num w:numId="14">
    <w:abstractNumId w:val="9"/>
  </w:num>
  <w:num w:numId="15">
    <w:abstractNumId w:val="24"/>
  </w:num>
  <w:num w:numId="16">
    <w:abstractNumId w:val="6"/>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5"/>
  </w:num>
  <w:num w:numId="26">
    <w:abstractNumId w:val="17"/>
  </w:num>
  <w:num w:numId="27">
    <w:abstractNumId w:val="23"/>
  </w:num>
  <w:num w:numId="28">
    <w:abstractNumId w:val="30"/>
  </w:num>
  <w:num w:numId="29">
    <w:abstractNumId w:val="27"/>
  </w:num>
  <w:num w:numId="30">
    <w:abstractNumId w:val="11"/>
  </w:num>
  <w:num w:numId="31">
    <w:abstractNumId w:val="22"/>
  </w:num>
  <w:num w:numId="32">
    <w:abstractNumId w:val="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4FAD"/>
    <w:rsid w:val="00023AF0"/>
    <w:rsid w:val="00030174"/>
    <w:rsid w:val="0004579C"/>
    <w:rsid w:val="000524B6"/>
    <w:rsid w:val="00066BE3"/>
    <w:rsid w:val="00067CEE"/>
    <w:rsid w:val="00097F28"/>
    <w:rsid w:val="000A47FA"/>
    <w:rsid w:val="000A65D3"/>
    <w:rsid w:val="000B1E33"/>
    <w:rsid w:val="000C563E"/>
    <w:rsid w:val="000D689F"/>
    <w:rsid w:val="000E7B7B"/>
    <w:rsid w:val="000E7D62"/>
    <w:rsid w:val="00103357"/>
    <w:rsid w:val="0011126A"/>
    <w:rsid w:val="00123C9F"/>
    <w:rsid w:val="00126190"/>
    <w:rsid w:val="00130F17"/>
    <w:rsid w:val="001317A7"/>
    <w:rsid w:val="001320BF"/>
    <w:rsid w:val="00163BC4"/>
    <w:rsid w:val="00191062"/>
    <w:rsid w:val="00192B72"/>
    <w:rsid w:val="001A29D8"/>
    <w:rsid w:val="001A5CAA"/>
    <w:rsid w:val="001A7C67"/>
    <w:rsid w:val="001B0427"/>
    <w:rsid w:val="001C2CE0"/>
    <w:rsid w:val="001D11C7"/>
    <w:rsid w:val="001D1915"/>
    <w:rsid w:val="001D3A51"/>
    <w:rsid w:val="001E10D2"/>
    <w:rsid w:val="001E25B4"/>
    <w:rsid w:val="001E44FE"/>
    <w:rsid w:val="001F7E86"/>
    <w:rsid w:val="00200595"/>
    <w:rsid w:val="00204835"/>
    <w:rsid w:val="00220815"/>
    <w:rsid w:val="00231920"/>
    <w:rsid w:val="0023195C"/>
    <w:rsid w:val="0024282C"/>
    <w:rsid w:val="00245696"/>
    <w:rsid w:val="002460DC"/>
    <w:rsid w:val="00250985"/>
    <w:rsid w:val="002556F6"/>
    <w:rsid w:val="00255959"/>
    <w:rsid w:val="00261A37"/>
    <w:rsid w:val="0028304F"/>
    <w:rsid w:val="00283105"/>
    <w:rsid w:val="00284C4C"/>
    <w:rsid w:val="00287E68"/>
    <w:rsid w:val="00290D59"/>
    <w:rsid w:val="00296529"/>
    <w:rsid w:val="002B27FB"/>
    <w:rsid w:val="002B685A"/>
    <w:rsid w:val="002C57D2"/>
    <w:rsid w:val="002C6F75"/>
    <w:rsid w:val="002E0D56"/>
    <w:rsid w:val="00315186"/>
    <w:rsid w:val="0033343E"/>
    <w:rsid w:val="003512C2"/>
    <w:rsid w:val="00354E2A"/>
    <w:rsid w:val="00366D7D"/>
    <w:rsid w:val="00371FB6"/>
    <w:rsid w:val="003763C1"/>
    <w:rsid w:val="003766A8"/>
    <w:rsid w:val="00376BBE"/>
    <w:rsid w:val="003879F8"/>
    <w:rsid w:val="0039224F"/>
    <w:rsid w:val="003A2E6C"/>
    <w:rsid w:val="003A35B3"/>
    <w:rsid w:val="003A43A4"/>
    <w:rsid w:val="003A7E18"/>
    <w:rsid w:val="003C4C86"/>
    <w:rsid w:val="003C6258"/>
    <w:rsid w:val="003E2904"/>
    <w:rsid w:val="003E41CE"/>
    <w:rsid w:val="00401927"/>
    <w:rsid w:val="00407476"/>
    <w:rsid w:val="0041027F"/>
    <w:rsid w:val="00412475"/>
    <w:rsid w:val="00416156"/>
    <w:rsid w:val="00423789"/>
    <w:rsid w:val="00433E21"/>
    <w:rsid w:val="00435127"/>
    <w:rsid w:val="00440F43"/>
    <w:rsid w:val="004411B8"/>
    <w:rsid w:val="00441B6F"/>
    <w:rsid w:val="00446221"/>
    <w:rsid w:val="00450E62"/>
    <w:rsid w:val="004539DB"/>
    <w:rsid w:val="00471A80"/>
    <w:rsid w:val="00491D86"/>
    <w:rsid w:val="004A34E8"/>
    <w:rsid w:val="004D305E"/>
    <w:rsid w:val="004D4277"/>
    <w:rsid w:val="004D53EF"/>
    <w:rsid w:val="004D647B"/>
    <w:rsid w:val="004F3035"/>
    <w:rsid w:val="004F54E9"/>
    <w:rsid w:val="00501FFC"/>
    <w:rsid w:val="00502516"/>
    <w:rsid w:val="0050493B"/>
    <w:rsid w:val="00505F06"/>
    <w:rsid w:val="00506828"/>
    <w:rsid w:val="005159EB"/>
    <w:rsid w:val="00520245"/>
    <w:rsid w:val="0053056E"/>
    <w:rsid w:val="00543A42"/>
    <w:rsid w:val="00543FDB"/>
    <w:rsid w:val="00554FDA"/>
    <w:rsid w:val="00557C75"/>
    <w:rsid w:val="00566C44"/>
    <w:rsid w:val="005679E9"/>
    <w:rsid w:val="005C784C"/>
    <w:rsid w:val="005D17F6"/>
    <w:rsid w:val="005D715E"/>
    <w:rsid w:val="005E5539"/>
    <w:rsid w:val="005F4853"/>
    <w:rsid w:val="00602BF5"/>
    <w:rsid w:val="00617FDD"/>
    <w:rsid w:val="00633614"/>
    <w:rsid w:val="00633F68"/>
    <w:rsid w:val="00636EB2"/>
    <w:rsid w:val="006375B8"/>
    <w:rsid w:val="00652B13"/>
    <w:rsid w:val="006542EA"/>
    <w:rsid w:val="0066510A"/>
    <w:rsid w:val="00667D37"/>
    <w:rsid w:val="00670D21"/>
    <w:rsid w:val="00673F9F"/>
    <w:rsid w:val="00684715"/>
    <w:rsid w:val="00686953"/>
    <w:rsid w:val="00687DEA"/>
    <w:rsid w:val="00687E67"/>
    <w:rsid w:val="006967F7"/>
    <w:rsid w:val="006A250C"/>
    <w:rsid w:val="006B21D3"/>
    <w:rsid w:val="006B57D0"/>
    <w:rsid w:val="006D30FF"/>
    <w:rsid w:val="006D6940"/>
    <w:rsid w:val="006F11EC"/>
    <w:rsid w:val="006F358B"/>
    <w:rsid w:val="0070082C"/>
    <w:rsid w:val="007110B0"/>
    <w:rsid w:val="00712BF0"/>
    <w:rsid w:val="00713434"/>
    <w:rsid w:val="007369E6"/>
    <w:rsid w:val="00746E59"/>
    <w:rsid w:val="00754C9A"/>
    <w:rsid w:val="0075599A"/>
    <w:rsid w:val="00761D52"/>
    <w:rsid w:val="0077749E"/>
    <w:rsid w:val="00780106"/>
    <w:rsid w:val="00790ADA"/>
    <w:rsid w:val="007A79ED"/>
    <w:rsid w:val="007B4A57"/>
    <w:rsid w:val="007B76C8"/>
    <w:rsid w:val="007C00B7"/>
    <w:rsid w:val="007C043D"/>
    <w:rsid w:val="007C0956"/>
    <w:rsid w:val="007D2288"/>
    <w:rsid w:val="007E088F"/>
    <w:rsid w:val="007E15DE"/>
    <w:rsid w:val="007F7B32"/>
    <w:rsid w:val="00804BC2"/>
    <w:rsid w:val="0081431A"/>
    <w:rsid w:val="0083216F"/>
    <w:rsid w:val="008326C4"/>
    <w:rsid w:val="008339A6"/>
    <w:rsid w:val="00840ECC"/>
    <w:rsid w:val="00841676"/>
    <w:rsid w:val="008423F6"/>
    <w:rsid w:val="00850913"/>
    <w:rsid w:val="008510D8"/>
    <w:rsid w:val="00860000"/>
    <w:rsid w:val="00863BD3"/>
    <w:rsid w:val="008641ED"/>
    <w:rsid w:val="00866D66"/>
    <w:rsid w:val="008671C6"/>
    <w:rsid w:val="00875803"/>
    <w:rsid w:val="008830CE"/>
    <w:rsid w:val="008A2849"/>
    <w:rsid w:val="008A4DE5"/>
    <w:rsid w:val="008B459E"/>
    <w:rsid w:val="008B5177"/>
    <w:rsid w:val="008C3327"/>
    <w:rsid w:val="008E13AE"/>
    <w:rsid w:val="008E1506"/>
    <w:rsid w:val="008E710C"/>
    <w:rsid w:val="008F05F1"/>
    <w:rsid w:val="008F69D6"/>
    <w:rsid w:val="00902823"/>
    <w:rsid w:val="00915CA6"/>
    <w:rsid w:val="00927834"/>
    <w:rsid w:val="009500A6"/>
    <w:rsid w:val="00957C18"/>
    <w:rsid w:val="009659BA"/>
    <w:rsid w:val="00983040"/>
    <w:rsid w:val="00984C57"/>
    <w:rsid w:val="009B36A0"/>
    <w:rsid w:val="009B3FB9"/>
    <w:rsid w:val="009C2465"/>
    <w:rsid w:val="009C7EC0"/>
    <w:rsid w:val="009D35A0"/>
    <w:rsid w:val="009D7EB7"/>
    <w:rsid w:val="009E048A"/>
    <w:rsid w:val="009E08E9"/>
    <w:rsid w:val="009E0C45"/>
    <w:rsid w:val="009E1084"/>
    <w:rsid w:val="009E3DB9"/>
    <w:rsid w:val="009E6E35"/>
    <w:rsid w:val="009F0974"/>
    <w:rsid w:val="009F0EDA"/>
    <w:rsid w:val="00A028F8"/>
    <w:rsid w:val="00A03B96"/>
    <w:rsid w:val="00A05B19"/>
    <w:rsid w:val="00A1134E"/>
    <w:rsid w:val="00A125E9"/>
    <w:rsid w:val="00A12AC6"/>
    <w:rsid w:val="00A22C29"/>
    <w:rsid w:val="00A24E7E"/>
    <w:rsid w:val="00A258C3"/>
    <w:rsid w:val="00A347C0"/>
    <w:rsid w:val="00A51431"/>
    <w:rsid w:val="00A539AD"/>
    <w:rsid w:val="00A84CB5"/>
    <w:rsid w:val="00A84F23"/>
    <w:rsid w:val="00A94063"/>
    <w:rsid w:val="00AA6219"/>
    <w:rsid w:val="00AA74E0"/>
    <w:rsid w:val="00AB703F"/>
    <w:rsid w:val="00AB7333"/>
    <w:rsid w:val="00AC56D3"/>
    <w:rsid w:val="00AC6BB8"/>
    <w:rsid w:val="00AE008F"/>
    <w:rsid w:val="00AF3AB5"/>
    <w:rsid w:val="00B01FCD"/>
    <w:rsid w:val="00B14125"/>
    <w:rsid w:val="00B1776C"/>
    <w:rsid w:val="00B21B9C"/>
    <w:rsid w:val="00B304A2"/>
    <w:rsid w:val="00B3312E"/>
    <w:rsid w:val="00B3360C"/>
    <w:rsid w:val="00B34474"/>
    <w:rsid w:val="00B4104B"/>
    <w:rsid w:val="00B52583"/>
    <w:rsid w:val="00B52896"/>
    <w:rsid w:val="00B65ED9"/>
    <w:rsid w:val="00B9265A"/>
    <w:rsid w:val="00B95236"/>
    <w:rsid w:val="00B96BD9"/>
    <w:rsid w:val="00BA1B01"/>
    <w:rsid w:val="00BA2641"/>
    <w:rsid w:val="00BB37AA"/>
    <w:rsid w:val="00BC1A23"/>
    <w:rsid w:val="00BC53A0"/>
    <w:rsid w:val="00BE62AD"/>
    <w:rsid w:val="00BF121F"/>
    <w:rsid w:val="00BF1F80"/>
    <w:rsid w:val="00C166EF"/>
    <w:rsid w:val="00C17EB0"/>
    <w:rsid w:val="00C23D04"/>
    <w:rsid w:val="00C27F5F"/>
    <w:rsid w:val="00C30A0F"/>
    <w:rsid w:val="00C364C5"/>
    <w:rsid w:val="00C37E61"/>
    <w:rsid w:val="00C70F1B"/>
    <w:rsid w:val="00C71A47"/>
    <w:rsid w:val="00C7464C"/>
    <w:rsid w:val="00C77548"/>
    <w:rsid w:val="00C85588"/>
    <w:rsid w:val="00CB26DB"/>
    <w:rsid w:val="00CD6755"/>
    <w:rsid w:val="00CD6856"/>
    <w:rsid w:val="00CD72D9"/>
    <w:rsid w:val="00CE0089"/>
    <w:rsid w:val="00CE793C"/>
    <w:rsid w:val="00CF193C"/>
    <w:rsid w:val="00D173F1"/>
    <w:rsid w:val="00D22F14"/>
    <w:rsid w:val="00D426A6"/>
    <w:rsid w:val="00D67E19"/>
    <w:rsid w:val="00D74CB0"/>
    <w:rsid w:val="00D754A7"/>
    <w:rsid w:val="00D8295D"/>
    <w:rsid w:val="00D82C48"/>
    <w:rsid w:val="00DC15F1"/>
    <w:rsid w:val="00DC2A65"/>
    <w:rsid w:val="00DD1675"/>
    <w:rsid w:val="00DE15F0"/>
    <w:rsid w:val="00DE3949"/>
    <w:rsid w:val="00DE5663"/>
    <w:rsid w:val="00DE78AA"/>
    <w:rsid w:val="00E053D0"/>
    <w:rsid w:val="00E10B7A"/>
    <w:rsid w:val="00E1381B"/>
    <w:rsid w:val="00E15994"/>
    <w:rsid w:val="00E23081"/>
    <w:rsid w:val="00E3114E"/>
    <w:rsid w:val="00E31A70"/>
    <w:rsid w:val="00E3523A"/>
    <w:rsid w:val="00E35B02"/>
    <w:rsid w:val="00E66496"/>
    <w:rsid w:val="00E66B35"/>
    <w:rsid w:val="00E66E10"/>
    <w:rsid w:val="00E769F6"/>
    <w:rsid w:val="00E8407C"/>
    <w:rsid w:val="00E84F3C"/>
    <w:rsid w:val="00EA012C"/>
    <w:rsid w:val="00EA398C"/>
    <w:rsid w:val="00EC6A55"/>
    <w:rsid w:val="00ED0288"/>
    <w:rsid w:val="00ED1611"/>
    <w:rsid w:val="00EE3E59"/>
    <w:rsid w:val="00EE52CB"/>
    <w:rsid w:val="00EF581D"/>
    <w:rsid w:val="00EF7FD8"/>
    <w:rsid w:val="00F06F59"/>
    <w:rsid w:val="00F17988"/>
    <w:rsid w:val="00F21E51"/>
    <w:rsid w:val="00F22155"/>
    <w:rsid w:val="00F22665"/>
    <w:rsid w:val="00F31EDA"/>
    <w:rsid w:val="00F469F0"/>
    <w:rsid w:val="00F53273"/>
    <w:rsid w:val="00F703DF"/>
    <w:rsid w:val="00F755E4"/>
    <w:rsid w:val="00F77D02"/>
    <w:rsid w:val="00F831F1"/>
    <w:rsid w:val="00FB3A86"/>
    <w:rsid w:val="00FC6330"/>
    <w:rsid w:val="00FC76A0"/>
    <w:rsid w:val="00FD36C8"/>
    <w:rsid w:val="00FE2DF9"/>
    <w:rsid w:val="00FF4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69D0E88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A84F23"/>
    <w:pPr>
      <w:spacing w:after="200"/>
    </w:pPr>
    <w:rPr>
      <w:i/>
      <w:iCs/>
      <w:color w:val="1F497D" w:themeColor="text2"/>
      <w:sz w:val="18"/>
      <w:szCs w:val="18"/>
    </w:rPr>
  </w:style>
  <w:style w:type="table" w:styleId="PlainTable2">
    <w:name w:val="Plain Table 2"/>
    <w:basedOn w:val="TableNormal"/>
    <w:uiPriority w:val="42"/>
    <w:rsid w:val="0028304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4F54E9"/>
    <w:rPr>
      <w:rFonts w:ascii="Helvetica" w:hAnsi="Helvetica"/>
      <w:b/>
      <w:bCs/>
      <w:lang w:val="en-US" w:eastAsia="en-US"/>
    </w:rPr>
  </w:style>
  <w:style w:type="character" w:customStyle="1" w:styleId="CommentSubjectChar">
    <w:name w:val="Comment Subject Char"/>
    <w:basedOn w:val="CommentTextChar"/>
    <w:link w:val="CommentSubject"/>
    <w:semiHidden/>
    <w:rsid w:val="004F54E9"/>
    <w:rPr>
      <w:rFonts w:ascii="Helvetica" w:hAnsi="Helvetica"/>
      <w:b/>
      <w:bCs/>
      <w:lang w:val="nb-NO" w:eastAsia="nb-NO"/>
    </w:rPr>
  </w:style>
  <w:style w:type="paragraph" w:styleId="ListParagraph">
    <w:name w:val="List Paragraph"/>
    <w:basedOn w:val="Normal"/>
    <w:uiPriority w:val="34"/>
    <w:qFormat/>
    <w:rsid w:val="00520245"/>
    <w:pPr>
      <w:ind w:left="720"/>
      <w:contextualSpacing/>
    </w:pPr>
  </w:style>
  <w:style w:type="paragraph" w:styleId="NormalWeb">
    <w:name w:val="Normal (Web)"/>
    <w:basedOn w:val="Normal"/>
    <w:semiHidden/>
    <w:unhideWhenUsed/>
    <w:rsid w:val="0071343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Feuil1!$F$83</c:f>
              <c:strCache>
                <c:ptCount val="1"/>
                <c:pt idx="0">
                  <c:v>NOMBRE</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Feuil1!$E$84:$E$103</c:f>
              <c:strCache>
                <c:ptCount val="20"/>
                <c:pt idx="0">
                  <c:v>MORINGA</c:v>
                </c:pt>
                <c:pt idx="1">
                  <c:v>ALOE VERA</c:v>
                </c:pt>
                <c:pt idx="2">
                  <c:v>GOYAVIER</c:v>
                </c:pt>
                <c:pt idx="3">
                  <c:v>PAPAYER</c:v>
                </c:pt>
                <c:pt idx="4">
                  <c:v>AUBERGINE</c:v>
                </c:pt>
                <c:pt idx="5">
                  <c:v>AVOCATIER</c:v>
                </c:pt>
                <c:pt idx="6">
                  <c:v>CITRONNIER</c:v>
                </c:pt>
                <c:pt idx="7">
                  <c:v>HIBUSCUS</c:v>
                </c:pt>
                <c:pt idx="8">
                  <c:v>GOMBO</c:v>
                </c:pt>
                <c:pt idx="9">
                  <c:v>KEKELIBA</c:v>
                </c:pt>
                <c:pt idx="10">
                  <c:v>PETIT COLA</c:v>
                </c:pt>
                <c:pt idx="11">
                  <c:v>LAITUE</c:v>
                </c:pt>
                <c:pt idx="12">
                  <c:v>ANANAS</c:v>
                </c:pt>
                <c:pt idx="13">
                  <c:v>CAROTE</c:v>
                </c:pt>
                <c:pt idx="14">
                  <c:v>MAIS </c:v>
                </c:pt>
                <c:pt idx="15">
                  <c:v>JINGEMBRE</c:v>
                </c:pt>
                <c:pt idx="16">
                  <c:v>RIZ</c:v>
                </c:pt>
                <c:pt idx="17">
                  <c:v>MANGUIER</c:v>
                </c:pt>
                <c:pt idx="18">
                  <c:v>BETERAVE</c:v>
                </c:pt>
                <c:pt idx="19">
                  <c:v>COURGE</c:v>
                </c:pt>
              </c:strCache>
            </c:strRef>
          </c:cat>
          <c:val>
            <c:numRef>
              <c:f>Feuil1!$F$84:$F$103</c:f>
              <c:numCache>
                <c:formatCode>General</c:formatCode>
                <c:ptCount val="20"/>
                <c:pt idx="0">
                  <c:v>38</c:v>
                </c:pt>
                <c:pt idx="1">
                  <c:v>12</c:v>
                </c:pt>
                <c:pt idx="2">
                  <c:v>5</c:v>
                </c:pt>
                <c:pt idx="3">
                  <c:v>13</c:v>
                </c:pt>
                <c:pt idx="4">
                  <c:v>2</c:v>
                </c:pt>
                <c:pt idx="5">
                  <c:v>1</c:v>
                </c:pt>
                <c:pt idx="6">
                  <c:v>9</c:v>
                </c:pt>
                <c:pt idx="7">
                  <c:v>1</c:v>
                </c:pt>
                <c:pt idx="8">
                  <c:v>4</c:v>
                </c:pt>
                <c:pt idx="9">
                  <c:v>6</c:v>
                </c:pt>
                <c:pt idx="10">
                  <c:v>2</c:v>
                </c:pt>
                <c:pt idx="11">
                  <c:v>1</c:v>
                </c:pt>
                <c:pt idx="12">
                  <c:v>3</c:v>
                </c:pt>
                <c:pt idx="13">
                  <c:v>1</c:v>
                </c:pt>
                <c:pt idx="14">
                  <c:v>3</c:v>
                </c:pt>
                <c:pt idx="15">
                  <c:v>1</c:v>
                </c:pt>
                <c:pt idx="16">
                  <c:v>1</c:v>
                </c:pt>
                <c:pt idx="17">
                  <c:v>12</c:v>
                </c:pt>
                <c:pt idx="18">
                  <c:v>1</c:v>
                </c:pt>
                <c:pt idx="19">
                  <c:v>1</c:v>
                </c:pt>
              </c:numCache>
            </c:numRef>
          </c:val>
          <c:extLst>
            <c:ext xmlns:c16="http://schemas.microsoft.com/office/drawing/2014/chart" uri="{C3380CC4-5D6E-409C-BE32-E72D297353CC}">
              <c16:uniqueId val="{00000000-9D8A-4EA3-8E1F-131343CE04A9}"/>
            </c:ext>
          </c:extLst>
        </c:ser>
        <c:dLbls>
          <c:showLegendKey val="0"/>
          <c:showVal val="1"/>
          <c:showCatName val="0"/>
          <c:showSerName val="0"/>
          <c:showPercent val="0"/>
          <c:showBubbleSize val="0"/>
        </c:dLbls>
        <c:gapWidth val="355"/>
        <c:overlap val="-70"/>
        <c:axId val="570586432"/>
        <c:axId val="570577792"/>
      </c:barChart>
      <c:catAx>
        <c:axId val="57058643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COMMON</a:t>
                </a:r>
                <a:r>
                  <a:rPr lang="fr-FR" baseline="0"/>
                  <a:t> NAMES of </a:t>
                </a:r>
                <a:r>
                  <a:rPr lang="fr-FR"/>
                  <a:t>Plants</a:t>
                </a:r>
              </a:p>
            </c:rich>
          </c:tx>
          <c:layout>
            <c:manualLayout>
              <c:xMode val="edge"/>
              <c:yMode val="edge"/>
              <c:x val="0.32606913719118441"/>
              <c:y val="0.902201707053230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77792"/>
        <c:crosses val="autoZero"/>
        <c:auto val="1"/>
        <c:lblAlgn val="ctr"/>
        <c:lblOffset val="100"/>
        <c:noMultiLvlLbl val="0"/>
      </c:catAx>
      <c:valAx>
        <c:axId val="57057779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Number of Citations</a:t>
                </a:r>
              </a:p>
            </c:rich>
          </c:tx>
          <c:layout>
            <c:manualLayout>
              <c:xMode val="edge"/>
              <c:yMode val="edge"/>
              <c:x val="1.54320987654321E-2"/>
              <c:y val="0.11133938532912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86432"/>
        <c:crosses val="autoZero"/>
        <c:crossBetween val="between"/>
      </c:valAx>
      <c:spPr>
        <a:noFill/>
        <a:ln>
          <a:noFill/>
        </a:ln>
        <a:effectLst/>
      </c:spPr>
    </c:plotArea>
    <c:plotVisOnly val="1"/>
    <c:dispBlanksAs val="gap"/>
    <c:showDLblsOverMax val="0"/>
    <c:extLst>
      <c:ext uri="{0b15fc19-7d7d-44ad-8c2d-2c3a37ce22c3}">
        <chartProps xmlns="https://web.wps.cn/et/2018/main" chartId="{0b8acf8c-d18e-404c-92d5-7a03e22fa84d}"/>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alG17</b:Tag>
    <b:SourceType>Misc</b:SourceType>
    <b:Guid>{41F1F6FA-802F-4F67-AF17-3853FDEB6954}</b:Guid>
    <b:Author>
      <b:Author>
        <b:NameList>
          <b:Person>
            <b:Last>Gnagne et al.</b:Last>
          </b:Person>
        </b:NameList>
      </b:Author>
    </b:Author>
    <b:Title>Etude botaniquement des plantes médicinales utilisées dans le traitement de Diabète dans le département de Zénula</b:Title>
    <b:Year>2017</b:Year>
    <b:Publisher>J. Appl. Biosci.</b:Publisher>
    <b:City>Zénula</b:City>
    <b:Pages>11266</b:Pages>
    <b:RefOrder>7</b:RefOrder>
  </b:Source>
  <b:Source>
    <b:Tag>alF13</b:Tag>
    <b:SourceType>Misc</b:SourceType>
    <b:Guid>{A192D929-2C12-4F59-8FCC-1A3AB862C41D}</b:Guid>
    <b:Author>
      <b:Author>
        <b:NameList>
          <b:Person>
            <b:Last>Fah et al</b:Last>
            <b:First>.</b:First>
          </b:Person>
        </b:NameList>
      </b:Author>
    </b:Author>
    <b:Title>Etudes ethnobotanique des plantes utilisées dans le traitement du diabète chez les femes enceintes à Cotonou et Abomey-calavi</b:Title>
    <b:Year>2013</b:Year>
    <b:Publisher>Journal of animal et plant sciences</b:Publisher>
    <b:City>Cotonou</b:City>
    <b:Pages>18(1):2647-2658</b:Pages>
    <b:RefOrder>9</b:RefOrder>
  </b:Source>
  <b:Source>
    <b:Tag>Ben091</b:Tag>
    <b:SourceType>Misc</b:SourceType>
    <b:Guid>{16665D9E-EECB-48D2-A472-945FEA24C819}</b:Guid>
    <b:Title>Plantes Médicinales utilisées pour le soin des enfants dans la ville de Ouagadougou, 65:9-12</b:Title>
    <b:Year>2009</b:Year>
    <b:Publisher>Flamboyant</b:Publisher>
    <b:City>Ouagadougou</b:City>
    <b:Author>
      <b:Author>
        <b:NameList>
          <b:Person>
            <b:Last>Benem B</b:Last>
            <b:First>Sanou-Nana</b:First>
          </b:Person>
        </b:NameList>
      </b:Author>
    </b:Author>
    <b:CountryRegion>Burkina Faso</b:CountryRegion>
    <b:RefOrder>2</b:RefOrder>
  </b:Source>
  <b:Source>
    <b:Tag>Ben101</b:Tag>
    <b:SourceType>Misc</b:SourceType>
    <b:Guid>{87BEAF1B-22F5-4555-A517-250D6B6A2131}</b:Guid>
    <b:Author>
      <b:Author>
        <b:NameList>
          <b:Person>
            <b:Last>Benkhnigue et al.</b:Last>
          </b:Person>
        </b:NameList>
      </b:Author>
    </b:Author>
    <b:Title>Etude ethnobotanique des plantes médicinales dans la région de Mechraâ Bel Ksiri</b:Title>
    <b:Year>2010</b:Year>
    <b:CountryRegion>Maroc/Gharba</b:CountryRegion>
    <b:Publisher>Actabotanica Barcinonensia. 53:191-216</b:Publisher>
    <b:RefOrder>3</b:RefOrder>
  </b:Source>
  <b:Source>
    <b:Tag>Dan081</b:Tag>
    <b:SourceType>Misc</b:SourceType>
    <b:Guid>{72A4340C-4304-481E-862A-8736F33A56AD}</b:Guid>
    <b:Title>Biodiversité des légumes feuilles traditionnel consommés au Bénin</b:Title>
    <b:Year>2008</b:Year>
    <b:City>Cotonou</b:City>
    <b:Publisher>Bibliothèque nationale</b:Publisher>
    <b:Author>
      <b:Author>
        <b:NameList>
          <b:Person>
            <b:Last>Dansi A</b:Last>
            <b:First>Adjatin</b:First>
            <b:Middle>A, Vodouhè R, Adéoti K, Adoukonou-Sagbadja H-Faladé V, Yedomonhan H, Okoègninou A, Apkagana K</b:Middle>
          </b:Person>
        </b:NameList>
      </b:Author>
    </b:Author>
    <b:RefOrder>4</b:RefOrder>
  </b:Source>
  <b:Source>
    <b:Tag>Bet111</b:Tag>
    <b:SourceType>Misc</b:SourceType>
    <b:Guid>{41036A95-BC31-4F57-A1DD-7D74394CB986}</b:Guid>
    <b:Title>Contribution à la connaissance des produits forestiers non ligneux du parc national de Kalamaloué, extrême nord Cameroun</b:Title>
    <b:Year>2011</b:Year>
    <b:Publisher>int.j.biol.chem.sci.</b:Publisher>
    <b:City>Kalamaloué</b:City>
    <b:Author>
      <b:Author>
        <b:NameList>
          <b:Person>
            <b:Last>Betti J L.</b:Last>
            <b:First>SR,</b:First>
            <b:Middle>et Mebere-Yemefa'a</b:Middle>
          </b:Person>
        </b:NameList>
      </b:Author>
    </b:Author>
    <b:Pages>5(1): 291-303</b:Pages>
    <b:RefOrder>5</b:RefOrder>
  </b:Source>
  <b:Source>
    <b:Tag>Bru09</b:Tag>
    <b:SourceType>Misc</b:SourceType>
    <b:Guid>{49CBDE9B-12DF-490A-AD78-2B10E9A720E4}</b:Guid>
    <b:Title>Pharmacognosie: phytochimie, plantes médicinales</b:Title>
    <b:Year>2009</b:Year>
    <b:Publisher>Lavoisier tec et doc</b:Publisher>
    <b:City>Paris</b:City>
    <b:Author>
      <b:Author>
        <b:NameList>
          <b:Person>
            <b:Last>Bruneton</b:Last>
            <b:First>J.</b:First>
          </b:Person>
        </b:NameList>
      </b:Author>
    </b:Author>
    <b:Pages>1288</b:Pages>
    <b:RefOrder>21</b:RefOrder>
  </b:Source>
  <b:Source>
    <b:Tag>Har98</b:Tag>
    <b:SourceType>Misc</b:SourceType>
    <b:Guid>{80D2898C-1C94-427C-B569-EF23BBA5C7DB}</b:Guid>
    <b:Title>Phytochemical Methods. A guide to modern technic of plant analysis</b:Title>
    <b:Year>1998</b:Year>
    <b:Publisher>Chapman hall London 3ème édition</b:Publisher>
    <b:City>London</b:City>
    <b:Author>
      <b:Author>
        <b:NameList>
          <b:Person>
            <b:Last>Harbone</b:Last>
          </b:Person>
        </b:NameList>
      </b:Author>
    </b:Author>
    <b:Pages>270-280</b:Pages>
    <b:RefOrder>22</b:RefOrder>
  </b:Source>
  <b:Source>
    <b:Tag>aln23</b:Tag>
    <b:SourceType>Misc</b:SourceType>
    <b:Guid>{83E2800A-A4FC-49A7-AF40-450C3646FAB6}</b:Guid>
    <b:Author>
      <b:Author>
        <b:NameList>
          <b:Person>
            <b:Last>Nizigiyimana L et al.</b:Last>
          </b:Person>
        </b:NameList>
      </b:Author>
    </b:Author>
    <b:Title>Effets des extraits de feuilles de mangnifera indica L. sur certaines souches bacteriennes et parasites instestinaux</b:Title>
    <b:Year>2023</b:Year>
    <b:Publisher>Faculté des Sciences, Département de chimie</b:Publisher>
    <b:City>Bujumbura, Burundi</b:City>
    <b:Pages>6: 38-46</b:Pages>
    <b:RefOrder>36</b:RefOrder>
  </b:Source>
</b:Sources>
</file>

<file path=customXml/itemProps1.xml><?xml version="1.0" encoding="utf-8"?>
<ds:datastoreItem xmlns:ds="http://schemas.openxmlformats.org/officeDocument/2006/customXml" ds:itemID="{FBAE68DC-9F9B-4FE0-8A04-F659293A2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11</Pages>
  <Words>17941</Words>
  <Characters>102268</Characters>
  <Application>Microsoft Office Word</Application>
  <DocSecurity>0</DocSecurity>
  <Lines>852</Lines>
  <Paragraphs>239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119970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3</cp:revision>
  <cp:lastPrinted>1999-07-06T11:00:00Z</cp:lastPrinted>
  <dcterms:created xsi:type="dcterms:W3CDTF">2026-01-13T20:09:00Z</dcterms:created>
  <dcterms:modified xsi:type="dcterms:W3CDTF">2026-01-21T07:05:00Z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http://www.zotero.org/styles/springer-vancouver</vt:lpwstr>
  </property>
  <property fmtid="{D5CDD505-2E9C-101B-9397-08002B2CF9AE}" pid="21" name="Mendeley Recent Style Name 9_1">
    <vt:lpwstr>Springer - Vancouver</vt:lpwstr>
  </property>
  <property fmtid="{D5CDD505-2E9C-101B-9397-08002B2CF9AE}" pid="22" name="Mendeley Document_1">
    <vt:lpwstr>True</vt:lpwstr>
  </property>
  <property fmtid="{D5CDD505-2E9C-101B-9397-08002B2CF9AE}" pid="23" name="Mendeley Unique User Id_1">
    <vt:lpwstr>91ec4657-8ca1-3d72-a362-51020dbd2570</vt:lpwstr>
  </property>
  <property fmtid="{D5CDD505-2E9C-101B-9397-08002B2CF9AE}" pid="24" name="Mendeley Citation Style_1">
    <vt:lpwstr>http://www.zotero.org/styles/springer-vancouver</vt:lpwstr>
  </property>
</Properties>
</file>