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FDC8C" w14:textId="7395802A" w:rsidR="00A43411" w:rsidRDefault="00EA7465" w:rsidP="00EA7465">
      <w:pPr>
        <w:spacing w:line="360" w:lineRule="auto"/>
        <w:jc w:val="both"/>
        <w:rPr>
          <w:rFonts w:ascii="Times New Roman" w:hAnsi="Times New Roman" w:cs="Times New Roman"/>
          <w:b/>
          <w:sz w:val="24"/>
          <w:szCs w:val="24"/>
        </w:rPr>
      </w:pPr>
      <w:r w:rsidRPr="00EA7465">
        <w:rPr>
          <w:rFonts w:ascii="Times New Roman" w:hAnsi="Times New Roman" w:cs="Times New Roman"/>
          <w:b/>
          <w:sz w:val="24"/>
          <w:szCs w:val="24"/>
          <w:lang/>
        </w:rPr>
        <w:t xml:space="preserve">Synergistic Antibacterial Activity of Bark Extracts from </w:t>
      </w:r>
      <w:r w:rsidRPr="00EA7465">
        <w:rPr>
          <w:rFonts w:ascii="Times New Roman" w:hAnsi="Times New Roman" w:cs="Times New Roman"/>
          <w:b/>
          <w:i/>
          <w:iCs/>
          <w:sz w:val="24"/>
          <w:szCs w:val="24"/>
          <w:lang/>
        </w:rPr>
        <w:t>Tamarindus indica</w:t>
      </w:r>
      <w:r w:rsidRPr="00EA7465">
        <w:rPr>
          <w:rFonts w:ascii="Times New Roman" w:hAnsi="Times New Roman" w:cs="Times New Roman"/>
          <w:b/>
          <w:sz w:val="24"/>
          <w:szCs w:val="24"/>
          <w:lang/>
        </w:rPr>
        <w:t xml:space="preserve">, </w:t>
      </w:r>
      <w:r w:rsidRPr="00EA7465">
        <w:rPr>
          <w:rFonts w:ascii="Times New Roman" w:hAnsi="Times New Roman" w:cs="Times New Roman"/>
          <w:b/>
          <w:i/>
          <w:iCs/>
          <w:sz w:val="24"/>
          <w:szCs w:val="24"/>
          <w:lang/>
        </w:rPr>
        <w:t>Adansonia digitata</w:t>
      </w:r>
      <w:r w:rsidRPr="00EA7465">
        <w:rPr>
          <w:rFonts w:ascii="Times New Roman" w:hAnsi="Times New Roman" w:cs="Times New Roman"/>
          <w:b/>
          <w:sz w:val="24"/>
          <w:szCs w:val="24"/>
          <w:lang/>
        </w:rPr>
        <w:t xml:space="preserve">, and </w:t>
      </w:r>
      <w:r w:rsidRPr="00EA7465">
        <w:rPr>
          <w:rFonts w:ascii="Times New Roman" w:hAnsi="Times New Roman" w:cs="Times New Roman"/>
          <w:b/>
          <w:i/>
          <w:iCs/>
          <w:sz w:val="24"/>
          <w:szCs w:val="24"/>
          <w:lang/>
        </w:rPr>
        <w:t>Vitellaria paradoxa</w:t>
      </w:r>
      <w:r>
        <w:rPr>
          <w:rFonts w:ascii="Times New Roman" w:hAnsi="Times New Roman" w:cs="Times New Roman"/>
          <w:b/>
          <w:i/>
          <w:iCs/>
          <w:sz w:val="24"/>
          <w:szCs w:val="24"/>
        </w:rPr>
        <w:t xml:space="preserve"> </w:t>
      </w:r>
      <w:r>
        <w:rPr>
          <w:rFonts w:ascii="Times New Roman" w:hAnsi="Times New Roman" w:cs="Times New Roman"/>
          <w:b/>
          <w:sz w:val="24"/>
          <w:szCs w:val="24"/>
        </w:rPr>
        <w:t>Against Some Selected Clinical Pathogens</w:t>
      </w:r>
    </w:p>
    <w:p w14:paraId="1CCC9159" w14:textId="77777777" w:rsidR="00A43411" w:rsidRDefault="00A330FC">
      <w:pPr>
        <w:spacing w:line="360" w:lineRule="auto"/>
        <w:rPr>
          <w:rFonts w:ascii="Times New Roman" w:hAnsi="Times New Roman" w:cs="Times New Roman"/>
          <w:b/>
          <w:sz w:val="24"/>
          <w:szCs w:val="24"/>
        </w:rPr>
      </w:pPr>
      <w:r>
        <w:rPr>
          <w:rFonts w:ascii="Times New Roman" w:hAnsi="Times New Roman" w:cs="Times New Roman"/>
          <w:b/>
          <w:sz w:val="24"/>
          <w:szCs w:val="24"/>
        </w:rPr>
        <w:t>Abstract</w:t>
      </w:r>
      <w:bookmarkStart w:id="0" w:name="_GoBack"/>
      <w:bookmarkEnd w:id="0"/>
    </w:p>
    <w:p w14:paraId="6EF0B66E"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emergence of antibiotic resistance poses a significant threat to global health, necessitating the exploration of alternative antimicrobial agents. This study investigates the antibacterial activities of the bark extracts of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i/>
          <w:sz w:val="24"/>
          <w:szCs w:val="24"/>
        </w:rPr>
        <w:t xml:space="preserve">,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i/>
          <w:sz w:val="24"/>
          <w:szCs w:val="24"/>
        </w:rPr>
        <w:t>,</w:t>
      </w:r>
      <w:r>
        <w:rPr>
          <w:rFonts w:ascii="Times New Roman" w:hAnsi="Times New Roman" w:cs="Times New Roman"/>
          <w:sz w:val="24"/>
          <w:szCs w:val="24"/>
        </w:rPr>
        <w:t xml:space="preserve"> and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sz w:val="24"/>
          <w:szCs w:val="24"/>
        </w:rPr>
        <w:t xml:space="preserve"> against </w:t>
      </w:r>
      <w:r>
        <w:rPr>
          <w:rFonts w:ascii="Times New Roman" w:hAnsi="Times New Roman" w:cs="Times New Roman"/>
          <w:bCs/>
          <w:i/>
          <w:sz w:val="24"/>
          <w:szCs w:val="24"/>
        </w:rPr>
        <w:t>Escherichia coli</w:t>
      </w:r>
      <w:r>
        <w:rPr>
          <w:rFonts w:ascii="Times New Roman" w:hAnsi="Times New Roman" w:cs="Times New Roman"/>
          <w:i/>
          <w:sz w:val="24"/>
          <w:szCs w:val="24"/>
        </w:rPr>
        <w:t xml:space="preserve">, </w:t>
      </w:r>
      <w:r>
        <w:rPr>
          <w:rFonts w:ascii="Times New Roman" w:hAnsi="Times New Roman" w:cs="Times New Roman"/>
          <w:bCs/>
          <w:i/>
          <w:sz w:val="24"/>
          <w:szCs w:val="24"/>
        </w:rPr>
        <w:t>Staphylococcus aureus</w:t>
      </w:r>
      <w:r>
        <w:rPr>
          <w:rFonts w:ascii="Times New Roman" w:hAnsi="Times New Roman" w:cs="Times New Roman"/>
          <w:i/>
          <w:sz w:val="24"/>
          <w:szCs w:val="24"/>
        </w:rPr>
        <w:t xml:space="preserve">, </w:t>
      </w:r>
      <w:r>
        <w:rPr>
          <w:rFonts w:ascii="Times New Roman" w:hAnsi="Times New Roman" w:cs="Times New Roman"/>
          <w:bCs/>
          <w:i/>
          <w:sz w:val="24"/>
          <w:szCs w:val="24"/>
        </w:rPr>
        <w:t>Streptococcus pneumoniae</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bCs/>
          <w:i/>
          <w:sz w:val="24"/>
          <w:szCs w:val="24"/>
        </w:rPr>
        <w:t>Salmonella typhi</w:t>
      </w:r>
      <w:r>
        <w:rPr>
          <w:rFonts w:ascii="Times New Roman" w:hAnsi="Times New Roman" w:cs="Times New Roman"/>
          <w:sz w:val="24"/>
          <w:szCs w:val="24"/>
        </w:rPr>
        <w:t xml:space="preserve">, using hot aqueous, methanol, and ethanol as solvents for extraction. </w:t>
      </w:r>
      <w:r>
        <w:t xml:space="preserve"> The </w:t>
      </w:r>
      <w:r>
        <w:rPr>
          <w:rFonts w:ascii="Times New Roman" w:hAnsi="Times New Roman" w:cs="Times New Roman"/>
          <w:sz w:val="24"/>
          <w:szCs w:val="24"/>
        </w:rPr>
        <w:t xml:space="preserve">antimicrobial activity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by agar well diffusion assay, and their phytochemical properties were assessed using various standard phytochemical methods. A 0.5ml of hundred percentage (100%) concentration of each extract was used against each bacterial isolate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w:t>
      </w:r>
      <w:bookmarkStart w:id="1" w:name="_Hlk217549697"/>
      <w:r>
        <w:rPr>
          <w:rFonts w:ascii="Times New Roman" w:hAnsi="Times New Roman" w:cs="Times New Roman"/>
          <w:sz w:val="24"/>
          <w:szCs w:val="24"/>
        </w:rPr>
        <w:t xml:space="preserve">For positive control, 0.5mg/mL of Ciprofloxacin and negative control, 0.5ml of water were used. </w:t>
      </w:r>
      <w:bookmarkEnd w:id="1"/>
      <w:r>
        <w:rPr>
          <w:rFonts w:ascii="Times New Roman" w:hAnsi="Times New Roman" w:cs="Times New Roman"/>
          <w:sz w:val="24"/>
          <w:szCs w:val="24"/>
        </w:rPr>
        <w:t xml:space="preserve">The findings reveal substantial antibacterial activity, particularly from the hot aqueous extract of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i/>
          <w:sz w:val="24"/>
          <w:szCs w:val="24"/>
        </w:rPr>
        <w:t xml:space="preserve">,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i/>
          <w:sz w:val="24"/>
          <w:szCs w:val="24"/>
        </w:rPr>
        <w:t>,</w:t>
      </w:r>
      <w:r>
        <w:rPr>
          <w:rFonts w:ascii="Times New Roman" w:hAnsi="Times New Roman" w:cs="Times New Roman"/>
          <w:sz w:val="24"/>
          <w:szCs w:val="24"/>
        </w:rPr>
        <w:t xml:space="preserve"> and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sz w:val="24"/>
          <w:szCs w:val="24"/>
        </w:rPr>
        <w:t>; and combined extracts exhibited the highest zones of inhibition, ranging from 23.0 to 31.5mm. The combinations of these plant extracts demonstrated enhanced antimicrobial efficacy, indicative of synergistic interactions among the constituents. The phytochemical results of all the extracts showed the presence of mostly Saponins, Tannins, Flavonoid, Phenol, Glycosides and partly Alkaloids.</w:t>
      </w:r>
      <w:r>
        <w:t xml:space="preserve"> </w:t>
      </w:r>
      <w:r>
        <w:rPr>
          <w:rFonts w:ascii="Times New Roman" w:hAnsi="Times New Roman" w:cs="Times New Roman"/>
          <w:sz w:val="24"/>
          <w:szCs w:val="24"/>
        </w:rPr>
        <w:t>This research highlights the potential of these plant-derived extracts as alternative sources for new antimicrobial agents to combat resistant strains of bacteria.</w:t>
      </w:r>
    </w:p>
    <w:p w14:paraId="2393958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Antimicrobial,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bCs/>
          <w:i/>
          <w:sz w:val="24"/>
          <w:szCs w:val="24"/>
        </w:rPr>
        <w:t xml:space="preserve">, Vitellaria </w:t>
      </w:r>
      <w:proofErr w:type="spellStart"/>
      <w:r>
        <w:rPr>
          <w:rFonts w:ascii="Times New Roman" w:hAnsi="Times New Roman" w:cs="Times New Roman"/>
          <w:bCs/>
          <w:i/>
          <w:sz w:val="24"/>
          <w:szCs w:val="24"/>
        </w:rPr>
        <w:t>paradoxa</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clinical bacteria, plant extracts.</w:t>
      </w:r>
    </w:p>
    <w:p w14:paraId="6FDBD705" w14:textId="77777777" w:rsidR="00A43411" w:rsidRDefault="00A43411">
      <w:pPr>
        <w:spacing w:line="360" w:lineRule="auto"/>
        <w:rPr>
          <w:rFonts w:ascii="Times New Roman" w:hAnsi="Times New Roman" w:cs="Times New Roman"/>
          <w:b/>
          <w:bCs/>
          <w:sz w:val="24"/>
          <w:szCs w:val="24"/>
        </w:rPr>
      </w:pPr>
    </w:p>
    <w:p w14:paraId="5FD4D480" w14:textId="77777777" w:rsidR="00A43411" w:rsidRDefault="00A43411">
      <w:pPr>
        <w:spacing w:line="360" w:lineRule="auto"/>
        <w:rPr>
          <w:rFonts w:ascii="Times New Roman" w:hAnsi="Times New Roman" w:cs="Times New Roman"/>
          <w:b/>
          <w:bCs/>
          <w:sz w:val="24"/>
          <w:szCs w:val="24"/>
        </w:rPr>
      </w:pPr>
    </w:p>
    <w:p w14:paraId="02E90BBE" w14:textId="77777777" w:rsidR="00A43411" w:rsidRDefault="00A43411">
      <w:pPr>
        <w:spacing w:line="360" w:lineRule="auto"/>
        <w:rPr>
          <w:rFonts w:ascii="Times New Roman" w:hAnsi="Times New Roman" w:cs="Times New Roman"/>
          <w:b/>
          <w:bCs/>
          <w:sz w:val="24"/>
          <w:szCs w:val="24"/>
        </w:rPr>
      </w:pPr>
    </w:p>
    <w:p w14:paraId="41743850" w14:textId="77777777" w:rsidR="00A43411" w:rsidRDefault="00A43411">
      <w:pPr>
        <w:spacing w:line="360" w:lineRule="auto"/>
        <w:rPr>
          <w:rFonts w:ascii="Times New Roman" w:hAnsi="Times New Roman" w:cs="Times New Roman"/>
          <w:b/>
          <w:bCs/>
          <w:sz w:val="24"/>
          <w:szCs w:val="24"/>
        </w:rPr>
      </w:pPr>
    </w:p>
    <w:p w14:paraId="22A12910" w14:textId="77777777" w:rsidR="00A43411" w:rsidRDefault="00A43411">
      <w:pPr>
        <w:spacing w:line="360" w:lineRule="auto"/>
        <w:rPr>
          <w:rFonts w:ascii="Times New Roman" w:hAnsi="Times New Roman" w:cs="Times New Roman"/>
          <w:b/>
          <w:bCs/>
          <w:sz w:val="24"/>
          <w:szCs w:val="24"/>
        </w:rPr>
      </w:pPr>
    </w:p>
    <w:p w14:paraId="1BB106AF" w14:textId="77777777" w:rsidR="00A43411" w:rsidRDefault="00A43411">
      <w:pPr>
        <w:spacing w:line="360" w:lineRule="auto"/>
        <w:rPr>
          <w:rFonts w:ascii="Times New Roman" w:hAnsi="Times New Roman" w:cs="Times New Roman"/>
          <w:b/>
          <w:bCs/>
          <w:sz w:val="24"/>
          <w:szCs w:val="24"/>
        </w:rPr>
      </w:pPr>
    </w:p>
    <w:p w14:paraId="715A2011" w14:textId="77777777" w:rsidR="00A43411" w:rsidRDefault="00A330FC">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98D2ABB"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Plants serve as vital sources of natural compounds beneficial for human health and are instrumental in the development of novel pharmaceutical molecules (</w:t>
      </w:r>
      <w:proofErr w:type="spellStart"/>
      <w:r>
        <w:rPr>
          <w:rFonts w:ascii="Times New Roman" w:hAnsi="Times New Roman" w:cs="Times New Roman"/>
          <w:sz w:val="24"/>
          <w:szCs w:val="24"/>
        </w:rPr>
        <w:t>Muralidharan</w:t>
      </w:r>
      <w:proofErr w:type="spellEnd"/>
      <w:r>
        <w:rPr>
          <w:rFonts w:ascii="Times New Roman" w:hAnsi="Times New Roman" w:cs="Times New Roman"/>
          <w:sz w:val="24"/>
          <w:szCs w:val="24"/>
        </w:rPr>
        <w:t xml:space="preserve"> and Shastri, 2017). Many modern medicines are directly or indirectly derived from plants, which contain active metabolites used to treat various diseases (</w:t>
      </w:r>
      <w:proofErr w:type="spellStart"/>
      <w:r>
        <w:rPr>
          <w:rFonts w:ascii="Times New Roman" w:hAnsi="Times New Roman" w:cs="Times New Roman"/>
          <w:sz w:val="24"/>
          <w:szCs w:val="24"/>
        </w:rPr>
        <w:t>Jamshidi</w:t>
      </w:r>
      <w:proofErr w:type="spellEnd"/>
      <w:r>
        <w:rPr>
          <w:rFonts w:ascii="Times New Roman" w:hAnsi="Times New Roman" w:cs="Times New Roman"/>
          <w:sz w:val="24"/>
          <w:szCs w:val="24"/>
        </w:rPr>
        <w:t xml:space="preserve">-Kia </w:t>
      </w:r>
      <w:r>
        <w:rPr>
          <w:rFonts w:ascii="Times New Roman" w:hAnsi="Times New Roman" w:cs="Times New Roman"/>
          <w:i/>
          <w:sz w:val="24"/>
          <w:szCs w:val="24"/>
        </w:rPr>
        <w:t>et al.</w:t>
      </w:r>
      <w:r>
        <w:rPr>
          <w:rFonts w:ascii="Times New Roman" w:hAnsi="Times New Roman" w:cs="Times New Roman"/>
          <w:sz w:val="24"/>
          <w:szCs w:val="24"/>
        </w:rPr>
        <w:t>, 2017). The use of medicinal plants is deeply rooted in human history, with ancient cultures relying on them for treating ailments (</w:t>
      </w:r>
      <w:proofErr w:type="spellStart"/>
      <w:r>
        <w:rPr>
          <w:rFonts w:ascii="Times New Roman" w:hAnsi="Times New Roman" w:cs="Times New Roman"/>
          <w:sz w:val="24"/>
          <w:szCs w:val="24"/>
        </w:rPr>
        <w:t>Erazo</w:t>
      </w:r>
      <w:proofErr w:type="spellEnd"/>
      <w:r>
        <w:rPr>
          <w:rFonts w:ascii="Times New Roman" w:hAnsi="Times New Roman" w:cs="Times New Roman"/>
          <w:sz w:val="24"/>
          <w:szCs w:val="24"/>
        </w:rPr>
        <w:t xml:space="preserve">-Garcia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Sirén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w:t>
      </w:r>
      <w:proofErr w:type="spellStart"/>
      <w:r>
        <w:rPr>
          <w:rFonts w:ascii="Times New Roman" w:hAnsi="Times New Roman" w:cs="Times New Roman"/>
          <w:sz w:val="24"/>
          <w:szCs w:val="24"/>
        </w:rPr>
        <w:t>Armijos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Plant resources play a crucial role in combating diseases, as natural plant products rich in nutrients,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antioxidants, and bioactive compounds can reduce the risk of conditions like colorectal cancer, diabetes, and heart disease (Seraglio </w:t>
      </w:r>
      <w:r>
        <w:rPr>
          <w:rFonts w:ascii="Times New Roman" w:hAnsi="Times New Roman" w:cs="Times New Roman"/>
          <w:i/>
          <w:sz w:val="24"/>
          <w:szCs w:val="24"/>
        </w:rPr>
        <w:t>et al.,</w:t>
      </w:r>
      <w:r>
        <w:rPr>
          <w:rFonts w:ascii="Times New Roman" w:hAnsi="Times New Roman" w:cs="Times New Roman"/>
          <w:sz w:val="24"/>
          <w:szCs w:val="24"/>
        </w:rPr>
        <w:t xml:space="preserve"> 2018; </w:t>
      </w:r>
      <w:proofErr w:type="spellStart"/>
      <w:r>
        <w:rPr>
          <w:rFonts w:ascii="Times New Roman" w:hAnsi="Times New Roman" w:cs="Times New Roman"/>
          <w:sz w:val="24"/>
          <w:szCs w:val="24"/>
        </w:rPr>
        <w:t>Kpodo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Despite not being fully explored, medicinal plants hold significant therapeutic potential (Tay </w:t>
      </w:r>
      <w:r>
        <w:rPr>
          <w:rFonts w:ascii="Times New Roman" w:hAnsi="Times New Roman" w:cs="Times New Roman"/>
          <w:i/>
          <w:sz w:val="24"/>
          <w:szCs w:val="24"/>
        </w:rPr>
        <w:t>et al.,</w:t>
      </w:r>
      <w:r>
        <w:rPr>
          <w:rFonts w:ascii="Times New Roman" w:hAnsi="Times New Roman" w:cs="Times New Roman"/>
          <w:sz w:val="24"/>
          <w:szCs w:val="24"/>
        </w:rPr>
        <w:t xml:space="preserve"> 2018). Traditional medicine, which combines knowledge, skills, and beliefs from various cultures, has utilized medicinal plants for approximately 5000 years across China, India, and Egypt (</w:t>
      </w:r>
      <w:proofErr w:type="spellStart"/>
      <w:r w:rsidR="00A646A0">
        <w:rPr>
          <w:rFonts w:ascii="Times New Roman" w:hAnsi="Times New Roman" w:cs="Times New Roman"/>
          <w:sz w:val="24"/>
          <w:szCs w:val="24"/>
        </w:rPr>
        <w:t>Jamshidi</w:t>
      </w:r>
      <w:proofErr w:type="spellEnd"/>
      <w:r w:rsidR="00A646A0">
        <w:rPr>
          <w:rFonts w:ascii="Times New Roman" w:hAnsi="Times New Roman" w:cs="Times New Roman"/>
          <w:sz w:val="24"/>
          <w:szCs w:val="24"/>
        </w:rPr>
        <w:t xml:space="preserve">-Kia </w:t>
      </w:r>
      <w:r w:rsidR="00A646A0">
        <w:rPr>
          <w:rFonts w:ascii="Times New Roman" w:hAnsi="Times New Roman" w:cs="Times New Roman"/>
          <w:i/>
          <w:sz w:val="24"/>
          <w:szCs w:val="24"/>
        </w:rPr>
        <w:t>et al.,</w:t>
      </w:r>
      <w:r w:rsidR="00A646A0">
        <w:rPr>
          <w:rFonts w:ascii="Times New Roman" w:hAnsi="Times New Roman" w:cs="Times New Roman"/>
          <w:sz w:val="24"/>
          <w:szCs w:val="24"/>
        </w:rPr>
        <w:t xml:space="preserve"> 2018; Caballero-Serrano </w:t>
      </w:r>
      <w:r w:rsidR="00A646A0">
        <w:rPr>
          <w:rFonts w:ascii="Times New Roman" w:hAnsi="Times New Roman" w:cs="Times New Roman"/>
          <w:i/>
          <w:sz w:val="24"/>
          <w:szCs w:val="24"/>
        </w:rPr>
        <w:t>et al.,</w:t>
      </w:r>
      <w:r w:rsidR="00A646A0">
        <w:rPr>
          <w:rFonts w:ascii="Times New Roman" w:hAnsi="Times New Roman" w:cs="Times New Roman"/>
          <w:sz w:val="24"/>
          <w:szCs w:val="24"/>
        </w:rPr>
        <w:t xml:space="preserve"> 2019; </w:t>
      </w:r>
      <w:proofErr w:type="spellStart"/>
      <w:r>
        <w:rPr>
          <w:rFonts w:ascii="Times New Roman" w:hAnsi="Times New Roman" w:cs="Times New Roman"/>
          <w:sz w:val="24"/>
          <w:szCs w:val="24"/>
        </w:rPr>
        <w:t>Weckmüller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r w:rsidR="00A646A0">
        <w:rPr>
          <w:rFonts w:ascii="Times New Roman" w:hAnsi="Times New Roman" w:cs="Times New Roman"/>
          <w:sz w:val="24"/>
          <w:szCs w:val="24"/>
        </w:rPr>
        <w:t xml:space="preserve">Rivero-Guerra, 2021; </w:t>
      </w:r>
      <w:r>
        <w:rPr>
          <w:rFonts w:ascii="Times New Roman" w:hAnsi="Times New Roman" w:cs="Times New Roman"/>
          <w:sz w:val="24"/>
          <w:szCs w:val="24"/>
        </w:rPr>
        <w:t xml:space="preserve">Cruz </w:t>
      </w:r>
      <w:r>
        <w:rPr>
          <w:rFonts w:ascii="Times New Roman" w:hAnsi="Times New Roman" w:cs="Times New Roman"/>
          <w:i/>
          <w:sz w:val="24"/>
          <w:szCs w:val="24"/>
        </w:rPr>
        <w:t>et al.,</w:t>
      </w:r>
      <w:r>
        <w:rPr>
          <w:rFonts w:ascii="Times New Roman" w:hAnsi="Times New Roman" w:cs="Times New Roman"/>
          <w:sz w:val="24"/>
          <w:szCs w:val="24"/>
        </w:rPr>
        <w:t xml:space="preserve"> 2022). In Asia, Latin America, and Africa, 80% of the population relies on traditional medicines, which are perceived to have minimal side effects (Silva </w:t>
      </w:r>
      <w:r>
        <w:rPr>
          <w:rFonts w:ascii="Times New Roman" w:hAnsi="Times New Roman" w:cs="Times New Roman"/>
          <w:i/>
          <w:sz w:val="24"/>
          <w:szCs w:val="24"/>
        </w:rPr>
        <w:t>et al.,</w:t>
      </w:r>
      <w:r>
        <w:rPr>
          <w:rFonts w:ascii="Times New Roman" w:hAnsi="Times New Roman" w:cs="Times New Roman"/>
          <w:sz w:val="24"/>
          <w:szCs w:val="24"/>
        </w:rPr>
        <w:t xml:space="preserve"> 2023). Traditional herbs are often used alongside modern chemical drugs to prevent and treat diseases (</w:t>
      </w:r>
      <w:proofErr w:type="spellStart"/>
      <w:r>
        <w:rPr>
          <w:rFonts w:ascii="Times New Roman" w:hAnsi="Times New Roman" w:cs="Times New Roman"/>
          <w:sz w:val="24"/>
          <w:szCs w:val="24"/>
        </w:rPr>
        <w:t>Falahi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w:t>
      </w:r>
      <w:r w:rsidR="00A646A0">
        <w:rPr>
          <w:rFonts w:ascii="Times New Roman" w:hAnsi="Times New Roman" w:cs="Times New Roman"/>
          <w:sz w:val="24"/>
          <w:szCs w:val="24"/>
        </w:rPr>
        <w:t xml:space="preserve"> </w:t>
      </w:r>
      <w:proofErr w:type="spellStart"/>
      <w:r w:rsidR="00A646A0">
        <w:rPr>
          <w:rFonts w:ascii="Times New Roman" w:hAnsi="Times New Roman" w:cs="Times New Roman"/>
          <w:sz w:val="24"/>
          <w:szCs w:val="24"/>
        </w:rPr>
        <w:t>Mohajer</w:t>
      </w:r>
      <w:proofErr w:type="spellEnd"/>
      <w:r w:rsidR="00A646A0">
        <w:rPr>
          <w:rFonts w:ascii="Times New Roman" w:hAnsi="Times New Roman" w:cs="Times New Roman"/>
          <w:sz w:val="24"/>
          <w:szCs w:val="24"/>
        </w:rPr>
        <w:t xml:space="preserve"> </w:t>
      </w:r>
      <w:r w:rsidR="00A646A0">
        <w:rPr>
          <w:rFonts w:ascii="Times New Roman" w:hAnsi="Times New Roman" w:cs="Times New Roman"/>
          <w:i/>
          <w:sz w:val="24"/>
          <w:szCs w:val="24"/>
        </w:rPr>
        <w:t>et al.,</w:t>
      </w:r>
      <w:r w:rsidR="00A646A0">
        <w:rPr>
          <w:rFonts w:ascii="Times New Roman" w:hAnsi="Times New Roman" w:cs="Times New Roman"/>
          <w:sz w:val="24"/>
          <w:szCs w:val="24"/>
        </w:rPr>
        <w:t xml:space="preserve"> 2019; </w:t>
      </w:r>
      <w:proofErr w:type="spellStart"/>
      <w:r w:rsidR="00A646A0">
        <w:rPr>
          <w:rFonts w:ascii="Times New Roman" w:hAnsi="Times New Roman" w:cs="Times New Roman"/>
          <w:sz w:val="24"/>
          <w:szCs w:val="24"/>
        </w:rPr>
        <w:t>Mazaheri</w:t>
      </w:r>
      <w:proofErr w:type="spellEnd"/>
      <w:r w:rsidR="00A646A0">
        <w:rPr>
          <w:rFonts w:ascii="Times New Roman" w:hAnsi="Times New Roman" w:cs="Times New Roman"/>
          <w:sz w:val="24"/>
          <w:szCs w:val="24"/>
        </w:rPr>
        <w:t xml:space="preserve"> </w:t>
      </w:r>
      <w:r w:rsidR="00A646A0">
        <w:rPr>
          <w:rFonts w:ascii="Times New Roman" w:hAnsi="Times New Roman" w:cs="Times New Roman"/>
          <w:i/>
          <w:sz w:val="24"/>
          <w:szCs w:val="24"/>
        </w:rPr>
        <w:t>et al.,</w:t>
      </w:r>
      <w:r w:rsidR="00A646A0">
        <w:rPr>
          <w:rFonts w:ascii="Times New Roman" w:hAnsi="Times New Roman" w:cs="Times New Roman"/>
          <w:sz w:val="24"/>
          <w:szCs w:val="24"/>
        </w:rPr>
        <w:t xml:space="preserve"> 2021; </w:t>
      </w:r>
      <w:proofErr w:type="spellStart"/>
      <w:r>
        <w:rPr>
          <w:rFonts w:ascii="Times New Roman" w:hAnsi="Times New Roman" w:cs="Times New Roman"/>
          <w:sz w:val="24"/>
          <w:szCs w:val="24"/>
        </w:rPr>
        <w:t>Soltanbeigi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Plants remain a significant source of biologically active metabolites for developing new medications (</w:t>
      </w:r>
      <w:proofErr w:type="spellStart"/>
      <w:r>
        <w:rPr>
          <w:rFonts w:ascii="Times New Roman" w:hAnsi="Times New Roman" w:cs="Times New Roman"/>
          <w:sz w:val="24"/>
          <w:szCs w:val="24"/>
        </w:rPr>
        <w:t>Dogara</w:t>
      </w:r>
      <w:proofErr w:type="spellEnd"/>
      <w:r>
        <w:rPr>
          <w:rFonts w:ascii="Times New Roman" w:hAnsi="Times New Roman" w:cs="Times New Roman"/>
          <w:sz w:val="24"/>
          <w:szCs w:val="24"/>
        </w:rPr>
        <w:t xml:space="preserve"> and Al-Zahrani, 2024). This is attributed to the presence of bioactive chemicals, such as saponins, flavonoids, alkaloids, and polyphenols, which act as defense mechanisms (</w:t>
      </w:r>
      <w:proofErr w:type="spellStart"/>
      <w:r w:rsidR="00A646A0">
        <w:rPr>
          <w:rFonts w:ascii="Times New Roman" w:hAnsi="Times New Roman" w:cs="Times New Roman"/>
          <w:sz w:val="24"/>
          <w:szCs w:val="24"/>
        </w:rPr>
        <w:t>Kamble</w:t>
      </w:r>
      <w:proofErr w:type="spellEnd"/>
      <w:r w:rsidR="00A646A0">
        <w:rPr>
          <w:rFonts w:ascii="Times New Roman" w:hAnsi="Times New Roman" w:cs="Times New Roman"/>
          <w:sz w:val="24"/>
          <w:szCs w:val="24"/>
        </w:rPr>
        <w:t xml:space="preserve"> &amp; </w:t>
      </w:r>
      <w:proofErr w:type="spellStart"/>
      <w:r w:rsidR="00A646A0">
        <w:rPr>
          <w:rFonts w:ascii="Times New Roman" w:hAnsi="Times New Roman" w:cs="Times New Roman"/>
          <w:sz w:val="24"/>
          <w:szCs w:val="24"/>
        </w:rPr>
        <w:t>Gacche</w:t>
      </w:r>
      <w:proofErr w:type="spellEnd"/>
      <w:r w:rsidR="00A646A0">
        <w:rPr>
          <w:rFonts w:ascii="Times New Roman" w:hAnsi="Times New Roman" w:cs="Times New Roman"/>
          <w:sz w:val="24"/>
          <w:szCs w:val="24"/>
        </w:rPr>
        <w:t xml:space="preserve">, 2019; </w:t>
      </w:r>
      <w:proofErr w:type="spellStart"/>
      <w:r>
        <w:rPr>
          <w:rFonts w:ascii="Times New Roman" w:hAnsi="Times New Roman" w:cs="Times New Roman"/>
          <w:sz w:val="24"/>
          <w:szCs w:val="24"/>
        </w:rPr>
        <w:t>Adetunde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 With the rise of antibiotic resistance threatening global health, finding new antimicrobial compounds is essential (</w:t>
      </w:r>
      <w:proofErr w:type="spellStart"/>
      <w:r>
        <w:rPr>
          <w:rFonts w:ascii="Times New Roman" w:hAnsi="Times New Roman" w:cs="Times New Roman"/>
          <w:sz w:val="24"/>
          <w:szCs w:val="24"/>
        </w:rPr>
        <w:t>Lukubye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Silva </w:t>
      </w:r>
      <w:r>
        <w:rPr>
          <w:rFonts w:ascii="Times New Roman" w:hAnsi="Times New Roman" w:cs="Times New Roman"/>
          <w:i/>
          <w:sz w:val="24"/>
          <w:szCs w:val="24"/>
        </w:rPr>
        <w:t>et al.,</w:t>
      </w:r>
      <w:r>
        <w:rPr>
          <w:rFonts w:ascii="Times New Roman" w:hAnsi="Times New Roman" w:cs="Times New Roman"/>
          <w:sz w:val="24"/>
          <w:szCs w:val="24"/>
        </w:rPr>
        <w:t xml:space="preserve"> 2023). Harnessing the potential of plant-based antimicrobials, which are both inexpensive and environmentally friendly, could provide a solution to drug resistance (Mishra </w:t>
      </w:r>
      <w:r>
        <w:rPr>
          <w:rFonts w:ascii="Times New Roman" w:hAnsi="Times New Roman" w:cs="Times New Roman"/>
          <w:i/>
          <w:sz w:val="24"/>
          <w:szCs w:val="24"/>
        </w:rPr>
        <w:t>et al.,</w:t>
      </w:r>
      <w:r>
        <w:rPr>
          <w:rFonts w:ascii="Times New Roman" w:hAnsi="Times New Roman" w:cs="Times New Roman"/>
          <w:sz w:val="24"/>
          <w:szCs w:val="24"/>
        </w:rPr>
        <w:t xml:space="preserve"> 2023). Therefore, investigating the antibacterial activities of medicinal plant extracts like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i/>
          <w:sz w:val="24"/>
          <w:szCs w:val="24"/>
        </w:rPr>
        <w:t xml:space="preserve">,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i/>
          <w:sz w:val="24"/>
          <w:szCs w:val="24"/>
        </w:rPr>
        <w:t xml:space="preserve">, and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sz w:val="24"/>
          <w:szCs w:val="24"/>
        </w:rPr>
        <w:t xml:space="preserve"> against infections caused by </w:t>
      </w:r>
      <w:r>
        <w:rPr>
          <w:rFonts w:ascii="Times New Roman" w:hAnsi="Times New Roman" w:cs="Times New Roman"/>
          <w:bCs/>
          <w:i/>
          <w:sz w:val="24"/>
          <w:szCs w:val="24"/>
        </w:rPr>
        <w:t>Salmonella typhi</w:t>
      </w:r>
      <w:r>
        <w:rPr>
          <w:rFonts w:ascii="Times New Roman" w:hAnsi="Times New Roman" w:cs="Times New Roman"/>
          <w:i/>
          <w:sz w:val="24"/>
          <w:szCs w:val="24"/>
        </w:rPr>
        <w:t xml:space="preserve">, </w:t>
      </w:r>
      <w:r>
        <w:rPr>
          <w:rFonts w:ascii="Times New Roman" w:hAnsi="Times New Roman" w:cs="Times New Roman"/>
          <w:bCs/>
          <w:i/>
          <w:sz w:val="24"/>
          <w:szCs w:val="24"/>
        </w:rPr>
        <w:t>Streptococcus pneumoniae</w:t>
      </w:r>
      <w:r>
        <w:rPr>
          <w:rFonts w:ascii="Times New Roman" w:hAnsi="Times New Roman" w:cs="Times New Roman"/>
          <w:i/>
          <w:sz w:val="24"/>
          <w:szCs w:val="24"/>
        </w:rPr>
        <w:t xml:space="preserve">, </w:t>
      </w:r>
      <w:r>
        <w:rPr>
          <w:rFonts w:ascii="Times New Roman" w:hAnsi="Times New Roman" w:cs="Times New Roman"/>
          <w:bCs/>
          <w:i/>
          <w:sz w:val="24"/>
          <w:szCs w:val="24"/>
        </w:rPr>
        <w:t>Staphylococcus aureus</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bCs/>
          <w:i/>
          <w:sz w:val="24"/>
          <w:szCs w:val="24"/>
        </w:rPr>
        <w:t>Escherichia coli</w:t>
      </w:r>
      <w:r>
        <w:rPr>
          <w:rFonts w:ascii="Times New Roman" w:hAnsi="Times New Roman" w:cs="Times New Roman"/>
          <w:sz w:val="24"/>
          <w:szCs w:val="24"/>
        </w:rPr>
        <w:t xml:space="preserve"> is critical.</w:t>
      </w:r>
    </w:p>
    <w:p w14:paraId="27AD19D5" w14:textId="77777777" w:rsidR="00A43411" w:rsidRDefault="00A43411">
      <w:pPr>
        <w:spacing w:line="360" w:lineRule="auto"/>
        <w:rPr>
          <w:rFonts w:ascii="Times New Roman" w:hAnsi="Times New Roman" w:cs="Times New Roman"/>
          <w:b/>
          <w:bCs/>
          <w:sz w:val="24"/>
          <w:szCs w:val="24"/>
        </w:rPr>
      </w:pPr>
    </w:p>
    <w:p w14:paraId="36C4C850" w14:textId="77777777" w:rsidR="00A43411" w:rsidRDefault="00A43411">
      <w:pPr>
        <w:spacing w:line="360" w:lineRule="auto"/>
        <w:rPr>
          <w:rFonts w:ascii="Times New Roman" w:hAnsi="Times New Roman" w:cs="Times New Roman"/>
          <w:b/>
          <w:sz w:val="24"/>
          <w:szCs w:val="24"/>
        </w:rPr>
      </w:pPr>
    </w:p>
    <w:p w14:paraId="364566ED" w14:textId="77777777" w:rsidR="00A43411" w:rsidRDefault="00A43411">
      <w:pPr>
        <w:spacing w:line="360" w:lineRule="auto"/>
        <w:rPr>
          <w:rFonts w:ascii="Times New Roman" w:hAnsi="Times New Roman" w:cs="Times New Roman"/>
          <w:b/>
          <w:sz w:val="24"/>
          <w:szCs w:val="24"/>
        </w:rPr>
      </w:pPr>
    </w:p>
    <w:p w14:paraId="1F8A5EFA" w14:textId="77777777" w:rsidR="00A43411" w:rsidRDefault="00A330F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1A6A5E3C" w14:textId="77777777" w:rsidR="00A43411" w:rsidRDefault="00A330FC">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Study Area</w:t>
      </w:r>
    </w:p>
    <w:p w14:paraId="7DADED39" w14:textId="77777777" w:rsidR="00A43411" w:rsidRDefault="00A330F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was carried out at </w:t>
      </w:r>
      <w:proofErr w:type="spellStart"/>
      <w:r>
        <w:rPr>
          <w:rFonts w:ascii="Times New Roman" w:hAnsi="Times New Roman" w:cs="Times New Roman"/>
          <w:sz w:val="24"/>
          <w:szCs w:val="24"/>
        </w:rPr>
        <w:t>Navrongo</w:t>
      </w:r>
      <w:proofErr w:type="spellEnd"/>
      <w:r>
        <w:rPr>
          <w:rFonts w:ascii="Times New Roman" w:hAnsi="Times New Roman" w:cs="Times New Roman"/>
          <w:sz w:val="24"/>
          <w:szCs w:val="24"/>
        </w:rPr>
        <w:t xml:space="preserve">, located in the </w:t>
      </w:r>
      <w:proofErr w:type="spellStart"/>
      <w:r>
        <w:rPr>
          <w:rFonts w:ascii="Times New Roman" w:hAnsi="Times New Roman" w:cs="Times New Roman"/>
          <w:sz w:val="24"/>
          <w:szCs w:val="24"/>
        </w:rPr>
        <w:t>Kassena-Nankana</w:t>
      </w:r>
      <w:proofErr w:type="spellEnd"/>
      <w:r>
        <w:rPr>
          <w:rFonts w:ascii="Times New Roman" w:hAnsi="Times New Roman" w:cs="Times New Roman"/>
          <w:sz w:val="24"/>
          <w:szCs w:val="24"/>
        </w:rPr>
        <w:t xml:space="preserve"> Municipality of the Upper East Region of Ghana. This region is characterized by its unique biodiversity and is home to various medicinal plants, making it an ideal location for this research.</w:t>
      </w:r>
    </w:p>
    <w:p w14:paraId="1472A436"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Collection</w:t>
      </w:r>
    </w:p>
    <w:p w14:paraId="0D1272E1"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Matured fresh barks of </w:t>
      </w:r>
      <w:bookmarkStart w:id="2" w:name="_Hlk215596416"/>
      <w:proofErr w:type="spellStart"/>
      <w:r>
        <w:rPr>
          <w:rFonts w:ascii="Times New Roman" w:hAnsi="Times New Roman" w:cs="Times New Roman"/>
          <w:i/>
          <w:iCs/>
          <w:sz w:val="24"/>
          <w:szCs w:val="24"/>
        </w:rPr>
        <w:t>Tamarindus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Adansonia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Vitellaria </w:t>
      </w:r>
      <w:proofErr w:type="spellStart"/>
      <w:r>
        <w:rPr>
          <w:rFonts w:ascii="Times New Roman" w:hAnsi="Times New Roman" w:cs="Times New Roman"/>
          <w:i/>
          <w:iCs/>
          <w:sz w:val="24"/>
          <w:szCs w:val="24"/>
        </w:rPr>
        <w:t>paradoxa</w:t>
      </w:r>
      <w:proofErr w:type="spellEnd"/>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were collected </w:t>
      </w:r>
      <w:r>
        <w:rPr>
          <w:rFonts w:ascii="Times New Roman" w:eastAsia="DengXian" w:hAnsi="Times New Roman" w:cs="Times New Roman"/>
          <w:sz w:val="24"/>
          <w:szCs w:val="24"/>
          <w:lang w:eastAsia="zh-CN"/>
        </w:rPr>
        <w:t xml:space="preserve">aseptically from </w:t>
      </w:r>
      <w:proofErr w:type="spellStart"/>
      <w:r>
        <w:rPr>
          <w:rFonts w:ascii="Times New Roman" w:eastAsia="DengXian" w:hAnsi="Times New Roman" w:cs="Times New Roman"/>
          <w:sz w:val="24"/>
          <w:szCs w:val="24"/>
          <w:lang w:eastAsia="zh-CN"/>
        </w:rPr>
        <w:t>Navrongo</w:t>
      </w:r>
      <w:proofErr w:type="spellEnd"/>
      <w:r>
        <w:rPr>
          <w:rFonts w:ascii="Times New Roman" w:eastAsia="DengXian" w:hAnsi="Times New Roman" w:cs="Times New Roman"/>
          <w:sz w:val="24"/>
          <w:szCs w:val="24"/>
          <w:lang w:eastAsia="zh-CN"/>
        </w:rPr>
        <w:t xml:space="preserve"> into polyethylene bags, each using a sterile cutlass</w:t>
      </w:r>
      <w:r>
        <w:rPr>
          <w:rFonts w:ascii="Times New Roman" w:hAnsi="Times New Roman" w:cs="Times New Roman"/>
          <w:sz w:val="24"/>
          <w:szCs w:val="24"/>
        </w:rPr>
        <w:t xml:space="preserve">. </w:t>
      </w:r>
      <w:r>
        <w:rPr>
          <w:rFonts w:ascii="Times New Roman" w:eastAsia="DengXian" w:hAnsi="Times New Roman" w:cs="Times New Roman"/>
          <w:sz w:val="24"/>
          <w:szCs w:val="24"/>
          <w:lang w:eastAsia="zh-CN"/>
        </w:rPr>
        <w:t xml:space="preserve">Plant samples were identified and validated by a botanist at the Department of Applied Biology at C.K. </w:t>
      </w:r>
      <w:proofErr w:type="spellStart"/>
      <w:r>
        <w:rPr>
          <w:rFonts w:ascii="Times New Roman" w:eastAsia="DengXian" w:hAnsi="Times New Roman" w:cs="Times New Roman"/>
          <w:sz w:val="24"/>
          <w:szCs w:val="24"/>
          <w:lang w:eastAsia="zh-CN"/>
        </w:rPr>
        <w:t>Tedam</w:t>
      </w:r>
      <w:proofErr w:type="spellEnd"/>
      <w:r>
        <w:rPr>
          <w:rFonts w:ascii="Times New Roman" w:eastAsia="DengXian" w:hAnsi="Times New Roman" w:cs="Times New Roman"/>
          <w:sz w:val="24"/>
          <w:szCs w:val="24"/>
          <w:lang w:eastAsia="zh-CN"/>
        </w:rPr>
        <w:t xml:space="preserve"> University of Technology and Applied Sciences. The selected plant materials were based on the plant's health, maturity, and accessibility.</w:t>
      </w:r>
    </w:p>
    <w:p w14:paraId="17CDCB40"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Collection of Pathogens</w:t>
      </w:r>
    </w:p>
    <w:p w14:paraId="4CFB21DA"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Clinical isolates of </w:t>
      </w:r>
      <w:r>
        <w:rPr>
          <w:rFonts w:ascii="Times New Roman" w:hAnsi="Times New Roman" w:cs="Times New Roman"/>
          <w:i/>
          <w:iCs/>
          <w:sz w:val="24"/>
          <w:szCs w:val="24"/>
        </w:rPr>
        <w:t>E. coli, S. aureus, S. pneumoniae</w:t>
      </w:r>
      <w:r>
        <w:rPr>
          <w:rFonts w:ascii="Times New Roman" w:hAnsi="Times New Roman" w:cs="Times New Roman"/>
          <w:sz w:val="24"/>
          <w:szCs w:val="24"/>
        </w:rPr>
        <w:t xml:space="preserve">, and </w:t>
      </w:r>
      <w:r>
        <w:rPr>
          <w:rFonts w:ascii="Times New Roman" w:hAnsi="Times New Roman" w:cs="Times New Roman"/>
          <w:i/>
          <w:iCs/>
          <w:sz w:val="24"/>
          <w:szCs w:val="24"/>
        </w:rPr>
        <w:t>S. typhi</w:t>
      </w:r>
      <w:r>
        <w:rPr>
          <w:rFonts w:ascii="Times New Roman" w:hAnsi="Times New Roman" w:cs="Times New Roman"/>
          <w:sz w:val="24"/>
          <w:szCs w:val="24"/>
        </w:rPr>
        <w:t xml:space="preserve"> were procured from the microbiology laboratory at the Department of Applied Biology, C. K. </w:t>
      </w:r>
      <w:proofErr w:type="spellStart"/>
      <w:r>
        <w:rPr>
          <w:rFonts w:ascii="Times New Roman" w:hAnsi="Times New Roman" w:cs="Times New Roman"/>
          <w:sz w:val="24"/>
          <w:szCs w:val="24"/>
        </w:rPr>
        <w:t>Tedam</w:t>
      </w:r>
      <w:proofErr w:type="spellEnd"/>
      <w:r>
        <w:rPr>
          <w:rFonts w:ascii="Times New Roman" w:hAnsi="Times New Roman" w:cs="Times New Roman"/>
          <w:sz w:val="24"/>
          <w:szCs w:val="24"/>
        </w:rPr>
        <w:t xml:space="preserve"> University of Technology and Applied Sciences. These pathogens were selected based on their clinical relevance and prevalence in public health settings. </w:t>
      </w:r>
    </w:p>
    <w:p w14:paraId="594E8C99"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Plant </w:t>
      </w:r>
      <w:r>
        <w:rPr>
          <w:rFonts w:ascii="Times New Roman" w:hAnsi="Times New Roman" w:cs="Times New Roman"/>
          <w:b/>
          <w:bCs/>
          <w:sz w:val="24"/>
          <w:szCs w:val="24"/>
        </w:rPr>
        <w:t>Extracts Preparation</w:t>
      </w:r>
    </w:p>
    <w:p w14:paraId="3574B2B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bark samples of </w:t>
      </w:r>
      <w:proofErr w:type="spellStart"/>
      <w:r>
        <w:rPr>
          <w:rFonts w:ascii="Times New Roman" w:hAnsi="Times New Roman" w:cs="Times New Roman"/>
          <w:i/>
          <w:iCs/>
          <w:sz w:val="24"/>
          <w:szCs w:val="24"/>
        </w:rPr>
        <w:t>Tamarindus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Adansonia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Vitellaria </w:t>
      </w:r>
      <w:proofErr w:type="spellStart"/>
      <w:r>
        <w:rPr>
          <w:rFonts w:ascii="Times New Roman" w:hAnsi="Times New Roman" w:cs="Times New Roman"/>
          <w:i/>
          <w:iCs/>
          <w:sz w:val="24"/>
          <w:szCs w:val="24"/>
        </w:rPr>
        <w:t>paradoxa</w:t>
      </w:r>
      <w:proofErr w:type="spellEnd"/>
      <w:r>
        <w:rPr>
          <w:rFonts w:ascii="Times New Roman" w:hAnsi="Times New Roman" w:cs="Times New Roman"/>
          <w:sz w:val="24"/>
          <w:szCs w:val="24"/>
        </w:rPr>
        <w:t xml:space="preserve"> collected were air-dried, independently crushed into powder using an electric grinder, and extracted using hot aqueous water, methanol (70%) and ethanol (70%) as solvents.</w:t>
      </w:r>
    </w:p>
    <w:p w14:paraId="58F89D86"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Approximately, 50g of the powdered leaves was weighed using a balance and dissolved in 500ml of water, methanol, and ethanol separately </w:t>
      </w:r>
      <w:proofErr w:type="gramStart"/>
      <w:r>
        <w:rPr>
          <w:rFonts w:ascii="Times New Roman" w:hAnsi="Times New Roman" w:cs="Times New Roman"/>
          <w:sz w:val="24"/>
          <w:szCs w:val="24"/>
        </w:rPr>
        <w:t>( i.e.</w:t>
      </w:r>
      <w:proofErr w:type="gramEnd"/>
      <w:r>
        <w:rPr>
          <w:rFonts w:ascii="Times New Roman" w:hAnsi="Times New Roman" w:cs="Times New Roman"/>
          <w:sz w:val="24"/>
          <w:szCs w:val="24"/>
        </w:rPr>
        <w:t xml:space="preserve">, in the ratio 1:10). The mixtures were agitated for 3 hours and then for 3 days. The soaked materials were filtered into clean containers using </w:t>
      </w:r>
      <w:proofErr w:type="spellStart"/>
      <w:r>
        <w:rPr>
          <w:rFonts w:ascii="Times New Roman" w:hAnsi="Times New Roman" w:cs="Times New Roman"/>
          <w:sz w:val="24"/>
          <w:szCs w:val="24"/>
        </w:rPr>
        <w:t>Whattman’s</w:t>
      </w:r>
      <w:proofErr w:type="spellEnd"/>
      <w:r>
        <w:rPr>
          <w:rFonts w:ascii="Times New Roman" w:hAnsi="Times New Roman" w:cs="Times New Roman"/>
          <w:sz w:val="24"/>
          <w:szCs w:val="24"/>
        </w:rPr>
        <w:t xml:space="preserve"> No.1 filter paper. The resulting filtrates were evaporated to dryness using a boiling water bath. The yields were separately weighed and kept in a refrigerator for further use.</w:t>
      </w:r>
    </w:p>
    <w:p w14:paraId="54BFFA5D"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Hot Aqueous Extracts</w:t>
      </w:r>
      <w:r>
        <w:rPr>
          <w:rFonts w:ascii="Times New Roman" w:hAnsi="Times New Roman" w:cs="Times New Roman"/>
          <w:sz w:val="24"/>
          <w:szCs w:val="24"/>
        </w:rPr>
        <w:t>: Ten grams of finely ground bark powder were weighed and placed in separate conical flasks containing 90 mL of distilled water. The mixtures were heated to boiling in a water bath, cooled to room temperature, filtered through Whatman No. 1 filter paper, and stored at 4 °C.</w:t>
      </w:r>
    </w:p>
    <w:p w14:paraId="63F4B612"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Ethanolic Extracts</w:t>
      </w:r>
      <w:r>
        <w:rPr>
          <w:rFonts w:ascii="Times New Roman" w:hAnsi="Times New Roman" w:cs="Times New Roman"/>
          <w:sz w:val="24"/>
          <w:szCs w:val="24"/>
        </w:rPr>
        <w:t>: The bark powder was mixed with 90 mL of 70% ethanol in separate flasks and allowed to rest for 24 hours. Following filtration, the extracts were concentrated and stored at 4 °C.</w:t>
      </w:r>
    </w:p>
    <w:p w14:paraId="3DF9CD2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Methanolic Extracts</w:t>
      </w:r>
      <w:r>
        <w:rPr>
          <w:rFonts w:ascii="Times New Roman" w:hAnsi="Times New Roman" w:cs="Times New Roman"/>
          <w:sz w:val="24"/>
          <w:szCs w:val="24"/>
        </w:rPr>
        <w:t>: Similar to the ethanolic process, the bark powder was mixed with 90 mL of 70% methanol and allowed to rest for 24 hours. The resulting extracts were filtered, concentrated, and stored at 4 °C.</w:t>
      </w:r>
    </w:p>
    <w:p w14:paraId="333FE0E7"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Antimicrobial Sensitivity Testing</w:t>
      </w:r>
    </w:p>
    <w:p w14:paraId="34A3DD4D"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The bacteria strains were sub-cultured on Mueller Hinton Agar (MHA) and incubated at 37 °C for 48 h. Fresh sub cultures were used in the antimicrobial activity assays as described below.</w:t>
      </w:r>
    </w:p>
    <w:p w14:paraId="0D6DB59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Agar well diffusion assay was used to determine the zone of inhibition for the different plant extracts and extract combinations. Mueller-Hinton agar plates were prepared, and clinical isolates were spread uniformly across the surface. Wells were created using a sterile cork borer, and 100 µl of the standardized bacterial inoculum was inoculated onto the surface of Mueller-Hinton Agar plates under aseptic conditions. The inoculum was spread evenly using a sterile swab to ensure uniform bacterial growth. A 0.5 mL of each plant extract was injected into each well and allowed to stand and settle for some minutes. For positive control, 0.5mg/mL of Ciprofloxacin and 0.5ml of water were used as negative control. These were incubated at 37°C for 24 hours, and after incubation, the zones of inhibition were measured using a transparent ruler, and the results were recorded in millimeters. The experiments were done in duplicates and the mean values are presented.</w:t>
      </w:r>
    </w:p>
    <w:p w14:paraId="44DBCA1A"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Phytochemical Screening of the Plants</w:t>
      </w:r>
    </w:p>
    <w:p w14:paraId="3EE5316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Qualitative screening for the presence of the following phytochemicals; alkaloids, flavonoids, phenols, saponins, tannins and glycosides using aqueous hot water, methanol and ethanol extracts were done, following the standard methods of (</w:t>
      </w:r>
      <w:r w:rsidR="00A646A0">
        <w:rPr>
          <w:rFonts w:ascii="Times New Roman" w:hAnsi="Times New Roman" w:cs="Times New Roman"/>
          <w:sz w:val="24"/>
          <w:szCs w:val="24"/>
        </w:rPr>
        <w:t xml:space="preserve">Yadav and </w:t>
      </w:r>
      <w:proofErr w:type="spellStart"/>
      <w:r w:rsidR="00A646A0">
        <w:rPr>
          <w:rFonts w:ascii="Times New Roman" w:hAnsi="Times New Roman" w:cs="Times New Roman"/>
          <w:sz w:val="24"/>
          <w:szCs w:val="24"/>
        </w:rPr>
        <w:t>Agarwala</w:t>
      </w:r>
      <w:proofErr w:type="spellEnd"/>
      <w:r w:rsidR="00A646A0">
        <w:rPr>
          <w:rFonts w:ascii="Times New Roman" w:hAnsi="Times New Roman" w:cs="Times New Roman"/>
          <w:sz w:val="24"/>
          <w:szCs w:val="24"/>
        </w:rPr>
        <w:t>, 2011</w:t>
      </w:r>
      <w:bookmarkStart w:id="3" w:name="_Toc211495246"/>
      <w:r w:rsidR="00A646A0">
        <w:rPr>
          <w:rFonts w:ascii="Times New Roman" w:hAnsi="Times New Roman" w:cs="Times New Roman"/>
          <w:sz w:val="24"/>
          <w:szCs w:val="24"/>
        </w:rPr>
        <w:t>;</w:t>
      </w:r>
      <w:bookmarkEnd w:id="3"/>
      <w:r w:rsidR="00A646A0">
        <w:rPr>
          <w:rFonts w:ascii="Times New Roman" w:hAnsi="Times New Roman" w:cs="Times New Roman"/>
          <w:sz w:val="24"/>
          <w:szCs w:val="24"/>
        </w:rPr>
        <w:t xml:space="preserve">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w:t>
      </w:r>
      <w:bookmarkStart w:id="4" w:name="_Toc211495242"/>
      <w:r>
        <w:rPr>
          <w:rFonts w:ascii="Times New Roman" w:hAnsi="Times New Roman" w:cs="Times New Roman"/>
          <w:sz w:val="24"/>
          <w:szCs w:val="24"/>
        </w:rPr>
        <w:t>;</w:t>
      </w:r>
      <w:r>
        <w:rPr>
          <w:rFonts w:ascii="Times New Roman" w:hAnsi="Times New Roman" w:cs="Times New Roman"/>
          <w:bCs/>
          <w:sz w:val="24"/>
          <w:szCs w:val="24"/>
        </w:rPr>
        <w:t xml:space="preserve"> </w:t>
      </w:r>
      <w:bookmarkEnd w:id="4"/>
      <w:proofErr w:type="spellStart"/>
      <w:r>
        <w:rPr>
          <w:rFonts w:ascii="Times New Roman" w:hAnsi="Times New Roman" w:cs="Times New Roman"/>
          <w:sz w:val="24"/>
          <w:szCs w:val="24"/>
        </w:rPr>
        <w:t>Teli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2015;</w:t>
      </w:r>
      <w:bookmarkStart w:id="5" w:name="_Toc211495245"/>
      <w:r>
        <w:rPr>
          <w:rFonts w:ascii="Times New Roman" w:hAnsi="Times New Roman" w:cs="Times New Roman"/>
          <w:bCs/>
          <w:sz w:val="24"/>
          <w:szCs w:val="24"/>
        </w:rPr>
        <w:t xml:space="preserve"> </w:t>
      </w:r>
      <w:bookmarkEnd w:id="5"/>
      <w:r w:rsidR="00A646A0">
        <w:rPr>
          <w:rFonts w:ascii="Times New Roman" w:hAnsi="Times New Roman" w:cs="Times New Roman"/>
          <w:sz w:val="24"/>
          <w:szCs w:val="24"/>
        </w:rPr>
        <w:t xml:space="preserve">Manikandan </w:t>
      </w:r>
      <w:r w:rsidR="00A646A0">
        <w:rPr>
          <w:rFonts w:ascii="Times New Roman" w:hAnsi="Times New Roman" w:cs="Times New Roman"/>
          <w:i/>
          <w:iCs/>
          <w:sz w:val="24"/>
          <w:szCs w:val="24"/>
        </w:rPr>
        <w:t>et al.,</w:t>
      </w:r>
      <w:r w:rsidR="00A646A0">
        <w:rPr>
          <w:rFonts w:ascii="Times New Roman" w:hAnsi="Times New Roman" w:cs="Times New Roman"/>
          <w:sz w:val="24"/>
          <w:szCs w:val="24"/>
        </w:rPr>
        <w:t xml:space="preserve"> 2016; </w:t>
      </w:r>
      <w:r>
        <w:rPr>
          <w:rFonts w:ascii="Times New Roman" w:hAnsi="Times New Roman" w:cs="Times New Roman"/>
          <w:sz w:val="24"/>
          <w:szCs w:val="24"/>
        </w:rPr>
        <w:t xml:space="preserve">Gul </w:t>
      </w:r>
      <w:r>
        <w:rPr>
          <w:rFonts w:ascii="Times New Roman" w:hAnsi="Times New Roman" w:cs="Times New Roman"/>
          <w:i/>
          <w:iCs/>
          <w:sz w:val="24"/>
          <w:szCs w:val="24"/>
        </w:rPr>
        <w:t>et al.,</w:t>
      </w:r>
      <w:r>
        <w:rPr>
          <w:rFonts w:ascii="Times New Roman" w:hAnsi="Times New Roman" w:cs="Times New Roman"/>
          <w:sz w:val="24"/>
          <w:szCs w:val="24"/>
        </w:rPr>
        <w:t xml:space="preserve"> 2017). </w:t>
      </w:r>
    </w:p>
    <w:p w14:paraId="79A4C362" w14:textId="77777777" w:rsidR="00A43411" w:rsidRDefault="00A330F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analysis </w:t>
      </w:r>
    </w:p>
    <w:p w14:paraId="40E882AF"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data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sidR="00A646A0">
        <w:rPr>
          <w:rFonts w:ascii="Times New Roman" w:hAnsi="Times New Roman" w:cs="Times New Roman"/>
          <w:sz w:val="24"/>
          <w:szCs w:val="24"/>
        </w:rPr>
        <w:t>statistically using</w:t>
      </w:r>
      <w:r>
        <w:rPr>
          <w:rFonts w:ascii="Times New Roman" w:hAnsi="Times New Roman" w:cs="Times New Roman"/>
          <w:sz w:val="24"/>
          <w:szCs w:val="24"/>
        </w:rPr>
        <w:t xml:space="preserve"> SPSS Statistics version 25. The data were presented as mean ± standard deviation in the form of tables. </w:t>
      </w:r>
      <w:r>
        <w:rPr>
          <w:rFonts w:ascii="Times New Roman" w:hAnsi="Times New Roman" w:cs="Times New Roman"/>
          <w:sz w:val="24"/>
          <w:szCs w:val="24"/>
          <w14:ligatures w14:val="none"/>
        </w:rPr>
        <w:t xml:space="preserve">A One-Way ANOVA analysis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for statistical differences in the mean zones of inhibition of the different extracts and </w:t>
      </w:r>
      <w:r>
        <w:rPr>
          <w:rFonts w:ascii="Times New Roman" w:hAnsi="Times New Roman" w:cs="Times New Roman"/>
          <w:sz w:val="24"/>
          <w:szCs w:val="24"/>
        </w:rPr>
        <w:lastRenderedPageBreak/>
        <w:t>combinations against the test microorganisms</w:t>
      </w:r>
      <w:r>
        <w:rPr>
          <w:rFonts w:ascii="Times New Roman" w:hAnsi="Times New Roman" w:cs="Times New Roman"/>
          <w:sz w:val="24"/>
          <w:szCs w:val="24"/>
          <w14:ligatures w14:val="none"/>
        </w:rPr>
        <w:t xml:space="preserve">. </w:t>
      </w:r>
      <w:r>
        <w:rPr>
          <w:rFonts w:ascii="Times New Roman" w:hAnsi="Times New Roman" w:cs="Times New Roman"/>
          <w:sz w:val="24"/>
          <w:szCs w:val="24"/>
        </w:rPr>
        <w:t>All statistical tests were carried out at a 5% level of significance (</w:t>
      </w:r>
      <w:r>
        <w:rPr>
          <w:rFonts w:ascii="Times New Roman" w:hAnsi="Times New Roman" w:cs="Times New Roman"/>
          <w:i/>
          <w:iCs/>
          <w:sz w:val="24"/>
          <w:szCs w:val="24"/>
          <w14:ligatures w14:val="none"/>
        </w:rPr>
        <w:t>p</w:t>
      </w:r>
      <w:r>
        <w:rPr>
          <w:rFonts w:ascii="Times New Roman" w:hAnsi="Times New Roman" w:cs="Times New Roman"/>
          <w:sz w:val="24"/>
          <w:szCs w:val="24"/>
          <w14:ligatures w14:val="none"/>
        </w:rPr>
        <w:t xml:space="preserve"> ≤ 0.05). </w:t>
      </w:r>
      <w:r>
        <w:rPr>
          <w:rFonts w:ascii="Times New Roman" w:hAnsi="Times New Roman" w:cs="Times New Roman"/>
          <w:sz w:val="24"/>
          <w:szCs w:val="24"/>
        </w:rPr>
        <w:t xml:space="preserve"> </w:t>
      </w:r>
      <w:bookmarkStart w:id="6" w:name="_Hlk217550015"/>
      <w:bookmarkEnd w:id="6"/>
    </w:p>
    <w:p w14:paraId="32EA459F"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607DBAA1" w14:textId="77777777" w:rsidR="00A43411" w:rsidRDefault="00A330F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In all the antibacterial activity tables, </w:t>
      </w:r>
      <w:r>
        <w:rPr>
          <w:rFonts w:ascii="Times New Roman" w:hAnsi="Times New Roman" w:cs="Times New Roman"/>
          <w:sz w:val="24"/>
          <w:szCs w:val="24"/>
        </w:rPr>
        <w:t xml:space="preserve">the hot aqueous extract exhibited significantly higher antibacterial activity than all the other extracts against </w:t>
      </w:r>
      <w:r>
        <w:rPr>
          <w:rFonts w:ascii="Times New Roman" w:hAnsi="Times New Roman" w:cs="Times New Roman"/>
          <w:bCs/>
          <w:i/>
          <w:sz w:val="24"/>
          <w:szCs w:val="24"/>
        </w:rPr>
        <w:t>S. aureus</w:t>
      </w:r>
      <w:r>
        <w:rPr>
          <w:rFonts w:ascii="Times New Roman" w:hAnsi="Times New Roman" w:cs="Times New Roman"/>
          <w:sz w:val="24"/>
          <w:szCs w:val="24"/>
        </w:rPr>
        <w:t xml:space="preserve">, </w:t>
      </w:r>
      <w:r>
        <w:rPr>
          <w:rFonts w:ascii="Times New Roman" w:hAnsi="Times New Roman" w:cs="Times New Roman"/>
          <w:i/>
          <w:sz w:val="24"/>
          <w:szCs w:val="24"/>
        </w:rPr>
        <w:t>E. coli</w:t>
      </w:r>
      <w:r>
        <w:rPr>
          <w:rFonts w:ascii="Times New Roman" w:hAnsi="Times New Roman" w:cs="Times New Roman"/>
          <w:sz w:val="24"/>
          <w:szCs w:val="24"/>
        </w:rPr>
        <w:t>,</w:t>
      </w:r>
      <w:r>
        <w:rPr>
          <w:rFonts w:ascii="Times New Roman" w:hAnsi="Times New Roman" w:cs="Times New Roman"/>
          <w:i/>
          <w:sz w:val="24"/>
          <w:szCs w:val="24"/>
        </w:rPr>
        <w:t xml:space="preserve"> S. typhi</w:t>
      </w:r>
      <w:r>
        <w:rPr>
          <w:rFonts w:ascii="Times New Roman" w:hAnsi="Times New Roman" w:cs="Times New Roman"/>
          <w:sz w:val="24"/>
          <w:szCs w:val="24"/>
        </w:rPr>
        <w:t xml:space="preserve"> and </w:t>
      </w:r>
      <w:r>
        <w:rPr>
          <w:rFonts w:ascii="Times New Roman" w:hAnsi="Times New Roman" w:cs="Times New Roman"/>
          <w:i/>
          <w:sz w:val="24"/>
          <w:szCs w:val="24"/>
        </w:rPr>
        <w:t>S. pneumonia</w:t>
      </w:r>
      <w:r>
        <w:rPr>
          <w:rFonts w:ascii="Times New Roman" w:hAnsi="Times New Roman" w:cs="Times New Roman"/>
          <w:sz w:val="24"/>
          <w:szCs w:val="24"/>
        </w:rPr>
        <w:t xml:space="preserve"> at p &lt; 0.05. Although methanolic and ethanolic extract although </w:t>
      </w:r>
      <w:bookmarkStart w:id="7" w:name="_Hlk217503886"/>
      <w:r>
        <w:rPr>
          <w:rFonts w:ascii="Times New Roman" w:hAnsi="Times New Roman" w:cs="Times New Roman"/>
          <w:sz w:val="24"/>
          <w:szCs w:val="24"/>
        </w:rPr>
        <w:t xml:space="preserve">showed slightly larger inhibition zones, the differences were not statistically significant (p &gt; 0.05). </w:t>
      </w:r>
      <w:bookmarkEnd w:id="7"/>
      <w:r>
        <w:rPr>
          <w:rFonts w:ascii="Times New Roman" w:hAnsi="Times New Roman" w:cs="Times New Roman"/>
          <w:sz w:val="24"/>
          <w:szCs w:val="24"/>
          <w14:ligatures w14:val="none"/>
        </w:rPr>
        <w:t>The results indicate that hot aqueous extract may possess stronger antimicrobial constituents, possibly due to floral source variations or contents.</w:t>
      </w:r>
    </w:p>
    <w:p w14:paraId="526D9278" w14:textId="77777777" w:rsidR="00A43411" w:rsidRDefault="00A330F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1</w:t>
      </w:r>
      <w:r>
        <w:rPr>
          <w:rFonts w:ascii="Times New Roman" w:hAnsi="Times New Roman" w:cs="Times New Roman"/>
          <w:sz w:val="24"/>
          <w:szCs w:val="24"/>
        </w:rPr>
        <w:t xml:space="preserve"> shows the antibacterial activities of shea bark extracts. </w:t>
      </w:r>
      <w:bookmarkStart w:id="8" w:name="_Hlk217552028"/>
      <w:bookmarkStart w:id="9" w:name="_Hlk217551659"/>
      <w:r>
        <w:rPr>
          <w:rFonts w:ascii="Times New Roman" w:hAnsi="Times New Roman" w:cs="Times New Roman"/>
          <w:sz w:val="24"/>
          <w:szCs w:val="24"/>
        </w:rPr>
        <w:t xml:space="preserve">The hot aqueous extract exhibited significantly higher antibacterial activity against </w:t>
      </w:r>
      <w:r>
        <w:rPr>
          <w:rFonts w:ascii="Times New Roman" w:hAnsi="Times New Roman" w:cs="Times New Roman"/>
          <w:bCs/>
          <w:i/>
          <w:sz w:val="24"/>
          <w:szCs w:val="24"/>
        </w:rPr>
        <w:t>S. aureus</w:t>
      </w:r>
      <w:r>
        <w:rPr>
          <w:rFonts w:ascii="Times New Roman" w:hAnsi="Times New Roman" w:cs="Times New Roman"/>
          <w:sz w:val="24"/>
          <w:szCs w:val="24"/>
        </w:rPr>
        <w:t xml:space="preserve"> (31.5 mm) </w:t>
      </w:r>
      <w:bookmarkEnd w:id="8"/>
      <w:r>
        <w:rPr>
          <w:rFonts w:ascii="Times New Roman" w:hAnsi="Times New Roman" w:cs="Times New Roman"/>
          <w:sz w:val="24"/>
          <w:szCs w:val="24"/>
        </w:rPr>
        <w:t xml:space="preserve">while the methanolic extract showed notable inhibition against </w:t>
      </w:r>
      <w:r>
        <w:rPr>
          <w:rFonts w:ascii="Times New Roman" w:hAnsi="Times New Roman" w:cs="Times New Roman"/>
          <w:bCs/>
          <w:i/>
          <w:sz w:val="24"/>
          <w:szCs w:val="24"/>
        </w:rPr>
        <w:t>S. typhi</w:t>
      </w:r>
      <w:r>
        <w:rPr>
          <w:rFonts w:ascii="Times New Roman" w:hAnsi="Times New Roman" w:cs="Times New Roman"/>
          <w:sz w:val="24"/>
          <w:szCs w:val="24"/>
        </w:rPr>
        <w:t xml:space="preserve"> (28.5 mm), </w:t>
      </w:r>
      <w:r>
        <w:rPr>
          <w:rFonts w:ascii="Times New Roman" w:hAnsi="Times New Roman" w:cs="Times New Roman"/>
          <w:i/>
          <w:sz w:val="24"/>
          <w:szCs w:val="24"/>
        </w:rPr>
        <w:t>E. coli</w:t>
      </w:r>
      <w:r>
        <w:rPr>
          <w:rFonts w:ascii="Times New Roman" w:hAnsi="Times New Roman" w:cs="Times New Roman"/>
          <w:sz w:val="24"/>
          <w:szCs w:val="24"/>
        </w:rPr>
        <w:t xml:space="preserve"> (30.5 mm) and </w:t>
      </w:r>
      <w:r>
        <w:rPr>
          <w:rFonts w:ascii="Times New Roman" w:hAnsi="Times New Roman" w:cs="Times New Roman"/>
          <w:i/>
          <w:sz w:val="24"/>
          <w:szCs w:val="24"/>
        </w:rPr>
        <w:t>S. typhi</w:t>
      </w:r>
      <w:r>
        <w:rPr>
          <w:rFonts w:ascii="Times New Roman" w:hAnsi="Times New Roman" w:cs="Times New Roman"/>
          <w:sz w:val="24"/>
          <w:szCs w:val="24"/>
        </w:rPr>
        <w:t xml:space="preserve"> (30.5 mm). </w:t>
      </w:r>
      <w:bookmarkStart w:id="10" w:name="_Hlk217552150"/>
      <w:r>
        <w:rPr>
          <w:rFonts w:ascii="Times New Roman" w:hAnsi="Times New Roman" w:cs="Times New Roman"/>
          <w:sz w:val="24"/>
          <w:szCs w:val="24"/>
        </w:rPr>
        <w:t xml:space="preserve">The ethanolic extract had the least antibacterial activity (17.5mm), showed slightly larger inhibition zones, the differences were not statistically significant. </w:t>
      </w:r>
      <w:bookmarkEnd w:id="9"/>
      <w:bookmarkEnd w:id="10"/>
    </w:p>
    <w:p w14:paraId="5098F995" w14:textId="77777777" w:rsidR="00A43411" w:rsidRDefault="00A43411">
      <w:pPr>
        <w:spacing w:after="0" w:line="360" w:lineRule="auto"/>
        <w:jc w:val="both"/>
        <w:rPr>
          <w:rFonts w:ascii="Times New Roman" w:hAnsi="Times New Roman" w:cs="Times New Roman"/>
          <w:sz w:val="24"/>
          <w:szCs w:val="24"/>
        </w:rPr>
      </w:pPr>
    </w:p>
    <w:p w14:paraId="17ABA9DD" w14:textId="77777777" w:rsidR="00A43411" w:rsidRDefault="00A43411">
      <w:pPr>
        <w:spacing w:after="0" w:line="360" w:lineRule="auto"/>
        <w:jc w:val="both"/>
        <w:rPr>
          <w:rFonts w:ascii="Times New Roman" w:hAnsi="Times New Roman" w:cs="Times New Roman"/>
          <w:sz w:val="24"/>
          <w:szCs w:val="24"/>
        </w:rPr>
      </w:pPr>
    </w:p>
    <w:p w14:paraId="2FA049DE" w14:textId="77777777" w:rsidR="00A43411" w:rsidRDefault="00A330FC">
      <w:pPr>
        <w:jc w:val="center"/>
        <w:rPr>
          <w:rFonts w:ascii="Times New Roman" w:hAnsi="Times New Roman" w:cs="Times New Roman"/>
          <w:sz w:val="24"/>
          <w:szCs w:val="24"/>
        </w:rPr>
      </w:pPr>
      <w:r>
        <w:rPr>
          <w:rFonts w:ascii="Times New Roman" w:hAnsi="Times New Roman" w:cs="Times New Roman"/>
          <w:b/>
          <w:bCs/>
          <w:sz w:val="24"/>
          <w:szCs w:val="24"/>
        </w:rPr>
        <w:t xml:space="preserve">Table 1: Antibacterial Activities of </w:t>
      </w:r>
      <w:r>
        <w:rPr>
          <w:rFonts w:ascii="Times New Roman" w:hAnsi="Times New Roman" w:cs="Times New Roman"/>
          <w:b/>
          <w:bCs/>
          <w:i/>
          <w:sz w:val="24"/>
          <w:szCs w:val="24"/>
        </w:rPr>
        <w:t xml:space="preserve">Vitellaria </w:t>
      </w:r>
      <w:proofErr w:type="spellStart"/>
      <w:r>
        <w:rPr>
          <w:rFonts w:ascii="Times New Roman" w:hAnsi="Times New Roman" w:cs="Times New Roman"/>
          <w:b/>
          <w:bCs/>
          <w:i/>
          <w:sz w:val="24"/>
          <w:szCs w:val="24"/>
        </w:rPr>
        <w:t>paradoxa</w:t>
      </w:r>
      <w:proofErr w:type="spellEnd"/>
      <w:r>
        <w:rPr>
          <w:rFonts w:ascii="Times New Roman" w:hAnsi="Times New Roman" w:cs="Times New Roman"/>
          <w:b/>
          <w:bCs/>
          <w:sz w:val="24"/>
          <w:szCs w:val="24"/>
        </w:rPr>
        <w:t xml:space="preserve"> (Shea) Bark Extract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701"/>
        <w:gridCol w:w="1918"/>
        <w:gridCol w:w="1402"/>
        <w:gridCol w:w="2304"/>
      </w:tblGrid>
      <w:tr w:rsidR="00A43411" w14:paraId="70A4EBB9" w14:textId="77777777">
        <w:trPr>
          <w:tblHeader/>
          <w:tblCellSpacing w:w="15" w:type="dxa"/>
        </w:trPr>
        <w:tc>
          <w:tcPr>
            <w:tcW w:w="1656" w:type="dxa"/>
            <w:vAlign w:val="center"/>
          </w:tcPr>
          <w:p w14:paraId="333EA789"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1671" w:type="dxa"/>
            <w:vAlign w:val="center"/>
          </w:tcPr>
          <w:p w14:paraId="05ADFD1A"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 xml:space="preserve">Hot Aqueous (mm) </w:t>
            </w:r>
          </w:p>
          <w:p w14:paraId="7ED3891C" w14:textId="77777777" w:rsidR="00A43411" w:rsidRDefault="00A43411">
            <w:pPr>
              <w:rPr>
                <w:rFonts w:ascii="Times New Roman" w:hAnsi="Times New Roman" w:cs="Times New Roman"/>
                <w:b/>
                <w:bCs/>
                <w:sz w:val="24"/>
                <w:szCs w:val="24"/>
              </w:rPr>
            </w:pPr>
          </w:p>
        </w:tc>
        <w:tc>
          <w:tcPr>
            <w:tcW w:w="1888" w:type="dxa"/>
            <w:vAlign w:val="center"/>
          </w:tcPr>
          <w:p w14:paraId="143FFFFE"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764C80D2"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6FF6F86A"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57AF3A77" w14:textId="77777777">
        <w:trPr>
          <w:tblCellSpacing w:w="15" w:type="dxa"/>
        </w:trPr>
        <w:tc>
          <w:tcPr>
            <w:tcW w:w="1656" w:type="dxa"/>
            <w:vAlign w:val="center"/>
          </w:tcPr>
          <w:p w14:paraId="01F403BC"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1671" w:type="dxa"/>
            <w:vAlign w:val="center"/>
          </w:tcPr>
          <w:p w14:paraId="093FE997" w14:textId="77777777" w:rsidR="00A43411" w:rsidRDefault="00A330FC">
            <w:pPr>
              <w:rPr>
                <w:rFonts w:ascii="Times New Roman" w:hAnsi="Times New Roman" w:cs="Times New Roman"/>
                <w:sz w:val="24"/>
                <w:szCs w:val="24"/>
              </w:rPr>
            </w:pPr>
            <w:bookmarkStart w:id="11" w:name="_Hlk217551823"/>
            <w:r>
              <w:rPr>
                <w:rFonts w:ascii="Times New Roman" w:hAnsi="Times New Roman" w:cs="Times New Roman"/>
                <w:sz w:val="24"/>
                <w:szCs w:val="24"/>
              </w:rPr>
              <w:t xml:space="preserve">30.5 </w:t>
            </w:r>
            <w:bookmarkEnd w:id="11"/>
            <w:r>
              <w:rPr>
                <w:rFonts w:ascii="Times New Roman" w:hAnsi="Times New Roman" w:cs="Times New Roman"/>
                <w:sz w:val="24"/>
                <w:szCs w:val="24"/>
              </w:rPr>
              <w:t>± 0.71</w:t>
            </w:r>
          </w:p>
        </w:tc>
        <w:tc>
          <w:tcPr>
            <w:tcW w:w="1888" w:type="dxa"/>
            <w:vAlign w:val="center"/>
          </w:tcPr>
          <w:p w14:paraId="73F0F25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0" w:type="auto"/>
            <w:vAlign w:val="center"/>
          </w:tcPr>
          <w:p w14:paraId="7D8EC69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3.54</w:t>
            </w:r>
          </w:p>
        </w:tc>
        <w:tc>
          <w:tcPr>
            <w:tcW w:w="0" w:type="auto"/>
            <w:vAlign w:val="center"/>
          </w:tcPr>
          <w:p w14:paraId="6964B63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26600D4C" w14:textId="77777777">
        <w:trPr>
          <w:tblCellSpacing w:w="15" w:type="dxa"/>
        </w:trPr>
        <w:tc>
          <w:tcPr>
            <w:tcW w:w="1656" w:type="dxa"/>
            <w:vAlign w:val="center"/>
          </w:tcPr>
          <w:p w14:paraId="7862C2F1" w14:textId="77777777" w:rsidR="00A43411" w:rsidRDefault="00A330FC">
            <w:pPr>
              <w:rPr>
                <w:rFonts w:ascii="Times New Roman" w:hAnsi="Times New Roman" w:cs="Times New Roman"/>
                <w:i/>
                <w:iCs/>
                <w:sz w:val="24"/>
                <w:szCs w:val="24"/>
              </w:rPr>
            </w:pPr>
            <w:bookmarkStart w:id="12" w:name="_Hlk217650595"/>
            <w:r>
              <w:rPr>
                <w:rFonts w:ascii="Times New Roman" w:hAnsi="Times New Roman" w:cs="Times New Roman"/>
                <w:i/>
                <w:iCs/>
                <w:sz w:val="24"/>
                <w:szCs w:val="24"/>
              </w:rPr>
              <w:t>S. aureus</w:t>
            </w:r>
          </w:p>
        </w:tc>
        <w:tc>
          <w:tcPr>
            <w:tcW w:w="1671" w:type="dxa"/>
            <w:vAlign w:val="center"/>
          </w:tcPr>
          <w:p w14:paraId="7FDD7DF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31.5 ± 1.41</w:t>
            </w:r>
          </w:p>
        </w:tc>
        <w:tc>
          <w:tcPr>
            <w:tcW w:w="1888" w:type="dxa"/>
            <w:vAlign w:val="center"/>
          </w:tcPr>
          <w:p w14:paraId="6F36C55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25.0 ± 0.00</w:t>
            </w:r>
          </w:p>
        </w:tc>
        <w:tc>
          <w:tcPr>
            <w:tcW w:w="0" w:type="auto"/>
            <w:vAlign w:val="center"/>
          </w:tcPr>
          <w:p w14:paraId="233DC5F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0.71</w:t>
            </w:r>
          </w:p>
        </w:tc>
        <w:tc>
          <w:tcPr>
            <w:tcW w:w="0" w:type="auto"/>
            <w:vAlign w:val="center"/>
          </w:tcPr>
          <w:p w14:paraId="13E07E7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117940D3" w14:textId="77777777">
        <w:trPr>
          <w:tblCellSpacing w:w="15" w:type="dxa"/>
        </w:trPr>
        <w:tc>
          <w:tcPr>
            <w:tcW w:w="1656" w:type="dxa"/>
            <w:vAlign w:val="center"/>
          </w:tcPr>
          <w:p w14:paraId="4DEAD854"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1671" w:type="dxa"/>
            <w:vAlign w:val="center"/>
          </w:tcPr>
          <w:p w14:paraId="4579DF7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28.5 ± 0.71</w:t>
            </w:r>
          </w:p>
        </w:tc>
        <w:tc>
          <w:tcPr>
            <w:tcW w:w="1888" w:type="dxa"/>
            <w:vAlign w:val="center"/>
          </w:tcPr>
          <w:p w14:paraId="6F7DAC1E"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26.0 ± 1.41</w:t>
            </w:r>
          </w:p>
        </w:tc>
        <w:tc>
          <w:tcPr>
            <w:tcW w:w="0" w:type="auto"/>
            <w:vAlign w:val="center"/>
          </w:tcPr>
          <w:p w14:paraId="4340F25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24.0 ± 1.41</w:t>
            </w:r>
          </w:p>
        </w:tc>
        <w:tc>
          <w:tcPr>
            <w:tcW w:w="0" w:type="auto"/>
            <w:vAlign w:val="center"/>
          </w:tcPr>
          <w:p w14:paraId="2D9D956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737AF346" w14:textId="77777777">
        <w:trPr>
          <w:tblCellSpacing w:w="15" w:type="dxa"/>
        </w:trPr>
        <w:tc>
          <w:tcPr>
            <w:tcW w:w="1656" w:type="dxa"/>
            <w:vAlign w:val="center"/>
          </w:tcPr>
          <w:p w14:paraId="73B89F2A"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1671" w:type="dxa"/>
            <w:vAlign w:val="center"/>
          </w:tcPr>
          <w:p w14:paraId="0CBEF72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30.5 ± 0.71</w:t>
            </w:r>
          </w:p>
        </w:tc>
        <w:tc>
          <w:tcPr>
            <w:tcW w:w="1888" w:type="dxa"/>
            <w:vAlign w:val="center"/>
          </w:tcPr>
          <w:p w14:paraId="151C9EC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28.5 ± 2.12</w:t>
            </w:r>
          </w:p>
        </w:tc>
        <w:tc>
          <w:tcPr>
            <w:tcW w:w="0" w:type="auto"/>
            <w:vAlign w:val="center"/>
          </w:tcPr>
          <w:p w14:paraId="0603618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0.71</w:t>
            </w:r>
          </w:p>
        </w:tc>
        <w:tc>
          <w:tcPr>
            <w:tcW w:w="0" w:type="auto"/>
            <w:vAlign w:val="center"/>
          </w:tcPr>
          <w:p w14:paraId="4AC144D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bookmarkEnd w:id="12"/>
          </w:p>
        </w:tc>
      </w:tr>
    </w:tbl>
    <w:p w14:paraId="4ED3B858"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2B53E1CF" w14:textId="77777777" w:rsidR="00A43411" w:rsidRDefault="00A43411">
      <w:pPr>
        <w:rPr>
          <w:rFonts w:ascii="Times New Roman" w:hAnsi="Times New Roman" w:cs="Times New Roman"/>
          <w:bCs/>
          <w:sz w:val="24"/>
          <w:szCs w:val="24"/>
        </w:rPr>
      </w:pPr>
    </w:p>
    <w:p w14:paraId="4C0A93DF" w14:textId="77777777" w:rsidR="00A43411" w:rsidRDefault="00A330F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Table 2 shows the Antibacterial Activities of </w:t>
      </w:r>
      <w:bookmarkStart w:id="13" w:name="_Hlk213847206"/>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bCs/>
          <w:sz w:val="24"/>
          <w:szCs w:val="24"/>
        </w:rPr>
        <w:t xml:space="preserve"> </w:t>
      </w:r>
      <w:bookmarkEnd w:id="13"/>
      <w:r>
        <w:rPr>
          <w:rFonts w:ascii="Times New Roman" w:hAnsi="Times New Roman" w:cs="Times New Roman"/>
          <w:bCs/>
          <w:sz w:val="24"/>
          <w:szCs w:val="24"/>
        </w:rPr>
        <w:t>(</w:t>
      </w:r>
      <w:r>
        <w:rPr>
          <w:rFonts w:ascii="Times New Roman" w:hAnsi="Times New Roman" w:cs="Times New Roman"/>
          <w:sz w:val="24"/>
          <w:szCs w:val="24"/>
        </w:rPr>
        <w:t>Tamarind</w:t>
      </w:r>
      <w:r>
        <w:rPr>
          <w:rFonts w:ascii="Times New Roman" w:hAnsi="Times New Roman" w:cs="Times New Roman"/>
          <w:bCs/>
          <w:sz w:val="24"/>
          <w:szCs w:val="24"/>
        </w:rPr>
        <w:t xml:space="preserve">) Bark Extract. </w:t>
      </w:r>
      <w:r>
        <w:rPr>
          <w:rFonts w:ascii="Times New Roman" w:hAnsi="Times New Roman" w:cs="Times New Roman"/>
          <w:sz w:val="24"/>
          <w:szCs w:val="24"/>
        </w:rPr>
        <w:t xml:space="preserve"> Tamarind bark extracts revealed significant antibacterial properties, particularly with hot aqueous extracts, which demonstrated the highest efficacy against </w:t>
      </w:r>
      <w:r>
        <w:rPr>
          <w:rFonts w:ascii="Times New Roman" w:hAnsi="Times New Roman" w:cs="Times New Roman"/>
          <w:bCs/>
          <w:i/>
          <w:sz w:val="24"/>
          <w:szCs w:val="24"/>
        </w:rPr>
        <w:t>S. typhi</w:t>
      </w:r>
      <w:r>
        <w:rPr>
          <w:rFonts w:ascii="Times New Roman" w:hAnsi="Times New Roman" w:cs="Times New Roman"/>
          <w:sz w:val="24"/>
          <w:szCs w:val="24"/>
        </w:rPr>
        <w:t xml:space="preserve"> (25.5 mm). The hot aqueous extract exhibited significantly higher antibacterial activity against </w:t>
      </w:r>
      <w:r>
        <w:rPr>
          <w:rFonts w:ascii="Times New Roman" w:hAnsi="Times New Roman" w:cs="Times New Roman"/>
          <w:bCs/>
          <w:i/>
          <w:sz w:val="24"/>
          <w:szCs w:val="24"/>
        </w:rPr>
        <w:t>S. aureus</w:t>
      </w:r>
      <w:r>
        <w:rPr>
          <w:rFonts w:ascii="Times New Roman" w:hAnsi="Times New Roman" w:cs="Times New Roman"/>
          <w:sz w:val="24"/>
          <w:szCs w:val="24"/>
        </w:rPr>
        <w:t xml:space="preserve"> (31.5 mm) (p &lt; 0.05), while the methanolic extract showed notable inhibition against </w:t>
      </w:r>
      <w:r>
        <w:rPr>
          <w:rFonts w:ascii="Times New Roman" w:hAnsi="Times New Roman" w:cs="Times New Roman"/>
          <w:bCs/>
          <w:i/>
          <w:sz w:val="24"/>
          <w:szCs w:val="24"/>
        </w:rPr>
        <w:t>S. typhi</w:t>
      </w:r>
      <w:r>
        <w:rPr>
          <w:rFonts w:ascii="Times New Roman" w:hAnsi="Times New Roman" w:cs="Times New Roman"/>
          <w:sz w:val="24"/>
          <w:szCs w:val="24"/>
        </w:rPr>
        <w:t xml:space="preserve"> (28.5 mm). </w:t>
      </w:r>
      <w:r>
        <w:rPr>
          <w:rFonts w:ascii="Times New Roman" w:hAnsi="Times New Roman" w:cs="Times New Roman"/>
          <w:sz w:val="24"/>
          <w:szCs w:val="24"/>
        </w:rPr>
        <w:lastRenderedPageBreak/>
        <w:t>The ethanolic extract had the least antibacterial activity (17.5mm), showed slightly larger inhibition zones, the differences were not statistically significant (p &gt; 0.05).</w:t>
      </w:r>
    </w:p>
    <w:p w14:paraId="4CD7AB67" w14:textId="77777777" w:rsidR="00A43411" w:rsidRDefault="00A43411">
      <w:pPr>
        <w:jc w:val="both"/>
        <w:rPr>
          <w:rFonts w:ascii="Times New Roman" w:hAnsi="Times New Roman" w:cs="Times New Roman"/>
          <w:sz w:val="24"/>
          <w:szCs w:val="24"/>
        </w:rPr>
      </w:pPr>
    </w:p>
    <w:p w14:paraId="08D75CA6" w14:textId="77777777" w:rsidR="00A43411" w:rsidRDefault="00A43411">
      <w:pPr>
        <w:jc w:val="both"/>
        <w:rPr>
          <w:rFonts w:ascii="Times New Roman" w:hAnsi="Times New Roman" w:cs="Times New Roman"/>
          <w:b/>
          <w:bCs/>
          <w:sz w:val="24"/>
          <w:szCs w:val="24"/>
        </w:rPr>
      </w:pPr>
    </w:p>
    <w:p w14:paraId="4909F1B2" w14:textId="77777777" w:rsidR="00A43411" w:rsidRDefault="00A43411">
      <w:pPr>
        <w:jc w:val="both"/>
        <w:rPr>
          <w:rFonts w:ascii="Times New Roman" w:hAnsi="Times New Roman" w:cs="Times New Roman"/>
          <w:b/>
          <w:bCs/>
          <w:sz w:val="24"/>
          <w:szCs w:val="24"/>
        </w:rPr>
      </w:pPr>
    </w:p>
    <w:p w14:paraId="1D8A05A5" w14:textId="77777777" w:rsidR="00A43411" w:rsidRDefault="00A330FC">
      <w:pPr>
        <w:jc w:val="both"/>
        <w:rPr>
          <w:rFonts w:ascii="Times New Roman" w:hAnsi="Times New Roman" w:cs="Times New Roman"/>
          <w:sz w:val="24"/>
          <w:szCs w:val="24"/>
        </w:rPr>
      </w:pPr>
      <w:r>
        <w:rPr>
          <w:rFonts w:ascii="Times New Roman" w:hAnsi="Times New Roman" w:cs="Times New Roman"/>
          <w:b/>
          <w:bCs/>
          <w:sz w:val="24"/>
          <w:szCs w:val="24"/>
        </w:rPr>
        <w:t xml:space="preserve">Table 2: Antibacterial Activity of </w:t>
      </w:r>
      <w:proofErr w:type="spellStart"/>
      <w:r>
        <w:rPr>
          <w:rFonts w:ascii="Times New Roman" w:hAnsi="Times New Roman" w:cs="Times New Roman"/>
          <w:b/>
          <w:bCs/>
          <w:i/>
          <w:sz w:val="24"/>
          <w:szCs w:val="24"/>
        </w:rPr>
        <w:t>Tamarindus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indica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Tamarind</w:t>
      </w:r>
      <w:r>
        <w:rPr>
          <w:rFonts w:ascii="Times New Roman" w:hAnsi="Times New Roman" w:cs="Times New Roman"/>
          <w:b/>
          <w:bCs/>
          <w:sz w:val="24"/>
          <w:szCs w:val="24"/>
        </w:rPr>
        <w:t>) Bark Extract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2"/>
        <w:gridCol w:w="1575"/>
        <w:gridCol w:w="1402"/>
        <w:gridCol w:w="2307"/>
      </w:tblGrid>
      <w:tr w:rsidR="00A43411" w14:paraId="3A2DE345" w14:textId="77777777">
        <w:trPr>
          <w:tblHeader/>
          <w:tblCellSpacing w:w="15" w:type="dxa"/>
        </w:trPr>
        <w:tc>
          <w:tcPr>
            <w:tcW w:w="0" w:type="auto"/>
            <w:vAlign w:val="center"/>
          </w:tcPr>
          <w:p w14:paraId="53074576"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0" w:type="auto"/>
            <w:vAlign w:val="center"/>
          </w:tcPr>
          <w:p w14:paraId="59009463"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0" w:type="auto"/>
            <w:vAlign w:val="center"/>
          </w:tcPr>
          <w:p w14:paraId="06496F9D"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4A4B7EC0"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4D4A65BD"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370375A4" w14:textId="77777777">
        <w:trPr>
          <w:tblCellSpacing w:w="15" w:type="dxa"/>
        </w:trPr>
        <w:tc>
          <w:tcPr>
            <w:tcW w:w="0" w:type="auto"/>
            <w:vAlign w:val="center"/>
          </w:tcPr>
          <w:p w14:paraId="0D749F38"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0" w:type="auto"/>
            <w:vAlign w:val="center"/>
          </w:tcPr>
          <w:p w14:paraId="4E0CCFF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23.0 ± 1.41</w:t>
            </w:r>
          </w:p>
        </w:tc>
        <w:tc>
          <w:tcPr>
            <w:tcW w:w="0" w:type="auto"/>
            <w:vAlign w:val="center"/>
          </w:tcPr>
          <w:p w14:paraId="5C92AEB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14.0 ± 1.41</w:t>
            </w:r>
          </w:p>
        </w:tc>
        <w:tc>
          <w:tcPr>
            <w:tcW w:w="0" w:type="auto"/>
            <w:vAlign w:val="center"/>
          </w:tcPr>
          <w:p w14:paraId="02456B9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0" w:type="auto"/>
            <w:vAlign w:val="center"/>
          </w:tcPr>
          <w:p w14:paraId="3C3E244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3CDE133A" w14:textId="77777777">
        <w:trPr>
          <w:tblCellSpacing w:w="15" w:type="dxa"/>
        </w:trPr>
        <w:tc>
          <w:tcPr>
            <w:tcW w:w="0" w:type="auto"/>
            <w:vAlign w:val="center"/>
          </w:tcPr>
          <w:p w14:paraId="1AC4F2FE"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aureus</w:t>
            </w:r>
          </w:p>
        </w:tc>
        <w:tc>
          <w:tcPr>
            <w:tcW w:w="0" w:type="auto"/>
            <w:vAlign w:val="center"/>
          </w:tcPr>
          <w:p w14:paraId="10AAA8A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0.71</w:t>
            </w:r>
          </w:p>
        </w:tc>
        <w:tc>
          <w:tcPr>
            <w:tcW w:w="0" w:type="auto"/>
            <w:vAlign w:val="center"/>
          </w:tcPr>
          <w:p w14:paraId="7E14F93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15.5 ± 0.71</w:t>
            </w:r>
          </w:p>
        </w:tc>
        <w:tc>
          <w:tcPr>
            <w:tcW w:w="0" w:type="auto"/>
            <w:vAlign w:val="center"/>
          </w:tcPr>
          <w:p w14:paraId="05A9981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13.0 ± 2.83</w:t>
            </w:r>
          </w:p>
        </w:tc>
        <w:tc>
          <w:tcPr>
            <w:tcW w:w="0" w:type="auto"/>
            <w:vAlign w:val="center"/>
          </w:tcPr>
          <w:p w14:paraId="563B52A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00FDD719" w14:textId="77777777">
        <w:trPr>
          <w:tblCellSpacing w:w="15" w:type="dxa"/>
        </w:trPr>
        <w:tc>
          <w:tcPr>
            <w:tcW w:w="0" w:type="auto"/>
            <w:vAlign w:val="center"/>
          </w:tcPr>
          <w:p w14:paraId="2E947402"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0" w:type="auto"/>
            <w:vAlign w:val="center"/>
          </w:tcPr>
          <w:p w14:paraId="103345B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22.0 ± 1.41</w:t>
            </w:r>
          </w:p>
        </w:tc>
        <w:tc>
          <w:tcPr>
            <w:tcW w:w="0" w:type="auto"/>
            <w:vAlign w:val="center"/>
          </w:tcPr>
          <w:p w14:paraId="1A0596C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16.0 ± 2.88</w:t>
            </w:r>
          </w:p>
        </w:tc>
        <w:tc>
          <w:tcPr>
            <w:tcW w:w="0" w:type="auto"/>
            <w:vAlign w:val="center"/>
          </w:tcPr>
          <w:p w14:paraId="637542D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11.5 ± 0.71</w:t>
            </w:r>
          </w:p>
        </w:tc>
        <w:tc>
          <w:tcPr>
            <w:tcW w:w="0" w:type="auto"/>
            <w:vAlign w:val="center"/>
          </w:tcPr>
          <w:p w14:paraId="24919B4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0A317FBF" w14:textId="77777777">
        <w:trPr>
          <w:tblCellSpacing w:w="15" w:type="dxa"/>
        </w:trPr>
        <w:tc>
          <w:tcPr>
            <w:tcW w:w="0" w:type="auto"/>
            <w:vAlign w:val="center"/>
          </w:tcPr>
          <w:p w14:paraId="25317C54"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0" w:type="auto"/>
            <w:vAlign w:val="center"/>
          </w:tcPr>
          <w:p w14:paraId="767B565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25.5 ± 0.71</w:t>
            </w:r>
          </w:p>
        </w:tc>
        <w:tc>
          <w:tcPr>
            <w:tcW w:w="0" w:type="auto"/>
            <w:vAlign w:val="center"/>
          </w:tcPr>
          <w:p w14:paraId="74AD2DC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18.5 ± 0.71</w:t>
            </w:r>
          </w:p>
        </w:tc>
        <w:tc>
          <w:tcPr>
            <w:tcW w:w="0" w:type="auto"/>
            <w:vAlign w:val="center"/>
          </w:tcPr>
          <w:p w14:paraId="32C2E50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13.0 ± 2.83</w:t>
            </w:r>
          </w:p>
        </w:tc>
        <w:tc>
          <w:tcPr>
            <w:tcW w:w="0" w:type="auto"/>
            <w:vAlign w:val="center"/>
          </w:tcPr>
          <w:p w14:paraId="79D8B8A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27FE6D2C"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66AEFFF5" w14:textId="77777777" w:rsidR="00A43411" w:rsidRDefault="00A43411">
      <w:pPr>
        <w:rPr>
          <w:rFonts w:ascii="Times New Roman" w:hAnsi="Times New Roman" w:cs="Times New Roman"/>
          <w:b/>
          <w:bCs/>
          <w:sz w:val="24"/>
          <w:szCs w:val="24"/>
        </w:rPr>
      </w:pPr>
    </w:p>
    <w:p w14:paraId="629E4513" w14:textId="77777777" w:rsidR="00A43411" w:rsidRDefault="00A330F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Table 3 shows the Antibacterial Activities of </w:t>
      </w:r>
      <w:bookmarkStart w:id="14" w:name="_Hlk213847171"/>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bookmarkEnd w:id="14"/>
      <w:proofErr w:type="spellStart"/>
      <w:r>
        <w:rPr>
          <w:rFonts w:ascii="Times New Roman" w:hAnsi="Times New Roman" w:cs="Times New Roman"/>
          <w:bCs/>
          <w:i/>
          <w:sz w:val="24"/>
          <w:szCs w:val="24"/>
        </w:rPr>
        <w:t>digitata</w:t>
      </w:r>
      <w:proofErr w:type="spellEnd"/>
      <w:r>
        <w:rPr>
          <w:rFonts w:ascii="Times New Roman" w:hAnsi="Times New Roman" w:cs="Times New Roman"/>
          <w:bCs/>
          <w:sz w:val="24"/>
          <w:szCs w:val="24"/>
        </w:rPr>
        <w:t xml:space="preserve"> (Baobab) Bark Extract. </w:t>
      </w:r>
      <w:r>
        <w:rPr>
          <w:rFonts w:ascii="Times New Roman" w:hAnsi="Times New Roman" w:cs="Times New Roman"/>
          <w:sz w:val="24"/>
          <w:szCs w:val="24"/>
        </w:rPr>
        <w:t xml:space="preserve">The baobab bark extracts also showed promising antibacterial effects. Notably, the hot aqueous extract exhibited the highest inhibition against </w:t>
      </w:r>
      <w:r>
        <w:rPr>
          <w:rFonts w:ascii="Times New Roman" w:hAnsi="Times New Roman" w:cs="Times New Roman"/>
          <w:bCs/>
          <w:i/>
          <w:sz w:val="24"/>
          <w:szCs w:val="24"/>
        </w:rPr>
        <w:t>S. typhi</w:t>
      </w:r>
      <w:r>
        <w:rPr>
          <w:rFonts w:ascii="Times New Roman" w:hAnsi="Times New Roman" w:cs="Times New Roman"/>
          <w:i/>
          <w:sz w:val="24"/>
          <w:szCs w:val="24"/>
        </w:rPr>
        <w:t xml:space="preserve"> </w:t>
      </w:r>
      <w:r>
        <w:rPr>
          <w:rFonts w:ascii="Times New Roman" w:hAnsi="Times New Roman" w:cs="Times New Roman"/>
          <w:sz w:val="24"/>
          <w:szCs w:val="24"/>
        </w:rPr>
        <w:t>(26.5 mm).</w:t>
      </w:r>
    </w:p>
    <w:p w14:paraId="6CCCD965" w14:textId="77777777" w:rsidR="00A43411" w:rsidRDefault="00A43411">
      <w:pPr>
        <w:rPr>
          <w:rFonts w:ascii="Times New Roman" w:hAnsi="Times New Roman" w:cs="Times New Roman"/>
          <w:b/>
          <w:bCs/>
          <w:sz w:val="24"/>
          <w:szCs w:val="24"/>
        </w:rPr>
      </w:pPr>
    </w:p>
    <w:p w14:paraId="09BCDC53" w14:textId="77777777" w:rsidR="00A43411" w:rsidRDefault="00A330FC">
      <w:pPr>
        <w:jc w:val="center"/>
        <w:rPr>
          <w:rFonts w:ascii="Times New Roman" w:hAnsi="Times New Roman" w:cs="Times New Roman"/>
          <w:sz w:val="24"/>
          <w:szCs w:val="24"/>
        </w:rPr>
      </w:pPr>
      <w:r>
        <w:rPr>
          <w:rFonts w:ascii="Times New Roman" w:hAnsi="Times New Roman" w:cs="Times New Roman"/>
          <w:b/>
          <w:bCs/>
          <w:sz w:val="24"/>
          <w:szCs w:val="24"/>
        </w:rPr>
        <w:t xml:space="preserve">Table 3: Antimicrobial Activity of the </w:t>
      </w:r>
      <w:proofErr w:type="spellStart"/>
      <w:r>
        <w:rPr>
          <w:rFonts w:ascii="Times New Roman" w:hAnsi="Times New Roman" w:cs="Times New Roman"/>
          <w:b/>
          <w:bCs/>
          <w:i/>
          <w:sz w:val="24"/>
          <w:szCs w:val="24"/>
        </w:rPr>
        <w:t>Adansonia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digitata</w:t>
      </w:r>
      <w:proofErr w:type="spellEnd"/>
      <w:r>
        <w:rPr>
          <w:rFonts w:ascii="Times New Roman" w:hAnsi="Times New Roman" w:cs="Times New Roman"/>
          <w:b/>
          <w:bCs/>
          <w:sz w:val="24"/>
          <w:szCs w:val="24"/>
        </w:rPr>
        <w:t xml:space="preserve"> (Baobab) Bark Extract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2126"/>
        <w:gridCol w:w="1873"/>
        <w:gridCol w:w="1337"/>
        <w:gridCol w:w="2130"/>
      </w:tblGrid>
      <w:tr w:rsidR="00A43411" w14:paraId="2AFF3A84" w14:textId="77777777">
        <w:trPr>
          <w:tblHeader/>
          <w:tblCellSpacing w:w="15" w:type="dxa"/>
        </w:trPr>
        <w:tc>
          <w:tcPr>
            <w:tcW w:w="1515" w:type="dxa"/>
            <w:vAlign w:val="center"/>
          </w:tcPr>
          <w:p w14:paraId="2D5D0D88"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 xml:space="preserve">Clinical </w:t>
            </w:r>
          </w:p>
          <w:p w14:paraId="65DCE8C7"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Pathogens</w:t>
            </w:r>
          </w:p>
        </w:tc>
        <w:tc>
          <w:tcPr>
            <w:tcW w:w="2096" w:type="dxa"/>
            <w:vAlign w:val="center"/>
          </w:tcPr>
          <w:p w14:paraId="66DB1A58"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1843" w:type="dxa"/>
            <w:vAlign w:val="center"/>
          </w:tcPr>
          <w:p w14:paraId="7E8E8C10"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3DA049CF"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493C57C0"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07BE7095" w14:textId="77777777">
        <w:trPr>
          <w:tblCellSpacing w:w="15" w:type="dxa"/>
        </w:trPr>
        <w:tc>
          <w:tcPr>
            <w:tcW w:w="1515" w:type="dxa"/>
            <w:vAlign w:val="center"/>
          </w:tcPr>
          <w:p w14:paraId="1C74A4A9"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2096" w:type="dxa"/>
            <w:vAlign w:val="center"/>
          </w:tcPr>
          <w:p w14:paraId="41DD9E8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1843" w:type="dxa"/>
            <w:vAlign w:val="center"/>
          </w:tcPr>
          <w:p w14:paraId="6E18085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15.0 ± 0.00</w:t>
            </w:r>
          </w:p>
        </w:tc>
        <w:tc>
          <w:tcPr>
            <w:tcW w:w="0" w:type="auto"/>
            <w:vAlign w:val="center"/>
          </w:tcPr>
          <w:p w14:paraId="2B050D9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22.0 ± 1.41</w:t>
            </w:r>
          </w:p>
        </w:tc>
        <w:tc>
          <w:tcPr>
            <w:tcW w:w="0" w:type="auto"/>
            <w:vAlign w:val="center"/>
          </w:tcPr>
          <w:p w14:paraId="7BE7D40A"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3FB16656" w14:textId="77777777">
        <w:trPr>
          <w:tblCellSpacing w:w="15" w:type="dxa"/>
        </w:trPr>
        <w:tc>
          <w:tcPr>
            <w:tcW w:w="1515" w:type="dxa"/>
            <w:vAlign w:val="center"/>
          </w:tcPr>
          <w:p w14:paraId="2FF1BBCD"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aureus</w:t>
            </w:r>
          </w:p>
        </w:tc>
        <w:tc>
          <w:tcPr>
            <w:tcW w:w="2096" w:type="dxa"/>
            <w:vAlign w:val="center"/>
          </w:tcPr>
          <w:p w14:paraId="67BE7FB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1843" w:type="dxa"/>
            <w:vAlign w:val="center"/>
          </w:tcPr>
          <w:p w14:paraId="12374E7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14.5 ± 0.71</w:t>
            </w:r>
          </w:p>
        </w:tc>
        <w:tc>
          <w:tcPr>
            <w:tcW w:w="0" w:type="auto"/>
            <w:vAlign w:val="center"/>
          </w:tcPr>
          <w:p w14:paraId="6EC974F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3.54</w:t>
            </w:r>
          </w:p>
        </w:tc>
        <w:tc>
          <w:tcPr>
            <w:tcW w:w="0" w:type="auto"/>
            <w:vAlign w:val="center"/>
          </w:tcPr>
          <w:p w14:paraId="4199ADE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79E6978B" w14:textId="77777777">
        <w:trPr>
          <w:tblCellSpacing w:w="15" w:type="dxa"/>
        </w:trPr>
        <w:tc>
          <w:tcPr>
            <w:tcW w:w="1515" w:type="dxa"/>
            <w:vAlign w:val="center"/>
          </w:tcPr>
          <w:p w14:paraId="13AFCEE8"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2096" w:type="dxa"/>
            <w:vAlign w:val="center"/>
          </w:tcPr>
          <w:p w14:paraId="5AA14FB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23.5 ± 0.71</w:t>
            </w:r>
          </w:p>
        </w:tc>
        <w:tc>
          <w:tcPr>
            <w:tcW w:w="1843" w:type="dxa"/>
            <w:vAlign w:val="center"/>
          </w:tcPr>
          <w:p w14:paraId="797B99C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21.0 ± 0.00</w:t>
            </w:r>
          </w:p>
        </w:tc>
        <w:tc>
          <w:tcPr>
            <w:tcW w:w="0" w:type="auto"/>
            <w:vAlign w:val="center"/>
          </w:tcPr>
          <w:p w14:paraId="15C7955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11.0 ± 1.41</w:t>
            </w:r>
          </w:p>
        </w:tc>
        <w:tc>
          <w:tcPr>
            <w:tcW w:w="0" w:type="auto"/>
            <w:vAlign w:val="center"/>
          </w:tcPr>
          <w:p w14:paraId="24B975B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4BB2E3DC" w14:textId="77777777">
        <w:trPr>
          <w:tblCellSpacing w:w="15" w:type="dxa"/>
        </w:trPr>
        <w:tc>
          <w:tcPr>
            <w:tcW w:w="1515" w:type="dxa"/>
            <w:vAlign w:val="center"/>
          </w:tcPr>
          <w:p w14:paraId="1E509F11"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2096" w:type="dxa"/>
            <w:vAlign w:val="center"/>
          </w:tcPr>
          <w:p w14:paraId="15F3147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26.5 ± 0.71</w:t>
            </w:r>
          </w:p>
        </w:tc>
        <w:tc>
          <w:tcPr>
            <w:tcW w:w="1843" w:type="dxa"/>
            <w:vAlign w:val="center"/>
          </w:tcPr>
          <w:p w14:paraId="2965B39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3.54</w:t>
            </w:r>
          </w:p>
        </w:tc>
        <w:tc>
          <w:tcPr>
            <w:tcW w:w="0" w:type="auto"/>
            <w:vAlign w:val="center"/>
          </w:tcPr>
          <w:p w14:paraId="3DA65EF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17.0 ± 4.24</w:t>
            </w:r>
          </w:p>
        </w:tc>
        <w:tc>
          <w:tcPr>
            <w:tcW w:w="0" w:type="auto"/>
            <w:vAlign w:val="center"/>
          </w:tcPr>
          <w:p w14:paraId="3296511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28DC4158"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24C39F51" w14:textId="77777777" w:rsidR="00A43411" w:rsidRDefault="00A43411">
      <w:pPr>
        <w:rPr>
          <w:rFonts w:ascii="Times New Roman" w:hAnsi="Times New Roman" w:cs="Times New Roman"/>
          <w:sz w:val="24"/>
          <w:szCs w:val="24"/>
        </w:rPr>
      </w:pPr>
    </w:p>
    <w:p w14:paraId="7FC3B1CD" w14:textId="77777777" w:rsidR="00A43411" w:rsidRDefault="00A330FC">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Table 4 shows the antibacterial activities of the combination of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bCs/>
          <w:sz w:val="24"/>
          <w:szCs w:val="24"/>
        </w:rPr>
        <w:t xml:space="preserve"> extract</w:t>
      </w:r>
      <w:r>
        <w:rPr>
          <w:rFonts w:ascii="Times New Roman" w:hAnsi="Times New Roman" w:cs="Times New Roman"/>
          <w:b/>
          <w:bCs/>
          <w:sz w:val="24"/>
          <w:szCs w:val="24"/>
        </w:rPr>
        <w:t xml:space="preserve">. </w:t>
      </w:r>
      <w:r>
        <w:rPr>
          <w:rFonts w:ascii="Times New Roman" w:hAnsi="Times New Roman" w:cs="Times New Roman"/>
          <w:sz w:val="24"/>
          <w:szCs w:val="24"/>
        </w:rPr>
        <w:t xml:space="preserve">The hot aqueous extract achieved the strongest inhibitory effect </w:t>
      </w:r>
      <w:r>
        <w:rPr>
          <w:rFonts w:ascii="Times New Roman" w:hAnsi="Times New Roman" w:cs="Times New Roman"/>
          <w:sz w:val="24"/>
          <w:szCs w:val="24"/>
        </w:rPr>
        <w:lastRenderedPageBreak/>
        <w:t xml:space="preserve">against </w:t>
      </w:r>
      <w:r>
        <w:rPr>
          <w:rFonts w:ascii="Times New Roman" w:hAnsi="Times New Roman" w:cs="Times New Roman"/>
          <w:i/>
          <w:sz w:val="24"/>
          <w:szCs w:val="24"/>
        </w:rPr>
        <w:t>S. typhi</w:t>
      </w:r>
      <w:r>
        <w:rPr>
          <w:rFonts w:ascii="Times New Roman" w:hAnsi="Times New Roman" w:cs="Times New Roman"/>
          <w:sz w:val="24"/>
          <w:szCs w:val="24"/>
        </w:rPr>
        <w:t xml:space="preserve"> with a mean inhibition zone of 30.0 mm, indicating potent antibacterial properties. </w:t>
      </w:r>
      <w:r>
        <w:rPr>
          <w:rFonts w:ascii="Times New Roman" w:hAnsi="Times New Roman" w:cs="Times New Roman"/>
          <w:i/>
          <w:sz w:val="24"/>
          <w:szCs w:val="24"/>
        </w:rPr>
        <w:t>S. aureus</w:t>
      </w:r>
      <w:r>
        <w:rPr>
          <w:rFonts w:ascii="Times New Roman" w:hAnsi="Times New Roman" w:cs="Times New Roman"/>
          <w:sz w:val="24"/>
          <w:szCs w:val="24"/>
        </w:rPr>
        <w:t xml:space="preserve"> also showed significant susceptibility with a zone of 27.5 mm. These results suggest that the synergistic action of the constituents from both plant sources enhances their antibacterial efficacy.</w:t>
      </w:r>
    </w:p>
    <w:p w14:paraId="1188FB57" w14:textId="77777777" w:rsidR="00A43411" w:rsidRDefault="00A43411">
      <w:pPr>
        <w:jc w:val="both"/>
        <w:rPr>
          <w:rFonts w:ascii="Times New Roman" w:hAnsi="Times New Roman" w:cs="Times New Roman"/>
          <w:b/>
          <w:bCs/>
          <w:sz w:val="24"/>
          <w:szCs w:val="24"/>
        </w:rPr>
      </w:pPr>
    </w:p>
    <w:p w14:paraId="4F1EE171" w14:textId="77777777" w:rsidR="00A43411" w:rsidRDefault="00A330FC">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4: Antibacterial Activity of the Combination of </w:t>
      </w:r>
      <w:r>
        <w:rPr>
          <w:rFonts w:ascii="Times New Roman" w:hAnsi="Times New Roman" w:cs="Times New Roman"/>
          <w:b/>
          <w:bCs/>
          <w:i/>
          <w:sz w:val="24"/>
          <w:szCs w:val="24"/>
        </w:rPr>
        <w:t xml:space="preserve">Vitellaria </w:t>
      </w:r>
      <w:proofErr w:type="spellStart"/>
      <w:r>
        <w:rPr>
          <w:rFonts w:ascii="Times New Roman" w:hAnsi="Times New Roman" w:cs="Times New Roman"/>
          <w:b/>
          <w:bCs/>
          <w:i/>
          <w:sz w:val="24"/>
          <w:szCs w:val="24"/>
        </w:rPr>
        <w:t>paradoxa</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i/>
          <w:sz w:val="24"/>
          <w:szCs w:val="24"/>
        </w:rPr>
        <w:t>Tamarindus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indica</w:t>
      </w:r>
      <w:proofErr w:type="spellEnd"/>
      <w:r>
        <w:rPr>
          <w:rFonts w:ascii="Times New Roman" w:hAnsi="Times New Roman" w:cs="Times New Roman"/>
          <w:b/>
          <w:bCs/>
          <w:sz w:val="24"/>
          <w:szCs w:val="24"/>
        </w:rPr>
        <w:t xml:space="preserve"> Extract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2"/>
        <w:gridCol w:w="1575"/>
        <w:gridCol w:w="1402"/>
        <w:gridCol w:w="2307"/>
      </w:tblGrid>
      <w:tr w:rsidR="00A43411" w14:paraId="265BE092" w14:textId="77777777">
        <w:trPr>
          <w:tblHeader/>
          <w:tblCellSpacing w:w="15" w:type="dxa"/>
        </w:trPr>
        <w:tc>
          <w:tcPr>
            <w:tcW w:w="0" w:type="auto"/>
            <w:vAlign w:val="center"/>
          </w:tcPr>
          <w:p w14:paraId="6EBB85AA"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0" w:type="auto"/>
            <w:vAlign w:val="center"/>
          </w:tcPr>
          <w:p w14:paraId="2B03ADE4"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0" w:type="auto"/>
            <w:vAlign w:val="center"/>
          </w:tcPr>
          <w:p w14:paraId="4732C34B"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017AE852"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632F3D9F"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760FEE83" w14:textId="77777777">
        <w:trPr>
          <w:tblCellSpacing w:w="15" w:type="dxa"/>
        </w:trPr>
        <w:tc>
          <w:tcPr>
            <w:tcW w:w="0" w:type="auto"/>
            <w:vAlign w:val="center"/>
          </w:tcPr>
          <w:p w14:paraId="2DC2FDE2"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0" w:type="auto"/>
            <w:vAlign w:val="center"/>
          </w:tcPr>
          <w:p w14:paraId="2C928D7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23.5 ± 0.71</w:t>
            </w:r>
          </w:p>
        </w:tc>
        <w:tc>
          <w:tcPr>
            <w:tcW w:w="0" w:type="auto"/>
            <w:vAlign w:val="center"/>
          </w:tcPr>
          <w:p w14:paraId="0D49B0DA"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22.5 ± 3.54</w:t>
            </w:r>
          </w:p>
        </w:tc>
        <w:tc>
          <w:tcPr>
            <w:tcW w:w="0" w:type="auto"/>
            <w:vAlign w:val="center"/>
          </w:tcPr>
          <w:p w14:paraId="5F124B8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15.0 ± 0.00</w:t>
            </w:r>
          </w:p>
        </w:tc>
        <w:tc>
          <w:tcPr>
            <w:tcW w:w="0" w:type="auto"/>
            <w:vAlign w:val="center"/>
          </w:tcPr>
          <w:p w14:paraId="5BE8339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66BF59D3" w14:textId="77777777">
        <w:trPr>
          <w:tblCellSpacing w:w="15" w:type="dxa"/>
        </w:trPr>
        <w:tc>
          <w:tcPr>
            <w:tcW w:w="0" w:type="auto"/>
            <w:vAlign w:val="center"/>
          </w:tcPr>
          <w:p w14:paraId="5C3DFC71"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aureus</w:t>
            </w:r>
          </w:p>
        </w:tc>
        <w:tc>
          <w:tcPr>
            <w:tcW w:w="0" w:type="auto"/>
            <w:vAlign w:val="center"/>
          </w:tcPr>
          <w:p w14:paraId="510A67C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27.5 ± 3.54</w:t>
            </w:r>
          </w:p>
        </w:tc>
        <w:tc>
          <w:tcPr>
            <w:tcW w:w="0" w:type="auto"/>
            <w:vAlign w:val="center"/>
          </w:tcPr>
          <w:p w14:paraId="173BDFEA"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0.71</w:t>
            </w:r>
          </w:p>
        </w:tc>
        <w:tc>
          <w:tcPr>
            <w:tcW w:w="0" w:type="auto"/>
            <w:vAlign w:val="center"/>
          </w:tcPr>
          <w:p w14:paraId="6F09C45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19.0 ± 1.41</w:t>
            </w:r>
          </w:p>
        </w:tc>
        <w:tc>
          <w:tcPr>
            <w:tcW w:w="0" w:type="auto"/>
            <w:vAlign w:val="center"/>
          </w:tcPr>
          <w:p w14:paraId="64BDF72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626025E6" w14:textId="77777777">
        <w:trPr>
          <w:tblCellSpacing w:w="15" w:type="dxa"/>
        </w:trPr>
        <w:tc>
          <w:tcPr>
            <w:tcW w:w="0" w:type="auto"/>
            <w:vAlign w:val="center"/>
          </w:tcPr>
          <w:p w14:paraId="55E5D881"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0" w:type="auto"/>
            <w:vAlign w:val="center"/>
          </w:tcPr>
          <w:p w14:paraId="6DAFB96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25.0 ± 0.00</w:t>
            </w:r>
          </w:p>
        </w:tc>
        <w:tc>
          <w:tcPr>
            <w:tcW w:w="0" w:type="auto"/>
            <w:vAlign w:val="center"/>
          </w:tcPr>
          <w:p w14:paraId="0969B8B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23.0 ± 2.83</w:t>
            </w:r>
          </w:p>
        </w:tc>
        <w:tc>
          <w:tcPr>
            <w:tcW w:w="0" w:type="auto"/>
            <w:vAlign w:val="center"/>
          </w:tcPr>
          <w:p w14:paraId="37E0BCDE"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2.12</w:t>
            </w:r>
          </w:p>
        </w:tc>
        <w:tc>
          <w:tcPr>
            <w:tcW w:w="0" w:type="auto"/>
            <w:vAlign w:val="center"/>
          </w:tcPr>
          <w:p w14:paraId="43BA6FC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03F07234" w14:textId="77777777">
        <w:trPr>
          <w:tblCellSpacing w:w="15" w:type="dxa"/>
        </w:trPr>
        <w:tc>
          <w:tcPr>
            <w:tcW w:w="0" w:type="auto"/>
            <w:vAlign w:val="center"/>
          </w:tcPr>
          <w:p w14:paraId="1D9AD042"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0" w:type="auto"/>
            <w:vAlign w:val="center"/>
          </w:tcPr>
          <w:p w14:paraId="5734367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30.0 ± 0.00</w:t>
            </w:r>
          </w:p>
        </w:tc>
        <w:tc>
          <w:tcPr>
            <w:tcW w:w="0" w:type="auto"/>
            <w:vAlign w:val="center"/>
          </w:tcPr>
          <w:p w14:paraId="091944F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19.0 ± 1.41</w:t>
            </w:r>
          </w:p>
        </w:tc>
        <w:tc>
          <w:tcPr>
            <w:tcW w:w="0" w:type="auto"/>
            <w:vAlign w:val="center"/>
          </w:tcPr>
          <w:p w14:paraId="2976E51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16.5 ± 2.12</w:t>
            </w:r>
          </w:p>
        </w:tc>
        <w:tc>
          <w:tcPr>
            <w:tcW w:w="0" w:type="auto"/>
            <w:vAlign w:val="center"/>
          </w:tcPr>
          <w:p w14:paraId="513F496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3A59F0AF" w14:textId="77777777" w:rsidR="00A43411" w:rsidRDefault="00A330FC">
      <w:pPr>
        <w:rPr>
          <w:rFonts w:ascii="Times New Roman" w:hAnsi="Times New Roman" w:cs="Times New Roman"/>
          <w:b/>
          <w:bCs/>
          <w:sz w:val="24"/>
          <w:szCs w:val="24"/>
        </w:rPr>
      </w:pPr>
      <w:bookmarkStart w:id="15" w:name="_Hlk217649444"/>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bookmarkEnd w:id="15"/>
    </w:p>
    <w:p w14:paraId="27734178" w14:textId="77777777" w:rsidR="00A43411" w:rsidRDefault="00A330F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5 displays the results for the antibacterial activity of the combined extracts from </w:t>
      </w:r>
      <w:proofErr w:type="spellStart"/>
      <w:r>
        <w:rPr>
          <w:rFonts w:ascii="Times New Roman" w:hAnsi="Times New Roman" w:cs="Times New Roman"/>
          <w:i/>
          <w:iCs/>
          <w:sz w:val="24"/>
          <w:szCs w:val="24"/>
        </w:rPr>
        <w:t>Adansonia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digitata</w:t>
      </w:r>
      <w:proofErr w:type="spellEnd"/>
      <w:r>
        <w:rPr>
          <w:rFonts w:ascii="Times New Roman" w:hAnsi="Times New Roman" w:cs="Times New Roman"/>
          <w:sz w:val="24"/>
          <w:szCs w:val="24"/>
        </w:rPr>
        <w:t xml:space="preserve"> (baobab) and </w:t>
      </w:r>
      <w:r>
        <w:rPr>
          <w:rFonts w:ascii="Times New Roman" w:hAnsi="Times New Roman" w:cs="Times New Roman"/>
          <w:i/>
          <w:iCs/>
          <w:sz w:val="24"/>
          <w:szCs w:val="24"/>
        </w:rPr>
        <w:t xml:space="preserve">Vitellaria </w:t>
      </w:r>
      <w:proofErr w:type="spellStart"/>
      <w:r>
        <w:rPr>
          <w:rFonts w:ascii="Times New Roman" w:hAnsi="Times New Roman" w:cs="Times New Roman"/>
          <w:i/>
          <w:iCs/>
          <w:sz w:val="24"/>
          <w:szCs w:val="24"/>
        </w:rPr>
        <w:t>paradoxa</w:t>
      </w:r>
      <w:proofErr w:type="spellEnd"/>
      <w:r>
        <w:rPr>
          <w:rFonts w:ascii="Times New Roman" w:hAnsi="Times New Roman" w:cs="Times New Roman"/>
          <w:sz w:val="24"/>
          <w:szCs w:val="24"/>
        </w:rPr>
        <w:t xml:space="preserve"> (shea tree). The hot aqueous extract notably inhibited </w:t>
      </w:r>
      <w:r>
        <w:rPr>
          <w:rFonts w:ascii="Times New Roman" w:hAnsi="Times New Roman" w:cs="Times New Roman"/>
          <w:i/>
          <w:iCs/>
          <w:sz w:val="24"/>
          <w:szCs w:val="24"/>
        </w:rPr>
        <w:t>S. typhi</w:t>
      </w:r>
      <w:r>
        <w:rPr>
          <w:rFonts w:ascii="Times New Roman" w:hAnsi="Times New Roman" w:cs="Times New Roman"/>
          <w:sz w:val="24"/>
          <w:szCs w:val="24"/>
        </w:rPr>
        <w:t xml:space="preserve"> with a mean zone of 30.0 mm, similar to the table 4. Additionally, the combined effects on other pathogens like </w:t>
      </w:r>
      <w:r>
        <w:rPr>
          <w:rFonts w:ascii="Times New Roman" w:hAnsi="Times New Roman" w:cs="Times New Roman"/>
          <w:i/>
          <w:iCs/>
          <w:sz w:val="24"/>
          <w:szCs w:val="24"/>
        </w:rPr>
        <w:t>S. aureus</w:t>
      </w:r>
      <w:r>
        <w:rPr>
          <w:rFonts w:ascii="Times New Roman" w:hAnsi="Times New Roman" w:cs="Times New Roman"/>
          <w:sz w:val="24"/>
          <w:szCs w:val="24"/>
        </w:rPr>
        <w:t xml:space="preserve"> and </w:t>
      </w:r>
      <w:r>
        <w:rPr>
          <w:rFonts w:ascii="Times New Roman" w:hAnsi="Times New Roman" w:cs="Times New Roman"/>
          <w:i/>
          <w:iCs/>
          <w:sz w:val="24"/>
          <w:szCs w:val="24"/>
        </w:rPr>
        <w:t>S. pneumoniae</w:t>
      </w:r>
      <w:r>
        <w:rPr>
          <w:rFonts w:ascii="Times New Roman" w:hAnsi="Times New Roman" w:cs="Times New Roman"/>
          <w:sz w:val="24"/>
          <w:szCs w:val="24"/>
        </w:rPr>
        <w:t xml:space="preserve"> demonstrated substantial zones of inhibition, indicating that the combination of these two plant extracts can effectively combat a range of bacteria. </w:t>
      </w:r>
    </w:p>
    <w:p w14:paraId="0BA34E8C" w14:textId="77777777" w:rsidR="00A43411" w:rsidRDefault="00A43411">
      <w:pPr>
        <w:spacing w:after="0" w:line="360" w:lineRule="auto"/>
        <w:jc w:val="both"/>
        <w:rPr>
          <w:rFonts w:ascii="Times New Roman" w:hAnsi="Times New Roman" w:cs="Times New Roman"/>
          <w:b/>
          <w:bCs/>
          <w:sz w:val="24"/>
          <w:szCs w:val="24"/>
        </w:rPr>
      </w:pPr>
    </w:p>
    <w:p w14:paraId="1308FBF2" w14:textId="77777777" w:rsidR="00A43411" w:rsidRDefault="00A330FC">
      <w:pPr>
        <w:pStyle w:val="Style1"/>
      </w:pPr>
      <w:r>
        <w:t xml:space="preserve">Table 5: Antibacterial Activity of the Combination of </w:t>
      </w:r>
      <w:proofErr w:type="spellStart"/>
      <w:r>
        <w:rPr>
          <w:i/>
        </w:rPr>
        <w:t>Adansonia</w:t>
      </w:r>
      <w:proofErr w:type="spellEnd"/>
      <w:r>
        <w:rPr>
          <w:i/>
        </w:rPr>
        <w:t xml:space="preserve"> </w:t>
      </w:r>
      <w:proofErr w:type="spellStart"/>
      <w:r>
        <w:rPr>
          <w:i/>
        </w:rPr>
        <w:t>digitata</w:t>
      </w:r>
      <w:proofErr w:type="spellEnd"/>
      <w:r>
        <w:t xml:space="preserve"> and </w:t>
      </w:r>
      <w:r>
        <w:rPr>
          <w:i/>
        </w:rPr>
        <w:t xml:space="preserve">Vitellaria </w:t>
      </w:r>
      <w:proofErr w:type="spellStart"/>
      <w:r>
        <w:rPr>
          <w:i/>
        </w:rPr>
        <w:t>paradoxa</w:t>
      </w:r>
      <w:proofErr w:type="spellEnd"/>
      <w:r>
        <w:t xml:space="preserve"> Extracts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2"/>
        <w:gridCol w:w="1575"/>
        <w:gridCol w:w="1402"/>
        <w:gridCol w:w="2307"/>
      </w:tblGrid>
      <w:tr w:rsidR="00A43411" w14:paraId="4AD44358" w14:textId="77777777">
        <w:trPr>
          <w:tblHeader/>
          <w:tblCellSpacing w:w="15" w:type="dxa"/>
        </w:trPr>
        <w:tc>
          <w:tcPr>
            <w:tcW w:w="0" w:type="auto"/>
            <w:vAlign w:val="center"/>
          </w:tcPr>
          <w:p w14:paraId="5AB63766"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0" w:type="auto"/>
            <w:vAlign w:val="center"/>
          </w:tcPr>
          <w:p w14:paraId="1B781EA5"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0" w:type="auto"/>
            <w:vAlign w:val="center"/>
          </w:tcPr>
          <w:p w14:paraId="6A3C6A91"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2AD13995"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379ADB1A"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204166D3" w14:textId="77777777">
        <w:trPr>
          <w:tblCellSpacing w:w="15" w:type="dxa"/>
        </w:trPr>
        <w:tc>
          <w:tcPr>
            <w:tcW w:w="0" w:type="auto"/>
            <w:vAlign w:val="center"/>
          </w:tcPr>
          <w:p w14:paraId="4C286B13"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0" w:type="auto"/>
            <w:vAlign w:val="center"/>
          </w:tcPr>
          <w:p w14:paraId="45A0852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0.71</w:t>
            </w:r>
          </w:p>
        </w:tc>
        <w:tc>
          <w:tcPr>
            <w:tcW w:w="0" w:type="auto"/>
            <w:vAlign w:val="center"/>
          </w:tcPr>
          <w:p w14:paraId="3A210D6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19.5 ± 2.12</w:t>
            </w:r>
          </w:p>
        </w:tc>
        <w:tc>
          <w:tcPr>
            <w:tcW w:w="0" w:type="auto"/>
            <w:vAlign w:val="center"/>
          </w:tcPr>
          <w:p w14:paraId="210CC36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01B1E24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69D64904" w14:textId="77777777">
        <w:trPr>
          <w:tblCellSpacing w:w="15" w:type="dxa"/>
        </w:trPr>
        <w:tc>
          <w:tcPr>
            <w:tcW w:w="0" w:type="auto"/>
            <w:vAlign w:val="center"/>
          </w:tcPr>
          <w:p w14:paraId="081281A1"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aureus</w:t>
            </w:r>
          </w:p>
        </w:tc>
        <w:tc>
          <w:tcPr>
            <w:tcW w:w="0" w:type="auto"/>
            <w:vAlign w:val="center"/>
          </w:tcPr>
          <w:p w14:paraId="4903A0D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25.0 ± 0.00</w:t>
            </w:r>
          </w:p>
        </w:tc>
        <w:tc>
          <w:tcPr>
            <w:tcW w:w="0" w:type="auto"/>
            <w:vAlign w:val="center"/>
          </w:tcPr>
          <w:p w14:paraId="2B3EC13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25.0 ± 0.00</w:t>
            </w:r>
          </w:p>
        </w:tc>
        <w:tc>
          <w:tcPr>
            <w:tcW w:w="0" w:type="auto"/>
            <w:vAlign w:val="center"/>
          </w:tcPr>
          <w:p w14:paraId="2186EB5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0" w:type="auto"/>
            <w:vAlign w:val="center"/>
          </w:tcPr>
          <w:p w14:paraId="4FFE4CD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07A994E7" w14:textId="77777777">
        <w:trPr>
          <w:tblCellSpacing w:w="15" w:type="dxa"/>
        </w:trPr>
        <w:tc>
          <w:tcPr>
            <w:tcW w:w="0" w:type="auto"/>
            <w:vAlign w:val="center"/>
          </w:tcPr>
          <w:p w14:paraId="5CBBFCC9"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0" w:type="auto"/>
            <w:vAlign w:val="center"/>
          </w:tcPr>
          <w:p w14:paraId="32DD9F2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26.0 ± 1.41</w:t>
            </w:r>
          </w:p>
        </w:tc>
        <w:tc>
          <w:tcPr>
            <w:tcW w:w="0" w:type="auto"/>
            <w:vAlign w:val="center"/>
          </w:tcPr>
          <w:p w14:paraId="7B2FB03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0" w:type="auto"/>
            <w:vAlign w:val="center"/>
          </w:tcPr>
          <w:p w14:paraId="6F87793A"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3B42AB1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5FBA4640" w14:textId="77777777">
        <w:trPr>
          <w:tblCellSpacing w:w="15" w:type="dxa"/>
        </w:trPr>
        <w:tc>
          <w:tcPr>
            <w:tcW w:w="0" w:type="auto"/>
            <w:vAlign w:val="center"/>
          </w:tcPr>
          <w:p w14:paraId="0FC220B6"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0" w:type="auto"/>
            <w:vAlign w:val="center"/>
          </w:tcPr>
          <w:p w14:paraId="256DA1D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30.0 ± 0.00</w:t>
            </w:r>
          </w:p>
        </w:tc>
        <w:tc>
          <w:tcPr>
            <w:tcW w:w="0" w:type="auto"/>
            <w:vAlign w:val="center"/>
          </w:tcPr>
          <w:p w14:paraId="79E65FA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22.5 ± 0.00</w:t>
            </w:r>
          </w:p>
        </w:tc>
        <w:tc>
          <w:tcPr>
            <w:tcW w:w="0" w:type="auto"/>
            <w:vAlign w:val="center"/>
          </w:tcPr>
          <w:p w14:paraId="15F0DD3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0.00</w:t>
            </w:r>
          </w:p>
        </w:tc>
        <w:tc>
          <w:tcPr>
            <w:tcW w:w="0" w:type="auto"/>
            <w:vAlign w:val="center"/>
          </w:tcPr>
          <w:p w14:paraId="546271F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0825F054" w14:textId="77777777" w:rsidR="00A43411" w:rsidRDefault="00A330FC">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647F6740" wp14:editId="06A8DBCB">
                <wp:extent cx="0" cy="19050"/>
                <wp:effectExtent l="0" t="0" r="0" b="0"/>
                <wp:docPr id="4" name="_x0000_i1025"/>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 id="shape 3" o:spid="_x0000_s3" o:spt="1" type="#_x0000_t1" style="width:0.00pt;height:1.50pt;mso-wrap-distance-left:0.00pt;mso-wrap-distance-top:0.00pt;mso-wrap-distance-right:0.00pt;mso-wrap-distance-bottom:0.00pt;visibility:visible;" fillcolor="#A0A0A0" stroked="f"/>
            </w:pict>
          </mc:Fallback>
        </mc:AlternateContent>
      </w:r>
    </w:p>
    <w:p w14:paraId="32816949"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lastRenderedPageBreak/>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29B0D3C9" w14:textId="77777777" w:rsidR="00A43411" w:rsidRDefault="00A43411">
      <w:pPr>
        <w:jc w:val="both"/>
        <w:rPr>
          <w:rFonts w:ascii="Times New Roman" w:hAnsi="Times New Roman" w:cs="Times New Roman"/>
          <w:b/>
          <w:bCs/>
          <w:sz w:val="24"/>
          <w:szCs w:val="24"/>
        </w:rPr>
      </w:pPr>
    </w:p>
    <w:p w14:paraId="7FB99DAF" w14:textId="77777777" w:rsidR="00A43411" w:rsidRDefault="00A330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6 shows the antibacterial activity of the combination of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and</w:t>
      </w: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bCs/>
          <w:sz w:val="24"/>
          <w:szCs w:val="24"/>
        </w:rPr>
        <w:t xml:space="preserve"> extracts. </w:t>
      </w:r>
      <w:r>
        <w:rPr>
          <w:rFonts w:ascii="Times New Roman" w:hAnsi="Times New Roman" w:cs="Times New Roman"/>
          <w:sz w:val="24"/>
          <w:szCs w:val="24"/>
        </w:rPr>
        <w:t xml:space="preserve"> The hot aqueous extract exhibited the most significant effect against </w:t>
      </w:r>
      <w:r>
        <w:rPr>
          <w:rFonts w:ascii="Times New Roman" w:hAnsi="Times New Roman" w:cs="Times New Roman"/>
          <w:i/>
          <w:sz w:val="24"/>
          <w:szCs w:val="24"/>
        </w:rPr>
        <w:t xml:space="preserve">S. typhi </w:t>
      </w:r>
      <w:r>
        <w:rPr>
          <w:rFonts w:ascii="Times New Roman" w:hAnsi="Times New Roman" w:cs="Times New Roman"/>
          <w:sz w:val="24"/>
          <w:szCs w:val="24"/>
        </w:rPr>
        <w:t xml:space="preserve">(23.5 mm). The results suggest that while both baobab and tamarind individually possess antibacterial properties, their combination enhances their overall inhibitory effects, particularly against pathogens like </w:t>
      </w:r>
      <w:r>
        <w:rPr>
          <w:rFonts w:ascii="Times New Roman" w:hAnsi="Times New Roman" w:cs="Times New Roman"/>
          <w:i/>
          <w:sz w:val="24"/>
          <w:szCs w:val="24"/>
        </w:rPr>
        <w:t>E. coli</w:t>
      </w:r>
      <w:r>
        <w:rPr>
          <w:rFonts w:ascii="Times New Roman" w:hAnsi="Times New Roman" w:cs="Times New Roman"/>
          <w:sz w:val="24"/>
          <w:szCs w:val="24"/>
        </w:rPr>
        <w:t xml:space="preserve"> and </w:t>
      </w:r>
      <w:r>
        <w:rPr>
          <w:rFonts w:ascii="Times New Roman" w:hAnsi="Times New Roman" w:cs="Times New Roman"/>
          <w:i/>
          <w:sz w:val="24"/>
          <w:szCs w:val="24"/>
        </w:rPr>
        <w:t>S. aureus</w:t>
      </w:r>
      <w:r>
        <w:rPr>
          <w:rFonts w:ascii="Times New Roman" w:hAnsi="Times New Roman" w:cs="Times New Roman"/>
          <w:sz w:val="24"/>
          <w:szCs w:val="24"/>
        </w:rPr>
        <w:t xml:space="preserve">. </w:t>
      </w:r>
    </w:p>
    <w:p w14:paraId="0EE33059" w14:textId="77777777" w:rsidR="00A43411" w:rsidRDefault="00A43411">
      <w:pPr>
        <w:jc w:val="both"/>
        <w:rPr>
          <w:rFonts w:ascii="Times New Roman" w:hAnsi="Times New Roman" w:cs="Times New Roman"/>
          <w:b/>
          <w:bCs/>
          <w:sz w:val="24"/>
          <w:szCs w:val="24"/>
        </w:rPr>
      </w:pPr>
    </w:p>
    <w:p w14:paraId="3CC27DDB" w14:textId="77777777" w:rsidR="00A43411" w:rsidRDefault="00A330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Antibacterial Activity of the Combination of </w:t>
      </w:r>
      <w:proofErr w:type="spellStart"/>
      <w:r>
        <w:rPr>
          <w:rFonts w:ascii="Times New Roman" w:hAnsi="Times New Roman" w:cs="Times New Roman"/>
          <w:b/>
          <w:bCs/>
          <w:i/>
          <w:sz w:val="24"/>
          <w:szCs w:val="24"/>
        </w:rPr>
        <w:t>Adansonia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digitata</w:t>
      </w:r>
      <w:proofErr w:type="spellEnd"/>
      <w:r>
        <w:rPr>
          <w:rFonts w:ascii="Times New Roman" w:hAnsi="Times New Roman" w:cs="Times New Roman"/>
          <w:b/>
          <w:bCs/>
          <w:i/>
          <w:sz w:val="24"/>
          <w:szCs w:val="24"/>
        </w:rPr>
        <w:t xml:space="preserve"> </w:t>
      </w:r>
      <w:r>
        <w:rPr>
          <w:rFonts w:ascii="Times New Roman" w:hAnsi="Times New Roman" w:cs="Times New Roman"/>
          <w:b/>
          <w:bCs/>
          <w:sz w:val="24"/>
          <w:szCs w:val="24"/>
        </w:rPr>
        <w:t>and</w:t>
      </w:r>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Tamarindus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indica</w:t>
      </w:r>
      <w:proofErr w:type="spellEnd"/>
      <w:r>
        <w:rPr>
          <w:rFonts w:ascii="Times New Roman" w:hAnsi="Times New Roman" w:cs="Times New Roman"/>
          <w:b/>
          <w:bCs/>
          <w:sz w:val="24"/>
          <w:szCs w:val="24"/>
        </w:rPr>
        <w:t xml:space="preserve"> Extracts.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2"/>
        <w:gridCol w:w="1575"/>
        <w:gridCol w:w="1402"/>
        <w:gridCol w:w="2307"/>
      </w:tblGrid>
      <w:tr w:rsidR="00A43411" w14:paraId="50B4A5CD" w14:textId="77777777">
        <w:trPr>
          <w:tblHeader/>
          <w:tblCellSpacing w:w="15" w:type="dxa"/>
        </w:trPr>
        <w:tc>
          <w:tcPr>
            <w:tcW w:w="0" w:type="auto"/>
            <w:vAlign w:val="center"/>
          </w:tcPr>
          <w:p w14:paraId="0C6304E4"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0" w:type="auto"/>
            <w:vAlign w:val="center"/>
          </w:tcPr>
          <w:p w14:paraId="4DBF597F"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0" w:type="auto"/>
            <w:vAlign w:val="center"/>
          </w:tcPr>
          <w:p w14:paraId="40D93F98"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6969779E"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0E1EDA98"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2ECD7792" w14:textId="77777777">
        <w:trPr>
          <w:tblCellSpacing w:w="15" w:type="dxa"/>
        </w:trPr>
        <w:tc>
          <w:tcPr>
            <w:tcW w:w="0" w:type="auto"/>
            <w:vAlign w:val="center"/>
          </w:tcPr>
          <w:p w14:paraId="3D49863C"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0" w:type="auto"/>
            <w:vAlign w:val="center"/>
          </w:tcPr>
          <w:p w14:paraId="48AF80B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0FE8D86D"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18.0 ± 4.24</w:t>
            </w:r>
          </w:p>
        </w:tc>
        <w:tc>
          <w:tcPr>
            <w:tcW w:w="0" w:type="auto"/>
            <w:vAlign w:val="center"/>
          </w:tcPr>
          <w:p w14:paraId="72C3841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13.0 ± 1.41</w:t>
            </w:r>
          </w:p>
        </w:tc>
        <w:tc>
          <w:tcPr>
            <w:tcW w:w="0" w:type="auto"/>
            <w:vAlign w:val="center"/>
          </w:tcPr>
          <w:p w14:paraId="51AE826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012F619A" w14:textId="77777777">
        <w:trPr>
          <w:tblCellSpacing w:w="15" w:type="dxa"/>
        </w:trPr>
        <w:tc>
          <w:tcPr>
            <w:tcW w:w="0" w:type="auto"/>
            <w:vAlign w:val="center"/>
          </w:tcPr>
          <w:p w14:paraId="1B70E0D3"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aureus</w:t>
            </w:r>
          </w:p>
        </w:tc>
        <w:tc>
          <w:tcPr>
            <w:tcW w:w="0" w:type="auto"/>
            <w:vAlign w:val="center"/>
          </w:tcPr>
          <w:p w14:paraId="546DCEC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13A17C4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3528C80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13.5 ± 0.71</w:t>
            </w:r>
          </w:p>
        </w:tc>
        <w:tc>
          <w:tcPr>
            <w:tcW w:w="0" w:type="auto"/>
            <w:vAlign w:val="center"/>
          </w:tcPr>
          <w:p w14:paraId="788E2BB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799467CF" w14:textId="77777777">
        <w:trPr>
          <w:tblCellSpacing w:w="15" w:type="dxa"/>
        </w:trPr>
        <w:tc>
          <w:tcPr>
            <w:tcW w:w="0" w:type="auto"/>
            <w:vAlign w:val="center"/>
          </w:tcPr>
          <w:p w14:paraId="11BFEFE5"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0" w:type="auto"/>
            <w:vAlign w:val="center"/>
          </w:tcPr>
          <w:p w14:paraId="0B62D85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21.5 ± 0.71</w:t>
            </w:r>
          </w:p>
        </w:tc>
        <w:tc>
          <w:tcPr>
            <w:tcW w:w="0" w:type="auto"/>
            <w:vAlign w:val="center"/>
          </w:tcPr>
          <w:p w14:paraId="6A12772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14.0 ± 2.83</w:t>
            </w:r>
          </w:p>
        </w:tc>
        <w:tc>
          <w:tcPr>
            <w:tcW w:w="0" w:type="auto"/>
            <w:vAlign w:val="center"/>
          </w:tcPr>
          <w:p w14:paraId="6171164C"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12.0 ± 0.00</w:t>
            </w:r>
          </w:p>
        </w:tc>
        <w:tc>
          <w:tcPr>
            <w:tcW w:w="0" w:type="auto"/>
            <w:vAlign w:val="center"/>
          </w:tcPr>
          <w:p w14:paraId="4A7159F2"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61015669" w14:textId="77777777">
        <w:trPr>
          <w:tblCellSpacing w:w="15" w:type="dxa"/>
        </w:trPr>
        <w:tc>
          <w:tcPr>
            <w:tcW w:w="0" w:type="auto"/>
            <w:vAlign w:val="center"/>
          </w:tcPr>
          <w:p w14:paraId="4D5F7AAB"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0" w:type="auto"/>
            <w:vAlign w:val="center"/>
          </w:tcPr>
          <w:p w14:paraId="62F1BF5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23.5 ± 0.71</w:t>
            </w:r>
          </w:p>
        </w:tc>
        <w:tc>
          <w:tcPr>
            <w:tcW w:w="0" w:type="auto"/>
            <w:vAlign w:val="center"/>
          </w:tcPr>
          <w:p w14:paraId="6F4783C3"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3.54</w:t>
            </w:r>
          </w:p>
        </w:tc>
        <w:tc>
          <w:tcPr>
            <w:tcW w:w="0" w:type="auto"/>
            <w:vAlign w:val="center"/>
          </w:tcPr>
          <w:p w14:paraId="2596D165"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13.0 ± 1.41</w:t>
            </w:r>
          </w:p>
        </w:tc>
        <w:tc>
          <w:tcPr>
            <w:tcW w:w="0" w:type="auto"/>
            <w:vAlign w:val="center"/>
          </w:tcPr>
          <w:p w14:paraId="25EBC56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0B5CF15C" w14:textId="77777777" w:rsidR="00A43411" w:rsidRDefault="00A330FC">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1704B08C" wp14:editId="29F5AE5F">
                <wp:extent cx="0" cy="19050"/>
                <wp:effectExtent l="0" t="0" r="0" b="0"/>
                <wp:docPr id="5" name="_x0000_i1026"/>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 id="shape 4" o:spid="_x0000_s4" o:spt="1" type="#_x0000_t1" style="width:0.00pt;height:1.50pt;mso-wrap-distance-left:0.00pt;mso-wrap-distance-top:0.00pt;mso-wrap-distance-right:0.00pt;mso-wrap-distance-bottom:0.00pt;visibility:visible;" fillcolor="#A0A0A0" stroked="f"/>
            </w:pict>
          </mc:Fallback>
        </mc:AlternateContent>
      </w:r>
      <w:bookmarkStart w:id="16" w:name="_Hlk215585840"/>
    </w:p>
    <w:p w14:paraId="07A40987"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3B0E2EE0" w14:textId="77777777" w:rsidR="00A43411" w:rsidRDefault="00A43411">
      <w:pPr>
        <w:spacing w:after="0" w:line="360" w:lineRule="auto"/>
        <w:jc w:val="both"/>
        <w:rPr>
          <w:rFonts w:ascii="Times New Roman" w:hAnsi="Times New Roman" w:cs="Times New Roman"/>
          <w:bCs/>
          <w:sz w:val="24"/>
          <w:szCs w:val="24"/>
        </w:rPr>
      </w:pPr>
    </w:p>
    <w:p w14:paraId="2A290F02" w14:textId="77777777" w:rsidR="00A43411" w:rsidRDefault="00A330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7 shows the antibacterial activities of the combinations of extracts of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and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digitate</w:t>
      </w:r>
      <w:r>
        <w:rPr>
          <w:rFonts w:ascii="Times New Roman" w:hAnsi="Times New Roman" w:cs="Times New Roman"/>
          <w:bCs/>
          <w:sz w:val="24"/>
          <w:szCs w:val="24"/>
        </w:rPr>
        <w:t xml:space="preserve"> extracts</w:t>
      </w:r>
      <w:r>
        <w:rPr>
          <w:rFonts w:ascii="Times New Roman" w:hAnsi="Times New Roman" w:cs="Times New Roman"/>
          <w:sz w:val="24"/>
          <w:szCs w:val="24"/>
        </w:rPr>
        <w:t>.</w:t>
      </w:r>
      <w:bookmarkEnd w:id="16"/>
      <w:r>
        <w:rPr>
          <w:rFonts w:ascii="Times New Roman" w:hAnsi="Times New Roman" w:cs="Times New Roman"/>
          <w:sz w:val="24"/>
          <w:szCs w:val="24"/>
        </w:rPr>
        <w:t xml:space="preserve"> The hot aqueous extract demonstrated the strongest inhibition against multiple pathogens, particularly </w:t>
      </w:r>
      <w:r>
        <w:rPr>
          <w:rFonts w:ascii="Times New Roman" w:hAnsi="Times New Roman" w:cs="Times New Roman"/>
          <w:i/>
          <w:sz w:val="24"/>
          <w:szCs w:val="24"/>
        </w:rPr>
        <w:t>S. typhi</w:t>
      </w:r>
      <w:r>
        <w:rPr>
          <w:rFonts w:ascii="Times New Roman" w:hAnsi="Times New Roman" w:cs="Times New Roman"/>
          <w:sz w:val="24"/>
          <w:szCs w:val="24"/>
        </w:rPr>
        <w:t xml:space="preserve"> (27.5 mm), illustrating the efficacy of the synergistic effects amongst the three extracts. The results indicate that combining these plant extracts not only improves their individual antimicrobial activities but also supports the concept of multi-ingredient herbal remedies in fighting bacterial infections</w:t>
      </w:r>
    </w:p>
    <w:p w14:paraId="04318C15" w14:textId="77777777" w:rsidR="00A43411" w:rsidRDefault="00A43411">
      <w:pPr>
        <w:jc w:val="both"/>
        <w:rPr>
          <w:rFonts w:ascii="Times New Roman" w:hAnsi="Times New Roman" w:cs="Times New Roman"/>
          <w:b/>
          <w:bCs/>
          <w:sz w:val="24"/>
          <w:szCs w:val="24"/>
        </w:rPr>
      </w:pPr>
    </w:p>
    <w:p w14:paraId="7BD7B89F" w14:textId="77777777" w:rsidR="00A43411" w:rsidRDefault="00A330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7: Antibacterial Activities of the Combinations of Extracts of </w:t>
      </w:r>
      <w:r>
        <w:rPr>
          <w:rFonts w:ascii="Times New Roman" w:hAnsi="Times New Roman" w:cs="Times New Roman"/>
          <w:b/>
          <w:bCs/>
          <w:i/>
          <w:sz w:val="24"/>
          <w:szCs w:val="24"/>
        </w:rPr>
        <w:t xml:space="preserve">Vitellaria </w:t>
      </w:r>
      <w:proofErr w:type="spellStart"/>
      <w:r>
        <w:rPr>
          <w:rFonts w:ascii="Times New Roman" w:hAnsi="Times New Roman" w:cs="Times New Roman"/>
          <w:b/>
          <w:bCs/>
          <w:i/>
          <w:sz w:val="24"/>
          <w:szCs w:val="24"/>
        </w:rPr>
        <w:t>paradoxa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Tamarindus</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indica</w:t>
      </w:r>
      <w:proofErr w:type="spellEnd"/>
      <w:r>
        <w:rPr>
          <w:rFonts w:ascii="Times New Roman" w:hAnsi="Times New Roman" w:cs="Times New Roman"/>
          <w:b/>
          <w:bCs/>
          <w:i/>
          <w:sz w:val="24"/>
          <w:szCs w:val="24"/>
        </w:rPr>
        <w:t>,</w:t>
      </w:r>
      <w:r>
        <w:rPr>
          <w:rFonts w:ascii="Times New Roman" w:hAnsi="Times New Roman" w:cs="Times New Roman"/>
          <w:b/>
          <w:bCs/>
          <w:sz w:val="24"/>
          <w:szCs w:val="24"/>
        </w:rPr>
        <w:t xml:space="preserve"> and </w:t>
      </w:r>
      <w:proofErr w:type="spellStart"/>
      <w:r>
        <w:rPr>
          <w:rFonts w:ascii="Times New Roman" w:hAnsi="Times New Roman" w:cs="Times New Roman"/>
          <w:b/>
          <w:bCs/>
          <w:i/>
          <w:sz w:val="24"/>
          <w:szCs w:val="24"/>
        </w:rPr>
        <w:t>Adansonia</w:t>
      </w:r>
      <w:proofErr w:type="spellEnd"/>
      <w:r>
        <w:rPr>
          <w:rFonts w:ascii="Times New Roman" w:hAnsi="Times New Roman" w:cs="Times New Roman"/>
          <w:b/>
          <w:bCs/>
          <w:i/>
          <w:sz w:val="24"/>
          <w:szCs w:val="24"/>
        </w:rPr>
        <w:t xml:space="preserve"> digitate</w:t>
      </w:r>
      <w:r>
        <w:rPr>
          <w:rFonts w:ascii="Times New Roman" w:hAnsi="Times New Roman" w:cs="Times New Roman"/>
          <w:b/>
          <w:bCs/>
          <w:sz w:val="24"/>
          <w:szCs w:val="24"/>
        </w:rPr>
        <w:t xml:space="preserve"> extracts. (Mean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2"/>
        <w:gridCol w:w="1575"/>
        <w:gridCol w:w="1402"/>
        <w:gridCol w:w="2307"/>
      </w:tblGrid>
      <w:tr w:rsidR="00A43411" w14:paraId="4183A662" w14:textId="77777777">
        <w:trPr>
          <w:tblHeader/>
          <w:tblCellSpacing w:w="15" w:type="dxa"/>
        </w:trPr>
        <w:tc>
          <w:tcPr>
            <w:tcW w:w="0" w:type="auto"/>
            <w:vAlign w:val="center"/>
          </w:tcPr>
          <w:p w14:paraId="1DD2B868"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Clinical Pathogens</w:t>
            </w:r>
          </w:p>
        </w:tc>
        <w:tc>
          <w:tcPr>
            <w:tcW w:w="0" w:type="auto"/>
            <w:vAlign w:val="center"/>
          </w:tcPr>
          <w:p w14:paraId="37F91F03"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Hot Aqueous (mm)</w:t>
            </w:r>
          </w:p>
        </w:tc>
        <w:tc>
          <w:tcPr>
            <w:tcW w:w="0" w:type="auto"/>
            <w:vAlign w:val="center"/>
          </w:tcPr>
          <w:p w14:paraId="6B277687"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Methanol (mm)</w:t>
            </w:r>
          </w:p>
        </w:tc>
        <w:tc>
          <w:tcPr>
            <w:tcW w:w="0" w:type="auto"/>
            <w:vAlign w:val="center"/>
          </w:tcPr>
          <w:p w14:paraId="63FAFAF9"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Ethanol (mm)</w:t>
            </w:r>
          </w:p>
        </w:tc>
        <w:tc>
          <w:tcPr>
            <w:tcW w:w="0" w:type="auto"/>
            <w:vAlign w:val="center"/>
          </w:tcPr>
          <w:p w14:paraId="2E7B0BE2"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t>Positive Control (Cipro)</w:t>
            </w:r>
          </w:p>
        </w:tc>
      </w:tr>
      <w:tr w:rsidR="00A43411" w14:paraId="6C9ED3A5" w14:textId="77777777">
        <w:trPr>
          <w:tblCellSpacing w:w="15" w:type="dxa"/>
        </w:trPr>
        <w:tc>
          <w:tcPr>
            <w:tcW w:w="0" w:type="auto"/>
            <w:vAlign w:val="center"/>
          </w:tcPr>
          <w:p w14:paraId="7292C9CD"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E. coli</w:t>
            </w:r>
          </w:p>
        </w:tc>
        <w:tc>
          <w:tcPr>
            <w:tcW w:w="0" w:type="auto"/>
            <w:vAlign w:val="center"/>
          </w:tcPr>
          <w:p w14:paraId="0454B34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25.0 ± 0.00</w:t>
            </w:r>
          </w:p>
        </w:tc>
        <w:tc>
          <w:tcPr>
            <w:tcW w:w="0" w:type="auto"/>
            <w:vAlign w:val="center"/>
          </w:tcPr>
          <w:p w14:paraId="406DD97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13.5 ± 0.71</w:t>
            </w:r>
          </w:p>
        </w:tc>
        <w:tc>
          <w:tcPr>
            <w:tcW w:w="0" w:type="auto"/>
            <w:vAlign w:val="center"/>
          </w:tcPr>
          <w:p w14:paraId="513DB3E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7.07</w:t>
            </w:r>
          </w:p>
        </w:tc>
        <w:tc>
          <w:tcPr>
            <w:tcW w:w="0" w:type="auto"/>
            <w:vAlign w:val="center"/>
          </w:tcPr>
          <w:p w14:paraId="472B8BC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47.5 ± 3.54</w:t>
            </w:r>
          </w:p>
        </w:tc>
      </w:tr>
      <w:tr w:rsidR="00A43411" w14:paraId="1AE7D150" w14:textId="77777777">
        <w:trPr>
          <w:tblCellSpacing w:w="15" w:type="dxa"/>
        </w:trPr>
        <w:tc>
          <w:tcPr>
            <w:tcW w:w="0" w:type="auto"/>
            <w:vAlign w:val="center"/>
          </w:tcPr>
          <w:p w14:paraId="242A462C"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lastRenderedPageBreak/>
              <w:t>S. aureus</w:t>
            </w:r>
          </w:p>
        </w:tc>
        <w:tc>
          <w:tcPr>
            <w:tcW w:w="0" w:type="auto"/>
            <w:vAlign w:val="center"/>
          </w:tcPr>
          <w:p w14:paraId="04D2C8C0"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25.5 ± 0.71</w:t>
            </w:r>
          </w:p>
        </w:tc>
        <w:tc>
          <w:tcPr>
            <w:tcW w:w="0" w:type="auto"/>
            <w:vAlign w:val="center"/>
          </w:tcPr>
          <w:p w14:paraId="256C1B29"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20.5 ± 0.71</w:t>
            </w:r>
          </w:p>
        </w:tc>
        <w:tc>
          <w:tcPr>
            <w:tcW w:w="0" w:type="auto"/>
            <w:vAlign w:val="center"/>
          </w:tcPr>
          <w:p w14:paraId="3F5AAA3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20.0 ± 0.00</w:t>
            </w:r>
          </w:p>
        </w:tc>
        <w:tc>
          <w:tcPr>
            <w:tcW w:w="0" w:type="auto"/>
            <w:vAlign w:val="center"/>
          </w:tcPr>
          <w:p w14:paraId="1440F44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14.14</w:t>
            </w:r>
          </w:p>
        </w:tc>
      </w:tr>
      <w:tr w:rsidR="00A43411" w14:paraId="12174BA4" w14:textId="77777777">
        <w:trPr>
          <w:tblCellSpacing w:w="15" w:type="dxa"/>
        </w:trPr>
        <w:tc>
          <w:tcPr>
            <w:tcW w:w="0" w:type="auto"/>
            <w:vAlign w:val="center"/>
          </w:tcPr>
          <w:p w14:paraId="4A55A029"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pneumoniae</w:t>
            </w:r>
          </w:p>
        </w:tc>
        <w:tc>
          <w:tcPr>
            <w:tcW w:w="0" w:type="auto"/>
            <w:vAlign w:val="center"/>
          </w:tcPr>
          <w:p w14:paraId="51EE244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24.5 ± 2.12</w:t>
            </w:r>
          </w:p>
        </w:tc>
        <w:tc>
          <w:tcPr>
            <w:tcW w:w="0" w:type="auto"/>
            <w:vAlign w:val="center"/>
          </w:tcPr>
          <w:p w14:paraId="37F29A66"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19.5 ± 0.71</w:t>
            </w:r>
          </w:p>
        </w:tc>
        <w:tc>
          <w:tcPr>
            <w:tcW w:w="0" w:type="auto"/>
            <w:vAlign w:val="center"/>
          </w:tcPr>
          <w:p w14:paraId="711A1664"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17.0 ± 1.41</w:t>
            </w:r>
          </w:p>
        </w:tc>
        <w:tc>
          <w:tcPr>
            <w:tcW w:w="0" w:type="auto"/>
            <w:vAlign w:val="center"/>
          </w:tcPr>
          <w:p w14:paraId="10D9E448"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7.07</w:t>
            </w:r>
          </w:p>
        </w:tc>
      </w:tr>
      <w:tr w:rsidR="00A43411" w14:paraId="6D1B94B5" w14:textId="77777777">
        <w:trPr>
          <w:tblCellSpacing w:w="15" w:type="dxa"/>
        </w:trPr>
        <w:tc>
          <w:tcPr>
            <w:tcW w:w="0" w:type="auto"/>
            <w:vAlign w:val="center"/>
          </w:tcPr>
          <w:p w14:paraId="22BD8FDF" w14:textId="77777777" w:rsidR="00A43411" w:rsidRDefault="00A330FC">
            <w:pPr>
              <w:rPr>
                <w:rFonts w:ascii="Times New Roman" w:hAnsi="Times New Roman" w:cs="Times New Roman"/>
                <w:i/>
                <w:iCs/>
                <w:sz w:val="24"/>
                <w:szCs w:val="24"/>
              </w:rPr>
            </w:pPr>
            <w:r>
              <w:rPr>
                <w:rFonts w:ascii="Times New Roman" w:hAnsi="Times New Roman" w:cs="Times New Roman"/>
                <w:i/>
                <w:iCs/>
                <w:sz w:val="24"/>
                <w:szCs w:val="24"/>
              </w:rPr>
              <w:t>S. typhi</w:t>
            </w:r>
          </w:p>
        </w:tc>
        <w:tc>
          <w:tcPr>
            <w:tcW w:w="0" w:type="auto"/>
            <w:vAlign w:val="center"/>
          </w:tcPr>
          <w:p w14:paraId="5D4527D1"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27.5 ± 0.71</w:t>
            </w:r>
          </w:p>
        </w:tc>
        <w:tc>
          <w:tcPr>
            <w:tcW w:w="0" w:type="auto"/>
            <w:vAlign w:val="center"/>
          </w:tcPr>
          <w:p w14:paraId="4115538B"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17.5 ± 0.71</w:t>
            </w:r>
          </w:p>
        </w:tc>
        <w:tc>
          <w:tcPr>
            <w:tcW w:w="0" w:type="auto"/>
            <w:vAlign w:val="center"/>
          </w:tcPr>
          <w:p w14:paraId="6A32D46F"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16.0 ± 2.83</w:t>
            </w:r>
          </w:p>
        </w:tc>
        <w:tc>
          <w:tcPr>
            <w:tcW w:w="0" w:type="auto"/>
            <w:vAlign w:val="center"/>
          </w:tcPr>
          <w:p w14:paraId="3B0C9777" w14:textId="77777777" w:rsidR="00A43411" w:rsidRDefault="00A330FC">
            <w:pPr>
              <w:rPr>
                <w:rFonts w:ascii="Times New Roman" w:hAnsi="Times New Roman" w:cs="Times New Roman"/>
                <w:sz w:val="24"/>
                <w:szCs w:val="24"/>
              </w:rPr>
            </w:pPr>
            <w:r>
              <w:rPr>
                <w:rFonts w:ascii="Times New Roman" w:hAnsi="Times New Roman" w:cs="Times New Roman"/>
                <w:sz w:val="24"/>
                <w:szCs w:val="24"/>
              </w:rPr>
              <w:t>55.0 ± 0.00</w:t>
            </w:r>
          </w:p>
        </w:tc>
      </w:tr>
    </w:tbl>
    <w:p w14:paraId="5624D3D8" w14:textId="77777777" w:rsidR="00A43411" w:rsidRDefault="00A330FC">
      <w:pPr>
        <w:rPr>
          <w:rFonts w:ascii="Times New Roman" w:hAnsi="Times New Roman" w:cs="Times New Roman"/>
          <w:b/>
          <w:bCs/>
          <w:sz w:val="24"/>
          <w:szCs w:val="24"/>
        </w:rPr>
      </w:pPr>
      <w:r>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0.00 mm for all the bacterial isolates.</w:t>
      </w:r>
    </w:p>
    <w:p w14:paraId="5DDFFB7B" w14:textId="77777777" w:rsidR="00A43411" w:rsidRDefault="00A43411">
      <w:pPr>
        <w:spacing w:line="360" w:lineRule="auto"/>
        <w:jc w:val="both"/>
        <w:rPr>
          <w:rFonts w:ascii="Times New Roman" w:hAnsi="Times New Roman" w:cs="Times New Roman"/>
          <w:bCs/>
          <w:sz w:val="24"/>
          <w:szCs w:val="24"/>
        </w:rPr>
      </w:pPr>
    </w:p>
    <w:p w14:paraId="74BF7ABE"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8 shows the phytochemical screening of the bark extracts of Tamarind</w:t>
      </w:r>
      <w:r>
        <w:rPr>
          <w:rFonts w:ascii="Times New Roman" w:hAnsi="Times New Roman" w:cs="Times New Roman"/>
          <w:sz w:val="24"/>
          <w:szCs w:val="24"/>
        </w:rPr>
        <w:t xml:space="preserve">. </w:t>
      </w:r>
      <w:bookmarkStart w:id="17" w:name="_Hlk215632953"/>
      <w:r>
        <w:rPr>
          <w:rFonts w:ascii="Times New Roman" w:hAnsi="Times New Roman" w:cs="Times New Roman"/>
          <w:sz w:val="24"/>
          <w:szCs w:val="24"/>
        </w:rPr>
        <w:t xml:space="preserve">The hot aqueous extract, ethanol extract, and methanol extract of Tamarind were tested for various phytochemicals. Flavonoids, saponins, tannins, phenols, and glycosides were present in the extracts, while alkaloids were present in only one extract. </w:t>
      </w:r>
      <w:bookmarkEnd w:id="17"/>
    </w:p>
    <w:p w14:paraId="70D4BBCA"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8: Phytochemical Screening of Bark Extracts of Tamarind</w:t>
      </w:r>
    </w:p>
    <w:tbl>
      <w:tblPr>
        <w:tblW w:w="921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977"/>
        <w:gridCol w:w="992"/>
        <w:gridCol w:w="1134"/>
        <w:gridCol w:w="1134"/>
        <w:gridCol w:w="993"/>
        <w:gridCol w:w="850"/>
        <w:gridCol w:w="1134"/>
      </w:tblGrid>
      <w:tr w:rsidR="00A43411" w14:paraId="2471DA69" w14:textId="77777777">
        <w:trPr>
          <w:tblHeader/>
          <w:tblCellSpacing w:w="15" w:type="dxa"/>
          <w:jc w:val="center"/>
        </w:trPr>
        <w:tc>
          <w:tcPr>
            <w:tcW w:w="2932" w:type="dxa"/>
            <w:vAlign w:val="center"/>
          </w:tcPr>
          <w:p w14:paraId="2C351C76"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962" w:type="dxa"/>
            <w:vAlign w:val="center"/>
          </w:tcPr>
          <w:p w14:paraId="0C9199E3"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Alkaloid</w:t>
            </w:r>
          </w:p>
        </w:tc>
        <w:tc>
          <w:tcPr>
            <w:tcW w:w="1104" w:type="dxa"/>
            <w:vAlign w:val="center"/>
          </w:tcPr>
          <w:p w14:paraId="48C943B9"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Flavonoid</w:t>
            </w:r>
          </w:p>
        </w:tc>
        <w:tc>
          <w:tcPr>
            <w:tcW w:w="1104" w:type="dxa"/>
            <w:vAlign w:val="center"/>
          </w:tcPr>
          <w:p w14:paraId="6C37FB21"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Saponins</w:t>
            </w:r>
          </w:p>
        </w:tc>
        <w:tc>
          <w:tcPr>
            <w:tcW w:w="963" w:type="dxa"/>
            <w:vAlign w:val="center"/>
          </w:tcPr>
          <w:p w14:paraId="3AAA028C"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Tannins</w:t>
            </w:r>
          </w:p>
        </w:tc>
        <w:tc>
          <w:tcPr>
            <w:tcW w:w="820" w:type="dxa"/>
            <w:vAlign w:val="center"/>
          </w:tcPr>
          <w:p w14:paraId="27307B8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Phenol</w:t>
            </w:r>
          </w:p>
        </w:tc>
        <w:tc>
          <w:tcPr>
            <w:tcW w:w="1089" w:type="dxa"/>
            <w:vAlign w:val="center"/>
          </w:tcPr>
          <w:p w14:paraId="09FF5BCF"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10327F6D" w14:textId="77777777">
        <w:trPr>
          <w:tblCellSpacing w:w="15" w:type="dxa"/>
          <w:jc w:val="center"/>
        </w:trPr>
        <w:tc>
          <w:tcPr>
            <w:tcW w:w="2932" w:type="dxa"/>
            <w:vAlign w:val="center"/>
          </w:tcPr>
          <w:p w14:paraId="3ED4A930"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Tamarind Hot Aqueous (TH)</w:t>
            </w:r>
          </w:p>
        </w:tc>
        <w:tc>
          <w:tcPr>
            <w:tcW w:w="962" w:type="dxa"/>
            <w:vAlign w:val="center"/>
          </w:tcPr>
          <w:p w14:paraId="7F6B755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58829CA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25C1405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01CDF28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54DD9289"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534B70C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14303096" w14:textId="77777777">
        <w:trPr>
          <w:tblCellSpacing w:w="15" w:type="dxa"/>
          <w:jc w:val="center"/>
        </w:trPr>
        <w:tc>
          <w:tcPr>
            <w:tcW w:w="2932" w:type="dxa"/>
            <w:vAlign w:val="center"/>
          </w:tcPr>
          <w:p w14:paraId="7C4F391C"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Tamarind Ethanol (TE)</w:t>
            </w:r>
          </w:p>
        </w:tc>
        <w:tc>
          <w:tcPr>
            <w:tcW w:w="962" w:type="dxa"/>
            <w:vAlign w:val="center"/>
          </w:tcPr>
          <w:p w14:paraId="064ED013"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189127C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13AF734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4CE5516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1471305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555760F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196CE849" w14:textId="77777777">
        <w:trPr>
          <w:tblCellSpacing w:w="15" w:type="dxa"/>
          <w:jc w:val="center"/>
        </w:trPr>
        <w:tc>
          <w:tcPr>
            <w:tcW w:w="2932" w:type="dxa"/>
            <w:vAlign w:val="center"/>
          </w:tcPr>
          <w:p w14:paraId="17C4B53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Tamarind Methanol (TM)</w:t>
            </w:r>
          </w:p>
        </w:tc>
        <w:tc>
          <w:tcPr>
            <w:tcW w:w="962" w:type="dxa"/>
            <w:vAlign w:val="center"/>
          </w:tcPr>
          <w:p w14:paraId="70681CA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6520E6B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3A3F306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252FBA6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330FC27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7EA4F58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0217E5B5"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69D3F22B" w14:textId="77777777" w:rsidR="00A43411" w:rsidRDefault="00A43411">
      <w:pPr>
        <w:spacing w:line="360" w:lineRule="auto"/>
        <w:jc w:val="both"/>
        <w:rPr>
          <w:rFonts w:ascii="Times New Roman" w:hAnsi="Times New Roman" w:cs="Times New Roman"/>
          <w:sz w:val="24"/>
          <w:szCs w:val="24"/>
        </w:rPr>
      </w:pPr>
    </w:p>
    <w:p w14:paraId="02FE5C48"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sz w:val="24"/>
          <w:szCs w:val="24"/>
        </w:rPr>
        <w:t>The hot aqueous extract, ethanol extract, and methanol extract of the shea tree were tested for various phytochemicals (Table 9). Alkaloids, flavonoids, saponins, tannins, phenols, and glycosides were present in the extracts except the methanol extract that flavonoids were absent</w:t>
      </w:r>
    </w:p>
    <w:p w14:paraId="7326D58C" w14:textId="77777777" w:rsidR="00A43411" w:rsidRDefault="00A43411">
      <w:pPr>
        <w:spacing w:line="360" w:lineRule="auto"/>
        <w:jc w:val="both"/>
        <w:rPr>
          <w:rFonts w:ascii="Times New Roman" w:hAnsi="Times New Roman" w:cs="Times New Roman"/>
          <w:bCs/>
          <w:sz w:val="24"/>
          <w:szCs w:val="24"/>
        </w:rPr>
      </w:pPr>
    </w:p>
    <w:p w14:paraId="33DB6030"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9: Phytochemical Screening of Bark Extracts of Shea Tree</w:t>
      </w:r>
    </w:p>
    <w:tbl>
      <w:tblPr>
        <w:tblW w:w="9781" w:type="dxa"/>
        <w:jc w:val="center"/>
        <w:tblCellSpacing w:w="15" w:type="dxa"/>
        <w:tblCellMar>
          <w:top w:w="15" w:type="dxa"/>
          <w:left w:w="15" w:type="dxa"/>
          <w:bottom w:w="15" w:type="dxa"/>
          <w:right w:w="15" w:type="dxa"/>
        </w:tblCellMar>
        <w:tblLook w:val="04A0" w:firstRow="1" w:lastRow="0" w:firstColumn="1" w:lastColumn="0" w:noHBand="0" w:noVBand="1"/>
      </w:tblPr>
      <w:tblGrid>
        <w:gridCol w:w="2694"/>
        <w:gridCol w:w="1134"/>
        <w:gridCol w:w="1275"/>
        <w:gridCol w:w="1276"/>
        <w:gridCol w:w="1134"/>
        <w:gridCol w:w="1193"/>
        <w:gridCol w:w="1075"/>
      </w:tblGrid>
      <w:tr w:rsidR="00A43411" w14:paraId="0FF0DBF8" w14:textId="77777777">
        <w:trPr>
          <w:tblHeader/>
          <w:tblCellSpacing w:w="15" w:type="dxa"/>
          <w:jc w:val="center"/>
        </w:trPr>
        <w:tc>
          <w:tcPr>
            <w:tcW w:w="2649" w:type="dxa"/>
            <w:vAlign w:val="center"/>
          </w:tcPr>
          <w:p w14:paraId="0205D374"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1104" w:type="dxa"/>
            <w:vAlign w:val="center"/>
          </w:tcPr>
          <w:p w14:paraId="348DBD97"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Alkaloid</w:t>
            </w:r>
          </w:p>
        </w:tc>
        <w:tc>
          <w:tcPr>
            <w:tcW w:w="1245" w:type="dxa"/>
            <w:vAlign w:val="center"/>
          </w:tcPr>
          <w:p w14:paraId="3CAF2964"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Flavonoid</w:t>
            </w:r>
          </w:p>
        </w:tc>
        <w:tc>
          <w:tcPr>
            <w:tcW w:w="1246" w:type="dxa"/>
            <w:vAlign w:val="center"/>
          </w:tcPr>
          <w:p w14:paraId="26D3C283"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Saponins</w:t>
            </w:r>
          </w:p>
        </w:tc>
        <w:tc>
          <w:tcPr>
            <w:tcW w:w="1104" w:type="dxa"/>
            <w:vAlign w:val="center"/>
          </w:tcPr>
          <w:p w14:paraId="24D9E59F"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Tannins</w:t>
            </w:r>
          </w:p>
        </w:tc>
        <w:tc>
          <w:tcPr>
            <w:tcW w:w="1163" w:type="dxa"/>
            <w:vAlign w:val="center"/>
          </w:tcPr>
          <w:p w14:paraId="564AC9EB"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Phenol</w:t>
            </w:r>
          </w:p>
        </w:tc>
        <w:tc>
          <w:tcPr>
            <w:tcW w:w="1030" w:type="dxa"/>
            <w:vAlign w:val="center"/>
          </w:tcPr>
          <w:p w14:paraId="0E312F51"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50B8D04E" w14:textId="77777777">
        <w:trPr>
          <w:tblCellSpacing w:w="15" w:type="dxa"/>
          <w:jc w:val="center"/>
        </w:trPr>
        <w:tc>
          <w:tcPr>
            <w:tcW w:w="2649" w:type="dxa"/>
            <w:vAlign w:val="center"/>
          </w:tcPr>
          <w:p w14:paraId="26336CA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Shea Hot Aqueous (SH)</w:t>
            </w:r>
          </w:p>
        </w:tc>
        <w:tc>
          <w:tcPr>
            <w:tcW w:w="1104" w:type="dxa"/>
            <w:vAlign w:val="center"/>
          </w:tcPr>
          <w:p w14:paraId="1DDBCE9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1490FF6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19A2BAA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12DF874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63" w:type="dxa"/>
            <w:vAlign w:val="center"/>
          </w:tcPr>
          <w:p w14:paraId="2454F31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69FE02A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3E402306" w14:textId="77777777">
        <w:trPr>
          <w:tblCellSpacing w:w="15" w:type="dxa"/>
          <w:jc w:val="center"/>
        </w:trPr>
        <w:tc>
          <w:tcPr>
            <w:tcW w:w="2649" w:type="dxa"/>
            <w:vAlign w:val="center"/>
          </w:tcPr>
          <w:p w14:paraId="5D1C220A"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Shea Ethanol (SE)</w:t>
            </w:r>
          </w:p>
        </w:tc>
        <w:tc>
          <w:tcPr>
            <w:tcW w:w="1104" w:type="dxa"/>
            <w:vAlign w:val="center"/>
          </w:tcPr>
          <w:p w14:paraId="1B52D47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53ACC1B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2590CBC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3EE61E2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63" w:type="dxa"/>
            <w:vAlign w:val="center"/>
          </w:tcPr>
          <w:p w14:paraId="1D20ADD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09B9F6D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4888F88A" w14:textId="77777777">
        <w:trPr>
          <w:tblCellSpacing w:w="15" w:type="dxa"/>
          <w:jc w:val="center"/>
        </w:trPr>
        <w:tc>
          <w:tcPr>
            <w:tcW w:w="2649" w:type="dxa"/>
            <w:vAlign w:val="center"/>
          </w:tcPr>
          <w:p w14:paraId="3D8C737F"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Shea Methanol (SM)</w:t>
            </w:r>
          </w:p>
        </w:tc>
        <w:tc>
          <w:tcPr>
            <w:tcW w:w="1104" w:type="dxa"/>
            <w:vAlign w:val="center"/>
          </w:tcPr>
          <w:p w14:paraId="5037B29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03CA3FF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0103BD2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077CF27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63" w:type="dxa"/>
            <w:vAlign w:val="center"/>
          </w:tcPr>
          <w:p w14:paraId="5F6D880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08087BF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9B3B45A"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0E1AC1F5"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analysis of </w:t>
      </w:r>
      <w:proofErr w:type="spellStart"/>
      <w:r>
        <w:rPr>
          <w:rFonts w:ascii="Times New Roman" w:hAnsi="Times New Roman" w:cs="Times New Roman"/>
          <w:i/>
          <w:iCs/>
          <w:sz w:val="24"/>
          <w:szCs w:val="24"/>
        </w:rPr>
        <w:t>Adansonia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digitata</w:t>
      </w:r>
      <w:proofErr w:type="spellEnd"/>
      <w:r>
        <w:rPr>
          <w:rFonts w:ascii="Times New Roman" w:hAnsi="Times New Roman" w:cs="Times New Roman"/>
          <w:sz w:val="24"/>
          <w:szCs w:val="24"/>
        </w:rPr>
        <w:t xml:space="preserve"> (Baobab) extracts demonstrated varying profiles of phytochemicals (Table 10). Flavonoids, saponins, tannins, phenols, and glycosides were present in all the extracts, while alkaloid was present in only one extract. </w:t>
      </w:r>
    </w:p>
    <w:p w14:paraId="338F7EA4" w14:textId="77777777" w:rsidR="00A43411" w:rsidRDefault="00A43411">
      <w:pPr>
        <w:spacing w:line="360" w:lineRule="auto"/>
        <w:jc w:val="both"/>
        <w:rPr>
          <w:rFonts w:ascii="Times New Roman" w:hAnsi="Times New Roman" w:cs="Times New Roman"/>
          <w:bCs/>
          <w:sz w:val="24"/>
          <w:szCs w:val="24"/>
        </w:rPr>
      </w:pPr>
    </w:p>
    <w:p w14:paraId="22FA1A9E"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10: Phytochemical Screening of Bark Extracts of Baobab</w:t>
      </w:r>
    </w:p>
    <w:tbl>
      <w:tblPr>
        <w:tblW w:w="9639" w:type="dxa"/>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134"/>
        <w:gridCol w:w="1134"/>
        <w:gridCol w:w="1134"/>
        <w:gridCol w:w="1276"/>
        <w:gridCol w:w="992"/>
        <w:gridCol w:w="1134"/>
      </w:tblGrid>
      <w:tr w:rsidR="00A43411" w14:paraId="5CF03357" w14:textId="77777777">
        <w:trPr>
          <w:tblHeader/>
          <w:tblCellSpacing w:w="15" w:type="dxa"/>
          <w:jc w:val="center"/>
        </w:trPr>
        <w:tc>
          <w:tcPr>
            <w:tcW w:w="2790" w:type="dxa"/>
            <w:vAlign w:val="center"/>
          </w:tcPr>
          <w:p w14:paraId="6FDBEC59"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1104" w:type="dxa"/>
            <w:vAlign w:val="center"/>
          </w:tcPr>
          <w:p w14:paraId="63070113"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Alkaloid</w:t>
            </w:r>
          </w:p>
        </w:tc>
        <w:tc>
          <w:tcPr>
            <w:tcW w:w="1104" w:type="dxa"/>
            <w:vAlign w:val="center"/>
          </w:tcPr>
          <w:p w14:paraId="1EC121BA"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Flavonoid</w:t>
            </w:r>
          </w:p>
        </w:tc>
        <w:tc>
          <w:tcPr>
            <w:tcW w:w="1104" w:type="dxa"/>
            <w:vAlign w:val="center"/>
          </w:tcPr>
          <w:p w14:paraId="72379EA8"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Saponins</w:t>
            </w:r>
          </w:p>
        </w:tc>
        <w:tc>
          <w:tcPr>
            <w:tcW w:w="1246" w:type="dxa"/>
            <w:vAlign w:val="center"/>
          </w:tcPr>
          <w:p w14:paraId="5ACE74D0"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Tannins</w:t>
            </w:r>
          </w:p>
        </w:tc>
        <w:tc>
          <w:tcPr>
            <w:tcW w:w="962" w:type="dxa"/>
            <w:vAlign w:val="center"/>
          </w:tcPr>
          <w:p w14:paraId="3D642B0D"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Phenol</w:t>
            </w:r>
          </w:p>
        </w:tc>
        <w:tc>
          <w:tcPr>
            <w:tcW w:w="1089" w:type="dxa"/>
            <w:vAlign w:val="center"/>
          </w:tcPr>
          <w:p w14:paraId="46D4633F"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32999118" w14:textId="77777777">
        <w:trPr>
          <w:tblCellSpacing w:w="15" w:type="dxa"/>
          <w:jc w:val="center"/>
        </w:trPr>
        <w:tc>
          <w:tcPr>
            <w:tcW w:w="2790" w:type="dxa"/>
            <w:vAlign w:val="center"/>
          </w:tcPr>
          <w:p w14:paraId="05EE6714"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Hot Aqueous (BH)</w:t>
            </w:r>
          </w:p>
        </w:tc>
        <w:tc>
          <w:tcPr>
            <w:tcW w:w="1104" w:type="dxa"/>
            <w:vAlign w:val="center"/>
          </w:tcPr>
          <w:p w14:paraId="25F50EE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4549AD4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368A46B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71C73829"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02C275C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792C4680"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35819394" w14:textId="77777777">
        <w:trPr>
          <w:tblCellSpacing w:w="15" w:type="dxa"/>
          <w:jc w:val="center"/>
        </w:trPr>
        <w:tc>
          <w:tcPr>
            <w:tcW w:w="2790" w:type="dxa"/>
            <w:vAlign w:val="center"/>
          </w:tcPr>
          <w:p w14:paraId="48600230"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Ethanol (BE)</w:t>
            </w:r>
          </w:p>
        </w:tc>
        <w:tc>
          <w:tcPr>
            <w:tcW w:w="1104" w:type="dxa"/>
            <w:vAlign w:val="center"/>
          </w:tcPr>
          <w:p w14:paraId="2640B55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1B78C20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02B7C1E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5E96D2C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5B21BD1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385F27A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415AE934" w14:textId="77777777">
        <w:trPr>
          <w:tblCellSpacing w:w="15" w:type="dxa"/>
          <w:jc w:val="center"/>
        </w:trPr>
        <w:tc>
          <w:tcPr>
            <w:tcW w:w="2790" w:type="dxa"/>
            <w:vAlign w:val="center"/>
          </w:tcPr>
          <w:p w14:paraId="4707610B"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Methanol (BM)</w:t>
            </w:r>
          </w:p>
        </w:tc>
        <w:tc>
          <w:tcPr>
            <w:tcW w:w="1104" w:type="dxa"/>
            <w:vAlign w:val="center"/>
          </w:tcPr>
          <w:p w14:paraId="0122B96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2C2EF55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2087C7E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vAlign w:val="center"/>
          </w:tcPr>
          <w:p w14:paraId="140DBDF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6E3D1C9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397E67A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7B13593"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44611F65" w14:textId="77777777" w:rsidR="00A43411" w:rsidRDefault="00A43411">
      <w:pPr>
        <w:spacing w:line="360" w:lineRule="auto"/>
        <w:jc w:val="both"/>
        <w:rPr>
          <w:rFonts w:ascii="Times New Roman" w:hAnsi="Times New Roman" w:cs="Times New Roman"/>
          <w:sz w:val="24"/>
          <w:szCs w:val="24"/>
        </w:rPr>
      </w:pPr>
    </w:p>
    <w:p w14:paraId="5CFE3B1C"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combined extracts of </w:t>
      </w:r>
      <w:r>
        <w:rPr>
          <w:rFonts w:ascii="Times New Roman" w:hAnsi="Times New Roman" w:cs="Times New Roman"/>
          <w:i/>
          <w:iCs/>
          <w:sz w:val="24"/>
          <w:szCs w:val="24"/>
        </w:rPr>
        <w:t>Baobab</w:t>
      </w:r>
      <w:r>
        <w:rPr>
          <w:rFonts w:ascii="Times New Roman" w:hAnsi="Times New Roman" w:cs="Times New Roman"/>
          <w:sz w:val="24"/>
          <w:szCs w:val="24"/>
        </w:rPr>
        <w:t xml:space="preserve"> and </w:t>
      </w:r>
      <w:r>
        <w:rPr>
          <w:rFonts w:ascii="Times New Roman" w:hAnsi="Times New Roman" w:cs="Times New Roman"/>
          <w:i/>
          <w:iCs/>
          <w:sz w:val="24"/>
          <w:szCs w:val="24"/>
        </w:rPr>
        <w:t>Shea</w:t>
      </w:r>
      <w:r>
        <w:rPr>
          <w:rFonts w:ascii="Times New Roman" w:hAnsi="Times New Roman" w:cs="Times New Roman"/>
          <w:sz w:val="24"/>
          <w:szCs w:val="24"/>
        </w:rPr>
        <w:t xml:space="preserve"> were analyzed for their phytochemical content (Table 11). The following phytochemicals mostly alkaloids, flavonoids, saponins, tannins, phenols, and glycosides, were present in all the extracts except methanol extract that alkaloid was absent </w:t>
      </w:r>
    </w:p>
    <w:p w14:paraId="202E7DB6" w14:textId="77777777" w:rsidR="00A43411" w:rsidRDefault="00A43411">
      <w:pPr>
        <w:spacing w:line="360" w:lineRule="auto"/>
        <w:jc w:val="both"/>
        <w:rPr>
          <w:rFonts w:ascii="Times New Roman" w:hAnsi="Times New Roman" w:cs="Times New Roman"/>
          <w:b/>
          <w:bCs/>
          <w:sz w:val="24"/>
          <w:szCs w:val="24"/>
        </w:rPr>
      </w:pPr>
    </w:p>
    <w:p w14:paraId="32996F1B"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11: Phytochemical Screening of Combined Bark Extracts of Baobab and Shea</w:t>
      </w:r>
    </w:p>
    <w:tbl>
      <w:tblPr>
        <w:tblW w:w="9639" w:type="dxa"/>
        <w:jc w:val="center"/>
        <w:tblCellSpacing w:w="15" w:type="dxa"/>
        <w:tblCellMar>
          <w:top w:w="15" w:type="dxa"/>
          <w:left w:w="15" w:type="dxa"/>
          <w:bottom w:w="15" w:type="dxa"/>
          <w:right w:w="15" w:type="dxa"/>
        </w:tblCellMar>
        <w:tblLook w:val="04A0" w:firstRow="1" w:lastRow="0" w:firstColumn="1" w:lastColumn="0" w:noHBand="0" w:noVBand="1"/>
      </w:tblPr>
      <w:tblGrid>
        <w:gridCol w:w="3232"/>
        <w:gridCol w:w="941"/>
        <w:gridCol w:w="1334"/>
        <w:gridCol w:w="1105"/>
        <w:gridCol w:w="901"/>
        <w:gridCol w:w="992"/>
        <w:gridCol w:w="1134"/>
      </w:tblGrid>
      <w:tr w:rsidR="00A43411" w14:paraId="3F23EE41" w14:textId="77777777">
        <w:trPr>
          <w:tblHeader/>
          <w:tblCellSpacing w:w="15" w:type="dxa"/>
          <w:jc w:val="center"/>
        </w:trPr>
        <w:tc>
          <w:tcPr>
            <w:tcW w:w="0" w:type="auto"/>
            <w:vAlign w:val="center"/>
          </w:tcPr>
          <w:p w14:paraId="43483D4B"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0" w:type="auto"/>
            <w:vAlign w:val="center"/>
          </w:tcPr>
          <w:p w14:paraId="456441F5"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Alkaloid</w:t>
            </w:r>
          </w:p>
        </w:tc>
        <w:tc>
          <w:tcPr>
            <w:tcW w:w="1304" w:type="dxa"/>
            <w:vAlign w:val="center"/>
          </w:tcPr>
          <w:p w14:paraId="32433A6F"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Flavonoid</w:t>
            </w:r>
          </w:p>
        </w:tc>
        <w:tc>
          <w:tcPr>
            <w:tcW w:w="1075" w:type="dxa"/>
            <w:vAlign w:val="center"/>
          </w:tcPr>
          <w:p w14:paraId="5825736A"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Saponins</w:t>
            </w:r>
          </w:p>
        </w:tc>
        <w:tc>
          <w:tcPr>
            <w:tcW w:w="849" w:type="dxa"/>
            <w:vAlign w:val="center"/>
          </w:tcPr>
          <w:p w14:paraId="2FC9811A"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Tannins</w:t>
            </w:r>
          </w:p>
        </w:tc>
        <w:tc>
          <w:tcPr>
            <w:tcW w:w="962" w:type="dxa"/>
            <w:vAlign w:val="center"/>
          </w:tcPr>
          <w:p w14:paraId="606A82E2"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Phenol</w:t>
            </w:r>
          </w:p>
        </w:tc>
        <w:tc>
          <w:tcPr>
            <w:tcW w:w="1089" w:type="dxa"/>
            <w:vAlign w:val="center"/>
          </w:tcPr>
          <w:p w14:paraId="712BFA08"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48D00410" w14:textId="77777777">
        <w:trPr>
          <w:tblCellSpacing w:w="15" w:type="dxa"/>
          <w:jc w:val="center"/>
        </w:trPr>
        <w:tc>
          <w:tcPr>
            <w:tcW w:w="0" w:type="auto"/>
            <w:vAlign w:val="center"/>
          </w:tcPr>
          <w:p w14:paraId="60781C70"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and Shea Hot Aqueous (BSH)</w:t>
            </w:r>
          </w:p>
        </w:tc>
        <w:tc>
          <w:tcPr>
            <w:tcW w:w="0" w:type="auto"/>
            <w:vAlign w:val="center"/>
          </w:tcPr>
          <w:p w14:paraId="7AE7D2F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vAlign w:val="center"/>
          </w:tcPr>
          <w:p w14:paraId="2A947B1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vAlign w:val="center"/>
          </w:tcPr>
          <w:p w14:paraId="1D42C77F"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9" w:type="dxa"/>
            <w:vAlign w:val="center"/>
          </w:tcPr>
          <w:p w14:paraId="25EC1813"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6D64489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3B4107A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6B3FC7D6" w14:textId="77777777">
        <w:trPr>
          <w:tblCellSpacing w:w="15" w:type="dxa"/>
          <w:jc w:val="center"/>
        </w:trPr>
        <w:tc>
          <w:tcPr>
            <w:tcW w:w="0" w:type="auto"/>
            <w:vAlign w:val="center"/>
          </w:tcPr>
          <w:p w14:paraId="6F38A497"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Baobab and Shea Ethanol (BSE)</w:t>
            </w:r>
          </w:p>
        </w:tc>
        <w:tc>
          <w:tcPr>
            <w:tcW w:w="0" w:type="auto"/>
            <w:vAlign w:val="center"/>
          </w:tcPr>
          <w:p w14:paraId="6B0F1955"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vAlign w:val="center"/>
          </w:tcPr>
          <w:p w14:paraId="3D4BC20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vAlign w:val="center"/>
          </w:tcPr>
          <w:p w14:paraId="1E601D0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9" w:type="dxa"/>
            <w:vAlign w:val="center"/>
          </w:tcPr>
          <w:p w14:paraId="68475BA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14931C83"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6AB98C1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2EC4A45D" w14:textId="77777777">
        <w:trPr>
          <w:tblCellSpacing w:w="15" w:type="dxa"/>
          <w:jc w:val="center"/>
        </w:trPr>
        <w:tc>
          <w:tcPr>
            <w:tcW w:w="0" w:type="auto"/>
            <w:vAlign w:val="center"/>
          </w:tcPr>
          <w:p w14:paraId="08E23E27"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and Shea Methanol (BSM)</w:t>
            </w:r>
          </w:p>
        </w:tc>
        <w:tc>
          <w:tcPr>
            <w:tcW w:w="0" w:type="auto"/>
            <w:vAlign w:val="center"/>
          </w:tcPr>
          <w:p w14:paraId="6A7716B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vAlign w:val="center"/>
          </w:tcPr>
          <w:p w14:paraId="75B02FD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vAlign w:val="center"/>
          </w:tcPr>
          <w:p w14:paraId="032758F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9" w:type="dxa"/>
            <w:vAlign w:val="center"/>
          </w:tcPr>
          <w:p w14:paraId="178DC9B0"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2" w:type="dxa"/>
            <w:vAlign w:val="center"/>
          </w:tcPr>
          <w:p w14:paraId="357F2E5F"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9" w:type="dxa"/>
            <w:vAlign w:val="center"/>
          </w:tcPr>
          <w:p w14:paraId="6B22BD4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8E24D97"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2CC77079" w14:textId="77777777" w:rsidR="00A43411" w:rsidRDefault="00A43411">
      <w:pPr>
        <w:spacing w:line="360" w:lineRule="auto"/>
        <w:jc w:val="both"/>
        <w:rPr>
          <w:rFonts w:ascii="Times New Roman" w:hAnsi="Times New Roman" w:cs="Times New Roman"/>
          <w:bCs/>
          <w:sz w:val="24"/>
          <w:szCs w:val="24"/>
        </w:rPr>
      </w:pPr>
    </w:p>
    <w:p w14:paraId="7A32AAE5"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12 shows the phytochemical screening of the combined bark extracts of baobab and tamarind. </w:t>
      </w:r>
      <w:r>
        <w:rPr>
          <w:rFonts w:ascii="Times New Roman" w:hAnsi="Times New Roman" w:cs="Times New Roman"/>
          <w:sz w:val="24"/>
          <w:szCs w:val="24"/>
        </w:rPr>
        <w:t xml:space="preserve">Flavonoids, saponins, tannins, phenols, and glycosides were present in all the extracts while alkaloids were absent in all. </w:t>
      </w:r>
    </w:p>
    <w:p w14:paraId="04D30456" w14:textId="77777777" w:rsidR="00A43411" w:rsidRDefault="00A43411">
      <w:pPr>
        <w:spacing w:line="360" w:lineRule="auto"/>
        <w:jc w:val="both"/>
        <w:rPr>
          <w:rFonts w:ascii="Times New Roman" w:hAnsi="Times New Roman" w:cs="Times New Roman"/>
          <w:bCs/>
          <w:sz w:val="24"/>
          <w:szCs w:val="24"/>
        </w:rPr>
      </w:pPr>
    </w:p>
    <w:p w14:paraId="2E5A1582"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12: Phytochemical Screening of the Combined Bark Extracts of Baobab and Tamarind</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3402"/>
        <w:gridCol w:w="1134"/>
        <w:gridCol w:w="1274"/>
        <w:gridCol w:w="994"/>
        <w:gridCol w:w="993"/>
        <w:gridCol w:w="850"/>
        <w:gridCol w:w="1276"/>
      </w:tblGrid>
      <w:tr w:rsidR="00A43411" w14:paraId="43F00508" w14:textId="77777777">
        <w:trPr>
          <w:tblHeader/>
          <w:tblCellSpacing w:w="15" w:type="dxa"/>
        </w:trPr>
        <w:tc>
          <w:tcPr>
            <w:tcW w:w="3357" w:type="dxa"/>
            <w:vAlign w:val="center"/>
          </w:tcPr>
          <w:p w14:paraId="50F7F3E4"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1104" w:type="dxa"/>
            <w:vAlign w:val="center"/>
          </w:tcPr>
          <w:p w14:paraId="53545F99"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Alkaloid</w:t>
            </w:r>
          </w:p>
        </w:tc>
        <w:tc>
          <w:tcPr>
            <w:tcW w:w="1244" w:type="dxa"/>
            <w:vAlign w:val="center"/>
          </w:tcPr>
          <w:p w14:paraId="66E44E64"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Flavonoid</w:t>
            </w:r>
          </w:p>
        </w:tc>
        <w:tc>
          <w:tcPr>
            <w:tcW w:w="964" w:type="dxa"/>
            <w:vAlign w:val="center"/>
          </w:tcPr>
          <w:p w14:paraId="5FA03C0D"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Saponins</w:t>
            </w:r>
          </w:p>
        </w:tc>
        <w:tc>
          <w:tcPr>
            <w:tcW w:w="963" w:type="dxa"/>
            <w:vAlign w:val="center"/>
          </w:tcPr>
          <w:p w14:paraId="212CA3E1"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Tannins</w:t>
            </w:r>
          </w:p>
        </w:tc>
        <w:tc>
          <w:tcPr>
            <w:tcW w:w="820" w:type="dxa"/>
            <w:vAlign w:val="center"/>
          </w:tcPr>
          <w:p w14:paraId="4897AA75"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Phenol</w:t>
            </w:r>
          </w:p>
        </w:tc>
        <w:tc>
          <w:tcPr>
            <w:tcW w:w="1231" w:type="dxa"/>
            <w:vAlign w:val="center"/>
          </w:tcPr>
          <w:p w14:paraId="7D731B6C"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44DD5DE2" w14:textId="77777777">
        <w:trPr>
          <w:tblCellSpacing w:w="15" w:type="dxa"/>
        </w:trPr>
        <w:tc>
          <w:tcPr>
            <w:tcW w:w="3357" w:type="dxa"/>
            <w:vAlign w:val="center"/>
          </w:tcPr>
          <w:p w14:paraId="69FDD50D"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and Tamarind Hot Aqueous (BTH)</w:t>
            </w:r>
          </w:p>
        </w:tc>
        <w:tc>
          <w:tcPr>
            <w:tcW w:w="1104" w:type="dxa"/>
            <w:vAlign w:val="center"/>
          </w:tcPr>
          <w:p w14:paraId="49E3490F"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4" w:type="dxa"/>
            <w:vAlign w:val="center"/>
          </w:tcPr>
          <w:p w14:paraId="2F76AF8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4" w:type="dxa"/>
            <w:vAlign w:val="center"/>
          </w:tcPr>
          <w:p w14:paraId="773870CF"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4B4C99D4"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54B631C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31" w:type="dxa"/>
            <w:vAlign w:val="center"/>
          </w:tcPr>
          <w:p w14:paraId="6C9FADD9"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5BF06BB5" w14:textId="77777777">
        <w:trPr>
          <w:tblCellSpacing w:w="15" w:type="dxa"/>
        </w:trPr>
        <w:tc>
          <w:tcPr>
            <w:tcW w:w="3357" w:type="dxa"/>
            <w:vAlign w:val="center"/>
          </w:tcPr>
          <w:p w14:paraId="7B679146"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and Tamarind Ethanol (BTE)</w:t>
            </w:r>
          </w:p>
        </w:tc>
        <w:tc>
          <w:tcPr>
            <w:tcW w:w="1104" w:type="dxa"/>
            <w:vAlign w:val="center"/>
          </w:tcPr>
          <w:p w14:paraId="4F3D1307"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4" w:type="dxa"/>
            <w:vAlign w:val="center"/>
          </w:tcPr>
          <w:p w14:paraId="750FE34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4" w:type="dxa"/>
            <w:vAlign w:val="center"/>
          </w:tcPr>
          <w:p w14:paraId="7D8E5482"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584CF10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1AC8098A"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31" w:type="dxa"/>
            <w:vAlign w:val="center"/>
          </w:tcPr>
          <w:p w14:paraId="0722C51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265E1314" w14:textId="77777777">
        <w:trPr>
          <w:tblCellSpacing w:w="15" w:type="dxa"/>
        </w:trPr>
        <w:tc>
          <w:tcPr>
            <w:tcW w:w="3357" w:type="dxa"/>
            <w:vAlign w:val="center"/>
          </w:tcPr>
          <w:p w14:paraId="3160E2DC"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and Tamarind Methanol (BTM)</w:t>
            </w:r>
          </w:p>
        </w:tc>
        <w:tc>
          <w:tcPr>
            <w:tcW w:w="1104" w:type="dxa"/>
            <w:vAlign w:val="center"/>
          </w:tcPr>
          <w:p w14:paraId="6CEBDF2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4" w:type="dxa"/>
            <w:vAlign w:val="center"/>
          </w:tcPr>
          <w:p w14:paraId="2FDD7F3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4" w:type="dxa"/>
            <w:vAlign w:val="center"/>
          </w:tcPr>
          <w:p w14:paraId="5F67227F"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12A34C17"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0" w:type="dxa"/>
            <w:vAlign w:val="center"/>
          </w:tcPr>
          <w:p w14:paraId="1DAABBB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31" w:type="dxa"/>
            <w:vAlign w:val="center"/>
          </w:tcPr>
          <w:p w14:paraId="39EF24A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020EBC23"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Legend: + denotes presence; - denotes absence.</w:t>
      </w:r>
    </w:p>
    <w:p w14:paraId="0A544457"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512F3F3D" wp14:editId="1C99E100">
                <wp:extent cx="0" cy="19050"/>
                <wp:effectExtent l="0" t="0" r="0" b="0"/>
                <wp:docPr id="6" name="_x0000_i1027"/>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 id="shape 5" o:spid="_x0000_s5" o:spt="1" type="#_x0000_t1" style="width:0.00pt;height:1.50pt;mso-wrap-distance-left:0.00pt;mso-wrap-distance-top:0.00pt;mso-wrap-distance-right:0.00pt;mso-wrap-distance-bottom:0.00pt;visibility:visible;" fillcolor="#A0A0A0" stroked="f"/>
            </w:pict>
          </mc:Fallback>
        </mc:AlternateContent>
      </w:r>
    </w:p>
    <w:p w14:paraId="5DCE64DE"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13 shows the results of the phytochemical screening of the combined bark extracts of shea and tamarind. </w:t>
      </w:r>
      <w:r>
        <w:rPr>
          <w:rFonts w:ascii="Times New Roman" w:hAnsi="Times New Roman" w:cs="Times New Roman"/>
          <w:sz w:val="24"/>
          <w:szCs w:val="24"/>
        </w:rPr>
        <w:t>Alkaloids, flavonoids, saponins, tannins, phenols, and glycosides were present in all the extracts except the methanol extract that alkaloids were absent</w:t>
      </w:r>
    </w:p>
    <w:p w14:paraId="52009060" w14:textId="77777777" w:rsidR="00A43411" w:rsidRDefault="00A43411">
      <w:pPr>
        <w:spacing w:line="360" w:lineRule="auto"/>
        <w:jc w:val="both"/>
        <w:rPr>
          <w:rFonts w:ascii="Times New Roman" w:hAnsi="Times New Roman" w:cs="Times New Roman"/>
          <w:bCs/>
          <w:sz w:val="24"/>
          <w:szCs w:val="24"/>
        </w:rPr>
      </w:pPr>
    </w:p>
    <w:p w14:paraId="7AAF8777"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13: Phytochemical Screening of the Combined Bark Extracts of Shea and Tamarind</w:t>
      </w:r>
    </w:p>
    <w:tbl>
      <w:tblPr>
        <w:tblW w:w="9923" w:type="dxa"/>
        <w:jc w:val="center"/>
        <w:tblCellSpacing w:w="15" w:type="dxa"/>
        <w:tblCellMar>
          <w:top w:w="15" w:type="dxa"/>
          <w:left w:w="15" w:type="dxa"/>
          <w:bottom w:w="15" w:type="dxa"/>
          <w:right w:w="15" w:type="dxa"/>
        </w:tblCellMar>
        <w:tblLook w:val="04A0" w:firstRow="1" w:lastRow="0" w:firstColumn="1" w:lastColumn="0" w:noHBand="0" w:noVBand="1"/>
      </w:tblPr>
      <w:tblGrid>
        <w:gridCol w:w="3402"/>
        <w:gridCol w:w="993"/>
        <w:gridCol w:w="1275"/>
        <w:gridCol w:w="1134"/>
        <w:gridCol w:w="993"/>
        <w:gridCol w:w="1051"/>
        <w:gridCol w:w="1075"/>
      </w:tblGrid>
      <w:tr w:rsidR="00A43411" w14:paraId="2064D5AB" w14:textId="77777777">
        <w:trPr>
          <w:tblHeader/>
          <w:tblCellSpacing w:w="15" w:type="dxa"/>
          <w:jc w:val="center"/>
        </w:trPr>
        <w:tc>
          <w:tcPr>
            <w:tcW w:w="3357" w:type="dxa"/>
            <w:vAlign w:val="center"/>
          </w:tcPr>
          <w:p w14:paraId="3AECE33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Extracts</w:t>
            </w:r>
          </w:p>
        </w:tc>
        <w:tc>
          <w:tcPr>
            <w:tcW w:w="963" w:type="dxa"/>
            <w:vAlign w:val="center"/>
          </w:tcPr>
          <w:p w14:paraId="2CD52F36"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Alkaloid</w:t>
            </w:r>
          </w:p>
        </w:tc>
        <w:tc>
          <w:tcPr>
            <w:tcW w:w="1245" w:type="dxa"/>
            <w:vAlign w:val="center"/>
          </w:tcPr>
          <w:p w14:paraId="098104FC"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Flavonoid</w:t>
            </w:r>
          </w:p>
        </w:tc>
        <w:tc>
          <w:tcPr>
            <w:tcW w:w="1104" w:type="dxa"/>
            <w:vAlign w:val="center"/>
          </w:tcPr>
          <w:p w14:paraId="35A8ED45"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Saponins</w:t>
            </w:r>
          </w:p>
        </w:tc>
        <w:tc>
          <w:tcPr>
            <w:tcW w:w="963" w:type="dxa"/>
            <w:vAlign w:val="center"/>
          </w:tcPr>
          <w:p w14:paraId="2CA352F9"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Tannins</w:t>
            </w:r>
          </w:p>
        </w:tc>
        <w:tc>
          <w:tcPr>
            <w:tcW w:w="1021" w:type="dxa"/>
            <w:vAlign w:val="center"/>
          </w:tcPr>
          <w:p w14:paraId="10B2EB4F"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Phenol</w:t>
            </w:r>
          </w:p>
        </w:tc>
        <w:tc>
          <w:tcPr>
            <w:tcW w:w="1030" w:type="dxa"/>
            <w:vAlign w:val="center"/>
          </w:tcPr>
          <w:p w14:paraId="3AF9E8CD" w14:textId="77777777" w:rsidR="00A43411" w:rsidRDefault="00A33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Glycoside</w:t>
            </w:r>
          </w:p>
        </w:tc>
      </w:tr>
      <w:tr w:rsidR="00A43411" w14:paraId="7ECA6BCA" w14:textId="77777777">
        <w:trPr>
          <w:tblCellSpacing w:w="15" w:type="dxa"/>
          <w:jc w:val="center"/>
        </w:trPr>
        <w:tc>
          <w:tcPr>
            <w:tcW w:w="3357" w:type="dxa"/>
            <w:vAlign w:val="center"/>
          </w:tcPr>
          <w:p w14:paraId="5765C8C0"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Shea and Tamarind Hot Aqueous (STH)</w:t>
            </w:r>
          </w:p>
        </w:tc>
        <w:tc>
          <w:tcPr>
            <w:tcW w:w="963" w:type="dxa"/>
            <w:vAlign w:val="center"/>
          </w:tcPr>
          <w:p w14:paraId="76D36076"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26289298"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7D8C9147"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14AE5C9D"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14:paraId="0023A46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726744E1"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0F191DED" w14:textId="77777777">
        <w:trPr>
          <w:tblCellSpacing w:w="15" w:type="dxa"/>
          <w:jc w:val="center"/>
        </w:trPr>
        <w:tc>
          <w:tcPr>
            <w:tcW w:w="3357" w:type="dxa"/>
            <w:vAlign w:val="center"/>
          </w:tcPr>
          <w:p w14:paraId="36961CF1"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Shea and Tamarind Ethanol (STE)</w:t>
            </w:r>
          </w:p>
        </w:tc>
        <w:tc>
          <w:tcPr>
            <w:tcW w:w="963" w:type="dxa"/>
            <w:vAlign w:val="center"/>
          </w:tcPr>
          <w:p w14:paraId="37E12D6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5498B3A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013197BE"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669707B9"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14:paraId="4B102AC9"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46463983"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43411" w14:paraId="545B518A" w14:textId="77777777">
        <w:trPr>
          <w:tblCellSpacing w:w="15" w:type="dxa"/>
          <w:jc w:val="center"/>
        </w:trPr>
        <w:tc>
          <w:tcPr>
            <w:tcW w:w="3357" w:type="dxa"/>
            <w:vAlign w:val="center"/>
          </w:tcPr>
          <w:p w14:paraId="519DBD9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Shea and Tamarind Methanol (STM)</w:t>
            </w:r>
          </w:p>
        </w:tc>
        <w:tc>
          <w:tcPr>
            <w:tcW w:w="963" w:type="dxa"/>
            <w:vAlign w:val="center"/>
          </w:tcPr>
          <w:p w14:paraId="2B7E9E40"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14:paraId="3389BBAB"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tcPr>
          <w:p w14:paraId="45F14E5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vAlign w:val="center"/>
          </w:tcPr>
          <w:p w14:paraId="555804F3"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14:paraId="2CC2BCD7"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vAlign w:val="center"/>
          </w:tcPr>
          <w:p w14:paraId="45D3406C" w14:textId="77777777" w:rsidR="00A43411" w:rsidRDefault="00A3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E5400F6"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07B5B171"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56598EAC" wp14:editId="44C335E0">
                <wp:extent cx="0" cy="19050"/>
                <wp:effectExtent l="0" t="0" r="0" b="0"/>
                <wp:docPr id="7" name="_x0000_i1028"/>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 id="shape 6" o:spid="_x0000_s6" o:spt="1" type="#_x0000_t1" style="width:0.00pt;height:1.50pt;mso-wrap-distance-left:0.00pt;mso-wrap-distance-top:0.00pt;mso-wrap-distance-right:0.00pt;mso-wrap-distance-bottom:0.00pt;visibility:visible;" fillcolor="#A0A0A0" stroked="f"/>
            </w:pict>
          </mc:Fallback>
        </mc:AlternateContent>
      </w:r>
    </w:p>
    <w:p w14:paraId="6064E7E2" w14:textId="77777777" w:rsidR="00A43411" w:rsidRDefault="00A330FC">
      <w:pPr>
        <w:spacing w:line="360" w:lineRule="auto"/>
        <w:jc w:val="both"/>
        <w:rPr>
          <w:rFonts w:ascii="Times New Roman" w:hAnsi="Times New Roman" w:cs="Times New Roman"/>
          <w:bCs/>
          <w:sz w:val="24"/>
          <w:szCs w:val="24"/>
        </w:rPr>
      </w:pPr>
      <w:r>
        <w:rPr>
          <w:rFonts w:ascii="Times New Roman" w:hAnsi="Times New Roman" w:cs="Times New Roman"/>
          <w:sz w:val="24"/>
          <w:szCs w:val="24"/>
        </w:rPr>
        <w:t>The combined extracts of all three plants (</w:t>
      </w:r>
      <w:r>
        <w:rPr>
          <w:rFonts w:ascii="Times New Roman" w:hAnsi="Times New Roman" w:cs="Times New Roman"/>
          <w:i/>
          <w:iCs/>
          <w:sz w:val="24"/>
          <w:szCs w:val="24"/>
        </w:rPr>
        <w:t>Baobab</w:t>
      </w:r>
      <w:r>
        <w:rPr>
          <w:rFonts w:ascii="Times New Roman" w:hAnsi="Times New Roman" w:cs="Times New Roman"/>
          <w:sz w:val="24"/>
          <w:szCs w:val="24"/>
        </w:rPr>
        <w:t xml:space="preserve">, </w:t>
      </w:r>
      <w:r>
        <w:rPr>
          <w:rFonts w:ascii="Times New Roman" w:hAnsi="Times New Roman" w:cs="Times New Roman"/>
          <w:i/>
          <w:iCs/>
          <w:sz w:val="24"/>
          <w:szCs w:val="24"/>
        </w:rPr>
        <w:t>Tamarind</w:t>
      </w:r>
      <w:r>
        <w:rPr>
          <w:rFonts w:ascii="Times New Roman" w:hAnsi="Times New Roman" w:cs="Times New Roman"/>
          <w:sz w:val="24"/>
          <w:szCs w:val="24"/>
        </w:rPr>
        <w:t xml:space="preserve">, and </w:t>
      </w:r>
      <w:r>
        <w:rPr>
          <w:rFonts w:ascii="Times New Roman" w:hAnsi="Times New Roman" w:cs="Times New Roman"/>
          <w:i/>
          <w:iCs/>
          <w:sz w:val="24"/>
          <w:szCs w:val="24"/>
        </w:rPr>
        <w:t>Shea</w:t>
      </w:r>
      <w:r>
        <w:rPr>
          <w:rFonts w:ascii="Times New Roman" w:hAnsi="Times New Roman" w:cs="Times New Roman"/>
          <w:sz w:val="24"/>
          <w:szCs w:val="24"/>
        </w:rPr>
        <w:t xml:space="preserve">) were analyzed for their phytochemical content.  Flavonoids, saponins, tannins, phenols, and glycosides were present in all the extracts, while alkaloids were absent in all the extracts. </w:t>
      </w:r>
    </w:p>
    <w:p w14:paraId="1A20ACE9" w14:textId="77777777" w:rsidR="00A43411" w:rsidRDefault="00A43411">
      <w:pPr>
        <w:spacing w:line="360" w:lineRule="auto"/>
        <w:jc w:val="both"/>
        <w:rPr>
          <w:rFonts w:ascii="Times New Roman" w:hAnsi="Times New Roman" w:cs="Times New Roman"/>
          <w:bCs/>
          <w:sz w:val="24"/>
          <w:szCs w:val="24"/>
        </w:rPr>
      </w:pPr>
    </w:p>
    <w:p w14:paraId="7296180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14: Phytochemical Screening of the Combined Bark Extracts of Baobab, Tamarind, and Shea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941"/>
        <w:gridCol w:w="1087"/>
        <w:gridCol w:w="994"/>
        <w:gridCol w:w="901"/>
        <w:gridCol w:w="767"/>
        <w:gridCol w:w="1075"/>
      </w:tblGrid>
      <w:tr w:rsidR="00A43411" w14:paraId="276E4803" w14:textId="77777777">
        <w:trPr>
          <w:tblHeader/>
          <w:tblCellSpacing w:w="15" w:type="dxa"/>
        </w:trPr>
        <w:tc>
          <w:tcPr>
            <w:tcW w:w="0" w:type="auto"/>
            <w:vAlign w:val="center"/>
          </w:tcPr>
          <w:p w14:paraId="03246C8F" w14:textId="77777777" w:rsidR="00A43411" w:rsidRDefault="00A330FC">
            <w:pPr>
              <w:spacing w:line="360" w:lineRule="auto"/>
              <w:jc w:val="both"/>
              <w:rPr>
                <w:rFonts w:ascii="Times New Roman" w:hAnsi="Times New Roman" w:cs="Times New Roman"/>
                <w:b/>
                <w:bCs/>
                <w:sz w:val="24"/>
                <w:szCs w:val="24"/>
              </w:rPr>
            </w:pPr>
            <w:bookmarkStart w:id="18" w:name="_Hlk215595021"/>
            <w:r>
              <w:rPr>
                <w:rFonts w:ascii="Times New Roman" w:hAnsi="Times New Roman" w:cs="Times New Roman"/>
                <w:b/>
                <w:bCs/>
                <w:sz w:val="24"/>
                <w:szCs w:val="24"/>
              </w:rPr>
              <w:t>Plant Extracts</w:t>
            </w:r>
          </w:p>
        </w:tc>
        <w:tc>
          <w:tcPr>
            <w:tcW w:w="0" w:type="auto"/>
            <w:vAlign w:val="center"/>
          </w:tcPr>
          <w:p w14:paraId="27655D6D"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Alkaloid</w:t>
            </w:r>
          </w:p>
        </w:tc>
        <w:tc>
          <w:tcPr>
            <w:tcW w:w="0" w:type="auto"/>
            <w:vAlign w:val="center"/>
          </w:tcPr>
          <w:p w14:paraId="76BDF04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Flavonoid</w:t>
            </w:r>
          </w:p>
        </w:tc>
        <w:tc>
          <w:tcPr>
            <w:tcW w:w="0" w:type="auto"/>
            <w:vAlign w:val="center"/>
          </w:tcPr>
          <w:p w14:paraId="6FB77775"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Saponins</w:t>
            </w:r>
          </w:p>
        </w:tc>
        <w:tc>
          <w:tcPr>
            <w:tcW w:w="0" w:type="auto"/>
            <w:vAlign w:val="center"/>
          </w:tcPr>
          <w:p w14:paraId="6C6EAF06"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Tannins</w:t>
            </w:r>
          </w:p>
        </w:tc>
        <w:tc>
          <w:tcPr>
            <w:tcW w:w="0" w:type="auto"/>
            <w:vAlign w:val="center"/>
          </w:tcPr>
          <w:p w14:paraId="6D3D6C31"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Phenol</w:t>
            </w:r>
          </w:p>
        </w:tc>
        <w:tc>
          <w:tcPr>
            <w:tcW w:w="0" w:type="auto"/>
            <w:vAlign w:val="center"/>
          </w:tcPr>
          <w:p w14:paraId="686C8D1C" w14:textId="77777777" w:rsidR="00A43411" w:rsidRDefault="00A3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Glycoside</w:t>
            </w:r>
            <w:bookmarkEnd w:id="18"/>
          </w:p>
        </w:tc>
      </w:tr>
      <w:tr w:rsidR="00A43411" w14:paraId="6E2D9B39" w14:textId="77777777">
        <w:trPr>
          <w:tblCellSpacing w:w="15" w:type="dxa"/>
        </w:trPr>
        <w:tc>
          <w:tcPr>
            <w:tcW w:w="0" w:type="auto"/>
            <w:vAlign w:val="center"/>
          </w:tcPr>
          <w:p w14:paraId="4CCD5097"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Tamarind, and Shea Hot Aqueous (BTSH)</w:t>
            </w:r>
          </w:p>
        </w:tc>
        <w:tc>
          <w:tcPr>
            <w:tcW w:w="0" w:type="auto"/>
            <w:vAlign w:val="center"/>
          </w:tcPr>
          <w:p w14:paraId="7B997EDA"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4AA474C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222081E9"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5424810A"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17773BB8"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543AC89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A43411" w14:paraId="378B02F1" w14:textId="77777777">
        <w:trPr>
          <w:tblCellSpacing w:w="15" w:type="dxa"/>
        </w:trPr>
        <w:tc>
          <w:tcPr>
            <w:tcW w:w="0" w:type="auto"/>
            <w:vAlign w:val="center"/>
          </w:tcPr>
          <w:p w14:paraId="66A8C228"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Tamarind, and Shea Ethanol (BTSE)</w:t>
            </w:r>
          </w:p>
        </w:tc>
        <w:tc>
          <w:tcPr>
            <w:tcW w:w="0" w:type="auto"/>
            <w:vAlign w:val="center"/>
          </w:tcPr>
          <w:p w14:paraId="732D5A76"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2DF44A38"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0FD008CF"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3AEEA519"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704076E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741DD541"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A43411" w14:paraId="42FDEB62" w14:textId="77777777">
        <w:trPr>
          <w:tblCellSpacing w:w="15" w:type="dxa"/>
        </w:trPr>
        <w:tc>
          <w:tcPr>
            <w:tcW w:w="0" w:type="auto"/>
            <w:vAlign w:val="center"/>
          </w:tcPr>
          <w:p w14:paraId="6AFCB9C8"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Baobab, Tamarind, and Shea Methanol (BTSM)</w:t>
            </w:r>
          </w:p>
        </w:tc>
        <w:tc>
          <w:tcPr>
            <w:tcW w:w="0" w:type="auto"/>
            <w:vAlign w:val="center"/>
          </w:tcPr>
          <w:p w14:paraId="7C700C8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719CFC4A"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2E87A91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256E4A6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1328CE46"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vAlign w:val="center"/>
          </w:tcPr>
          <w:p w14:paraId="1F7E1525"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223BD842" w14:textId="77777777" w:rsidR="00A43411" w:rsidRDefault="00A330FC">
      <w:pP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Legend:</w:t>
      </w:r>
      <w:r>
        <w:rPr>
          <w:rFonts w:ascii="Times New Roman" w:hAnsi="Times New Roman" w:cs="Times New Roman"/>
          <w:i/>
          <w:iCs/>
          <w:sz w:val="24"/>
          <w:szCs w:val="24"/>
        </w:rPr>
        <w:t xml:space="preserve"> + denotes presence; - denotes absence.</w:t>
      </w:r>
    </w:p>
    <w:p w14:paraId="6CE424A8" w14:textId="77777777" w:rsidR="00A43411" w:rsidRDefault="00A43411">
      <w:pPr>
        <w:rPr>
          <w:rFonts w:ascii="Times New Roman" w:hAnsi="Times New Roman" w:cs="Times New Roman"/>
          <w:sz w:val="24"/>
          <w:szCs w:val="24"/>
        </w:rPr>
      </w:pPr>
    </w:p>
    <w:p w14:paraId="075F2238" w14:textId="77777777" w:rsidR="00A43411" w:rsidRDefault="00A43411">
      <w:pPr>
        <w:rPr>
          <w:rFonts w:ascii="Times New Roman" w:hAnsi="Times New Roman" w:cs="Times New Roman"/>
          <w:b/>
          <w:bCs/>
          <w:sz w:val="24"/>
          <w:szCs w:val="24"/>
        </w:rPr>
      </w:pPr>
    </w:p>
    <w:p w14:paraId="67B06215" w14:textId="77777777" w:rsidR="00A43411" w:rsidRDefault="00A330FC">
      <w:pPr>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74AFB21E"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examined the antibacterial efficacy of extracts from </w:t>
      </w:r>
      <w:r>
        <w:rPr>
          <w:rFonts w:ascii="Times New Roman" w:hAnsi="Times New Roman" w:cs="Times New Roman"/>
          <w:bCs/>
          <w:i/>
          <w:sz w:val="24"/>
          <w:szCs w:val="24"/>
        </w:rPr>
        <w:t xml:space="preserve">Vitellaria </w:t>
      </w:r>
      <w:proofErr w:type="spellStart"/>
      <w:r>
        <w:rPr>
          <w:rFonts w:ascii="Times New Roman" w:hAnsi="Times New Roman" w:cs="Times New Roman"/>
          <w:bCs/>
          <w:i/>
          <w:sz w:val="24"/>
          <w:szCs w:val="24"/>
        </w:rPr>
        <w:t>paradoxa</w:t>
      </w:r>
      <w:proofErr w:type="spellEnd"/>
      <w:r>
        <w:rPr>
          <w:rFonts w:ascii="Times New Roman" w:hAnsi="Times New Roman" w:cs="Times New Roman"/>
          <w:sz w:val="24"/>
          <w:szCs w:val="24"/>
        </w:rPr>
        <w:t xml:space="preserve"> (shea tree), </w:t>
      </w:r>
      <w:proofErr w:type="spellStart"/>
      <w:r>
        <w:rPr>
          <w:rFonts w:ascii="Times New Roman" w:hAnsi="Times New Roman" w:cs="Times New Roman"/>
          <w:bCs/>
          <w:i/>
          <w:sz w:val="24"/>
          <w:szCs w:val="24"/>
        </w:rPr>
        <w:t>Tamarindus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indica</w:t>
      </w:r>
      <w:proofErr w:type="spellEnd"/>
      <w:r>
        <w:rPr>
          <w:rFonts w:ascii="Times New Roman" w:hAnsi="Times New Roman" w:cs="Times New Roman"/>
          <w:sz w:val="24"/>
          <w:szCs w:val="24"/>
        </w:rPr>
        <w:t xml:space="preserve"> (tamarind), and </w:t>
      </w:r>
      <w:proofErr w:type="spellStart"/>
      <w:r>
        <w:rPr>
          <w:rFonts w:ascii="Times New Roman" w:hAnsi="Times New Roman" w:cs="Times New Roman"/>
          <w:bCs/>
          <w:i/>
          <w:sz w:val="24"/>
          <w:szCs w:val="24"/>
        </w:rPr>
        <w:t>Adansonia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digitata</w:t>
      </w:r>
      <w:proofErr w:type="spellEnd"/>
      <w:r>
        <w:rPr>
          <w:rFonts w:ascii="Times New Roman" w:hAnsi="Times New Roman" w:cs="Times New Roman"/>
          <w:sz w:val="24"/>
          <w:szCs w:val="24"/>
        </w:rPr>
        <w:t xml:space="preserve"> (baobab) against clinical isolates, including </w:t>
      </w:r>
      <w:r>
        <w:rPr>
          <w:rFonts w:ascii="Times New Roman" w:hAnsi="Times New Roman" w:cs="Times New Roman"/>
          <w:bCs/>
          <w:i/>
          <w:sz w:val="24"/>
          <w:szCs w:val="24"/>
        </w:rPr>
        <w:t>Staphylococcus aureus</w:t>
      </w:r>
      <w:r>
        <w:rPr>
          <w:rFonts w:ascii="Times New Roman" w:hAnsi="Times New Roman" w:cs="Times New Roman"/>
          <w:i/>
          <w:sz w:val="24"/>
          <w:szCs w:val="24"/>
        </w:rPr>
        <w:t xml:space="preserve">, </w:t>
      </w:r>
      <w:r>
        <w:rPr>
          <w:rFonts w:ascii="Times New Roman" w:hAnsi="Times New Roman" w:cs="Times New Roman"/>
          <w:bCs/>
          <w:i/>
          <w:sz w:val="24"/>
          <w:szCs w:val="24"/>
        </w:rPr>
        <w:t>Streptococcus pneumoniae</w:t>
      </w:r>
      <w:r>
        <w:rPr>
          <w:rFonts w:ascii="Times New Roman" w:hAnsi="Times New Roman" w:cs="Times New Roman"/>
          <w:i/>
          <w:sz w:val="24"/>
          <w:szCs w:val="24"/>
        </w:rPr>
        <w:t xml:space="preserve">, </w:t>
      </w:r>
      <w:r>
        <w:rPr>
          <w:rFonts w:ascii="Times New Roman" w:hAnsi="Times New Roman" w:cs="Times New Roman"/>
          <w:bCs/>
          <w:i/>
          <w:sz w:val="24"/>
          <w:szCs w:val="24"/>
        </w:rPr>
        <w:t>Escherichia coli</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bCs/>
          <w:i/>
          <w:sz w:val="24"/>
          <w:szCs w:val="24"/>
        </w:rPr>
        <w:t>Salmonella typhi</w:t>
      </w:r>
      <w:r>
        <w:rPr>
          <w:rFonts w:ascii="Times New Roman" w:hAnsi="Times New Roman" w:cs="Times New Roman"/>
          <w:sz w:val="24"/>
          <w:szCs w:val="24"/>
        </w:rPr>
        <w:t>. Most isolates demonstrated susceptibility to the plant extracts, suggesting broad-spectrum antibacterial action, although some showed intermediate responses.</w:t>
      </w:r>
    </w:p>
    <w:p w14:paraId="135117B8"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hot aqueous extract of shea bark exhibited superior inhibitory activity compared to methanol and ethanol extracts. These inhibitions could be attributed to the presence of metabolites such as alkaloids, tannins, flavonoids, phenols, saponins and glycosides in the extracts. This aligns with findings by </w:t>
      </w:r>
      <w:proofErr w:type="spellStart"/>
      <w:r>
        <w:rPr>
          <w:rFonts w:ascii="Times New Roman" w:hAnsi="Times New Roman" w:cs="Times New Roman"/>
          <w:sz w:val="24"/>
          <w:szCs w:val="24"/>
        </w:rPr>
        <w:t>Caleja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who noted that hot water extracts often yield higher phytochemical concentrations. Conversely, </w:t>
      </w:r>
      <w:proofErr w:type="spellStart"/>
      <w:r>
        <w:rPr>
          <w:rFonts w:ascii="Times New Roman" w:hAnsi="Times New Roman" w:cs="Times New Roman"/>
          <w:sz w:val="24"/>
          <w:szCs w:val="24"/>
        </w:rPr>
        <w:t>Ndukwe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(2005) indicated that certain plants may exhibit stronger antibacterial properties with methanol or ethanol extracts, highlighting variability based on the specific pathogens and extraction methods used (Liu </w:t>
      </w:r>
      <w:r>
        <w:rPr>
          <w:rFonts w:ascii="Times New Roman" w:hAnsi="Times New Roman" w:cs="Times New Roman"/>
          <w:i/>
          <w:sz w:val="24"/>
          <w:szCs w:val="24"/>
        </w:rPr>
        <w:t>et al.,</w:t>
      </w:r>
      <w:r>
        <w:rPr>
          <w:rFonts w:ascii="Times New Roman" w:hAnsi="Times New Roman" w:cs="Times New Roman"/>
          <w:sz w:val="24"/>
          <w:szCs w:val="24"/>
        </w:rPr>
        <w:t xml:space="preserve"> 2016).</w:t>
      </w:r>
      <w:r>
        <w:rPr>
          <w:rFonts w:ascii="Times New Roman" w:eastAsia="Calibri" w:hAnsi="Times New Roman" w:cs="Times New Roman"/>
          <w:sz w:val="24"/>
          <w:szCs w:val="24"/>
          <w14:ligatures w14:val="none"/>
        </w:rPr>
        <w:t xml:space="preserve"> </w:t>
      </w:r>
      <w:proofErr w:type="spellStart"/>
      <w:r>
        <w:rPr>
          <w:rFonts w:ascii="Times New Roman" w:eastAsia="Calibri" w:hAnsi="Times New Roman" w:cs="Times New Roman"/>
          <w:sz w:val="24"/>
          <w:szCs w:val="24"/>
          <w14:ligatures w14:val="none"/>
        </w:rPr>
        <w:t>Obioma</w:t>
      </w:r>
      <w:proofErr w:type="spellEnd"/>
      <w:r>
        <w:rPr>
          <w:rFonts w:ascii="Times New Roman" w:eastAsia="Calibri" w:hAnsi="Times New Roman" w:cs="Times New Roman"/>
          <w:sz w:val="24"/>
          <w:szCs w:val="24"/>
          <w14:ligatures w14:val="none"/>
        </w:rPr>
        <w:t xml:space="preserve"> </w:t>
      </w:r>
      <w:r>
        <w:rPr>
          <w:rFonts w:ascii="Times New Roman" w:eastAsia="Calibri" w:hAnsi="Times New Roman" w:cs="Times New Roman"/>
          <w:i/>
          <w:iCs/>
          <w:sz w:val="24"/>
          <w:szCs w:val="24"/>
          <w14:ligatures w14:val="none"/>
        </w:rPr>
        <w:t>et al.</w:t>
      </w:r>
      <w:r>
        <w:rPr>
          <w:rFonts w:ascii="Times New Roman" w:eastAsia="Calibri" w:hAnsi="Times New Roman" w:cs="Times New Roman"/>
          <w:sz w:val="24"/>
          <w:szCs w:val="24"/>
          <w14:ligatures w14:val="none"/>
        </w:rPr>
        <w:t xml:space="preserve"> (2017) reveal that the antibacterial activity of medicinal plants was revealed to be due to bioactive chemicals present in the </w:t>
      </w:r>
      <w:r>
        <w:rPr>
          <w:rFonts w:ascii="Times New Roman" w:eastAsia="Calibri" w:hAnsi="Times New Roman" w:cs="Times New Roman"/>
          <w:i/>
          <w:iCs/>
          <w:sz w:val="24"/>
          <w:szCs w:val="24"/>
          <w14:ligatures w14:val="none"/>
        </w:rPr>
        <w:t xml:space="preserve">V. </w:t>
      </w:r>
      <w:proofErr w:type="spellStart"/>
      <w:r>
        <w:rPr>
          <w:rFonts w:ascii="Times New Roman" w:eastAsia="Calibri" w:hAnsi="Times New Roman" w:cs="Times New Roman"/>
          <w:i/>
          <w:iCs/>
          <w:sz w:val="24"/>
          <w:szCs w:val="24"/>
          <w14:ligatures w14:val="none"/>
        </w:rPr>
        <w:t>paradoxa</w:t>
      </w:r>
      <w:proofErr w:type="spellEnd"/>
      <w:r>
        <w:rPr>
          <w:rFonts w:ascii="Times New Roman" w:eastAsia="Calibri" w:hAnsi="Times New Roman" w:cs="Times New Roman"/>
          <w:i/>
          <w:iCs/>
          <w:sz w:val="24"/>
          <w:szCs w:val="24"/>
          <w14:ligatures w14:val="none"/>
        </w:rPr>
        <w:t xml:space="preserve"> </w:t>
      </w:r>
      <w:r>
        <w:rPr>
          <w:rFonts w:ascii="Times New Roman" w:eastAsia="Calibri" w:hAnsi="Times New Roman" w:cs="Times New Roman"/>
          <w:iCs/>
          <w:sz w:val="24"/>
          <w:szCs w:val="24"/>
          <w14:ligatures w14:val="none"/>
        </w:rPr>
        <w:t>and other extracts</w:t>
      </w:r>
    </w:p>
    <w:p w14:paraId="2907BA33"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for tamarind extracts showed significant antibacterial activity against all tested pathogens, with hot water extracts outperforming methanol and ethanol extracts. This indicates that the presence of phytochemicals in hot water extracts provides enhanced antibacterial efficacy, which is consistent with previous research that suggests secondary metabolites serve as defenses against microbial threats (</w:t>
      </w:r>
      <w:proofErr w:type="spellStart"/>
      <w:r>
        <w:rPr>
          <w:rFonts w:ascii="Times New Roman" w:hAnsi="Times New Roman" w:cs="Times New Roman"/>
          <w:sz w:val="24"/>
          <w:szCs w:val="24"/>
        </w:rPr>
        <w:t>Trentin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Similarly, for baobab extracts, hot water extracts demonstrated the highest antibacterial activity. However, the methanol and ethanol extracts showed only intermediate inhibition against some pathogens, which contrasts with Abdallah et al. (2018), who found ethanol extracts more effective against </w:t>
      </w:r>
      <w:r>
        <w:rPr>
          <w:rFonts w:ascii="Times New Roman" w:hAnsi="Times New Roman" w:cs="Times New Roman"/>
          <w:bCs/>
          <w:i/>
          <w:sz w:val="24"/>
          <w:szCs w:val="24"/>
        </w:rPr>
        <w:t>E. coli</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bCs/>
          <w:i/>
          <w:sz w:val="24"/>
          <w:szCs w:val="24"/>
        </w:rPr>
        <w:t>S. typhi</w:t>
      </w:r>
      <w:r>
        <w:rPr>
          <w:rFonts w:ascii="Times New Roman" w:hAnsi="Times New Roman" w:cs="Times New Roman"/>
          <w:i/>
          <w:sz w:val="24"/>
          <w:szCs w:val="24"/>
        </w:rPr>
        <w:t>.</w:t>
      </w:r>
    </w:p>
    <w:p w14:paraId="287EED87" w14:textId="77777777" w:rsidR="00A43411" w:rsidRDefault="00A330FC">
      <w:pPr>
        <w:spacing w:before="240" w:line="480" w:lineRule="auto"/>
        <w:jc w:val="both"/>
        <w:rPr>
          <w:rFonts w:ascii="Times New Roman" w:eastAsia="Calibri" w:hAnsi="Times New Roman" w:cs="Times New Roman"/>
          <w:sz w:val="24"/>
          <w:szCs w:val="24"/>
          <w14:ligatures w14:val="none"/>
        </w:rPr>
      </w:pPr>
      <w:r>
        <w:rPr>
          <w:rFonts w:ascii="Times New Roman" w:hAnsi="Times New Roman" w:cs="Times New Roman"/>
          <w:sz w:val="24"/>
          <w:szCs w:val="24"/>
        </w:rPr>
        <w:t xml:space="preserve">The combinations of extracts revealed increased antibacterial activity when different extracts were mixed, potentially due to synergistic effects among phytochemicals. </w:t>
      </w:r>
      <w:r>
        <w:rPr>
          <w:rFonts w:ascii="Times New Roman" w:eastAsia="Calibri" w:hAnsi="Times New Roman" w:cs="Times New Roman"/>
          <w:sz w:val="24"/>
          <w:szCs w:val="24"/>
          <w14:ligatures w14:val="none"/>
        </w:rPr>
        <w:t>The presence of common metabolites in all extracts, such as tannins, alkaloids, flavonoids, saponins, phenols, and glycosides, could be the cause of the inhibitory zone presented by the extracts (</w:t>
      </w:r>
      <w:proofErr w:type="spellStart"/>
      <w:r>
        <w:rPr>
          <w:rFonts w:ascii="Times New Roman" w:eastAsia="Calibri" w:hAnsi="Times New Roman" w:cs="Times New Roman"/>
          <w:sz w:val="24"/>
          <w:szCs w:val="24"/>
          <w14:ligatures w14:val="none"/>
        </w:rPr>
        <w:t>Trentin</w:t>
      </w:r>
      <w:proofErr w:type="spellEnd"/>
      <w:r>
        <w:rPr>
          <w:rFonts w:ascii="Times New Roman" w:eastAsia="Calibri" w:hAnsi="Times New Roman" w:cs="Times New Roman"/>
          <w:sz w:val="24"/>
          <w:szCs w:val="24"/>
          <w14:ligatures w14:val="none"/>
        </w:rPr>
        <w:t xml:space="preserve"> </w:t>
      </w:r>
      <w:r>
        <w:rPr>
          <w:rFonts w:ascii="Times New Roman" w:eastAsia="Calibri" w:hAnsi="Times New Roman" w:cs="Times New Roman"/>
          <w:i/>
          <w:iCs/>
          <w:sz w:val="24"/>
          <w:szCs w:val="24"/>
          <w14:ligatures w14:val="none"/>
        </w:rPr>
        <w:t>et al.,</w:t>
      </w:r>
      <w:r>
        <w:rPr>
          <w:rFonts w:ascii="Times New Roman" w:eastAsia="Calibri" w:hAnsi="Times New Roman" w:cs="Times New Roman"/>
          <w:sz w:val="24"/>
          <w:szCs w:val="24"/>
          <w14:ligatures w14:val="none"/>
        </w:rPr>
        <w:t xml:space="preserve"> 2013).  When plant extracts are combined, they are able to act on the bacteria in different structures to inhibit them (</w:t>
      </w:r>
      <w:proofErr w:type="spellStart"/>
      <w:r>
        <w:rPr>
          <w:rFonts w:ascii="Times New Roman" w:eastAsia="Calibri" w:hAnsi="Times New Roman" w:cs="Times New Roman"/>
          <w:sz w:val="24"/>
          <w:szCs w:val="24"/>
          <w14:ligatures w14:val="none"/>
        </w:rPr>
        <w:t>Obioma</w:t>
      </w:r>
      <w:proofErr w:type="spellEnd"/>
      <w:r>
        <w:rPr>
          <w:rFonts w:ascii="Times New Roman" w:eastAsia="Calibri" w:hAnsi="Times New Roman" w:cs="Times New Roman"/>
          <w:sz w:val="24"/>
          <w:szCs w:val="24"/>
          <w14:ligatures w14:val="none"/>
        </w:rPr>
        <w:t xml:space="preserve"> </w:t>
      </w:r>
      <w:r>
        <w:rPr>
          <w:rFonts w:ascii="Times New Roman" w:eastAsia="Calibri" w:hAnsi="Times New Roman" w:cs="Times New Roman"/>
          <w:i/>
          <w:iCs/>
          <w:sz w:val="24"/>
          <w:szCs w:val="24"/>
          <w14:ligatures w14:val="none"/>
        </w:rPr>
        <w:t>et al.,</w:t>
      </w:r>
      <w:r>
        <w:rPr>
          <w:rFonts w:ascii="Times New Roman" w:eastAsia="Calibri" w:hAnsi="Times New Roman" w:cs="Times New Roman"/>
          <w:sz w:val="24"/>
          <w:szCs w:val="24"/>
          <w14:ligatures w14:val="none"/>
        </w:rPr>
        <w:t xml:space="preserve"> 2017). Abdallah and Muhammad (2018) noted that </w:t>
      </w:r>
      <w:r>
        <w:rPr>
          <w:rFonts w:ascii="Times New Roman" w:eastAsia="Calibri" w:hAnsi="Times New Roman" w:cs="Times New Roman"/>
          <w:sz w:val="24"/>
          <w:szCs w:val="24"/>
          <w14:ligatures w14:val="none"/>
        </w:rPr>
        <w:lastRenderedPageBreak/>
        <w:t xml:space="preserve">combining plant extracts may increase the various antimicrobial metabolites and subsequently make it more difficult to develop resistance, and may also boost the bioavailability of the single metabolites that would have higher chances of locating the targets. The combination of antimicrobial substances can be used to reduce the chances of developing resistance. </w:t>
      </w:r>
      <w:r>
        <w:rPr>
          <w:rFonts w:ascii="Times New Roman" w:hAnsi="Times New Roman" w:cs="Times New Roman"/>
          <w:sz w:val="24"/>
          <w:szCs w:val="24"/>
        </w:rPr>
        <w:t xml:space="preserve">This synergism could enhance the efficacy of these extracts against bacterial pathogens, supporting claims by Van Vuuren and Viljoen (2011) regarding the benefits of combining plant extracts to improve antimicrobial activity. Some extracts exhibited limited efficacy due to potential resistance mechanisms in bacterial isolates or insufficient concentrations of bioactive compounds to inhibit bacterial growth effectively (Mishra </w:t>
      </w:r>
      <w:r>
        <w:rPr>
          <w:rFonts w:ascii="Times New Roman" w:hAnsi="Times New Roman" w:cs="Times New Roman"/>
          <w:i/>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Bourgaaud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 </w:t>
      </w:r>
      <w:r>
        <w:rPr>
          <w:rFonts w:ascii="Times New Roman" w:eastAsia="Calibri" w:hAnsi="Times New Roman" w:cs="Times New Roman"/>
          <w:sz w:val="24"/>
          <w:szCs w:val="24"/>
          <w14:ligatures w14:val="none"/>
        </w:rPr>
        <w:t>The specificity of the metabolite of each extract and the sensitivity of the organisms used could be explained by the physiological characteristics of the pathogens and active components of the extracts that are left as an inactive form (</w:t>
      </w:r>
      <w:proofErr w:type="spellStart"/>
      <w:r>
        <w:rPr>
          <w:rFonts w:ascii="Times New Roman" w:eastAsia="Calibri" w:hAnsi="Times New Roman" w:cs="Times New Roman"/>
          <w:sz w:val="24"/>
          <w:szCs w:val="24"/>
          <w14:ligatures w14:val="none"/>
        </w:rPr>
        <w:t>Arekemase</w:t>
      </w:r>
      <w:proofErr w:type="spellEnd"/>
      <w:r>
        <w:rPr>
          <w:rFonts w:ascii="Times New Roman" w:eastAsia="Calibri" w:hAnsi="Times New Roman" w:cs="Times New Roman"/>
          <w:sz w:val="24"/>
          <w:szCs w:val="24"/>
          <w14:ligatures w14:val="none"/>
        </w:rPr>
        <w:t xml:space="preserve"> </w:t>
      </w:r>
      <w:r>
        <w:rPr>
          <w:rFonts w:ascii="Times New Roman" w:eastAsia="Calibri" w:hAnsi="Times New Roman" w:cs="Times New Roman"/>
          <w:i/>
          <w:iCs/>
          <w:sz w:val="24"/>
          <w:szCs w:val="24"/>
          <w14:ligatures w14:val="none"/>
        </w:rPr>
        <w:t>et al.,</w:t>
      </w:r>
      <w:r>
        <w:rPr>
          <w:rFonts w:ascii="Times New Roman" w:eastAsia="Calibri" w:hAnsi="Times New Roman" w:cs="Times New Roman"/>
          <w:sz w:val="24"/>
          <w:szCs w:val="24"/>
          <w14:ligatures w14:val="none"/>
        </w:rPr>
        <w:t xml:space="preserve"> 2013). More so, some mixed plant extracts cannot inhibit some bacterial isolates due to the development of resistance mechanisms, such as efflux pumps or hydrolysis by enzymes, by the antimicrobial chemicals in the plant extracts (Mishra </w:t>
      </w:r>
      <w:r>
        <w:rPr>
          <w:rFonts w:ascii="Times New Roman" w:eastAsia="Calibri" w:hAnsi="Times New Roman" w:cs="Times New Roman"/>
          <w:i/>
          <w:iCs/>
          <w:sz w:val="24"/>
          <w:szCs w:val="24"/>
          <w14:ligatures w14:val="none"/>
        </w:rPr>
        <w:t>et al</w:t>
      </w:r>
      <w:r>
        <w:rPr>
          <w:rFonts w:ascii="Times New Roman" w:eastAsia="Calibri" w:hAnsi="Times New Roman" w:cs="Times New Roman"/>
          <w:sz w:val="24"/>
          <w:szCs w:val="24"/>
          <w14:ligatures w14:val="none"/>
        </w:rPr>
        <w:t xml:space="preserve">., 2023). </w:t>
      </w:r>
      <w:r>
        <w:rPr>
          <w:rFonts w:ascii="Times New Roman" w:eastAsia="Calibri" w:hAnsi="Times New Roman" w:cs="Times New Roman"/>
          <w:i/>
          <w:iCs/>
          <w:sz w:val="24"/>
          <w:szCs w:val="24"/>
          <w14:ligatures w14:val="none"/>
        </w:rPr>
        <w:t>Staphylococcus aureus, Streptococcus pneumoniae, Escherichia coli</w:t>
      </w:r>
      <w:r>
        <w:rPr>
          <w:rFonts w:ascii="Times New Roman" w:eastAsia="Calibri" w:hAnsi="Times New Roman" w:cs="Times New Roman"/>
          <w:sz w:val="24"/>
          <w:szCs w:val="24"/>
          <w14:ligatures w14:val="none"/>
        </w:rPr>
        <w:t xml:space="preserve"> and </w:t>
      </w:r>
      <w:r>
        <w:rPr>
          <w:rFonts w:ascii="Times New Roman" w:eastAsia="Calibri" w:hAnsi="Times New Roman" w:cs="Times New Roman"/>
          <w:i/>
          <w:iCs/>
          <w:sz w:val="24"/>
          <w:szCs w:val="24"/>
          <w14:ligatures w14:val="none"/>
        </w:rPr>
        <w:t>Salmonella typhi</w:t>
      </w:r>
      <w:r>
        <w:rPr>
          <w:rFonts w:ascii="Times New Roman" w:eastAsia="Calibri" w:hAnsi="Times New Roman" w:cs="Times New Roman"/>
          <w:sz w:val="24"/>
          <w:szCs w:val="24"/>
          <w14:ligatures w14:val="none"/>
        </w:rPr>
        <w:t xml:space="preserve"> are the tested bacterial isolates.  Few of them were intermediate to the plant extracts, whereas the majority were more vulnerable to them.  This suggests that the plant extracts have broad-spectrum action.</w:t>
      </w:r>
    </w:p>
    <w:p w14:paraId="286B13F5" w14:textId="77777777" w:rsidR="00A43411" w:rsidRDefault="00A330FC">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2EE97586"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demonstrated that all clinical isolates tested were susceptible to the hot water, ethanol, and methanol extracts of </w:t>
      </w:r>
      <w:r>
        <w:rPr>
          <w:rFonts w:ascii="Times New Roman" w:hAnsi="Times New Roman" w:cs="Times New Roman"/>
          <w:i/>
          <w:sz w:val="24"/>
          <w:szCs w:val="24"/>
        </w:rPr>
        <w:t xml:space="preserve">Vitellaria </w:t>
      </w:r>
      <w:proofErr w:type="spellStart"/>
      <w:r>
        <w:rPr>
          <w:rFonts w:ascii="Times New Roman" w:hAnsi="Times New Roman" w:cs="Times New Roman"/>
          <w:i/>
          <w:sz w:val="24"/>
          <w:szCs w:val="24"/>
        </w:rPr>
        <w:t>paradoxa</w:t>
      </w:r>
      <w:proofErr w:type="spellEnd"/>
      <w:r>
        <w:rPr>
          <w:rFonts w:ascii="Times New Roman" w:hAnsi="Times New Roman" w:cs="Times New Roman"/>
          <w:sz w:val="24"/>
          <w:szCs w:val="24"/>
        </w:rPr>
        <w:t xml:space="preserve"> (shea tree), </w:t>
      </w:r>
      <w:proofErr w:type="spellStart"/>
      <w:r>
        <w:rPr>
          <w:rFonts w:ascii="Times New Roman" w:hAnsi="Times New Roman" w:cs="Times New Roman"/>
          <w:i/>
          <w:sz w:val="24"/>
          <w:szCs w:val="24"/>
        </w:rPr>
        <w:t>Tamarindus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(tamarind), and </w:t>
      </w:r>
      <w:proofErr w:type="spellStart"/>
      <w:r>
        <w:rPr>
          <w:rFonts w:ascii="Times New Roman" w:hAnsi="Times New Roman" w:cs="Times New Roman"/>
          <w:i/>
          <w:sz w:val="24"/>
          <w:szCs w:val="24"/>
        </w:rPr>
        <w:t>Adansonia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digitata</w:t>
      </w:r>
      <w:proofErr w:type="spellEnd"/>
      <w:r>
        <w:rPr>
          <w:rFonts w:ascii="Times New Roman" w:hAnsi="Times New Roman" w:cs="Times New Roman"/>
          <w:sz w:val="24"/>
          <w:szCs w:val="24"/>
        </w:rPr>
        <w:t xml:space="preserve"> (baobab). This supports their use in alternative medicine to treat infections caused by these pathogens. The hot aqueous extracts particularly showed substantial efficacy against </w:t>
      </w:r>
      <w:r>
        <w:rPr>
          <w:rFonts w:ascii="Times New Roman" w:hAnsi="Times New Roman" w:cs="Times New Roman"/>
          <w:i/>
          <w:sz w:val="24"/>
          <w:szCs w:val="24"/>
        </w:rPr>
        <w:t>E. coli, S. typhi, S. pneumoniae,</w:t>
      </w:r>
      <w:r>
        <w:rPr>
          <w:rFonts w:ascii="Times New Roman" w:hAnsi="Times New Roman" w:cs="Times New Roman"/>
          <w:sz w:val="24"/>
          <w:szCs w:val="24"/>
        </w:rPr>
        <w:t xml:space="preserve"> and </w:t>
      </w:r>
      <w:r>
        <w:rPr>
          <w:rFonts w:ascii="Times New Roman" w:hAnsi="Times New Roman" w:cs="Times New Roman"/>
          <w:i/>
          <w:sz w:val="24"/>
          <w:szCs w:val="24"/>
        </w:rPr>
        <w:t>S. aureus</w:t>
      </w:r>
      <w:r>
        <w:rPr>
          <w:rFonts w:ascii="Times New Roman" w:hAnsi="Times New Roman" w:cs="Times New Roman"/>
          <w:sz w:val="24"/>
          <w:szCs w:val="24"/>
        </w:rPr>
        <w:t xml:space="preserve">. Although some pathogens displayed intermediate sensitivity to the ethanol and methanol extracts, the results indicate that these plant extracts possess potent antimicrobial properties comparable to conventional antibiotics. The phytochemicals present in the barks could be harnessed for </w:t>
      </w:r>
      <w:r>
        <w:rPr>
          <w:rFonts w:ascii="Times New Roman" w:hAnsi="Times New Roman" w:cs="Times New Roman"/>
          <w:sz w:val="24"/>
          <w:szCs w:val="24"/>
        </w:rPr>
        <w:lastRenderedPageBreak/>
        <w:t xml:space="preserve">developing new antimicrobial agents, particularly for battling antibiotic-resistant bacterial infections. Overall, this study highlights the importance of phytochemicals in mediating antibacterial effects and demonstrates that combining extracts can enhance these properties. </w:t>
      </w:r>
    </w:p>
    <w:p w14:paraId="4D4E4F26" w14:textId="77777777" w:rsidR="00A43411" w:rsidRDefault="00A43411">
      <w:pPr>
        <w:spacing w:line="360" w:lineRule="auto"/>
        <w:rPr>
          <w:rFonts w:ascii="Times New Roman" w:hAnsi="Times New Roman" w:cs="Times New Roman"/>
          <w:b/>
          <w:bCs/>
          <w:sz w:val="24"/>
          <w:szCs w:val="24"/>
        </w:rPr>
      </w:pPr>
    </w:p>
    <w:p w14:paraId="503F4ADB" w14:textId="77777777" w:rsidR="00A43411" w:rsidRDefault="00A330FC">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7279C89"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Abdallah, M. S., &amp; Ali, M. (2019). Antibacterial Activity of Leaf and Stem Bark Extracts of </w:t>
      </w:r>
      <w:proofErr w:type="spellStart"/>
      <w:r>
        <w:rPr>
          <w:rFonts w:ascii="Times New Roman" w:hAnsi="Times New Roman" w:cs="Times New Roman"/>
          <w:sz w:val="24"/>
          <w:szCs w:val="24"/>
        </w:rPr>
        <w:t>Adansonia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Digitata</w:t>
      </w:r>
      <w:proofErr w:type="spellEnd"/>
      <w:r>
        <w:rPr>
          <w:rFonts w:ascii="Times New Roman" w:hAnsi="Times New Roman" w:cs="Times New Roman"/>
          <w:sz w:val="24"/>
          <w:szCs w:val="24"/>
        </w:rPr>
        <w:t xml:space="preserve"> Against Escherichia Coli and Salmonella Typhi Grown in </w:t>
      </w:r>
      <w:proofErr w:type="spellStart"/>
      <w:r>
        <w:rPr>
          <w:rFonts w:ascii="Times New Roman" w:hAnsi="Times New Roman" w:cs="Times New Roman"/>
          <w:sz w:val="24"/>
          <w:szCs w:val="24"/>
        </w:rPr>
        <w:t>Potiskum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Nigeria. Annals of Microbiology and Infectious Diseases, 2(1), 31-37. </w:t>
      </w:r>
      <w:hyperlink r:id="rId7" w:tooltip="https://doi.org/10.22259/2637-5346.0201005" w:history="1">
        <w:r>
          <w:rPr>
            <w:rStyle w:val="Hyperlink"/>
            <w:rFonts w:ascii="Times New Roman" w:hAnsi="Times New Roman" w:cs="Times New Roman"/>
            <w:sz w:val="24"/>
            <w:szCs w:val="24"/>
          </w:rPr>
          <w:t>https://doi.org/10.22259/2637-5346.0201005</w:t>
        </w:r>
      </w:hyperlink>
      <w:r>
        <w:rPr>
          <w:rFonts w:ascii="Times New Roman" w:hAnsi="Times New Roman" w:cs="Times New Roman"/>
          <w:sz w:val="24"/>
          <w:szCs w:val="24"/>
        </w:rPr>
        <w:t xml:space="preserve"> </w:t>
      </w:r>
    </w:p>
    <w:p w14:paraId="35ACF99B" w14:textId="77777777" w:rsidR="00A43411" w:rsidRDefault="00A33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Abdallah, M. S., &amp; Muhammad, A. (2018). Antibacterial activity of leaves and fruits extract of </w:t>
      </w:r>
      <w:proofErr w:type="spellStart"/>
      <w:r>
        <w:rPr>
          <w:rFonts w:ascii="Times New Roman" w:hAnsi="Times New Roman" w:cs="Times New Roman"/>
          <w:sz w:val="24"/>
          <w:szCs w:val="24"/>
        </w:rPr>
        <w:t>Tamarindus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w:t>
      </w:r>
      <w:proofErr w:type="spellEnd"/>
      <w:r>
        <w:rPr>
          <w:rFonts w:ascii="Times New Roman" w:hAnsi="Times New Roman" w:cs="Times New Roman"/>
          <w:sz w:val="24"/>
          <w:szCs w:val="24"/>
        </w:rPr>
        <w:t xml:space="preserve"> against clinical isolates of Escherichia coli and Shigella at </w:t>
      </w:r>
      <w:proofErr w:type="spellStart"/>
      <w:r>
        <w:rPr>
          <w:rFonts w:ascii="Times New Roman" w:hAnsi="Times New Roman" w:cs="Times New Roman"/>
          <w:sz w:val="24"/>
          <w:szCs w:val="24"/>
        </w:rPr>
        <w:t>potiskum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Nigeria. J Anal Pharm Res, 7(5), 606-609. </w:t>
      </w:r>
      <w:hyperlink r:id="rId8" w:tooltip="https://doi.org/10.15406/japlr.2018.07.00290" w:history="1">
        <w:r>
          <w:rPr>
            <w:rStyle w:val="Hyperlink"/>
            <w:rFonts w:ascii="Times New Roman" w:hAnsi="Times New Roman" w:cs="Times New Roman"/>
            <w:sz w:val="24"/>
            <w:szCs w:val="24"/>
          </w:rPr>
          <w:t>https://doi.org/10.15406/japlr.2018.07.00290</w:t>
        </w:r>
      </w:hyperlink>
      <w:r>
        <w:rPr>
          <w:rFonts w:ascii="Times New Roman" w:hAnsi="Times New Roman" w:cs="Times New Roman"/>
          <w:sz w:val="24"/>
          <w:szCs w:val="24"/>
        </w:rPr>
        <w:t xml:space="preserve"> </w:t>
      </w:r>
    </w:p>
    <w:p w14:paraId="47F06DE0"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Adetunde</w:t>
      </w:r>
      <w:proofErr w:type="spellEnd"/>
      <w:r>
        <w:rPr>
          <w:rFonts w:ascii="Times New Roman" w:hAnsi="Times New Roman" w:cs="Times New Roman"/>
          <w:sz w:val="24"/>
          <w:szCs w:val="24"/>
        </w:rPr>
        <w:t xml:space="preserve">, L. A., </w:t>
      </w:r>
      <w:proofErr w:type="spellStart"/>
      <w:r>
        <w:rPr>
          <w:rFonts w:ascii="Times New Roman" w:hAnsi="Times New Roman" w:cs="Times New Roman"/>
          <w:sz w:val="24"/>
          <w:szCs w:val="24"/>
        </w:rPr>
        <w:t>Awo</w:t>
      </w:r>
      <w:proofErr w:type="spellEnd"/>
      <w:r>
        <w:rPr>
          <w:rFonts w:ascii="Times New Roman" w:hAnsi="Times New Roman" w:cs="Times New Roman"/>
          <w:sz w:val="24"/>
          <w:szCs w:val="24"/>
        </w:rPr>
        <w:t>, O., &amp; Abdul-Wahab, M. I. (2023). Antimicrobial activities of the extract of shea tree (</w:t>
      </w:r>
      <w:r>
        <w:rPr>
          <w:rFonts w:ascii="Times New Roman" w:hAnsi="Times New Roman" w:cs="Times New Roman"/>
          <w:i/>
          <w:sz w:val="24"/>
          <w:szCs w:val="24"/>
        </w:rPr>
        <w:t xml:space="preserve">Vitellaria </w:t>
      </w:r>
      <w:proofErr w:type="spellStart"/>
      <w:r>
        <w:rPr>
          <w:rFonts w:ascii="Times New Roman" w:hAnsi="Times New Roman" w:cs="Times New Roman"/>
          <w:i/>
          <w:sz w:val="24"/>
          <w:szCs w:val="24"/>
        </w:rPr>
        <w:t>paradoxa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Gaertn</w:t>
      </w:r>
      <w:proofErr w:type="spellEnd"/>
      <w:r>
        <w:rPr>
          <w:rFonts w:ascii="Times New Roman" w:hAnsi="Times New Roman" w:cs="Times New Roman"/>
          <w:sz w:val="24"/>
          <w:szCs w:val="24"/>
        </w:rPr>
        <w:t xml:space="preserve">. F.) leaf and bark on some selected clinical pathogens. </w:t>
      </w:r>
      <w:r>
        <w:rPr>
          <w:rFonts w:ascii="Times New Roman" w:hAnsi="Times New Roman" w:cs="Times New Roman"/>
          <w:i/>
          <w:iCs/>
          <w:sz w:val="24"/>
          <w:szCs w:val="24"/>
        </w:rPr>
        <w:t>Journal of Medicinal Plants Research</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(12), 338–344. </w:t>
      </w:r>
      <w:hyperlink r:id="rId9" w:tooltip="https://doi.org/10.5897/JMPR2023.7329" w:history="1">
        <w:r>
          <w:rPr>
            <w:rStyle w:val="Hyperlink"/>
            <w:rFonts w:ascii="Times New Roman" w:hAnsi="Times New Roman" w:cs="Times New Roman"/>
            <w:sz w:val="24"/>
            <w:szCs w:val="24"/>
          </w:rPr>
          <w:t>https://doi.org/10.5897/JMPR2023.7329</w:t>
        </w:r>
      </w:hyperlink>
      <w:r>
        <w:rPr>
          <w:rFonts w:ascii="Times New Roman" w:hAnsi="Times New Roman" w:cs="Times New Roman"/>
          <w:sz w:val="24"/>
          <w:szCs w:val="24"/>
        </w:rPr>
        <w:t>.</w:t>
      </w:r>
    </w:p>
    <w:p w14:paraId="6DB3F78C" w14:textId="77777777" w:rsidR="00A43411" w:rsidRDefault="00A330FC">
      <w:pPr>
        <w:spacing w:before="240" w:line="480" w:lineRule="auto"/>
        <w:ind w:left="720" w:hanging="720"/>
        <w:jc w:val="both"/>
        <w:rPr>
          <w:rFonts w:ascii="Times New Roman" w:eastAsia="Calibri" w:hAnsi="Times New Roman" w:cs="Times New Roman"/>
          <w:sz w:val="24"/>
          <w:szCs w:val="24"/>
          <w14:ligatures w14:val="none"/>
        </w:rPr>
      </w:pPr>
      <w:proofErr w:type="spellStart"/>
      <w:r>
        <w:rPr>
          <w:rFonts w:ascii="Times New Roman" w:eastAsia="Calibri" w:hAnsi="Times New Roman" w:cs="Times New Roman"/>
          <w:sz w:val="24"/>
          <w:szCs w:val="24"/>
          <w14:ligatures w14:val="none"/>
        </w:rPr>
        <w:t>Arekemase</w:t>
      </w:r>
      <w:proofErr w:type="spellEnd"/>
      <w:r>
        <w:rPr>
          <w:rFonts w:ascii="Times New Roman" w:eastAsia="Calibri" w:hAnsi="Times New Roman" w:cs="Times New Roman"/>
          <w:sz w:val="24"/>
          <w:szCs w:val="24"/>
          <w14:ligatures w14:val="none"/>
        </w:rPr>
        <w:t xml:space="preserve">, M. O., </w:t>
      </w:r>
      <w:proofErr w:type="spellStart"/>
      <w:r>
        <w:rPr>
          <w:rFonts w:ascii="Times New Roman" w:eastAsia="Calibri" w:hAnsi="Times New Roman" w:cs="Times New Roman"/>
          <w:sz w:val="24"/>
          <w:szCs w:val="24"/>
          <w14:ligatures w14:val="none"/>
        </w:rPr>
        <w:t>Oyeyiola</w:t>
      </w:r>
      <w:proofErr w:type="spellEnd"/>
      <w:r>
        <w:rPr>
          <w:rFonts w:ascii="Times New Roman" w:eastAsia="Calibri" w:hAnsi="Times New Roman" w:cs="Times New Roman"/>
          <w:sz w:val="24"/>
          <w:szCs w:val="24"/>
          <w14:ligatures w14:val="none"/>
        </w:rPr>
        <w:t xml:space="preserve">, G. P., &amp; Balogun, K. I. (2013). Assessment of bitter leaf (Vernonia </w:t>
      </w:r>
      <w:proofErr w:type="spellStart"/>
      <w:r>
        <w:rPr>
          <w:rFonts w:ascii="Times New Roman" w:eastAsia="Calibri" w:hAnsi="Times New Roman" w:cs="Times New Roman"/>
          <w:sz w:val="24"/>
          <w:szCs w:val="24"/>
          <w14:ligatures w14:val="none"/>
        </w:rPr>
        <w:t>amygdalina</w:t>
      </w:r>
      <w:proofErr w:type="spellEnd"/>
      <w:r>
        <w:rPr>
          <w:rFonts w:ascii="Times New Roman" w:eastAsia="Calibri" w:hAnsi="Times New Roman" w:cs="Times New Roman"/>
          <w:sz w:val="24"/>
          <w:szCs w:val="24"/>
          <w14:ligatures w14:val="none"/>
        </w:rPr>
        <w:t xml:space="preserve">) on some selected pathogenic microorganisms from University of Ilorin teaching hospital. Journal of Microbiology, Biotechnology and Food Sciences, 2(5), 2360-2365. </w:t>
      </w:r>
      <w:hyperlink r:id="rId10" w:tooltip="https://office2.jmbfs.org/index.php/JMBFS/article/view/7124" w:history="1">
        <w:r>
          <w:rPr>
            <w:rStyle w:val="Hyperlink"/>
            <w:rFonts w:ascii="Times New Roman" w:eastAsia="Calibri" w:hAnsi="Times New Roman" w:cs="Times New Roman"/>
            <w:sz w:val="24"/>
            <w:szCs w:val="24"/>
            <w14:ligatures w14:val="none"/>
          </w:rPr>
          <w:t>https://office2.jmbfs.org/index.php/JMBFS/article/view/7124</w:t>
        </w:r>
      </w:hyperlink>
      <w:r>
        <w:rPr>
          <w:rFonts w:ascii="Times New Roman" w:eastAsia="Calibri" w:hAnsi="Times New Roman" w:cs="Times New Roman"/>
          <w:sz w:val="24"/>
          <w:szCs w:val="24"/>
          <w14:ligatures w14:val="none"/>
        </w:rPr>
        <w:t xml:space="preserve"> </w:t>
      </w:r>
    </w:p>
    <w:p w14:paraId="2C2CB983" w14:textId="77777777" w:rsidR="00A43411" w:rsidRDefault="00A330FC">
      <w:pPr>
        <w:spacing w:before="240" w:line="480" w:lineRule="auto"/>
        <w:ind w:left="720" w:hanging="720"/>
        <w:jc w:val="both"/>
        <w:rPr>
          <w:rFonts w:ascii="Times New Roman" w:hAnsi="Times New Roman" w:cs="Times New Roman"/>
          <w:sz w:val="24"/>
          <w:szCs w:val="24"/>
        </w:rPr>
      </w:pPr>
      <w:bookmarkStart w:id="19" w:name="_Hlk209866690"/>
      <w:proofErr w:type="spellStart"/>
      <w:r>
        <w:rPr>
          <w:rFonts w:ascii="Times New Roman" w:hAnsi="Times New Roman" w:cs="Times New Roman"/>
          <w:sz w:val="24"/>
          <w:szCs w:val="24"/>
        </w:rPr>
        <w:t>Armijos</w:t>
      </w:r>
      <w:proofErr w:type="spellEnd"/>
      <w:r>
        <w:rPr>
          <w:rFonts w:ascii="Times New Roman" w:hAnsi="Times New Roman" w:cs="Times New Roman"/>
          <w:sz w:val="24"/>
          <w:szCs w:val="24"/>
        </w:rPr>
        <w:t xml:space="preserve">, C., Ramírez, J., &amp; </w:t>
      </w:r>
      <w:proofErr w:type="spellStart"/>
      <w:r>
        <w:rPr>
          <w:rFonts w:ascii="Times New Roman" w:hAnsi="Times New Roman" w:cs="Times New Roman"/>
          <w:sz w:val="24"/>
          <w:szCs w:val="24"/>
        </w:rPr>
        <w:t>Vidari</w:t>
      </w:r>
      <w:proofErr w:type="spellEnd"/>
      <w:r>
        <w:rPr>
          <w:rFonts w:ascii="Times New Roman" w:hAnsi="Times New Roman" w:cs="Times New Roman"/>
          <w:sz w:val="24"/>
          <w:szCs w:val="24"/>
        </w:rPr>
        <w:t xml:space="preserve">, G. (2022). Poorly Investigated Ecuadorian Medicinal Plants. Plants, 11(12), 1590. </w:t>
      </w:r>
      <w:hyperlink r:id="rId11" w:tooltip="https://doi.org/10.3390/plants11121590" w:history="1">
        <w:r>
          <w:rPr>
            <w:rStyle w:val="Hyperlink"/>
            <w:rFonts w:ascii="Times New Roman" w:hAnsi="Times New Roman" w:cs="Times New Roman"/>
            <w:sz w:val="24"/>
            <w:szCs w:val="24"/>
          </w:rPr>
          <w:t>https://doi.org/10.3390/plants11121590</w:t>
        </w:r>
      </w:hyperlink>
      <w:r>
        <w:rPr>
          <w:rFonts w:ascii="Times New Roman" w:hAnsi="Times New Roman" w:cs="Times New Roman"/>
          <w:sz w:val="24"/>
          <w:szCs w:val="24"/>
        </w:rPr>
        <w:t xml:space="preserve"> </w:t>
      </w:r>
    </w:p>
    <w:p w14:paraId="4AD58F9C"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Bourgaud</w:t>
      </w:r>
      <w:proofErr w:type="spellEnd"/>
      <w:r>
        <w:rPr>
          <w:rFonts w:ascii="Times New Roman" w:hAnsi="Times New Roman" w:cs="Times New Roman"/>
          <w:sz w:val="24"/>
          <w:szCs w:val="24"/>
        </w:rPr>
        <w:t xml:space="preserve">, F., Cras, J., &amp; </w:t>
      </w:r>
      <w:proofErr w:type="spellStart"/>
      <w:r>
        <w:rPr>
          <w:rFonts w:ascii="Times New Roman" w:hAnsi="Times New Roman" w:cs="Times New Roman"/>
          <w:sz w:val="24"/>
          <w:szCs w:val="24"/>
        </w:rPr>
        <w:t>Gontier</w:t>
      </w:r>
      <w:proofErr w:type="spellEnd"/>
      <w:r>
        <w:rPr>
          <w:rFonts w:ascii="Times New Roman" w:hAnsi="Times New Roman" w:cs="Times New Roman"/>
          <w:sz w:val="24"/>
          <w:szCs w:val="24"/>
        </w:rPr>
        <w:t>, E. (2023</w:t>
      </w:r>
      <w:bookmarkEnd w:id="19"/>
      <w:r>
        <w:rPr>
          <w:rFonts w:ascii="Times New Roman" w:hAnsi="Times New Roman" w:cs="Times New Roman"/>
          <w:sz w:val="24"/>
          <w:szCs w:val="24"/>
        </w:rPr>
        <w:t xml:space="preserve">). Secondary metabolites in plants: Ecological roles and implications for health. </w:t>
      </w:r>
      <w:r>
        <w:rPr>
          <w:rFonts w:ascii="Times New Roman" w:hAnsi="Times New Roman" w:cs="Times New Roman"/>
          <w:i/>
          <w:iCs/>
          <w:sz w:val="24"/>
          <w:szCs w:val="24"/>
        </w:rPr>
        <w:t>Phytochemistry Reviews, 22</w:t>
      </w:r>
      <w:r>
        <w:rPr>
          <w:rFonts w:ascii="Times New Roman" w:hAnsi="Times New Roman" w:cs="Times New Roman"/>
          <w:sz w:val="24"/>
          <w:szCs w:val="24"/>
        </w:rPr>
        <w:t xml:space="preserve">(1), 45-60. </w:t>
      </w:r>
      <w:hyperlink r:id="rId12" w:tooltip="https://doi.org/10.1007/s11101-023-09912-7" w:history="1">
        <w:r>
          <w:rPr>
            <w:rStyle w:val="Hyperlink"/>
            <w:rFonts w:ascii="Times New Roman" w:hAnsi="Times New Roman" w:cs="Times New Roman"/>
            <w:sz w:val="24"/>
            <w:szCs w:val="24"/>
          </w:rPr>
          <w:t>https://doi.org/10.1007/s11101-023-09912-7</w:t>
        </w:r>
      </w:hyperlink>
    </w:p>
    <w:p w14:paraId="7DF33646"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Caballero-Serrano, V., McLaren, B., Carrasco, J.C., </w:t>
      </w:r>
      <w:proofErr w:type="spellStart"/>
      <w:r>
        <w:rPr>
          <w:rFonts w:ascii="Times New Roman" w:hAnsi="Times New Roman" w:cs="Times New Roman"/>
          <w:sz w:val="24"/>
          <w:szCs w:val="24"/>
        </w:rPr>
        <w:t>Alday</w:t>
      </w:r>
      <w:proofErr w:type="spellEnd"/>
      <w:r>
        <w:rPr>
          <w:rFonts w:ascii="Times New Roman" w:hAnsi="Times New Roman" w:cs="Times New Roman"/>
          <w:sz w:val="24"/>
          <w:szCs w:val="24"/>
        </w:rPr>
        <w:t xml:space="preserve">, J.G., </w:t>
      </w:r>
      <w:proofErr w:type="spellStart"/>
      <w:r>
        <w:rPr>
          <w:rFonts w:ascii="Times New Roman" w:hAnsi="Times New Roman" w:cs="Times New Roman"/>
          <w:sz w:val="24"/>
          <w:szCs w:val="24"/>
        </w:rPr>
        <w:t>Fiallos</w:t>
      </w:r>
      <w:proofErr w:type="spellEnd"/>
      <w:r>
        <w:rPr>
          <w:rFonts w:ascii="Times New Roman" w:hAnsi="Times New Roman" w:cs="Times New Roman"/>
          <w:sz w:val="24"/>
          <w:szCs w:val="24"/>
        </w:rPr>
        <w:t xml:space="preserve">, L., Amigo, J., &amp; </w:t>
      </w:r>
      <w:proofErr w:type="spellStart"/>
      <w:r>
        <w:rPr>
          <w:rFonts w:ascii="Times New Roman" w:hAnsi="Times New Roman" w:cs="Times New Roman"/>
          <w:sz w:val="24"/>
          <w:szCs w:val="24"/>
        </w:rPr>
        <w:t>Onaindia</w:t>
      </w:r>
      <w:proofErr w:type="spellEnd"/>
      <w:r>
        <w:rPr>
          <w:rFonts w:ascii="Times New Roman" w:hAnsi="Times New Roman" w:cs="Times New Roman"/>
          <w:sz w:val="24"/>
          <w:szCs w:val="24"/>
        </w:rPr>
        <w:t xml:space="preserve">, M. (2019). Traditional ecological knowledge and medicinal plant diversity in Ecuadorian Amazon home gardens. Global Ecology and Conservation, 17, e00524. </w:t>
      </w:r>
      <w:hyperlink r:id="rId13" w:tooltip="https://doi.org/10.1016/j.gecco.2018.e00524" w:history="1">
        <w:r>
          <w:rPr>
            <w:rStyle w:val="Hyperlink"/>
            <w:rFonts w:ascii="Times New Roman" w:hAnsi="Times New Roman" w:cs="Times New Roman"/>
            <w:sz w:val="24"/>
            <w:szCs w:val="24"/>
          </w:rPr>
          <w:t>https://doi.org/10.1016/j.gecco.2018.e00524</w:t>
        </w:r>
      </w:hyperlink>
      <w:r>
        <w:rPr>
          <w:rFonts w:ascii="Times New Roman" w:hAnsi="Times New Roman" w:cs="Times New Roman"/>
          <w:sz w:val="24"/>
          <w:szCs w:val="24"/>
        </w:rPr>
        <w:t xml:space="preserve"> </w:t>
      </w:r>
    </w:p>
    <w:p w14:paraId="76761D21"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Caleja</w:t>
      </w:r>
      <w:proofErr w:type="spellEnd"/>
      <w:r>
        <w:rPr>
          <w:rFonts w:ascii="Times New Roman" w:hAnsi="Times New Roman" w:cs="Times New Roman"/>
          <w:sz w:val="24"/>
          <w:szCs w:val="24"/>
        </w:rPr>
        <w:t xml:space="preserve">, C., Barros, L., Antonio, A. L., </w:t>
      </w:r>
      <w:proofErr w:type="spellStart"/>
      <w:r>
        <w:rPr>
          <w:rFonts w:ascii="Times New Roman" w:hAnsi="Times New Roman" w:cs="Times New Roman"/>
          <w:sz w:val="24"/>
          <w:szCs w:val="24"/>
        </w:rPr>
        <w:t>Carocho</w:t>
      </w:r>
      <w:proofErr w:type="spellEnd"/>
      <w:r>
        <w:rPr>
          <w:rFonts w:ascii="Times New Roman" w:hAnsi="Times New Roman" w:cs="Times New Roman"/>
          <w:sz w:val="24"/>
          <w:szCs w:val="24"/>
        </w:rPr>
        <w:t xml:space="preserve">, M., Oliveira, M. B. P. P., &amp; Ferreira, I. C. F. R. (2016). Fortification of yogurts with different antioxidant preservatives: A comparative study between natural and synthetic additives. Food Chemistry, 210, 262-268 </w:t>
      </w:r>
      <w:hyperlink r:id="rId14" w:tooltip="https://doi.org/10.1016/j.foodchem.2016.04.114" w:history="1">
        <w:r>
          <w:rPr>
            <w:rStyle w:val="Hyperlink"/>
            <w:rFonts w:ascii="Times New Roman" w:hAnsi="Times New Roman" w:cs="Times New Roman"/>
            <w:sz w:val="24"/>
            <w:szCs w:val="24"/>
          </w:rPr>
          <w:t>https://doi.org/10.1016/j.foodchem.2016.04.114</w:t>
        </w:r>
      </w:hyperlink>
      <w:r>
        <w:rPr>
          <w:rFonts w:ascii="Times New Roman" w:hAnsi="Times New Roman" w:cs="Times New Roman"/>
          <w:sz w:val="24"/>
          <w:szCs w:val="24"/>
        </w:rPr>
        <w:t xml:space="preserve"> </w:t>
      </w:r>
    </w:p>
    <w:p w14:paraId="2C486503"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Cruz, O.V., Lee, J., Lee, C., Kim, H.J., </w:t>
      </w:r>
      <w:proofErr w:type="spellStart"/>
      <w:r>
        <w:rPr>
          <w:rFonts w:ascii="Times New Roman" w:hAnsi="Times New Roman" w:cs="Times New Roman"/>
          <w:sz w:val="24"/>
          <w:szCs w:val="24"/>
        </w:rPr>
        <w:t>Villota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Narváez</w:t>
      </w:r>
      <w:proofErr w:type="spellEnd"/>
      <w:r>
        <w:rPr>
          <w:rFonts w:ascii="Times New Roman" w:hAnsi="Times New Roman" w:cs="Times New Roman"/>
          <w:sz w:val="24"/>
          <w:szCs w:val="24"/>
        </w:rPr>
        <w:t xml:space="preserve">-Trujillo, A., Íñiguez, J., &amp; Navarrete, H. (2022). </w:t>
      </w:r>
      <w:proofErr w:type="spellStart"/>
      <w:r>
        <w:rPr>
          <w:rFonts w:ascii="Times New Roman" w:hAnsi="Times New Roman" w:cs="Times New Roman"/>
          <w:sz w:val="24"/>
          <w:szCs w:val="24"/>
        </w:rPr>
        <w:t>Bioknowledgy</w:t>
      </w:r>
      <w:proofErr w:type="spellEnd"/>
      <w:r>
        <w:rPr>
          <w:rFonts w:ascii="Times New Roman" w:hAnsi="Times New Roman" w:cs="Times New Roman"/>
          <w:sz w:val="24"/>
          <w:szCs w:val="24"/>
        </w:rPr>
        <w:t xml:space="preserve"> of the Ecuadorian Flora. Some Medicinal Plants and Their Uses.; </w:t>
      </w:r>
      <w:r>
        <w:rPr>
          <w:rFonts w:ascii="Times New Roman" w:hAnsi="Times New Roman" w:cs="Times New Roman"/>
          <w:i/>
          <w:sz w:val="24"/>
          <w:szCs w:val="24"/>
        </w:rPr>
        <w:t xml:space="preserve">Pontificia Universidad </w:t>
      </w:r>
      <w:proofErr w:type="spellStart"/>
      <w:r>
        <w:rPr>
          <w:rFonts w:ascii="Times New Roman" w:hAnsi="Times New Roman" w:cs="Times New Roman"/>
          <w:i/>
          <w:sz w:val="24"/>
          <w:szCs w:val="24"/>
        </w:rPr>
        <w:t>Católica</w:t>
      </w:r>
      <w:proofErr w:type="spellEnd"/>
      <w:r>
        <w:rPr>
          <w:rFonts w:ascii="Times New Roman" w:hAnsi="Times New Roman" w:cs="Times New Roman"/>
          <w:i/>
          <w:sz w:val="24"/>
          <w:szCs w:val="24"/>
        </w:rPr>
        <w:t xml:space="preserve"> del Ecuador</w:t>
      </w:r>
      <w:r>
        <w:rPr>
          <w:rFonts w:ascii="Times New Roman" w:hAnsi="Times New Roman" w:cs="Times New Roman"/>
          <w:sz w:val="24"/>
          <w:szCs w:val="24"/>
        </w:rPr>
        <w:t xml:space="preserve">. ISBN 9978776311. </w:t>
      </w:r>
    </w:p>
    <w:p w14:paraId="7057FED3" w14:textId="77777777" w:rsidR="00A43411" w:rsidRDefault="00A330FC">
      <w:pPr>
        <w:spacing w:before="240" w:line="480" w:lineRule="auto"/>
        <w:ind w:left="720" w:hanging="720"/>
        <w:jc w:val="both"/>
        <w:rPr>
          <w:rFonts w:ascii="Times New Roman" w:hAnsi="Times New Roman" w:cs="Times New Roman"/>
          <w:sz w:val="24"/>
          <w:szCs w:val="24"/>
          <w14:ligatures w14:val="none"/>
        </w:rPr>
      </w:pPr>
      <w:proofErr w:type="spellStart"/>
      <w:r>
        <w:rPr>
          <w:rFonts w:ascii="Times New Roman" w:hAnsi="Times New Roman" w:cs="Times New Roman"/>
          <w:sz w:val="24"/>
          <w:szCs w:val="24"/>
          <w14:ligatures w14:val="none"/>
        </w:rPr>
        <w:t>Dogara</w:t>
      </w:r>
      <w:proofErr w:type="spellEnd"/>
      <w:r>
        <w:rPr>
          <w:rFonts w:ascii="Times New Roman" w:hAnsi="Times New Roman" w:cs="Times New Roman"/>
          <w:sz w:val="24"/>
          <w:szCs w:val="24"/>
          <w14:ligatures w14:val="none"/>
        </w:rPr>
        <w:t xml:space="preserve">, A. M., &amp; Al-Zahrani, A. A. (2024). Phytochemistry and pharmacological activities of </w:t>
      </w:r>
      <w:proofErr w:type="spellStart"/>
      <w:r>
        <w:rPr>
          <w:rFonts w:ascii="Times New Roman" w:hAnsi="Times New Roman" w:cs="Times New Roman"/>
          <w:sz w:val="24"/>
          <w:szCs w:val="24"/>
          <w14:ligatures w14:val="none"/>
        </w:rPr>
        <w:t>Adansonia</w:t>
      </w:r>
      <w:proofErr w:type="spellEnd"/>
      <w:r>
        <w:rPr>
          <w:rFonts w:ascii="Times New Roman" w:hAnsi="Times New Roman" w:cs="Times New Roman"/>
          <w:sz w:val="24"/>
          <w:szCs w:val="24"/>
          <w14:ligatures w14:val="none"/>
        </w:rPr>
        <w:t xml:space="preserve"> </w:t>
      </w:r>
      <w:proofErr w:type="spellStart"/>
      <w:r>
        <w:rPr>
          <w:rFonts w:ascii="Times New Roman" w:hAnsi="Times New Roman" w:cs="Times New Roman"/>
          <w:sz w:val="24"/>
          <w:szCs w:val="24"/>
          <w14:ligatures w14:val="none"/>
        </w:rPr>
        <w:t>digitata</w:t>
      </w:r>
      <w:proofErr w:type="spellEnd"/>
      <w:r>
        <w:rPr>
          <w:rFonts w:ascii="Times New Roman" w:hAnsi="Times New Roman" w:cs="Times New Roman"/>
          <w:sz w:val="24"/>
          <w:szCs w:val="24"/>
          <w14:ligatures w14:val="none"/>
        </w:rPr>
        <w:t xml:space="preserve"> L.: A review. South African Journal of Botany, 171, 368–388. </w:t>
      </w:r>
      <w:hyperlink r:id="rId15" w:tooltip="https://doi.org/10.1016/j.sajb.2024.06.026" w:history="1">
        <w:r>
          <w:rPr>
            <w:rStyle w:val="Hyperlink"/>
            <w:rFonts w:ascii="Times New Roman" w:hAnsi="Times New Roman" w:cs="Times New Roman"/>
            <w:sz w:val="24"/>
            <w:szCs w:val="24"/>
            <w14:ligatures w14:val="none"/>
          </w:rPr>
          <w:t>https://doi.org/10.1016/j.sajb.2024.06.026</w:t>
        </w:r>
      </w:hyperlink>
      <w:r>
        <w:rPr>
          <w:rFonts w:ascii="Times New Roman" w:hAnsi="Times New Roman" w:cs="Times New Roman"/>
          <w:sz w:val="24"/>
          <w:szCs w:val="24"/>
          <w14:ligatures w14:val="none"/>
        </w:rPr>
        <w:t xml:space="preserve"> </w:t>
      </w:r>
    </w:p>
    <w:p w14:paraId="7AD7E394" w14:textId="77777777" w:rsidR="00A43411" w:rsidRDefault="00A330FC">
      <w:pPr>
        <w:spacing w:before="240" w:line="480" w:lineRule="auto"/>
        <w:ind w:left="720" w:hanging="720"/>
        <w:jc w:val="both"/>
        <w:rPr>
          <w:rFonts w:ascii="Times New Roman" w:hAnsi="Times New Roman" w:cs="Times New Roman"/>
          <w:sz w:val="24"/>
          <w:szCs w:val="24"/>
        </w:rPr>
      </w:pPr>
      <w:bookmarkStart w:id="20" w:name="_Hlk165834046"/>
      <w:proofErr w:type="spellStart"/>
      <w:r>
        <w:rPr>
          <w:rFonts w:ascii="Times New Roman" w:hAnsi="Times New Roman" w:cs="Times New Roman"/>
          <w:sz w:val="24"/>
          <w:szCs w:val="24"/>
        </w:rPr>
        <w:t>Erazo</w:t>
      </w:r>
      <w:proofErr w:type="spellEnd"/>
      <w:r>
        <w:rPr>
          <w:rFonts w:ascii="Times New Roman" w:hAnsi="Times New Roman" w:cs="Times New Roman"/>
          <w:sz w:val="24"/>
          <w:szCs w:val="24"/>
        </w:rPr>
        <w:t xml:space="preserve">-Garcia, M. P., Guadalupe, J. J., Rowntree, J. K., Borja-Serrano, P., Espinosa de los Monteros-Silva, N., &amp; Torres, M. de L. (2021). Assessing the Genetic Diversity of Ilex guayusa </w:t>
      </w:r>
      <w:proofErr w:type="spellStart"/>
      <w:r>
        <w:rPr>
          <w:rFonts w:ascii="Times New Roman" w:hAnsi="Times New Roman" w:cs="Times New Roman"/>
          <w:sz w:val="24"/>
          <w:szCs w:val="24"/>
        </w:rPr>
        <w:t>Loes</w:t>
      </w:r>
      <w:proofErr w:type="spellEnd"/>
      <w:r>
        <w:rPr>
          <w:rFonts w:ascii="Times New Roman" w:hAnsi="Times New Roman" w:cs="Times New Roman"/>
          <w:sz w:val="24"/>
          <w:szCs w:val="24"/>
        </w:rPr>
        <w:t xml:space="preserve">., a Medicinal Plant from the Ecuadorian Amazon. Diversity, 13(5), 182. </w:t>
      </w:r>
      <w:hyperlink r:id="rId16" w:tooltip="https://doi.org/10.3390/d13050182" w:history="1">
        <w:r>
          <w:rPr>
            <w:rStyle w:val="Hyperlink"/>
            <w:rFonts w:ascii="Times New Roman" w:hAnsi="Times New Roman" w:cs="Times New Roman"/>
            <w:sz w:val="24"/>
            <w:szCs w:val="24"/>
          </w:rPr>
          <w:t>https://doi.org/10.3390/d13050182</w:t>
        </w:r>
      </w:hyperlink>
      <w:r>
        <w:rPr>
          <w:rFonts w:ascii="Times New Roman" w:hAnsi="Times New Roman" w:cs="Times New Roman"/>
          <w:sz w:val="24"/>
          <w:szCs w:val="24"/>
        </w:rPr>
        <w:t xml:space="preserve"> </w:t>
      </w:r>
      <w:bookmarkEnd w:id="20"/>
    </w:p>
    <w:p w14:paraId="47429994"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Falahi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Delshadian</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Ahmadvand</w:t>
      </w:r>
      <w:proofErr w:type="spellEnd"/>
      <w:r>
        <w:rPr>
          <w:rFonts w:ascii="Times New Roman" w:hAnsi="Times New Roman" w:cs="Times New Roman"/>
          <w:sz w:val="24"/>
          <w:szCs w:val="24"/>
        </w:rPr>
        <w:t xml:space="preserve">, H., &amp; Shokri </w:t>
      </w:r>
      <w:proofErr w:type="spellStart"/>
      <w:r>
        <w:rPr>
          <w:rFonts w:ascii="Times New Roman" w:hAnsi="Times New Roman" w:cs="Times New Roman"/>
          <w:sz w:val="24"/>
          <w:szCs w:val="24"/>
        </w:rPr>
        <w:t>Jokar</w:t>
      </w:r>
      <w:proofErr w:type="spellEnd"/>
      <w:r>
        <w:rPr>
          <w:rFonts w:ascii="Times New Roman" w:hAnsi="Times New Roman" w:cs="Times New Roman"/>
          <w:sz w:val="24"/>
          <w:szCs w:val="24"/>
        </w:rPr>
        <w:t xml:space="preserve">, S. (2019). Head space volatile constituents and antioxidant properties of five traditional Iranian wild edible plants grown in west of Iran. AIMS Agriculture and Food, 4(4), 1034-1053. </w:t>
      </w:r>
      <w:hyperlink r:id="rId17" w:tooltip="https://doi.org/10.3934/agrfood.2019.4.1034" w:history="1">
        <w:r>
          <w:rPr>
            <w:rStyle w:val="Hyperlink"/>
            <w:rFonts w:ascii="Times New Roman" w:hAnsi="Times New Roman" w:cs="Times New Roman"/>
            <w:sz w:val="24"/>
            <w:szCs w:val="24"/>
          </w:rPr>
          <w:t>https://doi.org/10.3934/agrfood.2019.4.1034</w:t>
        </w:r>
      </w:hyperlink>
      <w:r>
        <w:rPr>
          <w:rFonts w:ascii="Times New Roman" w:hAnsi="Times New Roman" w:cs="Times New Roman"/>
          <w:sz w:val="24"/>
          <w:szCs w:val="24"/>
        </w:rPr>
        <w:t xml:space="preserve"> </w:t>
      </w:r>
    </w:p>
    <w:p w14:paraId="610AA37F"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Gul, R., Jan, S.U., </w:t>
      </w:r>
      <w:proofErr w:type="spellStart"/>
      <w:r>
        <w:rPr>
          <w:rFonts w:ascii="Times New Roman" w:hAnsi="Times New Roman" w:cs="Times New Roman"/>
          <w:sz w:val="24"/>
          <w:szCs w:val="24"/>
        </w:rPr>
        <w:t>Faridullah</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Sherani</w:t>
      </w:r>
      <w:proofErr w:type="spellEnd"/>
      <w:r>
        <w:rPr>
          <w:rFonts w:ascii="Times New Roman" w:hAnsi="Times New Roman" w:cs="Times New Roman"/>
          <w:sz w:val="24"/>
          <w:szCs w:val="24"/>
        </w:rPr>
        <w:t xml:space="preserve">, S., &amp; Jahan, N. (2017). Preliminary Phytochemical Screening, Quantitative Analysis of Alkaloids, and Antioxidant Activity of Crude Plant Extracts from Ephedra intermedia Indigenous to </w:t>
      </w:r>
      <w:proofErr w:type="spellStart"/>
      <w:r>
        <w:rPr>
          <w:rFonts w:ascii="Times New Roman" w:hAnsi="Times New Roman" w:cs="Times New Roman"/>
          <w:sz w:val="24"/>
          <w:szCs w:val="24"/>
        </w:rPr>
        <w:t>Balochistan</w:t>
      </w:r>
      <w:proofErr w:type="spellEnd"/>
      <w:r>
        <w:rPr>
          <w:rFonts w:ascii="Times New Roman" w:hAnsi="Times New Roman" w:cs="Times New Roman"/>
          <w:sz w:val="24"/>
          <w:szCs w:val="24"/>
        </w:rPr>
        <w:t xml:space="preserve">. The Scientific World Journal. </w:t>
      </w:r>
      <w:hyperlink r:id="rId18" w:tooltip="https://doi.org/10.1155/2017/5873648" w:history="1">
        <w:r>
          <w:rPr>
            <w:rStyle w:val="Hyperlink"/>
            <w:rFonts w:ascii="Times New Roman" w:hAnsi="Times New Roman" w:cs="Times New Roman"/>
            <w:sz w:val="24"/>
            <w:szCs w:val="24"/>
          </w:rPr>
          <w:t>https://doi.org/10.1155/2017/5873648</w:t>
        </w:r>
      </w:hyperlink>
      <w:r>
        <w:rPr>
          <w:rFonts w:ascii="Times New Roman" w:hAnsi="Times New Roman" w:cs="Times New Roman"/>
          <w:sz w:val="24"/>
          <w:szCs w:val="24"/>
        </w:rPr>
        <w:t xml:space="preserve"> </w:t>
      </w:r>
    </w:p>
    <w:p w14:paraId="702F2C14" w14:textId="77777777" w:rsidR="00A43411" w:rsidRDefault="00A330FC">
      <w:pPr>
        <w:spacing w:before="240" w:line="480" w:lineRule="auto"/>
        <w:ind w:left="720" w:hanging="720"/>
        <w:jc w:val="both"/>
        <w:rPr>
          <w:rFonts w:ascii="Times New Roman" w:hAnsi="Times New Roman" w:cs="Times New Roman"/>
          <w:sz w:val="24"/>
          <w:szCs w:val="24"/>
        </w:rPr>
      </w:pPr>
      <w:bookmarkStart w:id="21" w:name="_Hlk165834329"/>
      <w:proofErr w:type="spellStart"/>
      <w:r>
        <w:rPr>
          <w:rFonts w:ascii="Times New Roman" w:hAnsi="Times New Roman" w:cs="Times New Roman"/>
          <w:sz w:val="24"/>
          <w:szCs w:val="24"/>
        </w:rPr>
        <w:t>Jamshidi</w:t>
      </w:r>
      <w:proofErr w:type="spellEnd"/>
      <w:r>
        <w:rPr>
          <w:rFonts w:ascii="Times New Roman" w:hAnsi="Times New Roman" w:cs="Times New Roman"/>
          <w:sz w:val="24"/>
          <w:szCs w:val="24"/>
        </w:rPr>
        <w:t xml:space="preserve">-Kia, F., </w:t>
      </w:r>
      <w:proofErr w:type="spellStart"/>
      <w:r>
        <w:rPr>
          <w:rFonts w:ascii="Times New Roman" w:hAnsi="Times New Roman" w:cs="Times New Roman"/>
          <w:sz w:val="24"/>
          <w:szCs w:val="24"/>
        </w:rPr>
        <w:t>Lorigooini</w:t>
      </w:r>
      <w:proofErr w:type="spellEnd"/>
      <w:r>
        <w:rPr>
          <w:rFonts w:ascii="Times New Roman" w:hAnsi="Times New Roman" w:cs="Times New Roman"/>
          <w:sz w:val="24"/>
          <w:szCs w:val="24"/>
        </w:rPr>
        <w:t xml:space="preserve">, Z., &amp; </w:t>
      </w:r>
      <w:proofErr w:type="spellStart"/>
      <w:r>
        <w:rPr>
          <w:rFonts w:ascii="Times New Roman" w:hAnsi="Times New Roman" w:cs="Times New Roman"/>
          <w:sz w:val="24"/>
          <w:szCs w:val="24"/>
        </w:rPr>
        <w:t>Amini-Khoei</w:t>
      </w:r>
      <w:proofErr w:type="spellEnd"/>
      <w:r>
        <w:rPr>
          <w:rFonts w:ascii="Times New Roman" w:hAnsi="Times New Roman" w:cs="Times New Roman"/>
          <w:sz w:val="24"/>
          <w:szCs w:val="24"/>
        </w:rPr>
        <w:t xml:space="preserve">, H. (2018). Medicinal plants: Past history and future perspective. Journal of </w:t>
      </w:r>
      <w:proofErr w:type="spellStart"/>
      <w:r>
        <w:rPr>
          <w:rFonts w:ascii="Times New Roman" w:hAnsi="Times New Roman" w:cs="Times New Roman"/>
          <w:sz w:val="24"/>
          <w:szCs w:val="24"/>
        </w:rPr>
        <w:t>Herbmed</w:t>
      </w:r>
      <w:proofErr w:type="spellEnd"/>
      <w:r>
        <w:rPr>
          <w:rFonts w:ascii="Times New Roman" w:hAnsi="Times New Roman" w:cs="Times New Roman"/>
          <w:sz w:val="24"/>
          <w:szCs w:val="24"/>
        </w:rPr>
        <w:t xml:space="preserve"> Pharmacology, 7(1), 1–7. </w:t>
      </w:r>
      <w:hyperlink r:id="rId19" w:tooltip="https://doi.org/10.15171/jhp.2018.01" w:history="1">
        <w:r>
          <w:rPr>
            <w:rStyle w:val="Hyperlink"/>
            <w:rFonts w:ascii="Times New Roman" w:hAnsi="Times New Roman" w:cs="Times New Roman"/>
            <w:sz w:val="24"/>
            <w:szCs w:val="24"/>
          </w:rPr>
          <w:t>https://doi.org/10.15171/jhp.2018.01</w:t>
        </w:r>
      </w:hyperlink>
      <w:r>
        <w:rPr>
          <w:rFonts w:ascii="Times New Roman" w:hAnsi="Times New Roman" w:cs="Times New Roman"/>
          <w:sz w:val="24"/>
          <w:szCs w:val="24"/>
        </w:rPr>
        <w:t xml:space="preserve"> </w:t>
      </w:r>
    </w:p>
    <w:p w14:paraId="5CBAFF83"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Jamshidi</w:t>
      </w:r>
      <w:proofErr w:type="spellEnd"/>
      <w:r>
        <w:rPr>
          <w:rFonts w:ascii="Times New Roman" w:hAnsi="Times New Roman" w:cs="Times New Roman"/>
          <w:sz w:val="24"/>
          <w:szCs w:val="24"/>
        </w:rPr>
        <w:t xml:space="preserve">-Ku, A., </w:t>
      </w:r>
      <w:proofErr w:type="spellStart"/>
      <w:r>
        <w:rPr>
          <w:rFonts w:ascii="Times New Roman" w:hAnsi="Times New Roman" w:cs="Times New Roman"/>
          <w:sz w:val="24"/>
          <w:szCs w:val="24"/>
        </w:rPr>
        <w:t>Kheiri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Gholamzadeh</w:t>
      </w:r>
      <w:proofErr w:type="spellEnd"/>
      <w:r>
        <w:rPr>
          <w:rFonts w:ascii="Times New Roman" w:hAnsi="Times New Roman" w:cs="Times New Roman"/>
          <w:sz w:val="24"/>
          <w:szCs w:val="24"/>
        </w:rPr>
        <w:t xml:space="preserve">, M., &amp; Ebrahimi, S. (2018). Antimicrobial activity of plant extracts and essential oils: A review. </w:t>
      </w:r>
      <w:r>
        <w:rPr>
          <w:rFonts w:ascii="Times New Roman" w:hAnsi="Times New Roman" w:cs="Times New Roman"/>
          <w:i/>
          <w:iCs/>
          <w:sz w:val="24"/>
          <w:szCs w:val="24"/>
        </w:rPr>
        <w:t>Journal of Herbal Medicine, 14</w:t>
      </w:r>
      <w:r>
        <w:rPr>
          <w:rFonts w:ascii="Times New Roman" w:hAnsi="Times New Roman" w:cs="Times New Roman"/>
          <w:sz w:val="24"/>
          <w:szCs w:val="24"/>
        </w:rPr>
        <w:t xml:space="preserve">, 1-8. </w:t>
      </w:r>
      <w:hyperlink r:id="rId20" w:tooltip="https://doi.org/10.1016/j.hermed.2018.08.005" w:history="1">
        <w:r>
          <w:rPr>
            <w:rStyle w:val="Hyperlink"/>
            <w:rFonts w:ascii="Times New Roman" w:hAnsi="Times New Roman" w:cs="Times New Roman"/>
            <w:sz w:val="24"/>
            <w:szCs w:val="24"/>
          </w:rPr>
          <w:t>https://doi.org/10.1016/j.hermed.2018.08.005</w:t>
        </w:r>
      </w:hyperlink>
    </w:p>
    <w:p w14:paraId="0CE9355C"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Kamble</w:t>
      </w:r>
      <w:proofErr w:type="spellEnd"/>
      <w:r>
        <w:rPr>
          <w:rFonts w:ascii="Times New Roman" w:hAnsi="Times New Roman" w:cs="Times New Roman"/>
          <w:sz w:val="24"/>
          <w:szCs w:val="24"/>
        </w:rPr>
        <w:t xml:space="preserve">, S.S., &amp; </w:t>
      </w:r>
      <w:proofErr w:type="spellStart"/>
      <w:r>
        <w:rPr>
          <w:rFonts w:ascii="Times New Roman" w:hAnsi="Times New Roman" w:cs="Times New Roman"/>
          <w:sz w:val="24"/>
          <w:szCs w:val="24"/>
        </w:rPr>
        <w:t>Gacche</w:t>
      </w:r>
      <w:proofErr w:type="spellEnd"/>
      <w:r>
        <w:rPr>
          <w:rFonts w:ascii="Times New Roman" w:hAnsi="Times New Roman" w:cs="Times New Roman"/>
          <w:sz w:val="24"/>
          <w:szCs w:val="24"/>
        </w:rPr>
        <w:t xml:space="preserve">, </w:t>
      </w:r>
      <w:bookmarkEnd w:id="21"/>
      <w:r>
        <w:rPr>
          <w:rFonts w:ascii="Times New Roman" w:hAnsi="Times New Roman" w:cs="Times New Roman"/>
          <w:sz w:val="24"/>
          <w:szCs w:val="24"/>
        </w:rPr>
        <w:t xml:space="preserve">R.N. (2019). Evaluation of anti-breast cancer, antiangiogenic and antioxidant properties of selected medicinal plants. </w:t>
      </w:r>
      <w:r>
        <w:rPr>
          <w:rFonts w:ascii="Times New Roman" w:hAnsi="Times New Roman" w:cs="Times New Roman"/>
          <w:i/>
          <w:sz w:val="24"/>
          <w:szCs w:val="24"/>
        </w:rPr>
        <w:t>European Journal of Integrative Medicine,</w:t>
      </w:r>
      <w:r>
        <w:rPr>
          <w:rFonts w:ascii="Times New Roman" w:hAnsi="Times New Roman" w:cs="Times New Roman"/>
          <w:sz w:val="24"/>
          <w:szCs w:val="24"/>
        </w:rPr>
        <w:t xml:space="preserve"> 25,13-9.  </w:t>
      </w:r>
      <w:hyperlink r:id="rId21" w:tooltip="https://doi.org/10.1016/j.eujim.2018.11.006" w:history="1">
        <w:r>
          <w:rPr>
            <w:rStyle w:val="Hyperlink"/>
            <w:rFonts w:ascii="Times New Roman" w:hAnsi="Times New Roman" w:cs="Times New Roman"/>
            <w:sz w:val="24"/>
            <w:szCs w:val="24"/>
          </w:rPr>
          <w:t>https://doi.org/10.1016/j.eujim.2018.11.006</w:t>
        </w:r>
      </w:hyperlink>
      <w:r>
        <w:rPr>
          <w:rFonts w:ascii="Times New Roman" w:hAnsi="Times New Roman" w:cs="Times New Roman"/>
          <w:sz w:val="24"/>
          <w:szCs w:val="24"/>
        </w:rPr>
        <w:t xml:space="preserve"> </w:t>
      </w:r>
    </w:p>
    <w:p w14:paraId="69B0CC0F"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Kpodo</w:t>
      </w:r>
      <w:proofErr w:type="spellEnd"/>
      <w:r>
        <w:rPr>
          <w:rFonts w:ascii="Times New Roman" w:hAnsi="Times New Roman" w:cs="Times New Roman"/>
          <w:sz w:val="24"/>
          <w:szCs w:val="24"/>
        </w:rPr>
        <w:t xml:space="preserve">, F.M., Mensah, C., &amp; </w:t>
      </w:r>
      <w:proofErr w:type="spellStart"/>
      <w:r>
        <w:rPr>
          <w:rFonts w:ascii="Times New Roman" w:hAnsi="Times New Roman" w:cs="Times New Roman"/>
          <w:sz w:val="24"/>
          <w:szCs w:val="24"/>
        </w:rPr>
        <w:t>Dzah</w:t>
      </w:r>
      <w:proofErr w:type="spellEnd"/>
      <w:r>
        <w:rPr>
          <w:rFonts w:ascii="Times New Roman" w:hAnsi="Times New Roman" w:cs="Times New Roman"/>
          <w:sz w:val="24"/>
          <w:szCs w:val="24"/>
        </w:rPr>
        <w:t xml:space="preserve">, C. (2015). Fruit and vegetable consumption patterns and preferences of students in a Ghanaian Polytechnic, 3(3),53-59. </w:t>
      </w:r>
      <w:hyperlink r:id="rId22" w:tooltip="https://doi.org/10.12691/jnh-3-3-2" w:history="1">
        <w:r>
          <w:rPr>
            <w:rStyle w:val="Hyperlink"/>
            <w:rFonts w:ascii="Times New Roman" w:hAnsi="Times New Roman" w:cs="Times New Roman"/>
            <w:sz w:val="24"/>
            <w:szCs w:val="24"/>
          </w:rPr>
          <w:t>https://doi.org/10.12691/jnh-3-3-2</w:t>
        </w:r>
      </w:hyperlink>
      <w:r>
        <w:rPr>
          <w:rFonts w:ascii="Times New Roman" w:hAnsi="Times New Roman" w:cs="Times New Roman"/>
          <w:sz w:val="24"/>
          <w:szCs w:val="24"/>
        </w:rPr>
        <w:t xml:space="preserve"> </w:t>
      </w:r>
    </w:p>
    <w:p w14:paraId="3E9139C9"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Liu, W., Yin, D., Li, N., Hou, X., Wang, D., Li, D., &amp; Liu, J. (2016). Influence of environmental factors on the active substance production and antioxidant activity in </w:t>
      </w:r>
      <w:r>
        <w:rPr>
          <w:rFonts w:ascii="Times New Roman" w:hAnsi="Times New Roman" w:cs="Times New Roman"/>
          <w:i/>
          <w:sz w:val="24"/>
          <w:szCs w:val="24"/>
        </w:rPr>
        <w:t xml:space="preserve">Potentilla </w:t>
      </w:r>
      <w:proofErr w:type="spellStart"/>
      <w:r>
        <w:rPr>
          <w:rFonts w:ascii="Times New Roman" w:hAnsi="Times New Roman" w:cs="Times New Roman"/>
          <w:i/>
          <w:sz w:val="24"/>
          <w:szCs w:val="24"/>
        </w:rPr>
        <w:t>fruticosa</w:t>
      </w:r>
      <w:proofErr w:type="spellEnd"/>
      <w:r>
        <w:rPr>
          <w:rFonts w:ascii="Times New Roman" w:hAnsi="Times New Roman" w:cs="Times New Roman"/>
          <w:sz w:val="24"/>
          <w:szCs w:val="24"/>
        </w:rPr>
        <w:t xml:space="preserve"> L. and its quality assessment. </w:t>
      </w:r>
      <w:r>
        <w:rPr>
          <w:rFonts w:ascii="Times New Roman" w:hAnsi="Times New Roman" w:cs="Times New Roman"/>
          <w:i/>
          <w:sz w:val="24"/>
          <w:szCs w:val="24"/>
        </w:rPr>
        <w:t xml:space="preserve">Scientific Reports, </w:t>
      </w:r>
      <w:r>
        <w:rPr>
          <w:rFonts w:ascii="Times New Roman" w:hAnsi="Times New Roman" w:cs="Times New Roman"/>
          <w:sz w:val="24"/>
          <w:szCs w:val="24"/>
        </w:rPr>
        <w:t xml:space="preserve">6,1-18.  </w:t>
      </w:r>
      <w:hyperlink r:id="rId23" w:tooltip="https://doi.org/10.1038/srep28591" w:history="1">
        <w:r>
          <w:rPr>
            <w:rStyle w:val="Hyperlink"/>
            <w:rFonts w:ascii="Times New Roman" w:hAnsi="Times New Roman" w:cs="Times New Roman"/>
            <w:sz w:val="24"/>
            <w:szCs w:val="24"/>
          </w:rPr>
          <w:t>https://doi.org/10.1038/srep28591</w:t>
        </w:r>
      </w:hyperlink>
      <w:r>
        <w:rPr>
          <w:rFonts w:ascii="Times New Roman" w:hAnsi="Times New Roman" w:cs="Times New Roman"/>
          <w:sz w:val="24"/>
          <w:szCs w:val="24"/>
        </w:rPr>
        <w:t xml:space="preserve"> </w:t>
      </w:r>
    </w:p>
    <w:p w14:paraId="6462A1CB" w14:textId="77777777" w:rsidR="00A43411" w:rsidRDefault="00A330FC">
      <w:pPr>
        <w:pStyle w:val="Bibliography"/>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Lukubye</w:t>
      </w:r>
      <w:proofErr w:type="spellEnd"/>
      <w:r>
        <w:rPr>
          <w:rFonts w:ascii="Times New Roman" w:hAnsi="Times New Roman" w:cs="Times New Roman"/>
          <w:sz w:val="24"/>
          <w:szCs w:val="24"/>
        </w:rPr>
        <w:t xml:space="preserve">, B., Ajayi, C. O., </w:t>
      </w:r>
      <w:proofErr w:type="spellStart"/>
      <w:r>
        <w:rPr>
          <w:rFonts w:ascii="Times New Roman" w:hAnsi="Times New Roman" w:cs="Times New Roman"/>
          <w:sz w:val="24"/>
          <w:szCs w:val="24"/>
        </w:rPr>
        <w:t>Wangalwa</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Kagoro</w:t>
      </w:r>
      <w:proofErr w:type="spellEnd"/>
      <w:r>
        <w:rPr>
          <w:rFonts w:ascii="Times New Roman" w:hAnsi="Times New Roman" w:cs="Times New Roman"/>
          <w:sz w:val="24"/>
          <w:szCs w:val="24"/>
        </w:rPr>
        <w:t xml:space="preserve">-Rugunda, G. (2022). Phytochemical profile and antimicrobial activity of the leaves and stem bark </w:t>
      </w:r>
      <w:r>
        <w:rPr>
          <w:rFonts w:ascii="Times New Roman" w:hAnsi="Times New Roman" w:cs="Times New Roman"/>
          <w:i/>
          <w:sz w:val="24"/>
          <w:szCs w:val="24"/>
        </w:rPr>
        <w:t xml:space="preserve">of Symphonia </w:t>
      </w:r>
      <w:proofErr w:type="spellStart"/>
      <w:r>
        <w:rPr>
          <w:rFonts w:ascii="Times New Roman" w:hAnsi="Times New Roman" w:cs="Times New Roman"/>
          <w:i/>
          <w:sz w:val="24"/>
          <w:szCs w:val="24"/>
        </w:rPr>
        <w:t>globulifera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L.f</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Allophylus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abyssinicus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Hochst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Radlk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BMC Complementary Medicine and Therapies</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xml:space="preserve">(1), 223. </w:t>
      </w:r>
      <w:hyperlink r:id="rId24" w:tooltip="https://doi.org/10.1186/s12906-022-03692-0" w:history="1">
        <w:r>
          <w:rPr>
            <w:rStyle w:val="Hyperlink"/>
            <w:rFonts w:ascii="Times New Roman" w:hAnsi="Times New Roman" w:cs="Times New Roman"/>
            <w:sz w:val="24"/>
            <w:szCs w:val="24"/>
          </w:rPr>
          <w:t>https://doi.org/10.1186/s12906-022-03692-0</w:t>
        </w:r>
      </w:hyperlink>
      <w:r>
        <w:rPr>
          <w:rFonts w:ascii="Times New Roman" w:hAnsi="Times New Roman" w:cs="Times New Roman"/>
          <w:sz w:val="24"/>
          <w:szCs w:val="24"/>
        </w:rPr>
        <w:t xml:space="preserve"> </w:t>
      </w:r>
    </w:p>
    <w:p w14:paraId="36E5D76B" w14:textId="77777777" w:rsidR="00A43411" w:rsidRDefault="00A330FC">
      <w:pPr>
        <w:pStyle w:val="Bibliography"/>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Manikandam</w:t>
      </w:r>
      <w:proofErr w:type="spellEnd"/>
      <w:r>
        <w:rPr>
          <w:rFonts w:ascii="Times New Roman" w:hAnsi="Times New Roman" w:cs="Times New Roman"/>
          <w:sz w:val="24"/>
          <w:szCs w:val="24"/>
        </w:rPr>
        <w:t xml:space="preserve">, A., Rajendra, </w:t>
      </w:r>
      <w:proofErr w:type="spellStart"/>
      <w:r>
        <w:rPr>
          <w:rFonts w:ascii="Times New Roman" w:hAnsi="Times New Roman" w:cs="Times New Roman"/>
          <w:sz w:val="24"/>
          <w:szCs w:val="24"/>
        </w:rPr>
        <w:t>Abirami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Kongaransi</w:t>
      </w:r>
      <w:proofErr w:type="spellEnd"/>
      <w:r>
        <w:rPr>
          <w:rFonts w:ascii="Times New Roman" w:hAnsi="Times New Roman" w:cs="Times New Roman"/>
          <w:sz w:val="24"/>
          <w:szCs w:val="24"/>
        </w:rPr>
        <w:t xml:space="preserve">, K. (2016). Antimicrobial activity and phytochemical analysis of </w:t>
      </w:r>
      <w:proofErr w:type="spellStart"/>
      <w:r>
        <w:rPr>
          <w:rFonts w:ascii="Times New Roman" w:hAnsi="Times New Roman" w:cs="Times New Roman"/>
          <w:i/>
          <w:sz w:val="24"/>
          <w:szCs w:val="24"/>
        </w:rPr>
        <w:t>Importiens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balsamina</w:t>
      </w:r>
      <w:proofErr w:type="spellEnd"/>
      <w:r>
        <w:rPr>
          <w:rFonts w:ascii="Times New Roman" w:hAnsi="Times New Roman" w:cs="Times New Roman"/>
          <w:sz w:val="24"/>
          <w:szCs w:val="24"/>
        </w:rPr>
        <w:t xml:space="preserve"> seed. (Kaci-T-</w:t>
      </w:r>
      <w:proofErr w:type="spellStart"/>
      <w:r>
        <w:rPr>
          <w:rFonts w:ascii="Times New Roman" w:hAnsi="Times New Roman" w:cs="Times New Roman"/>
          <w:sz w:val="24"/>
          <w:szCs w:val="24"/>
        </w:rPr>
        <w:t>Tumpai</w:t>
      </w:r>
      <w:proofErr w:type="spellEnd"/>
      <w:r>
        <w:rPr>
          <w:rFonts w:ascii="Times New Roman" w:hAnsi="Times New Roman" w:cs="Times New Roman"/>
          <w:sz w:val="24"/>
          <w:szCs w:val="24"/>
        </w:rPr>
        <w:t xml:space="preserve">) collected from Coimbatore District, Tamil Nadu, India.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xml:space="preserve">, 7, 5039-5043. </w:t>
      </w:r>
      <w:hyperlink r:id="rId25" w:tooltip="https://doi.org/10.13040/IJPSR.0975-8232.7(12).5039-43" w:history="1">
        <w:r>
          <w:rPr>
            <w:rStyle w:val="Hyperlink"/>
            <w:rFonts w:ascii="Times New Roman" w:hAnsi="Times New Roman" w:cs="Times New Roman"/>
            <w:sz w:val="24"/>
            <w:szCs w:val="24"/>
          </w:rPr>
          <w:t>https://doi.org/10.13040/IJPSR.0975-8232.7(12).5039-43</w:t>
        </w:r>
      </w:hyperlink>
      <w:r>
        <w:rPr>
          <w:rFonts w:ascii="Times New Roman" w:hAnsi="Times New Roman" w:cs="Times New Roman"/>
          <w:sz w:val="24"/>
          <w:szCs w:val="24"/>
        </w:rPr>
        <w:t xml:space="preserve"> </w:t>
      </w:r>
    </w:p>
    <w:p w14:paraId="2A85E237" w14:textId="77777777" w:rsidR="00A43411" w:rsidRDefault="00A330FC">
      <w:pPr>
        <w:spacing w:before="240" w:line="480" w:lineRule="auto"/>
        <w:ind w:left="720" w:hanging="720"/>
        <w:jc w:val="both"/>
        <w:rPr>
          <w:rFonts w:ascii="Times New Roman" w:hAnsi="Times New Roman" w:cs="Times New Roman"/>
          <w:sz w:val="24"/>
          <w:szCs w:val="24"/>
        </w:rPr>
      </w:pPr>
      <w:bookmarkStart w:id="22" w:name="_Hlk165834196"/>
      <w:proofErr w:type="spellStart"/>
      <w:r>
        <w:rPr>
          <w:rFonts w:ascii="Times New Roman" w:hAnsi="Times New Roman" w:cs="Times New Roman"/>
          <w:sz w:val="24"/>
          <w:szCs w:val="24"/>
        </w:rPr>
        <w:t>Mazaheri</w:t>
      </w:r>
      <w:bookmarkEnd w:id="22"/>
      <w:proofErr w:type="spellEnd"/>
      <w:r>
        <w:rPr>
          <w:rFonts w:ascii="Times New Roman" w:hAnsi="Times New Roman" w:cs="Times New Roman"/>
          <w:sz w:val="24"/>
          <w:szCs w:val="24"/>
        </w:rPr>
        <w:t xml:space="preserve">, Y., Torbati, M., &amp; </w:t>
      </w:r>
      <w:proofErr w:type="spellStart"/>
      <w:r>
        <w:rPr>
          <w:rFonts w:ascii="Times New Roman" w:hAnsi="Times New Roman" w:cs="Times New Roman"/>
          <w:sz w:val="24"/>
          <w:szCs w:val="24"/>
        </w:rPr>
        <w:t>Azadmard-Damirchi</w:t>
      </w:r>
      <w:proofErr w:type="spellEnd"/>
      <w:r>
        <w:rPr>
          <w:rFonts w:ascii="Times New Roman" w:hAnsi="Times New Roman" w:cs="Times New Roman"/>
          <w:sz w:val="24"/>
          <w:szCs w:val="24"/>
        </w:rPr>
        <w:t xml:space="preserve">, S. (2021). Effect of Processing on the composition and Quality of Nigella sativa Fixed Oil. Black cumin (Nigella sativa) seeds: </w:t>
      </w:r>
      <w:r>
        <w:rPr>
          <w:rFonts w:ascii="Times New Roman" w:hAnsi="Times New Roman" w:cs="Times New Roman"/>
          <w:i/>
          <w:sz w:val="24"/>
          <w:szCs w:val="24"/>
        </w:rPr>
        <w:t>Chemistry, Technology, Functionality, and Applications</w:t>
      </w:r>
      <w:r>
        <w:rPr>
          <w:rFonts w:ascii="Times New Roman" w:hAnsi="Times New Roman" w:cs="Times New Roman"/>
          <w:sz w:val="24"/>
          <w:szCs w:val="24"/>
        </w:rPr>
        <w:t xml:space="preserve">: </w:t>
      </w:r>
      <w:r>
        <w:rPr>
          <w:rFonts w:ascii="Times New Roman" w:hAnsi="Times New Roman" w:cs="Times New Roman"/>
          <w:i/>
          <w:sz w:val="24"/>
          <w:szCs w:val="24"/>
        </w:rPr>
        <w:t>Springer</w:t>
      </w:r>
      <w:r>
        <w:rPr>
          <w:rFonts w:ascii="Times New Roman" w:hAnsi="Times New Roman" w:cs="Times New Roman"/>
          <w:sz w:val="24"/>
          <w:szCs w:val="24"/>
        </w:rPr>
        <w:t xml:space="preserve">, 335-47. </w:t>
      </w:r>
      <w:hyperlink r:id="rId26" w:tooltip="https://doi.org/10.1007/978-3-030-48798-0_21" w:history="1">
        <w:r>
          <w:rPr>
            <w:rStyle w:val="Hyperlink"/>
            <w:rFonts w:ascii="Times New Roman" w:hAnsi="Times New Roman" w:cs="Times New Roman"/>
            <w:sz w:val="24"/>
            <w:szCs w:val="24"/>
          </w:rPr>
          <w:t>https://doi.org/10.1007/978-3-030-48798-0_21</w:t>
        </w:r>
      </w:hyperlink>
      <w:r>
        <w:rPr>
          <w:rFonts w:ascii="Times New Roman" w:hAnsi="Times New Roman" w:cs="Times New Roman"/>
          <w:sz w:val="24"/>
          <w:szCs w:val="24"/>
        </w:rPr>
        <w:t xml:space="preserve"> </w:t>
      </w:r>
    </w:p>
    <w:p w14:paraId="6D441040" w14:textId="77777777" w:rsidR="00A43411" w:rsidRDefault="00A330FC">
      <w:pPr>
        <w:spacing w:before="240" w:line="480" w:lineRule="auto"/>
        <w:ind w:left="720" w:hanging="720"/>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Mishra, A., Singh, R., &amp; Yadav, M. (2023). The therapeutic potential of natural plant extracts: Advantages over synthetic alternatives. </w:t>
      </w:r>
      <w:proofErr w:type="spellStart"/>
      <w:r>
        <w:rPr>
          <w:rFonts w:ascii="Times New Roman" w:hAnsi="Times New Roman" w:cs="Times New Roman"/>
          <w:i/>
          <w:iCs/>
          <w:sz w:val="24"/>
          <w:szCs w:val="24"/>
        </w:rPr>
        <w:t>Phytotherapy</w:t>
      </w:r>
      <w:proofErr w:type="spellEnd"/>
      <w:r>
        <w:rPr>
          <w:rFonts w:ascii="Times New Roman" w:hAnsi="Times New Roman" w:cs="Times New Roman"/>
          <w:i/>
          <w:iCs/>
          <w:sz w:val="24"/>
          <w:szCs w:val="24"/>
        </w:rPr>
        <w:t xml:space="preserve"> Research, 37</w:t>
      </w:r>
      <w:r>
        <w:rPr>
          <w:rFonts w:ascii="Times New Roman" w:hAnsi="Times New Roman" w:cs="Times New Roman"/>
          <w:sz w:val="24"/>
          <w:szCs w:val="24"/>
        </w:rPr>
        <w:t xml:space="preserve">(5), 2023-2035. </w:t>
      </w:r>
      <w:hyperlink r:id="rId27" w:tooltip="https://doi.org/10.1002/ptr.7302" w:history="1">
        <w:r>
          <w:rPr>
            <w:rStyle w:val="Hyperlink"/>
            <w:rFonts w:ascii="Times New Roman" w:hAnsi="Times New Roman" w:cs="Times New Roman"/>
            <w:sz w:val="24"/>
            <w:szCs w:val="24"/>
          </w:rPr>
          <w:t>https://doi.org/10.1002/ptr.7302</w:t>
        </w:r>
      </w:hyperlink>
      <w:r>
        <w:rPr>
          <w:rStyle w:val="Hyperlink"/>
          <w:rFonts w:ascii="Times New Roman" w:hAnsi="Times New Roman" w:cs="Times New Roman"/>
          <w:sz w:val="24"/>
          <w:szCs w:val="24"/>
        </w:rPr>
        <w:t>.</w:t>
      </w:r>
    </w:p>
    <w:p w14:paraId="673050E6" w14:textId="77777777" w:rsidR="00A43411" w:rsidRDefault="00A330FC">
      <w:pPr>
        <w:spacing w:before="240" w:line="480" w:lineRule="auto"/>
        <w:ind w:left="720" w:hanging="720"/>
        <w:jc w:val="both"/>
        <w:rPr>
          <w:rFonts w:ascii="Times New Roman" w:hAnsi="Times New Roman" w:cs="Times New Roman"/>
          <w:sz w:val="24"/>
          <w:szCs w:val="24"/>
        </w:rPr>
      </w:pPr>
      <w:bookmarkStart w:id="23" w:name="_Hlk165834143"/>
      <w:proofErr w:type="spellStart"/>
      <w:r>
        <w:rPr>
          <w:rFonts w:ascii="Times New Roman" w:hAnsi="Times New Roman" w:cs="Times New Roman"/>
          <w:sz w:val="24"/>
          <w:szCs w:val="24"/>
        </w:rPr>
        <w:t>Mohajer</w:t>
      </w:r>
      <w:bookmarkEnd w:id="23"/>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Araghi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Sadighara</w:t>
      </w:r>
      <w:proofErr w:type="spellEnd"/>
      <w:r>
        <w:rPr>
          <w:rFonts w:ascii="Times New Roman" w:hAnsi="Times New Roman" w:cs="Times New Roman"/>
          <w:sz w:val="24"/>
          <w:szCs w:val="24"/>
        </w:rPr>
        <w:t xml:space="preserve">, P. (2019). Oxidative stress and toxicity effect of Echium </w:t>
      </w:r>
      <w:proofErr w:type="spellStart"/>
      <w:r>
        <w:rPr>
          <w:rFonts w:ascii="Times New Roman" w:hAnsi="Times New Roman" w:cs="Times New Roman"/>
          <w:sz w:val="24"/>
          <w:szCs w:val="24"/>
        </w:rPr>
        <w:t>amoenum</w:t>
      </w:r>
      <w:proofErr w:type="spellEnd"/>
      <w:r>
        <w:rPr>
          <w:rFonts w:ascii="Times New Roman" w:hAnsi="Times New Roman" w:cs="Times New Roman"/>
          <w:sz w:val="24"/>
          <w:szCs w:val="24"/>
        </w:rPr>
        <w:t xml:space="preserve"> on mice brain. </w:t>
      </w:r>
      <w:r>
        <w:rPr>
          <w:rFonts w:ascii="Times New Roman" w:hAnsi="Times New Roman" w:cs="Times New Roman"/>
          <w:i/>
          <w:sz w:val="24"/>
          <w:szCs w:val="24"/>
        </w:rPr>
        <w:t>Comparative Clinical Pathology</w:t>
      </w:r>
      <w:r>
        <w:rPr>
          <w:rFonts w:ascii="Times New Roman" w:hAnsi="Times New Roman" w:cs="Times New Roman"/>
          <w:sz w:val="24"/>
          <w:szCs w:val="24"/>
        </w:rPr>
        <w:t xml:space="preserve">, 28(2), 397-401. </w:t>
      </w:r>
    </w:p>
    <w:p w14:paraId="439C65E4"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Muralidharan</w:t>
      </w:r>
      <w:proofErr w:type="spellEnd"/>
      <w:r>
        <w:rPr>
          <w:rFonts w:ascii="Times New Roman" w:hAnsi="Times New Roman" w:cs="Times New Roman"/>
          <w:sz w:val="24"/>
          <w:szCs w:val="24"/>
        </w:rPr>
        <w:t xml:space="preserve">, P., &amp; Shastri, S. (2017). </w:t>
      </w:r>
      <w:r>
        <w:rPr>
          <w:rFonts w:ascii="Times New Roman" w:hAnsi="Times New Roman" w:cs="Times New Roman"/>
          <w:i/>
          <w:iCs/>
          <w:sz w:val="24"/>
          <w:szCs w:val="24"/>
        </w:rPr>
        <w:t>Medicinal plants: A source of therapeutic agents</w:t>
      </w:r>
      <w:r>
        <w:rPr>
          <w:rFonts w:ascii="Times New Roman" w:hAnsi="Times New Roman" w:cs="Times New Roman"/>
          <w:sz w:val="24"/>
          <w:szCs w:val="24"/>
        </w:rPr>
        <w:t>. Springer.</w:t>
      </w:r>
    </w:p>
    <w:p w14:paraId="61FDA99A"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Ndukwe</w:t>
      </w:r>
      <w:proofErr w:type="spellEnd"/>
      <w:r>
        <w:rPr>
          <w:rFonts w:ascii="Times New Roman" w:hAnsi="Times New Roman" w:cs="Times New Roman"/>
          <w:sz w:val="24"/>
          <w:szCs w:val="24"/>
        </w:rPr>
        <w:t xml:space="preserve">, K.C., Okeke, I.N., </w:t>
      </w:r>
      <w:proofErr w:type="spellStart"/>
      <w:r>
        <w:rPr>
          <w:rFonts w:ascii="Times New Roman" w:hAnsi="Times New Roman" w:cs="Times New Roman"/>
          <w:sz w:val="24"/>
          <w:szCs w:val="24"/>
        </w:rPr>
        <w:t>Lamikanra</w:t>
      </w:r>
      <w:proofErr w:type="spellEnd"/>
      <w:r>
        <w:rPr>
          <w:rFonts w:ascii="Times New Roman" w:hAnsi="Times New Roman" w:cs="Times New Roman"/>
          <w:sz w:val="24"/>
          <w:szCs w:val="24"/>
        </w:rPr>
        <w:t xml:space="preserve">, A., Adesina, S.K., &amp;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xml:space="preserve">, O. (2005). Antibacterial activity of aqueous extracts of selected chewing sticks. </w:t>
      </w:r>
      <w:r>
        <w:rPr>
          <w:rFonts w:ascii="Times New Roman" w:hAnsi="Times New Roman" w:cs="Times New Roman"/>
          <w:i/>
          <w:sz w:val="24"/>
          <w:szCs w:val="24"/>
        </w:rPr>
        <w:t>Journal of Contemporary Dental Practice,</w:t>
      </w:r>
      <w:r>
        <w:rPr>
          <w:rFonts w:ascii="Times New Roman" w:hAnsi="Times New Roman" w:cs="Times New Roman"/>
          <w:sz w:val="24"/>
          <w:szCs w:val="24"/>
        </w:rPr>
        <w:t xml:space="preserve"> (6), 86-94. </w:t>
      </w:r>
      <w:hyperlink r:id="rId28" w:tooltip="https://doi.org/10.5005/jcdp-6-3-86" w:history="1">
        <w:r>
          <w:rPr>
            <w:rStyle w:val="Hyperlink"/>
            <w:rFonts w:ascii="Times New Roman" w:hAnsi="Times New Roman" w:cs="Times New Roman"/>
            <w:sz w:val="24"/>
            <w:szCs w:val="24"/>
          </w:rPr>
          <w:t>https://doi.org/10.5005/jcdp-6-3-86</w:t>
        </w:r>
      </w:hyperlink>
      <w:r>
        <w:rPr>
          <w:rFonts w:ascii="Times New Roman" w:hAnsi="Times New Roman" w:cs="Times New Roman"/>
          <w:sz w:val="24"/>
          <w:szCs w:val="24"/>
        </w:rPr>
        <w:t xml:space="preserve"> </w:t>
      </w:r>
    </w:p>
    <w:p w14:paraId="5B60679D" w14:textId="77777777" w:rsidR="00A43411" w:rsidRDefault="00A330FC">
      <w:pPr>
        <w:spacing w:after="0" w:line="480" w:lineRule="auto"/>
        <w:ind w:left="720" w:hanging="720"/>
        <w:jc w:val="both"/>
        <w:rPr>
          <w:rFonts w:ascii="Times New Roman" w:eastAsia="Calibri" w:hAnsi="Times New Roman" w:cs="Times New Roman"/>
          <w:sz w:val="24"/>
          <w:szCs w:val="24"/>
          <w14:ligatures w14:val="none"/>
        </w:rPr>
      </w:pPr>
      <w:proofErr w:type="spellStart"/>
      <w:r>
        <w:rPr>
          <w:rFonts w:ascii="Times New Roman" w:eastAsia="Calibri" w:hAnsi="Times New Roman" w:cs="Times New Roman"/>
          <w:sz w:val="24"/>
          <w:szCs w:val="24"/>
          <w14:ligatures w14:val="none"/>
        </w:rPr>
        <w:lastRenderedPageBreak/>
        <w:t>Obioma</w:t>
      </w:r>
      <w:proofErr w:type="spellEnd"/>
      <w:r>
        <w:rPr>
          <w:rFonts w:ascii="Times New Roman" w:eastAsia="Calibri" w:hAnsi="Times New Roman" w:cs="Times New Roman"/>
          <w:sz w:val="24"/>
          <w:szCs w:val="24"/>
          <w14:ligatures w14:val="none"/>
        </w:rPr>
        <w:t xml:space="preserve">, A., </w:t>
      </w:r>
      <w:proofErr w:type="spellStart"/>
      <w:r>
        <w:rPr>
          <w:rFonts w:ascii="Times New Roman" w:eastAsia="Calibri" w:hAnsi="Times New Roman" w:cs="Times New Roman"/>
          <w:sz w:val="24"/>
          <w:szCs w:val="24"/>
          <w14:ligatures w14:val="none"/>
        </w:rPr>
        <w:t>Chikanka</w:t>
      </w:r>
      <w:proofErr w:type="spellEnd"/>
      <w:r>
        <w:rPr>
          <w:rFonts w:ascii="Times New Roman" w:eastAsia="Calibri" w:hAnsi="Times New Roman" w:cs="Times New Roman"/>
          <w:sz w:val="24"/>
          <w:szCs w:val="24"/>
          <w14:ligatures w14:val="none"/>
        </w:rPr>
        <w:t xml:space="preserve">, A.T., &amp; </w:t>
      </w:r>
      <w:proofErr w:type="spellStart"/>
      <w:r>
        <w:rPr>
          <w:rFonts w:ascii="Times New Roman" w:eastAsia="Calibri" w:hAnsi="Times New Roman" w:cs="Times New Roman"/>
          <w:sz w:val="24"/>
          <w:szCs w:val="24"/>
          <w14:ligatures w14:val="none"/>
        </w:rPr>
        <w:t>Dumo</w:t>
      </w:r>
      <w:proofErr w:type="spellEnd"/>
      <w:r>
        <w:rPr>
          <w:rFonts w:ascii="Times New Roman" w:eastAsia="Calibri" w:hAnsi="Times New Roman" w:cs="Times New Roman"/>
          <w:sz w:val="24"/>
          <w:szCs w:val="24"/>
          <w14:ligatures w14:val="none"/>
        </w:rPr>
        <w:t xml:space="preserve">, I. (2017). Antimicrobial Activity of Leave Extracts of </w:t>
      </w:r>
      <w:proofErr w:type="spellStart"/>
      <w:r>
        <w:rPr>
          <w:rFonts w:ascii="Times New Roman" w:eastAsia="Calibri" w:hAnsi="Times New Roman" w:cs="Times New Roman"/>
          <w:i/>
          <w:sz w:val="24"/>
          <w:szCs w:val="24"/>
          <w14:ligatures w14:val="none"/>
        </w:rPr>
        <w:t>Bryophyllum</w:t>
      </w:r>
      <w:proofErr w:type="spellEnd"/>
      <w:r>
        <w:rPr>
          <w:rFonts w:ascii="Times New Roman" w:eastAsia="Calibri" w:hAnsi="Times New Roman" w:cs="Times New Roman"/>
          <w:i/>
          <w:sz w:val="24"/>
          <w:szCs w:val="24"/>
          <w14:ligatures w14:val="none"/>
        </w:rPr>
        <w:t xml:space="preserve"> </w:t>
      </w:r>
      <w:proofErr w:type="spellStart"/>
      <w:r>
        <w:rPr>
          <w:rFonts w:ascii="Times New Roman" w:eastAsia="Calibri" w:hAnsi="Times New Roman" w:cs="Times New Roman"/>
          <w:i/>
          <w:sz w:val="24"/>
          <w:szCs w:val="24"/>
          <w14:ligatures w14:val="none"/>
        </w:rPr>
        <w:t>pinnatum</w:t>
      </w:r>
      <w:proofErr w:type="spellEnd"/>
      <w:r>
        <w:rPr>
          <w:rFonts w:ascii="Times New Roman" w:eastAsia="Calibri" w:hAnsi="Times New Roman" w:cs="Times New Roman"/>
          <w:sz w:val="24"/>
          <w:szCs w:val="24"/>
          <w14:ligatures w14:val="none"/>
        </w:rPr>
        <w:t xml:space="preserve"> and </w:t>
      </w:r>
      <w:proofErr w:type="spellStart"/>
      <w:r>
        <w:rPr>
          <w:rFonts w:ascii="Times New Roman" w:eastAsia="Calibri" w:hAnsi="Times New Roman" w:cs="Times New Roman"/>
          <w:i/>
          <w:sz w:val="24"/>
          <w:szCs w:val="24"/>
          <w14:ligatures w14:val="none"/>
        </w:rPr>
        <w:t>Aspilia</w:t>
      </w:r>
      <w:proofErr w:type="spellEnd"/>
      <w:r>
        <w:rPr>
          <w:rFonts w:ascii="Times New Roman" w:eastAsia="Calibri" w:hAnsi="Times New Roman" w:cs="Times New Roman"/>
          <w:i/>
          <w:sz w:val="24"/>
          <w:szCs w:val="24"/>
          <w14:ligatures w14:val="none"/>
        </w:rPr>
        <w:t xml:space="preserve"> </w:t>
      </w:r>
      <w:proofErr w:type="spellStart"/>
      <w:r>
        <w:rPr>
          <w:rFonts w:ascii="Times New Roman" w:eastAsia="Calibri" w:hAnsi="Times New Roman" w:cs="Times New Roman"/>
          <w:i/>
          <w:sz w:val="24"/>
          <w:szCs w:val="24"/>
          <w14:ligatures w14:val="none"/>
        </w:rPr>
        <w:t>africana</w:t>
      </w:r>
      <w:proofErr w:type="spellEnd"/>
      <w:r>
        <w:rPr>
          <w:rFonts w:ascii="Times New Roman" w:eastAsia="Calibri" w:hAnsi="Times New Roman" w:cs="Times New Roman"/>
          <w:sz w:val="24"/>
          <w:szCs w:val="24"/>
          <w14:ligatures w14:val="none"/>
        </w:rPr>
        <w:t xml:space="preserve"> on Pathogenic Wound Isolates Recovered from Patients Admitted in University of Port Harcourt Teaching Hospital, Nigeria. </w:t>
      </w:r>
      <w:r>
        <w:rPr>
          <w:rFonts w:ascii="Times New Roman" w:eastAsia="Calibri" w:hAnsi="Times New Roman" w:cs="Times New Roman"/>
          <w:i/>
          <w:sz w:val="24"/>
          <w:szCs w:val="24"/>
          <w14:ligatures w14:val="none"/>
        </w:rPr>
        <w:t>Annals of Clinical and Laboratory Research,</w:t>
      </w:r>
      <w:r>
        <w:rPr>
          <w:rFonts w:ascii="Times New Roman" w:eastAsia="Calibri" w:hAnsi="Times New Roman" w:cs="Times New Roman"/>
          <w:sz w:val="24"/>
          <w:szCs w:val="24"/>
          <w14:ligatures w14:val="none"/>
        </w:rPr>
        <w:t xml:space="preserve"> 5(3):185-191</w:t>
      </w:r>
      <w:r>
        <w:t xml:space="preserve"> </w:t>
      </w:r>
      <w:hyperlink r:id="rId29" w:tooltip="https://doi.org/10.21767/2386-5180.1000185" w:history="1">
        <w:r>
          <w:rPr>
            <w:rStyle w:val="Hyperlink"/>
            <w:rFonts w:ascii="Times New Roman" w:eastAsia="Calibri" w:hAnsi="Times New Roman" w:cs="Times New Roman"/>
            <w:sz w:val="24"/>
            <w:szCs w:val="24"/>
            <w14:ligatures w14:val="none"/>
          </w:rPr>
          <w:t>https://doi.org/10.21767/2386-5180.1000185</w:t>
        </w:r>
      </w:hyperlink>
      <w:r>
        <w:rPr>
          <w:rFonts w:ascii="Times New Roman" w:eastAsia="Calibri" w:hAnsi="Times New Roman" w:cs="Times New Roman"/>
          <w:sz w:val="24"/>
          <w:szCs w:val="24"/>
          <w14:ligatures w14:val="none"/>
        </w:rPr>
        <w:t xml:space="preserve"> </w:t>
      </w:r>
    </w:p>
    <w:p w14:paraId="1C73D6BE"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Rivero-Guerra, A.O. (2021): </w:t>
      </w:r>
      <w:proofErr w:type="spellStart"/>
      <w:r>
        <w:rPr>
          <w:rFonts w:ascii="Times New Roman" w:hAnsi="Times New Roman" w:cs="Times New Roman"/>
          <w:sz w:val="24"/>
          <w:szCs w:val="24"/>
        </w:rPr>
        <w:t>Uso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Tradicional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Especies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Plantas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Provincias</w:t>
      </w:r>
      <w:proofErr w:type="spellEnd"/>
      <w:r>
        <w:rPr>
          <w:rFonts w:ascii="Times New Roman" w:hAnsi="Times New Roman" w:cs="Times New Roman"/>
          <w:sz w:val="24"/>
          <w:szCs w:val="24"/>
        </w:rPr>
        <w:t xml:space="preserve"> de Ecuador. </w:t>
      </w:r>
      <w:r>
        <w:rPr>
          <w:rFonts w:ascii="Times New Roman" w:hAnsi="Times New Roman" w:cs="Times New Roman"/>
          <w:i/>
          <w:sz w:val="24"/>
          <w:szCs w:val="24"/>
        </w:rPr>
        <w:t>Collect. Bot</w:t>
      </w:r>
      <w:r>
        <w:rPr>
          <w:rFonts w:ascii="Times New Roman" w:hAnsi="Times New Roman" w:cs="Times New Roman"/>
          <w:sz w:val="24"/>
          <w:szCs w:val="24"/>
        </w:rPr>
        <w:t xml:space="preserve">, </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e002–e002. </w:t>
      </w:r>
      <w:hyperlink r:id="rId30" w:tooltip="https://doi.org/10.3989/collectbot.2021.v40.002" w:history="1">
        <w:r>
          <w:rPr>
            <w:rStyle w:val="Hyperlink"/>
            <w:rFonts w:ascii="Times New Roman" w:hAnsi="Times New Roman" w:cs="Times New Roman"/>
            <w:sz w:val="24"/>
            <w:szCs w:val="24"/>
          </w:rPr>
          <w:t>https://doi.org/10.3989/collectbot.2021.v40.002</w:t>
        </w:r>
      </w:hyperlink>
      <w:r>
        <w:rPr>
          <w:rFonts w:ascii="Times New Roman" w:hAnsi="Times New Roman" w:cs="Times New Roman"/>
          <w:sz w:val="24"/>
          <w:szCs w:val="24"/>
        </w:rPr>
        <w:t xml:space="preserve"> </w:t>
      </w:r>
    </w:p>
    <w:p w14:paraId="2301EF4C"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Seraglio, S.K.T., Schulz, M., </w:t>
      </w:r>
      <w:proofErr w:type="spellStart"/>
      <w:r>
        <w:rPr>
          <w:rFonts w:ascii="Times New Roman" w:hAnsi="Times New Roman" w:cs="Times New Roman"/>
          <w:sz w:val="24"/>
          <w:szCs w:val="24"/>
        </w:rPr>
        <w:t>Nehring</w:t>
      </w:r>
      <w:proofErr w:type="spellEnd"/>
      <w:r>
        <w:rPr>
          <w:rFonts w:ascii="Times New Roman" w:hAnsi="Times New Roman" w:cs="Times New Roman"/>
          <w:sz w:val="24"/>
          <w:szCs w:val="24"/>
        </w:rPr>
        <w:t xml:space="preserve">, P., Della, Betta, F., </w:t>
      </w:r>
      <w:proofErr w:type="spellStart"/>
      <w:r>
        <w:rPr>
          <w:rFonts w:ascii="Times New Roman" w:hAnsi="Times New Roman" w:cs="Times New Roman"/>
          <w:sz w:val="24"/>
          <w:szCs w:val="24"/>
        </w:rPr>
        <w:t>Valese</w:t>
      </w:r>
      <w:proofErr w:type="spellEnd"/>
      <w:r>
        <w:rPr>
          <w:rFonts w:ascii="Times New Roman" w:hAnsi="Times New Roman" w:cs="Times New Roman"/>
          <w:sz w:val="24"/>
          <w:szCs w:val="24"/>
        </w:rPr>
        <w:t xml:space="preserve">, A.C., </w:t>
      </w:r>
      <w:proofErr w:type="spellStart"/>
      <w:r>
        <w:rPr>
          <w:rFonts w:ascii="Times New Roman" w:hAnsi="Times New Roman" w:cs="Times New Roman"/>
          <w:sz w:val="24"/>
          <w:szCs w:val="24"/>
        </w:rPr>
        <w:t>Daguer</w:t>
      </w:r>
      <w:proofErr w:type="spellEnd"/>
      <w:r>
        <w:rPr>
          <w:rFonts w:ascii="Times New Roman" w:hAnsi="Times New Roman" w:cs="Times New Roman"/>
          <w:sz w:val="24"/>
          <w:szCs w:val="24"/>
        </w:rPr>
        <w:t xml:space="preserve">, H., Gonzaga, L.V., Fett, R., &amp; Costa, A.C.O. (2018). Nutritional and bioactive potential of </w:t>
      </w:r>
      <w:proofErr w:type="spellStart"/>
      <w:r>
        <w:rPr>
          <w:rFonts w:ascii="Times New Roman" w:hAnsi="Times New Roman" w:cs="Times New Roman"/>
          <w:sz w:val="24"/>
          <w:szCs w:val="24"/>
        </w:rPr>
        <w:t>Myrtaceae</w:t>
      </w:r>
      <w:proofErr w:type="spellEnd"/>
      <w:r>
        <w:rPr>
          <w:rFonts w:ascii="Times New Roman" w:hAnsi="Times New Roman" w:cs="Times New Roman"/>
          <w:sz w:val="24"/>
          <w:szCs w:val="24"/>
        </w:rPr>
        <w:t xml:space="preserve"> fruits during ripening. </w:t>
      </w:r>
      <w:r>
        <w:rPr>
          <w:rFonts w:ascii="Times New Roman" w:hAnsi="Times New Roman" w:cs="Times New Roman"/>
          <w:i/>
          <w:sz w:val="24"/>
          <w:szCs w:val="24"/>
        </w:rPr>
        <w:t>Food Chem</w:t>
      </w:r>
      <w:r>
        <w:rPr>
          <w:rFonts w:ascii="Times New Roman" w:hAnsi="Times New Roman" w:cs="Times New Roman"/>
          <w:sz w:val="24"/>
          <w:szCs w:val="24"/>
        </w:rPr>
        <w:t xml:space="preserve">, 239, 649-656. </w:t>
      </w:r>
      <w:hyperlink r:id="rId31" w:tooltip="https://doi.org/10.1016/j.foodchem.2017.06.118" w:history="1">
        <w:r>
          <w:rPr>
            <w:rStyle w:val="Hyperlink"/>
            <w:rFonts w:ascii="Times New Roman" w:hAnsi="Times New Roman" w:cs="Times New Roman"/>
            <w:sz w:val="24"/>
            <w:szCs w:val="24"/>
          </w:rPr>
          <w:t>https://doi.org/10.1016/j.foodchem.2017.06.118</w:t>
        </w:r>
      </w:hyperlink>
      <w:r>
        <w:rPr>
          <w:rFonts w:ascii="Times New Roman" w:hAnsi="Times New Roman" w:cs="Times New Roman"/>
          <w:sz w:val="24"/>
          <w:szCs w:val="24"/>
        </w:rPr>
        <w:t xml:space="preserve"> </w:t>
      </w:r>
    </w:p>
    <w:p w14:paraId="1C45F9E6" w14:textId="77777777" w:rsidR="00A43411" w:rsidRDefault="00A330FC">
      <w:pPr>
        <w:spacing w:before="240" w:line="480" w:lineRule="auto"/>
        <w:ind w:left="720" w:hanging="720"/>
        <w:jc w:val="both"/>
        <w:rPr>
          <w:rFonts w:ascii="Times New Roman" w:hAnsi="Times New Roman" w:cs="Times New Roman"/>
          <w:color w:val="4472C4" w:themeColor="accent1"/>
          <w:sz w:val="24"/>
          <w:szCs w:val="24"/>
        </w:rPr>
      </w:pP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R., Nisha, K., &amp; Kumar, J. (2014). Preliminary phytochemical screening of methanolic extract of </w:t>
      </w:r>
      <w:proofErr w:type="spellStart"/>
      <w:r>
        <w:rPr>
          <w:rFonts w:ascii="Times New Roman" w:hAnsi="Times New Roman" w:cs="Times New Roman"/>
          <w:i/>
          <w:sz w:val="24"/>
          <w:szCs w:val="24"/>
        </w:rPr>
        <w:t>Clerodendron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infortunatum</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ISRO Journal of. Applied Chemistry</w:t>
      </w:r>
      <w:r>
        <w:rPr>
          <w:rFonts w:ascii="Times New Roman" w:hAnsi="Times New Roman" w:cs="Times New Roman"/>
          <w:sz w:val="24"/>
          <w:szCs w:val="24"/>
        </w:rPr>
        <w:t xml:space="preserve"> 7, 10-13. </w:t>
      </w:r>
      <w:hyperlink r:id="rId32" w:tooltip="https://doi.org/10.9790/5736-07121013" w:history="1">
        <w:r>
          <w:rPr>
            <w:rStyle w:val="Hyperlink"/>
            <w:rFonts w:ascii="Times New Roman" w:hAnsi="Times New Roman" w:cs="Times New Roman"/>
            <w:sz w:val="24"/>
            <w:szCs w:val="24"/>
          </w:rPr>
          <w:t>https://doi.org/10.9790/5736-07121013</w:t>
        </w:r>
      </w:hyperlink>
      <w:r>
        <w:rPr>
          <w:rFonts w:ascii="Times New Roman" w:hAnsi="Times New Roman" w:cs="Times New Roman"/>
          <w:sz w:val="24"/>
          <w:szCs w:val="24"/>
        </w:rPr>
        <w:t xml:space="preserve"> </w:t>
      </w:r>
    </w:p>
    <w:p w14:paraId="4390A460"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Silva, A., &amp; Nascimento, S. (2016). Antimicrobial activity and phytochemical analysis of organic extracts from Cleome spinosa </w:t>
      </w:r>
      <w:proofErr w:type="spellStart"/>
      <w:r>
        <w:rPr>
          <w:rFonts w:ascii="Times New Roman" w:hAnsi="Times New Roman" w:cs="Times New Roman"/>
          <w:sz w:val="24"/>
          <w:szCs w:val="24"/>
        </w:rPr>
        <w:t>Jaqc</w:t>
      </w:r>
      <w:proofErr w:type="spellEnd"/>
      <w:r>
        <w:rPr>
          <w:rFonts w:ascii="Times New Roman" w:hAnsi="Times New Roman" w:cs="Times New Roman"/>
          <w:sz w:val="24"/>
          <w:szCs w:val="24"/>
        </w:rPr>
        <w:t xml:space="preserve">. </w:t>
      </w:r>
      <w:r>
        <w:rPr>
          <w:rFonts w:ascii="Times New Roman" w:hAnsi="Times New Roman" w:cs="Times New Roman"/>
          <w:i/>
          <w:sz w:val="24"/>
          <w:szCs w:val="24"/>
        </w:rPr>
        <w:t>Front Microbiol.</w:t>
      </w:r>
      <w:r>
        <w:rPr>
          <w:rFonts w:ascii="Times New Roman" w:hAnsi="Times New Roman" w:cs="Times New Roman"/>
          <w:sz w:val="24"/>
          <w:szCs w:val="24"/>
        </w:rPr>
        <w:t xml:space="preserve">, 7(1), 1–10. </w:t>
      </w:r>
      <w:hyperlink r:id="rId33" w:tooltip="https://doi.org/10.3389/fmicb.2016.00963" w:history="1">
        <w:r>
          <w:rPr>
            <w:rStyle w:val="Hyperlink"/>
            <w:rFonts w:ascii="Times New Roman" w:hAnsi="Times New Roman" w:cs="Times New Roman"/>
            <w:sz w:val="24"/>
            <w:szCs w:val="24"/>
          </w:rPr>
          <w:t>https://doi.org/10.3389/fmicb.2016.00963</w:t>
        </w:r>
      </w:hyperlink>
      <w:r>
        <w:rPr>
          <w:rFonts w:ascii="Times New Roman" w:hAnsi="Times New Roman" w:cs="Times New Roman"/>
          <w:sz w:val="24"/>
          <w:szCs w:val="24"/>
        </w:rPr>
        <w:t>.</w:t>
      </w:r>
    </w:p>
    <w:p w14:paraId="1EFEDD14" w14:textId="77777777" w:rsidR="00A43411" w:rsidRDefault="00A330FC">
      <w:pPr>
        <w:pStyle w:val="Bibliography"/>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Silva, M. L., Rita, K., Bernardo, M. A., Mesquita, M. F. de, </w:t>
      </w:r>
      <w:proofErr w:type="spellStart"/>
      <w:r>
        <w:rPr>
          <w:rFonts w:ascii="Times New Roman" w:hAnsi="Times New Roman" w:cs="Times New Roman"/>
          <w:sz w:val="24"/>
          <w:szCs w:val="24"/>
        </w:rPr>
        <w:t>Pintão</w:t>
      </w:r>
      <w:proofErr w:type="spellEnd"/>
      <w:r>
        <w:rPr>
          <w:rFonts w:ascii="Times New Roman" w:hAnsi="Times New Roman" w:cs="Times New Roman"/>
          <w:sz w:val="24"/>
          <w:szCs w:val="24"/>
        </w:rPr>
        <w:t xml:space="preserve">, A. M., &amp; Moncada, M. (2023). </w:t>
      </w:r>
      <w:proofErr w:type="spellStart"/>
      <w:r>
        <w:rPr>
          <w:rFonts w:ascii="Times New Roman" w:hAnsi="Times New Roman" w:cs="Times New Roman"/>
          <w:sz w:val="24"/>
          <w:szCs w:val="24"/>
        </w:rPr>
        <w:t>Adansonia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digitata</w:t>
      </w:r>
      <w:proofErr w:type="spellEnd"/>
      <w:r>
        <w:rPr>
          <w:rFonts w:ascii="Times New Roman" w:hAnsi="Times New Roman" w:cs="Times New Roman"/>
          <w:sz w:val="24"/>
          <w:szCs w:val="24"/>
        </w:rPr>
        <w:t xml:space="preserve"> L. (Baobab) Bioactive Compounds, Biological Activities, and the Potential Effect on Glycemia: A Narrative Review. </w:t>
      </w:r>
      <w:r>
        <w:rPr>
          <w:rFonts w:ascii="Times New Roman" w:hAnsi="Times New Roman" w:cs="Times New Roman"/>
          <w:i/>
          <w:iCs/>
          <w:sz w:val="24"/>
          <w:szCs w:val="24"/>
        </w:rPr>
        <w:t>Nutrients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(9), Article 9. </w:t>
      </w:r>
      <w:hyperlink r:id="rId34" w:tooltip="https://doi.org/10.3390/nu15092170" w:history="1">
        <w:r>
          <w:rPr>
            <w:rStyle w:val="Hyperlink"/>
            <w:rFonts w:ascii="Times New Roman" w:hAnsi="Times New Roman" w:cs="Times New Roman"/>
            <w:sz w:val="24"/>
            <w:szCs w:val="24"/>
          </w:rPr>
          <w:t>https://doi.org/10.3390/nu15092170</w:t>
        </w:r>
      </w:hyperlink>
      <w:r>
        <w:rPr>
          <w:rFonts w:ascii="Times New Roman" w:hAnsi="Times New Roman" w:cs="Times New Roman"/>
          <w:sz w:val="24"/>
          <w:szCs w:val="24"/>
        </w:rPr>
        <w:t xml:space="preserve"> </w:t>
      </w:r>
    </w:p>
    <w:p w14:paraId="327418D1"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Sirén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Uzendoski</w:t>
      </w:r>
      <w:proofErr w:type="spellEnd"/>
      <w:r>
        <w:rPr>
          <w:rFonts w:ascii="Times New Roman" w:hAnsi="Times New Roman" w:cs="Times New Roman"/>
          <w:sz w:val="24"/>
          <w:szCs w:val="24"/>
        </w:rPr>
        <w:t xml:space="preserve">, M., Swanson, T., </w:t>
      </w:r>
      <w:proofErr w:type="spellStart"/>
      <w:r>
        <w:rPr>
          <w:rFonts w:ascii="Times New Roman" w:hAnsi="Times New Roman" w:cs="Times New Roman"/>
          <w:sz w:val="24"/>
          <w:szCs w:val="24"/>
        </w:rPr>
        <w:t>Jácome</w:t>
      </w:r>
      <w:proofErr w:type="spellEnd"/>
      <w:r>
        <w:rPr>
          <w:rFonts w:ascii="Times New Roman" w:hAnsi="Times New Roman" w:cs="Times New Roman"/>
          <w:sz w:val="24"/>
          <w:szCs w:val="24"/>
        </w:rPr>
        <w:t xml:space="preserve">-Negrete, I., </w:t>
      </w:r>
      <w:proofErr w:type="spellStart"/>
      <w:r>
        <w:rPr>
          <w:rFonts w:ascii="Times New Roman" w:hAnsi="Times New Roman" w:cs="Times New Roman"/>
          <w:sz w:val="24"/>
          <w:szCs w:val="24"/>
        </w:rPr>
        <w:t>Sirén-Gualinga</w:t>
      </w:r>
      <w:proofErr w:type="spellEnd"/>
      <w:r>
        <w:rPr>
          <w:rFonts w:ascii="Times New Roman" w:hAnsi="Times New Roman" w:cs="Times New Roman"/>
          <w:sz w:val="24"/>
          <w:szCs w:val="24"/>
        </w:rPr>
        <w:t xml:space="preserve">, E., Tapia, A., </w:t>
      </w:r>
      <w:proofErr w:type="spellStart"/>
      <w:r>
        <w:rPr>
          <w:rFonts w:ascii="Times New Roman" w:hAnsi="Times New Roman" w:cs="Times New Roman"/>
          <w:sz w:val="24"/>
          <w:szCs w:val="24"/>
        </w:rPr>
        <w:t>DahuaMachoa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Tanguila</w:t>
      </w:r>
      <w:proofErr w:type="spellEnd"/>
      <w:r>
        <w:rPr>
          <w:rFonts w:ascii="Times New Roman" w:hAnsi="Times New Roman" w:cs="Times New Roman"/>
          <w:sz w:val="24"/>
          <w:szCs w:val="24"/>
        </w:rPr>
        <w:t xml:space="preserve">, A., Santi, E., &amp; </w:t>
      </w:r>
      <w:proofErr w:type="spellStart"/>
      <w:r>
        <w:rPr>
          <w:rFonts w:ascii="Times New Roman" w:hAnsi="Times New Roman" w:cs="Times New Roman"/>
          <w:sz w:val="24"/>
          <w:szCs w:val="24"/>
        </w:rPr>
        <w:t>Machoa</w:t>
      </w:r>
      <w:proofErr w:type="spellEnd"/>
      <w:r>
        <w:rPr>
          <w:rFonts w:ascii="Times New Roman" w:hAnsi="Times New Roman" w:cs="Times New Roman"/>
          <w:sz w:val="24"/>
          <w:szCs w:val="24"/>
        </w:rPr>
        <w:t xml:space="preserve">, D. (2020). Resilience against the </w:t>
      </w:r>
      <w:r>
        <w:rPr>
          <w:rFonts w:ascii="Times New Roman" w:hAnsi="Times New Roman" w:cs="Times New Roman"/>
          <w:sz w:val="24"/>
          <w:szCs w:val="24"/>
        </w:rPr>
        <w:lastRenderedPageBreak/>
        <w:t xml:space="preserve">Covid-19 Pandemic among Indigenous </w:t>
      </w:r>
      <w:proofErr w:type="spellStart"/>
      <w:r>
        <w:rPr>
          <w:rFonts w:ascii="Times New Roman" w:hAnsi="Times New Roman" w:cs="Times New Roman"/>
          <w:sz w:val="24"/>
          <w:szCs w:val="24"/>
        </w:rPr>
        <w:t>Kichwa</w:t>
      </w:r>
      <w:proofErr w:type="spellEnd"/>
      <w:r>
        <w:rPr>
          <w:rFonts w:ascii="Times New Roman" w:hAnsi="Times New Roman" w:cs="Times New Roman"/>
          <w:sz w:val="24"/>
          <w:szCs w:val="24"/>
        </w:rPr>
        <w:t xml:space="preserve"> Communities in Ecuadorian Amazonia.  </w:t>
      </w:r>
      <w:hyperlink r:id="rId35" w:tooltip="https://doi.org/10.17141/mundosplurales.2.2020.4738" w:history="1">
        <w:r>
          <w:rPr>
            <w:rStyle w:val="Hyperlink"/>
            <w:rFonts w:ascii="Times New Roman" w:hAnsi="Times New Roman" w:cs="Times New Roman"/>
            <w:sz w:val="24"/>
            <w:szCs w:val="24"/>
          </w:rPr>
          <w:t>https://doi.org/10.17141/mundosplurales.2.2020.4738</w:t>
        </w:r>
      </w:hyperlink>
      <w:r>
        <w:rPr>
          <w:rFonts w:ascii="Times New Roman" w:hAnsi="Times New Roman" w:cs="Times New Roman"/>
          <w:sz w:val="24"/>
          <w:szCs w:val="24"/>
        </w:rPr>
        <w:t xml:space="preserve"> </w:t>
      </w:r>
    </w:p>
    <w:p w14:paraId="2AE8C785" w14:textId="77777777" w:rsidR="00A43411" w:rsidRDefault="00A330FC">
      <w:pPr>
        <w:spacing w:before="240" w:line="480" w:lineRule="auto"/>
        <w:ind w:left="720" w:hanging="720"/>
        <w:jc w:val="both"/>
        <w:rPr>
          <w:rFonts w:ascii="Times New Roman" w:hAnsi="Times New Roman" w:cs="Times New Roman"/>
          <w:sz w:val="24"/>
          <w:szCs w:val="24"/>
        </w:rPr>
      </w:pPr>
      <w:bookmarkStart w:id="24" w:name="_Hlk165834099"/>
      <w:proofErr w:type="spellStart"/>
      <w:r>
        <w:rPr>
          <w:rFonts w:ascii="Times New Roman" w:hAnsi="Times New Roman" w:cs="Times New Roman"/>
          <w:sz w:val="24"/>
          <w:szCs w:val="24"/>
        </w:rPr>
        <w:t>Soltanbeigi</w:t>
      </w:r>
      <w:bookmarkEnd w:id="24"/>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Dastyar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Khajoei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Nejad</w:t>
      </w:r>
      <w:proofErr w:type="spellEnd"/>
      <w:r>
        <w:rPr>
          <w:rFonts w:ascii="Times New Roman" w:hAnsi="Times New Roman" w:cs="Times New Roman"/>
          <w:sz w:val="24"/>
          <w:szCs w:val="24"/>
        </w:rPr>
        <w:t xml:space="preserve">, F., &amp; Shokri, S. (2022). Medicinal herbs affecting cancers in Iran and the world. </w:t>
      </w:r>
      <w:r>
        <w:rPr>
          <w:rFonts w:ascii="Times New Roman" w:hAnsi="Times New Roman" w:cs="Times New Roman"/>
          <w:i/>
          <w:sz w:val="24"/>
          <w:szCs w:val="24"/>
        </w:rPr>
        <w:t xml:space="preserve">Plant Biotechnology </w:t>
      </w:r>
      <w:proofErr w:type="spellStart"/>
      <w:r>
        <w:rPr>
          <w:rFonts w:ascii="Times New Roman" w:hAnsi="Times New Roman" w:cs="Times New Roman"/>
          <w:i/>
          <w:sz w:val="24"/>
          <w:szCs w:val="24"/>
        </w:rPr>
        <w:t>Persa</w:t>
      </w:r>
      <w:proofErr w:type="spellEnd"/>
      <w:r>
        <w:rPr>
          <w:rFonts w:ascii="Times New Roman" w:hAnsi="Times New Roman" w:cs="Times New Roman"/>
          <w:sz w:val="24"/>
          <w:szCs w:val="24"/>
        </w:rPr>
        <w:t xml:space="preserve">, 4(1), 1-3. </w:t>
      </w:r>
      <w:hyperlink r:id="rId36" w:tooltip="https://doi.org/10.52547/pbp.4.1.1" w:history="1">
        <w:r>
          <w:rPr>
            <w:rStyle w:val="Hyperlink"/>
            <w:rFonts w:ascii="Times New Roman" w:hAnsi="Times New Roman" w:cs="Times New Roman"/>
            <w:sz w:val="24"/>
            <w:szCs w:val="24"/>
          </w:rPr>
          <w:t>https://doi.org/10.52547/pbp.4.1.1</w:t>
        </w:r>
      </w:hyperlink>
      <w:r>
        <w:rPr>
          <w:rFonts w:ascii="Times New Roman" w:hAnsi="Times New Roman" w:cs="Times New Roman"/>
          <w:sz w:val="24"/>
          <w:szCs w:val="24"/>
        </w:rPr>
        <w:t xml:space="preserve"> </w:t>
      </w:r>
    </w:p>
    <w:p w14:paraId="3F3AF8A2"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Tay, S. T., Wong, S. H., Lim, S. T., &amp; Chan, K. S. (2018). Antimicrobial properties of various plant extracts against bacteria and fungi: A review. </w:t>
      </w:r>
      <w:r>
        <w:rPr>
          <w:rFonts w:ascii="Times New Roman" w:hAnsi="Times New Roman" w:cs="Times New Roman"/>
          <w:i/>
          <w:iCs/>
          <w:sz w:val="24"/>
          <w:szCs w:val="24"/>
        </w:rPr>
        <w:t>Journal of Medicinal Plants Research, 12</w:t>
      </w:r>
      <w:r>
        <w:rPr>
          <w:rFonts w:ascii="Times New Roman" w:hAnsi="Times New Roman" w:cs="Times New Roman"/>
          <w:sz w:val="24"/>
          <w:szCs w:val="24"/>
        </w:rPr>
        <w:t xml:space="preserve">(10), 142-149. </w:t>
      </w:r>
      <w:hyperlink r:id="rId37" w:tooltip="https://doi.org/10.5897/JMPR2018.6513" w:history="1">
        <w:r>
          <w:rPr>
            <w:rStyle w:val="Hyperlink"/>
            <w:rFonts w:ascii="Times New Roman" w:hAnsi="Times New Roman" w:cs="Times New Roman"/>
            <w:sz w:val="24"/>
            <w:szCs w:val="24"/>
          </w:rPr>
          <w:t>https://doi.org/10.5897/JMPR2018.6513</w:t>
        </w:r>
      </w:hyperlink>
    </w:p>
    <w:p w14:paraId="546124FC"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Teli</w:t>
      </w:r>
      <w:proofErr w:type="spellEnd"/>
      <w:r>
        <w:rPr>
          <w:rFonts w:ascii="Times New Roman" w:hAnsi="Times New Roman" w:cs="Times New Roman"/>
          <w:sz w:val="24"/>
          <w:szCs w:val="24"/>
        </w:rPr>
        <w:t xml:space="preserve">, M.D., Pandit, P., &amp; Jangle, A. (2015). Antibacterial property of </w:t>
      </w:r>
      <w:proofErr w:type="spellStart"/>
      <w:r>
        <w:rPr>
          <w:rFonts w:ascii="Times New Roman" w:hAnsi="Times New Roman" w:cs="Times New Roman"/>
          <w:i/>
          <w:sz w:val="24"/>
          <w:szCs w:val="24"/>
        </w:rPr>
        <w:t>Sterculia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Foetida</w:t>
      </w:r>
      <w:proofErr w:type="spellEnd"/>
      <w:r>
        <w:rPr>
          <w:rFonts w:ascii="Times New Roman" w:hAnsi="Times New Roman" w:cs="Times New Roman"/>
          <w:sz w:val="24"/>
          <w:szCs w:val="24"/>
        </w:rPr>
        <w:t xml:space="preserve"> fruit shell. </w:t>
      </w:r>
      <w:r>
        <w:rPr>
          <w:rFonts w:ascii="Times New Roman" w:hAnsi="Times New Roman" w:cs="Times New Roman"/>
          <w:i/>
          <w:sz w:val="24"/>
          <w:szCs w:val="24"/>
        </w:rPr>
        <w:t>Asian Dyer</w:t>
      </w:r>
      <w:r>
        <w:rPr>
          <w:rFonts w:ascii="Times New Roman" w:hAnsi="Times New Roman" w:cs="Times New Roman"/>
          <w:sz w:val="24"/>
          <w:szCs w:val="24"/>
        </w:rPr>
        <w:t>, 41-44.</w:t>
      </w:r>
    </w:p>
    <w:p w14:paraId="2DD4B1FD" w14:textId="77777777" w:rsidR="00A43411" w:rsidRDefault="00A330FC">
      <w:pPr>
        <w:spacing w:before="24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Trentin</w:t>
      </w:r>
      <w:proofErr w:type="spellEnd"/>
      <w:r>
        <w:rPr>
          <w:rFonts w:ascii="Times New Roman" w:hAnsi="Times New Roman" w:cs="Times New Roman"/>
          <w:sz w:val="24"/>
          <w:szCs w:val="24"/>
        </w:rPr>
        <w:t xml:space="preserve">, D.S., Silva, D.B., Amaral, M.W., Zimmer, K.R., Silva, M.V., Lopes, N.P.,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R.B., &amp; Macedo, A.J. (2013). Tannins Possessing Bacteriostatic Effect Impair </w:t>
      </w:r>
      <w:r>
        <w:rPr>
          <w:rFonts w:ascii="Times New Roman" w:hAnsi="Times New Roman" w:cs="Times New Roman"/>
          <w:i/>
          <w:sz w:val="24"/>
          <w:szCs w:val="24"/>
        </w:rPr>
        <w:t xml:space="preserve">Pseudomonas </w:t>
      </w:r>
      <w:proofErr w:type="gramStart"/>
      <w:r>
        <w:rPr>
          <w:rFonts w:ascii="Times New Roman" w:hAnsi="Times New Roman" w:cs="Times New Roman"/>
          <w:i/>
          <w:sz w:val="24"/>
          <w:szCs w:val="24"/>
        </w:rPr>
        <w:t>aeruginosa</w:t>
      </w:r>
      <w:proofErr w:type="gramEnd"/>
      <w:r>
        <w:rPr>
          <w:rFonts w:ascii="Times New Roman" w:hAnsi="Times New Roman" w:cs="Times New Roman"/>
          <w:sz w:val="24"/>
          <w:szCs w:val="24"/>
        </w:rPr>
        <w:t xml:space="preserve"> Adhesion and Biofilm Formation.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w:t>
      </w:r>
      <w:r>
        <w:rPr>
          <w:rFonts w:ascii="Times New Roman" w:hAnsi="Times New Roman" w:cs="Times New Roman"/>
          <w:sz w:val="24"/>
          <w:szCs w:val="24"/>
        </w:rPr>
        <w:t xml:space="preserve">, 8(6), e66257. </w:t>
      </w:r>
      <w:hyperlink r:id="rId38" w:tooltip="https://doi.org/10.1371/journal.pone.0066257" w:history="1">
        <w:r>
          <w:rPr>
            <w:rStyle w:val="Hyperlink"/>
            <w:rFonts w:ascii="Times New Roman" w:hAnsi="Times New Roman" w:cs="Times New Roman"/>
            <w:sz w:val="24"/>
            <w:szCs w:val="24"/>
          </w:rPr>
          <w:t>https://doi.org/10.1371/journal.pone.0066257</w:t>
        </w:r>
      </w:hyperlink>
      <w:r>
        <w:rPr>
          <w:rFonts w:ascii="Times New Roman" w:hAnsi="Times New Roman" w:cs="Times New Roman"/>
          <w:sz w:val="24"/>
          <w:szCs w:val="24"/>
        </w:rPr>
        <w:t xml:space="preserve">. </w:t>
      </w:r>
    </w:p>
    <w:p w14:paraId="53BCF39A"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 Vuuren, S. F., &amp; Viljoen, A. M. (2011). Plant-derived antimicrobial compounds: A review of their mode of action and synergistic effects. </w:t>
      </w:r>
      <w:proofErr w:type="spellStart"/>
      <w:r>
        <w:rPr>
          <w:rFonts w:ascii="Times New Roman" w:hAnsi="Times New Roman" w:cs="Times New Roman"/>
          <w:i/>
          <w:iCs/>
          <w:sz w:val="24"/>
          <w:szCs w:val="24"/>
        </w:rPr>
        <w:t>Phytotherapy</w:t>
      </w:r>
      <w:proofErr w:type="spellEnd"/>
      <w:r>
        <w:rPr>
          <w:rFonts w:ascii="Times New Roman" w:hAnsi="Times New Roman" w:cs="Times New Roman"/>
          <w:i/>
          <w:iCs/>
          <w:sz w:val="24"/>
          <w:szCs w:val="24"/>
        </w:rPr>
        <w:t xml:space="preserve"> Research, 25</w:t>
      </w:r>
      <w:r>
        <w:rPr>
          <w:rFonts w:ascii="Times New Roman" w:hAnsi="Times New Roman" w:cs="Times New Roman"/>
          <w:sz w:val="24"/>
          <w:szCs w:val="24"/>
        </w:rPr>
        <w:t xml:space="preserve">(2), 290-314. </w:t>
      </w:r>
      <w:hyperlink r:id="rId39" w:tooltip="https://doi.org/10.1055/s-0030-1250736" w:history="1">
        <w:r>
          <w:rPr>
            <w:rStyle w:val="Hyperlink"/>
          </w:rPr>
          <w:t>https://doi.org/10.1055/s-0030-1250736</w:t>
        </w:r>
      </w:hyperlink>
      <w:r>
        <w:t xml:space="preserve"> </w:t>
      </w:r>
    </w:p>
    <w:p w14:paraId="12DA39BC" w14:textId="77777777" w:rsidR="00A43411" w:rsidRDefault="00A330FC">
      <w:pPr>
        <w:spacing w:before="240" w:line="48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Weckmüller</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Barriocanal</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Maneja</w:t>
      </w:r>
      <w:proofErr w:type="spellEnd"/>
      <w:r>
        <w:rPr>
          <w:rFonts w:ascii="Times New Roman" w:hAnsi="Times New Roman" w:cs="Times New Roman"/>
          <w:sz w:val="24"/>
          <w:szCs w:val="24"/>
        </w:rPr>
        <w:t xml:space="preserve">, R., &amp; Boada, M. (2019). Factors Affecting Traditional Medicinal Plant Knowledge of the </w:t>
      </w:r>
      <w:proofErr w:type="spellStart"/>
      <w:r>
        <w:rPr>
          <w:rFonts w:ascii="Times New Roman" w:hAnsi="Times New Roman" w:cs="Times New Roman"/>
          <w:sz w:val="24"/>
          <w:szCs w:val="24"/>
        </w:rPr>
        <w:t>Waorani</w:t>
      </w:r>
      <w:proofErr w:type="spellEnd"/>
      <w:r>
        <w:rPr>
          <w:rFonts w:ascii="Times New Roman" w:hAnsi="Times New Roman" w:cs="Times New Roman"/>
          <w:sz w:val="24"/>
          <w:szCs w:val="24"/>
        </w:rPr>
        <w:t xml:space="preserve">, Ecuador. </w:t>
      </w:r>
      <w:r>
        <w:rPr>
          <w:rFonts w:ascii="Times New Roman" w:hAnsi="Times New Roman" w:cs="Times New Roman"/>
          <w:i/>
          <w:sz w:val="24"/>
          <w:szCs w:val="24"/>
        </w:rPr>
        <w:t xml:space="preserve">Sustainability, 11: 4460  </w:t>
      </w:r>
      <w:hyperlink r:id="rId40" w:tooltip="https://doi.org/10.3390/su11164460" w:history="1">
        <w:r>
          <w:rPr>
            <w:rStyle w:val="Hyperlink"/>
            <w:rFonts w:ascii="Times New Roman" w:hAnsi="Times New Roman" w:cs="Times New Roman"/>
            <w:i/>
            <w:sz w:val="24"/>
            <w:szCs w:val="24"/>
          </w:rPr>
          <w:t>https://doi.org/10.3390/su11164460</w:t>
        </w:r>
      </w:hyperlink>
      <w:r>
        <w:rPr>
          <w:rFonts w:ascii="Times New Roman" w:hAnsi="Times New Roman" w:cs="Times New Roman"/>
          <w:i/>
          <w:sz w:val="24"/>
          <w:szCs w:val="24"/>
        </w:rPr>
        <w:t xml:space="preserve"> </w:t>
      </w:r>
    </w:p>
    <w:p w14:paraId="58E58C28" w14:textId="77777777" w:rsidR="00A43411" w:rsidRDefault="00A330FC">
      <w:pPr>
        <w:spacing w:before="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Yadav, R.N.S., &amp; </w:t>
      </w:r>
      <w:proofErr w:type="spellStart"/>
      <w:r>
        <w:rPr>
          <w:rFonts w:ascii="Times New Roman" w:hAnsi="Times New Roman" w:cs="Times New Roman"/>
          <w:sz w:val="24"/>
          <w:szCs w:val="24"/>
        </w:rPr>
        <w:t>Agarwala</w:t>
      </w:r>
      <w:proofErr w:type="spellEnd"/>
      <w:r>
        <w:rPr>
          <w:rFonts w:ascii="Times New Roman" w:hAnsi="Times New Roman" w:cs="Times New Roman"/>
          <w:sz w:val="24"/>
          <w:szCs w:val="24"/>
        </w:rPr>
        <w:t xml:space="preserve">, M. (2011). Phytochemical analysis of some medical plants. </w:t>
      </w:r>
      <w:r>
        <w:rPr>
          <w:rFonts w:ascii="Times New Roman" w:hAnsi="Times New Roman" w:cs="Times New Roman"/>
          <w:i/>
          <w:sz w:val="24"/>
          <w:szCs w:val="24"/>
        </w:rPr>
        <w:t>Journal of phytology.</w:t>
      </w:r>
      <w:r>
        <w:rPr>
          <w:rFonts w:ascii="Times New Roman" w:hAnsi="Times New Roman" w:cs="Times New Roman"/>
          <w:sz w:val="24"/>
          <w:szCs w:val="24"/>
        </w:rPr>
        <w:t xml:space="preserve"> 3, 10-14. </w:t>
      </w:r>
      <w:hyperlink r:id="rId41" w:tooltip="https://updatepublishing.com/journal/index.php/jp/article/view/2737" w:history="1">
        <w:r>
          <w:rPr>
            <w:rStyle w:val="Hyperlink"/>
            <w:rFonts w:ascii="Times New Roman" w:hAnsi="Times New Roman" w:cs="Times New Roman"/>
            <w:sz w:val="24"/>
            <w:szCs w:val="24"/>
          </w:rPr>
          <w:t>https://updatepublishing.com/journal/index.php/jp/article/view/2737</w:t>
        </w:r>
      </w:hyperlink>
      <w:r>
        <w:rPr>
          <w:rFonts w:ascii="Times New Roman" w:hAnsi="Times New Roman" w:cs="Times New Roman"/>
          <w:sz w:val="24"/>
          <w:szCs w:val="24"/>
        </w:rPr>
        <w:t xml:space="preserve"> </w:t>
      </w:r>
    </w:p>
    <w:p w14:paraId="793EB079" w14:textId="77777777" w:rsidR="00A43411" w:rsidRDefault="00A43411">
      <w:pPr>
        <w:spacing w:after="0" w:line="480" w:lineRule="auto"/>
        <w:ind w:left="720" w:hanging="720"/>
        <w:jc w:val="both"/>
        <w:rPr>
          <w:rFonts w:ascii="Times New Roman" w:hAnsi="Times New Roman" w:cs="Times New Roman"/>
          <w:sz w:val="24"/>
          <w:szCs w:val="24"/>
        </w:rPr>
      </w:pPr>
    </w:p>
    <w:p w14:paraId="7504F8E8" w14:textId="77777777" w:rsidR="00A43411" w:rsidRDefault="00A43411">
      <w:pPr>
        <w:spacing w:after="0" w:line="480" w:lineRule="auto"/>
        <w:jc w:val="both"/>
        <w:rPr>
          <w:rFonts w:ascii="Times New Roman" w:hAnsi="Times New Roman" w:cs="Times New Roman"/>
          <w:sz w:val="24"/>
          <w:szCs w:val="24"/>
        </w:rPr>
      </w:pPr>
    </w:p>
    <w:p w14:paraId="5ACDCC4C" w14:textId="77777777" w:rsidR="00A43411" w:rsidRDefault="00A43411">
      <w:pPr>
        <w:spacing w:after="0" w:line="480" w:lineRule="auto"/>
        <w:jc w:val="both"/>
        <w:rPr>
          <w:rFonts w:ascii="Times New Roman" w:hAnsi="Times New Roman" w:cs="Times New Roman"/>
          <w:b/>
          <w:sz w:val="24"/>
          <w:szCs w:val="24"/>
        </w:rPr>
      </w:pPr>
    </w:p>
    <w:p w14:paraId="24236EBB" w14:textId="77777777" w:rsidR="00A43411" w:rsidRDefault="00A43411">
      <w:pPr>
        <w:spacing w:after="0" w:line="480" w:lineRule="auto"/>
        <w:jc w:val="both"/>
        <w:rPr>
          <w:rFonts w:ascii="Times New Roman" w:hAnsi="Times New Roman" w:cs="Times New Roman"/>
          <w:b/>
          <w:sz w:val="24"/>
          <w:szCs w:val="24"/>
        </w:rPr>
      </w:pPr>
    </w:p>
    <w:p w14:paraId="7E5BBDB8" w14:textId="77777777" w:rsidR="00A43411" w:rsidRDefault="00A43411">
      <w:pPr>
        <w:spacing w:after="0" w:line="480" w:lineRule="auto"/>
        <w:jc w:val="both"/>
        <w:rPr>
          <w:rFonts w:ascii="Times New Roman" w:hAnsi="Times New Roman" w:cs="Times New Roman"/>
          <w:b/>
          <w:sz w:val="24"/>
          <w:szCs w:val="24"/>
        </w:rPr>
      </w:pPr>
    </w:p>
    <w:p w14:paraId="208A281E" w14:textId="77777777" w:rsidR="00A43411" w:rsidRDefault="00A43411">
      <w:pPr>
        <w:spacing w:after="0" w:line="480" w:lineRule="auto"/>
        <w:jc w:val="both"/>
        <w:rPr>
          <w:rFonts w:ascii="Times New Roman" w:hAnsi="Times New Roman" w:cs="Times New Roman"/>
          <w:sz w:val="24"/>
          <w:szCs w:val="24"/>
        </w:rPr>
      </w:pPr>
    </w:p>
    <w:p w14:paraId="6F31CC81" w14:textId="77777777" w:rsidR="00A43411" w:rsidRDefault="00A43411">
      <w:pPr>
        <w:spacing w:line="360" w:lineRule="auto"/>
        <w:rPr>
          <w:rFonts w:ascii="Times New Roman" w:hAnsi="Times New Roman" w:cs="Times New Roman"/>
          <w:b/>
          <w:bCs/>
          <w:sz w:val="24"/>
          <w:szCs w:val="24"/>
        </w:rPr>
      </w:pPr>
    </w:p>
    <w:sectPr w:rsidR="00A43411">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77C381B" w16cex:dateUtc="2026-01-04T21:58:00Z"/>
  <w16cex:commentExtensible w16cex:durableId="720ABFBB" w16cex:dateUtc="2026-01-04T21:57:15Z"/>
  <w16cex:commentExtensible w16cex:durableId="4B63B1C0" w16cex:dateUtc="2026-01-04T21:45:37Z"/>
  <w16cex:commentExtensible w16cex:durableId="3D3F942C" w16cex:dateUtc="2026-01-04T21:44: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31971" w14:textId="77777777" w:rsidR="0053108A" w:rsidRDefault="0053108A">
      <w:pPr>
        <w:spacing w:after="0" w:line="240" w:lineRule="auto"/>
      </w:pPr>
      <w:r>
        <w:separator/>
      </w:r>
    </w:p>
  </w:endnote>
  <w:endnote w:type="continuationSeparator" w:id="0">
    <w:p w14:paraId="0BCC11B7" w14:textId="77777777" w:rsidR="0053108A" w:rsidRDefault="0053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D1F1" w14:textId="77777777" w:rsidR="00A43411" w:rsidRDefault="00A4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0EB1" w14:textId="77777777" w:rsidR="00A43411" w:rsidRDefault="00A4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DA11" w14:textId="77777777" w:rsidR="00A43411" w:rsidRDefault="00A4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1FC15" w14:textId="77777777" w:rsidR="0053108A" w:rsidRDefault="0053108A">
      <w:pPr>
        <w:spacing w:after="0" w:line="240" w:lineRule="auto"/>
      </w:pPr>
      <w:r>
        <w:separator/>
      </w:r>
    </w:p>
  </w:footnote>
  <w:footnote w:type="continuationSeparator" w:id="0">
    <w:p w14:paraId="7A6C5DDA" w14:textId="77777777" w:rsidR="0053108A" w:rsidRDefault="0053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182A" w14:textId="77777777" w:rsidR="00A43411" w:rsidRDefault="00A330FC">
    <w:pPr>
      <w:pStyle w:val="Header"/>
    </w:pPr>
    <w:r>
      <w:rPr>
        <w:noProof/>
      </w:rPr>
      <mc:AlternateContent>
        <mc:Choice Requires="wps">
          <w:drawing>
            <wp:anchor distT="0" distB="0" distL="114300" distR="114300" simplePos="0" relativeHeight="251659264" behindDoc="1" locked="0" layoutInCell="0" allowOverlap="1" wp14:anchorId="24867948" wp14:editId="55E77388">
              <wp:simplePos x="0" y="0"/>
              <wp:positionH relativeFrom="margin">
                <wp:align>center</wp:align>
              </wp:positionH>
              <wp:positionV relativeFrom="margin">
                <wp:align>center</wp:align>
              </wp:positionV>
              <wp:extent cx="6798310" cy="1282065"/>
              <wp:effectExtent l="0" t="0" r="0" b="0"/>
              <wp:wrapNone/>
              <wp:docPr id="2" name="PowerPlusWaterMarkObject1411939907"/>
              <wp:cNvGraphicFramePr/>
              <a:graphic xmlns:a="http://schemas.openxmlformats.org/drawingml/2006/main">
                <a:graphicData uri="http://schemas.microsoft.com/office/word/2010/wordprocessingShape">
                  <wps:wsp>
                    <wps:cNvSpPr/>
                    <wps:spPr bwMode="auto">
                      <a:xfrm rot="18900000">
                        <a:off x="0" y="0"/>
                        <a:ext cx="6798310" cy="1282065"/>
                      </a:xfrm>
                      <a:prstGeom prst="rect">
                        <a:avLst/>
                      </a:prstGeom>
                      <a:noFill/>
                      <a:ln>
                        <a:noFill/>
                      </a:ln>
                    </wps:spPr>
                    <wps:txbx>
                      <w:txbxContent>
                        <w:p w14:paraId="4DB72FDC"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4867948" id="PowerPlusWaterMarkObject1411939907" o:spid="_x0000_s1026" style="position:absolute;margin-left:0;margin-top:0;width:535.3pt;height:100.9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VRCAIAAOwDAAAOAAAAZHJzL2Uyb0RvYy54bWysk01v2zAMhu8D+h8E3Rvb6ZomRpyiWNFh&#10;wLoGaIucaVtO3OlrlBI7/36U7KT7uA3zQaAo+TWfl/TytleSHQS61uiCZ5OUM6ErU7d6W/DXl4fL&#10;OWfOg65BGi0KfhSO364uPiw7m4up2RlZC2Qkol3e2YLvvLd5krhqJxS4ibFC02FjUIGnLW6TGqEj&#10;dSWTaZrOks5gbdFUwjnK3g+HfBX1m0ZU/qlpnPBMFpxq83HFuJZhTVZLyLcIdtdWYxnwD1UoaDV9&#10;9Cx1Dx7YHtu/pFRboXGm8ZPKqMQ0TVuJyEA0WfoHzfMOrIgsZI6zZ5vc/5Otvh3WyNq64FPONChq&#10;0dp0Atdy7zbgBT4Cfn8q38jI7GOWLa4Wi/QmuNZZl9PLz3aN485RyMru0dQkAntvoiF9g4qhIeOz&#10;+SINT0wTOetjG47nNojes4qSs5vF/CqjblV0lk3n03R2HT6ZQB7Ugs0Wnf8sjGIhKDhSeVEWDl+d&#10;H66eroTr2jy0UlIecql/S5BmyCQBJwAMYL4v+5GqNPWRuDoakYK7H3tAwZn8oqkHYZ5OAZ6C8hTo&#10;vfpkaOoyzho0akNzeofBhlhoqO6l3wDaEcET/VqexihyhEK39dgVqN9ISEmazgNIdh2dHEjHy4Ty&#10;rjpAorqjPjRttCQgDjQjL41UNHUc/zCzv+7jrfefdPUTAAD//wMAUEsDBBQABgAIAAAAIQDmSz3K&#10;3QAAAAYBAAAPAAAAZHJzL2Rvd25yZXYueG1sTI87T8QwEIR7JP6DtUg0iLNzCgeEOCdA4tFQ3IOC&#10;bi9ekoh4HcXOg3+PjwaalUYzmvk2X8+2FSP1vnGsIVkoEMSlMw1XGva7p8sbED4gG2wdk4Zv8rAu&#10;Tk9yzIybeEPjNlQilrDPUEMdQpdJ6cuaLPqF64ij9+l6iyHKvpKmxymW21YulVpJiw3HhRo7eqyp&#10;/NoOVgM9XL135aZ6fX4bzUuSphdT+jFofX4239+BCDSHvzAc8SM6FJHp4AY2XrQa4iPh9x49da1W&#10;IA4aliq5BVnk8j9+8QMAAP//AwBQSwECLQAUAAYACAAAACEAtoM4kv4AAADhAQAAEwAAAAAAAAAA&#10;AAAAAAAAAAAAW0NvbnRlbnRfVHlwZXNdLnhtbFBLAQItABQABgAIAAAAIQA4/SH/1gAAAJQBAAAL&#10;AAAAAAAAAAAAAAAAAC8BAABfcmVscy8ucmVsc1BLAQItABQABgAIAAAAIQCFw5VRCAIAAOwDAAAO&#10;AAAAAAAAAAAAAAAAAC4CAABkcnMvZTJvRG9jLnhtbFBLAQItABQABgAIAAAAIQDmSz3K3QAAAAYB&#10;AAAPAAAAAAAAAAAAAAAAAGIEAABkcnMvZG93bnJldi54bWxQSwUGAAAAAAQABADzAAAAbAUAAAAA&#10;" o:allowincell="f" filled="f" stroked="f">
              <v:textbox inset="0,0,0,0">
                <w:txbxContent>
                  <w:p w14:paraId="4DB72FDC"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48BD" w14:textId="77777777" w:rsidR="00A43411" w:rsidRDefault="00A330FC">
    <w:pPr>
      <w:pStyle w:val="Header"/>
    </w:pPr>
    <w:r>
      <w:rPr>
        <w:noProof/>
      </w:rPr>
      <mc:AlternateContent>
        <mc:Choice Requires="wps">
          <w:drawing>
            <wp:anchor distT="0" distB="0" distL="114300" distR="114300" simplePos="0" relativeHeight="251658240" behindDoc="1" locked="0" layoutInCell="0" allowOverlap="1" wp14:anchorId="2B4800F9" wp14:editId="045A1EC3">
              <wp:simplePos x="0" y="0"/>
              <wp:positionH relativeFrom="margin">
                <wp:align>center</wp:align>
              </wp:positionH>
              <wp:positionV relativeFrom="margin">
                <wp:align>center</wp:align>
              </wp:positionV>
              <wp:extent cx="6798310" cy="1282065"/>
              <wp:effectExtent l="0" t="0" r="0" b="0"/>
              <wp:wrapNone/>
              <wp:docPr id="1" name="PowerPlusWaterMarkObject1411939908"/>
              <wp:cNvGraphicFramePr/>
              <a:graphic xmlns:a="http://schemas.openxmlformats.org/drawingml/2006/main">
                <a:graphicData uri="http://schemas.microsoft.com/office/word/2010/wordprocessingShape">
                  <wps:wsp>
                    <wps:cNvSpPr/>
                    <wps:spPr bwMode="auto">
                      <a:xfrm rot="18900000">
                        <a:off x="0" y="0"/>
                        <a:ext cx="6798310" cy="1282065"/>
                      </a:xfrm>
                      <a:prstGeom prst="rect">
                        <a:avLst/>
                      </a:prstGeom>
                      <a:noFill/>
                      <a:ln>
                        <a:noFill/>
                      </a:ln>
                    </wps:spPr>
                    <wps:txbx>
                      <w:txbxContent>
                        <w:p w14:paraId="1A08ADC6"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B4800F9" id="PowerPlusWaterMarkObject1411939908" o:spid="_x0000_s1027" style="position:absolute;margin-left:0;margin-top:0;width:535.3pt;height:100.9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jUCgIAAPMDAAAOAAAAZHJzL2Uyb0RvYy54bWysk01v2zAMhu8D9h8E3Rfb6Zo5RpyiWNFh&#10;wLoGaIecaVtO3OlrlBI7/36U7KT7uA3zQaAo+TWfl/TqZlCSHQW6zuiSZ7OUM6Fr03R6V/Jvz/fv&#10;cs6cB92ANFqU/CQcv1m/fbPqbSHmZm9kI5CRiHZFb0u+994WSeLqvVDgZsYKTYetQQWetrhLGoSe&#10;1JVM5mm6SHqDjUVTC+coezce8nXUb1tR+8e2dcIzWXKqzccV41qFNVmvoNgh2H1XT2XAP1ShoNP0&#10;0YvUHXhgB+z+klJdjcaZ1s9qoxLTtl0tIgPRZOkfNE97sCKykDnOXmxy/0+2/nrcIOsa6h1nGhS1&#10;aGN6gRt5cFvwAh8Avz9WL2Rk9j7LllfLZZoH13rrCnr5yW5w2jkKWdU/mIZE4OBNNGRoUTE0ZHyW&#10;L9PwxDSRsyG24XRpgxg8qym5+LDMrzLqVk1n2Tyfp4vr8MkEiqAWbLbo/CdhFAtByZHKi7Jw/OL8&#10;ePV8JVzX5r6TkvJQSP1bgjRDJgk4AWAE80M1TKZMcJVpToTX06SU3P04AArO5GdNrQhjdQ7wHFTn&#10;QB/UR0PDR/a2aNSWxvUWgxux3lDk87AFtBOJJxM28jxNESfUu2um5kDzQkJK0pAeQbLraOgIPF0m&#10;olfVkRXVLbWj7aIzgXSkmbBpsqK3018QRvfXfbz1+q+ufwIAAP//AwBQSwMEFAAGAAgAAAAhAOZL&#10;PcrdAAAABgEAAA8AAABkcnMvZG93bnJldi54bWxMjztPxDAQhHsk/oO1SDSIs3MKB4Q4J0Di0VDc&#10;g4JuL16SiHgdxc6Df4+PBpqVRjOa+TZfz7YVI/W+cawhWSgQxKUzDVca9runyxsQPiAbbB2Thm/y&#10;sC5OT3LMjJt4Q+M2VCKWsM9QQx1Cl0npy5os+oXriKP36XqLIcq+kqbHKZbbVi6VWkmLDceFGjt6&#10;rKn82g5WAz1cvXflpnp9fhvNS5KmF1P6MWh9fjbf34EINIe/MBzxIzoUkengBjZetBriI+H3Hj11&#10;rVYgDhqWKrkFWeTyP37xAwAA//8DAFBLAQItABQABgAIAAAAIQC2gziS/gAAAOEBAAATAAAAAAAA&#10;AAAAAAAAAAAAAABbQ29udGVudF9UeXBlc10ueG1sUEsBAi0AFAAGAAgAAAAhADj9If/WAAAAlAEA&#10;AAsAAAAAAAAAAAAAAAAALwEAAF9yZWxzLy5yZWxzUEsBAi0AFAAGAAgAAAAhACo26NQKAgAA8wMA&#10;AA4AAAAAAAAAAAAAAAAALgIAAGRycy9lMm9Eb2MueG1sUEsBAi0AFAAGAAgAAAAhAOZLPcrdAAAA&#10;BgEAAA8AAAAAAAAAAAAAAAAAZAQAAGRycy9kb3ducmV2LnhtbFBLBQYAAAAABAAEAPMAAABuBQAA&#10;AAA=&#10;" o:allowincell="f" filled="f" stroked="f">
              <v:textbox inset="0,0,0,0">
                <w:txbxContent>
                  <w:p w14:paraId="1A08ADC6"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0950" w14:textId="77777777" w:rsidR="00A43411" w:rsidRDefault="00A330FC">
    <w:pPr>
      <w:pStyle w:val="Header"/>
    </w:pPr>
    <w:r>
      <w:rPr>
        <w:noProof/>
      </w:rPr>
      <mc:AlternateContent>
        <mc:Choice Requires="wps">
          <w:drawing>
            <wp:anchor distT="0" distB="0" distL="114300" distR="114300" simplePos="0" relativeHeight="251660288" behindDoc="1" locked="0" layoutInCell="0" allowOverlap="1" wp14:anchorId="105ACB33" wp14:editId="06322B63">
              <wp:simplePos x="0" y="0"/>
              <wp:positionH relativeFrom="margin">
                <wp:align>center</wp:align>
              </wp:positionH>
              <wp:positionV relativeFrom="margin">
                <wp:align>center</wp:align>
              </wp:positionV>
              <wp:extent cx="6798310" cy="1282065"/>
              <wp:effectExtent l="0" t="0" r="0" b="0"/>
              <wp:wrapNone/>
              <wp:docPr id="3" name="PowerPlusWaterMarkObject1411939906"/>
              <wp:cNvGraphicFramePr/>
              <a:graphic xmlns:a="http://schemas.openxmlformats.org/drawingml/2006/main">
                <a:graphicData uri="http://schemas.microsoft.com/office/word/2010/wordprocessingShape">
                  <wps:wsp>
                    <wps:cNvSpPr/>
                    <wps:spPr bwMode="auto">
                      <a:xfrm rot="18900000">
                        <a:off x="0" y="0"/>
                        <a:ext cx="6798310" cy="1282065"/>
                      </a:xfrm>
                      <a:prstGeom prst="rect">
                        <a:avLst/>
                      </a:prstGeom>
                      <a:noFill/>
                      <a:ln>
                        <a:noFill/>
                      </a:ln>
                    </wps:spPr>
                    <wps:txbx>
                      <w:txbxContent>
                        <w:p w14:paraId="32F5137C"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05ACB33" id="PowerPlusWaterMarkObject1411939906" o:spid="_x0000_s1028" style="position:absolute;margin-left:0;margin-top:0;width:535.3pt;height:100.9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dCDAIAAPMDAAAOAAAAZHJzL2Uyb0RvYy54bWysk01v2zAMhu8D9h8E3RfbyZolRpyiWNFh&#10;wLoGaIecaVtO3OlrlBK7/36UbKf7uA3zQaAo+TWfl/TmuleSnQW61uiCZ7OUM6ErU7f6UPBvT3fv&#10;Vpw5D7oGabQo+Itw/Hr79s2ms7mYm6ORtUBGItrlnS340XubJ4mrjkKBmxkrNB02BhV42uIhqRE6&#10;UlcymafpMukM1hZNJZyj7O1wyLdRv2lE5R+axgnPZMGpNh9XjGsZ1mS7gfyAYI9tNZYB/1CFglbT&#10;Ry9St+CBnbD9S0q1FRpnGj+rjEpM07SViAxEk6V/0DwewYrIQuY4e7HJ/T/Z6ut5h6ytC77gTIOi&#10;Fu1MJ3AnT24PXuA94PeH8pmMzN5n2XqxXqfL4FpnXU4vP9odjjtHISu7e1OTCJy8iYb0DSqGhozP&#10;Vus0PDFN5KyPbXi5tEH0nlWUXH5YrxYZdauis2y+mqfLq/DJBPKgFmy26PwnYRQLQcGRyouycP7i&#10;/HB1uhKua3PXSkl5yKX+LUGaIZMEnAAwgPm+7KMp8wm1NPUL4XU0KQV3P06AgjP5WVMrwlhNAU5B&#10;OQX6pD4aGr6MswaN2tO43mBwI9Ybinzq94B2JPFkwk5O0xRxQr2HemwO1M8kpCQN6Rkku4qGDsDj&#10;ZSJ6VR1YUd1QO5o2OhNIB5oRmyYrejv+BWF0f93HW6//6vYnAAAA//8DAFBLAwQUAAYACAAAACEA&#10;5ks9yt0AAAAGAQAADwAAAGRycy9kb3ducmV2LnhtbEyPO0/EMBCEeyT+g7VINIizcwoHhDgnQOLR&#10;UNyDgm4vXpKIeB3FzoN/j48GmpVGM5r5Nl/PthUj9b5xrCFZKBDEpTMNVxr2u6fLGxA+IBtsHZOG&#10;b/KwLk5PcsyMm3hD4zZUIpawz1BDHUKXSenLmiz6heuIo/fpeoshyr6SpscplttWLpVaSYsNx4Ua&#10;O3qsqfzaDlYDPVy9d+Wmen1+G81LkqYXU/oxaH1+Nt/fgQg0h78wHPEjOhSR6eAGNl60GuIj4fce&#10;PXWtViAOGpYquQVZ5PI/fvEDAAD//wMAUEsBAi0AFAAGAAgAAAAhALaDOJL+AAAA4QEAABMAAAAA&#10;AAAAAAAAAAAAAAAAAFtDb250ZW50X1R5cGVzXS54bWxQSwECLQAUAAYACAAAACEAOP0h/9YAAACU&#10;AQAACwAAAAAAAAAAAAAAAAAvAQAAX3JlbHMvLnJlbHNQSwECLQAUAAYACAAAACEAr+mHQgwCAADz&#10;AwAADgAAAAAAAAAAAAAAAAAuAgAAZHJzL2Uyb0RvYy54bWxQSwECLQAUAAYACAAAACEA5ks9yt0A&#10;AAAGAQAADwAAAAAAAAAAAAAAAABmBAAAZHJzL2Rvd25yZXYueG1sUEsFBgAAAAAEAAQA8wAAAHAF&#10;AAAAAA==&#10;" o:allowincell="f" filled="f" stroked="f">
              <v:textbox inset="0,0,0,0">
                <w:txbxContent>
                  <w:p w14:paraId="32F5137C" w14:textId="77777777" w:rsidR="00A43411" w:rsidRDefault="00A330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D2D"/>
    <w:multiLevelType w:val="multilevel"/>
    <w:tmpl w:val="CBAC17D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14F51"/>
    <w:multiLevelType w:val="multilevel"/>
    <w:tmpl w:val="C686AD1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877905"/>
    <w:multiLevelType w:val="multilevel"/>
    <w:tmpl w:val="3ABE093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C54E42"/>
    <w:multiLevelType w:val="multilevel"/>
    <w:tmpl w:val="36887CAE"/>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1B3D19"/>
    <w:multiLevelType w:val="multilevel"/>
    <w:tmpl w:val="BF4A0916"/>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50680A"/>
    <w:multiLevelType w:val="multilevel"/>
    <w:tmpl w:val="08D6624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064C6"/>
    <w:multiLevelType w:val="multilevel"/>
    <w:tmpl w:val="68980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7E12F9"/>
    <w:multiLevelType w:val="multilevel"/>
    <w:tmpl w:val="ACFA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B0867"/>
    <w:multiLevelType w:val="multilevel"/>
    <w:tmpl w:val="E132E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A165AA"/>
    <w:multiLevelType w:val="multilevel"/>
    <w:tmpl w:val="4364B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ED02A8"/>
    <w:multiLevelType w:val="multilevel"/>
    <w:tmpl w:val="8A92A3C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0943C1"/>
    <w:multiLevelType w:val="multilevel"/>
    <w:tmpl w:val="B0F8A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06FC2"/>
    <w:multiLevelType w:val="multilevel"/>
    <w:tmpl w:val="A4A6D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CE351A"/>
    <w:multiLevelType w:val="multilevel"/>
    <w:tmpl w:val="86A4BE1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7832D5"/>
    <w:multiLevelType w:val="multilevel"/>
    <w:tmpl w:val="BE16F8D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CA1FCA"/>
    <w:multiLevelType w:val="multilevel"/>
    <w:tmpl w:val="81180DBE"/>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911C7D"/>
    <w:multiLevelType w:val="multilevel"/>
    <w:tmpl w:val="8A904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73A2D"/>
    <w:multiLevelType w:val="multilevel"/>
    <w:tmpl w:val="66B2309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7C79F9"/>
    <w:multiLevelType w:val="multilevel"/>
    <w:tmpl w:val="3FD2D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FC72801"/>
    <w:multiLevelType w:val="multilevel"/>
    <w:tmpl w:val="B53EC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202C0"/>
    <w:multiLevelType w:val="multilevel"/>
    <w:tmpl w:val="B664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C0A26"/>
    <w:multiLevelType w:val="multilevel"/>
    <w:tmpl w:val="013E25A6"/>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BB3883"/>
    <w:multiLevelType w:val="multilevel"/>
    <w:tmpl w:val="C5BC7A6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977E57"/>
    <w:multiLevelType w:val="multilevel"/>
    <w:tmpl w:val="57CEF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D4E6C"/>
    <w:multiLevelType w:val="multilevel"/>
    <w:tmpl w:val="3AAE9564"/>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9B5DED"/>
    <w:multiLevelType w:val="multilevel"/>
    <w:tmpl w:val="B7C0DB1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C24D0A"/>
    <w:multiLevelType w:val="multilevel"/>
    <w:tmpl w:val="1BD65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AF369E"/>
    <w:multiLevelType w:val="multilevel"/>
    <w:tmpl w:val="0FE62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026AC"/>
    <w:multiLevelType w:val="multilevel"/>
    <w:tmpl w:val="11FE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C33D3"/>
    <w:multiLevelType w:val="multilevel"/>
    <w:tmpl w:val="4DF07D5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CB5543"/>
    <w:multiLevelType w:val="multilevel"/>
    <w:tmpl w:val="3586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7383C"/>
    <w:multiLevelType w:val="multilevel"/>
    <w:tmpl w:val="48926C1E"/>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934F05"/>
    <w:multiLevelType w:val="multilevel"/>
    <w:tmpl w:val="54385DC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95325B"/>
    <w:multiLevelType w:val="multilevel"/>
    <w:tmpl w:val="C4C66AF2"/>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697DAB"/>
    <w:multiLevelType w:val="multilevel"/>
    <w:tmpl w:val="23083E1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2707DD"/>
    <w:multiLevelType w:val="multilevel"/>
    <w:tmpl w:val="29E49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00F9C"/>
    <w:multiLevelType w:val="multilevel"/>
    <w:tmpl w:val="B0986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C22B71"/>
    <w:multiLevelType w:val="multilevel"/>
    <w:tmpl w:val="E51A9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11B66"/>
    <w:multiLevelType w:val="multilevel"/>
    <w:tmpl w:val="73EA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23021"/>
    <w:multiLevelType w:val="multilevel"/>
    <w:tmpl w:val="EEA0308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E5EDE"/>
    <w:multiLevelType w:val="multilevel"/>
    <w:tmpl w:val="4C06FE1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BE25C9F"/>
    <w:multiLevelType w:val="multilevel"/>
    <w:tmpl w:val="F944308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D9A4DD0"/>
    <w:multiLevelType w:val="multilevel"/>
    <w:tmpl w:val="F7786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05B9A"/>
    <w:multiLevelType w:val="multilevel"/>
    <w:tmpl w:val="5714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4"/>
  </w:num>
  <w:num w:numId="4">
    <w:abstractNumId w:val="36"/>
  </w:num>
  <w:num w:numId="5">
    <w:abstractNumId w:val="29"/>
  </w:num>
  <w:num w:numId="6">
    <w:abstractNumId w:val="24"/>
  </w:num>
  <w:num w:numId="7">
    <w:abstractNumId w:val="19"/>
  </w:num>
  <w:num w:numId="8">
    <w:abstractNumId w:val="9"/>
  </w:num>
  <w:num w:numId="9">
    <w:abstractNumId w:val="12"/>
  </w:num>
  <w:num w:numId="10">
    <w:abstractNumId w:val="23"/>
  </w:num>
  <w:num w:numId="11">
    <w:abstractNumId w:val="20"/>
  </w:num>
  <w:num w:numId="12">
    <w:abstractNumId w:val="42"/>
  </w:num>
  <w:num w:numId="13">
    <w:abstractNumId w:val="8"/>
  </w:num>
  <w:num w:numId="14">
    <w:abstractNumId w:val="28"/>
  </w:num>
  <w:num w:numId="15">
    <w:abstractNumId w:val="21"/>
  </w:num>
  <w:num w:numId="16">
    <w:abstractNumId w:val="33"/>
  </w:num>
  <w:num w:numId="17">
    <w:abstractNumId w:val="1"/>
  </w:num>
  <w:num w:numId="18">
    <w:abstractNumId w:val="17"/>
  </w:num>
  <w:num w:numId="19">
    <w:abstractNumId w:val="15"/>
  </w:num>
  <w:num w:numId="20">
    <w:abstractNumId w:val="3"/>
  </w:num>
  <w:num w:numId="21">
    <w:abstractNumId w:val="0"/>
  </w:num>
  <w:num w:numId="22">
    <w:abstractNumId w:val="2"/>
  </w:num>
  <w:num w:numId="23">
    <w:abstractNumId w:val="10"/>
  </w:num>
  <w:num w:numId="24">
    <w:abstractNumId w:val="5"/>
  </w:num>
  <w:num w:numId="25">
    <w:abstractNumId w:val="22"/>
  </w:num>
  <w:num w:numId="26">
    <w:abstractNumId w:val="40"/>
  </w:num>
  <w:num w:numId="27">
    <w:abstractNumId w:val="13"/>
  </w:num>
  <w:num w:numId="28">
    <w:abstractNumId w:val="14"/>
  </w:num>
  <w:num w:numId="29">
    <w:abstractNumId w:val="41"/>
  </w:num>
  <w:num w:numId="30">
    <w:abstractNumId w:val="32"/>
  </w:num>
  <w:num w:numId="31">
    <w:abstractNumId w:val="34"/>
  </w:num>
  <w:num w:numId="32">
    <w:abstractNumId w:val="31"/>
  </w:num>
  <w:num w:numId="33">
    <w:abstractNumId w:val="25"/>
  </w:num>
  <w:num w:numId="34">
    <w:abstractNumId w:val="39"/>
  </w:num>
  <w:num w:numId="35">
    <w:abstractNumId w:val="43"/>
  </w:num>
  <w:num w:numId="36">
    <w:abstractNumId w:val="26"/>
  </w:num>
  <w:num w:numId="37">
    <w:abstractNumId w:val="6"/>
  </w:num>
  <w:num w:numId="38">
    <w:abstractNumId w:val="37"/>
  </w:num>
  <w:num w:numId="39">
    <w:abstractNumId w:val="30"/>
  </w:num>
  <w:num w:numId="40">
    <w:abstractNumId w:val="35"/>
  </w:num>
  <w:num w:numId="41">
    <w:abstractNumId w:val="38"/>
  </w:num>
  <w:num w:numId="42">
    <w:abstractNumId w:val="7"/>
  </w:num>
  <w:num w:numId="43">
    <w:abstractNumId w:val="1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11"/>
    <w:rsid w:val="0053108A"/>
    <w:rsid w:val="00A330FC"/>
    <w:rsid w:val="00A43411"/>
    <w:rsid w:val="00A646A0"/>
    <w:rsid w:val="00EA7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697B"/>
  <w15:docId w15:val="{9EC62516-28BB-494A-8109-57A671A3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Emphasis">
    <w:name w:val="Emphasis"/>
    <w:basedOn w:val="DefaultParagraphFont"/>
    <w:uiPriority w:val="20"/>
    <w:qFormat/>
    <w:rPr>
      <w:i/>
      <w:iCs/>
    </w:rPr>
  </w:style>
  <w:style w:type="character" w:customStyle="1" w:styleId="anchor-text">
    <w:name w:val="anchor-text"/>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13"/>
        <w:tab w:val="right" w:pos="9026"/>
      </w:tabs>
      <w:spacing w:after="0" w:line="240" w:lineRule="auto"/>
    </w:pPr>
    <w:rPr>
      <w14:ligatures w14:val="none"/>
    </w:rPr>
  </w:style>
  <w:style w:type="character" w:customStyle="1" w:styleId="HeaderChar">
    <w:name w:val="Header Char"/>
    <w:basedOn w:val="DefaultParagraphFont"/>
    <w:link w:val="Header"/>
    <w:uiPriority w:val="99"/>
    <w:rPr>
      <w:lang w:val="en-US"/>
      <w14:ligatures w14:val="none"/>
    </w:rPr>
  </w:style>
  <w:style w:type="paragraph" w:styleId="Footer">
    <w:name w:val="footer"/>
    <w:basedOn w:val="Normal"/>
    <w:link w:val="FooterChar"/>
    <w:uiPriority w:val="99"/>
    <w:unhideWhenUsed/>
    <w:pPr>
      <w:tabs>
        <w:tab w:val="center" w:pos="4513"/>
        <w:tab w:val="right" w:pos="9026"/>
      </w:tabs>
      <w:spacing w:after="0" w:line="240" w:lineRule="auto"/>
    </w:pPr>
    <w:rPr>
      <w14:ligatures w14:val="none"/>
    </w:rPr>
  </w:style>
  <w:style w:type="character" w:customStyle="1" w:styleId="FooterChar">
    <w:name w:val="Footer Char"/>
    <w:basedOn w:val="DefaultParagraphFont"/>
    <w:link w:val="Footer"/>
    <w:uiPriority w:val="99"/>
    <w:rPr>
      <w:lang w:val="en-US"/>
      <w14:ligatures w14:val="none"/>
    </w:rPr>
  </w:style>
  <w:style w:type="table" w:styleId="TableGrid">
    <w:name w:val="Table Grid"/>
    <w:basedOn w:val="TableNormal"/>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Light1">
    <w:name w:val="Table Grid Light1"/>
    <w:basedOn w:val="TableNormal"/>
    <w:uiPriority w:val="40"/>
    <w:pPr>
      <w:spacing w:after="0" w:line="240" w:lineRule="auto"/>
    </w:pPr>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rP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pPr>
      <w:spacing w:after="0" w:line="240" w:lineRule="auto"/>
    </w:pPr>
    <w:rP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line="240" w:lineRule="auto"/>
    </w:pPr>
    <w:rP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Bibliography">
    <w:name w:val="Bibliography"/>
    <w:basedOn w:val="Normal"/>
    <w:next w:val="Normal"/>
    <w:uiPriority w:val="37"/>
    <w:unhideWhenUsed/>
    <w:rPr>
      <w14:ligatures w14:val="none"/>
    </w:rPr>
  </w:style>
  <w:style w:type="paragraph" w:styleId="Revision">
    <w:name w:val="Revision"/>
    <w:hidden/>
    <w:uiPriority w:val="99"/>
    <w:semiHidden/>
    <w:pPr>
      <w:spacing w:after="0" w:line="240" w:lineRule="auto"/>
    </w:pPr>
    <w:rPr>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Pr>
      <w:sz w:val="20"/>
      <w:szCs w:val="20"/>
      <w:lang w:val="en-US"/>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14:ligatures w14:val="none"/>
    </w:rPr>
  </w:style>
  <w:style w:type="paragraph" w:customStyle="1" w:styleId="Style1">
    <w:name w:val="Style1"/>
    <w:basedOn w:val="Normal"/>
    <w:qFormat/>
    <w:pPr>
      <w:spacing w:before="240" w:line="360" w:lineRule="auto"/>
      <w:jc w:val="center"/>
    </w:pPr>
    <w:rPr>
      <w:rFonts w:ascii="Times New Roman" w:hAnsi="Times New Roman" w:cs="Times New Roman"/>
      <w:b/>
      <w:sz w:val="24"/>
      <w:szCs w:val="24"/>
      <w14:ligatures w14:val="none"/>
    </w:rPr>
  </w:style>
  <w:style w:type="paragraph" w:styleId="TOCHeading">
    <w:name w:val="TOC Heading"/>
    <w:basedOn w:val="Heading1"/>
    <w:next w:val="Normal"/>
    <w:uiPriority w:val="39"/>
    <w:semiHidden/>
    <w:unhideWhenUsed/>
    <w:qFormat/>
    <w:pPr>
      <w:spacing w:before="480" w:after="0" w:line="276" w:lineRule="auto"/>
      <w:outlineLvl w:val="9"/>
    </w:pPr>
    <w:rPr>
      <w:b/>
      <w:bCs/>
      <w:sz w:val="28"/>
      <w:szCs w:val="28"/>
      <w:lang w:eastAsia="ja-JP"/>
      <w14:ligatures w14:val="none"/>
    </w:rPr>
  </w:style>
  <w:style w:type="paragraph" w:styleId="TableofFigures">
    <w:name w:val="table of figures"/>
    <w:basedOn w:val="Normal"/>
    <w:next w:val="Normal"/>
    <w:uiPriority w:val="99"/>
    <w:unhideWhenUsed/>
    <w:qFormat/>
    <w:pPr>
      <w:spacing w:after="0" w:line="480" w:lineRule="auto"/>
    </w:pPr>
    <w:rPr>
      <w:rFonts w:ascii="Times New Roman" w:hAnsi="Times New Roman"/>
      <w:sz w:val="24"/>
      <w14:ligatures w14:val="none"/>
    </w:rPr>
  </w:style>
  <w:style w:type="paragraph" w:styleId="TOC1">
    <w:name w:val="toc 1"/>
    <w:basedOn w:val="Normal"/>
    <w:next w:val="Normal"/>
    <w:uiPriority w:val="39"/>
    <w:unhideWhenUsed/>
    <w:pPr>
      <w:spacing w:after="100"/>
    </w:pPr>
    <w:rPr>
      <w14:ligatures w14:val="none"/>
    </w:rPr>
  </w:style>
  <w:style w:type="paragraph" w:styleId="TOC2">
    <w:name w:val="toc 2"/>
    <w:basedOn w:val="Normal"/>
    <w:next w:val="Normal"/>
    <w:uiPriority w:val="39"/>
    <w:unhideWhenUsed/>
    <w:pPr>
      <w:spacing w:after="100"/>
      <w:ind w:left="220"/>
    </w:pPr>
    <w:rPr>
      <w14:ligatures w14:val="none"/>
    </w:rPr>
  </w:style>
  <w:style w:type="paragraph" w:styleId="TOC3">
    <w:name w:val="toc 3"/>
    <w:basedOn w:val="Normal"/>
    <w:next w:val="Normal"/>
    <w:uiPriority w:val="39"/>
    <w:unhideWhenUsed/>
    <w:pPr>
      <w:spacing w:after="100"/>
      <w:ind w:left="440"/>
    </w:pPr>
    <w:rPr>
      <w14:ligatures w14:val="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Pr>
      <w:rFonts w:ascii="Tahoma" w:hAnsi="Tahoma" w:cs="Tahoma"/>
      <w:sz w:val="16"/>
      <w:szCs w:val="16"/>
      <w:lang w:val="en-US"/>
      <w14:ligatures w14:val="non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ecco.2018.e00524" TargetMode="External"/><Relationship Id="rId18" Type="http://schemas.openxmlformats.org/officeDocument/2006/relationships/hyperlink" Target="https://doi.org/10.1155/2017/5873648" TargetMode="External"/><Relationship Id="rId26" Type="http://schemas.openxmlformats.org/officeDocument/2006/relationships/hyperlink" Target="https://doi.org/10.1007/978-3-030-48798-0_21" TargetMode="External"/><Relationship Id="rId39" Type="http://schemas.openxmlformats.org/officeDocument/2006/relationships/hyperlink" Target="https://doi.org/10.1055/s-0030-1250736" TargetMode="External"/><Relationship Id="rId21" Type="http://schemas.openxmlformats.org/officeDocument/2006/relationships/hyperlink" Target="https://doi.org/10.1016/j.eujim.2018.11.006" TargetMode="External"/><Relationship Id="rId34" Type="http://schemas.openxmlformats.org/officeDocument/2006/relationships/hyperlink" Target="https://doi.org/10.3390/nu1509217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22259/2637-5346.0201005" TargetMode="External"/><Relationship Id="rId2" Type="http://schemas.openxmlformats.org/officeDocument/2006/relationships/styles" Target="styles.xml"/><Relationship Id="rId16" Type="http://schemas.openxmlformats.org/officeDocument/2006/relationships/hyperlink" Target="https://doi.org/10.3390/d13050182" TargetMode="External"/><Relationship Id="rId29" Type="http://schemas.openxmlformats.org/officeDocument/2006/relationships/hyperlink" Target="https://doi.org/10.21767/2386-5180.1000185" TargetMode="External"/><Relationship Id="rId11" Type="http://schemas.openxmlformats.org/officeDocument/2006/relationships/hyperlink" Target="https://doi.org/10.3390/plants11121590" TargetMode="External"/><Relationship Id="rId24" Type="http://schemas.openxmlformats.org/officeDocument/2006/relationships/hyperlink" Target="https://doi.org/10.1186/s12906-022-03692-0" TargetMode="External"/><Relationship Id="rId32" Type="http://schemas.openxmlformats.org/officeDocument/2006/relationships/hyperlink" Target="https://doi.org/10.9790/5736-07121013" TargetMode="External"/><Relationship Id="rId37" Type="http://schemas.openxmlformats.org/officeDocument/2006/relationships/hyperlink" Target="https://doi.org/10.5897/JMPR2018.6513" TargetMode="External"/><Relationship Id="rId40" Type="http://schemas.openxmlformats.org/officeDocument/2006/relationships/hyperlink" Target="https://doi.org/10.3390/su1116446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sajb.2024.06.026" TargetMode="External"/><Relationship Id="rId23" Type="http://schemas.openxmlformats.org/officeDocument/2006/relationships/hyperlink" Target="https://doi.org/10.1038/srep28591" TargetMode="External"/><Relationship Id="rId28" Type="http://schemas.openxmlformats.org/officeDocument/2006/relationships/hyperlink" Target="https://doi.org/10.5005/jcdp-6-3-86" TargetMode="External"/><Relationship Id="rId36" Type="http://schemas.openxmlformats.org/officeDocument/2006/relationships/hyperlink" Target="https://doi.org/10.52547/pbp.4.1.1" TargetMode="External"/><Relationship Id="rId49" Type="http://schemas.openxmlformats.org/officeDocument/2006/relationships/theme" Target="theme/theme1.xml"/><Relationship Id="rId10" Type="http://schemas.openxmlformats.org/officeDocument/2006/relationships/hyperlink" Target="https://office2.jmbfs.org/index.php/JMBFS/article/view/7124" TargetMode="External"/><Relationship Id="rId19" Type="http://schemas.openxmlformats.org/officeDocument/2006/relationships/hyperlink" Target="https://doi.org/10.15171/jhp.2018.01" TargetMode="External"/><Relationship Id="rId31" Type="http://schemas.openxmlformats.org/officeDocument/2006/relationships/hyperlink" Target="https://doi.org/10.1016/j.foodchem.2017.06.118" TargetMode="External"/><Relationship Id="rId44" Type="http://schemas.openxmlformats.org/officeDocument/2006/relationships/footer" Target="footer1.xml"/><Relationship Id="rId52"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5897/JMPR2023.7329" TargetMode="External"/><Relationship Id="rId14" Type="http://schemas.openxmlformats.org/officeDocument/2006/relationships/hyperlink" Target="https://doi.org/10.1016/j.foodchem.2016.04.114" TargetMode="External"/><Relationship Id="rId22" Type="http://schemas.openxmlformats.org/officeDocument/2006/relationships/hyperlink" Target="https://doi.org/10.12691/jnh-3-3-2" TargetMode="External"/><Relationship Id="rId27" Type="http://schemas.openxmlformats.org/officeDocument/2006/relationships/hyperlink" Target="https://doi.org/10.1002/ptr.7302" TargetMode="External"/><Relationship Id="rId30" Type="http://schemas.openxmlformats.org/officeDocument/2006/relationships/hyperlink" Target="https://doi.org/10.3989/collectbot.2021.v40.002" TargetMode="External"/><Relationship Id="rId35" Type="http://schemas.openxmlformats.org/officeDocument/2006/relationships/hyperlink" Target="https://doi.org/10.17141/mundosplurales.2.2020.473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5406/japlr.2018.07.00290" TargetMode="External"/><Relationship Id="rId3" Type="http://schemas.openxmlformats.org/officeDocument/2006/relationships/settings" Target="settings.xml"/><Relationship Id="rId12" Type="http://schemas.openxmlformats.org/officeDocument/2006/relationships/hyperlink" Target="https://doi.org/10.1007/s11101-023-09912-7" TargetMode="External"/><Relationship Id="rId17" Type="http://schemas.openxmlformats.org/officeDocument/2006/relationships/hyperlink" Target="https://doi.org/10.3934/agrfood.2019.4.1034" TargetMode="External"/><Relationship Id="rId25" Type="http://schemas.openxmlformats.org/officeDocument/2006/relationships/hyperlink" Target="https://doi.org/10.13040/IJPSR.0975-8232.7(12).5039-43" TargetMode="External"/><Relationship Id="rId33" Type="http://schemas.openxmlformats.org/officeDocument/2006/relationships/hyperlink" Target="https://doi.org/10.3389/fmicb.2016.00963" TargetMode="External"/><Relationship Id="rId38" Type="http://schemas.openxmlformats.org/officeDocument/2006/relationships/hyperlink" Target="https://doi.org/10.1371/journal.pone.0066257" TargetMode="External"/><Relationship Id="rId46" Type="http://schemas.openxmlformats.org/officeDocument/2006/relationships/header" Target="header3.xml"/><Relationship Id="rId20" Type="http://schemas.openxmlformats.org/officeDocument/2006/relationships/hyperlink" Target="https://doi.org/10.1016/j.hermed.2018.08.005" TargetMode="External"/><Relationship Id="rId41" Type="http://schemas.openxmlformats.org/officeDocument/2006/relationships/hyperlink" Target="https://updatepublishing.com/journal/index.php/jp/article/view/273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5876</Words>
  <Characters>33498</Characters>
  <Application>Microsoft Office Word</Application>
  <DocSecurity>0</DocSecurity>
  <Lines>279</Lines>
  <Paragraphs>78</Paragraphs>
  <ScaleCrop>false</ScaleCrop>
  <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Sumaila</dc:creator>
  <cp:keywords/>
  <dc:description/>
  <cp:lastModifiedBy>HP</cp:lastModifiedBy>
  <cp:revision>346</cp:revision>
  <dcterms:created xsi:type="dcterms:W3CDTF">2025-11-12T11:38:00Z</dcterms:created>
  <dcterms:modified xsi:type="dcterms:W3CDTF">2026-01-10T15:51:00Z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fb6c4bfe-7559-4b84-bd43-1dc6a7583998</vt:lpwstr>
  </property>
</Properties>
</file>