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012830" w14:textId="77777777" w:rsidR="00754C9A" w:rsidRDefault="00754C9A" w:rsidP="00441B6F">
      <w:pPr>
        <w:pStyle w:val="Title"/>
        <w:spacing w:after="0"/>
        <w:jc w:val="both"/>
        <w:rPr>
          <w:rFonts w:ascii="Arial" w:hAnsi="Arial" w:cs="Arial"/>
        </w:rPr>
      </w:pPr>
    </w:p>
    <w:p w14:paraId="5BEBCE2F" w14:textId="77777777" w:rsidR="00A2388C" w:rsidRPr="00A2388C" w:rsidRDefault="00A2388C" w:rsidP="00A2388C">
      <w:pPr>
        <w:pStyle w:val="Author"/>
        <w:rPr>
          <w:rFonts w:ascii="Arial" w:hAnsi="Arial" w:cs="Arial"/>
          <w:bCs/>
          <w:i/>
          <w:iCs/>
          <w:kern w:val="28"/>
          <w:sz w:val="18"/>
          <w:szCs w:val="18"/>
          <w:u w:val="single"/>
        </w:rPr>
      </w:pPr>
      <w:r w:rsidRPr="00A2388C">
        <w:rPr>
          <w:rFonts w:ascii="Arial" w:hAnsi="Arial" w:cs="Arial"/>
          <w:bCs/>
          <w:i/>
          <w:iCs/>
          <w:kern w:val="28"/>
          <w:sz w:val="18"/>
          <w:szCs w:val="18"/>
          <w:u w:val="single"/>
        </w:rPr>
        <w:t>Original Research Article</w:t>
      </w:r>
    </w:p>
    <w:p w14:paraId="596F8CAE" w14:textId="77777777" w:rsidR="00A258C3" w:rsidRPr="00790ADA" w:rsidRDefault="000F4D5F" w:rsidP="000F4D5F">
      <w:pPr>
        <w:pStyle w:val="Author"/>
        <w:spacing w:line="240" w:lineRule="auto"/>
        <w:rPr>
          <w:rFonts w:ascii="Arial" w:hAnsi="Arial" w:cs="Arial"/>
          <w:sz w:val="36"/>
        </w:rPr>
      </w:pPr>
      <w:r w:rsidRPr="000F4D5F">
        <w:rPr>
          <w:rFonts w:ascii="Arial" w:hAnsi="Arial" w:cs="Arial"/>
          <w:bCs/>
          <w:iCs/>
          <w:kern w:val="28"/>
          <w:sz w:val="36"/>
        </w:rPr>
        <w:t xml:space="preserve">Rutin Isolated from </w:t>
      </w:r>
      <w:proofErr w:type="spellStart"/>
      <w:r w:rsidRPr="00345727">
        <w:rPr>
          <w:rFonts w:ascii="Arial" w:hAnsi="Arial" w:cs="Arial"/>
          <w:bCs/>
          <w:i/>
          <w:kern w:val="28"/>
          <w:sz w:val="36"/>
        </w:rPr>
        <w:t>Heliotropium</w:t>
      </w:r>
      <w:proofErr w:type="spellEnd"/>
      <w:r w:rsidRPr="00345727">
        <w:rPr>
          <w:rFonts w:ascii="Arial" w:hAnsi="Arial" w:cs="Arial"/>
          <w:bCs/>
          <w:i/>
          <w:kern w:val="28"/>
          <w:sz w:val="36"/>
        </w:rPr>
        <w:t xml:space="preserve"> indicum</w:t>
      </w:r>
      <w:r w:rsidRPr="000F4D5F">
        <w:rPr>
          <w:rFonts w:ascii="Arial" w:hAnsi="Arial" w:cs="Arial"/>
          <w:bCs/>
          <w:iCs/>
          <w:kern w:val="28"/>
          <w:sz w:val="36"/>
        </w:rPr>
        <w:t xml:space="preserve"> Induces Mitochondria-Mediated Apoptosis and Cytotoxicity in HepG2 and LNCaP Cancer Cells</w:t>
      </w:r>
    </w:p>
    <w:p w14:paraId="53AC79BD" w14:textId="555F249F" w:rsidR="002C57D2" w:rsidRDefault="002C57D2" w:rsidP="00441B6F">
      <w:pPr>
        <w:pStyle w:val="Affiliation"/>
        <w:spacing w:after="0" w:line="240" w:lineRule="auto"/>
        <w:jc w:val="both"/>
        <w:rPr>
          <w:rFonts w:ascii="Arial" w:hAnsi="Arial" w:cs="Arial"/>
        </w:rPr>
      </w:pPr>
    </w:p>
    <w:p w14:paraId="3E0CCE30" w14:textId="77777777" w:rsidR="00CB2396" w:rsidRPr="00FB3A86" w:rsidRDefault="00CB2396" w:rsidP="00441B6F">
      <w:pPr>
        <w:pStyle w:val="Affiliation"/>
        <w:spacing w:after="0" w:line="240" w:lineRule="auto"/>
        <w:jc w:val="both"/>
        <w:rPr>
          <w:rFonts w:ascii="Arial" w:hAnsi="Arial" w:cs="Arial"/>
        </w:rPr>
      </w:pPr>
    </w:p>
    <w:p w14:paraId="1AC721A7" w14:textId="77777777" w:rsidR="00B01FCD" w:rsidRPr="00FB3A86" w:rsidRDefault="00F73B5B" w:rsidP="00441B6F">
      <w:pPr>
        <w:pStyle w:val="Copyright"/>
        <w:spacing w:after="0" w:line="240" w:lineRule="auto"/>
        <w:jc w:val="both"/>
        <w:rPr>
          <w:rFonts w:ascii="Arial" w:hAnsi="Arial" w:cs="Arial"/>
        </w:rPr>
        <w:sectPr w:rsidR="00B01FCD" w:rsidRPr="00FB3A86" w:rsidSect="00CB239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74F42B1" wp14:editId="56BE4648">
                <wp:extent cx="5303520" cy="635"/>
                <wp:effectExtent l="15240" t="15240" r="15240" b="13335"/>
                <wp:docPr id="67967612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184869D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6462BCE9"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AF62E2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FC4A1AC" w14:textId="77777777" w:rsidTr="001E44FE">
        <w:tc>
          <w:tcPr>
            <w:tcW w:w="9576" w:type="dxa"/>
            <w:shd w:val="clear" w:color="auto" w:fill="F2F2F2"/>
          </w:tcPr>
          <w:p w14:paraId="11558382" w14:textId="2523E306" w:rsidR="00BA1B01" w:rsidRPr="00BA1B01" w:rsidRDefault="00BA1B01" w:rsidP="00AC76DB">
            <w:pPr>
              <w:pStyle w:val="Body"/>
              <w:spacing w:after="0"/>
              <w:rPr>
                <w:rFonts w:ascii="Arial" w:eastAsia="Calibri" w:hAnsi="Arial" w:cs="Arial"/>
                <w:szCs w:val="22"/>
              </w:rPr>
            </w:pPr>
            <w:r w:rsidRPr="00BA1B01">
              <w:rPr>
                <w:rFonts w:ascii="Arial" w:eastAsia="Calibri" w:hAnsi="Arial" w:cs="Arial"/>
                <w:b/>
                <w:szCs w:val="22"/>
              </w:rPr>
              <w:t xml:space="preserve">Aims: </w:t>
            </w:r>
            <w:r w:rsidR="00070673" w:rsidRPr="00070673">
              <w:rPr>
                <w:rFonts w:ascii="Arial" w:eastAsia="Calibri" w:hAnsi="Arial" w:cs="Arial"/>
                <w:szCs w:val="22"/>
              </w:rPr>
              <w:t xml:space="preserve">Locally, </w:t>
            </w:r>
            <w:proofErr w:type="spellStart"/>
            <w:r w:rsidR="00070673" w:rsidRPr="00AC76DB">
              <w:rPr>
                <w:rFonts w:ascii="Arial" w:eastAsia="Calibri" w:hAnsi="Arial" w:cs="Arial"/>
                <w:i/>
                <w:iCs/>
                <w:szCs w:val="22"/>
              </w:rPr>
              <w:t>Heliotropium</w:t>
            </w:r>
            <w:proofErr w:type="spellEnd"/>
            <w:r w:rsidR="00070673" w:rsidRPr="00AC76DB">
              <w:rPr>
                <w:rFonts w:ascii="Arial" w:eastAsia="Calibri" w:hAnsi="Arial" w:cs="Arial"/>
                <w:i/>
                <w:iCs/>
                <w:szCs w:val="22"/>
              </w:rPr>
              <w:t xml:space="preserve"> indicum</w:t>
            </w:r>
            <w:r w:rsidR="00070673" w:rsidRPr="00070673">
              <w:rPr>
                <w:rFonts w:ascii="Arial" w:eastAsia="Calibri" w:hAnsi="Arial" w:cs="Arial"/>
                <w:szCs w:val="22"/>
              </w:rPr>
              <w:t xml:space="preserve"> L. is used as a leukemic, asthmatic, and antipyretic medication</w:t>
            </w:r>
            <w:r w:rsidR="00A0787F" w:rsidRPr="00A0787F">
              <w:t xml:space="preserve"> </w:t>
            </w:r>
            <w:r w:rsidR="00A0787F" w:rsidRPr="00A0787F">
              <w:rPr>
                <w:rFonts w:ascii="Arial" w:eastAsia="Calibri" w:hAnsi="Arial" w:cs="Arial"/>
                <w:color w:val="EE0000"/>
                <w:szCs w:val="22"/>
              </w:rPr>
              <w:t>and is commonly applied in traditional medicine for treating open wounds</w:t>
            </w:r>
            <w:r w:rsidR="00070673" w:rsidRPr="00A0787F">
              <w:rPr>
                <w:rFonts w:ascii="Arial" w:eastAsia="Calibri" w:hAnsi="Arial" w:cs="Arial"/>
                <w:color w:val="EE0000"/>
                <w:szCs w:val="22"/>
              </w:rPr>
              <w:t xml:space="preserve">. </w:t>
            </w:r>
            <w:r w:rsidR="00A0787F" w:rsidRPr="00A0787F">
              <w:rPr>
                <w:rFonts w:ascii="Arial" w:eastAsia="Calibri" w:hAnsi="Arial" w:cs="Arial"/>
                <w:color w:val="EE0000"/>
                <w:szCs w:val="22"/>
              </w:rPr>
              <w:t xml:space="preserve">Species of </w:t>
            </w:r>
            <w:proofErr w:type="spellStart"/>
            <w:r w:rsidR="00A0787F" w:rsidRPr="00A0787F">
              <w:rPr>
                <w:rFonts w:ascii="Arial" w:eastAsia="Calibri" w:hAnsi="Arial" w:cs="Arial"/>
                <w:i/>
                <w:iCs/>
                <w:color w:val="EE0000"/>
                <w:szCs w:val="22"/>
              </w:rPr>
              <w:t>Heliotropium</w:t>
            </w:r>
            <w:proofErr w:type="spellEnd"/>
            <w:r w:rsidR="00A0787F" w:rsidRPr="00A0787F">
              <w:rPr>
                <w:rFonts w:ascii="Arial" w:eastAsia="Calibri" w:hAnsi="Arial" w:cs="Arial"/>
                <w:color w:val="EE0000"/>
                <w:szCs w:val="22"/>
              </w:rPr>
              <w:t xml:space="preserve"> have a long history of use as medicinal and culinary plants.</w:t>
            </w:r>
          </w:p>
          <w:p w14:paraId="18A2D6F0" w14:textId="434C8F46" w:rsidR="00BA1B01" w:rsidRPr="00BA1B01" w:rsidRDefault="00BA1B01" w:rsidP="00AC76DB">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512791" w:rsidRPr="00512791">
              <w:rPr>
                <w:rFonts w:ascii="Arial" w:eastAsia="Calibri" w:hAnsi="Arial" w:cs="Arial"/>
                <w:color w:val="EE0000"/>
                <w:szCs w:val="22"/>
              </w:rPr>
              <w:t>This study was an in vitro cell culture–based experimental investigation with mechanistic evaluation, conducted at the Tissue Culture Laboratory, Nigerian Institute of Medical Research.</w:t>
            </w:r>
          </w:p>
          <w:p w14:paraId="3A1C7E51" w14:textId="331D2E59" w:rsidR="00BA1B01" w:rsidRPr="00BA1B01" w:rsidRDefault="00BA1B01" w:rsidP="00AC76DB">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512791" w:rsidRPr="00512791">
              <w:rPr>
                <w:rFonts w:ascii="Arial" w:eastAsia="Calibri" w:hAnsi="Arial" w:cs="Arial"/>
                <w:color w:val="EE0000"/>
                <w:szCs w:val="22"/>
              </w:rPr>
              <w:t xml:space="preserve">Hepatocellular carcinoma (HepG2) and prostate carcinoma (LNCaP) cell lines were used to evaluate the cytotoxic effects of rutin purified from the methanolic extract of the whole </w:t>
            </w:r>
            <w:proofErr w:type="spellStart"/>
            <w:r w:rsidR="00512791" w:rsidRPr="00512791">
              <w:rPr>
                <w:rFonts w:ascii="Arial" w:eastAsia="Calibri" w:hAnsi="Arial" w:cs="Arial"/>
                <w:i/>
                <w:iCs/>
                <w:color w:val="EE0000"/>
                <w:szCs w:val="22"/>
              </w:rPr>
              <w:t>Heliotropium</w:t>
            </w:r>
            <w:proofErr w:type="spellEnd"/>
            <w:r w:rsidR="00512791" w:rsidRPr="00512791">
              <w:rPr>
                <w:rFonts w:ascii="Arial" w:eastAsia="Calibri" w:hAnsi="Arial" w:cs="Arial"/>
                <w:i/>
                <w:iCs/>
                <w:color w:val="EE0000"/>
                <w:szCs w:val="22"/>
              </w:rPr>
              <w:t xml:space="preserve"> indicum</w:t>
            </w:r>
            <w:r w:rsidR="00512791" w:rsidRPr="00512791">
              <w:rPr>
                <w:rFonts w:ascii="Arial" w:eastAsia="Calibri" w:hAnsi="Arial" w:cs="Arial"/>
                <w:color w:val="EE0000"/>
                <w:szCs w:val="22"/>
              </w:rPr>
              <w:t xml:space="preserve"> plant.</w:t>
            </w:r>
            <w:r w:rsidR="00512791" w:rsidRPr="00512791">
              <w:rPr>
                <w:rFonts w:ascii="Arial" w:eastAsia="Calibri" w:hAnsi="Arial" w:cs="Arial"/>
                <w:color w:val="EE0000"/>
                <w:szCs w:val="22"/>
              </w:rPr>
              <w:t xml:space="preserve"> </w:t>
            </w:r>
            <w:r w:rsidR="00AC76DB" w:rsidRPr="00AC76DB">
              <w:rPr>
                <w:rFonts w:ascii="Arial" w:eastAsia="Calibri" w:hAnsi="Arial" w:cs="Arial"/>
                <w:szCs w:val="22"/>
              </w:rPr>
              <w:t>Utilizing WST assay (lactate dehydrogenase (LDH) leakage), mitochondrial membrane potential (MMP) assay, ELISA (caspases 9/3, Bcl-2, Bax and Cytochrome c), microscopy, and fluorometry to measure apoptosis, the extracts' cytotoxicity and anti-proliferative properties were assessed in vitro via spectrophotometry</w:t>
            </w:r>
          </w:p>
          <w:p w14:paraId="7226CE0D" w14:textId="602D6C47" w:rsidR="00BA1B01" w:rsidRPr="00BA1B01" w:rsidRDefault="00BA1B01" w:rsidP="00AC76DB">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512791" w:rsidRPr="00512791">
              <w:rPr>
                <w:rFonts w:ascii="Arial" w:eastAsia="Calibri" w:hAnsi="Arial" w:cs="Arial"/>
                <w:color w:val="EE0000"/>
                <w:szCs w:val="22"/>
              </w:rPr>
              <w:t>Rutin significantly inhibited HepG2 and LNCaP cell proliferation in a concentration-dependent manner (0.1–1000 µg/mL)</w:t>
            </w:r>
            <w:r w:rsidR="00AC76DB" w:rsidRPr="00512791">
              <w:rPr>
                <w:rFonts w:ascii="Arial" w:eastAsia="Calibri" w:hAnsi="Arial" w:cs="Arial"/>
                <w:color w:val="EE0000"/>
                <w:szCs w:val="22"/>
              </w:rPr>
              <w:t xml:space="preserve">. </w:t>
            </w:r>
            <w:r w:rsidR="00AC76DB" w:rsidRPr="00512791">
              <w:rPr>
                <w:rFonts w:ascii="Arial" w:eastAsia="Calibri" w:hAnsi="Arial" w:cs="Arial"/>
                <w:i/>
                <w:iCs/>
                <w:color w:val="EE0000"/>
                <w:szCs w:val="22"/>
              </w:rPr>
              <w:t>In vitro</w:t>
            </w:r>
            <w:r w:rsidR="00AC76DB" w:rsidRPr="00512791">
              <w:rPr>
                <w:rFonts w:ascii="Arial" w:eastAsia="Calibri" w:hAnsi="Arial" w:cs="Arial"/>
                <w:color w:val="EE0000"/>
                <w:szCs w:val="22"/>
              </w:rPr>
              <w:t xml:space="preserve">, </w:t>
            </w:r>
            <w:r w:rsidR="00512791" w:rsidRPr="00512791">
              <w:rPr>
                <w:rFonts w:ascii="Arial" w:eastAsia="Calibri" w:hAnsi="Arial" w:cs="Arial"/>
                <w:color w:val="EE0000"/>
                <w:szCs w:val="22"/>
              </w:rPr>
              <w:t>t</w:t>
            </w:r>
            <w:r w:rsidR="00512791" w:rsidRPr="00512791">
              <w:rPr>
                <w:rFonts w:ascii="Arial" w:eastAsia="Calibri" w:hAnsi="Arial" w:cs="Arial"/>
                <w:color w:val="EE0000"/>
                <w:szCs w:val="22"/>
              </w:rPr>
              <w:t>he cytotoxic effect was more pronounced in LNCaP cells than in HepG2 cells</w:t>
            </w:r>
            <w:r w:rsidR="00AC76DB" w:rsidRPr="00AC76DB">
              <w:rPr>
                <w:rFonts w:ascii="Arial" w:eastAsia="Calibri" w:hAnsi="Arial" w:cs="Arial"/>
                <w:szCs w:val="22"/>
              </w:rPr>
              <w:t xml:space="preserve">. The significant increase in LDH leakage and decline in MMP further demonstrated the cytotoxic effects of rutin on these cells. </w:t>
            </w:r>
            <w:r w:rsidR="00512791" w:rsidRPr="00512791">
              <w:rPr>
                <w:rFonts w:ascii="Arial" w:eastAsia="Calibri" w:hAnsi="Arial" w:cs="Arial"/>
                <w:color w:val="EE0000"/>
                <w:szCs w:val="22"/>
              </w:rPr>
              <w:t>Upregulation of caspases-9/3, Bax, and cytochrome c, alongside downregulation of Bcl-2, indicated activation of the mitochondrial apoptotic pathway in both cell lines</w:t>
            </w:r>
            <w:r w:rsidR="00AC76DB" w:rsidRPr="00AC76DB">
              <w:rPr>
                <w:rFonts w:ascii="Arial" w:eastAsia="Calibri" w:hAnsi="Arial" w:cs="Arial"/>
                <w:szCs w:val="22"/>
              </w:rPr>
              <w:t>.</w:t>
            </w:r>
          </w:p>
          <w:p w14:paraId="55BBC6C0" w14:textId="66E2E495" w:rsidR="00505F06" w:rsidRPr="00BA1B01" w:rsidRDefault="00BA1B01" w:rsidP="00AC76DB">
            <w:pPr>
              <w:jc w:val="both"/>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AC76DB" w:rsidRPr="00AC76DB">
              <w:rPr>
                <w:rFonts w:ascii="Arial" w:eastAsia="Calibri" w:hAnsi="Arial" w:cs="Arial"/>
                <w:szCs w:val="22"/>
              </w:rPr>
              <w:t xml:space="preserve">In summary, </w:t>
            </w:r>
            <w:r w:rsidR="00512791" w:rsidRPr="00512791">
              <w:rPr>
                <w:rFonts w:ascii="Arial" w:eastAsia="Calibri" w:hAnsi="Arial" w:cs="Arial"/>
                <w:color w:val="EE0000"/>
                <w:szCs w:val="22"/>
              </w:rPr>
              <w:t xml:space="preserve">Rutin isolated from </w:t>
            </w:r>
            <w:proofErr w:type="spellStart"/>
            <w:r w:rsidR="00512791" w:rsidRPr="00512791">
              <w:rPr>
                <w:rFonts w:ascii="Arial" w:eastAsia="Calibri" w:hAnsi="Arial" w:cs="Arial"/>
                <w:i/>
                <w:iCs/>
                <w:color w:val="EE0000"/>
                <w:szCs w:val="22"/>
              </w:rPr>
              <w:t>Heliotropium</w:t>
            </w:r>
            <w:proofErr w:type="spellEnd"/>
            <w:r w:rsidR="00512791" w:rsidRPr="00512791">
              <w:rPr>
                <w:rFonts w:ascii="Arial" w:eastAsia="Calibri" w:hAnsi="Arial" w:cs="Arial"/>
                <w:i/>
                <w:iCs/>
                <w:color w:val="EE0000"/>
                <w:szCs w:val="22"/>
              </w:rPr>
              <w:t xml:space="preserve"> indicum</w:t>
            </w:r>
            <w:r w:rsidR="00512791" w:rsidRPr="00512791">
              <w:rPr>
                <w:rFonts w:ascii="Arial" w:eastAsia="Calibri" w:hAnsi="Arial" w:cs="Arial"/>
                <w:color w:val="EE0000"/>
                <w:szCs w:val="22"/>
              </w:rPr>
              <w:t xml:space="preserve"> L. exhibits cytotoxic and apoptotic effects on HepG2 and LNCaP cells through LDH release and caspase-dependent mitochondrial apoptosis</w:t>
            </w:r>
            <w:r w:rsidR="00AC76DB" w:rsidRPr="00AC76DB">
              <w:rPr>
                <w:rFonts w:ascii="Arial" w:eastAsia="Calibri" w:hAnsi="Arial" w:cs="Arial"/>
                <w:szCs w:val="22"/>
              </w:rPr>
              <w:t xml:space="preserve">. </w:t>
            </w:r>
            <w:r w:rsidR="00512791" w:rsidRPr="00512791">
              <w:rPr>
                <w:rFonts w:ascii="Arial" w:eastAsia="Calibri" w:hAnsi="Arial" w:cs="Arial"/>
                <w:color w:val="EE0000"/>
                <w:szCs w:val="22"/>
              </w:rPr>
              <w:t xml:space="preserve">These findings suggest the potential of </w:t>
            </w:r>
            <w:proofErr w:type="spellStart"/>
            <w:r w:rsidR="00512791" w:rsidRPr="00512791">
              <w:rPr>
                <w:rFonts w:ascii="Arial" w:eastAsia="Calibri" w:hAnsi="Arial" w:cs="Arial"/>
                <w:i/>
                <w:iCs/>
                <w:color w:val="EE0000"/>
                <w:szCs w:val="22"/>
              </w:rPr>
              <w:t>Heliotropium</w:t>
            </w:r>
            <w:proofErr w:type="spellEnd"/>
            <w:r w:rsidR="00512791" w:rsidRPr="00512791">
              <w:rPr>
                <w:rFonts w:ascii="Arial" w:eastAsia="Calibri" w:hAnsi="Arial" w:cs="Arial"/>
                <w:i/>
                <w:iCs/>
                <w:color w:val="EE0000"/>
                <w:szCs w:val="22"/>
              </w:rPr>
              <w:t xml:space="preserve"> indicum</w:t>
            </w:r>
            <w:r w:rsidR="00512791" w:rsidRPr="00512791">
              <w:rPr>
                <w:rFonts w:ascii="Arial" w:eastAsia="Calibri" w:hAnsi="Arial" w:cs="Arial"/>
                <w:color w:val="EE0000"/>
                <w:szCs w:val="22"/>
              </w:rPr>
              <w:t xml:space="preserve"> L. as a candidate for the treatment of hepatocellular and prostate cancers.</w:t>
            </w:r>
          </w:p>
        </w:tc>
      </w:tr>
    </w:tbl>
    <w:p w14:paraId="557B08DE" w14:textId="77777777" w:rsidR="00636EB2" w:rsidRDefault="00636EB2" w:rsidP="00441B6F">
      <w:pPr>
        <w:pStyle w:val="Body"/>
        <w:spacing w:after="0"/>
        <w:rPr>
          <w:rFonts w:ascii="Arial" w:hAnsi="Arial" w:cs="Arial"/>
          <w:i/>
        </w:rPr>
      </w:pPr>
    </w:p>
    <w:p w14:paraId="6C100E21" w14:textId="77777777" w:rsidR="00A24E7E" w:rsidRPr="00167775" w:rsidRDefault="00A24E7E" w:rsidP="00167775">
      <w:pPr>
        <w:jc w:val="both"/>
        <w:rPr>
          <w:rFonts w:ascii="Arial" w:hAnsi="Arial" w:cs="Arial"/>
        </w:rPr>
      </w:pPr>
      <w:r>
        <w:rPr>
          <w:rFonts w:ascii="Arial" w:hAnsi="Arial" w:cs="Arial"/>
          <w:i/>
        </w:rPr>
        <w:t xml:space="preserve">Keywords: </w:t>
      </w:r>
      <w:proofErr w:type="spellStart"/>
      <w:r w:rsidR="00167775" w:rsidRPr="00167775">
        <w:rPr>
          <w:rFonts w:ascii="Arial" w:hAnsi="Arial" w:cs="Arial"/>
          <w:i/>
          <w:iCs/>
        </w:rPr>
        <w:t>Heliotropium</w:t>
      </w:r>
      <w:proofErr w:type="spellEnd"/>
      <w:r w:rsidR="00167775" w:rsidRPr="00167775">
        <w:rPr>
          <w:rFonts w:ascii="Arial" w:hAnsi="Arial" w:cs="Arial"/>
          <w:i/>
          <w:iCs/>
        </w:rPr>
        <w:t xml:space="preserve"> indicum</w:t>
      </w:r>
      <w:r w:rsidR="00167775" w:rsidRPr="00167775">
        <w:rPr>
          <w:rFonts w:ascii="Arial" w:hAnsi="Arial" w:cs="Arial"/>
          <w:iCs/>
        </w:rPr>
        <w:t xml:space="preserve"> L.</w:t>
      </w:r>
      <w:r w:rsidR="00167775" w:rsidRPr="00167775">
        <w:rPr>
          <w:rFonts w:ascii="Arial" w:hAnsi="Arial" w:cs="Arial"/>
        </w:rPr>
        <w:t>, LNCaP, HepG2, Cell proliferation, Ruti</w:t>
      </w:r>
      <w:r w:rsidR="00167775">
        <w:rPr>
          <w:rFonts w:ascii="Arial" w:hAnsi="Arial" w:cs="Arial"/>
        </w:rPr>
        <w:t>n</w:t>
      </w:r>
    </w:p>
    <w:p w14:paraId="3EFAEDE4" w14:textId="77777777" w:rsidR="00790ADA" w:rsidRDefault="00790ADA" w:rsidP="00441B6F">
      <w:pPr>
        <w:pStyle w:val="Body"/>
        <w:spacing w:after="0"/>
        <w:rPr>
          <w:rFonts w:ascii="Arial" w:hAnsi="Arial" w:cs="Arial"/>
          <w:i/>
        </w:rPr>
      </w:pPr>
    </w:p>
    <w:p w14:paraId="3B851EDE"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CFDF8B8" w14:textId="77777777" w:rsidR="00790ADA" w:rsidRPr="00FB3A86" w:rsidRDefault="00790ADA" w:rsidP="00441B6F">
      <w:pPr>
        <w:pStyle w:val="AbstHead"/>
        <w:spacing w:after="0"/>
        <w:jc w:val="both"/>
        <w:rPr>
          <w:rFonts w:ascii="Arial" w:hAnsi="Arial" w:cs="Arial"/>
        </w:rPr>
      </w:pPr>
    </w:p>
    <w:p w14:paraId="363BB563" w14:textId="1B11D9D8" w:rsidR="00167775" w:rsidRPr="00167775" w:rsidRDefault="006773A4" w:rsidP="00167775">
      <w:pPr>
        <w:jc w:val="both"/>
        <w:rPr>
          <w:rFonts w:ascii="Arial" w:hAnsi="Arial" w:cs="Arial"/>
        </w:rPr>
      </w:pPr>
      <w:r w:rsidRPr="006773A4">
        <w:rPr>
          <w:rFonts w:ascii="Arial" w:hAnsi="Arial" w:cs="Arial"/>
          <w:color w:val="EE0000"/>
        </w:rPr>
        <w:t>Over half of the projected global population increase between 2015 and 2050 is expected to occur in Africa, underscoring the importance of addressing population health on the continent to improve global public health</w:t>
      </w:r>
      <w:r w:rsidRPr="006773A4">
        <w:rPr>
          <w:rFonts w:ascii="Arial" w:hAnsi="Arial" w:cs="Arial"/>
          <w:color w:val="EE0000"/>
        </w:rPr>
        <w:t xml:space="preserve"> </w:t>
      </w:r>
      <w:r w:rsidR="00167775" w:rsidRPr="00167775">
        <w:rPr>
          <w:rFonts w:ascii="Arial" w:hAnsi="Arial" w:cs="Arial"/>
        </w:rPr>
        <w:t xml:space="preserve">[1]. Given that cancer is currently the fifth </w:t>
      </w:r>
      <w:r w:rsidRPr="006773A4">
        <w:rPr>
          <w:rFonts w:ascii="Arial" w:hAnsi="Arial" w:cs="Arial"/>
          <w:color w:val="EE0000"/>
        </w:rPr>
        <w:t>leading</w:t>
      </w:r>
      <w:r w:rsidR="00167775" w:rsidRPr="006773A4">
        <w:rPr>
          <w:rFonts w:ascii="Arial" w:hAnsi="Arial" w:cs="Arial"/>
          <w:color w:val="EE0000"/>
        </w:rPr>
        <w:t xml:space="preserve"> </w:t>
      </w:r>
      <w:r w:rsidR="00167775" w:rsidRPr="00167775">
        <w:rPr>
          <w:rFonts w:ascii="Arial" w:hAnsi="Arial" w:cs="Arial"/>
        </w:rPr>
        <w:t xml:space="preserve">cause of death in Africa, </w:t>
      </w:r>
      <w:r w:rsidRPr="006773A4">
        <w:rPr>
          <w:rFonts w:ascii="Arial" w:hAnsi="Arial" w:cs="Arial"/>
          <w:color w:val="EE0000"/>
        </w:rPr>
        <w:t>increased</w:t>
      </w:r>
      <w:r w:rsidR="00167775" w:rsidRPr="006773A4">
        <w:rPr>
          <w:rFonts w:ascii="Arial" w:hAnsi="Arial" w:cs="Arial"/>
          <w:color w:val="EE0000"/>
        </w:rPr>
        <w:t xml:space="preserve"> </w:t>
      </w:r>
      <w:r w:rsidR="00167775" w:rsidRPr="00167775">
        <w:rPr>
          <w:rFonts w:ascii="Arial" w:hAnsi="Arial" w:cs="Arial"/>
        </w:rPr>
        <w:t xml:space="preserve">research regarding the prevalence of cancer across the continent is necessary [2]. Cancer is a diseased condition marked by the uncontrolled growth and division of aberrant cells [3]. </w:t>
      </w:r>
      <w:r w:rsidRPr="006773A4">
        <w:rPr>
          <w:rFonts w:ascii="Arial" w:hAnsi="Arial" w:cs="Arial"/>
          <w:color w:val="EE0000"/>
        </w:rPr>
        <w:t>Compared with other regions, Africa is expected to experience the largest increase in cancer incidence and mortality between 2020 and 2040</w:t>
      </w:r>
      <w:r w:rsidR="00167775" w:rsidRPr="00167775">
        <w:rPr>
          <w:rFonts w:ascii="Arial" w:hAnsi="Arial" w:cs="Arial"/>
        </w:rPr>
        <w:t xml:space="preserve">. </w:t>
      </w:r>
      <w:r w:rsidRPr="006773A4">
        <w:rPr>
          <w:rFonts w:ascii="Arial" w:hAnsi="Arial" w:cs="Arial"/>
          <w:color w:val="EE0000"/>
        </w:rPr>
        <w:t>Projections indicate that cancer cases in Africa will rise from 1.1 million in 2020 to 2.1 million by 2040, with deaths increasing from 711,429 to 1.4 million.</w:t>
      </w:r>
      <w:r w:rsidR="00167775" w:rsidRPr="006773A4">
        <w:rPr>
          <w:rFonts w:ascii="Arial" w:hAnsi="Arial" w:cs="Arial"/>
          <w:color w:val="EE0000"/>
        </w:rPr>
        <w:t xml:space="preserve"> </w:t>
      </w:r>
      <w:r w:rsidR="00167775" w:rsidRPr="00167775">
        <w:rPr>
          <w:rFonts w:ascii="Arial" w:hAnsi="Arial" w:cs="Arial"/>
        </w:rPr>
        <w:t xml:space="preserve">By 2040, it is anticipated that the burden of the five major cancer types (breast, cervical, prostate, colorectal, and liver) will have doubled. Twelve neoplasms are anticipated to have more than 50,000 cases annually by 2040, while nine neoplasms are anticipated to have 50,000 or more cancer deaths by that year in Africa. </w:t>
      </w:r>
      <w:r w:rsidR="00167775" w:rsidRPr="00167775">
        <w:rPr>
          <w:rFonts w:ascii="Arial" w:hAnsi="Arial" w:cs="Arial"/>
        </w:rPr>
        <w:lastRenderedPageBreak/>
        <w:t xml:space="preserve">The most frequent primary liver cancer is hepatocellular carcinoma (HCC), which is also the main cause of cancer-related death globally. HCC is the ninth most common cancer-related cause of death in the US [4]. </w:t>
      </w:r>
      <w:r w:rsidR="00CE077F" w:rsidRPr="00CE077F">
        <w:rPr>
          <w:rFonts w:ascii="Arial" w:hAnsi="Arial" w:cs="Arial"/>
          <w:color w:val="EE0000"/>
        </w:rPr>
        <w:t>Despite advances in screening, prevention, diagnosis, and treatment, HCC incidence and mortality continue to rise.</w:t>
      </w:r>
      <w:r w:rsidR="00167775" w:rsidRPr="00CE077F">
        <w:rPr>
          <w:rFonts w:ascii="Arial" w:hAnsi="Arial" w:cs="Arial"/>
          <w:color w:val="EE0000"/>
        </w:rPr>
        <w:t xml:space="preserve"> Regardless of etiology</w:t>
      </w:r>
      <w:r w:rsidR="00167775" w:rsidRPr="00167775">
        <w:rPr>
          <w:rFonts w:ascii="Arial" w:hAnsi="Arial" w:cs="Arial"/>
        </w:rPr>
        <w:t xml:space="preserve">, cirrhosis continues to be the predominant risk factor for the development of HCC. Prostate cancer (PC) was the leading cancer group in African males with 93,173 [83,906 – 103,463] cases and 47,249 [41,941 – 53,228] deaths [2,5]. </w:t>
      </w:r>
      <w:r w:rsidR="00CE077F" w:rsidRPr="00CE077F">
        <w:rPr>
          <w:rFonts w:ascii="Arial" w:hAnsi="Arial" w:cs="Arial"/>
          <w:color w:val="EE0000"/>
        </w:rPr>
        <w:t>Prostate</w:t>
      </w:r>
      <w:r w:rsidR="00167775" w:rsidRPr="00CE077F">
        <w:rPr>
          <w:rFonts w:ascii="Arial" w:hAnsi="Arial" w:cs="Arial"/>
          <w:color w:val="EE0000"/>
        </w:rPr>
        <w:t xml:space="preserve"> cancer</w:t>
      </w:r>
      <w:r w:rsidR="00CE077F">
        <w:rPr>
          <w:rFonts w:ascii="Arial" w:hAnsi="Arial" w:cs="Arial"/>
          <w:color w:val="EE0000"/>
        </w:rPr>
        <w:t xml:space="preserve"> remains</w:t>
      </w:r>
      <w:r w:rsidR="00167775" w:rsidRPr="00167775">
        <w:rPr>
          <w:rFonts w:ascii="Arial" w:hAnsi="Arial" w:cs="Arial"/>
        </w:rPr>
        <w:t xml:space="preserve"> a major public health issue. The most significant malignancy that disproportionately affects males of African origin is prostate cancer. Prostate cancer is the most common cancer among Nigerian males, accounting for 6.1%–19.5% of all cancer diagnoses in the country. With an average </w:t>
      </w:r>
      <w:r w:rsidR="00CE077F" w:rsidRPr="00CE077F">
        <w:rPr>
          <w:rFonts w:ascii="Arial" w:hAnsi="Arial" w:cs="Arial"/>
          <w:color w:val="EE0000"/>
        </w:rPr>
        <w:t>prevalence</w:t>
      </w:r>
      <w:r w:rsidR="00167775" w:rsidRPr="00CE077F">
        <w:rPr>
          <w:rFonts w:ascii="Arial" w:hAnsi="Arial" w:cs="Arial"/>
          <w:color w:val="EE0000"/>
        </w:rPr>
        <w:t xml:space="preserve"> </w:t>
      </w:r>
      <w:r w:rsidR="00167775" w:rsidRPr="00167775">
        <w:rPr>
          <w:rFonts w:ascii="Arial" w:hAnsi="Arial" w:cs="Arial"/>
        </w:rPr>
        <w:t xml:space="preserve">of 11%, prostate cancer is becoming more common in men [6]. The high mortality rate among cancer patients is a sign of the existing treatments' ineffectiveness [7,8].  Chemotherapy remains the mainstay of cancer treatment, despite improvements in the creation of new therapeutic modalities. </w:t>
      </w:r>
      <w:r w:rsidR="00CE077F" w:rsidRPr="00CE077F">
        <w:rPr>
          <w:rFonts w:ascii="Arial" w:hAnsi="Arial" w:cs="Arial"/>
          <w:color w:val="EE0000"/>
        </w:rPr>
        <w:t>However, due to the severe side effects of synthetic drugs on normal cells, natural compounds from foods and medicinal plants are increasingly explored as sources of novel chemotherapeutic agents</w:t>
      </w:r>
      <w:r w:rsidR="00CE077F" w:rsidRPr="00CE077F">
        <w:rPr>
          <w:rFonts w:ascii="Arial" w:hAnsi="Arial" w:cs="Arial"/>
          <w:color w:val="EE0000"/>
        </w:rPr>
        <w:t xml:space="preserve"> </w:t>
      </w:r>
      <w:r w:rsidR="00167775" w:rsidRPr="00167775">
        <w:rPr>
          <w:rFonts w:ascii="Arial" w:hAnsi="Arial" w:cs="Arial"/>
        </w:rPr>
        <w:t xml:space="preserve">[9]. An </w:t>
      </w:r>
      <w:r w:rsidR="00167775" w:rsidRPr="00CE077F">
        <w:rPr>
          <w:rFonts w:ascii="Arial" w:hAnsi="Arial" w:cs="Arial"/>
          <w:color w:val="EE0000"/>
        </w:rPr>
        <w:t>African herb</w:t>
      </w:r>
      <w:r w:rsidR="00CE077F" w:rsidRPr="00CE077F">
        <w:rPr>
          <w:rFonts w:ascii="Arial" w:hAnsi="Arial" w:cs="Arial"/>
          <w:color w:val="EE0000"/>
        </w:rPr>
        <w:t xml:space="preserve">, </w:t>
      </w:r>
      <w:proofErr w:type="spellStart"/>
      <w:r w:rsidR="00167775" w:rsidRPr="00CE077F">
        <w:rPr>
          <w:rFonts w:ascii="Arial" w:hAnsi="Arial" w:cs="Arial"/>
          <w:i/>
          <w:iCs/>
          <w:color w:val="EE0000"/>
        </w:rPr>
        <w:t>Heliotropium</w:t>
      </w:r>
      <w:proofErr w:type="spellEnd"/>
      <w:r w:rsidR="00167775" w:rsidRPr="00CE077F">
        <w:rPr>
          <w:rFonts w:ascii="Arial" w:hAnsi="Arial" w:cs="Arial"/>
          <w:color w:val="EE0000"/>
        </w:rPr>
        <w:t xml:space="preserve"> </w:t>
      </w:r>
      <w:r w:rsidR="00167775" w:rsidRPr="00167775">
        <w:rPr>
          <w:rFonts w:ascii="Arial" w:hAnsi="Arial" w:cs="Arial"/>
          <w:i/>
          <w:iCs/>
        </w:rPr>
        <w:t>indicum</w:t>
      </w:r>
      <w:r w:rsidR="00167775" w:rsidRPr="00167775">
        <w:rPr>
          <w:rFonts w:ascii="Arial" w:hAnsi="Arial" w:cs="Arial"/>
        </w:rPr>
        <w:t xml:space="preserve"> Linn. is known to have antipyretic, wound healing, antileukemic, anti-asthmatic, anti-tumor, antioxidant, and antibacterial properties [10]. </w:t>
      </w:r>
      <w:proofErr w:type="spellStart"/>
      <w:r w:rsidR="00167775" w:rsidRPr="00167775">
        <w:rPr>
          <w:rFonts w:ascii="Arial" w:hAnsi="Arial" w:cs="Arial"/>
          <w:i/>
          <w:iCs/>
        </w:rPr>
        <w:t>Heliotropium</w:t>
      </w:r>
      <w:proofErr w:type="spellEnd"/>
      <w:r w:rsidR="00167775" w:rsidRPr="00167775">
        <w:rPr>
          <w:rFonts w:ascii="Arial" w:hAnsi="Arial" w:cs="Arial"/>
        </w:rPr>
        <w:t xml:space="preserve"> </w:t>
      </w:r>
      <w:r w:rsidR="00167775" w:rsidRPr="00167775">
        <w:rPr>
          <w:rFonts w:ascii="Arial" w:hAnsi="Arial" w:cs="Arial"/>
          <w:i/>
          <w:iCs/>
        </w:rPr>
        <w:t>indicum</w:t>
      </w:r>
      <w:r w:rsidR="00167775" w:rsidRPr="00167775">
        <w:rPr>
          <w:rFonts w:ascii="Arial" w:hAnsi="Arial" w:cs="Arial"/>
        </w:rPr>
        <w:t xml:space="preserve"> L. is a common plant known as "Ogbe Ori Akuko" or “Heliotrope” (Family: </w:t>
      </w:r>
      <w:proofErr w:type="spellStart"/>
      <w:r w:rsidR="00167775" w:rsidRPr="00167775">
        <w:rPr>
          <w:rFonts w:ascii="Arial" w:hAnsi="Arial" w:cs="Arial"/>
        </w:rPr>
        <w:t>Heliotropiaceae</w:t>
      </w:r>
      <w:proofErr w:type="spellEnd"/>
      <w:r w:rsidR="00167775" w:rsidRPr="00167775">
        <w:rPr>
          <w:rFonts w:ascii="Arial" w:hAnsi="Arial" w:cs="Arial"/>
        </w:rPr>
        <w:t xml:space="preserve">, Subfamily: Boraginaceae), that grows like a weed and is found around the world. In addition to being native to South America, the plant has also been naturalized in North America, Africa, Asia, and Australia. Given its importance in ethnomedicine, it is used all over the world. The herb is also used as a diuretic, an antifertility remedy, and uterine stimulant, among many other folk applications. The plant is known to have a variety of pharmacological properties, including anti-microbial, antinociceptive, anti-ulcer, anti-glaucoma, anti-tuberculosis, anti-plasmodial, and wound healing [11]. Antioxidant and anti-inflammatory properties of </w:t>
      </w:r>
      <w:proofErr w:type="spellStart"/>
      <w:r w:rsidR="00167775" w:rsidRPr="00167775">
        <w:rPr>
          <w:rFonts w:ascii="Arial" w:hAnsi="Arial" w:cs="Arial"/>
          <w:i/>
          <w:iCs/>
        </w:rPr>
        <w:t>Heliotropium</w:t>
      </w:r>
      <w:proofErr w:type="spellEnd"/>
      <w:r w:rsidR="00167775" w:rsidRPr="00167775">
        <w:rPr>
          <w:rFonts w:ascii="Arial" w:hAnsi="Arial" w:cs="Arial"/>
        </w:rPr>
        <w:t xml:space="preserve"> </w:t>
      </w:r>
      <w:r w:rsidR="00167775" w:rsidRPr="00167775">
        <w:rPr>
          <w:rFonts w:ascii="Arial" w:hAnsi="Arial" w:cs="Arial"/>
          <w:i/>
          <w:iCs/>
        </w:rPr>
        <w:t>indicum</w:t>
      </w:r>
      <w:r w:rsidR="00167775" w:rsidRPr="00167775">
        <w:rPr>
          <w:rFonts w:ascii="Arial" w:hAnsi="Arial" w:cs="Arial"/>
        </w:rPr>
        <w:t xml:space="preserve"> L. extract are widely established. Consumption of foods and beverages containing flavonoids has repeatedly been linked to a decreased risk of acquiring a variety of malignancies, including prostate, lung, stomach, and breast cancers. Our previous research finding showed that Chloroform Fraction of </w:t>
      </w:r>
      <w:proofErr w:type="spellStart"/>
      <w:r w:rsidR="00167775" w:rsidRPr="00167775">
        <w:rPr>
          <w:rFonts w:ascii="Arial" w:hAnsi="Arial" w:cs="Arial"/>
          <w:i/>
          <w:iCs/>
        </w:rPr>
        <w:t>Heliotropium</w:t>
      </w:r>
      <w:proofErr w:type="spellEnd"/>
      <w:r w:rsidR="00167775" w:rsidRPr="00167775">
        <w:rPr>
          <w:rFonts w:ascii="Arial" w:hAnsi="Arial" w:cs="Arial"/>
        </w:rPr>
        <w:t xml:space="preserve"> </w:t>
      </w:r>
      <w:r w:rsidR="00167775" w:rsidRPr="00167775">
        <w:rPr>
          <w:rFonts w:ascii="Arial" w:hAnsi="Arial" w:cs="Arial"/>
          <w:i/>
          <w:iCs/>
        </w:rPr>
        <w:t>indicum</w:t>
      </w:r>
      <w:r w:rsidR="00167775" w:rsidRPr="00167775">
        <w:rPr>
          <w:rFonts w:ascii="Arial" w:hAnsi="Arial" w:cs="Arial"/>
        </w:rPr>
        <w:t xml:space="preserve"> L. is the most potent of all the tested fractions in inducing mitochondrial-mediated apoptosis and therefore was suggested to contain the potent agents [10]. </w:t>
      </w:r>
      <w:r w:rsidR="00CE077F" w:rsidRPr="00CE077F">
        <w:rPr>
          <w:rFonts w:ascii="Arial" w:hAnsi="Arial" w:cs="Arial"/>
          <w:color w:val="EE0000"/>
        </w:rPr>
        <w:t xml:space="preserve">Therefore, this study aimed to evaluate the in vitro anticancer activity of </w:t>
      </w:r>
      <w:proofErr w:type="spellStart"/>
      <w:r w:rsidR="00CE077F" w:rsidRPr="00CE077F">
        <w:rPr>
          <w:rFonts w:ascii="Arial" w:hAnsi="Arial" w:cs="Arial"/>
          <w:i/>
          <w:iCs/>
          <w:color w:val="EE0000"/>
        </w:rPr>
        <w:t>Heliotropium</w:t>
      </w:r>
      <w:proofErr w:type="spellEnd"/>
      <w:r w:rsidR="00CE077F" w:rsidRPr="00CE077F">
        <w:rPr>
          <w:rFonts w:ascii="Arial" w:hAnsi="Arial" w:cs="Arial"/>
          <w:i/>
          <w:iCs/>
          <w:color w:val="EE0000"/>
        </w:rPr>
        <w:t xml:space="preserve"> indicum</w:t>
      </w:r>
      <w:r w:rsidR="00CE077F" w:rsidRPr="00CE077F">
        <w:rPr>
          <w:rFonts w:ascii="Arial" w:hAnsi="Arial" w:cs="Arial"/>
          <w:color w:val="EE0000"/>
        </w:rPr>
        <w:t xml:space="preserve"> L. against HepG2 (hepatocellular carcinoma) and LNCaP (prostate cancer) cells.</w:t>
      </w:r>
    </w:p>
    <w:p w14:paraId="2BAA6B43" w14:textId="77777777" w:rsidR="00790ADA" w:rsidRPr="00FB3A86" w:rsidRDefault="00790ADA" w:rsidP="00167775">
      <w:pPr>
        <w:pStyle w:val="Body"/>
        <w:spacing w:after="0"/>
        <w:rPr>
          <w:rFonts w:ascii="Arial" w:hAnsi="Arial" w:cs="Arial"/>
        </w:rPr>
      </w:pPr>
    </w:p>
    <w:p w14:paraId="43E1AA14" w14:textId="77777777" w:rsidR="00790ADA"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434698B5" w14:textId="77777777" w:rsidR="00167775" w:rsidRPr="00167775" w:rsidRDefault="00167775" w:rsidP="00167775">
      <w:pPr>
        <w:jc w:val="both"/>
        <w:rPr>
          <w:rFonts w:ascii="Arial" w:hAnsi="Arial" w:cs="Arial"/>
          <w:b/>
          <w:bCs/>
          <w:sz w:val="22"/>
          <w:szCs w:val="22"/>
        </w:rPr>
      </w:pPr>
      <w:r w:rsidRPr="00167775">
        <w:rPr>
          <w:rFonts w:ascii="Arial" w:hAnsi="Arial" w:cs="Arial"/>
          <w:b/>
          <w:bCs/>
          <w:sz w:val="22"/>
          <w:szCs w:val="22"/>
        </w:rPr>
        <w:t xml:space="preserve">2.1   Collection of </w:t>
      </w:r>
      <w:proofErr w:type="spellStart"/>
      <w:r w:rsidRPr="00167775">
        <w:rPr>
          <w:rFonts w:ascii="Arial" w:hAnsi="Arial" w:cs="Arial"/>
          <w:b/>
          <w:bCs/>
          <w:i/>
          <w:iCs/>
          <w:sz w:val="22"/>
          <w:szCs w:val="22"/>
        </w:rPr>
        <w:t>Heliotropium</w:t>
      </w:r>
      <w:proofErr w:type="spellEnd"/>
      <w:r w:rsidRPr="00167775">
        <w:rPr>
          <w:rFonts w:ascii="Arial" w:hAnsi="Arial" w:cs="Arial"/>
          <w:b/>
          <w:bCs/>
          <w:i/>
          <w:iCs/>
          <w:sz w:val="22"/>
          <w:szCs w:val="22"/>
        </w:rPr>
        <w:t xml:space="preserve"> indicum</w:t>
      </w:r>
      <w:r w:rsidRPr="00167775">
        <w:rPr>
          <w:rFonts w:ascii="Arial" w:hAnsi="Arial" w:cs="Arial"/>
          <w:b/>
          <w:bCs/>
          <w:sz w:val="22"/>
          <w:szCs w:val="22"/>
        </w:rPr>
        <w:t xml:space="preserve"> L. whole plant</w:t>
      </w:r>
    </w:p>
    <w:p w14:paraId="065D309F" w14:textId="1D7B2F34" w:rsidR="00167775" w:rsidRPr="00167775" w:rsidRDefault="00167775" w:rsidP="00167775">
      <w:pPr>
        <w:jc w:val="both"/>
        <w:rPr>
          <w:rFonts w:ascii="Arial" w:hAnsi="Arial" w:cs="Arial"/>
          <w:lang w:val="en-GB"/>
        </w:rPr>
      </w:pPr>
      <w:r w:rsidRPr="00167775">
        <w:rPr>
          <w:rFonts w:ascii="Arial" w:hAnsi="Arial" w:cs="Arial"/>
        </w:rPr>
        <w:t xml:space="preserve">Fresh whole plant of </w:t>
      </w:r>
      <w:proofErr w:type="spellStart"/>
      <w:r w:rsidRPr="00167775">
        <w:rPr>
          <w:rFonts w:ascii="Arial" w:hAnsi="Arial" w:cs="Arial"/>
          <w:i/>
          <w:iCs/>
        </w:rPr>
        <w:t>Heliotropium</w:t>
      </w:r>
      <w:proofErr w:type="spellEnd"/>
      <w:r w:rsidRPr="00167775">
        <w:rPr>
          <w:rFonts w:ascii="Arial" w:hAnsi="Arial" w:cs="Arial"/>
          <w:i/>
          <w:iCs/>
        </w:rPr>
        <w:t xml:space="preserve"> indicum</w:t>
      </w:r>
      <w:r w:rsidRPr="00167775">
        <w:rPr>
          <w:rFonts w:ascii="Arial" w:hAnsi="Arial" w:cs="Arial"/>
        </w:rPr>
        <w:t xml:space="preserve"> L. was collected at a farmland in Moor plantation, Apata. Identification</w:t>
      </w:r>
      <w:r w:rsidR="00D65C46">
        <w:rPr>
          <w:rFonts w:ascii="Arial" w:hAnsi="Arial" w:cs="Arial"/>
        </w:rPr>
        <w:t xml:space="preserve"> and authentication</w:t>
      </w:r>
      <w:r w:rsidRPr="00167775">
        <w:rPr>
          <w:rFonts w:ascii="Arial" w:hAnsi="Arial" w:cs="Arial"/>
        </w:rPr>
        <w:t xml:space="preserve"> of the plant was done at the herbarium, University of Ibadan;</w:t>
      </w:r>
      <w:r w:rsidRPr="00167775">
        <w:rPr>
          <w:rFonts w:ascii="Arial" w:hAnsi="Arial" w:cs="Arial"/>
          <w:lang w:val="en-GB"/>
        </w:rPr>
        <w:t xml:space="preserve"> with a voucher number:</w:t>
      </w:r>
      <w:r w:rsidRPr="00167775">
        <w:rPr>
          <w:rFonts w:ascii="Arial" w:hAnsi="Arial" w:cs="Arial"/>
        </w:rPr>
        <w:t xml:space="preserve"> UIH-22509 was </w:t>
      </w:r>
      <w:r w:rsidRPr="00167775">
        <w:rPr>
          <w:rFonts w:ascii="Arial" w:hAnsi="Arial" w:cs="Arial"/>
          <w:lang w:val="en-GB"/>
        </w:rPr>
        <w:t xml:space="preserve">assigned to the plant and deposited at the herbarium. </w:t>
      </w:r>
    </w:p>
    <w:p w14:paraId="401F0792" w14:textId="77777777" w:rsidR="00167775" w:rsidRPr="00167775" w:rsidRDefault="00167775" w:rsidP="00167775">
      <w:pPr>
        <w:jc w:val="both"/>
        <w:rPr>
          <w:rFonts w:ascii="Arial" w:hAnsi="Arial" w:cs="Arial"/>
          <w:lang w:val="en-GB"/>
        </w:rPr>
      </w:pPr>
    </w:p>
    <w:p w14:paraId="017254A5" w14:textId="77777777" w:rsidR="00167775" w:rsidRPr="00167775" w:rsidRDefault="00167775" w:rsidP="00167775">
      <w:pPr>
        <w:jc w:val="both"/>
        <w:rPr>
          <w:rFonts w:ascii="Arial" w:hAnsi="Arial" w:cs="Arial"/>
          <w:b/>
          <w:bCs/>
          <w:iCs/>
          <w:sz w:val="22"/>
          <w:szCs w:val="22"/>
        </w:rPr>
      </w:pPr>
      <w:r w:rsidRPr="00167775">
        <w:rPr>
          <w:rFonts w:ascii="Arial" w:hAnsi="Arial" w:cs="Arial"/>
          <w:b/>
          <w:bCs/>
          <w:sz w:val="22"/>
          <w:szCs w:val="22"/>
          <w:lang w:val="en-GB"/>
        </w:rPr>
        <w:t xml:space="preserve">2.2   Extraction of </w:t>
      </w:r>
      <w:proofErr w:type="spellStart"/>
      <w:r w:rsidRPr="00167775">
        <w:rPr>
          <w:rFonts w:ascii="Arial" w:hAnsi="Arial" w:cs="Arial"/>
          <w:b/>
          <w:bCs/>
          <w:i/>
          <w:iCs/>
          <w:sz w:val="22"/>
          <w:szCs w:val="22"/>
          <w:lang w:val="en-GB"/>
        </w:rPr>
        <w:t>Heliotropium</w:t>
      </w:r>
      <w:proofErr w:type="spellEnd"/>
      <w:r w:rsidRPr="00167775">
        <w:rPr>
          <w:rFonts w:ascii="Arial" w:hAnsi="Arial" w:cs="Arial"/>
          <w:b/>
          <w:bCs/>
          <w:i/>
          <w:iCs/>
          <w:sz w:val="22"/>
          <w:szCs w:val="22"/>
          <w:lang w:val="en-GB"/>
        </w:rPr>
        <w:t xml:space="preserve"> indicum</w:t>
      </w:r>
      <w:r w:rsidRPr="00167775">
        <w:rPr>
          <w:rFonts w:ascii="Arial" w:hAnsi="Arial" w:cs="Arial"/>
          <w:b/>
          <w:bCs/>
          <w:iCs/>
          <w:sz w:val="22"/>
          <w:szCs w:val="22"/>
          <w:lang w:val="en-GB"/>
        </w:rPr>
        <w:t xml:space="preserve"> L.</w:t>
      </w:r>
    </w:p>
    <w:p w14:paraId="1A25E0F0" w14:textId="77777777" w:rsidR="00167775" w:rsidRPr="00167775" w:rsidRDefault="00167775" w:rsidP="00167775">
      <w:pPr>
        <w:jc w:val="both"/>
        <w:rPr>
          <w:rFonts w:ascii="Arial" w:hAnsi="Arial" w:cs="Arial"/>
        </w:rPr>
      </w:pPr>
      <w:r w:rsidRPr="00167775">
        <w:rPr>
          <w:rFonts w:ascii="Arial" w:hAnsi="Arial" w:cs="Arial"/>
        </w:rPr>
        <w:t xml:space="preserve">The procedures for gathering, certifying, and processing the plant's methanol extract have all been documented in an earlier study [10], The </w:t>
      </w:r>
      <w:proofErr w:type="spellStart"/>
      <w:r w:rsidRPr="00167775">
        <w:rPr>
          <w:rFonts w:ascii="Arial" w:hAnsi="Arial" w:cs="Arial"/>
          <w:i/>
          <w:iCs/>
        </w:rPr>
        <w:t>Heliotropium</w:t>
      </w:r>
      <w:proofErr w:type="spellEnd"/>
      <w:r w:rsidRPr="00167775">
        <w:rPr>
          <w:rFonts w:ascii="Arial" w:hAnsi="Arial" w:cs="Arial"/>
          <w:i/>
          <w:iCs/>
        </w:rPr>
        <w:t xml:space="preserve"> indicum</w:t>
      </w:r>
      <w:r w:rsidRPr="00167775">
        <w:rPr>
          <w:rFonts w:ascii="Arial" w:hAnsi="Arial" w:cs="Arial"/>
        </w:rPr>
        <w:t xml:space="preserve"> L. was gathered, allowed to dry naturally, ground into a fine powder (6.25 kg), and then allowed to soak in enough methanol for 72 hours. Afterwards, the mixture was decanted, filtered, and concentrated using a rotary evaporator at 40 °C under reduced pressure (Stuart, United Kingdom). A constant weight of 72 g was achieved by further condensing the methanol extract to a crude extract devoid of solvents in a water bath (DK-420, China). </w:t>
      </w:r>
    </w:p>
    <w:p w14:paraId="3A3303FF" w14:textId="08AEA7B4" w:rsidR="00167775" w:rsidRPr="005F7B92" w:rsidRDefault="00167775" w:rsidP="00167775">
      <w:pPr>
        <w:jc w:val="both"/>
        <w:rPr>
          <w:rFonts w:ascii="Arial" w:hAnsi="Arial" w:cs="Arial"/>
        </w:rPr>
      </w:pPr>
      <w:r w:rsidRPr="00167775">
        <w:rPr>
          <w:rFonts w:ascii="Arial" w:hAnsi="Arial" w:cs="Arial"/>
        </w:rPr>
        <w:t xml:space="preserve">The obtained methanol extract was subjected to vacuum liquid chromatography to obtain chloroform fraction, after which the chloroform fraction (dissolved in 70-30; chloroform-methanol solvent) was loaded on the silica gel (60 g) and loaded on preparative thin layer </w:t>
      </w:r>
      <w:r w:rsidRPr="00167775">
        <w:rPr>
          <w:rFonts w:ascii="Arial" w:hAnsi="Arial" w:cs="Arial"/>
        </w:rPr>
        <w:lastRenderedPageBreak/>
        <w:t>chromatographic plate and eluted in 100-chloroform, 70-30 methanol-chloroform, 60-40 methanol-chloroform, 50-50 methanol-chloroform, 40-60 methanol-chloroform, 30-70 methanol-chloroform and 100-methanol solvent mixtures. The distinct bands were carefully scrapped and were identified using nuclear magnetic resonance technique. The identified fractions were labeled and kept for later examination at 4 °C.</w:t>
      </w:r>
      <w:r w:rsidR="005F7B92">
        <w:rPr>
          <w:rFonts w:ascii="Arial" w:hAnsi="Arial" w:cs="Arial"/>
        </w:rPr>
        <w:t xml:space="preserve"> </w:t>
      </w:r>
      <w:r w:rsidR="005F7B92" w:rsidRPr="005F7B92">
        <w:rPr>
          <w:rFonts w:ascii="Arial" w:hAnsi="Arial" w:cs="Arial"/>
          <w:color w:val="EE0000"/>
        </w:rPr>
        <w:t xml:space="preserve">From </w:t>
      </w:r>
      <w:r w:rsidR="005F7B92" w:rsidRPr="005F7B92">
        <w:rPr>
          <w:rFonts w:ascii="Arial" w:hAnsi="Arial" w:cs="Arial"/>
          <w:color w:val="EE0000"/>
        </w:rPr>
        <w:t>the isolated fractions, rutin was identified as the major bioactive compound by NMR spectroscopy and selected for subsequent biological evaluation.</w:t>
      </w:r>
    </w:p>
    <w:p w14:paraId="522D2471" w14:textId="77777777" w:rsidR="00167775" w:rsidRPr="00167775" w:rsidRDefault="00167775" w:rsidP="00167775">
      <w:pPr>
        <w:jc w:val="both"/>
        <w:rPr>
          <w:rFonts w:ascii="Arial" w:hAnsi="Arial" w:cs="Arial"/>
        </w:rPr>
      </w:pPr>
    </w:p>
    <w:p w14:paraId="28DBDA45" w14:textId="77777777" w:rsidR="00167775" w:rsidRPr="00167775" w:rsidRDefault="00167775" w:rsidP="00167775">
      <w:pPr>
        <w:jc w:val="both"/>
        <w:rPr>
          <w:rFonts w:ascii="Arial" w:hAnsi="Arial" w:cs="Arial"/>
          <w:b/>
          <w:bCs/>
          <w:sz w:val="22"/>
          <w:szCs w:val="22"/>
        </w:rPr>
      </w:pPr>
      <w:r w:rsidRPr="00167775">
        <w:rPr>
          <w:rFonts w:ascii="Arial" w:hAnsi="Arial" w:cs="Arial"/>
          <w:b/>
          <w:bCs/>
          <w:sz w:val="22"/>
          <w:szCs w:val="22"/>
        </w:rPr>
        <w:t>2.3.   Chemicals</w:t>
      </w:r>
    </w:p>
    <w:p w14:paraId="15514D08" w14:textId="77777777" w:rsidR="00167775" w:rsidRPr="00167775" w:rsidRDefault="00167775" w:rsidP="00167775">
      <w:pPr>
        <w:jc w:val="both"/>
        <w:rPr>
          <w:rFonts w:ascii="Arial" w:hAnsi="Arial" w:cs="Arial"/>
        </w:rPr>
      </w:pPr>
      <w:r w:rsidRPr="00167775">
        <w:rPr>
          <w:rFonts w:ascii="Arial" w:hAnsi="Arial" w:cs="Arial"/>
        </w:rPr>
        <w:t>Lactate dehydrogenase (LDH) assay kit and Cytotoxicity Accessory Reagents, Caspases 3 and 9, Bax, Bcl-2, Cytochrome c, TMRE Mitochondrial membrane potential ELISA Assay kits, QVD-</w:t>
      </w:r>
      <w:proofErr w:type="spellStart"/>
      <w:r w:rsidRPr="00167775">
        <w:rPr>
          <w:rFonts w:ascii="Arial" w:hAnsi="Arial" w:cs="Arial"/>
        </w:rPr>
        <w:t>Oph</w:t>
      </w:r>
      <w:proofErr w:type="spellEnd"/>
      <w:r w:rsidRPr="00167775">
        <w:rPr>
          <w:rFonts w:ascii="Arial" w:hAnsi="Arial" w:cs="Arial"/>
        </w:rPr>
        <w:t xml:space="preserve"> Standard Caspase inhibitor, PI/</w:t>
      </w:r>
      <w:proofErr w:type="spellStart"/>
      <w:r w:rsidRPr="00167775">
        <w:rPr>
          <w:rFonts w:ascii="Arial" w:hAnsi="Arial" w:cs="Arial"/>
        </w:rPr>
        <w:t>Rnase</w:t>
      </w:r>
      <w:proofErr w:type="spellEnd"/>
      <w:r w:rsidRPr="00167775">
        <w:rPr>
          <w:rFonts w:ascii="Arial" w:hAnsi="Arial" w:cs="Arial"/>
        </w:rPr>
        <w:t xml:space="preserve"> staining buffer, Penicillin/Streptomycin, Trypsin-EDTA (</w:t>
      </w:r>
      <w:proofErr w:type="spellStart"/>
      <w:r w:rsidRPr="00167775">
        <w:rPr>
          <w:rFonts w:ascii="Arial" w:hAnsi="Arial" w:cs="Arial"/>
        </w:rPr>
        <w:t>MyBioSource</w:t>
      </w:r>
      <w:proofErr w:type="spellEnd"/>
      <w:r w:rsidRPr="00167775">
        <w:rPr>
          <w:rFonts w:ascii="Arial" w:hAnsi="Arial" w:cs="Arial"/>
        </w:rPr>
        <w:t xml:space="preserve">, USA). </w:t>
      </w:r>
      <w:proofErr w:type="spellStart"/>
      <w:r w:rsidRPr="00167775">
        <w:rPr>
          <w:rFonts w:ascii="Arial" w:hAnsi="Arial" w:cs="Arial"/>
        </w:rPr>
        <w:t>HyClone</w:t>
      </w:r>
      <w:proofErr w:type="spellEnd"/>
      <w:r w:rsidRPr="00167775">
        <w:rPr>
          <w:rFonts w:ascii="Arial" w:hAnsi="Arial" w:cs="Arial"/>
        </w:rPr>
        <w:t xml:space="preserve"> DMEM, DMSO, HEPES buffer, PBS (Thomas Scientific, USA).</w:t>
      </w:r>
    </w:p>
    <w:p w14:paraId="6B04D5B7" w14:textId="77777777" w:rsidR="00167775" w:rsidRPr="00167775" w:rsidRDefault="00167775" w:rsidP="00167775">
      <w:pPr>
        <w:jc w:val="both"/>
        <w:rPr>
          <w:rFonts w:ascii="Arial" w:hAnsi="Arial" w:cs="Arial"/>
        </w:rPr>
      </w:pPr>
    </w:p>
    <w:p w14:paraId="3387B4F5" w14:textId="77777777" w:rsidR="00167775" w:rsidRPr="00167775" w:rsidRDefault="00167775" w:rsidP="00167775">
      <w:pPr>
        <w:jc w:val="both"/>
        <w:rPr>
          <w:rFonts w:ascii="Arial" w:hAnsi="Arial" w:cs="Arial"/>
          <w:b/>
          <w:bCs/>
          <w:sz w:val="22"/>
          <w:szCs w:val="22"/>
        </w:rPr>
      </w:pPr>
      <w:r w:rsidRPr="00167775">
        <w:rPr>
          <w:rFonts w:ascii="Arial" w:hAnsi="Arial" w:cs="Arial"/>
          <w:b/>
          <w:bCs/>
          <w:sz w:val="22"/>
          <w:szCs w:val="22"/>
        </w:rPr>
        <w:t>2.4.  Culture Medium and Cell lines</w:t>
      </w:r>
    </w:p>
    <w:p w14:paraId="7835EEFF" w14:textId="3D6B24EA" w:rsidR="00167775" w:rsidRPr="00167775" w:rsidRDefault="00167775" w:rsidP="00167775">
      <w:pPr>
        <w:jc w:val="both"/>
        <w:rPr>
          <w:rFonts w:ascii="Arial" w:hAnsi="Arial" w:cs="Arial"/>
        </w:rPr>
      </w:pPr>
      <w:r w:rsidRPr="00167775">
        <w:rPr>
          <w:rFonts w:ascii="Arial" w:hAnsi="Arial" w:cs="Arial"/>
        </w:rPr>
        <w:t>The cancer cell lines; HepG2 and LNCaP were procured from Cell line services (CLS, Germany) and cultivated in Dulbecco's Modified Eagle's medium (DMEM) (Gibco, USA) supplemented with 10% fetal bovine serum (FBS; Sigma) and 2 × 10</w:t>
      </w:r>
      <w:r w:rsidRPr="00167775">
        <w:rPr>
          <w:rFonts w:ascii="Arial" w:hAnsi="Arial" w:cs="Arial"/>
          <w:vertAlign w:val="superscript"/>
        </w:rPr>
        <w:t>−3</w:t>
      </w:r>
      <w:r w:rsidRPr="00167775">
        <w:rPr>
          <w:rFonts w:ascii="Arial" w:hAnsi="Arial" w:cs="Arial"/>
        </w:rPr>
        <w:t xml:space="preserve"> v/v penicillin–streptomycin (31 g/L penicillin and 50 g/L streptomycin). The cultures were maintained at 37 °C in a humidified environment with 5% CO</w:t>
      </w:r>
      <w:r w:rsidRPr="00167775">
        <w:rPr>
          <w:rFonts w:ascii="Arial" w:hAnsi="Arial" w:cs="Arial"/>
          <w:vertAlign w:val="subscript"/>
        </w:rPr>
        <w:t>2</w:t>
      </w:r>
      <w:r w:rsidRPr="00167775">
        <w:rPr>
          <w:rFonts w:ascii="Arial" w:hAnsi="Arial" w:cs="Arial"/>
        </w:rPr>
        <w:t>.</w:t>
      </w:r>
      <w:r w:rsidR="005F7B92">
        <w:rPr>
          <w:rFonts w:ascii="Arial" w:hAnsi="Arial" w:cs="Arial"/>
        </w:rPr>
        <w:t xml:space="preserve"> </w:t>
      </w:r>
      <w:r w:rsidR="005F7B92" w:rsidRPr="005F7B92">
        <w:rPr>
          <w:rFonts w:ascii="Arial" w:hAnsi="Arial" w:cs="Arial"/>
          <w:color w:val="EE0000"/>
        </w:rPr>
        <w:t>Both HepG2 and LNCaP cell lines were used to evaluate the anticancer activity of the isolated compound, rutin.</w:t>
      </w:r>
    </w:p>
    <w:p w14:paraId="481E9E3A" w14:textId="77777777" w:rsidR="00167775" w:rsidRPr="00167775" w:rsidRDefault="00167775" w:rsidP="00167775">
      <w:pPr>
        <w:jc w:val="both"/>
        <w:rPr>
          <w:rFonts w:ascii="Arial" w:hAnsi="Arial" w:cs="Arial"/>
        </w:rPr>
      </w:pPr>
    </w:p>
    <w:p w14:paraId="59A8FEFF" w14:textId="77777777" w:rsidR="00167775" w:rsidRPr="00167775" w:rsidRDefault="00167775" w:rsidP="00167775">
      <w:pPr>
        <w:jc w:val="both"/>
        <w:rPr>
          <w:rFonts w:ascii="Arial" w:hAnsi="Arial" w:cs="Arial"/>
          <w:b/>
          <w:bCs/>
          <w:sz w:val="22"/>
          <w:szCs w:val="22"/>
        </w:rPr>
      </w:pPr>
      <w:r w:rsidRPr="00167775">
        <w:rPr>
          <w:rFonts w:ascii="Arial" w:hAnsi="Arial" w:cs="Arial"/>
          <w:b/>
          <w:bCs/>
          <w:sz w:val="22"/>
          <w:szCs w:val="22"/>
        </w:rPr>
        <w:t>2.5.   Cell Cytotoxicity Assay</w:t>
      </w:r>
    </w:p>
    <w:p w14:paraId="434B5401" w14:textId="59483880" w:rsidR="00167775" w:rsidRPr="00167775" w:rsidRDefault="005F7B92" w:rsidP="00167775">
      <w:pPr>
        <w:jc w:val="both"/>
        <w:rPr>
          <w:rFonts w:ascii="Arial" w:hAnsi="Arial" w:cs="Arial"/>
        </w:rPr>
      </w:pPr>
      <w:r w:rsidRPr="005F7B92">
        <w:rPr>
          <w:rFonts w:ascii="Arial" w:hAnsi="Arial" w:cs="Arial"/>
          <w:color w:val="EE0000"/>
        </w:rPr>
        <w:t xml:space="preserve">The cytotoxic effects of </w:t>
      </w:r>
      <w:r w:rsidRPr="005F7B92">
        <w:rPr>
          <w:rFonts w:ascii="Arial" w:hAnsi="Arial" w:cs="Arial"/>
          <w:b/>
          <w:bCs/>
          <w:color w:val="EE0000"/>
        </w:rPr>
        <w:t xml:space="preserve">rutin isolated from </w:t>
      </w:r>
      <w:proofErr w:type="spellStart"/>
      <w:r w:rsidRPr="005F7B92">
        <w:rPr>
          <w:rFonts w:ascii="Arial" w:hAnsi="Arial" w:cs="Arial"/>
          <w:b/>
          <w:bCs/>
          <w:i/>
          <w:iCs/>
          <w:color w:val="EE0000"/>
        </w:rPr>
        <w:t>Heliotropium</w:t>
      </w:r>
      <w:proofErr w:type="spellEnd"/>
      <w:r w:rsidRPr="005F7B92">
        <w:rPr>
          <w:rFonts w:ascii="Arial" w:hAnsi="Arial" w:cs="Arial"/>
          <w:b/>
          <w:bCs/>
          <w:i/>
          <w:iCs/>
          <w:color w:val="EE0000"/>
        </w:rPr>
        <w:t xml:space="preserve"> indicum</w:t>
      </w:r>
      <w:r w:rsidRPr="005F7B92">
        <w:rPr>
          <w:rFonts w:ascii="Arial" w:hAnsi="Arial" w:cs="Arial"/>
          <w:b/>
          <w:bCs/>
          <w:color w:val="EE0000"/>
        </w:rPr>
        <w:t xml:space="preserve"> L.</w:t>
      </w:r>
      <w:r w:rsidRPr="005F7B92">
        <w:rPr>
          <w:rFonts w:ascii="Arial" w:hAnsi="Arial" w:cs="Arial"/>
          <w:color w:val="EE0000"/>
        </w:rPr>
        <w:t xml:space="preserve"> were evaluated in HepG2 and LNCaP </w:t>
      </w:r>
      <w:proofErr w:type="spellStart"/>
      <w:proofErr w:type="gramStart"/>
      <w:r w:rsidRPr="005F7B92">
        <w:rPr>
          <w:rFonts w:ascii="Arial" w:hAnsi="Arial" w:cs="Arial"/>
          <w:color w:val="EE0000"/>
        </w:rPr>
        <w:t>cells</w:t>
      </w:r>
      <w:r>
        <w:rPr>
          <w:rFonts w:ascii="Arial" w:hAnsi="Arial" w:cs="Arial"/>
          <w:color w:val="EE0000"/>
        </w:rPr>
        <w:t>.</w:t>
      </w:r>
      <w:r>
        <w:rPr>
          <w:rFonts w:ascii="Arial" w:hAnsi="Arial" w:cs="Arial"/>
        </w:rPr>
        <w:t>T</w:t>
      </w:r>
      <w:r w:rsidR="00167775" w:rsidRPr="00167775">
        <w:rPr>
          <w:rFonts w:ascii="Arial" w:hAnsi="Arial" w:cs="Arial"/>
        </w:rPr>
        <w:t>he</w:t>
      </w:r>
      <w:proofErr w:type="spellEnd"/>
      <w:proofErr w:type="gramEnd"/>
      <w:r w:rsidR="00167775" w:rsidRPr="00167775">
        <w:rPr>
          <w:rFonts w:ascii="Arial" w:hAnsi="Arial" w:cs="Arial"/>
        </w:rPr>
        <w:t xml:space="preserve"> cancer cells; HepG2 and LNCaP were grown in 96-well plates (1 × 10</w:t>
      </w:r>
      <w:r w:rsidR="00167775" w:rsidRPr="00167775">
        <w:rPr>
          <w:rFonts w:ascii="Arial" w:hAnsi="Arial" w:cs="Arial"/>
          <w:vertAlign w:val="superscript"/>
        </w:rPr>
        <w:t xml:space="preserve">4 </w:t>
      </w:r>
      <w:r w:rsidR="00167775" w:rsidRPr="00167775">
        <w:rPr>
          <w:rFonts w:ascii="Arial" w:hAnsi="Arial" w:cs="Arial"/>
        </w:rPr>
        <w:t xml:space="preserve">cells/100microL well) for a duration of 24 hours. Following an overnight growth period, the culture medium was changed. In the 96-wells different extract concentrations (0.01 µg/mL to 1000 µg/mL) were carefully pipetted in triplicate and incubated for a duration of 72 hours. Under 72 hours, there was </w:t>
      </w:r>
      <w:proofErr w:type="spellStart"/>
      <w:r w:rsidR="00167775" w:rsidRPr="00167775">
        <w:rPr>
          <w:rFonts w:ascii="Arial" w:hAnsi="Arial" w:cs="Arial"/>
        </w:rPr>
        <w:t>colour</w:t>
      </w:r>
      <w:proofErr w:type="spellEnd"/>
      <w:r w:rsidR="00167775" w:rsidRPr="00167775">
        <w:rPr>
          <w:rFonts w:ascii="Arial" w:hAnsi="Arial" w:cs="Arial"/>
        </w:rPr>
        <w:t xml:space="preserve"> development (yellow) in the well plates in varying degrees. Lactate dehydrogenase (LDH) release was measured to determine the extent of cell injury (Kumar et al., 2018). The enzyme reaction was carried out following the manufacturer's instructions (Lactate Dehydrogenase - LDH), Assay Kit, </w:t>
      </w:r>
      <w:proofErr w:type="spellStart"/>
      <w:r w:rsidR="00167775" w:rsidRPr="00167775">
        <w:rPr>
          <w:rFonts w:ascii="Arial" w:hAnsi="Arial" w:cs="Arial"/>
        </w:rPr>
        <w:t>MyBioSource</w:t>
      </w:r>
      <w:proofErr w:type="spellEnd"/>
      <w:r w:rsidR="00167775" w:rsidRPr="00167775">
        <w:rPr>
          <w:rFonts w:ascii="Arial" w:hAnsi="Arial" w:cs="Arial"/>
        </w:rPr>
        <w:t>, USA).</w:t>
      </w:r>
    </w:p>
    <w:p w14:paraId="3BE27C43" w14:textId="77777777" w:rsidR="00167775" w:rsidRPr="00167775" w:rsidRDefault="00167775" w:rsidP="00167775">
      <w:pPr>
        <w:jc w:val="both"/>
        <w:rPr>
          <w:rFonts w:ascii="Arial" w:hAnsi="Arial" w:cs="Arial"/>
        </w:rPr>
      </w:pPr>
      <w:r w:rsidRPr="00167775">
        <w:rPr>
          <w:rFonts w:ascii="Arial" w:hAnsi="Arial" w:cs="Arial"/>
        </w:rPr>
        <w:t xml:space="preserve">In summary, LDH reaction mixture (50 µL) was added to each well, and incubated for 60 minutes at 37 °C in the dark. The reaction was stopped with the aid of stop solution (10 µL). The Galapagos Plate reader was used to measure the absorbance (for the </w:t>
      </w:r>
      <w:proofErr w:type="spellStart"/>
      <w:r w:rsidRPr="00167775">
        <w:rPr>
          <w:rFonts w:ascii="Arial" w:hAnsi="Arial" w:cs="Arial"/>
        </w:rPr>
        <w:t>colour</w:t>
      </w:r>
      <w:proofErr w:type="spellEnd"/>
      <w:r w:rsidRPr="00167775">
        <w:rPr>
          <w:rFonts w:ascii="Arial" w:hAnsi="Arial" w:cs="Arial"/>
        </w:rPr>
        <w:t xml:space="preserve"> development) at 450 nm.</w:t>
      </w:r>
    </w:p>
    <w:p w14:paraId="7AC5DE45" w14:textId="77777777" w:rsidR="00167775" w:rsidRPr="00167775" w:rsidRDefault="00167775" w:rsidP="00167775">
      <w:pPr>
        <w:jc w:val="both"/>
        <w:rPr>
          <w:rFonts w:ascii="Arial" w:hAnsi="Arial" w:cs="Arial"/>
        </w:rPr>
      </w:pPr>
    </w:p>
    <w:p w14:paraId="13ECE54B" w14:textId="77777777" w:rsidR="00167775" w:rsidRPr="00167775" w:rsidRDefault="00167775" w:rsidP="00167775">
      <w:pPr>
        <w:jc w:val="both"/>
        <w:rPr>
          <w:rFonts w:ascii="Arial" w:hAnsi="Arial" w:cs="Arial"/>
          <w:b/>
          <w:bCs/>
          <w:sz w:val="22"/>
          <w:szCs w:val="22"/>
        </w:rPr>
      </w:pPr>
      <w:r w:rsidRPr="00167775">
        <w:rPr>
          <w:rFonts w:ascii="Arial" w:hAnsi="Arial" w:cs="Arial"/>
          <w:b/>
          <w:bCs/>
          <w:sz w:val="22"/>
          <w:szCs w:val="22"/>
        </w:rPr>
        <w:t>2.6.   Cell Membrane Potential Assay</w:t>
      </w:r>
    </w:p>
    <w:p w14:paraId="02253B34" w14:textId="77777777" w:rsidR="00167775" w:rsidRPr="00167775" w:rsidRDefault="00167775" w:rsidP="00167775">
      <w:pPr>
        <w:jc w:val="both"/>
        <w:rPr>
          <w:rFonts w:ascii="Arial" w:hAnsi="Arial" w:cs="Arial"/>
        </w:rPr>
      </w:pPr>
      <w:r w:rsidRPr="00167775">
        <w:rPr>
          <w:rFonts w:ascii="Arial" w:hAnsi="Arial" w:cs="Arial"/>
        </w:rPr>
        <w:t xml:space="preserve">Following a 24-hour culture period. Attached cells were treated for 72 hours with an extract at varying concentrations. Within three - four hours after the test substance was dispensed into the cells, depolarized wells were filled with 20 µL of 400 µM FCCP (for a 20 µM treatment). Thirty minutes prior to the end of the experiment, 400 µL of 200 </w:t>
      </w:r>
      <w:proofErr w:type="spellStart"/>
      <w:r w:rsidRPr="00167775">
        <w:rPr>
          <w:rFonts w:ascii="Arial" w:hAnsi="Arial" w:cs="Arial"/>
        </w:rPr>
        <w:t>nM</w:t>
      </w:r>
      <w:proofErr w:type="spellEnd"/>
      <w:r w:rsidRPr="00167775">
        <w:rPr>
          <w:rFonts w:ascii="Arial" w:hAnsi="Arial" w:cs="Arial"/>
        </w:rPr>
        <w:t xml:space="preserve"> TMRE dye was added to each well, and it was left to incubate at 37 °C for thirty minutes. Following the subculturing process, the medium was removed and the cells were rinsed twice with 400 µL of 1X assay buffer. </w:t>
      </w:r>
    </w:p>
    <w:p w14:paraId="695CDBE8" w14:textId="77777777" w:rsidR="00167775" w:rsidRPr="00167775" w:rsidRDefault="00167775" w:rsidP="00167775">
      <w:pPr>
        <w:jc w:val="both"/>
        <w:rPr>
          <w:rFonts w:ascii="Arial" w:hAnsi="Arial" w:cs="Arial"/>
        </w:rPr>
      </w:pPr>
      <w:r w:rsidRPr="00167775">
        <w:rPr>
          <w:rFonts w:ascii="Arial" w:hAnsi="Arial" w:cs="Arial"/>
        </w:rPr>
        <w:t>To acquire fluorescence readings, the assay buffer (200 µl) was dispensed into each well, where it was allowed to equilibrate (after the buffer was added, it was allowed to sit for about five – ten minutes to chemically reach its equilibrium). Subsequently, the wells were transferred to the microplate reader. Excitation wavelengths for the monomer and aggregate were set at 475 ± 20 nm, with emission wavelengths for the monomer species at 530 ± 15 nm and for the aggregate at 590 ± 15 nm. Plotting of the aggregate-to-monomer ratio was performed post subtraction of the background signal.</w:t>
      </w:r>
    </w:p>
    <w:p w14:paraId="2A6D3EF5" w14:textId="77777777" w:rsidR="00167775" w:rsidRPr="00167775" w:rsidRDefault="00167775" w:rsidP="00167775">
      <w:pPr>
        <w:jc w:val="both"/>
        <w:rPr>
          <w:rFonts w:ascii="Arial" w:hAnsi="Arial" w:cs="Arial"/>
        </w:rPr>
      </w:pPr>
    </w:p>
    <w:p w14:paraId="3C150828" w14:textId="77777777" w:rsidR="00167775" w:rsidRPr="00167775" w:rsidRDefault="00167775" w:rsidP="00167775">
      <w:pPr>
        <w:jc w:val="both"/>
        <w:rPr>
          <w:rFonts w:ascii="Arial" w:hAnsi="Arial" w:cs="Arial"/>
          <w:b/>
          <w:bCs/>
          <w:sz w:val="22"/>
          <w:szCs w:val="22"/>
        </w:rPr>
      </w:pPr>
      <w:r w:rsidRPr="00167775">
        <w:rPr>
          <w:rFonts w:ascii="Arial" w:hAnsi="Arial" w:cs="Arial"/>
          <w:b/>
          <w:bCs/>
          <w:sz w:val="22"/>
          <w:szCs w:val="22"/>
        </w:rPr>
        <w:t>2.7.   Caspases Assessment Assay</w:t>
      </w:r>
    </w:p>
    <w:p w14:paraId="0DE6C77E" w14:textId="77777777" w:rsidR="00167775" w:rsidRPr="00167775" w:rsidRDefault="00167775" w:rsidP="00167775">
      <w:pPr>
        <w:jc w:val="both"/>
        <w:rPr>
          <w:rFonts w:ascii="Arial" w:hAnsi="Arial" w:cs="Arial"/>
        </w:rPr>
      </w:pPr>
      <w:r w:rsidRPr="00167775">
        <w:rPr>
          <w:rFonts w:ascii="Arial" w:hAnsi="Arial" w:cs="Arial"/>
        </w:rPr>
        <w:t>Following the dispensing of 100 µL of standard, sample, and blank into the appropriate wells, the wells were sealed and sub-cultured at 37</w:t>
      </w:r>
      <w:r w:rsidRPr="00167775">
        <w:rPr>
          <w:rFonts w:ascii="Arial" w:hAnsi="Arial" w:cs="Arial"/>
          <w:vertAlign w:val="superscript"/>
        </w:rPr>
        <w:t>0</w:t>
      </w:r>
      <w:r w:rsidRPr="00167775">
        <w:rPr>
          <w:rFonts w:ascii="Arial" w:hAnsi="Arial" w:cs="Arial"/>
        </w:rPr>
        <w:t>C for an hour. The solution was dispensed. Using a multichannel pipette and absorbent paper, the well technically drained after being washed three times with 350 µL of wash solution. Next, 100 µL of HRP-Conjugate Reagent was added to the wells, and the mixture was incubated for thirty minutes at 37</w:t>
      </w:r>
      <w:r w:rsidRPr="00167775">
        <w:rPr>
          <w:rFonts w:ascii="Arial" w:hAnsi="Arial" w:cs="Arial"/>
          <w:vertAlign w:val="superscript"/>
        </w:rPr>
        <w:t>0</w:t>
      </w:r>
      <w:r w:rsidRPr="00167775">
        <w:rPr>
          <w:rFonts w:ascii="Arial" w:hAnsi="Arial" w:cs="Arial"/>
        </w:rPr>
        <w:t xml:space="preserve">C. </w:t>
      </w:r>
    </w:p>
    <w:p w14:paraId="697FE1E5" w14:textId="77777777" w:rsidR="00167775" w:rsidRPr="00167775" w:rsidRDefault="00167775" w:rsidP="00167775">
      <w:pPr>
        <w:jc w:val="both"/>
        <w:rPr>
          <w:rFonts w:ascii="Arial" w:hAnsi="Arial" w:cs="Arial"/>
        </w:rPr>
      </w:pPr>
      <w:r w:rsidRPr="00167775">
        <w:rPr>
          <w:rFonts w:ascii="Arial" w:hAnsi="Arial" w:cs="Arial"/>
        </w:rPr>
        <w:t>Subsequently, wells underwent five consecutive rounds of washing before 90 µL of substrate solution (A, and then B) were dispensed into them and then subjected to a 20–30 minutes sub-culture at 37 °C. To instantly stop the reaction, 50 µL of stop solution was added to the well, and the abs was measured at 450 nm. These procedures were conducted for Caspases 3 and 9 according to the manufacturer’s manual.</w:t>
      </w:r>
    </w:p>
    <w:p w14:paraId="6A0A0613" w14:textId="77777777" w:rsidR="00167775" w:rsidRPr="00167775" w:rsidRDefault="00167775" w:rsidP="00167775">
      <w:pPr>
        <w:jc w:val="both"/>
        <w:rPr>
          <w:rFonts w:ascii="Arial" w:hAnsi="Arial" w:cs="Arial"/>
        </w:rPr>
      </w:pPr>
    </w:p>
    <w:p w14:paraId="1D97F8B9" w14:textId="77777777" w:rsidR="00167775" w:rsidRPr="00167775" w:rsidRDefault="00167775" w:rsidP="00167775">
      <w:pPr>
        <w:jc w:val="both"/>
        <w:rPr>
          <w:rFonts w:ascii="Arial" w:hAnsi="Arial" w:cs="Arial"/>
          <w:b/>
          <w:bCs/>
          <w:sz w:val="22"/>
          <w:szCs w:val="22"/>
        </w:rPr>
      </w:pPr>
      <w:r w:rsidRPr="00167775">
        <w:rPr>
          <w:rFonts w:ascii="Arial" w:hAnsi="Arial" w:cs="Arial"/>
          <w:b/>
          <w:bCs/>
          <w:sz w:val="22"/>
          <w:szCs w:val="22"/>
        </w:rPr>
        <w:t xml:space="preserve">2.8.   Bcl2 family (Pro- and Anti-) Assay </w:t>
      </w:r>
    </w:p>
    <w:p w14:paraId="6A2D814F" w14:textId="77777777" w:rsidR="00167775" w:rsidRPr="00167775" w:rsidRDefault="00167775" w:rsidP="00167775">
      <w:pPr>
        <w:jc w:val="both"/>
        <w:rPr>
          <w:rFonts w:ascii="Arial" w:hAnsi="Arial" w:cs="Arial"/>
        </w:rPr>
      </w:pPr>
      <w:r w:rsidRPr="00167775">
        <w:rPr>
          <w:rFonts w:ascii="Arial" w:hAnsi="Arial" w:cs="Arial"/>
          <w:shd w:val="clear" w:color="auto" w:fill="FFFFFF"/>
        </w:rPr>
        <w:t>Prior to commencing the experiment, reagents were equilibrated to room temperature</w:t>
      </w:r>
      <w:r w:rsidRPr="00167775">
        <w:rPr>
          <w:rFonts w:ascii="Arial" w:hAnsi="Arial" w:cs="Arial"/>
        </w:rPr>
        <w:t xml:space="preserve">. 100 </w:t>
      </w:r>
      <w:proofErr w:type="spellStart"/>
      <w:r w:rsidRPr="00167775">
        <w:rPr>
          <w:rFonts w:ascii="Arial" w:hAnsi="Arial" w:cs="Arial"/>
        </w:rPr>
        <w:t>μL</w:t>
      </w:r>
      <w:proofErr w:type="spellEnd"/>
      <w:r w:rsidRPr="00167775">
        <w:rPr>
          <w:rFonts w:ascii="Arial" w:hAnsi="Arial" w:cs="Arial"/>
        </w:rPr>
        <w:t xml:space="preserve"> of the standard solution were added to the assigned wells in triplicate. Furthermore, 100 </w:t>
      </w:r>
      <w:proofErr w:type="spellStart"/>
      <w:r w:rsidRPr="00167775">
        <w:rPr>
          <w:rFonts w:ascii="Arial" w:hAnsi="Arial" w:cs="Arial"/>
        </w:rPr>
        <w:t>μL</w:t>
      </w:r>
      <w:proofErr w:type="spellEnd"/>
      <w:r w:rsidRPr="00167775">
        <w:rPr>
          <w:rFonts w:ascii="Arial" w:hAnsi="Arial" w:cs="Arial"/>
        </w:rPr>
        <w:t xml:space="preserve"> of the samples were added to wells in triplicate. The plate was sealed and incubated at 37 </w:t>
      </w:r>
      <w:r w:rsidRPr="00167775">
        <w:rPr>
          <w:rFonts w:ascii="Arial" w:hAnsi="Arial" w:cs="Arial"/>
          <w:vertAlign w:val="superscript"/>
        </w:rPr>
        <w:t>0</w:t>
      </w:r>
      <w:r w:rsidRPr="00167775">
        <w:rPr>
          <w:rFonts w:ascii="Arial" w:hAnsi="Arial" w:cs="Arial"/>
        </w:rPr>
        <w:t>C for ninety minutes. After incubation, the liquid was micro-pipetted from each well. Each well was immediately filled with 100 mL of the BTD-Ab combination, and then the plate sealer was placed over the wells. The plate was lightly stirred and tapped to ensure equal distribution of the added substrate in the wells. Then, it was sub-cultured for one hour at 37</w:t>
      </w:r>
      <w:r w:rsidRPr="00167775">
        <w:rPr>
          <w:rFonts w:ascii="Arial" w:hAnsi="Arial" w:cs="Arial"/>
          <w:vertAlign w:val="superscript"/>
        </w:rPr>
        <w:t>0</w:t>
      </w:r>
      <w:r w:rsidRPr="00167775">
        <w:rPr>
          <w:rFonts w:ascii="Arial" w:hAnsi="Arial" w:cs="Arial"/>
        </w:rPr>
        <w:t xml:space="preserve">C. Following the removal of the solution from the wells, 350 </w:t>
      </w:r>
      <w:proofErr w:type="spellStart"/>
      <w:r w:rsidRPr="00167775">
        <w:rPr>
          <w:rFonts w:ascii="Arial" w:hAnsi="Arial" w:cs="Arial"/>
        </w:rPr>
        <w:t>μL</w:t>
      </w:r>
      <w:proofErr w:type="spellEnd"/>
      <w:r w:rsidRPr="00167775">
        <w:rPr>
          <w:rFonts w:ascii="Arial" w:hAnsi="Arial" w:cs="Arial"/>
        </w:rPr>
        <w:t xml:space="preserve"> of the wash solution was poured into each well and allowed to stand for two minutes before being disposed. It was wiped on absorbent paper, and this washing process was done three times. After adding 100 </w:t>
      </w:r>
      <w:proofErr w:type="spellStart"/>
      <w:r w:rsidRPr="00167775">
        <w:rPr>
          <w:rFonts w:ascii="Arial" w:hAnsi="Arial" w:cs="Arial"/>
        </w:rPr>
        <w:t>μL</w:t>
      </w:r>
      <w:proofErr w:type="spellEnd"/>
      <w:r w:rsidRPr="00167775">
        <w:rPr>
          <w:rFonts w:ascii="Arial" w:hAnsi="Arial" w:cs="Arial"/>
        </w:rPr>
        <w:t xml:space="preserve"> of HRP-conjugate working solution, the wells were sealed. After 30 minutes at 37 </w:t>
      </w:r>
      <w:r w:rsidRPr="00167775">
        <w:rPr>
          <w:rFonts w:ascii="Arial" w:hAnsi="Arial" w:cs="Arial"/>
          <w:vertAlign w:val="superscript"/>
        </w:rPr>
        <w:t>0</w:t>
      </w:r>
      <w:r w:rsidRPr="00167775">
        <w:rPr>
          <w:rFonts w:ascii="Arial" w:hAnsi="Arial" w:cs="Arial"/>
        </w:rPr>
        <w:t xml:space="preserve">C of incubation, the solution was thrown out. Subsequently, the wash process was repeated, and 90 </w:t>
      </w:r>
      <w:proofErr w:type="spellStart"/>
      <w:r w:rsidRPr="00167775">
        <w:rPr>
          <w:rFonts w:ascii="Arial" w:hAnsi="Arial" w:cs="Arial"/>
        </w:rPr>
        <w:t>μL</w:t>
      </w:r>
      <w:proofErr w:type="spellEnd"/>
      <w:r w:rsidRPr="00167775">
        <w:rPr>
          <w:rFonts w:ascii="Arial" w:hAnsi="Arial" w:cs="Arial"/>
        </w:rPr>
        <w:t xml:space="preserve"> of substrate reagent were poured into wells and sealed. After that, it was sub-cultured for fifteen minutes at 37 </w:t>
      </w:r>
      <w:r w:rsidRPr="00167775">
        <w:rPr>
          <w:rFonts w:ascii="Arial" w:hAnsi="Arial" w:cs="Arial"/>
          <w:vertAlign w:val="superscript"/>
        </w:rPr>
        <w:t>0</w:t>
      </w:r>
      <w:r w:rsidRPr="00167775">
        <w:rPr>
          <w:rFonts w:ascii="Arial" w:hAnsi="Arial" w:cs="Arial"/>
        </w:rPr>
        <w:t>C. 50 mL of stop solution was added to each well, and the OD values of the wells were measured concurrently at 450 nm using a microplate reader. These procedures adhered to the guidelines outlined in the manufacturer’s manual.</w:t>
      </w:r>
    </w:p>
    <w:p w14:paraId="6EC6A510" w14:textId="77777777" w:rsidR="00167775" w:rsidRPr="00167775" w:rsidRDefault="00167775" w:rsidP="00167775">
      <w:pPr>
        <w:jc w:val="both"/>
        <w:rPr>
          <w:rFonts w:ascii="Arial" w:hAnsi="Arial" w:cs="Arial"/>
        </w:rPr>
      </w:pPr>
    </w:p>
    <w:p w14:paraId="55B75032" w14:textId="77777777" w:rsidR="00167775" w:rsidRPr="00167775" w:rsidRDefault="00167775" w:rsidP="00167775">
      <w:pPr>
        <w:jc w:val="both"/>
        <w:rPr>
          <w:rFonts w:ascii="Arial" w:hAnsi="Arial" w:cs="Arial"/>
          <w:b/>
          <w:bCs/>
          <w:sz w:val="22"/>
          <w:szCs w:val="22"/>
        </w:rPr>
      </w:pPr>
      <w:r w:rsidRPr="00167775">
        <w:rPr>
          <w:rFonts w:ascii="Arial" w:hAnsi="Arial" w:cs="Arial"/>
          <w:b/>
          <w:bCs/>
          <w:sz w:val="22"/>
          <w:szCs w:val="22"/>
        </w:rPr>
        <w:t>2.9.   Cytochrome c Assay</w:t>
      </w:r>
    </w:p>
    <w:p w14:paraId="748C71E4" w14:textId="77777777" w:rsidR="00167775" w:rsidRPr="00167775" w:rsidRDefault="00167775" w:rsidP="00167775">
      <w:pPr>
        <w:jc w:val="both"/>
        <w:rPr>
          <w:rFonts w:ascii="Arial" w:hAnsi="Arial" w:cs="Arial"/>
        </w:rPr>
      </w:pPr>
      <w:r w:rsidRPr="00167775">
        <w:rPr>
          <w:rFonts w:ascii="Arial" w:hAnsi="Arial" w:cs="Arial"/>
          <w:shd w:val="clear" w:color="auto" w:fill="FFFFFF"/>
        </w:rPr>
        <w:t>Upon equilibrating all components of the kit to room temperature, a 1:25 wash solution was prepared by diluting the wash solution concentrate with double-distilled water (i.e. 0.2ml of wash solution concentrate was dissolved in 4.8ml of double distilled water to achieve 5 ml of wash solution). The cytochrome c standard was prepared by reconstituting lyophilized cytochrome c with 1 mL of standard diluent and allowing it to stand for 30 minutes. To achieve a range of concentrations (0.156 – 10 ng/mL), a serial dilution was carried out into seven Eppendorf tubes</w:t>
      </w:r>
      <w:r w:rsidRPr="00167775">
        <w:rPr>
          <w:rFonts w:ascii="Arial" w:hAnsi="Arial" w:cs="Arial"/>
        </w:rPr>
        <w:t>. The standard and sample (Cell lysate) were dispensed in triplicates into Cytochrome c specific primary ATB pre-coated wells. The wells were sub-cultured for 90 minutes at 37</w:t>
      </w:r>
      <w:r w:rsidRPr="00167775">
        <w:rPr>
          <w:rFonts w:ascii="Arial" w:hAnsi="Arial" w:cs="Arial"/>
          <w:vertAlign w:val="superscript"/>
        </w:rPr>
        <w:t>0</w:t>
      </w:r>
      <w:r w:rsidRPr="00167775">
        <w:rPr>
          <w:rFonts w:ascii="Arial" w:hAnsi="Arial" w:cs="Arial"/>
        </w:rPr>
        <w:t>C.</w:t>
      </w:r>
    </w:p>
    <w:p w14:paraId="4AFA2EF7" w14:textId="77777777" w:rsidR="00167775" w:rsidRPr="00167775" w:rsidRDefault="00167775" w:rsidP="00167775">
      <w:pPr>
        <w:jc w:val="both"/>
        <w:rPr>
          <w:rFonts w:ascii="Arial" w:hAnsi="Arial" w:cs="Arial"/>
        </w:rPr>
      </w:pPr>
      <w:r w:rsidRPr="00167775">
        <w:rPr>
          <w:rFonts w:ascii="Arial" w:hAnsi="Arial" w:cs="Arial"/>
        </w:rPr>
        <w:t xml:space="preserve">Following three rinses with 350 µL of previously prepared washing solution, biotinylated human cytochrome c ATB was added to the wells, and sub-cultured for 60 minutes (37 </w:t>
      </w:r>
      <w:r w:rsidRPr="00167775">
        <w:rPr>
          <w:rFonts w:ascii="Arial" w:hAnsi="Arial" w:cs="Arial"/>
          <w:vertAlign w:val="superscript"/>
        </w:rPr>
        <w:t>0</w:t>
      </w:r>
      <w:r w:rsidRPr="00167775">
        <w:rPr>
          <w:rFonts w:ascii="Arial" w:hAnsi="Arial" w:cs="Arial"/>
        </w:rPr>
        <w:t xml:space="preserve">C). The specified wells were filled with 100 µL of the enzyme conjugate liquid (strep-HRP conjugate) and incubated for 30 minutes at 37 </w:t>
      </w:r>
      <w:r w:rsidRPr="00167775">
        <w:rPr>
          <w:rFonts w:ascii="Arial" w:hAnsi="Arial" w:cs="Arial"/>
          <w:vertAlign w:val="superscript"/>
        </w:rPr>
        <w:t>0</w:t>
      </w:r>
      <w:r w:rsidRPr="00167775">
        <w:rPr>
          <w:rFonts w:ascii="Arial" w:hAnsi="Arial" w:cs="Arial"/>
        </w:rPr>
        <w:t xml:space="preserve">C. After which the TMB substrate (100 µL) was added. The wells were then sub-cultured for 30 minutes at 37 </w:t>
      </w:r>
      <w:r w:rsidRPr="00167775">
        <w:rPr>
          <w:rFonts w:ascii="Arial" w:hAnsi="Arial" w:cs="Arial"/>
          <w:vertAlign w:val="superscript"/>
        </w:rPr>
        <w:t>0</w:t>
      </w:r>
      <w:r w:rsidRPr="00167775">
        <w:rPr>
          <w:rFonts w:ascii="Arial" w:hAnsi="Arial" w:cs="Arial"/>
        </w:rPr>
        <w:t>C. After a 10-minute culturing period, 100 µL of stop solution was added to each well, and the absorbance at 450 nm was determined.</w:t>
      </w:r>
    </w:p>
    <w:p w14:paraId="7AE88C60" w14:textId="77777777" w:rsidR="00A03B96" w:rsidRDefault="00A03B96" w:rsidP="00167775">
      <w:pPr>
        <w:pStyle w:val="Body"/>
        <w:spacing w:after="0"/>
        <w:rPr>
          <w:rFonts w:ascii="Arial" w:hAnsi="Arial" w:cs="Arial"/>
        </w:rPr>
      </w:pPr>
    </w:p>
    <w:p w14:paraId="465E2620"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4E97F28" w14:textId="77777777" w:rsidR="00167775" w:rsidRPr="005836E1" w:rsidRDefault="00167775" w:rsidP="00167775">
      <w:pPr>
        <w:jc w:val="both"/>
        <w:rPr>
          <w:rFonts w:ascii="Arial" w:hAnsi="Arial" w:cs="Arial"/>
          <w:b/>
          <w:bCs/>
          <w:sz w:val="22"/>
          <w:szCs w:val="22"/>
        </w:rPr>
      </w:pPr>
      <w:r w:rsidRPr="005836E1">
        <w:rPr>
          <w:rFonts w:ascii="Arial" w:hAnsi="Arial" w:cs="Arial"/>
          <w:b/>
          <w:bCs/>
          <w:sz w:val="22"/>
          <w:szCs w:val="22"/>
        </w:rPr>
        <w:t>3.1 Effect of rutin on cell proliferation</w:t>
      </w:r>
    </w:p>
    <w:p w14:paraId="2CBFD9BB" w14:textId="759D86E6" w:rsidR="00167775" w:rsidRPr="00167775" w:rsidRDefault="00167775" w:rsidP="00167775">
      <w:pPr>
        <w:jc w:val="both"/>
        <w:rPr>
          <w:rFonts w:ascii="Arial" w:hAnsi="Arial" w:cs="Arial"/>
          <w:b/>
          <w:bCs/>
        </w:rPr>
      </w:pPr>
      <w:r w:rsidRPr="00167775">
        <w:rPr>
          <w:rFonts w:ascii="Arial" w:hAnsi="Arial" w:cs="Arial"/>
        </w:rPr>
        <w:t xml:space="preserve">The antiproliferative effect of the rutin isolated from </w:t>
      </w:r>
      <w:proofErr w:type="spellStart"/>
      <w:r w:rsidRPr="00167775">
        <w:rPr>
          <w:rFonts w:ascii="Arial" w:hAnsi="Arial" w:cs="Arial"/>
          <w:i/>
          <w:iCs/>
        </w:rPr>
        <w:t>Heliotropium</w:t>
      </w:r>
      <w:proofErr w:type="spellEnd"/>
      <w:r w:rsidRPr="00167775">
        <w:rPr>
          <w:rFonts w:ascii="Arial" w:hAnsi="Arial" w:cs="Arial"/>
          <w:i/>
          <w:iCs/>
        </w:rPr>
        <w:t xml:space="preserve"> indicum</w:t>
      </w:r>
      <w:r w:rsidRPr="00167775">
        <w:rPr>
          <w:rFonts w:ascii="Arial" w:hAnsi="Arial" w:cs="Arial"/>
        </w:rPr>
        <w:t xml:space="preserve"> against the two cancer cell lines, hepatocarcinoma (HepG2) and prostate carcinoma (LNCaP), was assessed. </w:t>
      </w:r>
      <w:r w:rsidRPr="00167775">
        <w:rPr>
          <w:rFonts w:ascii="Arial" w:hAnsi="Arial" w:cs="Arial"/>
          <w:shd w:val="clear" w:color="auto" w:fill="FFFFFF"/>
        </w:rPr>
        <w:lastRenderedPageBreak/>
        <w:t>Non-tumorous VERO cells were utilized as the control</w:t>
      </w:r>
      <w:r w:rsidRPr="00167775">
        <w:rPr>
          <w:rFonts w:ascii="Arial" w:hAnsi="Arial" w:cs="Arial"/>
        </w:rPr>
        <w:t xml:space="preserve">. The effects of </w:t>
      </w:r>
      <w:r w:rsidR="00DD29E6" w:rsidRPr="00DD29E6">
        <w:rPr>
          <w:rFonts w:ascii="Arial" w:hAnsi="Arial" w:cs="Arial"/>
          <w:color w:val="EE0000"/>
        </w:rPr>
        <w:t>HepG2</w:t>
      </w:r>
      <w:r w:rsidRPr="00DD29E6">
        <w:rPr>
          <w:rFonts w:ascii="Arial" w:hAnsi="Arial" w:cs="Arial"/>
          <w:color w:val="EE0000"/>
        </w:rPr>
        <w:t xml:space="preserve"> and </w:t>
      </w:r>
      <w:r w:rsidR="00DD29E6" w:rsidRPr="00DD29E6">
        <w:rPr>
          <w:rFonts w:ascii="Arial" w:hAnsi="Arial" w:cs="Arial"/>
          <w:color w:val="EE0000"/>
        </w:rPr>
        <w:t>LNCaP</w:t>
      </w:r>
      <w:r w:rsidR="00DD29E6" w:rsidRPr="00DD29E6">
        <w:rPr>
          <w:rFonts w:ascii="Arial" w:hAnsi="Arial" w:cs="Arial"/>
          <w:color w:val="EE0000"/>
        </w:rPr>
        <w:t xml:space="preserve"> </w:t>
      </w:r>
      <w:r w:rsidRPr="00167775">
        <w:rPr>
          <w:rFonts w:ascii="Arial" w:hAnsi="Arial" w:cs="Arial"/>
        </w:rPr>
        <w:t>cancer cells on increasing rutin concentrations are shown in Figures 1 and 2, respectively. The outcomes demonstrated propensity of both cell lines to rapidly decline in number when exposed to doses of rutin, with the strength of the response tapering as the concentrations of the substance increased. After being incubated for 72 hours, rutin's IC</w:t>
      </w:r>
      <w:r w:rsidRPr="00167775">
        <w:rPr>
          <w:rFonts w:ascii="Arial" w:hAnsi="Arial" w:cs="Arial"/>
          <w:vertAlign w:val="subscript"/>
        </w:rPr>
        <w:t>50</w:t>
      </w:r>
      <w:r w:rsidRPr="00167775">
        <w:rPr>
          <w:rFonts w:ascii="Arial" w:hAnsi="Arial" w:cs="Arial"/>
        </w:rPr>
        <w:t xml:space="preserve"> values on HepG2 and LNCaP were 1.692 </w:t>
      </w:r>
      <w:proofErr w:type="spellStart"/>
      <w:r w:rsidRPr="00167775">
        <w:rPr>
          <w:rFonts w:ascii="Arial" w:hAnsi="Arial" w:cs="Arial"/>
        </w:rPr>
        <w:t>μg</w:t>
      </w:r>
      <w:proofErr w:type="spellEnd"/>
      <w:r w:rsidRPr="00167775">
        <w:rPr>
          <w:rFonts w:ascii="Arial" w:hAnsi="Arial" w:cs="Arial"/>
        </w:rPr>
        <w:t xml:space="preserve">/mL and 1.849 </w:t>
      </w:r>
      <w:proofErr w:type="spellStart"/>
      <w:r w:rsidRPr="00167775">
        <w:rPr>
          <w:rFonts w:ascii="Arial" w:hAnsi="Arial" w:cs="Arial"/>
        </w:rPr>
        <w:t>μg</w:t>
      </w:r>
      <w:proofErr w:type="spellEnd"/>
      <w:r w:rsidRPr="00167775">
        <w:rPr>
          <w:rFonts w:ascii="Arial" w:hAnsi="Arial" w:cs="Arial"/>
        </w:rPr>
        <w:t>/mL, respectively. This suggests that rutin had a greater anti-proliferative effect on LNCaP cancer cells than HepG2 cancer cells. It can be shown from the higher IC</w:t>
      </w:r>
      <w:r w:rsidRPr="00167775">
        <w:rPr>
          <w:rFonts w:ascii="Arial" w:hAnsi="Arial" w:cs="Arial"/>
          <w:vertAlign w:val="subscript"/>
        </w:rPr>
        <w:t>50</w:t>
      </w:r>
      <w:r w:rsidRPr="00167775">
        <w:rPr>
          <w:rFonts w:ascii="Arial" w:hAnsi="Arial" w:cs="Arial"/>
        </w:rPr>
        <w:t xml:space="preserve"> value for VERO cells (used as the control) that rutin is more toxic on cancer cells than it is to normal cells as seen in the selectivity index for VERO's IC</w:t>
      </w:r>
      <w:r w:rsidRPr="00167775">
        <w:rPr>
          <w:rFonts w:ascii="Arial" w:hAnsi="Arial" w:cs="Arial"/>
          <w:vertAlign w:val="subscript"/>
        </w:rPr>
        <w:t>50</w:t>
      </w:r>
      <w:r w:rsidRPr="00167775">
        <w:rPr>
          <w:rFonts w:ascii="Arial" w:hAnsi="Arial" w:cs="Arial"/>
        </w:rPr>
        <w:t xml:space="preserve"> against LNCaP and HepG2 which is greater than 2. According to this, rutin isolated from </w:t>
      </w:r>
      <w:proofErr w:type="spellStart"/>
      <w:r w:rsidRPr="00167775">
        <w:rPr>
          <w:rFonts w:ascii="Arial" w:hAnsi="Arial" w:cs="Arial"/>
          <w:i/>
          <w:iCs/>
        </w:rPr>
        <w:t>Heliotropium</w:t>
      </w:r>
      <w:proofErr w:type="spellEnd"/>
      <w:r w:rsidRPr="00167775">
        <w:rPr>
          <w:rFonts w:ascii="Arial" w:hAnsi="Arial" w:cs="Arial"/>
        </w:rPr>
        <w:t xml:space="preserve"> </w:t>
      </w:r>
      <w:r w:rsidRPr="00167775">
        <w:rPr>
          <w:rFonts w:ascii="Arial" w:hAnsi="Arial" w:cs="Arial"/>
          <w:i/>
          <w:iCs/>
        </w:rPr>
        <w:t>indicum</w:t>
      </w:r>
      <w:r w:rsidRPr="00167775">
        <w:rPr>
          <w:rFonts w:ascii="Arial" w:hAnsi="Arial" w:cs="Arial"/>
        </w:rPr>
        <w:t xml:space="preserve"> may have enormous promise as an anti-cancer medication. These results were consistent with those of </w:t>
      </w:r>
      <w:proofErr w:type="spellStart"/>
      <w:r w:rsidRPr="00167775">
        <w:rPr>
          <w:rFonts w:ascii="Arial" w:hAnsi="Arial" w:cs="Arial"/>
        </w:rPr>
        <w:t>Mainasara</w:t>
      </w:r>
      <w:proofErr w:type="spellEnd"/>
      <w:r w:rsidRPr="00167775">
        <w:rPr>
          <w:rFonts w:ascii="Arial" w:hAnsi="Arial" w:cs="Arial"/>
        </w:rPr>
        <w:t xml:space="preserve"> </w:t>
      </w:r>
      <w:r w:rsidRPr="00167775">
        <w:rPr>
          <w:rFonts w:ascii="Arial" w:hAnsi="Arial" w:cs="Arial"/>
          <w:i/>
        </w:rPr>
        <w:t>et al</w:t>
      </w:r>
      <w:r w:rsidRPr="00167775">
        <w:rPr>
          <w:rFonts w:ascii="Arial" w:hAnsi="Arial" w:cs="Arial"/>
        </w:rPr>
        <w:t>. [12] and Al-</w:t>
      </w:r>
      <w:proofErr w:type="spellStart"/>
      <w:r w:rsidRPr="00167775">
        <w:rPr>
          <w:rFonts w:ascii="Arial" w:hAnsi="Arial" w:cs="Arial"/>
        </w:rPr>
        <w:t>Nemari</w:t>
      </w:r>
      <w:proofErr w:type="spellEnd"/>
      <w:r w:rsidRPr="00167775">
        <w:rPr>
          <w:rFonts w:ascii="Arial" w:hAnsi="Arial" w:cs="Arial"/>
        </w:rPr>
        <w:t xml:space="preserve"> et al. [13], who showed that the rutin has anti-cancer properties. Using the trypan blue technique, the cells' viability was evaluated. Trypan blue is a dye that only labels dead cells, making it useful for quantifying live cells. This dye is unable to pass through live cells' intact cell membrane and into the cytoplasm because they lack this barrier. Trypan blue reaches the cytoplasm of a dead cell by piercing the permeable cell membrane. Through the trypan-blue exclusion dye assay, the proportion of the viable cells after exposure to HepG2 and LNCaP cells were determined. Table 1 shows that in a concentration-dependent manner, there was reduction in the proportion of viable cells exposed to HepG2 and LNCaP cells. This table shows that viability of both cells (at control) was higher than 88%, while for HepG2 cells, the viability from 91.15% reduced to 87.14, 78.66 and 55.18% respectively, the viability for LNCaP cells from 88.35% reduced to 69.73, 48.84 and 39.29% respectively. Reduction in the viability of cells with respect to the trypan blue assay shows the cytotoxic effect of rutin on HepG2 and LNCaP cancer cells. This indeed, is the first time rutin isolated from </w:t>
      </w:r>
      <w:proofErr w:type="spellStart"/>
      <w:r w:rsidRPr="00167775">
        <w:rPr>
          <w:rFonts w:ascii="Arial" w:hAnsi="Arial" w:cs="Arial"/>
          <w:i/>
          <w:iCs/>
        </w:rPr>
        <w:t>Heliotropium</w:t>
      </w:r>
      <w:proofErr w:type="spellEnd"/>
      <w:r w:rsidRPr="00167775">
        <w:rPr>
          <w:rFonts w:ascii="Arial" w:hAnsi="Arial" w:cs="Arial"/>
          <w:i/>
          <w:iCs/>
        </w:rPr>
        <w:t xml:space="preserve"> indicum</w:t>
      </w:r>
      <w:r w:rsidRPr="00167775">
        <w:rPr>
          <w:rFonts w:ascii="Arial" w:hAnsi="Arial" w:cs="Arial"/>
        </w:rPr>
        <w:t xml:space="preserve"> will be reported to be cytotoxic against HepG2 and LNCaP cells. Various activities such as anti-inflammatory, anti-oxidative and antimicrobial have been reported about the plant [14,15,16,17]. However, reports from this study show that rutin isolated from this plant is more cytotoxic to cancer cell lines and milder on the normal cell (i.e. VERO cells).</w:t>
      </w:r>
    </w:p>
    <w:p w14:paraId="57109740" w14:textId="77777777" w:rsidR="00167775" w:rsidRPr="00167775" w:rsidRDefault="00167775" w:rsidP="00167775">
      <w:pPr>
        <w:rPr>
          <w:rFonts w:ascii="Arial" w:hAnsi="Arial" w:cs="Arial"/>
        </w:rPr>
      </w:pPr>
      <w:r w:rsidRPr="00167775">
        <w:rPr>
          <w:rFonts w:ascii="Arial" w:hAnsi="Arial" w:cs="Arial"/>
        </w:rPr>
        <w:t xml:space="preserve">                            </w:t>
      </w:r>
      <w:r w:rsidRPr="00167775">
        <w:rPr>
          <w:rFonts w:ascii="Arial" w:hAnsi="Arial" w:cs="Arial"/>
          <w:noProof/>
          <w:lang w:val="en-GB" w:eastAsia="en-GB"/>
        </w:rPr>
        <w:drawing>
          <wp:inline distT="0" distB="0" distL="0" distR="0" wp14:anchorId="5C9B2B05" wp14:editId="47CE4A1D">
            <wp:extent cx="3514725" cy="2486025"/>
            <wp:effectExtent l="0" t="0" r="9525" b="9525"/>
            <wp:docPr id="18573550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l="24680" t="32211" r="20673" b="14195"/>
                    <a:stretch>
                      <a:fillRect/>
                    </a:stretch>
                  </pic:blipFill>
                  <pic:spPr bwMode="auto">
                    <a:xfrm>
                      <a:off x="0" y="0"/>
                      <a:ext cx="3514725" cy="2486025"/>
                    </a:xfrm>
                    <a:prstGeom prst="rect">
                      <a:avLst/>
                    </a:prstGeom>
                    <a:noFill/>
                    <a:ln>
                      <a:noFill/>
                    </a:ln>
                  </pic:spPr>
                </pic:pic>
              </a:graphicData>
            </a:graphic>
          </wp:inline>
        </w:drawing>
      </w:r>
    </w:p>
    <w:p w14:paraId="3287548F" w14:textId="53F20F4A" w:rsidR="00167775" w:rsidRPr="00167775" w:rsidRDefault="00167775" w:rsidP="00167775">
      <w:pPr>
        <w:rPr>
          <w:rFonts w:ascii="Arial" w:hAnsi="Arial" w:cs="Arial"/>
          <w:bCs/>
        </w:rPr>
      </w:pPr>
      <w:r w:rsidRPr="00167775">
        <w:rPr>
          <w:rFonts w:ascii="Arial" w:hAnsi="Arial" w:cs="Arial"/>
          <w:bCs/>
        </w:rPr>
        <w:t>Fig</w:t>
      </w:r>
      <w:r w:rsidR="00DD29E6">
        <w:rPr>
          <w:rFonts w:ascii="Arial" w:hAnsi="Arial" w:cs="Arial"/>
          <w:bCs/>
        </w:rPr>
        <w:t>ure</w:t>
      </w:r>
      <w:r w:rsidRPr="00167775">
        <w:rPr>
          <w:rFonts w:ascii="Arial" w:hAnsi="Arial" w:cs="Arial"/>
          <w:bCs/>
        </w:rPr>
        <w:t xml:space="preserve"> 1: The cell viability of HepG2 cancer cell after exposure to graded concentration of rutin </w:t>
      </w:r>
      <w:r w:rsidRPr="00167775">
        <w:rPr>
          <w:rFonts w:ascii="Arial" w:eastAsia="Calibri" w:hAnsi="Arial" w:cs="Arial"/>
          <w:kern w:val="24"/>
        </w:rPr>
        <w:t>(S</w:t>
      </w:r>
      <w:r w:rsidRPr="00167775">
        <w:rPr>
          <w:rFonts w:ascii="Arial" w:eastAsia="Calibri" w:hAnsi="Arial" w:cs="Arial"/>
          <w:kern w:val="24"/>
          <w:vertAlign w:val="subscript"/>
        </w:rPr>
        <w:t>C</w:t>
      </w:r>
      <w:r w:rsidRPr="00167775">
        <w:rPr>
          <w:rFonts w:ascii="Arial" w:eastAsia="Calibri" w:hAnsi="Arial" w:cs="Arial"/>
          <w:kern w:val="24"/>
        </w:rPr>
        <w:t>- Rutin, exposure) on</w:t>
      </w:r>
      <w:r w:rsidR="005836E1">
        <w:rPr>
          <w:rFonts w:ascii="Arial" w:eastAsia="Calibri" w:hAnsi="Arial" w:cs="Arial"/>
          <w:kern w:val="24"/>
        </w:rPr>
        <w:t xml:space="preserve"> </w:t>
      </w:r>
      <w:r w:rsidRPr="00167775">
        <w:rPr>
          <w:rFonts w:ascii="Arial" w:eastAsia="Calibri" w:hAnsi="Arial" w:cs="Arial"/>
          <w:kern w:val="24"/>
        </w:rPr>
        <w:t>HepG2 cells</w:t>
      </w:r>
      <w:r w:rsidRPr="00167775">
        <w:rPr>
          <w:rFonts w:ascii="Arial" w:hAnsi="Arial" w:cs="Arial"/>
          <w:bCs/>
        </w:rPr>
        <w:t xml:space="preserve"> for 72 </w:t>
      </w:r>
      <w:proofErr w:type="spellStart"/>
      <w:r w:rsidRPr="00167775">
        <w:rPr>
          <w:rFonts w:ascii="Arial" w:hAnsi="Arial" w:cs="Arial"/>
          <w:bCs/>
        </w:rPr>
        <w:t>hrs</w:t>
      </w:r>
      <w:proofErr w:type="spellEnd"/>
    </w:p>
    <w:p w14:paraId="0CC3B16B" w14:textId="77777777" w:rsidR="00167775" w:rsidRPr="00167775" w:rsidRDefault="00167775" w:rsidP="00167775">
      <w:pPr>
        <w:rPr>
          <w:rFonts w:ascii="Arial" w:hAnsi="Arial" w:cs="Arial"/>
          <w:bCs/>
        </w:rPr>
      </w:pPr>
    </w:p>
    <w:p w14:paraId="4A7A0394" w14:textId="77777777" w:rsidR="00167775" w:rsidRPr="00167775" w:rsidRDefault="00F73B5B" w:rsidP="00167775">
      <w:pPr>
        <w:rPr>
          <w:rFonts w:ascii="Arial" w:hAnsi="Arial" w:cs="Arial"/>
          <w:bCs/>
        </w:rPr>
      </w:pPr>
      <w:r w:rsidRPr="00167775">
        <w:rPr>
          <w:rFonts w:ascii="Arial" w:hAnsi="Arial" w:cs="Arial"/>
          <w:noProof/>
        </w:rPr>
        <w:lastRenderedPageBreak/>
        <mc:AlternateContent>
          <mc:Choice Requires="wps">
            <w:drawing>
              <wp:anchor distT="0" distB="0" distL="114300" distR="114300" simplePos="0" relativeHeight="251652608" behindDoc="0" locked="0" layoutInCell="1" allowOverlap="1" wp14:anchorId="4FFE1892" wp14:editId="69441C4A">
                <wp:simplePos x="0" y="0"/>
                <wp:positionH relativeFrom="column">
                  <wp:posOffset>1903095</wp:posOffset>
                </wp:positionH>
                <wp:positionV relativeFrom="paragraph">
                  <wp:posOffset>563880</wp:posOffset>
                </wp:positionV>
                <wp:extent cx="1301750" cy="231140"/>
                <wp:effectExtent l="0" t="0" r="0" b="0"/>
                <wp:wrapNone/>
                <wp:docPr id="178768864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1750" cy="2311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07A377" id="Rectangle 23" o:spid="_x0000_s1026" style="position:absolute;margin-left:149.85pt;margin-top:44.4pt;width:102.5pt;height:18.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" fillcolor="white [3212]" stroked="f" strokeweight="2pt"/>
            </w:pict>
          </mc:Fallback>
        </mc:AlternateContent>
      </w:r>
      <w:r w:rsidR="00167775" w:rsidRPr="00167775">
        <w:rPr>
          <w:rFonts w:ascii="Arial" w:hAnsi="Arial" w:cs="Arial"/>
          <w:noProof/>
        </w:rPr>
        <w:t xml:space="preserve">                                   </w:t>
      </w:r>
      <w:r w:rsidR="00167775" w:rsidRPr="00167775">
        <w:rPr>
          <w:rFonts w:ascii="Arial" w:hAnsi="Arial" w:cs="Arial"/>
          <w:noProof/>
          <w:lang w:val="en-GB" w:eastAsia="en-GB"/>
        </w:rPr>
        <w:drawing>
          <wp:inline distT="0" distB="0" distL="0" distR="0" wp14:anchorId="6C649620" wp14:editId="69E02CD4">
            <wp:extent cx="3438525" cy="2419350"/>
            <wp:effectExtent l="0" t="0" r="9525" b="0"/>
            <wp:docPr id="8163105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l="24039" t="40195" r="26442" b="14764"/>
                    <a:stretch>
                      <a:fillRect/>
                    </a:stretch>
                  </pic:blipFill>
                  <pic:spPr bwMode="auto">
                    <a:xfrm>
                      <a:off x="0" y="0"/>
                      <a:ext cx="3438525" cy="2419350"/>
                    </a:xfrm>
                    <a:prstGeom prst="rect">
                      <a:avLst/>
                    </a:prstGeom>
                    <a:noFill/>
                    <a:ln>
                      <a:noFill/>
                    </a:ln>
                  </pic:spPr>
                </pic:pic>
              </a:graphicData>
            </a:graphic>
          </wp:inline>
        </w:drawing>
      </w:r>
    </w:p>
    <w:p w14:paraId="45E816F6" w14:textId="3D015EF6" w:rsidR="00167775" w:rsidRPr="00A566AC" w:rsidRDefault="00167775" w:rsidP="00167775">
      <w:pPr>
        <w:rPr>
          <w:rFonts w:ascii="Arial" w:hAnsi="Arial" w:cs="Arial"/>
          <w:bCs/>
          <w:sz w:val="16"/>
          <w:szCs w:val="16"/>
        </w:rPr>
      </w:pPr>
      <w:r w:rsidRPr="00A566AC">
        <w:rPr>
          <w:rFonts w:ascii="Arial" w:hAnsi="Arial" w:cs="Arial"/>
          <w:bCs/>
          <w:sz w:val="16"/>
          <w:szCs w:val="16"/>
        </w:rPr>
        <w:t>Fig</w:t>
      </w:r>
      <w:r w:rsidR="00DD29E6">
        <w:rPr>
          <w:rFonts w:ascii="Arial" w:hAnsi="Arial" w:cs="Arial"/>
          <w:bCs/>
          <w:sz w:val="16"/>
          <w:szCs w:val="16"/>
        </w:rPr>
        <w:t>ure</w:t>
      </w:r>
      <w:r w:rsidRPr="00A566AC">
        <w:rPr>
          <w:rFonts w:ascii="Arial" w:hAnsi="Arial" w:cs="Arial"/>
          <w:bCs/>
          <w:sz w:val="16"/>
          <w:szCs w:val="16"/>
        </w:rPr>
        <w:t xml:space="preserve"> 2: The cell viability of LNCaP cancer cell after exposure to graded concentration of rutin </w:t>
      </w:r>
      <w:r w:rsidRPr="00A566AC">
        <w:rPr>
          <w:rFonts w:ascii="Arial" w:eastAsia="Calibri" w:hAnsi="Arial" w:cs="Arial"/>
          <w:kern w:val="24"/>
          <w:sz w:val="16"/>
          <w:szCs w:val="16"/>
        </w:rPr>
        <w:t>(S</w:t>
      </w:r>
      <w:r w:rsidRPr="00A566AC">
        <w:rPr>
          <w:rFonts w:ascii="Arial" w:eastAsia="Calibri" w:hAnsi="Arial" w:cs="Arial"/>
          <w:kern w:val="24"/>
          <w:sz w:val="16"/>
          <w:szCs w:val="16"/>
          <w:vertAlign w:val="subscript"/>
        </w:rPr>
        <w:t>C</w:t>
      </w:r>
      <w:r w:rsidRPr="00A566AC">
        <w:rPr>
          <w:rFonts w:ascii="Arial" w:eastAsia="Calibri" w:hAnsi="Arial" w:cs="Arial"/>
          <w:kern w:val="24"/>
          <w:sz w:val="16"/>
          <w:szCs w:val="16"/>
        </w:rPr>
        <w:t>- Rutin, exposure) on LNCaP cells</w:t>
      </w:r>
      <w:r w:rsidRPr="00A566AC">
        <w:rPr>
          <w:rFonts w:ascii="Arial" w:hAnsi="Arial" w:cs="Arial"/>
          <w:bCs/>
          <w:sz w:val="16"/>
          <w:szCs w:val="16"/>
        </w:rPr>
        <w:t xml:space="preserve"> for 72 </w:t>
      </w:r>
      <w:proofErr w:type="spellStart"/>
      <w:r w:rsidRPr="00A566AC">
        <w:rPr>
          <w:rFonts w:ascii="Arial" w:hAnsi="Arial" w:cs="Arial"/>
          <w:bCs/>
          <w:sz w:val="16"/>
          <w:szCs w:val="16"/>
        </w:rPr>
        <w:t>hrs</w:t>
      </w:r>
      <w:proofErr w:type="spellEnd"/>
    </w:p>
    <w:p w14:paraId="73C5BF2B" w14:textId="77777777" w:rsidR="00167775" w:rsidRDefault="00167775" w:rsidP="00167775">
      <w:pPr>
        <w:rPr>
          <w:rFonts w:ascii="Arial" w:hAnsi="Arial" w:cs="Arial"/>
          <w:bCs/>
        </w:rPr>
      </w:pPr>
    </w:p>
    <w:p w14:paraId="0443D2BB" w14:textId="77777777" w:rsidR="005836E1" w:rsidRDefault="005836E1" w:rsidP="00167775">
      <w:pPr>
        <w:rPr>
          <w:rFonts w:ascii="Arial" w:hAnsi="Arial" w:cs="Arial"/>
          <w:bCs/>
        </w:rPr>
      </w:pPr>
    </w:p>
    <w:p w14:paraId="38F7F805" w14:textId="77777777" w:rsidR="005836E1" w:rsidRPr="00167775" w:rsidRDefault="005836E1" w:rsidP="00167775">
      <w:pPr>
        <w:rPr>
          <w:rFonts w:ascii="Arial" w:hAnsi="Arial" w:cs="Arial"/>
          <w:bCs/>
        </w:rPr>
      </w:pPr>
    </w:p>
    <w:p w14:paraId="1BF2B87A" w14:textId="77777777" w:rsidR="00167775" w:rsidRPr="00167775" w:rsidRDefault="00167775" w:rsidP="00167775">
      <w:pPr>
        <w:rPr>
          <w:rFonts w:ascii="Arial" w:hAnsi="Arial" w:cs="Arial"/>
        </w:rPr>
      </w:pPr>
      <w:r w:rsidRPr="00167775">
        <w:rPr>
          <w:rFonts w:ascii="Arial" w:hAnsi="Arial" w:cs="Arial"/>
          <w:b/>
          <w:bCs/>
        </w:rPr>
        <w:t>Table</w:t>
      </w:r>
      <w:r w:rsidRPr="00167775">
        <w:rPr>
          <w:rFonts w:ascii="Arial" w:hAnsi="Arial" w:cs="Arial"/>
        </w:rPr>
        <w:t xml:space="preserve"> </w:t>
      </w:r>
      <w:r w:rsidRPr="00167775">
        <w:rPr>
          <w:rFonts w:ascii="Arial" w:hAnsi="Arial" w:cs="Arial"/>
          <w:b/>
          <w:bCs/>
        </w:rPr>
        <w:t>1</w:t>
      </w:r>
      <w:r w:rsidRPr="00167775">
        <w:rPr>
          <w:rFonts w:ascii="Arial" w:hAnsi="Arial" w:cs="Arial"/>
        </w:rPr>
        <w:t>:  Cell viability (Trypan -Blue) Assay</w:t>
      </w:r>
    </w:p>
    <w:tbl>
      <w:tblPr>
        <w:tblStyle w:val="TableGrid"/>
        <w:tblW w:w="8478" w:type="dxa"/>
        <w:tblLook w:val="04A0" w:firstRow="1" w:lastRow="0" w:firstColumn="1" w:lastColumn="0" w:noHBand="0" w:noVBand="1"/>
      </w:tblPr>
      <w:tblGrid>
        <w:gridCol w:w="2628"/>
        <w:gridCol w:w="3330"/>
        <w:gridCol w:w="2520"/>
      </w:tblGrid>
      <w:tr w:rsidR="00167775" w:rsidRPr="00167775" w14:paraId="71D07977" w14:textId="77777777" w:rsidTr="00A64B55">
        <w:trPr>
          <w:trHeight w:val="246"/>
        </w:trPr>
        <w:tc>
          <w:tcPr>
            <w:tcW w:w="2628" w:type="dxa"/>
            <w:tcBorders>
              <w:top w:val="single" w:sz="4" w:space="0" w:color="auto"/>
              <w:left w:val="nil"/>
              <w:bottom w:val="single" w:sz="4" w:space="0" w:color="auto"/>
              <w:right w:val="nil"/>
            </w:tcBorders>
            <w:hideMark/>
          </w:tcPr>
          <w:p w14:paraId="499BDFEF" w14:textId="77777777" w:rsidR="00167775" w:rsidRPr="00167775" w:rsidRDefault="00167775" w:rsidP="00A64B55">
            <w:pPr>
              <w:rPr>
                <w:rFonts w:ascii="Arial" w:hAnsi="Arial" w:cs="Arial"/>
                <w:sz w:val="20"/>
                <w:szCs w:val="20"/>
              </w:rPr>
            </w:pPr>
            <w:r w:rsidRPr="00167775">
              <w:rPr>
                <w:rFonts w:ascii="Arial" w:hAnsi="Arial" w:cs="Arial"/>
                <w:sz w:val="20"/>
                <w:szCs w:val="20"/>
              </w:rPr>
              <w:t>Groups</w:t>
            </w:r>
          </w:p>
        </w:tc>
        <w:tc>
          <w:tcPr>
            <w:tcW w:w="3330" w:type="dxa"/>
            <w:tcBorders>
              <w:top w:val="single" w:sz="4" w:space="0" w:color="auto"/>
              <w:left w:val="nil"/>
              <w:bottom w:val="single" w:sz="4" w:space="0" w:color="auto"/>
              <w:right w:val="nil"/>
            </w:tcBorders>
            <w:hideMark/>
          </w:tcPr>
          <w:p w14:paraId="7BEAB5D4" w14:textId="77777777" w:rsidR="00167775" w:rsidRPr="00167775" w:rsidRDefault="00167775" w:rsidP="00A64B55">
            <w:pPr>
              <w:jc w:val="center"/>
              <w:rPr>
                <w:rFonts w:ascii="Arial" w:hAnsi="Arial" w:cs="Arial"/>
                <w:sz w:val="20"/>
                <w:szCs w:val="20"/>
              </w:rPr>
            </w:pPr>
            <w:r w:rsidRPr="00167775">
              <w:rPr>
                <w:rFonts w:ascii="Arial" w:hAnsi="Arial" w:cs="Arial"/>
                <w:sz w:val="20"/>
                <w:szCs w:val="20"/>
              </w:rPr>
              <w:t>Viability Percentage</w:t>
            </w:r>
          </w:p>
          <w:p w14:paraId="764E7655" w14:textId="77777777" w:rsidR="00167775" w:rsidRPr="00167775" w:rsidRDefault="00167775" w:rsidP="00A64B55">
            <w:pPr>
              <w:jc w:val="center"/>
              <w:rPr>
                <w:rFonts w:ascii="Arial" w:hAnsi="Arial" w:cs="Arial"/>
                <w:sz w:val="20"/>
                <w:szCs w:val="20"/>
              </w:rPr>
            </w:pPr>
            <w:r w:rsidRPr="00167775">
              <w:rPr>
                <w:rFonts w:ascii="Arial" w:hAnsi="Arial" w:cs="Arial"/>
                <w:sz w:val="20"/>
                <w:szCs w:val="20"/>
              </w:rPr>
              <w:t>(HepG2 cells)</w:t>
            </w:r>
          </w:p>
        </w:tc>
        <w:tc>
          <w:tcPr>
            <w:tcW w:w="2520" w:type="dxa"/>
            <w:tcBorders>
              <w:top w:val="single" w:sz="4" w:space="0" w:color="auto"/>
              <w:left w:val="nil"/>
              <w:bottom w:val="single" w:sz="4" w:space="0" w:color="auto"/>
              <w:right w:val="nil"/>
            </w:tcBorders>
            <w:hideMark/>
          </w:tcPr>
          <w:p w14:paraId="3B1E7F82" w14:textId="77777777" w:rsidR="00167775" w:rsidRPr="00167775" w:rsidRDefault="00167775" w:rsidP="00A64B55">
            <w:pPr>
              <w:jc w:val="center"/>
              <w:rPr>
                <w:rFonts w:ascii="Arial" w:hAnsi="Arial" w:cs="Arial"/>
                <w:sz w:val="20"/>
                <w:szCs w:val="20"/>
              </w:rPr>
            </w:pPr>
            <w:r w:rsidRPr="00167775">
              <w:rPr>
                <w:rFonts w:ascii="Arial" w:hAnsi="Arial" w:cs="Arial"/>
                <w:sz w:val="20"/>
                <w:szCs w:val="20"/>
              </w:rPr>
              <w:t>Viability Percentage</w:t>
            </w:r>
          </w:p>
          <w:p w14:paraId="1C0E75F8" w14:textId="77777777" w:rsidR="00167775" w:rsidRPr="00167775" w:rsidRDefault="00167775" w:rsidP="00A64B55">
            <w:pPr>
              <w:jc w:val="center"/>
              <w:rPr>
                <w:rFonts w:ascii="Arial" w:hAnsi="Arial" w:cs="Arial"/>
                <w:sz w:val="20"/>
                <w:szCs w:val="20"/>
              </w:rPr>
            </w:pPr>
            <w:r w:rsidRPr="00167775">
              <w:rPr>
                <w:rFonts w:ascii="Arial" w:hAnsi="Arial" w:cs="Arial"/>
                <w:sz w:val="20"/>
                <w:szCs w:val="20"/>
              </w:rPr>
              <w:t>(LNCaP cells)</w:t>
            </w:r>
          </w:p>
        </w:tc>
      </w:tr>
      <w:tr w:rsidR="00167775" w:rsidRPr="00167775" w14:paraId="6692B140" w14:textId="77777777" w:rsidTr="00A64B55">
        <w:trPr>
          <w:trHeight w:val="246"/>
        </w:trPr>
        <w:tc>
          <w:tcPr>
            <w:tcW w:w="2628" w:type="dxa"/>
            <w:tcBorders>
              <w:top w:val="single" w:sz="4" w:space="0" w:color="auto"/>
              <w:left w:val="nil"/>
              <w:bottom w:val="nil"/>
              <w:right w:val="nil"/>
            </w:tcBorders>
            <w:hideMark/>
          </w:tcPr>
          <w:p w14:paraId="65D0CA48" w14:textId="77777777" w:rsidR="00167775" w:rsidRPr="00167775" w:rsidRDefault="00167775" w:rsidP="00A64B55">
            <w:pPr>
              <w:rPr>
                <w:rFonts w:ascii="Arial" w:hAnsi="Arial" w:cs="Arial"/>
                <w:sz w:val="20"/>
                <w:szCs w:val="20"/>
              </w:rPr>
            </w:pPr>
            <w:r w:rsidRPr="00167775">
              <w:rPr>
                <w:rFonts w:ascii="Arial" w:hAnsi="Arial" w:cs="Arial"/>
                <w:sz w:val="20"/>
                <w:szCs w:val="20"/>
              </w:rPr>
              <w:t>Control</w:t>
            </w:r>
          </w:p>
        </w:tc>
        <w:tc>
          <w:tcPr>
            <w:tcW w:w="3330" w:type="dxa"/>
            <w:tcBorders>
              <w:top w:val="single" w:sz="4" w:space="0" w:color="auto"/>
              <w:left w:val="nil"/>
              <w:bottom w:val="nil"/>
              <w:right w:val="nil"/>
            </w:tcBorders>
            <w:hideMark/>
          </w:tcPr>
          <w:p w14:paraId="15ED1655" w14:textId="77777777" w:rsidR="00167775" w:rsidRPr="00167775" w:rsidRDefault="00167775" w:rsidP="00A64B55">
            <w:pPr>
              <w:jc w:val="center"/>
              <w:rPr>
                <w:rFonts w:ascii="Arial" w:hAnsi="Arial" w:cs="Arial"/>
                <w:sz w:val="20"/>
                <w:szCs w:val="20"/>
              </w:rPr>
            </w:pPr>
            <w:r w:rsidRPr="00167775">
              <w:rPr>
                <w:rFonts w:ascii="Arial" w:hAnsi="Arial" w:cs="Arial"/>
                <w:sz w:val="20"/>
                <w:szCs w:val="20"/>
              </w:rPr>
              <w:t>91.15 ± 2.44</w:t>
            </w:r>
          </w:p>
        </w:tc>
        <w:tc>
          <w:tcPr>
            <w:tcW w:w="2520" w:type="dxa"/>
            <w:tcBorders>
              <w:top w:val="single" w:sz="4" w:space="0" w:color="auto"/>
              <w:left w:val="nil"/>
              <w:bottom w:val="nil"/>
              <w:right w:val="nil"/>
            </w:tcBorders>
            <w:hideMark/>
          </w:tcPr>
          <w:p w14:paraId="437E7D1E" w14:textId="77777777" w:rsidR="00167775" w:rsidRPr="00167775" w:rsidRDefault="00167775" w:rsidP="00A64B55">
            <w:pPr>
              <w:jc w:val="center"/>
              <w:rPr>
                <w:rFonts w:ascii="Arial" w:hAnsi="Arial" w:cs="Arial"/>
                <w:sz w:val="20"/>
                <w:szCs w:val="20"/>
              </w:rPr>
            </w:pPr>
            <w:r w:rsidRPr="00167775">
              <w:rPr>
                <w:rFonts w:ascii="Arial" w:hAnsi="Arial" w:cs="Arial"/>
                <w:sz w:val="20"/>
                <w:szCs w:val="20"/>
              </w:rPr>
              <w:t>88.35 ± 1.01</w:t>
            </w:r>
          </w:p>
        </w:tc>
      </w:tr>
      <w:tr w:rsidR="00167775" w:rsidRPr="00167775" w14:paraId="05FE6FD3" w14:textId="77777777" w:rsidTr="00A64B55">
        <w:trPr>
          <w:trHeight w:val="246"/>
        </w:trPr>
        <w:tc>
          <w:tcPr>
            <w:tcW w:w="2628" w:type="dxa"/>
            <w:tcBorders>
              <w:top w:val="nil"/>
              <w:left w:val="nil"/>
              <w:bottom w:val="nil"/>
              <w:right w:val="nil"/>
            </w:tcBorders>
            <w:hideMark/>
          </w:tcPr>
          <w:p w14:paraId="24A6DDC9" w14:textId="77777777" w:rsidR="00167775" w:rsidRPr="00167775" w:rsidRDefault="00167775" w:rsidP="00A64B55">
            <w:pPr>
              <w:rPr>
                <w:rFonts w:ascii="Arial" w:hAnsi="Arial" w:cs="Arial"/>
                <w:sz w:val="20"/>
                <w:szCs w:val="20"/>
              </w:rPr>
            </w:pPr>
            <w:r w:rsidRPr="00167775">
              <w:rPr>
                <w:rFonts w:ascii="Arial" w:hAnsi="Arial" w:cs="Arial"/>
                <w:sz w:val="20"/>
                <w:szCs w:val="20"/>
              </w:rPr>
              <w:t>0.2% DMSO</w:t>
            </w:r>
          </w:p>
        </w:tc>
        <w:tc>
          <w:tcPr>
            <w:tcW w:w="3330" w:type="dxa"/>
            <w:tcBorders>
              <w:top w:val="nil"/>
              <w:left w:val="nil"/>
              <w:bottom w:val="nil"/>
              <w:right w:val="nil"/>
            </w:tcBorders>
            <w:hideMark/>
          </w:tcPr>
          <w:p w14:paraId="30973353" w14:textId="77777777" w:rsidR="00167775" w:rsidRPr="00167775" w:rsidRDefault="00167775" w:rsidP="00A64B55">
            <w:pPr>
              <w:jc w:val="center"/>
              <w:rPr>
                <w:rFonts w:ascii="Arial" w:hAnsi="Arial" w:cs="Arial"/>
                <w:sz w:val="20"/>
                <w:szCs w:val="20"/>
              </w:rPr>
            </w:pPr>
            <w:r w:rsidRPr="00167775">
              <w:rPr>
                <w:rFonts w:ascii="Arial" w:hAnsi="Arial" w:cs="Arial"/>
                <w:sz w:val="20"/>
                <w:szCs w:val="20"/>
              </w:rPr>
              <w:t>90.12 ± 0.91</w:t>
            </w:r>
          </w:p>
        </w:tc>
        <w:tc>
          <w:tcPr>
            <w:tcW w:w="2520" w:type="dxa"/>
            <w:tcBorders>
              <w:top w:val="nil"/>
              <w:left w:val="nil"/>
              <w:bottom w:val="nil"/>
              <w:right w:val="nil"/>
            </w:tcBorders>
            <w:hideMark/>
          </w:tcPr>
          <w:p w14:paraId="3398BFAF" w14:textId="77777777" w:rsidR="00167775" w:rsidRPr="00167775" w:rsidRDefault="00167775" w:rsidP="00A64B55">
            <w:pPr>
              <w:jc w:val="center"/>
              <w:rPr>
                <w:rFonts w:ascii="Arial" w:hAnsi="Arial" w:cs="Arial"/>
                <w:sz w:val="20"/>
                <w:szCs w:val="20"/>
              </w:rPr>
            </w:pPr>
            <w:r w:rsidRPr="00167775">
              <w:rPr>
                <w:rFonts w:ascii="Arial" w:hAnsi="Arial" w:cs="Arial"/>
                <w:sz w:val="20"/>
                <w:szCs w:val="20"/>
              </w:rPr>
              <w:t>87.93 ± 0.91</w:t>
            </w:r>
          </w:p>
        </w:tc>
      </w:tr>
      <w:tr w:rsidR="00167775" w:rsidRPr="00167775" w14:paraId="11AD98C5" w14:textId="77777777" w:rsidTr="00A64B55">
        <w:trPr>
          <w:trHeight w:val="258"/>
        </w:trPr>
        <w:tc>
          <w:tcPr>
            <w:tcW w:w="2628" w:type="dxa"/>
            <w:tcBorders>
              <w:top w:val="nil"/>
              <w:left w:val="nil"/>
              <w:bottom w:val="nil"/>
              <w:right w:val="nil"/>
            </w:tcBorders>
            <w:hideMark/>
          </w:tcPr>
          <w:p w14:paraId="0D149D90" w14:textId="77777777" w:rsidR="00167775" w:rsidRPr="00167775" w:rsidRDefault="00167775" w:rsidP="00A64B55">
            <w:pPr>
              <w:rPr>
                <w:rFonts w:ascii="Arial" w:hAnsi="Arial" w:cs="Arial"/>
                <w:sz w:val="20"/>
                <w:szCs w:val="20"/>
              </w:rPr>
            </w:pPr>
            <w:r w:rsidRPr="00167775">
              <w:rPr>
                <w:rFonts w:ascii="Arial" w:hAnsi="Arial" w:cs="Arial"/>
                <w:sz w:val="20"/>
                <w:szCs w:val="20"/>
              </w:rPr>
              <w:t>5 µg/mL Rutin</w:t>
            </w:r>
          </w:p>
        </w:tc>
        <w:tc>
          <w:tcPr>
            <w:tcW w:w="3330" w:type="dxa"/>
            <w:tcBorders>
              <w:top w:val="nil"/>
              <w:left w:val="nil"/>
              <w:bottom w:val="nil"/>
              <w:right w:val="nil"/>
            </w:tcBorders>
            <w:hideMark/>
          </w:tcPr>
          <w:p w14:paraId="6AED61B8" w14:textId="77777777" w:rsidR="00167775" w:rsidRPr="00167775" w:rsidRDefault="00167775" w:rsidP="00A64B55">
            <w:pPr>
              <w:jc w:val="center"/>
              <w:rPr>
                <w:rFonts w:ascii="Arial" w:hAnsi="Arial" w:cs="Arial"/>
                <w:sz w:val="20"/>
                <w:szCs w:val="20"/>
              </w:rPr>
            </w:pPr>
            <w:r w:rsidRPr="00167775">
              <w:rPr>
                <w:rFonts w:ascii="Arial" w:hAnsi="Arial" w:cs="Arial"/>
                <w:sz w:val="20"/>
                <w:szCs w:val="20"/>
              </w:rPr>
              <w:t xml:space="preserve">  87.14 ± 1.55*</w:t>
            </w:r>
          </w:p>
        </w:tc>
        <w:tc>
          <w:tcPr>
            <w:tcW w:w="2520" w:type="dxa"/>
            <w:tcBorders>
              <w:top w:val="nil"/>
              <w:left w:val="nil"/>
              <w:bottom w:val="nil"/>
              <w:right w:val="nil"/>
            </w:tcBorders>
            <w:hideMark/>
          </w:tcPr>
          <w:p w14:paraId="2FCAC9D4" w14:textId="77777777" w:rsidR="00167775" w:rsidRPr="00167775" w:rsidRDefault="00167775" w:rsidP="00A64B55">
            <w:pPr>
              <w:jc w:val="center"/>
              <w:rPr>
                <w:rFonts w:ascii="Arial" w:hAnsi="Arial" w:cs="Arial"/>
                <w:sz w:val="20"/>
                <w:szCs w:val="20"/>
              </w:rPr>
            </w:pPr>
            <w:r w:rsidRPr="00167775">
              <w:rPr>
                <w:rFonts w:ascii="Arial" w:hAnsi="Arial" w:cs="Arial"/>
                <w:sz w:val="20"/>
                <w:szCs w:val="20"/>
              </w:rPr>
              <w:t xml:space="preserve">  69.73 ± 2.65*</w:t>
            </w:r>
          </w:p>
        </w:tc>
      </w:tr>
      <w:tr w:rsidR="00167775" w:rsidRPr="00167775" w14:paraId="07E7AEE2" w14:textId="77777777" w:rsidTr="00A64B55">
        <w:trPr>
          <w:trHeight w:val="246"/>
        </w:trPr>
        <w:tc>
          <w:tcPr>
            <w:tcW w:w="2628" w:type="dxa"/>
            <w:tcBorders>
              <w:top w:val="nil"/>
              <w:left w:val="nil"/>
              <w:bottom w:val="nil"/>
              <w:right w:val="nil"/>
            </w:tcBorders>
            <w:hideMark/>
          </w:tcPr>
          <w:p w14:paraId="4BCA6D5F" w14:textId="77777777" w:rsidR="00167775" w:rsidRPr="00167775" w:rsidRDefault="00167775" w:rsidP="00A64B55">
            <w:pPr>
              <w:rPr>
                <w:rFonts w:ascii="Arial" w:hAnsi="Arial" w:cs="Arial"/>
                <w:sz w:val="20"/>
                <w:szCs w:val="20"/>
              </w:rPr>
            </w:pPr>
            <w:r w:rsidRPr="00167775">
              <w:rPr>
                <w:rFonts w:ascii="Arial" w:hAnsi="Arial" w:cs="Arial"/>
                <w:sz w:val="20"/>
                <w:szCs w:val="20"/>
              </w:rPr>
              <w:t>10 µg/mL Rutin</w:t>
            </w:r>
          </w:p>
        </w:tc>
        <w:tc>
          <w:tcPr>
            <w:tcW w:w="3330" w:type="dxa"/>
            <w:tcBorders>
              <w:top w:val="nil"/>
              <w:left w:val="nil"/>
              <w:bottom w:val="nil"/>
              <w:right w:val="nil"/>
            </w:tcBorders>
            <w:hideMark/>
          </w:tcPr>
          <w:p w14:paraId="2FD2AB02" w14:textId="77777777" w:rsidR="00167775" w:rsidRPr="00167775" w:rsidRDefault="00167775" w:rsidP="00A64B55">
            <w:pPr>
              <w:jc w:val="center"/>
              <w:rPr>
                <w:rFonts w:ascii="Arial" w:hAnsi="Arial" w:cs="Arial"/>
                <w:sz w:val="20"/>
                <w:szCs w:val="20"/>
              </w:rPr>
            </w:pPr>
            <w:r w:rsidRPr="00167775">
              <w:rPr>
                <w:rFonts w:ascii="Arial" w:hAnsi="Arial" w:cs="Arial"/>
                <w:sz w:val="20"/>
                <w:szCs w:val="20"/>
              </w:rPr>
              <w:t xml:space="preserve">  78.66 ± 2.34*</w:t>
            </w:r>
          </w:p>
        </w:tc>
        <w:tc>
          <w:tcPr>
            <w:tcW w:w="2520" w:type="dxa"/>
            <w:tcBorders>
              <w:top w:val="nil"/>
              <w:left w:val="nil"/>
              <w:bottom w:val="nil"/>
              <w:right w:val="nil"/>
            </w:tcBorders>
            <w:hideMark/>
          </w:tcPr>
          <w:p w14:paraId="3FF728DE" w14:textId="77777777" w:rsidR="00167775" w:rsidRPr="00167775" w:rsidRDefault="00167775" w:rsidP="00A64B55">
            <w:pPr>
              <w:jc w:val="center"/>
              <w:rPr>
                <w:rFonts w:ascii="Arial" w:hAnsi="Arial" w:cs="Arial"/>
                <w:sz w:val="20"/>
                <w:szCs w:val="20"/>
              </w:rPr>
            </w:pPr>
            <w:r w:rsidRPr="00167775">
              <w:rPr>
                <w:rFonts w:ascii="Arial" w:hAnsi="Arial" w:cs="Arial"/>
                <w:sz w:val="20"/>
                <w:szCs w:val="20"/>
              </w:rPr>
              <w:t xml:space="preserve">  48.84 ± 2.55*</w:t>
            </w:r>
          </w:p>
        </w:tc>
      </w:tr>
      <w:tr w:rsidR="00167775" w:rsidRPr="00167775" w14:paraId="74EDBF13" w14:textId="77777777" w:rsidTr="00A64B55">
        <w:trPr>
          <w:trHeight w:val="246"/>
        </w:trPr>
        <w:tc>
          <w:tcPr>
            <w:tcW w:w="2628" w:type="dxa"/>
            <w:tcBorders>
              <w:top w:val="nil"/>
              <w:left w:val="nil"/>
              <w:bottom w:val="single" w:sz="4" w:space="0" w:color="auto"/>
              <w:right w:val="nil"/>
            </w:tcBorders>
            <w:hideMark/>
          </w:tcPr>
          <w:p w14:paraId="5E2CCC99" w14:textId="77777777" w:rsidR="00167775" w:rsidRPr="00167775" w:rsidRDefault="00167775" w:rsidP="00A64B55">
            <w:pPr>
              <w:rPr>
                <w:rFonts w:ascii="Arial" w:hAnsi="Arial" w:cs="Arial"/>
                <w:sz w:val="20"/>
                <w:szCs w:val="20"/>
              </w:rPr>
            </w:pPr>
            <w:r w:rsidRPr="00167775">
              <w:rPr>
                <w:rFonts w:ascii="Arial" w:hAnsi="Arial" w:cs="Arial"/>
                <w:sz w:val="20"/>
                <w:szCs w:val="20"/>
              </w:rPr>
              <w:t>20 µg/mL Rutin</w:t>
            </w:r>
          </w:p>
        </w:tc>
        <w:tc>
          <w:tcPr>
            <w:tcW w:w="3330" w:type="dxa"/>
            <w:tcBorders>
              <w:top w:val="nil"/>
              <w:left w:val="nil"/>
              <w:bottom w:val="single" w:sz="4" w:space="0" w:color="auto"/>
              <w:right w:val="nil"/>
            </w:tcBorders>
            <w:hideMark/>
          </w:tcPr>
          <w:p w14:paraId="77B1E1C5" w14:textId="77777777" w:rsidR="00167775" w:rsidRPr="00167775" w:rsidRDefault="00167775" w:rsidP="00A64B55">
            <w:pPr>
              <w:jc w:val="center"/>
              <w:rPr>
                <w:rFonts w:ascii="Arial" w:hAnsi="Arial" w:cs="Arial"/>
                <w:sz w:val="20"/>
                <w:szCs w:val="20"/>
              </w:rPr>
            </w:pPr>
            <w:r w:rsidRPr="00167775">
              <w:rPr>
                <w:rFonts w:ascii="Arial" w:hAnsi="Arial" w:cs="Arial"/>
                <w:sz w:val="20"/>
                <w:szCs w:val="20"/>
              </w:rPr>
              <w:t xml:space="preserve">  55.18 ± 2.91*</w:t>
            </w:r>
          </w:p>
        </w:tc>
        <w:tc>
          <w:tcPr>
            <w:tcW w:w="2520" w:type="dxa"/>
            <w:tcBorders>
              <w:top w:val="nil"/>
              <w:left w:val="nil"/>
              <w:bottom w:val="single" w:sz="4" w:space="0" w:color="auto"/>
              <w:right w:val="nil"/>
            </w:tcBorders>
            <w:hideMark/>
          </w:tcPr>
          <w:p w14:paraId="7E2F3ABF" w14:textId="77777777" w:rsidR="00167775" w:rsidRPr="00167775" w:rsidRDefault="00167775" w:rsidP="00A64B55">
            <w:pPr>
              <w:jc w:val="center"/>
              <w:rPr>
                <w:rFonts w:ascii="Arial" w:hAnsi="Arial" w:cs="Arial"/>
                <w:sz w:val="20"/>
                <w:szCs w:val="20"/>
              </w:rPr>
            </w:pPr>
            <w:r w:rsidRPr="00167775">
              <w:rPr>
                <w:rFonts w:ascii="Arial" w:hAnsi="Arial" w:cs="Arial"/>
                <w:sz w:val="20"/>
                <w:szCs w:val="20"/>
              </w:rPr>
              <w:t xml:space="preserve">  39.29 ± 4.11*</w:t>
            </w:r>
          </w:p>
        </w:tc>
      </w:tr>
    </w:tbl>
    <w:p w14:paraId="5FC82852" w14:textId="77777777" w:rsidR="00167775" w:rsidRPr="005836E1" w:rsidRDefault="00167775" w:rsidP="00167775">
      <w:pPr>
        <w:jc w:val="both"/>
        <w:rPr>
          <w:rFonts w:ascii="Arial" w:hAnsi="Arial" w:cs="Arial"/>
          <w:sz w:val="16"/>
          <w:szCs w:val="16"/>
        </w:rPr>
      </w:pPr>
      <w:r w:rsidRPr="005836E1">
        <w:rPr>
          <w:rFonts w:ascii="Arial" w:hAnsi="Arial" w:cs="Arial"/>
          <w:sz w:val="16"/>
          <w:szCs w:val="16"/>
        </w:rPr>
        <w:t xml:space="preserve">Presented Values are mean ± standard error of Five independent assays performed in triplicates. The significant differences between expos cells and controls groups are shown as </w:t>
      </w:r>
      <w:r w:rsidR="00A566AC">
        <w:rPr>
          <w:rFonts w:ascii="Arial" w:hAnsi="Arial" w:cs="Arial"/>
          <w:sz w:val="16"/>
          <w:szCs w:val="16"/>
        </w:rPr>
        <w:t>(</w:t>
      </w:r>
      <w:r w:rsidR="005836E1" w:rsidRPr="005836E1">
        <w:rPr>
          <w:rFonts w:ascii="Arial" w:hAnsi="Arial" w:cs="Arial"/>
          <w:i/>
          <w:iCs/>
          <w:sz w:val="16"/>
          <w:szCs w:val="16"/>
          <w:lang w:val="en-GB" w:eastAsia="en-GB"/>
        </w:rPr>
        <w:t>P</w:t>
      </w:r>
      <w:r w:rsidR="005836E1" w:rsidRPr="005836E1">
        <w:rPr>
          <w:rFonts w:ascii="Arial" w:hAnsi="Arial" w:cs="Arial"/>
          <w:sz w:val="16"/>
          <w:szCs w:val="16"/>
          <w:lang w:val="en-GB" w:eastAsia="en-GB"/>
        </w:rPr>
        <w:t xml:space="preserve"> = .05</w:t>
      </w:r>
      <w:r w:rsidR="00A566AC">
        <w:rPr>
          <w:rFonts w:ascii="Arial" w:hAnsi="Arial" w:cs="Arial"/>
          <w:sz w:val="16"/>
          <w:szCs w:val="16"/>
          <w:lang w:val="en-GB" w:eastAsia="en-GB"/>
        </w:rPr>
        <w:t>)</w:t>
      </w:r>
      <w:r w:rsidR="005836E1" w:rsidRPr="005836E1">
        <w:rPr>
          <w:rFonts w:ascii="Arial" w:hAnsi="Arial" w:cs="Arial"/>
          <w:sz w:val="16"/>
          <w:szCs w:val="16"/>
        </w:rPr>
        <w:t xml:space="preserve"> </w:t>
      </w:r>
      <w:r w:rsidRPr="005836E1">
        <w:rPr>
          <w:rFonts w:ascii="Arial" w:hAnsi="Arial" w:cs="Arial"/>
          <w:sz w:val="16"/>
          <w:szCs w:val="16"/>
        </w:rPr>
        <w:t>(DMSO: dimethyl sulfoxide.)</w:t>
      </w:r>
    </w:p>
    <w:p w14:paraId="1CBFCBB3" w14:textId="77777777" w:rsidR="00167775" w:rsidRPr="00167775" w:rsidRDefault="00167775" w:rsidP="00167775">
      <w:pPr>
        <w:rPr>
          <w:rFonts w:ascii="Arial" w:hAnsi="Arial" w:cs="Arial"/>
        </w:rPr>
      </w:pPr>
    </w:p>
    <w:p w14:paraId="04F659D0" w14:textId="77777777" w:rsidR="00167775" w:rsidRPr="00167775" w:rsidRDefault="00167775" w:rsidP="00167775">
      <w:pPr>
        <w:rPr>
          <w:rFonts w:ascii="Arial" w:hAnsi="Arial" w:cs="Arial"/>
        </w:rPr>
      </w:pPr>
    </w:p>
    <w:p w14:paraId="79E0347C" w14:textId="77777777" w:rsidR="00167775" w:rsidRPr="00167775" w:rsidRDefault="00167775" w:rsidP="00167775">
      <w:pPr>
        <w:jc w:val="both"/>
        <w:rPr>
          <w:rFonts w:ascii="Arial" w:hAnsi="Arial" w:cs="Arial"/>
        </w:rPr>
      </w:pPr>
      <w:r w:rsidRPr="00167775">
        <w:rPr>
          <w:rFonts w:ascii="Arial" w:hAnsi="Arial" w:cs="Arial"/>
          <w:shd w:val="clear" w:color="auto" w:fill="FFFFFF"/>
        </w:rPr>
        <w:t>Lactate dehydrogenase (LDH) is an important enzyme of the anaerobic metabolic pathway. It belongs to the class of oxidoreductases, with an enzyme commission number EC 1.1. 1.27. The function of the enzyme is to </w:t>
      </w:r>
      <w:r w:rsidRPr="00167775">
        <w:rPr>
          <w:rFonts w:ascii="Arial" w:hAnsi="Arial" w:cs="Arial"/>
        </w:rPr>
        <w:t>catalyze the reversible conversion of lactate to pyruvate with the reduction of NAD</w:t>
      </w:r>
      <w:r w:rsidRPr="00167775">
        <w:rPr>
          <w:rFonts w:ascii="Arial" w:hAnsi="Arial" w:cs="Arial"/>
          <w:vertAlign w:val="superscript"/>
        </w:rPr>
        <w:t>+</w:t>
      </w:r>
      <w:r w:rsidRPr="00167775">
        <w:rPr>
          <w:rFonts w:ascii="Arial" w:hAnsi="Arial" w:cs="Arial"/>
        </w:rPr>
        <w:t xml:space="preserve"> to NADH and vice versa [18]. By measuring the extracellular activity of lactate dehydrogenase (LDH) following disruption to the cell plasma membrane, the lactate dehydrogenase leakage assay serves as an indirect test for the loss of cell membrane integrity.  The conversion of L-lactate to pyruvate is catalyzed by the stable cytosolic enzyme lactate dehydrogenase (LDH). LDH enzyme is released into the culture media when cells suffer membrane injury, indicating a loss of membrane integrity. Additionally, the finding that the graded concentration of rutin increased the amount of LDH in the cell as a percentage, demonstrates the cytotoxic effect, since increasing LDH levels signify cell damage to the plasma membrane [19]. Figure 3 shows the cytotoxic profile of HepG2 cells after its exposure to graded concentration of rutin for 72 h. Rutin increasingly caused an increase in LDH in the cell which were significantly noted at 0.01 – 1000 µg/ml at 18 – 74% in HepG2 cells. In Figure 4, the cytotoxic profile of LNCaP cells after its exposure to graded concentration of rutin for 72 h LNCaP cells was displayed. In a concentration-dependent manner, rutin caused the release of LDH by 21 – 82%. Across the experiment, rutin caused higher release of LDH in LNCaP higher than in HepG2 cells indicating that it is the most potent in causing a cytotoxic effect that led to the increasing release of LDH in the two cells tested by highest in LNCaP cells as </w:t>
      </w:r>
      <w:r w:rsidRPr="00167775">
        <w:rPr>
          <w:rFonts w:ascii="Arial" w:hAnsi="Arial" w:cs="Arial"/>
        </w:rPr>
        <w:lastRenderedPageBreak/>
        <w:t>measured by WST reagent. These results demonstrate the plausibility of pore opening induction, or intrinsic apoptosis, as a mechanism causing cell death.</w:t>
      </w:r>
    </w:p>
    <w:p w14:paraId="294A7488" w14:textId="77777777" w:rsidR="00167775" w:rsidRPr="00167775" w:rsidRDefault="00167775" w:rsidP="00167775">
      <w:pPr>
        <w:jc w:val="both"/>
        <w:rPr>
          <w:rFonts w:ascii="Arial" w:hAnsi="Arial" w:cs="Arial"/>
        </w:rPr>
      </w:pPr>
    </w:p>
    <w:p w14:paraId="28654612" w14:textId="77777777" w:rsidR="00167775" w:rsidRPr="00167775" w:rsidRDefault="00167775" w:rsidP="00167775">
      <w:pPr>
        <w:jc w:val="both"/>
        <w:rPr>
          <w:rFonts w:ascii="Arial" w:hAnsi="Arial" w:cs="Arial"/>
        </w:rPr>
      </w:pPr>
    </w:p>
    <w:p w14:paraId="503DF103" w14:textId="77777777" w:rsidR="00167775" w:rsidRPr="00167775" w:rsidRDefault="00F73B5B" w:rsidP="00167775">
      <w:pPr>
        <w:jc w:val="both"/>
        <w:rPr>
          <w:rFonts w:ascii="Arial" w:hAnsi="Arial" w:cs="Arial"/>
        </w:rPr>
      </w:pPr>
      <w:r w:rsidRPr="00167775">
        <w:rPr>
          <w:rFonts w:ascii="Arial" w:hAnsi="Arial" w:cs="Arial"/>
          <w:noProof/>
        </w:rPr>
        <mc:AlternateContent>
          <mc:Choice Requires="wps">
            <w:drawing>
              <wp:anchor distT="0" distB="0" distL="114300" distR="114300" simplePos="0" relativeHeight="251653632" behindDoc="0" locked="0" layoutInCell="1" allowOverlap="1" wp14:anchorId="5824ADBC" wp14:editId="1229F4A5">
                <wp:simplePos x="0" y="0"/>
                <wp:positionH relativeFrom="column">
                  <wp:posOffset>242570</wp:posOffset>
                </wp:positionH>
                <wp:positionV relativeFrom="paragraph">
                  <wp:posOffset>2292350</wp:posOffset>
                </wp:positionV>
                <wp:extent cx="5461635" cy="378460"/>
                <wp:effectExtent l="0" t="0" r="0" b="0"/>
                <wp:wrapNone/>
                <wp:docPr id="63874966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635" cy="378460"/>
                        </a:xfrm>
                        <a:prstGeom prst="rect">
                          <a:avLst/>
                        </a:prstGeom>
                        <a:noFill/>
                        <a:ln>
                          <a:noFill/>
                        </a:ln>
                      </wps:spPr>
                      <wps:txbx>
                        <w:txbxContent>
                          <w:p w14:paraId="0D83B42F" w14:textId="18E16674" w:rsidR="00167775" w:rsidRPr="005836E1" w:rsidRDefault="00167775" w:rsidP="00167775">
                            <w:pPr>
                              <w:rPr>
                                <w:rFonts w:ascii="Arial" w:eastAsia="Calibri" w:hAnsi="Arial" w:cs="Arial"/>
                                <w:color w:val="000000" w:themeColor="text1"/>
                                <w:kern w:val="24"/>
                                <w:sz w:val="16"/>
                                <w:szCs w:val="16"/>
                              </w:rPr>
                            </w:pPr>
                            <w:r w:rsidRPr="005836E1">
                              <w:rPr>
                                <w:rFonts w:ascii="Arial" w:eastAsia="Calibri" w:hAnsi="Arial" w:cs="Arial"/>
                                <w:color w:val="000000" w:themeColor="text1"/>
                                <w:kern w:val="24"/>
                                <w:sz w:val="16"/>
                                <w:szCs w:val="16"/>
                              </w:rPr>
                              <w:t>Fig</w:t>
                            </w:r>
                            <w:r w:rsidR="00DD29E6">
                              <w:rPr>
                                <w:rFonts w:ascii="Arial" w:eastAsia="Calibri" w:hAnsi="Arial" w:cs="Arial"/>
                                <w:color w:val="000000" w:themeColor="text1"/>
                                <w:kern w:val="24"/>
                                <w:sz w:val="16"/>
                                <w:szCs w:val="16"/>
                              </w:rPr>
                              <w:t>ure</w:t>
                            </w:r>
                            <w:r w:rsidRPr="005836E1">
                              <w:rPr>
                                <w:rFonts w:ascii="Arial" w:eastAsia="Calibri" w:hAnsi="Arial" w:cs="Arial"/>
                                <w:color w:val="000000" w:themeColor="text1"/>
                                <w:kern w:val="24"/>
                                <w:sz w:val="16"/>
                                <w:szCs w:val="16"/>
                              </w:rPr>
                              <w:t xml:space="preserve"> 3:  The percentage cytotoxic effect of graded concentration of </w:t>
                            </w:r>
                            <w:r w:rsidRPr="005836E1">
                              <w:rPr>
                                <w:rFonts w:ascii="Arial" w:hAnsi="Arial" w:cs="Arial"/>
                                <w:sz w:val="16"/>
                                <w:szCs w:val="16"/>
                              </w:rPr>
                              <w:t>rutin</w:t>
                            </w:r>
                            <w:r w:rsidRPr="005836E1">
                              <w:rPr>
                                <w:rFonts w:ascii="Arial" w:eastAsia="Calibri" w:hAnsi="Arial" w:cs="Arial"/>
                                <w:color w:val="000000" w:themeColor="text1"/>
                                <w:kern w:val="24"/>
                                <w:sz w:val="16"/>
                                <w:szCs w:val="16"/>
                              </w:rPr>
                              <w:t xml:space="preserve"> (S</w:t>
                            </w:r>
                            <w:r w:rsidRPr="005836E1">
                              <w:rPr>
                                <w:rFonts w:ascii="Arial" w:eastAsia="Calibri" w:hAnsi="Arial" w:cs="Arial"/>
                                <w:color w:val="000000" w:themeColor="text1"/>
                                <w:kern w:val="24"/>
                                <w:sz w:val="16"/>
                                <w:szCs w:val="16"/>
                                <w:vertAlign w:val="subscript"/>
                              </w:rPr>
                              <w:t>C</w:t>
                            </w:r>
                            <w:r w:rsidRPr="005836E1">
                              <w:rPr>
                                <w:rFonts w:ascii="Arial" w:eastAsia="Calibri" w:hAnsi="Arial" w:cs="Arial"/>
                                <w:color w:val="000000" w:themeColor="text1"/>
                                <w:kern w:val="24"/>
                                <w:sz w:val="16"/>
                                <w:szCs w:val="16"/>
                              </w:rPr>
                              <w:t>- Rutin, exposure) on HepG2 cells</w:t>
                            </w:r>
                          </w:p>
                          <w:p w14:paraId="10A42507" w14:textId="77777777" w:rsidR="00167775" w:rsidRPr="005836E1" w:rsidRDefault="00167775" w:rsidP="00167775">
                            <w:pPr>
                              <w:spacing w:after="100" w:line="254" w:lineRule="auto"/>
                              <w:jc w:val="both"/>
                              <w:rPr>
                                <w:rFonts w:ascii="Arial" w:eastAsia="Calibri" w:hAnsi="Arial" w:cs="Arial"/>
                                <w:color w:val="000000"/>
                                <w:kern w:val="24"/>
                                <w:sz w:val="16"/>
                                <w:szCs w:val="16"/>
                              </w:rPr>
                            </w:pPr>
                            <w:r w:rsidRPr="005836E1">
                              <w:rPr>
                                <w:rFonts w:ascii="Arial" w:eastAsia="Calibri" w:hAnsi="Arial" w:cs="Arial"/>
                                <w:color w:val="000000"/>
                                <w:kern w:val="24"/>
                                <w:sz w:val="16"/>
                                <w:szCs w:val="16"/>
                              </w:rPr>
                              <w:t>*, means values are statistically significant at (</w:t>
                            </w:r>
                            <w:r w:rsidR="005836E1" w:rsidRPr="005836E1">
                              <w:rPr>
                                <w:rFonts w:ascii="Arial" w:hAnsi="Arial" w:cs="Arial"/>
                                <w:i/>
                                <w:iCs/>
                                <w:sz w:val="16"/>
                                <w:szCs w:val="16"/>
                                <w:lang w:val="en-GB" w:eastAsia="en-GB"/>
                              </w:rPr>
                              <w:t>P</w:t>
                            </w:r>
                            <w:r w:rsidR="005836E1" w:rsidRPr="005836E1">
                              <w:rPr>
                                <w:rFonts w:ascii="Arial" w:hAnsi="Arial" w:cs="Arial"/>
                                <w:sz w:val="16"/>
                                <w:szCs w:val="16"/>
                                <w:lang w:val="en-GB" w:eastAsia="en-GB"/>
                              </w:rPr>
                              <w:t xml:space="preserve"> = .05</w:t>
                            </w:r>
                            <w:r w:rsidRPr="005836E1">
                              <w:rPr>
                                <w:rFonts w:ascii="Arial" w:eastAsia="Calibri" w:hAnsi="Arial" w:cs="Arial"/>
                                <w:color w:val="000000"/>
                                <w:kern w:val="24"/>
                                <w:sz w:val="16"/>
                                <w:szCs w:val="16"/>
                              </w:rPr>
                              <w:t xml:space="preserve">), relative to the control </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24ADBC" id="_x0000_t202" coordsize="21600,21600" o:spt="202" path="m,l,21600r21600,l21600,xe">
                <v:stroke joinstyle="miter"/>
                <v:path gradientshapeok="t" o:connecttype="rect"/>
              </v:shapetype>
              <v:shape id="Text Box 21" o:spid="_x0000_s1026" type="#_x0000_t202" style="position:absolute;left:0;text-align:left;margin-left:19.1pt;margin-top:180.5pt;width:430.05pt;height:29.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" filled="f" stroked="f">
                <v:textbox>
                  <w:txbxContent>
                    <w:p w14:paraId="0D83B42F" w14:textId="18E16674" w:rsidR="00167775" w:rsidRPr="005836E1" w:rsidRDefault="00167775" w:rsidP="00167775">
                      <w:pPr>
                        <w:rPr>
                          <w:rFonts w:ascii="Arial" w:eastAsia="Calibri" w:hAnsi="Arial" w:cs="Arial"/>
                          <w:color w:val="000000" w:themeColor="text1"/>
                          <w:kern w:val="24"/>
                          <w:sz w:val="16"/>
                          <w:szCs w:val="16"/>
                        </w:rPr>
                      </w:pPr>
                      <w:r w:rsidRPr="005836E1">
                        <w:rPr>
                          <w:rFonts w:ascii="Arial" w:eastAsia="Calibri" w:hAnsi="Arial" w:cs="Arial"/>
                          <w:color w:val="000000" w:themeColor="text1"/>
                          <w:kern w:val="24"/>
                          <w:sz w:val="16"/>
                          <w:szCs w:val="16"/>
                        </w:rPr>
                        <w:t>Fig</w:t>
                      </w:r>
                      <w:r w:rsidR="00DD29E6">
                        <w:rPr>
                          <w:rFonts w:ascii="Arial" w:eastAsia="Calibri" w:hAnsi="Arial" w:cs="Arial"/>
                          <w:color w:val="000000" w:themeColor="text1"/>
                          <w:kern w:val="24"/>
                          <w:sz w:val="16"/>
                          <w:szCs w:val="16"/>
                        </w:rPr>
                        <w:t>ure</w:t>
                      </w:r>
                      <w:r w:rsidRPr="005836E1">
                        <w:rPr>
                          <w:rFonts w:ascii="Arial" w:eastAsia="Calibri" w:hAnsi="Arial" w:cs="Arial"/>
                          <w:color w:val="000000" w:themeColor="text1"/>
                          <w:kern w:val="24"/>
                          <w:sz w:val="16"/>
                          <w:szCs w:val="16"/>
                        </w:rPr>
                        <w:t xml:space="preserve"> 3:  The percentage cytotoxic effect of graded concentration of </w:t>
                      </w:r>
                      <w:r w:rsidRPr="005836E1">
                        <w:rPr>
                          <w:rFonts w:ascii="Arial" w:hAnsi="Arial" w:cs="Arial"/>
                          <w:sz w:val="16"/>
                          <w:szCs w:val="16"/>
                        </w:rPr>
                        <w:t>rutin</w:t>
                      </w:r>
                      <w:r w:rsidRPr="005836E1">
                        <w:rPr>
                          <w:rFonts w:ascii="Arial" w:eastAsia="Calibri" w:hAnsi="Arial" w:cs="Arial"/>
                          <w:color w:val="000000" w:themeColor="text1"/>
                          <w:kern w:val="24"/>
                          <w:sz w:val="16"/>
                          <w:szCs w:val="16"/>
                        </w:rPr>
                        <w:t xml:space="preserve"> (S</w:t>
                      </w:r>
                      <w:r w:rsidRPr="005836E1">
                        <w:rPr>
                          <w:rFonts w:ascii="Arial" w:eastAsia="Calibri" w:hAnsi="Arial" w:cs="Arial"/>
                          <w:color w:val="000000" w:themeColor="text1"/>
                          <w:kern w:val="24"/>
                          <w:sz w:val="16"/>
                          <w:szCs w:val="16"/>
                          <w:vertAlign w:val="subscript"/>
                        </w:rPr>
                        <w:t>C</w:t>
                      </w:r>
                      <w:r w:rsidRPr="005836E1">
                        <w:rPr>
                          <w:rFonts w:ascii="Arial" w:eastAsia="Calibri" w:hAnsi="Arial" w:cs="Arial"/>
                          <w:color w:val="000000" w:themeColor="text1"/>
                          <w:kern w:val="24"/>
                          <w:sz w:val="16"/>
                          <w:szCs w:val="16"/>
                        </w:rPr>
                        <w:t>- Rutin, exposure) on HepG2 cells</w:t>
                      </w:r>
                    </w:p>
                    <w:p w14:paraId="10A42507" w14:textId="77777777" w:rsidR="00167775" w:rsidRPr="005836E1" w:rsidRDefault="00167775" w:rsidP="00167775">
                      <w:pPr>
                        <w:spacing w:after="100" w:line="254" w:lineRule="auto"/>
                        <w:jc w:val="both"/>
                        <w:rPr>
                          <w:rFonts w:ascii="Arial" w:eastAsia="Calibri" w:hAnsi="Arial" w:cs="Arial"/>
                          <w:color w:val="000000"/>
                          <w:kern w:val="24"/>
                          <w:sz w:val="16"/>
                          <w:szCs w:val="16"/>
                        </w:rPr>
                      </w:pPr>
                      <w:r w:rsidRPr="005836E1">
                        <w:rPr>
                          <w:rFonts w:ascii="Arial" w:eastAsia="Calibri" w:hAnsi="Arial" w:cs="Arial"/>
                          <w:color w:val="000000"/>
                          <w:kern w:val="24"/>
                          <w:sz w:val="16"/>
                          <w:szCs w:val="16"/>
                        </w:rPr>
                        <w:t>*, means values are statistically significant at (</w:t>
                      </w:r>
                      <w:r w:rsidR="005836E1" w:rsidRPr="005836E1">
                        <w:rPr>
                          <w:rFonts w:ascii="Arial" w:hAnsi="Arial" w:cs="Arial"/>
                          <w:i/>
                          <w:iCs/>
                          <w:sz w:val="16"/>
                          <w:szCs w:val="16"/>
                          <w:lang w:val="en-GB" w:eastAsia="en-GB"/>
                        </w:rPr>
                        <w:t>P</w:t>
                      </w:r>
                      <w:r w:rsidR="005836E1" w:rsidRPr="005836E1">
                        <w:rPr>
                          <w:rFonts w:ascii="Arial" w:hAnsi="Arial" w:cs="Arial"/>
                          <w:sz w:val="16"/>
                          <w:szCs w:val="16"/>
                          <w:lang w:val="en-GB" w:eastAsia="en-GB"/>
                        </w:rPr>
                        <w:t xml:space="preserve"> = .05</w:t>
                      </w:r>
                      <w:r w:rsidRPr="005836E1">
                        <w:rPr>
                          <w:rFonts w:ascii="Arial" w:eastAsia="Calibri" w:hAnsi="Arial" w:cs="Arial"/>
                          <w:color w:val="000000"/>
                          <w:kern w:val="24"/>
                          <w:sz w:val="16"/>
                          <w:szCs w:val="16"/>
                        </w:rPr>
                        <w:t xml:space="preserve">), relative to the control </w:t>
                      </w:r>
                    </w:p>
                  </w:txbxContent>
                </v:textbox>
              </v:shape>
            </w:pict>
          </mc:Fallback>
        </mc:AlternateContent>
      </w:r>
      <w:r w:rsidR="00167775" w:rsidRPr="00167775">
        <w:rPr>
          <w:rFonts w:ascii="Arial" w:hAnsi="Arial" w:cs="Arial"/>
        </w:rPr>
        <w:t xml:space="preserve">                          </w:t>
      </w:r>
      <w:r w:rsidR="005836E1" w:rsidRPr="00167775">
        <w:rPr>
          <w:rFonts w:ascii="Arial" w:hAnsi="Arial" w:cs="Arial"/>
        </w:rPr>
        <w:object w:dxaOrig="7110" w:dyaOrig="4335" w14:anchorId="6E9B0E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8pt;height:187pt" o:ole="">
            <v:imagedata r:id="rId16" o:title=""/>
          </v:shape>
          <o:OLEObject Type="Embed" ProgID="Prism6.Document" ShapeID="_x0000_i1025" DrawAspect="Content" ObjectID="_1828693932" r:id="rId17"/>
        </w:object>
      </w:r>
    </w:p>
    <w:p w14:paraId="7353DD13" w14:textId="77777777" w:rsidR="00167775" w:rsidRPr="00167775" w:rsidRDefault="00167775" w:rsidP="00167775">
      <w:pPr>
        <w:rPr>
          <w:rFonts w:ascii="Arial" w:hAnsi="Arial" w:cs="Arial"/>
        </w:rPr>
      </w:pPr>
    </w:p>
    <w:p w14:paraId="73550BB3" w14:textId="77777777" w:rsidR="00167775" w:rsidRPr="00167775" w:rsidRDefault="00167775" w:rsidP="00167775">
      <w:pPr>
        <w:rPr>
          <w:rFonts w:ascii="Arial" w:hAnsi="Arial" w:cs="Arial"/>
        </w:rPr>
      </w:pPr>
      <w:r w:rsidRPr="00167775">
        <w:rPr>
          <w:rFonts w:ascii="Arial" w:hAnsi="Arial" w:cs="Arial"/>
        </w:rPr>
        <w:t xml:space="preserve">                       </w:t>
      </w:r>
    </w:p>
    <w:p w14:paraId="20AEBE27" w14:textId="77777777" w:rsidR="00167775" w:rsidRPr="00167775" w:rsidRDefault="00167775" w:rsidP="00167775">
      <w:pPr>
        <w:rPr>
          <w:rFonts w:ascii="Arial" w:hAnsi="Arial" w:cs="Arial"/>
        </w:rPr>
      </w:pPr>
    </w:p>
    <w:p w14:paraId="6AC195D6" w14:textId="77777777" w:rsidR="00167775" w:rsidRPr="00167775" w:rsidRDefault="00F73B5B" w:rsidP="00167775">
      <w:pPr>
        <w:rPr>
          <w:rFonts w:ascii="Arial" w:hAnsi="Arial" w:cs="Arial"/>
        </w:rPr>
      </w:pPr>
      <w:r w:rsidRPr="00167775">
        <w:rPr>
          <w:rFonts w:ascii="Arial" w:hAnsi="Arial" w:cs="Arial"/>
          <w:noProof/>
        </w:rPr>
        <mc:AlternateContent>
          <mc:Choice Requires="wps">
            <w:drawing>
              <wp:anchor distT="0" distB="0" distL="114300" distR="114300" simplePos="0" relativeHeight="251654656" behindDoc="0" locked="0" layoutInCell="1" allowOverlap="1" wp14:anchorId="4D7F4CF9" wp14:editId="27B8D97B">
                <wp:simplePos x="0" y="0"/>
                <wp:positionH relativeFrom="column">
                  <wp:posOffset>36195</wp:posOffset>
                </wp:positionH>
                <wp:positionV relativeFrom="paragraph">
                  <wp:posOffset>1803400</wp:posOffset>
                </wp:positionV>
                <wp:extent cx="5608320" cy="378460"/>
                <wp:effectExtent l="0" t="0" r="0" b="0"/>
                <wp:wrapNone/>
                <wp:docPr id="25455668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320" cy="378460"/>
                        </a:xfrm>
                        <a:prstGeom prst="rect">
                          <a:avLst/>
                        </a:prstGeom>
                        <a:noFill/>
                        <a:ln>
                          <a:noFill/>
                        </a:ln>
                      </wps:spPr>
                      <wps:txbx>
                        <w:txbxContent>
                          <w:p w14:paraId="537C6CF9" w14:textId="35874835" w:rsidR="00167775" w:rsidRDefault="00167775" w:rsidP="00167775">
                            <w:pPr>
                              <w:rPr>
                                <w:rFonts w:ascii="Cambria Math" w:eastAsia="Calibri" w:hAnsi="Cambria Math"/>
                                <w:color w:val="000000" w:themeColor="text1"/>
                                <w:kern w:val="24"/>
                                <w:sz w:val="16"/>
                                <w:szCs w:val="16"/>
                              </w:rPr>
                            </w:pPr>
                            <w:r>
                              <w:rPr>
                                <w:rFonts w:ascii="Cambria Math" w:eastAsia="Calibri" w:hAnsi="Cambria Math"/>
                                <w:color w:val="000000" w:themeColor="text1"/>
                                <w:kern w:val="24"/>
                                <w:sz w:val="16"/>
                                <w:szCs w:val="16"/>
                              </w:rPr>
                              <w:t>Fig</w:t>
                            </w:r>
                            <w:r w:rsidR="00DD29E6">
                              <w:rPr>
                                <w:rFonts w:ascii="Cambria Math" w:eastAsia="Calibri" w:hAnsi="Cambria Math"/>
                                <w:color w:val="000000" w:themeColor="text1"/>
                                <w:kern w:val="24"/>
                                <w:sz w:val="16"/>
                                <w:szCs w:val="16"/>
                              </w:rPr>
                              <w:t>ure</w:t>
                            </w:r>
                            <w:r>
                              <w:rPr>
                                <w:rFonts w:ascii="Cambria Math" w:eastAsia="Calibri" w:hAnsi="Cambria Math"/>
                                <w:color w:val="000000" w:themeColor="text1"/>
                                <w:kern w:val="24"/>
                                <w:sz w:val="16"/>
                                <w:szCs w:val="16"/>
                              </w:rPr>
                              <w:t xml:space="preserve"> 4:  The percentage cytotoxic effect of graded concentration of </w:t>
                            </w:r>
                            <w:r>
                              <w:rPr>
                                <w:rFonts w:ascii="Cambria Math" w:hAnsi="Cambria Math"/>
                                <w:sz w:val="16"/>
                                <w:szCs w:val="16"/>
                              </w:rPr>
                              <w:t>rutin</w:t>
                            </w:r>
                            <w:r>
                              <w:rPr>
                                <w:rFonts w:ascii="Cambria Math" w:eastAsia="Calibri" w:hAnsi="Cambria Math"/>
                                <w:color w:val="000000" w:themeColor="text1"/>
                                <w:kern w:val="24"/>
                                <w:sz w:val="16"/>
                                <w:szCs w:val="16"/>
                              </w:rPr>
                              <w:t xml:space="preserve"> (S</w:t>
                            </w:r>
                            <w:r>
                              <w:rPr>
                                <w:rFonts w:ascii="Cambria Math" w:eastAsia="Calibri" w:hAnsi="Cambria Math"/>
                                <w:color w:val="000000" w:themeColor="text1"/>
                                <w:kern w:val="24"/>
                                <w:sz w:val="16"/>
                                <w:szCs w:val="16"/>
                                <w:vertAlign w:val="subscript"/>
                              </w:rPr>
                              <w:t>C</w:t>
                            </w:r>
                            <w:r>
                              <w:rPr>
                                <w:rFonts w:ascii="Cambria Math" w:eastAsia="Calibri" w:hAnsi="Cambria Math"/>
                                <w:color w:val="000000" w:themeColor="text1"/>
                                <w:kern w:val="24"/>
                                <w:sz w:val="16"/>
                                <w:szCs w:val="16"/>
                              </w:rPr>
                              <w:t>- Rutin, exposure) on LNCaP cells</w:t>
                            </w:r>
                          </w:p>
                          <w:p w14:paraId="676D670B" w14:textId="77777777" w:rsidR="00167775" w:rsidRDefault="00167775" w:rsidP="00167775">
                            <w:pPr>
                              <w:spacing w:after="100" w:line="254" w:lineRule="auto"/>
                              <w:jc w:val="both"/>
                              <w:rPr>
                                <w:rFonts w:ascii="Cambria Math" w:eastAsia="Calibri" w:hAnsi="Cambria Math"/>
                                <w:color w:val="000000"/>
                                <w:kern w:val="24"/>
                                <w:sz w:val="16"/>
                                <w:szCs w:val="16"/>
                              </w:rPr>
                            </w:pPr>
                            <w:r>
                              <w:rPr>
                                <w:rFonts w:ascii="Cambria Math" w:eastAsia="Calibri" w:hAnsi="Cambria Math"/>
                                <w:color w:val="000000"/>
                                <w:kern w:val="24"/>
                                <w:sz w:val="16"/>
                                <w:szCs w:val="16"/>
                              </w:rPr>
                              <w:t>*, means values are statistically significant at (</w:t>
                            </w:r>
                            <w:r w:rsidR="00A566AC" w:rsidRPr="005836E1">
                              <w:rPr>
                                <w:rFonts w:ascii="Arial" w:hAnsi="Arial" w:cs="Arial"/>
                                <w:i/>
                                <w:iCs/>
                                <w:sz w:val="16"/>
                                <w:szCs w:val="16"/>
                                <w:lang w:val="en-GB" w:eastAsia="en-GB"/>
                              </w:rPr>
                              <w:t>P</w:t>
                            </w:r>
                            <w:r w:rsidR="00A566AC" w:rsidRPr="005836E1">
                              <w:rPr>
                                <w:rFonts w:ascii="Arial" w:hAnsi="Arial" w:cs="Arial"/>
                                <w:sz w:val="16"/>
                                <w:szCs w:val="16"/>
                                <w:lang w:val="en-GB" w:eastAsia="en-GB"/>
                              </w:rPr>
                              <w:t xml:space="preserve"> = .05</w:t>
                            </w:r>
                            <w:r>
                              <w:rPr>
                                <w:rFonts w:ascii="Cambria Math" w:eastAsia="Calibri" w:hAnsi="Cambria Math"/>
                                <w:color w:val="000000"/>
                                <w:kern w:val="24"/>
                                <w:sz w:val="16"/>
                                <w:szCs w:val="16"/>
                              </w:rPr>
                              <w:t xml:space="preserve">), relative to the control </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F4CF9" id="Text Box 19" o:spid="_x0000_s1027" type="#_x0000_t202" style="position:absolute;margin-left:2.85pt;margin-top:142pt;width:441.6pt;height:29.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" filled="f" stroked="f">
                <v:textbox>
                  <w:txbxContent>
                    <w:p w14:paraId="537C6CF9" w14:textId="35874835" w:rsidR="00167775" w:rsidRDefault="00167775" w:rsidP="00167775">
                      <w:pPr>
                        <w:rPr>
                          <w:rFonts w:ascii="Cambria Math" w:eastAsia="Calibri" w:hAnsi="Cambria Math"/>
                          <w:color w:val="000000" w:themeColor="text1"/>
                          <w:kern w:val="24"/>
                          <w:sz w:val="16"/>
                          <w:szCs w:val="16"/>
                        </w:rPr>
                      </w:pPr>
                      <w:r>
                        <w:rPr>
                          <w:rFonts w:ascii="Cambria Math" w:eastAsia="Calibri" w:hAnsi="Cambria Math"/>
                          <w:color w:val="000000" w:themeColor="text1"/>
                          <w:kern w:val="24"/>
                          <w:sz w:val="16"/>
                          <w:szCs w:val="16"/>
                        </w:rPr>
                        <w:t>Fig</w:t>
                      </w:r>
                      <w:r w:rsidR="00DD29E6">
                        <w:rPr>
                          <w:rFonts w:ascii="Cambria Math" w:eastAsia="Calibri" w:hAnsi="Cambria Math"/>
                          <w:color w:val="000000" w:themeColor="text1"/>
                          <w:kern w:val="24"/>
                          <w:sz w:val="16"/>
                          <w:szCs w:val="16"/>
                        </w:rPr>
                        <w:t>ure</w:t>
                      </w:r>
                      <w:r>
                        <w:rPr>
                          <w:rFonts w:ascii="Cambria Math" w:eastAsia="Calibri" w:hAnsi="Cambria Math"/>
                          <w:color w:val="000000" w:themeColor="text1"/>
                          <w:kern w:val="24"/>
                          <w:sz w:val="16"/>
                          <w:szCs w:val="16"/>
                        </w:rPr>
                        <w:t xml:space="preserve"> 4:  The percentage cytotoxic effect of graded concentration of </w:t>
                      </w:r>
                      <w:r>
                        <w:rPr>
                          <w:rFonts w:ascii="Cambria Math" w:hAnsi="Cambria Math"/>
                          <w:sz w:val="16"/>
                          <w:szCs w:val="16"/>
                        </w:rPr>
                        <w:t>rutin</w:t>
                      </w:r>
                      <w:r>
                        <w:rPr>
                          <w:rFonts w:ascii="Cambria Math" w:eastAsia="Calibri" w:hAnsi="Cambria Math"/>
                          <w:color w:val="000000" w:themeColor="text1"/>
                          <w:kern w:val="24"/>
                          <w:sz w:val="16"/>
                          <w:szCs w:val="16"/>
                        </w:rPr>
                        <w:t xml:space="preserve"> (S</w:t>
                      </w:r>
                      <w:r>
                        <w:rPr>
                          <w:rFonts w:ascii="Cambria Math" w:eastAsia="Calibri" w:hAnsi="Cambria Math"/>
                          <w:color w:val="000000" w:themeColor="text1"/>
                          <w:kern w:val="24"/>
                          <w:sz w:val="16"/>
                          <w:szCs w:val="16"/>
                          <w:vertAlign w:val="subscript"/>
                        </w:rPr>
                        <w:t>C</w:t>
                      </w:r>
                      <w:r>
                        <w:rPr>
                          <w:rFonts w:ascii="Cambria Math" w:eastAsia="Calibri" w:hAnsi="Cambria Math"/>
                          <w:color w:val="000000" w:themeColor="text1"/>
                          <w:kern w:val="24"/>
                          <w:sz w:val="16"/>
                          <w:szCs w:val="16"/>
                        </w:rPr>
                        <w:t>- Rutin, exposure) on LNCaP cells</w:t>
                      </w:r>
                    </w:p>
                    <w:p w14:paraId="676D670B" w14:textId="77777777" w:rsidR="00167775" w:rsidRDefault="00167775" w:rsidP="00167775">
                      <w:pPr>
                        <w:spacing w:after="100" w:line="254" w:lineRule="auto"/>
                        <w:jc w:val="both"/>
                        <w:rPr>
                          <w:rFonts w:ascii="Cambria Math" w:eastAsia="Calibri" w:hAnsi="Cambria Math"/>
                          <w:color w:val="000000"/>
                          <w:kern w:val="24"/>
                          <w:sz w:val="16"/>
                          <w:szCs w:val="16"/>
                        </w:rPr>
                      </w:pPr>
                      <w:r>
                        <w:rPr>
                          <w:rFonts w:ascii="Cambria Math" w:eastAsia="Calibri" w:hAnsi="Cambria Math"/>
                          <w:color w:val="000000"/>
                          <w:kern w:val="24"/>
                          <w:sz w:val="16"/>
                          <w:szCs w:val="16"/>
                        </w:rPr>
                        <w:t>*, means values are statistically significant at (</w:t>
                      </w:r>
                      <w:r w:rsidR="00A566AC" w:rsidRPr="005836E1">
                        <w:rPr>
                          <w:rFonts w:ascii="Arial" w:hAnsi="Arial" w:cs="Arial"/>
                          <w:i/>
                          <w:iCs/>
                          <w:sz w:val="16"/>
                          <w:szCs w:val="16"/>
                          <w:lang w:val="en-GB" w:eastAsia="en-GB"/>
                        </w:rPr>
                        <w:t>P</w:t>
                      </w:r>
                      <w:r w:rsidR="00A566AC" w:rsidRPr="005836E1">
                        <w:rPr>
                          <w:rFonts w:ascii="Arial" w:hAnsi="Arial" w:cs="Arial"/>
                          <w:sz w:val="16"/>
                          <w:szCs w:val="16"/>
                          <w:lang w:val="en-GB" w:eastAsia="en-GB"/>
                        </w:rPr>
                        <w:t xml:space="preserve"> = .05</w:t>
                      </w:r>
                      <w:r>
                        <w:rPr>
                          <w:rFonts w:ascii="Cambria Math" w:eastAsia="Calibri" w:hAnsi="Cambria Math"/>
                          <w:color w:val="000000"/>
                          <w:kern w:val="24"/>
                          <w:sz w:val="16"/>
                          <w:szCs w:val="16"/>
                        </w:rPr>
                        <w:t xml:space="preserve">), relative to the control </w:t>
                      </w:r>
                    </w:p>
                  </w:txbxContent>
                </v:textbox>
              </v:shape>
            </w:pict>
          </mc:Fallback>
        </mc:AlternateContent>
      </w:r>
      <w:r w:rsidR="00167775" w:rsidRPr="00167775">
        <w:rPr>
          <w:rFonts w:ascii="Arial" w:hAnsi="Arial" w:cs="Arial"/>
        </w:rPr>
        <w:t xml:space="preserve">        </w:t>
      </w:r>
      <w:r w:rsidR="002918FE">
        <w:rPr>
          <w:rFonts w:ascii="Arial" w:hAnsi="Arial" w:cs="Arial"/>
        </w:rPr>
        <w:t xml:space="preserve">                      </w:t>
      </w:r>
      <w:r w:rsidR="005836E1" w:rsidRPr="00167775">
        <w:rPr>
          <w:rFonts w:ascii="Arial" w:hAnsi="Arial" w:cs="Arial"/>
        </w:rPr>
        <w:object w:dxaOrig="6960" w:dyaOrig="4515" w14:anchorId="797C022C">
          <v:shape id="_x0000_i1026" type="#_x0000_t75" style="width:264.6pt;height:149.6pt" o:ole="">
            <v:imagedata r:id="rId18" o:title=""/>
          </v:shape>
          <o:OLEObject Type="Embed" ProgID="Prism6.Document" ShapeID="_x0000_i1026" DrawAspect="Content" ObjectID="_1828693933" r:id="rId19"/>
        </w:object>
      </w:r>
    </w:p>
    <w:p w14:paraId="1F9E3160" w14:textId="77777777" w:rsidR="00167775" w:rsidRPr="00167775" w:rsidRDefault="00167775" w:rsidP="00167775">
      <w:pPr>
        <w:rPr>
          <w:rFonts w:ascii="Arial" w:hAnsi="Arial" w:cs="Arial"/>
        </w:rPr>
      </w:pPr>
    </w:p>
    <w:p w14:paraId="12D8E24E" w14:textId="77777777" w:rsidR="00167775" w:rsidRPr="00167775" w:rsidRDefault="00167775" w:rsidP="00167775">
      <w:pPr>
        <w:rPr>
          <w:rFonts w:ascii="Arial" w:hAnsi="Arial" w:cs="Arial"/>
        </w:rPr>
      </w:pPr>
    </w:p>
    <w:p w14:paraId="256E872E" w14:textId="77777777" w:rsidR="00167775" w:rsidRPr="00167775" w:rsidRDefault="00167775" w:rsidP="00167775">
      <w:pPr>
        <w:rPr>
          <w:rFonts w:ascii="Arial" w:hAnsi="Arial" w:cs="Arial"/>
        </w:rPr>
      </w:pPr>
    </w:p>
    <w:p w14:paraId="1C44B612" w14:textId="77777777" w:rsidR="00167775" w:rsidRPr="00167775" w:rsidRDefault="00167775" w:rsidP="00167775">
      <w:pPr>
        <w:jc w:val="both"/>
        <w:rPr>
          <w:rFonts w:ascii="Arial" w:hAnsi="Arial" w:cs="Arial"/>
        </w:rPr>
      </w:pPr>
      <w:r w:rsidRPr="00167775">
        <w:rPr>
          <w:rFonts w:ascii="Arial" w:hAnsi="Arial" w:cs="Arial"/>
        </w:rPr>
        <w:t xml:space="preserve">Cancer, cardiovascular disease, diabetes, and neurodegenerative diseases have all been linked to mitochondrial dysfunction. The toxicity of substances can have an immediate or indirect consequence on mitochondrial function. Loads of these drugs inhibit mitochondrial membrane potential by disrupting a number of macromolecules in the mitochondria, these affects mitochondrial activities, and causes decrease in mitochondrial membrane potential leading to apoptosis [20]. By </w:t>
      </w:r>
      <w:proofErr w:type="spellStart"/>
      <w:r w:rsidRPr="00167775">
        <w:rPr>
          <w:rFonts w:ascii="Arial" w:hAnsi="Arial" w:cs="Arial"/>
        </w:rPr>
        <w:t>oxidising</w:t>
      </w:r>
      <w:proofErr w:type="spellEnd"/>
      <w:r w:rsidRPr="00167775">
        <w:rPr>
          <w:rFonts w:ascii="Arial" w:hAnsi="Arial" w:cs="Arial"/>
        </w:rPr>
        <w:t xml:space="preserve"> substrates, mitochondria generate a membrane potential seen as proton gradient across the mitochondrial inner membrane. Many functions with respect to mitochondria, including ATP production, reactive oxygen species, calcium ion sequestration, and protein import into the mitochondrion, are inextricably linked to mitochondrial membrane potential. As a result, pharmacological variations in mitochondrial membrane potential are linked to a variety of clinical conditions. </w:t>
      </w:r>
      <w:proofErr w:type="spellStart"/>
      <w:r w:rsidRPr="00167775">
        <w:rPr>
          <w:rFonts w:ascii="Arial" w:hAnsi="Arial" w:cs="Arial"/>
        </w:rPr>
        <w:t>Tetramethylrhodamine</w:t>
      </w:r>
      <w:proofErr w:type="spellEnd"/>
      <w:r w:rsidRPr="00167775">
        <w:rPr>
          <w:rFonts w:ascii="Arial" w:hAnsi="Arial" w:cs="Arial"/>
        </w:rPr>
        <w:t xml:space="preserve"> ethyl ester (TMRE) is used to mark active mitochondrial and it is a red-orange </w:t>
      </w:r>
      <w:proofErr w:type="spellStart"/>
      <w:r w:rsidRPr="00167775">
        <w:rPr>
          <w:rFonts w:ascii="Arial" w:hAnsi="Arial" w:cs="Arial"/>
        </w:rPr>
        <w:t>coloured</w:t>
      </w:r>
      <w:proofErr w:type="spellEnd"/>
      <w:r w:rsidRPr="00167775">
        <w:rPr>
          <w:rFonts w:ascii="Arial" w:hAnsi="Arial" w:cs="Arial"/>
        </w:rPr>
        <w:t xml:space="preserve"> cell permeant positively charged dye. The TMRE dye accrues in </w:t>
      </w:r>
      <w:proofErr w:type="spellStart"/>
      <w:r w:rsidRPr="00167775">
        <w:rPr>
          <w:rFonts w:ascii="Arial" w:hAnsi="Arial" w:cs="Arial"/>
        </w:rPr>
        <w:t>energised</w:t>
      </w:r>
      <w:proofErr w:type="spellEnd"/>
      <w:r w:rsidRPr="00167775">
        <w:rPr>
          <w:rFonts w:ascii="Arial" w:hAnsi="Arial" w:cs="Arial"/>
        </w:rPr>
        <w:t xml:space="preserve"> mitochondria and is used to assess the cell's mitochondrial membrane potential. The accumulation of TMRE in </w:t>
      </w:r>
      <w:r w:rsidRPr="00167775">
        <w:rPr>
          <w:rFonts w:ascii="Arial" w:hAnsi="Arial" w:cs="Arial"/>
        </w:rPr>
        <w:lastRenderedPageBreak/>
        <w:t xml:space="preserve">healthy cells appear as luminous clumps (emission at 590 nm) which is transformed to green fluorescent monomers (emission at 535 nm) and then stays in the cytosol when the mitochondrial membrane potential depolarizes and cells loses their integrity. In healthy mitochondria, TMRE staining is punctuate, whereas in cells with low </w:t>
      </w:r>
      <w:proofErr w:type="spellStart"/>
      <w:r w:rsidRPr="00167775">
        <w:rPr>
          <w:rFonts w:ascii="Arial" w:hAnsi="Arial" w:cs="Arial"/>
        </w:rPr>
        <w:t>ΔΨm</w:t>
      </w:r>
      <w:proofErr w:type="spellEnd"/>
      <w:r w:rsidRPr="00167775">
        <w:rPr>
          <w:rFonts w:ascii="Arial" w:hAnsi="Arial" w:cs="Arial"/>
        </w:rPr>
        <w:t xml:space="preserve">, it is faint and diffuse. TMRE dye does not accumulate in cells whose mitochondria has shifted to a state of depolarization due to apoptosis (or other physiological state) Also, fluorescence microscopy can be used to observe the TMRE staining [21]. Our findings show that the percentage of HepG2 and LNCaP cells having the dye was high in FCCP-incubated cells, showing that the cells died. HepG2 and LNCaP cells treated with vehicle had a higher proportion of cells with TMRE masses. This shows that the cells' mitochondrial membranes were intact, as evidenced by the bright orange TMRE fluorescence. </w:t>
      </w:r>
    </w:p>
    <w:p w14:paraId="13099986" w14:textId="77777777" w:rsidR="00167775" w:rsidRPr="00167775" w:rsidRDefault="00167775" w:rsidP="00167775">
      <w:pPr>
        <w:jc w:val="both"/>
        <w:rPr>
          <w:rFonts w:ascii="Arial" w:hAnsi="Arial" w:cs="Arial"/>
        </w:rPr>
      </w:pPr>
    </w:p>
    <w:p w14:paraId="72535A01" w14:textId="77777777" w:rsidR="00167775" w:rsidRPr="00167775" w:rsidRDefault="00167775" w:rsidP="00167775">
      <w:pPr>
        <w:jc w:val="both"/>
        <w:rPr>
          <w:rFonts w:ascii="Arial" w:hAnsi="Arial" w:cs="Arial"/>
        </w:rPr>
      </w:pPr>
      <w:r w:rsidRPr="00167775">
        <w:rPr>
          <w:rFonts w:ascii="Arial" w:hAnsi="Arial" w:cs="Arial"/>
        </w:rPr>
        <w:t>However, when the cells were preincubated with rutin for 72 hours, the TMRE dye fluorescent intensity ratio revealed reduction in mitochondrial membrane potential. The remark that rutin caused a significant decline in mitochondrial membrane potential in LNCaP. Also, HepG2 cells pre-incubated with rutin dissipates mitochondrial membrane potential in these cells. This is consistent with the decrease in the ∆</w:t>
      </w:r>
      <w:proofErr w:type="spellStart"/>
      <w:r w:rsidRPr="00167775">
        <w:rPr>
          <w:rFonts w:ascii="Arial" w:hAnsi="Arial" w:cs="Arial"/>
        </w:rPr>
        <w:t>Ψm</w:t>
      </w:r>
      <w:proofErr w:type="spellEnd"/>
      <w:r w:rsidRPr="00167775">
        <w:rPr>
          <w:rFonts w:ascii="Arial" w:hAnsi="Arial" w:cs="Arial"/>
        </w:rPr>
        <w:t xml:space="preserve"> associated with early apoptosis mediated by pore opening.</w:t>
      </w:r>
    </w:p>
    <w:p w14:paraId="02B0DEA4" w14:textId="77777777" w:rsidR="00167775" w:rsidRPr="00167775" w:rsidRDefault="00167775" w:rsidP="00167775">
      <w:pPr>
        <w:jc w:val="both"/>
        <w:rPr>
          <w:rFonts w:ascii="Arial" w:hAnsi="Arial" w:cs="Arial"/>
        </w:rPr>
      </w:pPr>
    </w:p>
    <w:p w14:paraId="5659D9DF" w14:textId="77777777" w:rsidR="00167775" w:rsidRPr="00167775" w:rsidRDefault="00167775" w:rsidP="00167775">
      <w:pPr>
        <w:pStyle w:val="ListParagraph"/>
        <w:numPr>
          <w:ilvl w:val="0"/>
          <w:numId w:val="31"/>
        </w:numPr>
        <w:spacing w:after="0" w:line="240" w:lineRule="auto"/>
        <w:rPr>
          <w:rFonts w:ascii="Arial" w:hAnsi="Arial" w:cs="Arial"/>
          <w:b/>
          <w:sz w:val="20"/>
          <w:szCs w:val="20"/>
        </w:rPr>
      </w:pPr>
      <w:r w:rsidRPr="00167775">
        <w:rPr>
          <w:rFonts w:ascii="Arial" w:hAnsi="Arial" w:cs="Arial"/>
          <w:b/>
          <w:sz w:val="20"/>
          <w:szCs w:val="20"/>
        </w:rPr>
        <w:t xml:space="preserve">                                                                           B.</w:t>
      </w:r>
    </w:p>
    <w:p w14:paraId="500824DE" w14:textId="77777777" w:rsidR="00167775" w:rsidRPr="00167775" w:rsidRDefault="00F73B5B" w:rsidP="00167775">
      <w:pPr>
        <w:rPr>
          <w:rFonts w:ascii="Arial" w:hAnsi="Arial" w:cs="Arial"/>
          <w:b/>
        </w:rPr>
      </w:pPr>
      <w:r w:rsidRPr="00167775">
        <w:rPr>
          <w:rFonts w:ascii="Arial" w:hAnsi="Arial" w:cs="Arial"/>
          <w:noProof/>
        </w:rPr>
        <mc:AlternateContent>
          <mc:Choice Requires="wps">
            <w:drawing>
              <wp:anchor distT="0" distB="0" distL="114300" distR="114300" simplePos="0" relativeHeight="251662848" behindDoc="0" locked="0" layoutInCell="1" allowOverlap="1" wp14:anchorId="256C3E8F" wp14:editId="44A8AF11">
                <wp:simplePos x="0" y="0"/>
                <wp:positionH relativeFrom="margin">
                  <wp:posOffset>5294630</wp:posOffset>
                </wp:positionH>
                <wp:positionV relativeFrom="paragraph">
                  <wp:posOffset>372745</wp:posOffset>
                </wp:positionV>
                <wp:extent cx="530860" cy="604520"/>
                <wp:effectExtent l="0" t="0" r="0" b="0"/>
                <wp:wrapNone/>
                <wp:docPr id="17508320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860" cy="60452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8E026BF" id="Rectangle 17" o:spid="_x0000_s1026" style="position:absolute;margin-left:416.9pt;margin-top:29.35pt;width:41.8pt;height:47.6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" fillcolor="white [3201]" stroked="f" strokeweight="2pt">
                <w10:wrap anchorx="margin"/>
              </v:rect>
            </w:pict>
          </mc:Fallback>
        </mc:AlternateContent>
      </w:r>
      <w:r w:rsidRPr="00167775">
        <w:rPr>
          <w:rFonts w:ascii="Arial" w:hAnsi="Arial" w:cs="Arial"/>
          <w:noProof/>
        </w:rPr>
        <mc:AlternateContent>
          <mc:Choice Requires="wps">
            <w:drawing>
              <wp:anchor distT="0" distB="0" distL="114300" distR="114300" simplePos="0" relativeHeight="251655680" behindDoc="0" locked="0" layoutInCell="1" allowOverlap="1" wp14:anchorId="16510515" wp14:editId="3D3CAB4E">
                <wp:simplePos x="0" y="0"/>
                <wp:positionH relativeFrom="column">
                  <wp:posOffset>343535</wp:posOffset>
                </wp:positionH>
                <wp:positionV relativeFrom="paragraph">
                  <wp:posOffset>1956435</wp:posOffset>
                </wp:positionV>
                <wp:extent cx="1041400" cy="254000"/>
                <wp:effectExtent l="0" t="0" r="0" b="0"/>
                <wp:wrapNone/>
                <wp:docPr id="117258606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254000"/>
                        </a:xfrm>
                        <a:prstGeom prst="rect">
                          <a:avLst/>
                        </a:prstGeom>
                        <a:noFill/>
                        <a:ln w="6350">
                          <a:noFill/>
                        </a:ln>
                      </wps:spPr>
                      <wps:txbx>
                        <w:txbxContent>
                          <w:p w14:paraId="6CB41D73" w14:textId="77777777" w:rsidR="00167775" w:rsidRDefault="00167775" w:rsidP="00167775">
                            <w:pPr>
                              <w:rPr>
                                <w:rFonts w:ascii="Cambria Math" w:hAnsi="Cambria Math"/>
                                <w:sz w:val="16"/>
                                <w:szCs w:val="16"/>
                              </w:rPr>
                            </w:pPr>
                            <w:r>
                              <w:rPr>
                                <w:rFonts w:ascii="Cambria Math" w:hAnsi="Cambria Math"/>
                                <w:sz w:val="16"/>
                                <w:szCs w:val="16"/>
                              </w:rPr>
                              <w:t xml:space="preserve">Concentration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10515" id="Text Box 15" o:spid="_x0000_s1028" type="#_x0000_t202" style="position:absolute;margin-left:27.05pt;margin-top:154.05pt;width:82pt;height:2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" filled="f" stroked="f" strokeweight=".5pt">
                <v:textbox>
                  <w:txbxContent>
                    <w:p w14:paraId="6CB41D73" w14:textId="77777777" w:rsidR="00167775" w:rsidRDefault="00167775" w:rsidP="00167775">
                      <w:pPr>
                        <w:rPr>
                          <w:rFonts w:ascii="Cambria Math" w:hAnsi="Cambria Math"/>
                          <w:sz w:val="16"/>
                          <w:szCs w:val="16"/>
                        </w:rPr>
                      </w:pPr>
                      <w:r>
                        <w:rPr>
                          <w:rFonts w:ascii="Cambria Math" w:hAnsi="Cambria Math"/>
                          <w:sz w:val="16"/>
                          <w:szCs w:val="16"/>
                        </w:rPr>
                        <w:t xml:space="preserve">Concentration </w:t>
                      </w:r>
                    </w:p>
                  </w:txbxContent>
                </v:textbox>
              </v:shape>
            </w:pict>
          </mc:Fallback>
        </mc:AlternateContent>
      </w:r>
      <w:r w:rsidR="00345727" w:rsidRPr="00167775">
        <w:rPr>
          <w:rFonts w:ascii="Arial" w:hAnsi="Arial" w:cs="Arial"/>
          <w:b/>
        </w:rPr>
        <w:object w:dxaOrig="3825" w:dyaOrig="3270" w14:anchorId="5B849D69">
          <v:shape id="_x0000_i1027" type="#_x0000_t75" style="width:155.25pt;height:163.5pt" o:ole="">
            <v:imagedata r:id="rId20" o:title=""/>
          </v:shape>
          <o:OLEObject Type="Embed" ProgID="Prism6.Document" ShapeID="_x0000_i1027" DrawAspect="Content" ObjectID="_1828693934" r:id="rId21"/>
        </w:object>
      </w:r>
      <w:r w:rsidR="00167775" w:rsidRPr="00167775">
        <w:rPr>
          <w:rFonts w:ascii="Arial" w:hAnsi="Arial" w:cs="Arial"/>
          <w:b/>
        </w:rPr>
        <w:t xml:space="preserve">                           </w:t>
      </w:r>
      <w:r w:rsidR="00167775" w:rsidRPr="00167775">
        <w:rPr>
          <w:rFonts w:ascii="Arial" w:hAnsi="Arial" w:cs="Arial"/>
          <w:b/>
        </w:rPr>
        <w:object w:dxaOrig="3540" w:dyaOrig="3180" w14:anchorId="0997A954">
          <v:shape id="_x0000_i1028" type="#_x0000_t75" style="width:177.75pt;height:159.75pt" o:ole="">
            <v:imagedata r:id="rId22" o:title=""/>
          </v:shape>
          <o:OLEObject Type="Embed" ProgID="Prism6.Document" ShapeID="_x0000_i1028" DrawAspect="Content" ObjectID="_1828693935" r:id="rId23"/>
        </w:object>
      </w:r>
    </w:p>
    <w:p w14:paraId="637B35DB" w14:textId="77777777" w:rsidR="00167775" w:rsidRPr="00167775" w:rsidRDefault="00167775" w:rsidP="00167775">
      <w:pPr>
        <w:rPr>
          <w:rFonts w:ascii="Arial" w:hAnsi="Arial" w:cs="Arial"/>
          <w:b/>
        </w:rPr>
      </w:pPr>
    </w:p>
    <w:p w14:paraId="08CE1144" w14:textId="4E33CE7A" w:rsidR="00167775" w:rsidRPr="00DD29E6" w:rsidRDefault="00167775" w:rsidP="00167775">
      <w:pPr>
        <w:rPr>
          <w:rFonts w:ascii="Arial" w:hAnsi="Arial" w:cs="Arial"/>
          <w:b/>
          <w:sz w:val="16"/>
          <w:szCs w:val="16"/>
        </w:rPr>
      </w:pPr>
      <w:r w:rsidRPr="005836E1">
        <w:rPr>
          <w:rFonts w:ascii="Arial" w:hAnsi="Arial" w:cs="Arial"/>
          <w:bCs/>
          <w:sz w:val="16"/>
          <w:szCs w:val="16"/>
        </w:rPr>
        <w:t>Fig</w:t>
      </w:r>
      <w:r w:rsidR="00DD29E6">
        <w:rPr>
          <w:rFonts w:ascii="Arial" w:hAnsi="Arial" w:cs="Arial"/>
          <w:bCs/>
          <w:sz w:val="16"/>
          <w:szCs w:val="16"/>
        </w:rPr>
        <w:t>ure</w:t>
      </w:r>
      <w:r w:rsidRPr="005836E1">
        <w:rPr>
          <w:rFonts w:ascii="Arial" w:hAnsi="Arial" w:cs="Arial"/>
          <w:bCs/>
          <w:sz w:val="16"/>
          <w:szCs w:val="16"/>
        </w:rPr>
        <w:t xml:space="preserve"> 5: The percentage relative fluorescence signal of HepG2 cells treated with DMSO and FCCP (diluent control and coupler, respectively) and graded concentration of S</w:t>
      </w:r>
      <w:r w:rsidRPr="005836E1">
        <w:rPr>
          <w:rFonts w:ascii="Arial" w:hAnsi="Arial" w:cs="Arial"/>
          <w:bCs/>
          <w:sz w:val="16"/>
          <w:szCs w:val="16"/>
          <w:vertAlign w:val="subscript"/>
        </w:rPr>
        <w:t>c</w:t>
      </w:r>
      <w:r w:rsidR="00DD29E6">
        <w:rPr>
          <w:rFonts w:ascii="Arial" w:hAnsi="Arial" w:cs="Arial"/>
          <w:bCs/>
          <w:sz w:val="16"/>
          <w:szCs w:val="16"/>
        </w:rPr>
        <w:t>- Rutin</w:t>
      </w:r>
    </w:p>
    <w:p w14:paraId="64791719" w14:textId="77777777" w:rsidR="00167775" w:rsidRPr="005836E1" w:rsidRDefault="00167775" w:rsidP="00167775">
      <w:pPr>
        <w:rPr>
          <w:rFonts w:ascii="Arial" w:hAnsi="Arial" w:cs="Arial"/>
          <w:bCs/>
          <w:sz w:val="16"/>
          <w:szCs w:val="16"/>
        </w:rPr>
      </w:pPr>
      <w:r w:rsidRPr="005836E1">
        <w:rPr>
          <w:rFonts w:ascii="Arial" w:hAnsi="Arial" w:cs="Arial"/>
          <w:bCs/>
          <w:sz w:val="16"/>
          <w:szCs w:val="16"/>
        </w:rPr>
        <w:t xml:space="preserve">A: Exposure of DMSO and FCCP (as control) to HepG2 cells   </w:t>
      </w:r>
      <w:r w:rsidR="005836E1">
        <w:rPr>
          <w:rFonts w:ascii="Arial" w:hAnsi="Arial" w:cs="Arial"/>
          <w:bCs/>
          <w:sz w:val="16"/>
          <w:szCs w:val="16"/>
        </w:rPr>
        <w:t xml:space="preserve">                </w:t>
      </w:r>
      <w:r w:rsidRPr="005836E1">
        <w:rPr>
          <w:rFonts w:ascii="Arial" w:hAnsi="Arial" w:cs="Arial"/>
          <w:bCs/>
          <w:sz w:val="16"/>
          <w:szCs w:val="16"/>
        </w:rPr>
        <w:t xml:space="preserve">B: Exposure of </w:t>
      </w:r>
      <w:r w:rsidRPr="005836E1">
        <w:rPr>
          <w:rFonts w:ascii="Arial" w:eastAsia="Calibri" w:hAnsi="Arial" w:cs="Arial"/>
          <w:kern w:val="24"/>
          <w:sz w:val="16"/>
          <w:szCs w:val="16"/>
        </w:rPr>
        <w:t>S</w:t>
      </w:r>
      <w:r w:rsidRPr="005836E1">
        <w:rPr>
          <w:rFonts w:ascii="Arial" w:eastAsia="Calibri" w:hAnsi="Arial" w:cs="Arial"/>
          <w:kern w:val="24"/>
          <w:sz w:val="16"/>
          <w:szCs w:val="16"/>
          <w:vertAlign w:val="subscript"/>
        </w:rPr>
        <w:t>C</w:t>
      </w:r>
      <w:r w:rsidRPr="005836E1">
        <w:rPr>
          <w:rFonts w:ascii="Arial" w:eastAsia="Calibri" w:hAnsi="Arial" w:cs="Arial"/>
          <w:kern w:val="24"/>
          <w:sz w:val="16"/>
          <w:szCs w:val="16"/>
        </w:rPr>
        <w:t>- Rutin t</w:t>
      </w:r>
      <w:r w:rsidRPr="005836E1">
        <w:rPr>
          <w:rFonts w:ascii="Arial" w:hAnsi="Arial" w:cs="Arial"/>
          <w:bCs/>
          <w:sz w:val="16"/>
          <w:szCs w:val="16"/>
        </w:rPr>
        <w:t>o HepG2 cells</w:t>
      </w:r>
    </w:p>
    <w:p w14:paraId="1477F92B" w14:textId="77777777" w:rsidR="00167775" w:rsidRPr="005836E1" w:rsidRDefault="00167775" w:rsidP="00167775">
      <w:pPr>
        <w:jc w:val="both"/>
        <w:rPr>
          <w:rFonts w:ascii="Arial" w:hAnsi="Arial" w:cs="Arial"/>
          <w:bCs/>
          <w:sz w:val="16"/>
          <w:szCs w:val="16"/>
        </w:rPr>
      </w:pPr>
      <w:r w:rsidRPr="005836E1">
        <w:rPr>
          <w:rFonts w:ascii="Arial" w:hAnsi="Arial" w:cs="Arial"/>
          <w:bCs/>
          <w:sz w:val="16"/>
          <w:szCs w:val="16"/>
        </w:rPr>
        <w:t xml:space="preserve">*, means values are statistically significant at </w:t>
      </w:r>
      <w:r w:rsidR="005836E1" w:rsidRPr="005836E1">
        <w:rPr>
          <w:rFonts w:ascii="Arial" w:hAnsi="Arial" w:cs="Arial"/>
          <w:bCs/>
          <w:sz w:val="16"/>
          <w:szCs w:val="16"/>
        </w:rPr>
        <w:t>(</w:t>
      </w:r>
      <w:r w:rsidR="005836E1" w:rsidRPr="005836E1">
        <w:rPr>
          <w:rFonts w:ascii="Arial" w:hAnsi="Arial" w:cs="Arial"/>
          <w:i/>
          <w:iCs/>
          <w:sz w:val="16"/>
          <w:szCs w:val="16"/>
          <w:lang w:val="en-GB" w:eastAsia="en-GB"/>
        </w:rPr>
        <w:t>P</w:t>
      </w:r>
      <w:r w:rsidR="005836E1" w:rsidRPr="005836E1">
        <w:rPr>
          <w:rFonts w:ascii="Arial" w:hAnsi="Arial" w:cs="Arial"/>
          <w:sz w:val="16"/>
          <w:szCs w:val="16"/>
          <w:lang w:val="en-GB" w:eastAsia="en-GB"/>
        </w:rPr>
        <w:t xml:space="preserve"> = .05) </w:t>
      </w:r>
      <w:r w:rsidRPr="005836E1">
        <w:rPr>
          <w:rFonts w:ascii="Arial" w:hAnsi="Arial" w:cs="Arial"/>
          <w:bCs/>
          <w:sz w:val="16"/>
          <w:szCs w:val="16"/>
        </w:rPr>
        <w:t xml:space="preserve">relative to the control </w:t>
      </w:r>
    </w:p>
    <w:p w14:paraId="599EAD5A" w14:textId="77777777" w:rsidR="00167775" w:rsidRDefault="00167775" w:rsidP="00167775">
      <w:pPr>
        <w:jc w:val="both"/>
        <w:rPr>
          <w:rFonts w:ascii="Arial" w:hAnsi="Arial" w:cs="Arial"/>
          <w:bCs/>
        </w:rPr>
      </w:pPr>
    </w:p>
    <w:p w14:paraId="376D4185" w14:textId="77777777" w:rsidR="00A566AC" w:rsidRDefault="00A566AC" w:rsidP="00167775">
      <w:pPr>
        <w:jc w:val="both"/>
        <w:rPr>
          <w:rFonts w:ascii="Arial" w:hAnsi="Arial" w:cs="Arial"/>
          <w:bCs/>
        </w:rPr>
      </w:pPr>
    </w:p>
    <w:p w14:paraId="75774D66" w14:textId="77777777" w:rsidR="00A566AC" w:rsidRDefault="00A566AC" w:rsidP="00167775">
      <w:pPr>
        <w:jc w:val="both"/>
        <w:rPr>
          <w:rFonts w:ascii="Arial" w:hAnsi="Arial" w:cs="Arial"/>
          <w:bCs/>
        </w:rPr>
      </w:pPr>
    </w:p>
    <w:p w14:paraId="7CE14A32" w14:textId="77777777" w:rsidR="00A566AC" w:rsidRDefault="00A566AC" w:rsidP="00167775">
      <w:pPr>
        <w:jc w:val="both"/>
        <w:rPr>
          <w:rFonts w:ascii="Arial" w:hAnsi="Arial" w:cs="Arial"/>
          <w:bCs/>
        </w:rPr>
      </w:pPr>
    </w:p>
    <w:p w14:paraId="69E86203" w14:textId="77777777" w:rsidR="00A566AC" w:rsidRDefault="00A566AC" w:rsidP="00167775">
      <w:pPr>
        <w:jc w:val="both"/>
        <w:rPr>
          <w:rFonts w:ascii="Arial" w:hAnsi="Arial" w:cs="Arial"/>
          <w:bCs/>
        </w:rPr>
      </w:pPr>
    </w:p>
    <w:p w14:paraId="1305050E" w14:textId="77777777" w:rsidR="00A566AC" w:rsidRDefault="00A566AC" w:rsidP="00167775">
      <w:pPr>
        <w:jc w:val="both"/>
        <w:rPr>
          <w:rFonts w:ascii="Arial" w:hAnsi="Arial" w:cs="Arial"/>
          <w:bCs/>
        </w:rPr>
      </w:pPr>
    </w:p>
    <w:p w14:paraId="429F9625" w14:textId="77777777" w:rsidR="00A566AC" w:rsidRDefault="00A566AC" w:rsidP="00167775">
      <w:pPr>
        <w:jc w:val="both"/>
        <w:rPr>
          <w:rFonts w:ascii="Arial" w:hAnsi="Arial" w:cs="Arial"/>
          <w:bCs/>
        </w:rPr>
      </w:pPr>
    </w:p>
    <w:p w14:paraId="7F4FDBC9" w14:textId="77777777" w:rsidR="00A566AC" w:rsidRDefault="00A566AC" w:rsidP="00167775">
      <w:pPr>
        <w:jc w:val="both"/>
        <w:rPr>
          <w:rFonts w:ascii="Arial" w:hAnsi="Arial" w:cs="Arial"/>
          <w:bCs/>
        </w:rPr>
      </w:pPr>
    </w:p>
    <w:p w14:paraId="35AF9FC3" w14:textId="77777777" w:rsidR="00A566AC" w:rsidRDefault="00A566AC" w:rsidP="00167775">
      <w:pPr>
        <w:jc w:val="both"/>
        <w:rPr>
          <w:rFonts w:ascii="Arial" w:hAnsi="Arial" w:cs="Arial"/>
          <w:bCs/>
        </w:rPr>
      </w:pPr>
    </w:p>
    <w:p w14:paraId="2D90CB7D" w14:textId="77777777" w:rsidR="00A566AC" w:rsidRDefault="00A566AC" w:rsidP="00167775">
      <w:pPr>
        <w:jc w:val="both"/>
        <w:rPr>
          <w:rFonts w:ascii="Arial" w:hAnsi="Arial" w:cs="Arial"/>
          <w:bCs/>
        </w:rPr>
      </w:pPr>
    </w:p>
    <w:p w14:paraId="26DB5779" w14:textId="77777777" w:rsidR="00A566AC" w:rsidRDefault="00A566AC" w:rsidP="00167775">
      <w:pPr>
        <w:jc w:val="both"/>
        <w:rPr>
          <w:rFonts w:ascii="Arial" w:hAnsi="Arial" w:cs="Arial"/>
          <w:bCs/>
        </w:rPr>
      </w:pPr>
    </w:p>
    <w:p w14:paraId="47B7875C" w14:textId="77777777" w:rsidR="00A566AC" w:rsidRDefault="00A566AC" w:rsidP="00167775">
      <w:pPr>
        <w:jc w:val="both"/>
        <w:rPr>
          <w:rFonts w:ascii="Arial" w:hAnsi="Arial" w:cs="Arial"/>
          <w:bCs/>
        </w:rPr>
      </w:pPr>
    </w:p>
    <w:p w14:paraId="66D0BC6C" w14:textId="77777777" w:rsidR="00A566AC" w:rsidRDefault="00A566AC" w:rsidP="00167775">
      <w:pPr>
        <w:jc w:val="both"/>
        <w:rPr>
          <w:rFonts w:ascii="Arial" w:hAnsi="Arial" w:cs="Arial"/>
          <w:bCs/>
        </w:rPr>
      </w:pPr>
    </w:p>
    <w:p w14:paraId="70D95991" w14:textId="77777777" w:rsidR="00A566AC" w:rsidRDefault="00A566AC" w:rsidP="00167775">
      <w:pPr>
        <w:jc w:val="both"/>
        <w:rPr>
          <w:rFonts w:ascii="Arial" w:hAnsi="Arial" w:cs="Arial"/>
          <w:bCs/>
        </w:rPr>
      </w:pPr>
    </w:p>
    <w:p w14:paraId="5D4E03D0" w14:textId="77777777" w:rsidR="00A566AC" w:rsidRDefault="00A566AC" w:rsidP="00167775">
      <w:pPr>
        <w:jc w:val="both"/>
        <w:rPr>
          <w:rFonts w:ascii="Arial" w:hAnsi="Arial" w:cs="Arial"/>
          <w:bCs/>
        </w:rPr>
      </w:pPr>
    </w:p>
    <w:p w14:paraId="14F53162" w14:textId="77777777" w:rsidR="00167775" w:rsidRPr="00167775" w:rsidRDefault="00167775" w:rsidP="00167775">
      <w:pPr>
        <w:pStyle w:val="ListParagraph"/>
        <w:numPr>
          <w:ilvl w:val="0"/>
          <w:numId w:val="32"/>
        </w:numPr>
        <w:spacing w:after="0" w:line="240" w:lineRule="auto"/>
        <w:rPr>
          <w:rFonts w:ascii="Arial" w:hAnsi="Arial" w:cs="Arial"/>
          <w:b/>
          <w:sz w:val="20"/>
          <w:szCs w:val="20"/>
        </w:rPr>
      </w:pPr>
      <w:r w:rsidRPr="00167775">
        <w:rPr>
          <w:rFonts w:ascii="Arial" w:hAnsi="Arial" w:cs="Arial"/>
          <w:b/>
          <w:sz w:val="20"/>
          <w:szCs w:val="20"/>
        </w:rPr>
        <w:lastRenderedPageBreak/>
        <w:t xml:space="preserve">                                                                  </w:t>
      </w:r>
      <w:r w:rsidRPr="00167775">
        <w:rPr>
          <w:rFonts w:ascii="Arial" w:hAnsi="Arial" w:cs="Arial"/>
          <w:b/>
          <w:bCs/>
          <w:sz w:val="20"/>
          <w:szCs w:val="20"/>
        </w:rPr>
        <w:t>B.</w:t>
      </w:r>
    </w:p>
    <w:p w14:paraId="1D7448E2" w14:textId="77777777" w:rsidR="00167775" w:rsidRPr="00167775" w:rsidRDefault="00F73B5B" w:rsidP="00167775">
      <w:pPr>
        <w:rPr>
          <w:rFonts w:ascii="Arial" w:hAnsi="Arial" w:cs="Arial"/>
        </w:rPr>
      </w:pPr>
      <w:r w:rsidRPr="00167775">
        <w:rPr>
          <w:rFonts w:ascii="Arial" w:hAnsi="Arial" w:cs="Arial"/>
          <w:noProof/>
        </w:rPr>
        <mc:AlternateContent>
          <mc:Choice Requires="wps">
            <w:drawing>
              <wp:anchor distT="0" distB="0" distL="114300" distR="114300" simplePos="0" relativeHeight="251656704" behindDoc="0" locked="0" layoutInCell="1" allowOverlap="1" wp14:anchorId="1A47A960" wp14:editId="4A3981A5">
                <wp:simplePos x="0" y="0"/>
                <wp:positionH relativeFrom="column">
                  <wp:posOffset>3028803</wp:posOffset>
                </wp:positionH>
                <wp:positionV relativeFrom="paragraph">
                  <wp:posOffset>1482725</wp:posOffset>
                </wp:positionV>
                <wp:extent cx="1041400" cy="254000"/>
                <wp:effectExtent l="0" t="0" r="0" b="0"/>
                <wp:wrapNone/>
                <wp:docPr id="4041575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254000"/>
                        </a:xfrm>
                        <a:prstGeom prst="rect">
                          <a:avLst/>
                        </a:prstGeom>
                        <a:noFill/>
                        <a:ln w="6350">
                          <a:noFill/>
                        </a:ln>
                      </wps:spPr>
                      <wps:txbx>
                        <w:txbxContent>
                          <w:p w14:paraId="6698B061" w14:textId="77777777" w:rsidR="00167775" w:rsidRDefault="00167775" w:rsidP="00167775">
                            <w:pPr>
                              <w:rPr>
                                <w:rFonts w:ascii="Cambria Math" w:hAnsi="Cambria Math"/>
                                <w:sz w:val="16"/>
                                <w:szCs w:val="16"/>
                              </w:rPr>
                            </w:pPr>
                            <w:r>
                              <w:rPr>
                                <w:rFonts w:ascii="Cambria Math" w:hAnsi="Cambria Math"/>
                                <w:sz w:val="16"/>
                                <w:szCs w:val="16"/>
                              </w:rPr>
                              <w:t xml:space="preserve">Concentration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7A960" id="Text Box 11" o:spid="_x0000_s1029" type="#_x0000_t202" style="position:absolute;margin-left:238.5pt;margin-top:116.75pt;width:82pt;height:2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" filled="f" stroked="f" strokeweight=".5pt">
                <v:textbox>
                  <w:txbxContent>
                    <w:p w14:paraId="6698B061" w14:textId="77777777" w:rsidR="00167775" w:rsidRDefault="00167775" w:rsidP="00167775">
                      <w:pPr>
                        <w:rPr>
                          <w:rFonts w:ascii="Cambria Math" w:hAnsi="Cambria Math"/>
                          <w:sz w:val="16"/>
                          <w:szCs w:val="16"/>
                        </w:rPr>
                      </w:pPr>
                      <w:r>
                        <w:rPr>
                          <w:rFonts w:ascii="Cambria Math" w:hAnsi="Cambria Math"/>
                          <w:sz w:val="16"/>
                          <w:szCs w:val="16"/>
                        </w:rPr>
                        <w:t xml:space="preserve">Concentration </w:t>
                      </w:r>
                    </w:p>
                  </w:txbxContent>
                </v:textbox>
              </v:shape>
            </w:pict>
          </mc:Fallback>
        </mc:AlternateContent>
      </w:r>
      <w:r w:rsidR="00A566AC" w:rsidRPr="00167775">
        <w:rPr>
          <w:rFonts w:ascii="Arial" w:hAnsi="Arial" w:cs="Arial"/>
        </w:rPr>
        <w:object w:dxaOrig="3570" w:dyaOrig="3870" w14:anchorId="1B2F7282">
          <v:shape id="_x0000_i1029" type="#_x0000_t75" style="width:178.5pt;height:135.75pt" o:ole="">
            <v:imagedata r:id="rId24" o:title=""/>
          </v:shape>
          <o:OLEObject Type="Embed" ProgID="Prism6.Document" ShapeID="_x0000_i1029" DrawAspect="Content" ObjectID="_1828693936" r:id="rId25"/>
        </w:object>
      </w:r>
      <w:r w:rsidR="00167775" w:rsidRPr="00167775">
        <w:rPr>
          <w:rFonts w:ascii="Arial" w:hAnsi="Arial" w:cs="Arial"/>
        </w:rPr>
        <w:t xml:space="preserve">    </w:t>
      </w:r>
      <w:r w:rsidR="00A566AC" w:rsidRPr="00167775">
        <w:rPr>
          <w:rFonts w:ascii="Arial" w:hAnsi="Arial" w:cs="Arial"/>
        </w:rPr>
        <w:object w:dxaOrig="4110" w:dyaOrig="3855" w14:anchorId="0648975C">
          <v:shape id="_x0000_i1030" type="#_x0000_t75" style="width:208.5pt;height:126pt" o:ole="">
            <v:imagedata r:id="rId26" o:title=""/>
          </v:shape>
          <o:OLEObject Type="Embed" ProgID="Prism6.Document" ShapeID="_x0000_i1030" DrawAspect="Content" ObjectID="_1828693937" r:id="rId27"/>
        </w:object>
      </w:r>
    </w:p>
    <w:p w14:paraId="111CB622" w14:textId="77777777" w:rsidR="00BA7C6C" w:rsidRDefault="00BA7C6C" w:rsidP="00167775">
      <w:pPr>
        <w:rPr>
          <w:rFonts w:ascii="Arial" w:hAnsi="Arial" w:cs="Arial"/>
          <w:bCs/>
        </w:rPr>
      </w:pPr>
    </w:p>
    <w:p w14:paraId="1583FA64" w14:textId="77777777" w:rsidR="00A566AC" w:rsidRDefault="00A566AC" w:rsidP="00167775">
      <w:pPr>
        <w:rPr>
          <w:rFonts w:ascii="Arial" w:hAnsi="Arial" w:cs="Arial"/>
          <w:bCs/>
          <w:sz w:val="16"/>
          <w:szCs w:val="16"/>
        </w:rPr>
      </w:pPr>
    </w:p>
    <w:p w14:paraId="03297F1C" w14:textId="370A5CB4" w:rsidR="00167775" w:rsidRPr="00BA7C6C" w:rsidRDefault="00167775" w:rsidP="00167775">
      <w:pPr>
        <w:rPr>
          <w:rFonts w:ascii="Arial" w:hAnsi="Arial" w:cs="Arial"/>
          <w:bCs/>
          <w:sz w:val="16"/>
          <w:szCs w:val="16"/>
        </w:rPr>
      </w:pPr>
      <w:r w:rsidRPr="00BA7C6C">
        <w:rPr>
          <w:rFonts w:ascii="Arial" w:hAnsi="Arial" w:cs="Arial"/>
          <w:bCs/>
          <w:sz w:val="16"/>
          <w:szCs w:val="16"/>
        </w:rPr>
        <w:t>Fig</w:t>
      </w:r>
      <w:r w:rsidR="00DD29E6">
        <w:rPr>
          <w:rFonts w:ascii="Arial" w:hAnsi="Arial" w:cs="Arial"/>
          <w:bCs/>
          <w:sz w:val="16"/>
          <w:szCs w:val="16"/>
        </w:rPr>
        <w:t>ure</w:t>
      </w:r>
      <w:r w:rsidRPr="00BA7C6C">
        <w:rPr>
          <w:rFonts w:ascii="Arial" w:hAnsi="Arial" w:cs="Arial"/>
          <w:bCs/>
          <w:sz w:val="16"/>
          <w:szCs w:val="16"/>
        </w:rPr>
        <w:t xml:space="preserve"> 6: The percentage relative fluorescence signal of LNCaP cells treated with DMSO and FCCP (diluent control and coupler, respectively) and graded concentration of </w:t>
      </w:r>
      <w:r w:rsidRPr="00BA7C6C">
        <w:rPr>
          <w:rFonts w:ascii="Arial" w:eastAsia="Calibri" w:hAnsi="Arial" w:cs="Arial"/>
          <w:kern w:val="24"/>
          <w:sz w:val="16"/>
          <w:szCs w:val="16"/>
        </w:rPr>
        <w:t>S</w:t>
      </w:r>
      <w:r w:rsidRPr="00BA7C6C">
        <w:rPr>
          <w:rFonts w:ascii="Arial" w:eastAsia="Calibri" w:hAnsi="Arial" w:cs="Arial"/>
          <w:kern w:val="24"/>
          <w:sz w:val="16"/>
          <w:szCs w:val="16"/>
          <w:vertAlign w:val="subscript"/>
        </w:rPr>
        <w:t>C</w:t>
      </w:r>
      <w:r w:rsidRPr="00BA7C6C">
        <w:rPr>
          <w:rFonts w:ascii="Arial" w:eastAsia="Calibri" w:hAnsi="Arial" w:cs="Arial"/>
          <w:kern w:val="24"/>
          <w:sz w:val="16"/>
          <w:szCs w:val="16"/>
        </w:rPr>
        <w:t>- Rutin</w:t>
      </w:r>
    </w:p>
    <w:p w14:paraId="69FE1229" w14:textId="3FC1B57D" w:rsidR="00167775" w:rsidRPr="00BA7C6C" w:rsidRDefault="00167775" w:rsidP="00167775">
      <w:pPr>
        <w:rPr>
          <w:rFonts w:ascii="Arial" w:hAnsi="Arial" w:cs="Arial"/>
          <w:bCs/>
          <w:sz w:val="16"/>
          <w:szCs w:val="16"/>
        </w:rPr>
      </w:pPr>
      <w:r w:rsidRPr="00BA7C6C">
        <w:rPr>
          <w:rFonts w:ascii="Arial" w:hAnsi="Arial" w:cs="Arial"/>
          <w:bCs/>
          <w:sz w:val="16"/>
          <w:szCs w:val="16"/>
        </w:rPr>
        <w:t xml:space="preserve">A: Exposure of DMSO and FCCP (as control) to LNCaP cells     B: Exposure of </w:t>
      </w:r>
      <w:r w:rsidR="00DD29E6" w:rsidRPr="00DD29E6">
        <w:rPr>
          <w:rFonts w:ascii="Arial" w:eastAsia="Calibri" w:hAnsi="Arial" w:cs="Arial"/>
          <w:color w:val="EE0000"/>
          <w:kern w:val="24"/>
          <w:sz w:val="16"/>
          <w:szCs w:val="16"/>
        </w:rPr>
        <w:t>S</w:t>
      </w:r>
      <w:r w:rsidR="00DD29E6" w:rsidRPr="00DD29E6">
        <w:rPr>
          <w:rFonts w:ascii="Arial" w:eastAsia="Calibri" w:hAnsi="Arial" w:cs="Arial"/>
          <w:color w:val="EE0000"/>
          <w:kern w:val="24"/>
          <w:sz w:val="16"/>
          <w:szCs w:val="16"/>
          <w:vertAlign w:val="subscript"/>
        </w:rPr>
        <w:t>C</w:t>
      </w:r>
      <w:r w:rsidR="00DD29E6" w:rsidRPr="00DD29E6">
        <w:rPr>
          <w:rFonts w:ascii="Arial" w:eastAsia="Calibri" w:hAnsi="Arial" w:cs="Arial"/>
          <w:color w:val="EE0000"/>
          <w:kern w:val="24"/>
          <w:sz w:val="16"/>
          <w:szCs w:val="16"/>
        </w:rPr>
        <w:t>- Rutin</w:t>
      </w:r>
      <w:r w:rsidRPr="00DD29E6">
        <w:rPr>
          <w:rFonts w:ascii="Arial" w:hAnsi="Arial" w:cs="Arial"/>
          <w:bCs/>
          <w:color w:val="EE0000"/>
          <w:sz w:val="16"/>
          <w:szCs w:val="16"/>
        </w:rPr>
        <w:t xml:space="preserve"> </w:t>
      </w:r>
      <w:r w:rsidRPr="00BA7C6C">
        <w:rPr>
          <w:rFonts w:ascii="Arial" w:hAnsi="Arial" w:cs="Arial"/>
          <w:bCs/>
          <w:sz w:val="16"/>
          <w:szCs w:val="16"/>
        </w:rPr>
        <w:t>to LNCaP cells</w:t>
      </w:r>
    </w:p>
    <w:p w14:paraId="530BA98E" w14:textId="77777777" w:rsidR="00167775" w:rsidRPr="00BA7C6C" w:rsidRDefault="00167775" w:rsidP="00167775">
      <w:pPr>
        <w:jc w:val="both"/>
        <w:rPr>
          <w:rFonts w:ascii="Arial" w:hAnsi="Arial" w:cs="Arial"/>
          <w:bCs/>
          <w:sz w:val="16"/>
          <w:szCs w:val="16"/>
        </w:rPr>
      </w:pPr>
      <w:r w:rsidRPr="00BA7C6C">
        <w:rPr>
          <w:rFonts w:ascii="Arial" w:hAnsi="Arial" w:cs="Arial"/>
          <w:bCs/>
          <w:sz w:val="16"/>
          <w:szCs w:val="16"/>
        </w:rPr>
        <w:t>*, means values are statistically significant at (P</w:t>
      </w:r>
      <w:r w:rsidR="00BA7C6C">
        <w:rPr>
          <w:rFonts w:ascii="Arial" w:hAnsi="Arial" w:cs="Arial"/>
          <w:bCs/>
          <w:sz w:val="16"/>
          <w:szCs w:val="16"/>
        </w:rPr>
        <w:t>=</w:t>
      </w:r>
      <w:r w:rsidRPr="00BA7C6C">
        <w:rPr>
          <w:rFonts w:ascii="Arial" w:hAnsi="Arial" w:cs="Arial"/>
          <w:bCs/>
          <w:sz w:val="16"/>
          <w:szCs w:val="16"/>
        </w:rPr>
        <w:t xml:space="preserve"> .05), relative to the control</w:t>
      </w:r>
    </w:p>
    <w:p w14:paraId="01748455" w14:textId="77777777" w:rsidR="00167775" w:rsidRPr="00167775" w:rsidRDefault="00167775" w:rsidP="00167775">
      <w:pPr>
        <w:jc w:val="both"/>
        <w:rPr>
          <w:rFonts w:ascii="Arial" w:hAnsi="Arial" w:cs="Arial"/>
          <w:bCs/>
        </w:rPr>
      </w:pPr>
    </w:p>
    <w:p w14:paraId="6E0558E3" w14:textId="77777777" w:rsidR="00167775" w:rsidRPr="00167775" w:rsidRDefault="00167775" w:rsidP="00167775">
      <w:pPr>
        <w:jc w:val="both"/>
        <w:rPr>
          <w:rFonts w:ascii="Arial" w:hAnsi="Arial" w:cs="Arial"/>
        </w:rPr>
      </w:pPr>
    </w:p>
    <w:p w14:paraId="5E2FFC84" w14:textId="77777777" w:rsidR="00167775" w:rsidRPr="00167775" w:rsidRDefault="00167775" w:rsidP="00167775">
      <w:pPr>
        <w:jc w:val="both"/>
        <w:rPr>
          <w:rFonts w:ascii="Arial" w:hAnsi="Arial" w:cs="Arial"/>
        </w:rPr>
      </w:pPr>
      <w:r w:rsidRPr="00167775">
        <w:rPr>
          <w:rFonts w:ascii="Arial" w:hAnsi="Arial" w:cs="Arial"/>
        </w:rPr>
        <w:t xml:space="preserve">Apoptosis is a cell death where intracellular components disintegrate while circumventing inflammation and mutilation to neighboring cells. Caspases are triggered in reaction to a variety of cell death events, and they eventually destroy the cell through limited proteolysis of approximately 400 cellular proteins, according to the most recent estimates. Other than their own precursors and the downstream effector caspases, the initiator caspases are extremely selective protease that cleave few proteins. Executioner caspases are stimulated by initiator caspases. Caspases 8, 9 and 3 are located at critical points in the apoptotic process. Caspase 9 promotes disassembly in reaction to substances or stressors that cause the </w:t>
      </w:r>
      <w:r w:rsidRPr="00167775">
        <w:rPr>
          <w:rFonts w:ascii="Arial" w:hAnsi="Arial" w:cs="Arial"/>
          <w:bCs/>
        </w:rPr>
        <w:t>cytochrome c</w:t>
      </w:r>
      <w:r w:rsidRPr="00167775">
        <w:rPr>
          <w:rFonts w:ascii="Arial" w:hAnsi="Arial" w:cs="Arial"/>
        </w:rPr>
        <w:t xml:space="preserve"> from the mitochondria when complexed with APAF-1 and extra-mitochondrial </w:t>
      </w:r>
      <w:r w:rsidRPr="00167775">
        <w:rPr>
          <w:rFonts w:ascii="Arial" w:hAnsi="Arial" w:cs="Arial"/>
          <w:bCs/>
        </w:rPr>
        <w:t>cytochrome c</w:t>
      </w:r>
      <w:r w:rsidRPr="00167775">
        <w:rPr>
          <w:rFonts w:ascii="Arial" w:hAnsi="Arial" w:cs="Arial"/>
        </w:rPr>
        <w:t xml:space="preserve">. Caspase 3 appears to stimulate caspase 8 and 9 signals [22]. Our result demonstrates that there was concentration-dependent upsurge in caspases 9 and 3 in Cell lysate of HepG2 and LNCaP after exposure to graded concentration of rutin for 24 h, respectively. It is likely that the increase in the levels of these enzymes </w:t>
      </w:r>
      <w:r w:rsidR="00345727" w:rsidRPr="00167775">
        <w:rPr>
          <w:rFonts w:ascii="Arial" w:hAnsi="Arial" w:cs="Arial"/>
        </w:rPr>
        <w:t>was</w:t>
      </w:r>
      <w:r w:rsidRPr="00167775">
        <w:rPr>
          <w:rFonts w:ascii="Arial" w:hAnsi="Arial" w:cs="Arial"/>
        </w:rPr>
        <w:t xml:space="preserve"> as a result of increasing cytochrome c which is a point of no return for apoptotic process to kick-start. Also, the upsurge in caspases was interconnected with increase in the concentration of rutin and this is in tandem with observation made on the effect of chloroform fraction of </w:t>
      </w:r>
      <w:proofErr w:type="spellStart"/>
      <w:r w:rsidRPr="00167775">
        <w:rPr>
          <w:rFonts w:ascii="Arial" w:hAnsi="Arial" w:cs="Arial"/>
          <w:i/>
          <w:iCs/>
        </w:rPr>
        <w:t>Heliotropium</w:t>
      </w:r>
      <w:proofErr w:type="spellEnd"/>
      <w:r w:rsidRPr="00167775">
        <w:rPr>
          <w:rFonts w:ascii="Arial" w:hAnsi="Arial" w:cs="Arial"/>
          <w:i/>
          <w:iCs/>
        </w:rPr>
        <w:t xml:space="preserve"> indicum</w:t>
      </w:r>
      <w:r w:rsidRPr="00167775">
        <w:rPr>
          <w:rFonts w:ascii="Arial" w:hAnsi="Arial" w:cs="Arial"/>
        </w:rPr>
        <w:t xml:space="preserve"> on caspases using the murine model, confirming the execution of apoptotic process [10].</w:t>
      </w:r>
    </w:p>
    <w:p w14:paraId="71F749AA" w14:textId="77777777" w:rsidR="00167775" w:rsidRPr="00167775" w:rsidRDefault="00167775" w:rsidP="00167775">
      <w:pPr>
        <w:jc w:val="both"/>
        <w:rPr>
          <w:rFonts w:ascii="Arial" w:hAnsi="Arial" w:cs="Arial"/>
        </w:rPr>
      </w:pPr>
    </w:p>
    <w:p w14:paraId="36D1E64F" w14:textId="77777777" w:rsidR="00167775" w:rsidRPr="00167775" w:rsidRDefault="00167775" w:rsidP="00167775">
      <w:pPr>
        <w:jc w:val="both"/>
        <w:rPr>
          <w:rFonts w:ascii="Arial" w:hAnsi="Arial" w:cs="Arial"/>
          <w:bCs/>
        </w:rPr>
      </w:pPr>
    </w:p>
    <w:p w14:paraId="2D7D3FBD" w14:textId="77777777" w:rsidR="00167775" w:rsidRPr="00167775" w:rsidRDefault="002918FE" w:rsidP="00167775">
      <w:pPr>
        <w:rPr>
          <w:rFonts w:ascii="Arial" w:hAnsi="Arial" w:cs="Arial"/>
          <w:noProof/>
        </w:rPr>
      </w:pPr>
      <w:r>
        <w:rPr>
          <w:noProof/>
        </w:rPr>
        <w:drawing>
          <wp:anchor distT="0" distB="0" distL="114300" distR="114300" simplePos="0" relativeHeight="251664896" behindDoc="0" locked="0" layoutInCell="1" allowOverlap="1" wp14:anchorId="29E34564" wp14:editId="0EE9E42C">
            <wp:simplePos x="0" y="0"/>
            <wp:positionH relativeFrom="column">
              <wp:posOffset>2434590</wp:posOffset>
            </wp:positionH>
            <wp:positionV relativeFrom="paragraph">
              <wp:posOffset>205740</wp:posOffset>
            </wp:positionV>
            <wp:extent cx="836930" cy="444500"/>
            <wp:effectExtent l="0" t="0" r="1270" b="0"/>
            <wp:wrapNone/>
            <wp:docPr id="62629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29992" name=""/>
                    <pic:cNvPicPr/>
                  </pic:nvPicPr>
                  <pic:blipFill>
                    <a:blip r:embed="rId28">
                      <a:extLst>
                        <a:ext uri="{28A0092B-C50C-407E-A947-70E740481C1C}">
                          <a14:useLocalDpi xmlns:a14="http://schemas.microsoft.com/office/drawing/2010/main" val="0"/>
                        </a:ext>
                      </a:extLst>
                    </a:blip>
                    <a:stretch>
                      <a:fillRect/>
                    </a:stretch>
                  </pic:blipFill>
                  <pic:spPr>
                    <a:xfrm>
                      <a:off x="0" y="0"/>
                      <a:ext cx="836930" cy="444500"/>
                    </a:xfrm>
                    <a:prstGeom prst="rect">
                      <a:avLst/>
                    </a:prstGeom>
                  </pic:spPr>
                </pic:pic>
              </a:graphicData>
            </a:graphic>
          </wp:anchor>
        </w:drawing>
      </w:r>
      <w:r w:rsidR="00F73B5B" w:rsidRPr="00167775">
        <w:rPr>
          <w:rFonts w:ascii="Arial" w:hAnsi="Arial" w:cs="Arial"/>
          <w:noProof/>
        </w:rPr>
        <mc:AlternateContent>
          <mc:Choice Requires="wps">
            <w:drawing>
              <wp:anchor distT="0" distB="0" distL="114300" distR="114300" simplePos="0" relativeHeight="251657728" behindDoc="0" locked="0" layoutInCell="1" allowOverlap="1" wp14:anchorId="3DE33377" wp14:editId="503A4102">
                <wp:simplePos x="0" y="0"/>
                <wp:positionH relativeFrom="column">
                  <wp:posOffset>1682115</wp:posOffset>
                </wp:positionH>
                <wp:positionV relativeFrom="paragraph">
                  <wp:posOffset>38735</wp:posOffset>
                </wp:positionV>
                <wp:extent cx="1456055" cy="259715"/>
                <wp:effectExtent l="0" t="0" r="0" b="0"/>
                <wp:wrapNone/>
                <wp:docPr id="14105375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6055" cy="259715"/>
                        </a:xfrm>
                        <a:prstGeom prst="rect">
                          <a:avLst/>
                        </a:prstGeom>
                        <a:solidFill>
                          <a:srgbClr val="FFFFFF"/>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2BEF9" id="Rectangle 9" o:spid="_x0000_s1026" style="position:absolute;margin-left:132.45pt;margin-top:3.05pt;width:114.65pt;height:20.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" stroked="f"/>
            </w:pict>
          </mc:Fallback>
        </mc:AlternateContent>
      </w:r>
      <w:r w:rsidR="00167775" w:rsidRPr="00167775">
        <w:rPr>
          <w:rFonts w:ascii="Arial" w:hAnsi="Arial" w:cs="Arial"/>
          <w:noProof/>
        </w:rPr>
        <w:t xml:space="preserve"> </w:t>
      </w:r>
      <w:r w:rsidR="00167775" w:rsidRPr="00167775">
        <w:rPr>
          <w:rFonts w:ascii="Arial" w:hAnsi="Arial" w:cs="Arial"/>
          <w:noProof/>
          <w:lang w:val="en-GB" w:eastAsia="en-GB"/>
        </w:rPr>
        <w:drawing>
          <wp:inline distT="0" distB="0" distL="0" distR="0" wp14:anchorId="65DCCF54" wp14:editId="10BA9C4F">
            <wp:extent cx="2276475" cy="1581150"/>
            <wp:effectExtent l="0" t="0" r="9525" b="0"/>
            <wp:docPr id="14909776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6496" t="29344" r="40550" b="14262"/>
                    <a:stretch/>
                  </pic:blipFill>
                  <pic:spPr bwMode="auto">
                    <a:xfrm>
                      <a:off x="0" y="0"/>
                      <a:ext cx="2276586" cy="1581227"/>
                    </a:xfrm>
                    <a:prstGeom prst="rect">
                      <a:avLst/>
                    </a:prstGeom>
                    <a:noFill/>
                    <a:ln>
                      <a:noFill/>
                    </a:ln>
                    <a:extLst>
                      <a:ext uri="{53640926-AAD7-44D8-BBD7-CCE9431645EC}">
                        <a14:shadowObscured xmlns:a14="http://schemas.microsoft.com/office/drawing/2010/main"/>
                      </a:ext>
                    </a:extLst>
                  </pic:spPr>
                </pic:pic>
              </a:graphicData>
            </a:graphic>
          </wp:inline>
        </w:drawing>
      </w:r>
      <w:r w:rsidRPr="002918FE">
        <w:rPr>
          <w:noProof/>
        </w:rPr>
        <w:t xml:space="preserve"> </w:t>
      </w:r>
    </w:p>
    <w:p w14:paraId="390303BC" w14:textId="77777777" w:rsidR="00167775" w:rsidRPr="00167775" w:rsidRDefault="00167775" w:rsidP="00167775">
      <w:pPr>
        <w:rPr>
          <w:rFonts w:ascii="Arial" w:hAnsi="Arial" w:cs="Arial"/>
          <w:b/>
        </w:rPr>
      </w:pPr>
    </w:p>
    <w:p w14:paraId="43B3277A" w14:textId="46874232" w:rsidR="00167775" w:rsidRPr="00BA7C6C" w:rsidRDefault="00167775" w:rsidP="00167775">
      <w:pPr>
        <w:rPr>
          <w:rFonts w:ascii="Arial" w:hAnsi="Arial" w:cs="Arial"/>
          <w:b/>
          <w:sz w:val="16"/>
          <w:szCs w:val="16"/>
        </w:rPr>
      </w:pPr>
      <w:r w:rsidRPr="00BA7C6C">
        <w:rPr>
          <w:rFonts w:ascii="Arial" w:hAnsi="Arial" w:cs="Arial"/>
          <w:bCs/>
          <w:sz w:val="16"/>
          <w:szCs w:val="16"/>
        </w:rPr>
        <w:t>Fig</w:t>
      </w:r>
      <w:r w:rsidR="00DD29E6">
        <w:rPr>
          <w:rFonts w:ascii="Arial" w:hAnsi="Arial" w:cs="Arial"/>
          <w:bCs/>
          <w:sz w:val="16"/>
          <w:szCs w:val="16"/>
        </w:rPr>
        <w:t>ure</w:t>
      </w:r>
      <w:r w:rsidRPr="00BA7C6C">
        <w:rPr>
          <w:rFonts w:ascii="Arial" w:hAnsi="Arial" w:cs="Arial"/>
          <w:bCs/>
          <w:sz w:val="16"/>
          <w:szCs w:val="16"/>
        </w:rPr>
        <w:t xml:space="preserve"> 7: Caspase 9 in HepG2 Cell lysate after exposure to graded concentration of </w:t>
      </w:r>
      <w:r w:rsidRPr="00BA7C6C">
        <w:rPr>
          <w:rFonts w:ascii="Arial" w:eastAsia="Calibri" w:hAnsi="Arial" w:cs="Arial"/>
          <w:kern w:val="24"/>
          <w:sz w:val="16"/>
          <w:szCs w:val="16"/>
        </w:rPr>
        <w:t>S</w:t>
      </w:r>
      <w:r w:rsidRPr="00BA7C6C">
        <w:rPr>
          <w:rFonts w:ascii="Arial" w:eastAsia="Calibri" w:hAnsi="Arial" w:cs="Arial"/>
          <w:kern w:val="24"/>
          <w:sz w:val="16"/>
          <w:szCs w:val="16"/>
          <w:vertAlign w:val="subscript"/>
        </w:rPr>
        <w:t>C</w:t>
      </w:r>
      <w:r w:rsidRPr="00BA7C6C">
        <w:rPr>
          <w:rFonts w:ascii="Arial" w:eastAsia="Calibri" w:hAnsi="Arial" w:cs="Arial"/>
          <w:kern w:val="24"/>
          <w:sz w:val="16"/>
          <w:szCs w:val="16"/>
        </w:rPr>
        <w:t>- Rutin</w:t>
      </w:r>
    </w:p>
    <w:p w14:paraId="4AFE478A" w14:textId="77777777" w:rsidR="00167775" w:rsidRPr="00BA7C6C" w:rsidRDefault="00167775" w:rsidP="00167775">
      <w:pPr>
        <w:jc w:val="both"/>
        <w:rPr>
          <w:rFonts w:ascii="Arial" w:hAnsi="Arial" w:cs="Arial"/>
          <w:noProof/>
          <w:sz w:val="16"/>
          <w:szCs w:val="16"/>
        </w:rPr>
      </w:pPr>
      <w:r w:rsidRPr="00BA7C6C">
        <w:rPr>
          <w:rFonts w:ascii="Arial" w:hAnsi="Arial" w:cs="Arial"/>
          <w:bCs/>
          <w:sz w:val="16"/>
          <w:szCs w:val="16"/>
        </w:rPr>
        <w:t>*, means values are statistically significant at</w:t>
      </w:r>
      <w:r w:rsidR="00BA7C6C" w:rsidRPr="00BA7C6C">
        <w:rPr>
          <w:rFonts w:ascii="Arial" w:hAnsi="Arial" w:cs="Arial"/>
          <w:bCs/>
          <w:sz w:val="16"/>
          <w:szCs w:val="16"/>
        </w:rPr>
        <w:t xml:space="preserve"> (P= .05)</w:t>
      </w:r>
      <w:r w:rsidRPr="00BA7C6C">
        <w:rPr>
          <w:rFonts w:ascii="Arial" w:hAnsi="Arial" w:cs="Arial"/>
          <w:bCs/>
          <w:sz w:val="16"/>
          <w:szCs w:val="16"/>
        </w:rPr>
        <w:t xml:space="preserve">, relative to the control </w:t>
      </w:r>
    </w:p>
    <w:p w14:paraId="180B5945" w14:textId="77777777" w:rsidR="00167775" w:rsidRPr="00167775" w:rsidRDefault="00167775" w:rsidP="00167775">
      <w:pPr>
        <w:rPr>
          <w:rFonts w:ascii="Arial" w:hAnsi="Arial" w:cs="Arial"/>
          <w:b/>
        </w:rPr>
      </w:pPr>
    </w:p>
    <w:p w14:paraId="066C6145" w14:textId="77777777" w:rsidR="00167775" w:rsidRPr="00167775" w:rsidRDefault="00167775" w:rsidP="00167775">
      <w:pPr>
        <w:rPr>
          <w:rFonts w:ascii="Arial" w:hAnsi="Arial" w:cs="Arial"/>
          <w:b/>
        </w:rPr>
      </w:pPr>
    </w:p>
    <w:p w14:paraId="06DC4632" w14:textId="77777777" w:rsidR="00167775" w:rsidRPr="00167775" w:rsidRDefault="005836E1" w:rsidP="00167775">
      <w:pPr>
        <w:rPr>
          <w:rFonts w:ascii="Arial" w:hAnsi="Arial" w:cs="Arial"/>
          <w:b/>
        </w:rPr>
      </w:pPr>
      <w:r w:rsidRPr="00167775">
        <w:rPr>
          <w:rFonts w:ascii="Arial" w:hAnsi="Arial" w:cs="Arial"/>
          <w:noProof/>
          <w:lang w:val="en-GB" w:eastAsia="en-GB"/>
        </w:rPr>
        <w:drawing>
          <wp:anchor distT="0" distB="0" distL="114300" distR="114300" simplePos="0" relativeHeight="251655168" behindDoc="0" locked="0" layoutInCell="1" allowOverlap="1" wp14:anchorId="2BEA178F" wp14:editId="3BC85D93">
            <wp:simplePos x="0" y="0"/>
            <wp:positionH relativeFrom="column">
              <wp:posOffset>15240</wp:posOffset>
            </wp:positionH>
            <wp:positionV relativeFrom="paragraph">
              <wp:posOffset>61595</wp:posOffset>
            </wp:positionV>
            <wp:extent cx="2419350" cy="1362075"/>
            <wp:effectExtent l="0" t="0" r="0" b="9525"/>
            <wp:wrapSquare wrapText="bothSides"/>
            <wp:docPr id="2131360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2058" t="28807" r="27407" b="11305"/>
                    <a:stretch/>
                  </pic:blipFill>
                  <pic:spPr bwMode="auto">
                    <a:xfrm>
                      <a:off x="0" y="0"/>
                      <a:ext cx="2419350" cy="1362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7775" w:rsidRPr="00167775">
        <w:rPr>
          <w:rFonts w:ascii="Arial" w:hAnsi="Arial" w:cs="Arial"/>
          <w:b/>
        </w:rPr>
        <w:br w:type="textWrapping" w:clear="all"/>
      </w:r>
    </w:p>
    <w:p w14:paraId="4B7DB37F" w14:textId="69FC5D29" w:rsidR="00167775" w:rsidRPr="00345727" w:rsidRDefault="00167775" w:rsidP="00167775">
      <w:pPr>
        <w:rPr>
          <w:rFonts w:ascii="Arial" w:hAnsi="Arial" w:cs="Arial"/>
          <w:b/>
          <w:sz w:val="16"/>
          <w:szCs w:val="16"/>
        </w:rPr>
      </w:pPr>
      <w:r w:rsidRPr="00345727">
        <w:rPr>
          <w:rFonts w:ascii="Arial" w:hAnsi="Arial" w:cs="Arial"/>
          <w:bCs/>
          <w:sz w:val="16"/>
          <w:szCs w:val="16"/>
        </w:rPr>
        <w:t>Fig</w:t>
      </w:r>
      <w:r w:rsidR="00DD29E6">
        <w:rPr>
          <w:rFonts w:ascii="Arial" w:hAnsi="Arial" w:cs="Arial"/>
          <w:bCs/>
          <w:sz w:val="16"/>
          <w:szCs w:val="16"/>
        </w:rPr>
        <w:t>ure</w:t>
      </w:r>
      <w:r w:rsidRPr="00345727">
        <w:rPr>
          <w:rFonts w:ascii="Arial" w:hAnsi="Arial" w:cs="Arial"/>
          <w:bCs/>
          <w:sz w:val="16"/>
          <w:szCs w:val="16"/>
        </w:rPr>
        <w:t xml:space="preserve"> 8: Caspase 9 in LNCaP Cell lysate after exposure to graded concentration of </w:t>
      </w:r>
      <w:r w:rsidRPr="00345727">
        <w:rPr>
          <w:rFonts w:ascii="Arial" w:eastAsia="Calibri" w:hAnsi="Arial" w:cs="Arial"/>
          <w:kern w:val="24"/>
          <w:sz w:val="16"/>
          <w:szCs w:val="16"/>
        </w:rPr>
        <w:t>S</w:t>
      </w:r>
      <w:r w:rsidRPr="00345727">
        <w:rPr>
          <w:rFonts w:ascii="Arial" w:eastAsia="Calibri" w:hAnsi="Arial" w:cs="Arial"/>
          <w:kern w:val="24"/>
          <w:sz w:val="16"/>
          <w:szCs w:val="16"/>
          <w:vertAlign w:val="subscript"/>
        </w:rPr>
        <w:t>C</w:t>
      </w:r>
      <w:r w:rsidRPr="00345727">
        <w:rPr>
          <w:rFonts w:ascii="Arial" w:eastAsia="Calibri" w:hAnsi="Arial" w:cs="Arial"/>
          <w:kern w:val="24"/>
          <w:sz w:val="16"/>
          <w:szCs w:val="16"/>
        </w:rPr>
        <w:t>- Rutin</w:t>
      </w:r>
    </w:p>
    <w:p w14:paraId="305BE5FB" w14:textId="77777777" w:rsidR="00167775" w:rsidRPr="00345727" w:rsidRDefault="00167775" w:rsidP="00167775">
      <w:pPr>
        <w:jc w:val="both"/>
        <w:rPr>
          <w:rFonts w:ascii="Arial" w:hAnsi="Arial" w:cs="Arial"/>
          <w:noProof/>
          <w:sz w:val="16"/>
          <w:szCs w:val="16"/>
        </w:rPr>
      </w:pPr>
      <w:r w:rsidRPr="00345727">
        <w:rPr>
          <w:rFonts w:ascii="Arial" w:hAnsi="Arial" w:cs="Arial"/>
          <w:bCs/>
          <w:sz w:val="16"/>
          <w:szCs w:val="16"/>
        </w:rPr>
        <w:t>*, means values are statistically significant at (</w:t>
      </w:r>
      <w:r w:rsidR="00345727" w:rsidRPr="00BA7C6C">
        <w:rPr>
          <w:rFonts w:ascii="Arial" w:hAnsi="Arial" w:cs="Arial"/>
          <w:bCs/>
          <w:sz w:val="16"/>
          <w:szCs w:val="16"/>
        </w:rPr>
        <w:t>P= .05</w:t>
      </w:r>
      <w:r w:rsidRPr="00345727">
        <w:rPr>
          <w:rFonts w:ascii="Arial" w:hAnsi="Arial" w:cs="Arial"/>
          <w:bCs/>
          <w:sz w:val="16"/>
          <w:szCs w:val="16"/>
        </w:rPr>
        <w:t xml:space="preserve">), relative to the control </w:t>
      </w:r>
      <w:r w:rsidRPr="00345727">
        <w:rPr>
          <w:rFonts w:ascii="Arial" w:hAnsi="Arial" w:cs="Arial"/>
          <w:bCs/>
          <w:sz w:val="16"/>
          <w:szCs w:val="16"/>
          <w:vertAlign w:val="subscript"/>
        </w:rPr>
        <w:t xml:space="preserve"> </w:t>
      </w:r>
    </w:p>
    <w:p w14:paraId="509295AA" w14:textId="77777777" w:rsidR="00167775" w:rsidRPr="00167775" w:rsidRDefault="002918FE" w:rsidP="00167775">
      <w:pPr>
        <w:rPr>
          <w:rFonts w:ascii="Arial" w:hAnsi="Arial" w:cs="Arial"/>
          <w:b/>
          <w:vertAlign w:val="subscript"/>
        </w:rPr>
      </w:pPr>
      <w:r>
        <w:rPr>
          <w:noProof/>
        </w:rPr>
        <w:drawing>
          <wp:anchor distT="0" distB="0" distL="114300" distR="114300" simplePos="0" relativeHeight="251666944" behindDoc="0" locked="0" layoutInCell="1" allowOverlap="1" wp14:anchorId="7F836401" wp14:editId="6EA0868D">
            <wp:simplePos x="0" y="0"/>
            <wp:positionH relativeFrom="column">
              <wp:posOffset>2669540</wp:posOffset>
            </wp:positionH>
            <wp:positionV relativeFrom="paragraph">
              <wp:posOffset>228600</wp:posOffset>
            </wp:positionV>
            <wp:extent cx="836930" cy="444500"/>
            <wp:effectExtent l="0" t="0" r="1270" b="0"/>
            <wp:wrapNone/>
            <wp:docPr id="434818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29992" name=""/>
                    <pic:cNvPicPr/>
                  </pic:nvPicPr>
                  <pic:blipFill>
                    <a:blip r:embed="rId28">
                      <a:extLst>
                        <a:ext uri="{28A0092B-C50C-407E-A947-70E740481C1C}">
                          <a14:useLocalDpi xmlns:a14="http://schemas.microsoft.com/office/drawing/2010/main" val="0"/>
                        </a:ext>
                      </a:extLst>
                    </a:blip>
                    <a:stretch>
                      <a:fillRect/>
                    </a:stretch>
                  </pic:blipFill>
                  <pic:spPr>
                    <a:xfrm>
                      <a:off x="0" y="0"/>
                      <a:ext cx="836930" cy="444500"/>
                    </a:xfrm>
                    <a:prstGeom prst="rect">
                      <a:avLst/>
                    </a:prstGeom>
                  </pic:spPr>
                </pic:pic>
              </a:graphicData>
            </a:graphic>
          </wp:anchor>
        </w:drawing>
      </w:r>
      <w:r w:rsidR="00345727" w:rsidRPr="00167775">
        <w:rPr>
          <w:rFonts w:ascii="Arial" w:hAnsi="Arial" w:cs="Arial"/>
          <w:noProof/>
          <w:lang w:val="en-GB" w:eastAsia="en-GB"/>
        </w:rPr>
        <w:drawing>
          <wp:anchor distT="0" distB="0" distL="114300" distR="114300" simplePos="0" relativeHeight="251659264" behindDoc="0" locked="0" layoutInCell="1" allowOverlap="1" wp14:anchorId="1F56C9BC" wp14:editId="5F85E42C">
            <wp:simplePos x="0" y="0"/>
            <wp:positionH relativeFrom="margin">
              <wp:align>left</wp:align>
            </wp:positionH>
            <wp:positionV relativeFrom="paragraph">
              <wp:posOffset>123190</wp:posOffset>
            </wp:positionV>
            <wp:extent cx="2590800" cy="1504950"/>
            <wp:effectExtent l="0" t="0" r="0" b="0"/>
            <wp:wrapThrough wrapText="bothSides">
              <wp:wrapPolygon edited="0">
                <wp:start x="0" y="0"/>
                <wp:lineTo x="0" y="21327"/>
                <wp:lineTo x="21441" y="21327"/>
                <wp:lineTo x="21441" y="0"/>
                <wp:lineTo x="0" y="0"/>
              </wp:wrapPolygon>
            </wp:wrapThrough>
            <wp:docPr id="7597327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a:extLst>
                        <a:ext uri="{28A0092B-C50C-407E-A947-70E740481C1C}">
                          <a14:useLocalDpi xmlns:a14="http://schemas.microsoft.com/office/drawing/2010/main" val="0"/>
                        </a:ext>
                      </a:extLst>
                    </a:blip>
                    <a:srcRect l="24287" t="36928" r="40425" b="17561"/>
                    <a:stretch/>
                  </pic:blipFill>
                  <pic:spPr bwMode="auto">
                    <a:xfrm>
                      <a:off x="0" y="0"/>
                      <a:ext cx="2590800" cy="1504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7775" w:rsidRPr="00167775">
        <w:rPr>
          <w:rFonts w:ascii="Arial" w:hAnsi="Arial" w:cs="Arial"/>
          <w:b/>
          <w:vertAlign w:val="subscript"/>
        </w:rPr>
        <w:br w:type="textWrapping" w:clear="all"/>
      </w:r>
    </w:p>
    <w:p w14:paraId="22847F8A" w14:textId="19E4AA4A" w:rsidR="00167775" w:rsidRPr="00345727" w:rsidRDefault="00167775" w:rsidP="00167775">
      <w:pPr>
        <w:rPr>
          <w:rFonts w:ascii="Arial" w:hAnsi="Arial" w:cs="Arial"/>
          <w:b/>
          <w:sz w:val="16"/>
          <w:szCs w:val="16"/>
        </w:rPr>
      </w:pPr>
      <w:r w:rsidRPr="00345727">
        <w:rPr>
          <w:rFonts w:ascii="Arial" w:hAnsi="Arial" w:cs="Arial"/>
          <w:bCs/>
          <w:sz w:val="16"/>
          <w:szCs w:val="16"/>
        </w:rPr>
        <w:t>Fig</w:t>
      </w:r>
      <w:r w:rsidR="00DD29E6">
        <w:rPr>
          <w:rFonts w:ascii="Arial" w:hAnsi="Arial" w:cs="Arial"/>
          <w:bCs/>
          <w:sz w:val="16"/>
          <w:szCs w:val="16"/>
        </w:rPr>
        <w:t>ure</w:t>
      </w:r>
      <w:r w:rsidRPr="00345727">
        <w:rPr>
          <w:rFonts w:ascii="Arial" w:hAnsi="Arial" w:cs="Arial"/>
          <w:bCs/>
          <w:sz w:val="16"/>
          <w:szCs w:val="16"/>
        </w:rPr>
        <w:t xml:space="preserve"> 9: Caspase 3 in HepG2 Cell lysate after exposure to graded concentration of </w:t>
      </w:r>
      <w:r w:rsidRPr="00345727">
        <w:rPr>
          <w:rFonts w:ascii="Arial" w:eastAsia="Calibri" w:hAnsi="Arial" w:cs="Arial"/>
          <w:kern w:val="24"/>
          <w:sz w:val="16"/>
          <w:szCs w:val="16"/>
        </w:rPr>
        <w:t>S</w:t>
      </w:r>
      <w:r w:rsidRPr="00345727">
        <w:rPr>
          <w:rFonts w:ascii="Arial" w:eastAsia="Calibri" w:hAnsi="Arial" w:cs="Arial"/>
          <w:kern w:val="24"/>
          <w:sz w:val="16"/>
          <w:szCs w:val="16"/>
          <w:vertAlign w:val="subscript"/>
        </w:rPr>
        <w:t>C</w:t>
      </w:r>
      <w:r w:rsidRPr="00345727">
        <w:rPr>
          <w:rFonts w:ascii="Arial" w:eastAsia="Calibri" w:hAnsi="Arial" w:cs="Arial"/>
          <w:kern w:val="24"/>
          <w:sz w:val="16"/>
          <w:szCs w:val="16"/>
        </w:rPr>
        <w:t>- Rutin</w:t>
      </w:r>
    </w:p>
    <w:p w14:paraId="501D905F" w14:textId="77777777" w:rsidR="00167775" w:rsidRPr="00345727" w:rsidRDefault="00167775" w:rsidP="00167775">
      <w:pPr>
        <w:rPr>
          <w:rFonts w:ascii="Arial" w:hAnsi="Arial" w:cs="Arial"/>
          <w:bCs/>
          <w:sz w:val="16"/>
          <w:szCs w:val="16"/>
        </w:rPr>
      </w:pPr>
      <w:r w:rsidRPr="00345727">
        <w:rPr>
          <w:rFonts w:ascii="Arial" w:hAnsi="Arial" w:cs="Arial"/>
          <w:bCs/>
          <w:sz w:val="16"/>
          <w:szCs w:val="16"/>
        </w:rPr>
        <w:t>*, means values are statistically significant at (P&lt; 0.05*), relative to the control</w:t>
      </w:r>
    </w:p>
    <w:p w14:paraId="1938720B" w14:textId="77777777" w:rsidR="00167775" w:rsidRPr="00167775" w:rsidRDefault="00167775" w:rsidP="00167775">
      <w:pPr>
        <w:rPr>
          <w:rFonts w:ascii="Arial" w:hAnsi="Arial" w:cs="Arial"/>
          <w:bCs/>
        </w:rPr>
      </w:pPr>
    </w:p>
    <w:p w14:paraId="257BC832" w14:textId="77777777" w:rsidR="00167775" w:rsidRPr="00167775" w:rsidRDefault="00167775" w:rsidP="00167775">
      <w:pPr>
        <w:rPr>
          <w:rFonts w:ascii="Arial" w:hAnsi="Arial" w:cs="Arial"/>
          <w:bCs/>
        </w:rPr>
      </w:pPr>
    </w:p>
    <w:p w14:paraId="18BBE27C" w14:textId="77777777" w:rsidR="00167775" w:rsidRPr="00167775" w:rsidRDefault="00167775" w:rsidP="00167775">
      <w:pPr>
        <w:rPr>
          <w:rFonts w:ascii="Arial" w:hAnsi="Arial" w:cs="Arial"/>
          <w:bCs/>
        </w:rPr>
      </w:pPr>
    </w:p>
    <w:p w14:paraId="7AEC6AFC" w14:textId="77777777" w:rsidR="00167775" w:rsidRPr="00167775" w:rsidRDefault="00167775" w:rsidP="00167775">
      <w:pPr>
        <w:rPr>
          <w:rFonts w:ascii="Arial" w:hAnsi="Arial" w:cs="Arial"/>
          <w:b/>
        </w:rPr>
      </w:pPr>
      <w:r w:rsidRPr="00167775">
        <w:rPr>
          <w:rFonts w:ascii="Arial" w:hAnsi="Arial" w:cs="Arial"/>
          <w:noProof/>
          <w:lang w:val="en-GB" w:eastAsia="en-GB"/>
        </w:rPr>
        <w:drawing>
          <wp:inline distT="0" distB="0" distL="0" distR="0" wp14:anchorId="2E8F52A3" wp14:editId="4B620B36">
            <wp:extent cx="3038475" cy="2009775"/>
            <wp:effectExtent l="0" t="0" r="9525" b="9525"/>
            <wp:docPr id="12282688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2">
                      <a:extLst>
                        <a:ext uri="{28A0092B-C50C-407E-A947-70E740481C1C}">
                          <a14:useLocalDpi xmlns:a14="http://schemas.microsoft.com/office/drawing/2010/main" val="0"/>
                        </a:ext>
                      </a:extLst>
                    </a:blip>
                    <a:srcRect l="21133" t="31982" r="36180" b="12621"/>
                    <a:stretch/>
                  </pic:blipFill>
                  <pic:spPr bwMode="auto">
                    <a:xfrm>
                      <a:off x="0" y="0"/>
                      <a:ext cx="3048009" cy="2016081"/>
                    </a:xfrm>
                    <a:prstGeom prst="rect">
                      <a:avLst/>
                    </a:prstGeom>
                    <a:noFill/>
                    <a:ln>
                      <a:noFill/>
                    </a:ln>
                    <a:extLst>
                      <a:ext uri="{53640926-AAD7-44D8-BBD7-CCE9431645EC}">
                        <a14:shadowObscured xmlns:a14="http://schemas.microsoft.com/office/drawing/2010/main"/>
                      </a:ext>
                    </a:extLst>
                  </pic:spPr>
                </pic:pic>
              </a:graphicData>
            </a:graphic>
          </wp:inline>
        </w:drawing>
      </w:r>
    </w:p>
    <w:p w14:paraId="5AD151BD" w14:textId="77777777" w:rsidR="00167775" w:rsidRPr="00345727" w:rsidRDefault="00167775" w:rsidP="00167775">
      <w:pPr>
        <w:rPr>
          <w:rFonts w:ascii="Arial" w:hAnsi="Arial" w:cs="Arial"/>
          <w:b/>
          <w:sz w:val="16"/>
          <w:szCs w:val="16"/>
        </w:rPr>
      </w:pPr>
      <w:r w:rsidRPr="00345727">
        <w:rPr>
          <w:rFonts w:ascii="Arial" w:hAnsi="Arial" w:cs="Arial"/>
          <w:bCs/>
          <w:sz w:val="16"/>
          <w:szCs w:val="16"/>
        </w:rPr>
        <w:t xml:space="preserve">Fig 10: Caspase 3 in LNCaP Cell lysate after exposure to graded concentration of </w:t>
      </w:r>
      <w:r w:rsidRPr="00345727">
        <w:rPr>
          <w:rFonts w:ascii="Arial" w:eastAsia="Calibri" w:hAnsi="Arial" w:cs="Arial"/>
          <w:kern w:val="24"/>
          <w:sz w:val="16"/>
          <w:szCs w:val="16"/>
        </w:rPr>
        <w:t>S</w:t>
      </w:r>
      <w:r w:rsidRPr="00345727">
        <w:rPr>
          <w:rFonts w:ascii="Arial" w:eastAsia="Calibri" w:hAnsi="Arial" w:cs="Arial"/>
          <w:kern w:val="24"/>
          <w:sz w:val="16"/>
          <w:szCs w:val="16"/>
          <w:vertAlign w:val="subscript"/>
        </w:rPr>
        <w:t>C</w:t>
      </w:r>
      <w:r w:rsidRPr="00345727">
        <w:rPr>
          <w:rFonts w:ascii="Arial" w:eastAsia="Calibri" w:hAnsi="Arial" w:cs="Arial"/>
          <w:kern w:val="24"/>
          <w:sz w:val="16"/>
          <w:szCs w:val="16"/>
        </w:rPr>
        <w:t>- Rutin</w:t>
      </w:r>
    </w:p>
    <w:p w14:paraId="2B3993CE" w14:textId="77777777" w:rsidR="00167775" w:rsidRPr="00345727" w:rsidRDefault="00167775" w:rsidP="00167775">
      <w:pPr>
        <w:jc w:val="both"/>
        <w:rPr>
          <w:rFonts w:ascii="Arial" w:hAnsi="Arial" w:cs="Arial"/>
          <w:noProof/>
          <w:sz w:val="16"/>
          <w:szCs w:val="16"/>
        </w:rPr>
      </w:pPr>
      <w:r w:rsidRPr="00345727">
        <w:rPr>
          <w:rFonts w:ascii="Arial" w:hAnsi="Arial" w:cs="Arial"/>
          <w:bCs/>
          <w:sz w:val="16"/>
          <w:szCs w:val="16"/>
        </w:rPr>
        <w:t>*, means values are statistically significant at (</w:t>
      </w:r>
      <w:r w:rsidR="00345727" w:rsidRPr="00BA7C6C">
        <w:rPr>
          <w:rFonts w:ascii="Arial" w:hAnsi="Arial" w:cs="Arial"/>
          <w:bCs/>
          <w:sz w:val="16"/>
          <w:szCs w:val="16"/>
        </w:rPr>
        <w:t>P= .05</w:t>
      </w:r>
      <w:r w:rsidRPr="00345727">
        <w:rPr>
          <w:rFonts w:ascii="Arial" w:hAnsi="Arial" w:cs="Arial"/>
          <w:bCs/>
          <w:sz w:val="16"/>
          <w:szCs w:val="16"/>
        </w:rPr>
        <w:t xml:space="preserve">), relative to the control </w:t>
      </w:r>
      <w:r w:rsidRPr="00345727">
        <w:rPr>
          <w:rFonts w:ascii="Arial" w:hAnsi="Arial" w:cs="Arial"/>
          <w:bCs/>
          <w:sz w:val="16"/>
          <w:szCs w:val="16"/>
          <w:vertAlign w:val="subscript"/>
        </w:rPr>
        <w:t xml:space="preserve"> </w:t>
      </w:r>
    </w:p>
    <w:p w14:paraId="5AE81F00" w14:textId="77777777" w:rsidR="00167775" w:rsidRPr="00167775" w:rsidRDefault="00167775" w:rsidP="00167775">
      <w:pPr>
        <w:jc w:val="both"/>
        <w:rPr>
          <w:rFonts w:ascii="Arial" w:hAnsi="Arial" w:cs="Arial"/>
          <w:noProof/>
        </w:rPr>
      </w:pPr>
    </w:p>
    <w:p w14:paraId="15FA22B0" w14:textId="77777777" w:rsidR="00167775" w:rsidRPr="00167775" w:rsidRDefault="00167775" w:rsidP="00167775">
      <w:pPr>
        <w:jc w:val="both"/>
        <w:rPr>
          <w:rFonts w:ascii="Arial" w:hAnsi="Arial" w:cs="Arial"/>
        </w:rPr>
      </w:pPr>
      <w:r w:rsidRPr="00167775">
        <w:rPr>
          <w:rFonts w:ascii="Arial" w:hAnsi="Arial" w:cs="Arial"/>
        </w:rPr>
        <w:t xml:space="preserve">Pro-apoptotic Bax and Bak proteins are core controllers of the mitochondrial apoptosis process. This family of protein is characterized by four Bcl-2 homology domains (BH1-BH4). By hetero-dimerizing death antagonist and causing the release of apoptogenic substances into the cytoplasm via mitochondrial membrane permeability transition pore, Bax and Bak activate caspases. In relation to mitochondrial membrane permeability transition pore and cancer, pro-apoptotic proteins are highly up-regulated [23]. Pro-apoptotic proteins, are overly </w:t>
      </w:r>
      <w:r w:rsidRPr="00167775">
        <w:rPr>
          <w:rFonts w:ascii="Arial" w:hAnsi="Arial" w:cs="Arial"/>
        </w:rPr>
        <w:lastRenderedPageBreak/>
        <w:t xml:space="preserve">conveyed in graded cancers. Largely, increase in the components of the mitochondrial membrane permeability transition pore is offset by an almost equal increase in the negative regulators that are in the Bcl-2 proteins. Also, inactivation of the apoptotic enhancers are ways the cancer cells evade cell death [24]. As a result, the Bcl-2 (family) proteins serves as pivotal existence decision point in pathway of apoptosis. The ratio of pro-apoptotic to survival proteins in each cell, as well as binding between the three Bcl-2 subfamilies, determine whether or not a cell dies [25]. Our findings indicated that levels of Bax increased significantly up to 3.8 folds at 8 µg/mL for HepG2 cells and 4.6 folds at 6 µg/mL for LNCaP cells after 24 hours of rutin exposure, compared to normal. This proposes that rutin induced the translocation of Bax from cytosol to mitochondrion, probably facilitating Bax oligomerization required for mitochondrial membrane potential [26]. Furthermore, given that Bcl-2 proteins levels significantly decreased in HepG2 and LNCaP cell lysate after exposure to rutin for 24 h, respectively, shows that rutin downregulates the Bcl-2 (antiapoptotic) protein in both HepG2 and LNCaP cells. </w:t>
      </w:r>
    </w:p>
    <w:p w14:paraId="38116BB1" w14:textId="01C24115" w:rsidR="00167775" w:rsidRPr="00167775" w:rsidRDefault="00167775" w:rsidP="00167775">
      <w:pPr>
        <w:jc w:val="both"/>
        <w:rPr>
          <w:rFonts w:ascii="Arial" w:hAnsi="Arial" w:cs="Arial"/>
        </w:rPr>
      </w:pPr>
      <w:r w:rsidRPr="00167775">
        <w:rPr>
          <w:rFonts w:ascii="Arial" w:hAnsi="Arial" w:cs="Arial"/>
        </w:rPr>
        <w:t xml:space="preserve">These observations agree with the findings of </w:t>
      </w:r>
      <w:proofErr w:type="spellStart"/>
      <w:r w:rsidRPr="00167775">
        <w:rPr>
          <w:rFonts w:ascii="Arial" w:hAnsi="Arial" w:cs="Arial"/>
        </w:rPr>
        <w:t>Alkhatabi</w:t>
      </w:r>
      <w:proofErr w:type="spellEnd"/>
      <w:r w:rsidRPr="00167775">
        <w:rPr>
          <w:rFonts w:ascii="Arial" w:hAnsi="Arial" w:cs="Arial"/>
        </w:rPr>
        <w:t xml:space="preserve"> et al., (2022), who discovered that Navitoclax, a potent Bcl-2 protein inhibitor, downregulated Bcl-2 and thus caused apoptosis to occur in several model cancer cells. It is possible that lowering Bcl-2 levels will cause Bax or Bak to activate and migrate to the mitochondria, lowering membrane potential and cytochrome c release. As a result, a decrease in Bcl-2 contributes to rutin-induced apoptosis in HepG2 and LNCaP cells. Also, Bcl-2 downregulation by </w:t>
      </w:r>
      <w:r w:rsidRPr="00DD29E6">
        <w:rPr>
          <w:rFonts w:ascii="Arial" w:hAnsi="Arial" w:cs="Arial"/>
          <w:color w:val="EE0000"/>
        </w:rPr>
        <w:t>Sc</w:t>
      </w:r>
      <w:r w:rsidR="00DD29E6" w:rsidRPr="00DD29E6">
        <w:rPr>
          <w:rFonts w:ascii="Arial" w:hAnsi="Arial" w:cs="Arial"/>
          <w:color w:val="EE0000"/>
        </w:rPr>
        <w:t>-Rutin</w:t>
      </w:r>
      <w:r w:rsidRPr="00DD29E6">
        <w:rPr>
          <w:rFonts w:ascii="Arial" w:hAnsi="Arial" w:cs="Arial"/>
          <w:color w:val="EE0000"/>
        </w:rPr>
        <w:t xml:space="preserve"> </w:t>
      </w:r>
      <w:r w:rsidRPr="00167775">
        <w:rPr>
          <w:rFonts w:ascii="Arial" w:hAnsi="Arial" w:cs="Arial"/>
        </w:rPr>
        <w:t>could be caused by Bcl-2 displacement from Bax insertion. Furthermore, it demonstrates that the Bax and Bcl-2 proteins are vital to the control of rutin-induced cellular commitment to death via apoptosis.</w:t>
      </w:r>
    </w:p>
    <w:p w14:paraId="0F5D3028" w14:textId="77777777" w:rsidR="00167775" w:rsidRPr="00167775" w:rsidRDefault="00167775" w:rsidP="00167775">
      <w:pPr>
        <w:rPr>
          <w:rFonts w:ascii="Arial" w:hAnsi="Arial" w:cs="Arial"/>
        </w:rPr>
      </w:pPr>
    </w:p>
    <w:p w14:paraId="050D339E" w14:textId="77777777" w:rsidR="00167775" w:rsidRPr="00167775" w:rsidRDefault="00167775" w:rsidP="00167775">
      <w:pPr>
        <w:rPr>
          <w:rFonts w:ascii="Arial" w:hAnsi="Arial" w:cs="Arial"/>
        </w:rPr>
      </w:pPr>
    </w:p>
    <w:p w14:paraId="6681FA01" w14:textId="77777777" w:rsidR="00167775" w:rsidRPr="00167775" w:rsidRDefault="00F73B5B" w:rsidP="00167775">
      <w:pPr>
        <w:rPr>
          <w:rFonts w:ascii="Arial" w:hAnsi="Arial" w:cs="Arial"/>
        </w:rPr>
      </w:pPr>
      <w:r w:rsidRPr="00167775">
        <w:rPr>
          <w:rFonts w:ascii="Arial" w:hAnsi="Arial" w:cs="Arial"/>
          <w:noProof/>
        </w:rPr>
        <mc:AlternateContent>
          <mc:Choice Requires="wps">
            <w:drawing>
              <wp:anchor distT="0" distB="0" distL="114300" distR="114300" simplePos="0" relativeHeight="251661824" behindDoc="0" locked="0" layoutInCell="1" allowOverlap="1" wp14:anchorId="0B54E1D9" wp14:editId="52690365">
                <wp:simplePos x="0" y="0"/>
                <wp:positionH relativeFrom="column">
                  <wp:posOffset>3451225</wp:posOffset>
                </wp:positionH>
                <wp:positionV relativeFrom="paragraph">
                  <wp:posOffset>722630</wp:posOffset>
                </wp:positionV>
                <wp:extent cx="1123950" cy="604520"/>
                <wp:effectExtent l="0" t="0" r="0" b="0"/>
                <wp:wrapNone/>
                <wp:docPr id="92912177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60452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002B3B" id="Rectangle 7" o:spid="_x0000_s1026" style="position:absolute;margin-left:271.75pt;margin-top:56.9pt;width:88.5pt;height:47.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" fillcolor="white [3201]" stroked="f" strokeweight="2pt"/>
            </w:pict>
          </mc:Fallback>
        </mc:AlternateContent>
      </w:r>
      <w:r w:rsidR="002918FE">
        <w:rPr>
          <w:rFonts w:ascii="Arial" w:hAnsi="Arial" w:cs="Arial"/>
        </w:rPr>
        <w:t xml:space="preserve">                           </w:t>
      </w:r>
      <w:r w:rsidR="00167775" w:rsidRPr="00167775">
        <w:rPr>
          <w:rFonts w:ascii="Arial" w:hAnsi="Arial" w:cs="Arial"/>
          <w:noProof/>
          <w:lang w:val="en-GB" w:eastAsia="en-GB"/>
        </w:rPr>
        <w:drawing>
          <wp:inline distT="0" distB="0" distL="0" distR="0" wp14:anchorId="21B4110F" wp14:editId="5CCCE70A">
            <wp:extent cx="2806700" cy="1495425"/>
            <wp:effectExtent l="0" t="0" r="0" b="9525"/>
            <wp:docPr id="1238688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l="22771" t="29192" r="19591" b="11694"/>
                    <a:stretch>
                      <a:fillRect/>
                    </a:stretch>
                  </pic:blipFill>
                  <pic:spPr bwMode="auto">
                    <a:xfrm>
                      <a:off x="0" y="0"/>
                      <a:ext cx="2806700" cy="1495425"/>
                    </a:xfrm>
                    <a:prstGeom prst="rect">
                      <a:avLst/>
                    </a:prstGeom>
                    <a:noFill/>
                    <a:ln>
                      <a:noFill/>
                    </a:ln>
                  </pic:spPr>
                </pic:pic>
              </a:graphicData>
            </a:graphic>
          </wp:inline>
        </w:drawing>
      </w:r>
    </w:p>
    <w:p w14:paraId="2360EEC1" w14:textId="5508D1DA" w:rsidR="00167775" w:rsidRPr="00345727" w:rsidRDefault="00167775" w:rsidP="00167775">
      <w:pPr>
        <w:jc w:val="both"/>
        <w:rPr>
          <w:rFonts w:ascii="Arial" w:hAnsi="Arial" w:cs="Arial"/>
          <w:b/>
          <w:sz w:val="16"/>
          <w:szCs w:val="16"/>
        </w:rPr>
      </w:pPr>
      <w:r w:rsidRPr="00345727">
        <w:rPr>
          <w:rFonts w:ascii="Arial" w:hAnsi="Arial" w:cs="Arial"/>
          <w:bCs/>
          <w:sz w:val="16"/>
          <w:szCs w:val="16"/>
        </w:rPr>
        <w:t>Fig</w:t>
      </w:r>
      <w:r w:rsidR="00DD29E6">
        <w:rPr>
          <w:rFonts w:ascii="Arial" w:hAnsi="Arial" w:cs="Arial"/>
          <w:bCs/>
          <w:sz w:val="16"/>
          <w:szCs w:val="16"/>
        </w:rPr>
        <w:t>ure</w:t>
      </w:r>
      <w:r w:rsidRPr="00345727">
        <w:rPr>
          <w:rFonts w:ascii="Arial" w:hAnsi="Arial" w:cs="Arial"/>
          <w:bCs/>
          <w:sz w:val="16"/>
          <w:szCs w:val="16"/>
        </w:rPr>
        <w:t xml:space="preserve"> 11: Expression of Bax in HepG2 Cell lysate after exposure to graded concentration of </w:t>
      </w:r>
      <w:r w:rsidRPr="00345727">
        <w:rPr>
          <w:rFonts w:ascii="Arial" w:eastAsia="Calibri" w:hAnsi="Arial" w:cs="Arial"/>
          <w:kern w:val="24"/>
          <w:sz w:val="16"/>
          <w:szCs w:val="16"/>
        </w:rPr>
        <w:t>S</w:t>
      </w:r>
      <w:r w:rsidRPr="00345727">
        <w:rPr>
          <w:rFonts w:ascii="Arial" w:eastAsia="Calibri" w:hAnsi="Arial" w:cs="Arial"/>
          <w:kern w:val="24"/>
          <w:sz w:val="16"/>
          <w:szCs w:val="16"/>
          <w:vertAlign w:val="subscript"/>
        </w:rPr>
        <w:t>C</w:t>
      </w:r>
      <w:r w:rsidRPr="00345727">
        <w:rPr>
          <w:rFonts w:ascii="Arial" w:eastAsia="Calibri" w:hAnsi="Arial" w:cs="Arial"/>
          <w:kern w:val="24"/>
          <w:sz w:val="16"/>
          <w:szCs w:val="16"/>
        </w:rPr>
        <w:t>- Rutin</w:t>
      </w:r>
    </w:p>
    <w:p w14:paraId="58B4154A" w14:textId="77777777" w:rsidR="00167775" w:rsidRPr="00345727" w:rsidRDefault="00167775" w:rsidP="00167775">
      <w:pPr>
        <w:rPr>
          <w:rFonts w:ascii="Arial" w:hAnsi="Arial" w:cs="Arial"/>
          <w:bCs/>
          <w:sz w:val="16"/>
          <w:szCs w:val="16"/>
        </w:rPr>
      </w:pPr>
      <w:r w:rsidRPr="00345727">
        <w:rPr>
          <w:rFonts w:ascii="Arial" w:hAnsi="Arial" w:cs="Arial"/>
          <w:bCs/>
          <w:sz w:val="16"/>
          <w:szCs w:val="16"/>
        </w:rPr>
        <w:t>*, means values are statistically significant at (</w:t>
      </w:r>
      <w:r w:rsidR="00345727" w:rsidRPr="00BA7C6C">
        <w:rPr>
          <w:rFonts w:ascii="Arial" w:hAnsi="Arial" w:cs="Arial"/>
          <w:bCs/>
          <w:sz w:val="16"/>
          <w:szCs w:val="16"/>
        </w:rPr>
        <w:t>P= .05</w:t>
      </w:r>
      <w:r w:rsidRPr="00345727">
        <w:rPr>
          <w:rFonts w:ascii="Arial" w:hAnsi="Arial" w:cs="Arial"/>
          <w:bCs/>
          <w:sz w:val="16"/>
          <w:szCs w:val="16"/>
        </w:rPr>
        <w:t>), relative to the control</w:t>
      </w:r>
    </w:p>
    <w:p w14:paraId="0FA1940C" w14:textId="77777777" w:rsidR="00167775" w:rsidRPr="00167775" w:rsidRDefault="00167775" w:rsidP="00167775">
      <w:pPr>
        <w:jc w:val="both"/>
        <w:rPr>
          <w:rFonts w:ascii="Arial" w:hAnsi="Arial" w:cs="Arial"/>
          <w:bCs/>
        </w:rPr>
      </w:pPr>
    </w:p>
    <w:p w14:paraId="44B953DF" w14:textId="77777777" w:rsidR="00167775" w:rsidRPr="00167775" w:rsidRDefault="00167775" w:rsidP="00167775">
      <w:pPr>
        <w:jc w:val="both"/>
        <w:rPr>
          <w:rFonts w:ascii="Arial" w:hAnsi="Arial" w:cs="Arial"/>
          <w:bCs/>
        </w:rPr>
      </w:pPr>
    </w:p>
    <w:p w14:paraId="14D35EBE" w14:textId="77777777" w:rsidR="00167775" w:rsidRPr="00167775" w:rsidRDefault="00167775" w:rsidP="00167775">
      <w:pPr>
        <w:jc w:val="both"/>
        <w:rPr>
          <w:rFonts w:ascii="Arial" w:hAnsi="Arial" w:cs="Arial"/>
          <w:bCs/>
        </w:rPr>
      </w:pPr>
    </w:p>
    <w:p w14:paraId="0BE65281" w14:textId="77777777" w:rsidR="00167775" w:rsidRPr="00167775" w:rsidRDefault="00167775" w:rsidP="00167775">
      <w:pPr>
        <w:jc w:val="both"/>
        <w:rPr>
          <w:rFonts w:ascii="Arial" w:hAnsi="Arial" w:cs="Arial"/>
          <w:bCs/>
        </w:rPr>
      </w:pPr>
    </w:p>
    <w:p w14:paraId="1DF7CA2D" w14:textId="77777777" w:rsidR="00167775" w:rsidRPr="00167775" w:rsidRDefault="002918FE" w:rsidP="00167775">
      <w:pPr>
        <w:jc w:val="both"/>
        <w:rPr>
          <w:rFonts w:ascii="Arial" w:hAnsi="Arial" w:cs="Arial"/>
          <w:bCs/>
        </w:rPr>
      </w:pPr>
      <w:r>
        <w:rPr>
          <w:rFonts w:ascii="Arial" w:hAnsi="Arial" w:cs="Arial"/>
          <w:noProof/>
          <w:lang w:val="en-GB" w:eastAsia="en-GB"/>
        </w:rPr>
        <w:t xml:space="preserve">                            </w:t>
      </w:r>
      <w:r w:rsidR="00167775" w:rsidRPr="00167775">
        <w:rPr>
          <w:rFonts w:ascii="Arial" w:hAnsi="Arial" w:cs="Arial"/>
          <w:noProof/>
          <w:lang w:val="en-GB" w:eastAsia="en-GB"/>
        </w:rPr>
        <w:drawing>
          <wp:inline distT="0" distB="0" distL="0" distR="0" wp14:anchorId="4207A443" wp14:editId="57C28749">
            <wp:extent cx="2324100" cy="1600200"/>
            <wp:effectExtent l="0" t="0" r="0" b="0"/>
            <wp:docPr id="14744475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2977" t="30286" r="31585" b="12424"/>
                    <a:stretch/>
                  </pic:blipFill>
                  <pic:spPr bwMode="auto">
                    <a:xfrm>
                      <a:off x="0" y="0"/>
                      <a:ext cx="2324289" cy="1600330"/>
                    </a:xfrm>
                    <a:prstGeom prst="rect">
                      <a:avLst/>
                    </a:prstGeom>
                    <a:noFill/>
                    <a:ln>
                      <a:noFill/>
                    </a:ln>
                    <a:extLst>
                      <a:ext uri="{53640926-AAD7-44D8-BBD7-CCE9431645EC}">
                        <a14:shadowObscured xmlns:a14="http://schemas.microsoft.com/office/drawing/2010/main"/>
                      </a:ext>
                    </a:extLst>
                  </pic:spPr>
                </pic:pic>
              </a:graphicData>
            </a:graphic>
          </wp:inline>
        </w:drawing>
      </w:r>
    </w:p>
    <w:p w14:paraId="4613D360" w14:textId="77777777" w:rsidR="00167775" w:rsidRPr="00167775" w:rsidRDefault="00167775" w:rsidP="00167775">
      <w:pPr>
        <w:rPr>
          <w:rFonts w:ascii="Arial" w:hAnsi="Arial" w:cs="Arial"/>
        </w:rPr>
      </w:pPr>
    </w:p>
    <w:p w14:paraId="01A0D81B" w14:textId="77777777" w:rsidR="00167775" w:rsidRPr="00345727" w:rsidRDefault="00167775" w:rsidP="00167775">
      <w:pPr>
        <w:jc w:val="both"/>
        <w:rPr>
          <w:rFonts w:ascii="Arial" w:hAnsi="Arial" w:cs="Arial"/>
          <w:b/>
          <w:sz w:val="16"/>
          <w:szCs w:val="16"/>
        </w:rPr>
      </w:pPr>
      <w:r w:rsidRPr="00345727">
        <w:rPr>
          <w:rFonts w:ascii="Arial" w:hAnsi="Arial" w:cs="Arial"/>
          <w:bCs/>
          <w:sz w:val="16"/>
          <w:szCs w:val="16"/>
        </w:rPr>
        <w:t xml:space="preserve">Fig 12: Expression of Bax in LNCaP Cell lysate after exposure to graded concentration of </w:t>
      </w:r>
      <w:r w:rsidRPr="00345727">
        <w:rPr>
          <w:rFonts w:ascii="Arial" w:eastAsia="Calibri" w:hAnsi="Arial" w:cs="Arial"/>
          <w:kern w:val="24"/>
          <w:sz w:val="16"/>
          <w:szCs w:val="16"/>
        </w:rPr>
        <w:t>S</w:t>
      </w:r>
      <w:r w:rsidRPr="00345727">
        <w:rPr>
          <w:rFonts w:ascii="Arial" w:eastAsia="Calibri" w:hAnsi="Arial" w:cs="Arial"/>
          <w:kern w:val="24"/>
          <w:sz w:val="16"/>
          <w:szCs w:val="16"/>
          <w:vertAlign w:val="subscript"/>
        </w:rPr>
        <w:t>C</w:t>
      </w:r>
      <w:r w:rsidRPr="00345727">
        <w:rPr>
          <w:rFonts w:ascii="Arial" w:eastAsia="Calibri" w:hAnsi="Arial" w:cs="Arial"/>
          <w:kern w:val="24"/>
          <w:sz w:val="16"/>
          <w:szCs w:val="16"/>
        </w:rPr>
        <w:t>- Rutin</w:t>
      </w:r>
    </w:p>
    <w:p w14:paraId="128F2933" w14:textId="77777777" w:rsidR="00167775" w:rsidRPr="00345727" w:rsidRDefault="00167775" w:rsidP="00167775">
      <w:pPr>
        <w:rPr>
          <w:rFonts w:ascii="Arial" w:hAnsi="Arial" w:cs="Arial"/>
          <w:bCs/>
          <w:sz w:val="16"/>
          <w:szCs w:val="16"/>
        </w:rPr>
      </w:pPr>
      <w:r w:rsidRPr="00345727">
        <w:rPr>
          <w:rFonts w:ascii="Arial" w:hAnsi="Arial" w:cs="Arial"/>
          <w:bCs/>
          <w:sz w:val="16"/>
          <w:szCs w:val="16"/>
        </w:rPr>
        <w:t>*, means values are statistically significant at (</w:t>
      </w:r>
      <w:r w:rsidR="00345727" w:rsidRPr="00BA7C6C">
        <w:rPr>
          <w:rFonts w:ascii="Arial" w:hAnsi="Arial" w:cs="Arial"/>
          <w:bCs/>
          <w:sz w:val="16"/>
          <w:szCs w:val="16"/>
        </w:rPr>
        <w:t>P= .05</w:t>
      </w:r>
      <w:r w:rsidRPr="00345727">
        <w:rPr>
          <w:rFonts w:ascii="Arial" w:hAnsi="Arial" w:cs="Arial"/>
          <w:bCs/>
          <w:sz w:val="16"/>
          <w:szCs w:val="16"/>
        </w:rPr>
        <w:t>), relative to the control</w:t>
      </w:r>
    </w:p>
    <w:p w14:paraId="192C5582" w14:textId="77777777" w:rsidR="00167775" w:rsidRPr="00167775" w:rsidRDefault="00F73B5B" w:rsidP="00167775">
      <w:pPr>
        <w:rPr>
          <w:rFonts w:ascii="Arial" w:hAnsi="Arial" w:cs="Arial"/>
        </w:rPr>
      </w:pPr>
      <w:r w:rsidRPr="00167775">
        <w:rPr>
          <w:rFonts w:ascii="Arial" w:hAnsi="Arial" w:cs="Arial"/>
          <w:noProof/>
        </w:rPr>
        <w:lastRenderedPageBreak/>
        <mc:AlternateContent>
          <mc:Choice Requires="wps">
            <w:drawing>
              <wp:anchor distT="0" distB="0" distL="114300" distR="114300" simplePos="0" relativeHeight="251658752" behindDoc="0" locked="0" layoutInCell="1" allowOverlap="1" wp14:anchorId="3278358E" wp14:editId="48AB4A00">
                <wp:simplePos x="0" y="0"/>
                <wp:positionH relativeFrom="column">
                  <wp:posOffset>3495675</wp:posOffset>
                </wp:positionH>
                <wp:positionV relativeFrom="paragraph">
                  <wp:posOffset>634365</wp:posOffset>
                </wp:positionV>
                <wp:extent cx="1123950" cy="604520"/>
                <wp:effectExtent l="0" t="0" r="0" b="0"/>
                <wp:wrapNone/>
                <wp:docPr id="203472790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60452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951AF8" id="Rectangle 5" o:spid="_x0000_s1026" style="position:absolute;margin-left:275.25pt;margin-top:49.95pt;width:88.5pt;height:47.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" fillcolor="white [3201]" stroked="f" strokeweight="2pt"/>
            </w:pict>
          </mc:Fallback>
        </mc:AlternateContent>
      </w:r>
      <w:r w:rsidR="002918FE">
        <w:rPr>
          <w:rFonts w:ascii="Arial" w:hAnsi="Arial" w:cs="Arial"/>
          <w:noProof/>
          <w:lang w:val="en-GB" w:eastAsia="en-GB"/>
        </w:rPr>
        <w:t xml:space="preserve">                         </w:t>
      </w:r>
      <w:r w:rsidR="00167775" w:rsidRPr="00167775">
        <w:rPr>
          <w:rFonts w:ascii="Arial" w:hAnsi="Arial" w:cs="Arial"/>
          <w:noProof/>
          <w:lang w:val="en-GB" w:eastAsia="en-GB"/>
        </w:rPr>
        <w:drawing>
          <wp:inline distT="0" distB="0" distL="0" distR="0" wp14:anchorId="6E42AB6D" wp14:editId="74FE384B">
            <wp:extent cx="2905125" cy="1739900"/>
            <wp:effectExtent l="0" t="0" r="9525" b="0"/>
            <wp:docPr id="5775903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l="22568" t="32478" r="21027" b="13158"/>
                    <a:stretch>
                      <a:fillRect/>
                    </a:stretch>
                  </pic:blipFill>
                  <pic:spPr bwMode="auto">
                    <a:xfrm>
                      <a:off x="0" y="0"/>
                      <a:ext cx="2905125" cy="1739900"/>
                    </a:xfrm>
                    <a:prstGeom prst="rect">
                      <a:avLst/>
                    </a:prstGeom>
                    <a:noFill/>
                    <a:ln>
                      <a:noFill/>
                    </a:ln>
                  </pic:spPr>
                </pic:pic>
              </a:graphicData>
            </a:graphic>
          </wp:inline>
        </w:drawing>
      </w:r>
    </w:p>
    <w:p w14:paraId="54D9223F" w14:textId="77777777" w:rsidR="00167775" w:rsidRPr="00345727" w:rsidRDefault="00167775" w:rsidP="00167775">
      <w:pPr>
        <w:jc w:val="both"/>
        <w:rPr>
          <w:rFonts w:ascii="Arial" w:hAnsi="Arial" w:cs="Arial"/>
          <w:b/>
          <w:sz w:val="16"/>
          <w:szCs w:val="16"/>
        </w:rPr>
      </w:pPr>
      <w:r w:rsidRPr="00345727">
        <w:rPr>
          <w:rFonts w:ascii="Arial" w:hAnsi="Arial" w:cs="Arial"/>
          <w:bCs/>
          <w:sz w:val="16"/>
          <w:szCs w:val="16"/>
        </w:rPr>
        <w:t xml:space="preserve">Fig 13: Expression of Bcl-2 in HepG2 Cell lysate after exposure to graded concentration of </w:t>
      </w:r>
      <w:r w:rsidRPr="00345727">
        <w:rPr>
          <w:rFonts w:ascii="Arial" w:eastAsia="Calibri" w:hAnsi="Arial" w:cs="Arial"/>
          <w:kern w:val="24"/>
          <w:sz w:val="16"/>
          <w:szCs w:val="16"/>
        </w:rPr>
        <w:t>S</w:t>
      </w:r>
      <w:r w:rsidRPr="00345727">
        <w:rPr>
          <w:rFonts w:ascii="Arial" w:eastAsia="Calibri" w:hAnsi="Arial" w:cs="Arial"/>
          <w:kern w:val="24"/>
          <w:sz w:val="16"/>
          <w:szCs w:val="16"/>
          <w:vertAlign w:val="subscript"/>
        </w:rPr>
        <w:t>C</w:t>
      </w:r>
      <w:r w:rsidRPr="00345727">
        <w:rPr>
          <w:rFonts w:ascii="Arial" w:eastAsia="Calibri" w:hAnsi="Arial" w:cs="Arial"/>
          <w:kern w:val="24"/>
          <w:sz w:val="16"/>
          <w:szCs w:val="16"/>
        </w:rPr>
        <w:t>- Rutin</w:t>
      </w:r>
    </w:p>
    <w:p w14:paraId="2903AE0E" w14:textId="77777777" w:rsidR="00167775" w:rsidRPr="00345727" w:rsidRDefault="00167775" w:rsidP="00167775">
      <w:pPr>
        <w:rPr>
          <w:rFonts w:ascii="Arial" w:hAnsi="Arial" w:cs="Arial"/>
          <w:bCs/>
          <w:sz w:val="16"/>
          <w:szCs w:val="16"/>
        </w:rPr>
      </w:pPr>
      <w:r w:rsidRPr="00345727">
        <w:rPr>
          <w:rFonts w:ascii="Arial" w:hAnsi="Arial" w:cs="Arial"/>
          <w:bCs/>
          <w:sz w:val="16"/>
          <w:szCs w:val="16"/>
        </w:rPr>
        <w:t>*, means values are statistically significant at (</w:t>
      </w:r>
      <w:r w:rsidR="00345727" w:rsidRPr="00345727">
        <w:rPr>
          <w:rFonts w:ascii="Arial" w:hAnsi="Arial" w:cs="Arial"/>
          <w:bCs/>
          <w:sz w:val="16"/>
          <w:szCs w:val="16"/>
        </w:rPr>
        <w:t>P= .05</w:t>
      </w:r>
      <w:r w:rsidRPr="00345727">
        <w:rPr>
          <w:rFonts w:ascii="Arial" w:hAnsi="Arial" w:cs="Arial"/>
          <w:bCs/>
          <w:sz w:val="16"/>
          <w:szCs w:val="16"/>
        </w:rPr>
        <w:t>), relative to the control</w:t>
      </w:r>
    </w:p>
    <w:p w14:paraId="0D39251B" w14:textId="77777777" w:rsidR="00167775" w:rsidRPr="00167775" w:rsidRDefault="002918FE" w:rsidP="00167775">
      <w:pPr>
        <w:rPr>
          <w:rFonts w:ascii="Arial" w:hAnsi="Arial" w:cs="Arial"/>
        </w:rPr>
      </w:pPr>
      <w:r>
        <w:rPr>
          <w:rFonts w:ascii="Arial" w:hAnsi="Arial" w:cs="Arial"/>
        </w:rPr>
        <w:t xml:space="preserve">                        </w:t>
      </w:r>
      <w:r w:rsidR="00167775" w:rsidRPr="00167775">
        <w:rPr>
          <w:rFonts w:ascii="Arial" w:hAnsi="Arial" w:cs="Arial"/>
          <w:noProof/>
          <w:lang w:val="en-GB" w:eastAsia="en-GB"/>
        </w:rPr>
        <w:drawing>
          <wp:inline distT="0" distB="0" distL="0" distR="0" wp14:anchorId="2F142DB4" wp14:editId="342A2244">
            <wp:extent cx="2603500" cy="1905000"/>
            <wp:effectExtent l="0" t="0" r="6350" b="0"/>
            <wp:docPr id="19429846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l="22772" t="33934" r="28615" b="12057"/>
                    <a:stretch>
                      <a:fillRect/>
                    </a:stretch>
                  </pic:blipFill>
                  <pic:spPr bwMode="auto">
                    <a:xfrm>
                      <a:off x="0" y="0"/>
                      <a:ext cx="2603500" cy="1905000"/>
                    </a:xfrm>
                    <a:prstGeom prst="rect">
                      <a:avLst/>
                    </a:prstGeom>
                    <a:noFill/>
                    <a:ln>
                      <a:noFill/>
                    </a:ln>
                  </pic:spPr>
                </pic:pic>
              </a:graphicData>
            </a:graphic>
          </wp:inline>
        </w:drawing>
      </w:r>
    </w:p>
    <w:p w14:paraId="6451445D" w14:textId="77777777" w:rsidR="00167775" w:rsidRPr="00345727" w:rsidRDefault="00167775" w:rsidP="00167775">
      <w:pPr>
        <w:jc w:val="both"/>
        <w:rPr>
          <w:rFonts w:ascii="Arial" w:hAnsi="Arial" w:cs="Arial"/>
          <w:b/>
          <w:sz w:val="16"/>
          <w:szCs w:val="16"/>
        </w:rPr>
      </w:pPr>
      <w:r w:rsidRPr="00345727">
        <w:rPr>
          <w:rFonts w:ascii="Arial" w:hAnsi="Arial" w:cs="Arial"/>
          <w:bCs/>
          <w:sz w:val="16"/>
          <w:szCs w:val="16"/>
        </w:rPr>
        <w:t xml:space="preserve">Fig 14: Expression of Bcl-2 in LNCaP Cell lysate after exposure to graded concentration of </w:t>
      </w:r>
      <w:r w:rsidRPr="00345727">
        <w:rPr>
          <w:rFonts w:ascii="Arial" w:eastAsia="Calibri" w:hAnsi="Arial" w:cs="Arial"/>
          <w:kern w:val="24"/>
          <w:sz w:val="16"/>
          <w:szCs w:val="16"/>
        </w:rPr>
        <w:t>S</w:t>
      </w:r>
      <w:r w:rsidRPr="00345727">
        <w:rPr>
          <w:rFonts w:ascii="Arial" w:eastAsia="Calibri" w:hAnsi="Arial" w:cs="Arial"/>
          <w:kern w:val="24"/>
          <w:sz w:val="16"/>
          <w:szCs w:val="16"/>
          <w:vertAlign w:val="subscript"/>
        </w:rPr>
        <w:t>C</w:t>
      </w:r>
      <w:r w:rsidRPr="00345727">
        <w:rPr>
          <w:rFonts w:ascii="Arial" w:eastAsia="Calibri" w:hAnsi="Arial" w:cs="Arial"/>
          <w:kern w:val="24"/>
          <w:sz w:val="16"/>
          <w:szCs w:val="16"/>
        </w:rPr>
        <w:t>- Rutin</w:t>
      </w:r>
    </w:p>
    <w:p w14:paraId="1CB88F89" w14:textId="77777777" w:rsidR="00167775" w:rsidRPr="00345727" w:rsidRDefault="00167775" w:rsidP="00167775">
      <w:pPr>
        <w:rPr>
          <w:rFonts w:ascii="Arial" w:hAnsi="Arial" w:cs="Arial"/>
          <w:bCs/>
          <w:sz w:val="16"/>
          <w:szCs w:val="16"/>
        </w:rPr>
      </w:pPr>
      <w:r w:rsidRPr="00345727">
        <w:rPr>
          <w:rFonts w:ascii="Arial" w:hAnsi="Arial" w:cs="Arial"/>
          <w:bCs/>
          <w:sz w:val="16"/>
          <w:szCs w:val="16"/>
        </w:rPr>
        <w:t>*, means values are statistically significant at (</w:t>
      </w:r>
      <w:r w:rsidR="00345727" w:rsidRPr="00BA7C6C">
        <w:rPr>
          <w:rFonts w:ascii="Arial" w:hAnsi="Arial" w:cs="Arial"/>
          <w:bCs/>
          <w:sz w:val="16"/>
          <w:szCs w:val="16"/>
        </w:rPr>
        <w:t>P= .05</w:t>
      </w:r>
      <w:r w:rsidRPr="00345727">
        <w:rPr>
          <w:rFonts w:ascii="Arial" w:hAnsi="Arial" w:cs="Arial"/>
          <w:bCs/>
          <w:sz w:val="16"/>
          <w:szCs w:val="16"/>
        </w:rPr>
        <w:t>), relative to the control</w:t>
      </w:r>
    </w:p>
    <w:p w14:paraId="6F6735E3" w14:textId="77777777" w:rsidR="00167775" w:rsidRPr="00167775" w:rsidRDefault="00167775" w:rsidP="00167775">
      <w:pPr>
        <w:rPr>
          <w:rFonts w:ascii="Arial" w:hAnsi="Arial" w:cs="Arial"/>
          <w:bCs/>
        </w:rPr>
      </w:pPr>
    </w:p>
    <w:p w14:paraId="658B2B5E" w14:textId="77777777" w:rsidR="00167775" w:rsidRPr="00167775" w:rsidRDefault="00167775" w:rsidP="00167775">
      <w:pPr>
        <w:rPr>
          <w:rFonts w:ascii="Arial" w:hAnsi="Arial" w:cs="Arial"/>
          <w:bCs/>
        </w:rPr>
      </w:pPr>
    </w:p>
    <w:p w14:paraId="270B9030" w14:textId="77777777" w:rsidR="00167775" w:rsidRPr="00167775" w:rsidRDefault="00F73B5B" w:rsidP="00167775">
      <w:pPr>
        <w:rPr>
          <w:rFonts w:ascii="Arial" w:hAnsi="Arial" w:cs="Arial"/>
          <w:bCs/>
        </w:rPr>
      </w:pPr>
      <w:r w:rsidRPr="00167775">
        <w:rPr>
          <w:rFonts w:ascii="Arial" w:hAnsi="Arial" w:cs="Arial"/>
          <w:noProof/>
        </w:rPr>
        <mc:AlternateContent>
          <mc:Choice Requires="wps">
            <w:drawing>
              <wp:anchor distT="0" distB="0" distL="114300" distR="114300" simplePos="0" relativeHeight="251659776" behindDoc="0" locked="0" layoutInCell="1" allowOverlap="1" wp14:anchorId="4F71564E" wp14:editId="4A08D2BD">
                <wp:simplePos x="0" y="0"/>
                <wp:positionH relativeFrom="column">
                  <wp:posOffset>3303905</wp:posOffset>
                </wp:positionH>
                <wp:positionV relativeFrom="paragraph">
                  <wp:posOffset>648970</wp:posOffset>
                </wp:positionV>
                <wp:extent cx="1123950" cy="604520"/>
                <wp:effectExtent l="0" t="0" r="0" b="0"/>
                <wp:wrapNone/>
                <wp:docPr id="108205634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60452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47B8D5" id="Rectangle 3" o:spid="_x0000_s1026" style="position:absolute;margin-left:260.15pt;margin-top:51.1pt;width:88.5pt;height:47.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" fillcolor="white [3201]" stroked="f" strokeweight="2pt"/>
            </w:pict>
          </mc:Fallback>
        </mc:AlternateContent>
      </w:r>
      <w:r w:rsidR="002918FE">
        <w:rPr>
          <w:rFonts w:ascii="Arial" w:hAnsi="Arial" w:cs="Arial"/>
          <w:bCs/>
        </w:rPr>
        <w:t xml:space="preserve">                    </w:t>
      </w:r>
      <w:r w:rsidR="00167775" w:rsidRPr="00167775">
        <w:rPr>
          <w:rFonts w:ascii="Arial" w:hAnsi="Arial" w:cs="Arial"/>
          <w:noProof/>
          <w:lang w:val="en-GB" w:eastAsia="en-GB"/>
        </w:rPr>
        <w:drawing>
          <wp:inline distT="0" distB="0" distL="0" distR="0" wp14:anchorId="4F8985C9" wp14:editId="69DE43CA">
            <wp:extent cx="3213100" cy="1422400"/>
            <wp:effectExtent l="0" t="0" r="6350" b="6350"/>
            <wp:docPr id="17819542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l="20924" t="36122" r="25743" b="10602"/>
                    <a:stretch>
                      <a:fillRect/>
                    </a:stretch>
                  </pic:blipFill>
                  <pic:spPr bwMode="auto">
                    <a:xfrm>
                      <a:off x="0" y="0"/>
                      <a:ext cx="3213100" cy="1422400"/>
                    </a:xfrm>
                    <a:prstGeom prst="rect">
                      <a:avLst/>
                    </a:prstGeom>
                    <a:noFill/>
                    <a:ln>
                      <a:noFill/>
                    </a:ln>
                  </pic:spPr>
                </pic:pic>
              </a:graphicData>
            </a:graphic>
          </wp:inline>
        </w:drawing>
      </w:r>
    </w:p>
    <w:p w14:paraId="01A74F84" w14:textId="77777777" w:rsidR="00167775" w:rsidRPr="002918FE" w:rsidRDefault="00167775" w:rsidP="00167775">
      <w:pPr>
        <w:jc w:val="both"/>
        <w:rPr>
          <w:rFonts w:ascii="Arial" w:hAnsi="Arial" w:cs="Arial"/>
          <w:b/>
          <w:sz w:val="16"/>
          <w:szCs w:val="16"/>
        </w:rPr>
      </w:pPr>
      <w:r w:rsidRPr="002918FE">
        <w:rPr>
          <w:rFonts w:ascii="Arial" w:hAnsi="Arial" w:cs="Arial"/>
          <w:bCs/>
          <w:sz w:val="16"/>
          <w:szCs w:val="16"/>
        </w:rPr>
        <w:t xml:space="preserve">Fig 15: Levels of </w:t>
      </w:r>
      <w:proofErr w:type="spellStart"/>
      <w:r w:rsidRPr="002918FE">
        <w:rPr>
          <w:rFonts w:ascii="Arial" w:hAnsi="Arial" w:cs="Arial"/>
          <w:bCs/>
          <w:sz w:val="16"/>
          <w:szCs w:val="16"/>
        </w:rPr>
        <w:t>Cyt</w:t>
      </w:r>
      <w:proofErr w:type="spellEnd"/>
      <w:r w:rsidRPr="002918FE">
        <w:rPr>
          <w:rFonts w:ascii="Arial" w:hAnsi="Arial" w:cs="Arial"/>
          <w:bCs/>
          <w:sz w:val="16"/>
          <w:szCs w:val="16"/>
        </w:rPr>
        <w:t xml:space="preserve">-c in HepG2 Cell lysate after exposure to graded concentration of </w:t>
      </w:r>
      <w:r w:rsidRPr="002918FE">
        <w:rPr>
          <w:rFonts w:ascii="Arial" w:eastAsia="Calibri" w:hAnsi="Arial" w:cs="Arial"/>
          <w:kern w:val="24"/>
          <w:sz w:val="16"/>
          <w:szCs w:val="16"/>
        </w:rPr>
        <w:t>S</w:t>
      </w:r>
      <w:r w:rsidRPr="002918FE">
        <w:rPr>
          <w:rFonts w:ascii="Arial" w:eastAsia="Calibri" w:hAnsi="Arial" w:cs="Arial"/>
          <w:kern w:val="24"/>
          <w:sz w:val="16"/>
          <w:szCs w:val="16"/>
          <w:vertAlign w:val="subscript"/>
        </w:rPr>
        <w:t>C</w:t>
      </w:r>
      <w:r w:rsidRPr="002918FE">
        <w:rPr>
          <w:rFonts w:ascii="Arial" w:eastAsia="Calibri" w:hAnsi="Arial" w:cs="Arial"/>
          <w:kern w:val="24"/>
          <w:sz w:val="16"/>
          <w:szCs w:val="16"/>
        </w:rPr>
        <w:t>- Rutin</w:t>
      </w:r>
    </w:p>
    <w:p w14:paraId="0AA238C6" w14:textId="77777777" w:rsidR="00167775" w:rsidRPr="002918FE" w:rsidRDefault="00167775" w:rsidP="00167775">
      <w:pPr>
        <w:rPr>
          <w:rFonts w:ascii="Arial" w:hAnsi="Arial" w:cs="Arial"/>
          <w:bCs/>
          <w:sz w:val="16"/>
          <w:szCs w:val="16"/>
        </w:rPr>
      </w:pPr>
      <w:r w:rsidRPr="002918FE">
        <w:rPr>
          <w:rFonts w:ascii="Arial" w:hAnsi="Arial" w:cs="Arial"/>
          <w:bCs/>
          <w:sz w:val="16"/>
          <w:szCs w:val="16"/>
        </w:rPr>
        <w:t>*, means values are statistically significant at (</w:t>
      </w:r>
      <w:r w:rsidR="002918FE" w:rsidRPr="00BA7C6C">
        <w:rPr>
          <w:rFonts w:ascii="Arial" w:hAnsi="Arial" w:cs="Arial"/>
          <w:bCs/>
          <w:sz w:val="16"/>
          <w:szCs w:val="16"/>
        </w:rPr>
        <w:t>P= .05</w:t>
      </w:r>
      <w:r w:rsidRPr="002918FE">
        <w:rPr>
          <w:rFonts w:ascii="Arial" w:hAnsi="Arial" w:cs="Arial"/>
          <w:bCs/>
          <w:sz w:val="16"/>
          <w:szCs w:val="16"/>
        </w:rPr>
        <w:t>), relative to the control</w:t>
      </w:r>
    </w:p>
    <w:p w14:paraId="0C68B1CA" w14:textId="77777777" w:rsidR="00167775" w:rsidRPr="00167775" w:rsidRDefault="00167775" w:rsidP="00167775">
      <w:pPr>
        <w:rPr>
          <w:rFonts w:ascii="Arial" w:hAnsi="Arial" w:cs="Arial"/>
          <w:bCs/>
        </w:rPr>
      </w:pPr>
    </w:p>
    <w:p w14:paraId="277957A8" w14:textId="77777777" w:rsidR="00167775" w:rsidRPr="00167775" w:rsidRDefault="00167775" w:rsidP="00167775">
      <w:pPr>
        <w:rPr>
          <w:rFonts w:ascii="Arial" w:hAnsi="Arial" w:cs="Arial"/>
          <w:bCs/>
        </w:rPr>
      </w:pPr>
    </w:p>
    <w:p w14:paraId="75248BE0" w14:textId="77777777" w:rsidR="002918FE" w:rsidRDefault="002918FE" w:rsidP="002918FE">
      <w:pPr>
        <w:rPr>
          <w:rFonts w:ascii="Arial" w:hAnsi="Arial" w:cs="Arial"/>
          <w:bCs/>
        </w:rPr>
      </w:pPr>
      <w:r>
        <w:rPr>
          <w:rFonts w:ascii="Arial" w:hAnsi="Arial" w:cs="Arial"/>
          <w:bCs/>
        </w:rPr>
        <w:lastRenderedPageBreak/>
        <w:t xml:space="preserve">                         </w:t>
      </w:r>
      <w:r w:rsidR="00167775" w:rsidRPr="00167775">
        <w:rPr>
          <w:rFonts w:ascii="Arial" w:hAnsi="Arial" w:cs="Arial"/>
          <w:noProof/>
          <w:lang w:val="en-GB" w:eastAsia="en-GB"/>
        </w:rPr>
        <w:drawing>
          <wp:inline distT="0" distB="0" distL="0" distR="0" wp14:anchorId="0EDB7913" wp14:editId="14C07578">
            <wp:extent cx="3390900" cy="1663700"/>
            <wp:effectExtent l="0" t="0" r="0" b="0"/>
            <wp:docPr id="408942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l="21130" t="33934" r="22256" b="11691"/>
                    <a:stretch>
                      <a:fillRect/>
                    </a:stretch>
                  </pic:blipFill>
                  <pic:spPr bwMode="auto">
                    <a:xfrm>
                      <a:off x="0" y="0"/>
                      <a:ext cx="3390900" cy="1663700"/>
                    </a:xfrm>
                    <a:prstGeom prst="rect">
                      <a:avLst/>
                    </a:prstGeom>
                    <a:noFill/>
                    <a:ln>
                      <a:noFill/>
                    </a:ln>
                  </pic:spPr>
                </pic:pic>
              </a:graphicData>
            </a:graphic>
          </wp:inline>
        </w:drawing>
      </w:r>
    </w:p>
    <w:p w14:paraId="16170FA5" w14:textId="77777777" w:rsidR="00167775" w:rsidRPr="002918FE" w:rsidRDefault="00167775" w:rsidP="002918FE">
      <w:pPr>
        <w:rPr>
          <w:rFonts w:ascii="Arial" w:hAnsi="Arial" w:cs="Arial"/>
          <w:b/>
          <w:sz w:val="16"/>
          <w:szCs w:val="16"/>
        </w:rPr>
      </w:pPr>
      <w:r w:rsidRPr="002918FE">
        <w:rPr>
          <w:rFonts w:ascii="Arial" w:hAnsi="Arial" w:cs="Arial"/>
          <w:bCs/>
          <w:sz w:val="16"/>
          <w:szCs w:val="16"/>
        </w:rPr>
        <w:t xml:space="preserve">Fig 16: Levels of </w:t>
      </w:r>
      <w:proofErr w:type="spellStart"/>
      <w:r w:rsidRPr="002918FE">
        <w:rPr>
          <w:rFonts w:ascii="Arial" w:hAnsi="Arial" w:cs="Arial"/>
          <w:bCs/>
          <w:sz w:val="16"/>
          <w:szCs w:val="16"/>
        </w:rPr>
        <w:t>Cyt</w:t>
      </w:r>
      <w:proofErr w:type="spellEnd"/>
      <w:r w:rsidRPr="002918FE">
        <w:rPr>
          <w:rFonts w:ascii="Arial" w:hAnsi="Arial" w:cs="Arial"/>
          <w:bCs/>
          <w:sz w:val="16"/>
          <w:szCs w:val="16"/>
        </w:rPr>
        <w:t xml:space="preserve">-c in LNCaP Cell lysate after exposure to graded concentration of </w:t>
      </w:r>
      <w:r w:rsidRPr="002918FE">
        <w:rPr>
          <w:rFonts w:ascii="Arial" w:eastAsia="Calibri" w:hAnsi="Arial" w:cs="Arial"/>
          <w:kern w:val="24"/>
          <w:sz w:val="16"/>
          <w:szCs w:val="16"/>
        </w:rPr>
        <w:t>S</w:t>
      </w:r>
      <w:r w:rsidRPr="002918FE">
        <w:rPr>
          <w:rFonts w:ascii="Arial" w:eastAsia="Calibri" w:hAnsi="Arial" w:cs="Arial"/>
          <w:kern w:val="24"/>
          <w:sz w:val="16"/>
          <w:szCs w:val="16"/>
          <w:vertAlign w:val="subscript"/>
        </w:rPr>
        <w:t>C</w:t>
      </w:r>
      <w:r w:rsidRPr="002918FE">
        <w:rPr>
          <w:rFonts w:ascii="Arial" w:eastAsia="Calibri" w:hAnsi="Arial" w:cs="Arial"/>
          <w:kern w:val="24"/>
          <w:sz w:val="16"/>
          <w:szCs w:val="16"/>
        </w:rPr>
        <w:t>- Rutin</w:t>
      </w:r>
    </w:p>
    <w:p w14:paraId="0DBFE12B" w14:textId="77777777" w:rsidR="00167775" w:rsidRPr="002918FE" w:rsidRDefault="00167775" w:rsidP="00167775">
      <w:pPr>
        <w:rPr>
          <w:rFonts w:ascii="Arial" w:hAnsi="Arial" w:cs="Arial"/>
          <w:bCs/>
          <w:sz w:val="16"/>
          <w:szCs w:val="16"/>
        </w:rPr>
      </w:pPr>
      <w:r w:rsidRPr="002918FE">
        <w:rPr>
          <w:rFonts w:ascii="Arial" w:hAnsi="Arial" w:cs="Arial"/>
          <w:bCs/>
          <w:sz w:val="16"/>
          <w:szCs w:val="16"/>
        </w:rPr>
        <w:t>*, means values are statistically significant at (</w:t>
      </w:r>
      <w:r w:rsidR="002918FE" w:rsidRPr="002918FE">
        <w:rPr>
          <w:rFonts w:ascii="Arial" w:hAnsi="Arial" w:cs="Arial"/>
          <w:bCs/>
          <w:sz w:val="16"/>
          <w:szCs w:val="16"/>
        </w:rPr>
        <w:t>P= .05</w:t>
      </w:r>
      <w:r w:rsidRPr="002918FE">
        <w:rPr>
          <w:rFonts w:ascii="Arial" w:hAnsi="Arial" w:cs="Arial"/>
          <w:bCs/>
          <w:sz w:val="16"/>
          <w:szCs w:val="16"/>
        </w:rPr>
        <w:t>), relative to the control</w:t>
      </w:r>
    </w:p>
    <w:p w14:paraId="152DF941" w14:textId="77777777" w:rsidR="00167775" w:rsidRPr="00167775" w:rsidRDefault="00167775" w:rsidP="00167775">
      <w:pPr>
        <w:jc w:val="both"/>
        <w:rPr>
          <w:rFonts w:ascii="Arial" w:hAnsi="Arial" w:cs="Arial"/>
        </w:rPr>
      </w:pPr>
    </w:p>
    <w:p w14:paraId="1FBFE2CB" w14:textId="77777777" w:rsidR="00167775" w:rsidRPr="00167775" w:rsidRDefault="00167775" w:rsidP="00167775">
      <w:pPr>
        <w:jc w:val="both"/>
        <w:rPr>
          <w:rFonts w:ascii="Arial" w:hAnsi="Arial" w:cs="Arial"/>
        </w:rPr>
      </w:pPr>
    </w:p>
    <w:p w14:paraId="1F6C57B8" w14:textId="77777777" w:rsidR="00167775" w:rsidRPr="00167775" w:rsidRDefault="00167775" w:rsidP="00167775">
      <w:pPr>
        <w:tabs>
          <w:tab w:val="left" w:pos="7110"/>
        </w:tabs>
        <w:jc w:val="both"/>
        <w:rPr>
          <w:rFonts w:ascii="Arial" w:hAnsi="Arial" w:cs="Arial"/>
        </w:rPr>
      </w:pPr>
      <w:r w:rsidRPr="00167775">
        <w:rPr>
          <w:rFonts w:ascii="Arial" w:hAnsi="Arial" w:cs="Arial"/>
        </w:rPr>
        <w:t xml:space="preserve">The intrinsic path includes the cytochrome c release from mitochondria to cytosol, oligomerization of APAF-1 in the presence of </w:t>
      </w:r>
      <w:proofErr w:type="spellStart"/>
      <w:r w:rsidRPr="00167775">
        <w:rPr>
          <w:rFonts w:ascii="Arial" w:hAnsi="Arial" w:cs="Arial"/>
        </w:rPr>
        <w:t>dATP</w:t>
      </w:r>
      <w:proofErr w:type="spellEnd"/>
      <w:r w:rsidRPr="00167775">
        <w:rPr>
          <w:rFonts w:ascii="Arial" w:hAnsi="Arial" w:cs="Arial"/>
        </w:rPr>
        <w:t xml:space="preserve"> or ATP, resulting in the formation of an </w:t>
      </w:r>
      <w:proofErr w:type="spellStart"/>
      <w:r w:rsidRPr="00167775">
        <w:rPr>
          <w:rFonts w:ascii="Arial" w:hAnsi="Arial" w:cs="Arial"/>
        </w:rPr>
        <w:t>apoptosome</w:t>
      </w:r>
      <w:proofErr w:type="spellEnd"/>
      <w:r w:rsidRPr="00167775">
        <w:rPr>
          <w:rFonts w:ascii="Arial" w:hAnsi="Arial" w:cs="Arial"/>
        </w:rPr>
        <w:t xml:space="preserve">, a heptameric wheel-like signaling platform. This attracts and triggers initiator caspase 9, which then cleaves and activates executioner caspases, caspase 3, caspase 6 and caspase 7. The executioners degrade hundreds of proteins, causing the cell to die (Qi </w:t>
      </w:r>
      <w:r w:rsidRPr="00167775">
        <w:rPr>
          <w:rFonts w:ascii="Arial" w:hAnsi="Arial" w:cs="Arial"/>
          <w:i/>
        </w:rPr>
        <w:t>et al</w:t>
      </w:r>
      <w:r w:rsidRPr="00167775">
        <w:rPr>
          <w:rFonts w:ascii="Arial" w:hAnsi="Arial" w:cs="Arial"/>
        </w:rPr>
        <w:t xml:space="preserve">., 2017). Further to that, </w:t>
      </w:r>
      <w:r w:rsidRPr="00167775">
        <w:rPr>
          <w:rFonts w:ascii="Arial" w:hAnsi="Arial" w:cs="Arial"/>
          <w:bCs/>
        </w:rPr>
        <w:t>cytochrome c release</w:t>
      </w:r>
      <w:r w:rsidRPr="00167775">
        <w:rPr>
          <w:rFonts w:ascii="Arial" w:hAnsi="Arial" w:cs="Arial"/>
        </w:rPr>
        <w:t xml:space="preserve"> was studied to see if a collapse in mitochondrial membrane potential can lead to increase in the levels of cytochrome c. Results obtained show that there was significant upsurge in cytochrome c release in HepG2 and LNCaP cells exposed to rutin for 24 h. At 8 µg/mL of rutin there was 5.3 folds when compared to the control for HepG2 cells, while at 6 µg/mL of rutin there was 5.9 folds when compared to the control for LNCaP cells. The fact that cytochrome c levels increased with increasing rutin concentration in HepG2 and LNCaP cells suggests that changes in mitochondrial membrane potential caused by rutin is trailed by the discharge of apoptogenic proteins, cytochrome c. The activation of cysteine proteases known as caspases is critical to death-receptor apoptosis. They cleave substrates selectively, resulting in morphology and </w:t>
      </w:r>
      <w:proofErr w:type="spellStart"/>
      <w:r w:rsidRPr="00167775">
        <w:rPr>
          <w:rFonts w:ascii="Arial" w:hAnsi="Arial" w:cs="Arial"/>
        </w:rPr>
        <w:t>internucleosomal</w:t>
      </w:r>
      <w:proofErr w:type="spellEnd"/>
      <w:r w:rsidRPr="00167775">
        <w:rPr>
          <w:rFonts w:ascii="Arial" w:hAnsi="Arial" w:cs="Arial"/>
        </w:rPr>
        <w:t xml:space="preserve"> DNA disintegration. Caspases produce active signals that are involved in apoptosis and inflammation [27]. Caspases are thought to exist in sedentary precursor forms that are activated by dimerization before they can carry out most of their activities, one of which is cleaving their target proteins. Caspases promote cell death, so a decrease in caspase activity should promote </w:t>
      </w:r>
      <w:proofErr w:type="spellStart"/>
      <w:r w:rsidRPr="00167775">
        <w:rPr>
          <w:rFonts w:ascii="Arial" w:hAnsi="Arial" w:cs="Arial"/>
        </w:rPr>
        <w:t>tumour</w:t>
      </w:r>
      <w:proofErr w:type="spellEnd"/>
      <w:r w:rsidRPr="00167775">
        <w:rPr>
          <w:rFonts w:ascii="Arial" w:hAnsi="Arial" w:cs="Arial"/>
        </w:rPr>
        <w:t xml:space="preserve"> development [28].</w:t>
      </w:r>
    </w:p>
    <w:p w14:paraId="1A6DFCBF" w14:textId="77777777" w:rsidR="00167775" w:rsidRDefault="00167775" w:rsidP="00441B6F">
      <w:pPr>
        <w:pStyle w:val="Head1"/>
        <w:spacing w:after="0"/>
        <w:jc w:val="both"/>
        <w:rPr>
          <w:rFonts w:ascii="Arial" w:hAnsi="Arial" w:cs="Arial"/>
        </w:rPr>
      </w:pPr>
    </w:p>
    <w:p w14:paraId="0885E922"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44D643E" w14:textId="77777777" w:rsidR="00790ADA" w:rsidRPr="00FB3A86" w:rsidRDefault="00790ADA" w:rsidP="00441B6F">
      <w:pPr>
        <w:pStyle w:val="ConcHead"/>
        <w:spacing w:after="0"/>
        <w:jc w:val="both"/>
        <w:rPr>
          <w:rFonts w:ascii="Arial" w:hAnsi="Arial" w:cs="Arial"/>
        </w:rPr>
      </w:pPr>
    </w:p>
    <w:p w14:paraId="780B5C69" w14:textId="77777777" w:rsidR="00790ADA" w:rsidRDefault="00A566AC" w:rsidP="00441B6F">
      <w:pPr>
        <w:pStyle w:val="Body"/>
        <w:spacing w:after="0"/>
        <w:rPr>
          <w:rFonts w:ascii="Arial" w:hAnsi="Arial" w:cs="Arial"/>
        </w:rPr>
      </w:pPr>
      <w:r w:rsidRPr="00A566AC">
        <w:rPr>
          <w:rFonts w:ascii="Arial" w:hAnsi="Arial" w:cs="Arial"/>
        </w:rPr>
        <w:t xml:space="preserve">With a focus on modifications to mitochondrial integrity, cytochrome c release, and lactate dehydrogenase, our data collectively shed light on the molecular link between changes in mitochondrial organization and function. In this work, the anticancer and anti-proliferative properties of rutin that was isolated from the whole </w:t>
      </w:r>
      <w:proofErr w:type="spellStart"/>
      <w:r w:rsidRPr="003C3410">
        <w:rPr>
          <w:rFonts w:ascii="Arial" w:hAnsi="Arial" w:cs="Arial"/>
          <w:i/>
          <w:iCs/>
        </w:rPr>
        <w:t>Heliotropium</w:t>
      </w:r>
      <w:proofErr w:type="spellEnd"/>
      <w:r w:rsidRPr="003C3410">
        <w:rPr>
          <w:rFonts w:ascii="Arial" w:hAnsi="Arial" w:cs="Arial"/>
          <w:i/>
          <w:iCs/>
        </w:rPr>
        <w:t xml:space="preserve"> indicum</w:t>
      </w:r>
      <w:r w:rsidRPr="00A566AC">
        <w:rPr>
          <w:rFonts w:ascii="Arial" w:hAnsi="Arial" w:cs="Arial"/>
        </w:rPr>
        <w:t xml:space="preserve"> plant were demonstrated. To determine how specific this plant's action is in treating different types of cancer, more research is now being conducted.</w:t>
      </w:r>
    </w:p>
    <w:p w14:paraId="66E529B2" w14:textId="77777777" w:rsidR="00A566AC" w:rsidRPr="00FB3A86" w:rsidRDefault="00A566AC" w:rsidP="00441B6F">
      <w:pPr>
        <w:pStyle w:val="Body"/>
        <w:spacing w:after="0"/>
        <w:rPr>
          <w:rFonts w:ascii="Arial" w:hAnsi="Arial" w:cs="Arial"/>
        </w:rPr>
      </w:pPr>
    </w:p>
    <w:p w14:paraId="0E2B0360" w14:textId="77777777" w:rsidR="00315186" w:rsidRPr="00315186" w:rsidRDefault="00315186" w:rsidP="00441B6F"/>
    <w:p w14:paraId="26D3CF93" w14:textId="77777777" w:rsidR="002B685A" w:rsidRDefault="002B685A" w:rsidP="00441B6F">
      <w:pPr>
        <w:pStyle w:val="ReferHead"/>
        <w:spacing w:after="0"/>
        <w:jc w:val="both"/>
        <w:rPr>
          <w:rFonts w:ascii="Arial" w:hAnsi="Arial" w:cs="Arial"/>
          <w:bCs/>
        </w:rPr>
      </w:pPr>
      <w:r w:rsidRPr="002B685A">
        <w:rPr>
          <w:rFonts w:ascii="Arial" w:hAnsi="Arial" w:cs="Arial"/>
          <w:bCs/>
        </w:rPr>
        <w:lastRenderedPageBreak/>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26CF107F" w14:textId="77777777" w:rsidR="002B685A" w:rsidRPr="002B685A" w:rsidRDefault="002B685A" w:rsidP="00441B6F">
      <w:pPr>
        <w:pStyle w:val="ReferHead"/>
        <w:spacing w:after="0"/>
        <w:jc w:val="both"/>
        <w:rPr>
          <w:rFonts w:ascii="Arial" w:hAnsi="Arial" w:cs="Arial"/>
          <w:bCs/>
        </w:rPr>
      </w:pPr>
    </w:p>
    <w:p w14:paraId="70B8A6A9" w14:textId="77777777" w:rsidR="001A29D8" w:rsidRPr="00F469F0" w:rsidRDefault="00550683" w:rsidP="00441B6F">
      <w:pPr>
        <w:pStyle w:val="ReferHead"/>
        <w:spacing w:after="0"/>
        <w:jc w:val="both"/>
        <w:rPr>
          <w:rFonts w:ascii="Arial" w:hAnsi="Arial" w:cs="Arial"/>
          <w:b w:val="0"/>
          <w:caps w:val="0"/>
          <w:sz w:val="20"/>
          <w:u w:val="single"/>
        </w:rPr>
      </w:pPr>
      <w:r>
        <w:rPr>
          <w:rFonts w:ascii="Arial" w:hAnsi="Arial" w:cs="Arial"/>
          <w:b w:val="0"/>
          <w:caps w:val="0"/>
          <w:sz w:val="20"/>
        </w:rPr>
        <w:t>Not Applicable</w:t>
      </w:r>
    </w:p>
    <w:p w14:paraId="76DE8904" w14:textId="77777777" w:rsidR="001A29D8" w:rsidRDefault="001A29D8" w:rsidP="00441B6F">
      <w:pPr>
        <w:pStyle w:val="ReferHead"/>
        <w:spacing w:after="0"/>
        <w:jc w:val="both"/>
        <w:rPr>
          <w:rFonts w:ascii="Arial" w:hAnsi="Arial" w:cs="Arial"/>
          <w:b w:val="0"/>
          <w:caps w:val="0"/>
          <w:sz w:val="20"/>
        </w:rPr>
      </w:pPr>
    </w:p>
    <w:p w14:paraId="523B66BF" w14:textId="77777777" w:rsidR="005C784C" w:rsidRDefault="005C784C" w:rsidP="00441B6F">
      <w:pPr>
        <w:pStyle w:val="ReferHead"/>
        <w:spacing w:after="0"/>
        <w:jc w:val="both"/>
        <w:rPr>
          <w:rFonts w:ascii="Arial" w:hAnsi="Arial" w:cs="Arial"/>
          <w:b w:val="0"/>
          <w:caps w:val="0"/>
          <w:sz w:val="20"/>
        </w:rPr>
      </w:pPr>
    </w:p>
    <w:p w14:paraId="4BE196CF"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286372D8" w14:textId="77777777" w:rsidR="005C784C" w:rsidRPr="002B685A" w:rsidRDefault="005C784C" w:rsidP="00441B6F">
      <w:pPr>
        <w:pStyle w:val="ReferHead"/>
        <w:spacing w:after="0"/>
        <w:jc w:val="both"/>
        <w:rPr>
          <w:rFonts w:ascii="Arial" w:hAnsi="Arial" w:cs="Arial"/>
          <w:bCs/>
        </w:rPr>
      </w:pPr>
    </w:p>
    <w:p w14:paraId="0A3994AD" w14:textId="1A515F54" w:rsidR="0041027F" w:rsidRDefault="008671C6" w:rsidP="00441B6F">
      <w:pPr>
        <w:pStyle w:val="ReferHead"/>
        <w:spacing w:after="0"/>
        <w:jc w:val="both"/>
        <w:rPr>
          <w:rFonts w:ascii="Arial" w:hAnsi="Arial" w:cs="Arial"/>
          <w:b w:val="0"/>
          <w:caps w:val="0"/>
          <w:sz w:val="20"/>
        </w:rPr>
      </w:pPr>
      <w:r w:rsidRPr="008A1E13">
        <w:rPr>
          <w:rFonts w:ascii="Arial" w:hAnsi="Arial" w:cs="Arial"/>
          <w:b w:val="0"/>
          <w:caps w:val="0"/>
          <w:sz w:val="20"/>
        </w:rPr>
        <w:t xml:space="preserve"> </w:t>
      </w:r>
      <w:r w:rsidR="0041027F" w:rsidRPr="008A1E13">
        <w:rPr>
          <w:rFonts w:ascii="Arial" w:hAnsi="Arial" w:cs="Arial"/>
          <w:b w:val="0"/>
          <w:caps w:val="0"/>
          <w:sz w:val="20"/>
        </w:rPr>
        <w:t>"Principles of laboratory animal care" (NIH publication No. 85-23, revised 1985) were followed, as well as specific national laws where applicable.</w:t>
      </w:r>
      <w:r w:rsidRPr="008A1E13">
        <w:rPr>
          <w:rFonts w:ascii="Arial" w:hAnsi="Arial" w:cs="Arial"/>
          <w:b w:val="0"/>
          <w:caps w:val="0"/>
          <w:sz w:val="20"/>
        </w:rPr>
        <w:t xml:space="preserve"> All experiments have been examined and approved by the appropriate ethics committee”</w:t>
      </w:r>
    </w:p>
    <w:p w14:paraId="196BEBDB" w14:textId="77777777" w:rsidR="008927D6" w:rsidRDefault="008927D6" w:rsidP="00476AB8">
      <w:pPr>
        <w:rPr>
          <w:highlight w:val="yellow"/>
        </w:rPr>
      </w:pPr>
    </w:p>
    <w:p w14:paraId="1A431506" w14:textId="7D1B5746" w:rsidR="00476AB8" w:rsidRPr="008927D6" w:rsidRDefault="008927D6" w:rsidP="00476AB8">
      <w:pPr>
        <w:rPr>
          <w:rFonts w:ascii="Arial" w:hAnsi="Arial" w:cs="Arial"/>
          <w:b/>
          <w:bCs/>
        </w:rPr>
      </w:pPr>
      <w:r w:rsidRPr="008927D6">
        <w:rPr>
          <w:rFonts w:ascii="Arial" w:hAnsi="Arial" w:cs="Arial"/>
          <w:b/>
          <w:bCs/>
        </w:rPr>
        <w:t>DISCLAIMER (ARTIFICIAL INTELLIGENCE)</w:t>
      </w:r>
    </w:p>
    <w:p w14:paraId="23DBBB4C" w14:textId="77777777" w:rsidR="008927D6" w:rsidRDefault="008927D6" w:rsidP="008927D6">
      <w:pPr>
        <w:jc w:val="both"/>
        <w:rPr>
          <w:rFonts w:ascii="Arial" w:hAnsi="Arial" w:cs="Arial"/>
        </w:rPr>
      </w:pPr>
    </w:p>
    <w:p w14:paraId="44B1086D" w14:textId="425722B8" w:rsidR="00476AB8" w:rsidRPr="008927D6" w:rsidRDefault="00476AB8" w:rsidP="008927D6">
      <w:pPr>
        <w:jc w:val="both"/>
        <w:rPr>
          <w:rFonts w:ascii="Arial" w:hAnsi="Arial" w:cs="Arial"/>
          <w:highlight w:val="yellow"/>
        </w:rPr>
      </w:pPr>
      <w:r w:rsidRPr="008927D6">
        <w:rPr>
          <w:rFonts w:ascii="Arial" w:hAnsi="Arial" w:cs="Arial"/>
        </w:rPr>
        <w:t xml:space="preserve">Author(s) hereby </w:t>
      </w:r>
      <w:proofErr w:type="gramStart"/>
      <w:r w:rsidRPr="008927D6">
        <w:rPr>
          <w:rFonts w:ascii="Arial" w:hAnsi="Arial" w:cs="Arial"/>
        </w:rPr>
        <w:t>declare</w:t>
      </w:r>
      <w:proofErr w:type="gramEnd"/>
      <w:r w:rsidRPr="008927D6">
        <w:rPr>
          <w:rFonts w:ascii="Arial" w:hAnsi="Arial" w:cs="Arial"/>
        </w:rPr>
        <w:t xml:space="preserve"> that NO generative AI technologies such as Large Language Models (ChatGPT, COPILOT, etc.) and text-to-image generators have been used during the writing or editing of this manuscript. </w:t>
      </w:r>
    </w:p>
    <w:p w14:paraId="3EC2C6FF" w14:textId="77777777" w:rsidR="00476AB8" w:rsidRPr="008A1E13" w:rsidRDefault="00476AB8" w:rsidP="00441B6F">
      <w:pPr>
        <w:pStyle w:val="ReferHead"/>
        <w:spacing w:after="0"/>
        <w:jc w:val="both"/>
        <w:rPr>
          <w:rFonts w:ascii="Arial" w:hAnsi="Arial" w:cs="Arial"/>
          <w:b w:val="0"/>
          <w:caps w:val="0"/>
          <w:sz w:val="20"/>
        </w:rPr>
      </w:pPr>
    </w:p>
    <w:p w14:paraId="5E0959E8" w14:textId="77777777" w:rsidR="00CD6856" w:rsidRDefault="00CD6856" w:rsidP="00441B6F">
      <w:pPr>
        <w:pStyle w:val="ReferHead"/>
        <w:spacing w:after="0"/>
        <w:jc w:val="both"/>
        <w:rPr>
          <w:rFonts w:ascii="Arial" w:hAnsi="Arial" w:cs="Arial"/>
          <w:b w:val="0"/>
          <w:caps w:val="0"/>
          <w:sz w:val="20"/>
        </w:rPr>
      </w:pPr>
    </w:p>
    <w:p w14:paraId="27CB07CD" w14:textId="77777777" w:rsidR="008A1E13" w:rsidRDefault="008A1E13" w:rsidP="00441B6F">
      <w:pPr>
        <w:pStyle w:val="ReferHead"/>
        <w:spacing w:after="0"/>
        <w:jc w:val="both"/>
        <w:rPr>
          <w:rFonts w:ascii="Arial" w:hAnsi="Arial" w:cs="Arial"/>
        </w:rPr>
      </w:pPr>
    </w:p>
    <w:p w14:paraId="32F71A3E"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CB67D09" w14:textId="77777777" w:rsidR="00790ADA" w:rsidRPr="00FB3A86" w:rsidRDefault="00790ADA" w:rsidP="00441B6F">
      <w:pPr>
        <w:pStyle w:val="ReferHead"/>
        <w:spacing w:after="0"/>
        <w:jc w:val="both"/>
        <w:rPr>
          <w:rFonts w:ascii="Arial" w:hAnsi="Arial" w:cs="Arial"/>
        </w:rPr>
      </w:pPr>
    </w:p>
    <w:p w14:paraId="4E7BFCA0" w14:textId="0490369F" w:rsidR="00C41BAA" w:rsidRDefault="008A1E13" w:rsidP="008A1E13">
      <w:pPr>
        <w:pStyle w:val="Body"/>
        <w:ind w:left="720" w:hanging="720"/>
      </w:pPr>
      <w:r>
        <w:t>1.</w:t>
      </w:r>
      <w:r>
        <w:tab/>
      </w:r>
      <w:r w:rsidR="00C41BAA" w:rsidRPr="00C41BAA">
        <w:t xml:space="preserve">Vearey, J., </w:t>
      </w:r>
      <w:proofErr w:type="spellStart"/>
      <w:r w:rsidR="00C41BAA" w:rsidRPr="00C41BAA">
        <w:t>Luginaah</w:t>
      </w:r>
      <w:proofErr w:type="spellEnd"/>
      <w:r w:rsidR="00C41BAA" w:rsidRPr="00C41BAA">
        <w:t xml:space="preserve">, I., </w:t>
      </w:r>
      <w:proofErr w:type="spellStart"/>
      <w:r w:rsidR="00C41BAA" w:rsidRPr="00C41BAA">
        <w:t>Magitta</w:t>
      </w:r>
      <w:proofErr w:type="spellEnd"/>
      <w:r w:rsidR="00C41BAA" w:rsidRPr="00C41BAA">
        <w:t xml:space="preserve">, N. F., Shilla, D. J., &amp; Oni, T. (2019). Urban health in Africa: a critical global public health priority. BMC Public Health, 19(1), 340. </w:t>
      </w:r>
      <w:hyperlink r:id="rId39" w:history="1">
        <w:r w:rsidR="00C41BAA" w:rsidRPr="006707BF">
          <w:rPr>
            <w:rStyle w:val="Hyperlink"/>
          </w:rPr>
          <w:t>https://doi.org/10.1186/s12889-019-6674-8</w:t>
        </w:r>
      </w:hyperlink>
    </w:p>
    <w:p w14:paraId="459E75D9" w14:textId="2D5664DA" w:rsidR="008A1E13" w:rsidRDefault="008A1E13" w:rsidP="008A1E13">
      <w:pPr>
        <w:pStyle w:val="Body"/>
        <w:ind w:left="720" w:hanging="720"/>
      </w:pPr>
      <w:r>
        <w:t>2.</w:t>
      </w:r>
      <w:r>
        <w:tab/>
      </w:r>
      <w:r w:rsidR="00C41BAA" w:rsidRPr="00C41BAA">
        <w:t xml:space="preserve">Sharma, R., Aashima, N. M., </w:t>
      </w:r>
      <w:proofErr w:type="spellStart"/>
      <w:r w:rsidR="00C41BAA" w:rsidRPr="00C41BAA">
        <w:t>Fronterre</w:t>
      </w:r>
      <w:proofErr w:type="spellEnd"/>
      <w:r w:rsidR="00C41BAA" w:rsidRPr="00C41BAA">
        <w:t xml:space="preserve">, C., </w:t>
      </w:r>
      <w:proofErr w:type="spellStart"/>
      <w:r w:rsidR="00C41BAA" w:rsidRPr="00C41BAA">
        <w:t>Sewagudde</w:t>
      </w:r>
      <w:proofErr w:type="spellEnd"/>
      <w:r w:rsidR="00C41BAA" w:rsidRPr="00C41BAA">
        <w:t xml:space="preserve">, P., Ssentongo, A. E., Yenney, K., Arhin, N. D., Oh, J., Amponsah-Manu, F., &amp; Ssentongo, P. (2022). Mapping Cancer in Africa: A Comprehensive and Comparable Characterization of 34 Cancer Types Using Estimates </w:t>
      </w:r>
      <w:proofErr w:type="gramStart"/>
      <w:r w:rsidR="00C41BAA" w:rsidRPr="00C41BAA">
        <w:t>From</w:t>
      </w:r>
      <w:proofErr w:type="gramEnd"/>
      <w:r w:rsidR="00C41BAA" w:rsidRPr="00C41BAA">
        <w:t xml:space="preserve"> GLOBOCAN 2020. Frontiers in Public Health, 10, 839835. </w:t>
      </w:r>
      <w:hyperlink r:id="rId40" w:history="1">
        <w:r w:rsidR="00C41BAA" w:rsidRPr="006707BF">
          <w:rPr>
            <w:rStyle w:val="Hyperlink"/>
          </w:rPr>
          <w:t>https://doi.org/10.3389/fpubh.2022.839835</w:t>
        </w:r>
      </w:hyperlink>
      <w:r w:rsidR="00C41BAA">
        <w:t xml:space="preserve"> </w:t>
      </w:r>
    </w:p>
    <w:p w14:paraId="6B1BEEE1" w14:textId="5D2EC4F0" w:rsidR="008A1E13" w:rsidRDefault="008A1E13" w:rsidP="008A1E13">
      <w:pPr>
        <w:pStyle w:val="Body"/>
        <w:ind w:left="720" w:hanging="720"/>
      </w:pPr>
      <w:r>
        <w:t>3.</w:t>
      </w:r>
      <w:r>
        <w:tab/>
      </w:r>
      <w:proofErr w:type="spellStart"/>
      <w:r w:rsidR="00C41BAA" w:rsidRPr="00C41BAA">
        <w:t>Sriharikrishnaa</w:t>
      </w:r>
      <w:proofErr w:type="spellEnd"/>
      <w:r w:rsidR="00C41BAA" w:rsidRPr="00C41BAA">
        <w:t xml:space="preserve">, S., Suresh, P. S., &amp; Prasada, K. S. (2023). An introduction to fundamentals of cancer biology. In Optical Polarimetric Modalities for Biomedical Research (pp. 307-330). Cham: Springer International Publishing. </w:t>
      </w:r>
      <w:hyperlink r:id="rId41" w:history="1">
        <w:r w:rsidR="00C41BAA" w:rsidRPr="006707BF">
          <w:rPr>
            <w:rStyle w:val="Hyperlink"/>
          </w:rPr>
          <w:t>https://doi.org/10.1007/978-3-031-31852-8_11</w:t>
        </w:r>
      </w:hyperlink>
      <w:r w:rsidR="00C41BAA">
        <w:t xml:space="preserve"> </w:t>
      </w:r>
    </w:p>
    <w:p w14:paraId="29A820E8" w14:textId="63202E71" w:rsidR="008A1E13" w:rsidRDefault="008A1E13" w:rsidP="008A1E13">
      <w:pPr>
        <w:pStyle w:val="Body"/>
        <w:ind w:left="720" w:hanging="720"/>
      </w:pPr>
      <w:r>
        <w:t>4.</w:t>
      </w:r>
      <w:r>
        <w:tab/>
      </w:r>
      <w:r w:rsidR="00C41BAA" w:rsidRPr="00C41BAA">
        <w:t xml:space="preserve">Balogh, J., Victor, D., III, Asham, E. H., Burroughs, S. G., </w:t>
      </w:r>
      <w:proofErr w:type="spellStart"/>
      <w:r w:rsidR="00C41BAA" w:rsidRPr="00C41BAA">
        <w:t>Boktour</w:t>
      </w:r>
      <w:proofErr w:type="spellEnd"/>
      <w:r w:rsidR="00C41BAA" w:rsidRPr="00C41BAA">
        <w:t xml:space="preserve">, M., </w:t>
      </w:r>
      <w:proofErr w:type="spellStart"/>
      <w:r w:rsidR="00C41BAA" w:rsidRPr="00C41BAA">
        <w:t>Saharia</w:t>
      </w:r>
      <w:proofErr w:type="spellEnd"/>
      <w:r w:rsidR="00C41BAA" w:rsidRPr="00C41BAA">
        <w:t xml:space="preserve">, A., Li, X., Ghobrial, R. M., &amp; Monsour, H. P., Jr. (2016). Hepatocellular carcinoma: a review. Journal of Hepatocellular Carcinoma, 3, 41–53. </w:t>
      </w:r>
      <w:hyperlink r:id="rId42" w:history="1">
        <w:r w:rsidR="00C41BAA" w:rsidRPr="006707BF">
          <w:rPr>
            <w:rStyle w:val="Hyperlink"/>
          </w:rPr>
          <w:t>https://doi.org/10.2147/JHC.S61146</w:t>
        </w:r>
      </w:hyperlink>
    </w:p>
    <w:p w14:paraId="59717A0D" w14:textId="77777777" w:rsidR="00C41BAA" w:rsidRDefault="00C41BAA" w:rsidP="008A1E13">
      <w:pPr>
        <w:pStyle w:val="Body"/>
        <w:ind w:left="720" w:hanging="720"/>
      </w:pPr>
    </w:p>
    <w:p w14:paraId="7CB7BF55" w14:textId="262A1BB5" w:rsidR="00C41BAA" w:rsidRDefault="008A1E13" w:rsidP="00AF7E68">
      <w:pPr>
        <w:pStyle w:val="Body"/>
        <w:ind w:left="720" w:hanging="720"/>
      </w:pPr>
      <w:r>
        <w:t>5.</w:t>
      </w:r>
      <w:r>
        <w:tab/>
      </w:r>
      <w:r w:rsidR="00C41BAA" w:rsidRPr="00C41BAA">
        <w:t xml:space="preserve">Bengtsson, B., Widman, L., Wahlin, S., Stål, P., </w:t>
      </w:r>
      <w:proofErr w:type="spellStart"/>
      <w:r w:rsidR="00C41BAA" w:rsidRPr="00C41BAA">
        <w:t>Björkström</w:t>
      </w:r>
      <w:proofErr w:type="spellEnd"/>
      <w:r w:rsidR="00C41BAA" w:rsidRPr="00C41BAA">
        <w:t xml:space="preserve">, N. K., &amp; Hagström, H. (2022). The risk of hepatocellular carcinoma in cirrhosis differs by etiology, age and sex: A Swedish nationwide population-based cohort study. United European Gastroenterology Journal, 10(5), 465–476. </w:t>
      </w:r>
      <w:hyperlink r:id="rId43" w:history="1">
        <w:r w:rsidR="00C41BAA" w:rsidRPr="006707BF">
          <w:rPr>
            <w:rStyle w:val="Hyperlink"/>
          </w:rPr>
          <w:t>https://doi.org/10.1002/ueg2.12238</w:t>
        </w:r>
      </w:hyperlink>
    </w:p>
    <w:p w14:paraId="17F800E9" w14:textId="37CA05B5" w:rsidR="00C41BAA" w:rsidRDefault="008A1E13" w:rsidP="00AF7E68">
      <w:pPr>
        <w:pStyle w:val="Body"/>
        <w:ind w:left="720" w:hanging="720"/>
      </w:pPr>
      <w:r>
        <w:t>6.</w:t>
      </w:r>
      <w:r>
        <w:tab/>
      </w:r>
      <w:r w:rsidR="00C41BAA" w:rsidRPr="00C41BAA">
        <w:t xml:space="preserve">Bassey, I. E., </w:t>
      </w:r>
      <w:proofErr w:type="spellStart"/>
      <w:r w:rsidR="00C41BAA" w:rsidRPr="00C41BAA">
        <w:t>Emodi</w:t>
      </w:r>
      <w:proofErr w:type="spellEnd"/>
      <w:r w:rsidR="00C41BAA" w:rsidRPr="00C41BAA">
        <w:t xml:space="preserve">, B. A., Akpan, U. O., </w:t>
      </w:r>
      <w:proofErr w:type="spellStart"/>
      <w:r w:rsidR="00C41BAA" w:rsidRPr="00C41BAA">
        <w:t>Iyakndue</w:t>
      </w:r>
      <w:proofErr w:type="spellEnd"/>
      <w:r w:rsidR="00C41BAA" w:rsidRPr="00C41BAA">
        <w:t xml:space="preserve">, I. F. A., </w:t>
      </w:r>
      <w:proofErr w:type="spellStart"/>
      <w:r w:rsidR="00C41BAA" w:rsidRPr="00C41BAA">
        <w:t>Anakebe</w:t>
      </w:r>
      <w:proofErr w:type="spellEnd"/>
      <w:r w:rsidR="00C41BAA" w:rsidRPr="00C41BAA">
        <w:t xml:space="preserve">, E. A., Icha, B. E., </w:t>
      </w:r>
      <w:proofErr w:type="spellStart"/>
      <w:r w:rsidR="00C41BAA" w:rsidRPr="00C41BAA">
        <w:t>Efobi</w:t>
      </w:r>
      <w:proofErr w:type="spellEnd"/>
      <w:r w:rsidR="00C41BAA" w:rsidRPr="00C41BAA">
        <w:t xml:space="preserve">, H. A., </w:t>
      </w:r>
      <w:proofErr w:type="spellStart"/>
      <w:r w:rsidR="00C41BAA" w:rsidRPr="00C41BAA">
        <w:t>Ntinya</w:t>
      </w:r>
      <w:proofErr w:type="spellEnd"/>
      <w:r w:rsidR="00C41BAA" w:rsidRPr="00C41BAA">
        <w:t xml:space="preserve">, A. J., &amp; Udoh, A. E. (2020). Impact of Androgen Deprivation on Oxidative Stress and Antioxidant Status in Nigerian Patients </w:t>
      </w:r>
      <w:proofErr w:type="gramStart"/>
      <w:r w:rsidR="00C41BAA" w:rsidRPr="00C41BAA">
        <w:t>With</w:t>
      </w:r>
      <w:proofErr w:type="gramEnd"/>
      <w:r w:rsidR="00C41BAA" w:rsidRPr="00C41BAA">
        <w:t xml:space="preserve"> Prostate Cancer Undergoing Androgen Deprivation Therapy. JCO Global Oncology, 6, 1481-1489. </w:t>
      </w:r>
      <w:hyperlink r:id="rId44" w:history="1">
        <w:r w:rsidR="00C41BAA" w:rsidRPr="006707BF">
          <w:rPr>
            <w:rStyle w:val="Hyperlink"/>
          </w:rPr>
          <w:t>https://doi.org/10.1200/GO.20.00290</w:t>
        </w:r>
      </w:hyperlink>
    </w:p>
    <w:p w14:paraId="64654FEA" w14:textId="3C66AF9E" w:rsidR="008A1E13" w:rsidRPr="00C41BAA" w:rsidRDefault="008A1E13" w:rsidP="00AF7E68">
      <w:pPr>
        <w:pStyle w:val="Body"/>
        <w:ind w:left="720" w:hanging="720"/>
        <w:rPr>
          <w:lang w:val="pt-BR"/>
        </w:rPr>
      </w:pPr>
      <w:r>
        <w:lastRenderedPageBreak/>
        <w:t>7.</w:t>
      </w:r>
      <w:r>
        <w:tab/>
      </w:r>
      <w:r w:rsidR="00C41BAA" w:rsidRPr="00C41BAA">
        <w:t xml:space="preserve">Kobo, O., Brown, S. A., Nafee, T., Mohamed, M. O., Sharma, K., </w:t>
      </w:r>
      <w:proofErr w:type="spellStart"/>
      <w:r w:rsidR="00C41BAA" w:rsidRPr="00C41BAA">
        <w:t>Istanbuly</w:t>
      </w:r>
      <w:proofErr w:type="spellEnd"/>
      <w:r w:rsidR="00C41BAA" w:rsidRPr="00C41BAA">
        <w:t xml:space="preserve">, S., </w:t>
      </w:r>
      <w:proofErr w:type="spellStart"/>
      <w:r w:rsidR="00C41BAA" w:rsidRPr="00C41BAA">
        <w:t>Roguin</w:t>
      </w:r>
      <w:proofErr w:type="spellEnd"/>
      <w:r w:rsidR="00C41BAA" w:rsidRPr="00C41BAA">
        <w:t xml:space="preserve">, A., Cheng, R. K., &amp; Mamas, M. A. (2021). Impact of malignancy on In-hospital mortality, stratified by the cause of admission: An analysis of 67 million patients from the National Inpatient Sample. International journal of clinical practice, 75(11), e14758. </w:t>
      </w:r>
      <w:hyperlink r:id="rId45" w:history="1">
        <w:r w:rsidR="00C41BAA" w:rsidRPr="00C41BAA">
          <w:rPr>
            <w:rStyle w:val="Hyperlink"/>
            <w:lang w:val="pt-BR"/>
          </w:rPr>
          <w:t>https://doi.org/10.1111/ijcp.14758</w:t>
        </w:r>
      </w:hyperlink>
      <w:r w:rsidR="00C41BAA" w:rsidRPr="00C41BAA">
        <w:rPr>
          <w:lang w:val="pt-BR"/>
        </w:rPr>
        <w:t xml:space="preserve"> </w:t>
      </w:r>
    </w:p>
    <w:p w14:paraId="1DB7B574" w14:textId="1C41CC8C" w:rsidR="008A1E13" w:rsidRPr="00C41BAA" w:rsidRDefault="008A1E13" w:rsidP="00AF7E68">
      <w:pPr>
        <w:pStyle w:val="Body"/>
        <w:ind w:left="720" w:hanging="720"/>
        <w:rPr>
          <w:lang w:val="en-IN"/>
        </w:rPr>
      </w:pPr>
      <w:r w:rsidRPr="00C41BAA">
        <w:rPr>
          <w:lang w:val="pt-BR"/>
        </w:rPr>
        <w:t>8.</w:t>
      </w:r>
      <w:r w:rsidRPr="00C41BAA">
        <w:rPr>
          <w:lang w:val="pt-BR"/>
        </w:rPr>
        <w:tab/>
      </w:r>
      <w:r w:rsidR="00C41BAA" w:rsidRPr="00C41BAA">
        <w:rPr>
          <w:lang w:val="pt-BR"/>
        </w:rPr>
        <w:t xml:space="preserve">Changalucha, M. J., Mushi, M. F., Kabangila, R., Silago, V., Likonda, B., &amp; Mshana, S. E. (2020). </w:t>
      </w:r>
      <w:r w:rsidR="00C41BAA" w:rsidRPr="00C41BAA">
        <w:rPr>
          <w:lang w:val="en-IN"/>
        </w:rPr>
        <w:t xml:space="preserve">Mortality among Cancer Patients within 90 Days of Therapy in a Tertiary Hospital, Tanzania: Is Our Pretherapy Screening </w:t>
      </w:r>
      <w:proofErr w:type="gramStart"/>
      <w:r w:rsidR="00C41BAA" w:rsidRPr="00C41BAA">
        <w:rPr>
          <w:lang w:val="en-IN"/>
        </w:rPr>
        <w:t>Effective?.</w:t>
      </w:r>
      <w:proofErr w:type="gramEnd"/>
      <w:r w:rsidR="00C41BAA" w:rsidRPr="00C41BAA">
        <w:rPr>
          <w:lang w:val="en-IN"/>
        </w:rPr>
        <w:t xml:space="preserve"> Journal of Cancer Epidemiology </w:t>
      </w:r>
      <w:hyperlink r:id="rId46" w:history="1">
        <w:r w:rsidR="00C41BAA" w:rsidRPr="00C41BAA">
          <w:rPr>
            <w:rStyle w:val="Hyperlink"/>
            <w:lang w:val="en-IN"/>
          </w:rPr>
          <w:t>https://doi.org/10.1155/2020/4274682</w:t>
        </w:r>
      </w:hyperlink>
      <w:r w:rsidR="00C41BAA" w:rsidRPr="00C41BAA">
        <w:rPr>
          <w:lang w:val="en-IN"/>
        </w:rPr>
        <w:t xml:space="preserve"> </w:t>
      </w:r>
    </w:p>
    <w:p w14:paraId="2BB8D6C5" w14:textId="07C868C9" w:rsidR="008A1E13" w:rsidRDefault="008A1E13" w:rsidP="00AF7E68">
      <w:pPr>
        <w:pStyle w:val="Body"/>
        <w:ind w:left="720" w:hanging="720"/>
      </w:pPr>
      <w:r>
        <w:t>9.</w:t>
      </w:r>
      <w:r>
        <w:tab/>
      </w:r>
      <w:r w:rsidR="00C41BAA" w:rsidRPr="00C41BAA">
        <w:t xml:space="preserve">Anand, U., Dey, A., Chandel, A. K. S., Sanyal, R., Mishra, A., Pandey, D. K., De Falco, V., Upadhyay, A., Kandimalla, R., Chaudhary, A., Dhanjal, J. K., Dewanjee, S., </w:t>
      </w:r>
      <w:proofErr w:type="spellStart"/>
      <w:r w:rsidR="00C41BAA" w:rsidRPr="00C41BAA">
        <w:t>Vallamkondu</w:t>
      </w:r>
      <w:proofErr w:type="spellEnd"/>
      <w:r w:rsidR="00C41BAA" w:rsidRPr="00C41BAA">
        <w:t xml:space="preserve">, J., &amp; Pérez de la Lastra, J. M. (2022). Cancer chemotherapy and beyond: Current status, drug candidates, associated risks and progress in targeted therapeutics. Genes and diseases, 10(4), 1367–1401. </w:t>
      </w:r>
      <w:hyperlink r:id="rId47" w:history="1">
        <w:r w:rsidR="00C41BAA" w:rsidRPr="006707BF">
          <w:rPr>
            <w:rStyle w:val="Hyperlink"/>
          </w:rPr>
          <w:t>https://doi.org/10.1016/j.gendis.2022.02.007</w:t>
        </w:r>
      </w:hyperlink>
      <w:r w:rsidR="00C41BAA">
        <w:t xml:space="preserve"> </w:t>
      </w:r>
    </w:p>
    <w:p w14:paraId="6D13FCCF" w14:textId="5D6A999B" w:rsidR="008A1E13" w:rsidRPr="00C41BAA" w:rsidRDefault="008A1E13" w:rsidP="00AF7E68">
      <w:pPr>
        <w:pStyle w:val="Body"/>
        <w:ind w:left="720" w:hanging="720"/>
        <w:rPr>
          <w:lang w:val="pt-BR"/>
        </w:rPr>
      </w:pPr>
      <w:r>
        <w:t>10.</w:t>
      </w:r>
      <w:r>
        <w:tab/>
      </w:r>
      <w:proofErr w:type="spellStart"/>
      <w:r w:rsidR="00C41BAA" w:rsidRPr="00C41BAA">
        <w:t>Olowofolahan</w:t>
      </w:r>
      <w:proofErr w:type="spellEnd"/>
      <w:r w:rsidR="00C41BAA" w:rsidRPr="00C41BAA">
        <w:t xml:space="preserve">, A. O., Adeoye, Y. D., &amp; </w:t>
      </w:r>
      <w:proofErr w:type="spellStart"/>
      <w:r w:rsidR="00C41BAA" w:rsidRPr="00C41BAA">
        <w:t>Olorunsogo</w:t>
      </w:r>
      <w:proofErr w:type="spellEnd"/>
      <w:r w:rsidR="00C41BAA" w:rsidRPr="00C41BAA">
        <w:t xml:space="preserve">, O. O. (2017). Induction of Mitochondrial-Mediated Apoptosis by Solvent Fractions of Methanol Extract of </w:t>
      </w:r>
      <w:proofErr w:type="spellStart"/>
      <w:r w:rsidR="00C41BAA" w:rsidRPr="00C41BAA">
        <w:t>Heliotropium</w:t>
      </w:r>
      <w:proofErr w:type="spellEnd"/>
      <w:r w:rsidR="00C41BAA" w:rsidRPr="00C41BAA">
        <w:t xml:space="preserve"> indicum in Rat Liver Cells. Annual Research &amp; Review in Biology, 17(2), 1–15. </w:t>
      </w:r>
      <w:hyperlink r:id="rId48" w:history="1">
        <w:r w:rsidR="00C41BAA" w:rsidRPr="00C41BAA">
          <w:rPr>
            <w:rStyle w:val="Hyperlink"/>
            <w:lang w:val="pt-BR"/>
          </w:rPr>
          <w:t>https://doi.org/10.9734/ARRB/2017/36334</w:t>
        </w:r>
      </w:hyperlink>
      <w:r w:rsidR="00C41BAA" w:rsidRPr="00C41BAA">
        <w:rPr>
          <w:lang w:val="pt-BR"/>
        </w:rPr>
        <w:t xml:space="preserve"> </w:t>
      </w:r>
    </w:p>
    <w:p w14:paraId="32D688B6" w14:textId="5AF66A76" w:rsidR="008A1E13" w:rsidRPr="00C41BAA" w:rsidRDefault="008A1E13" w:rsidP="00AF7E68">
      <w:pPr>
        <w:pStyle w:val="Body"/>
        <w:ind w:left="720" w:hanging="720"/>
        <w:rPr>
          <w:lang w:val="pt-BR"/>
        </w:rPr>
      </w:pPr>
      <w:r w:rsidRPr="00C41BAA">
        <w:rPr>
          <w:lang w:val="pt-BR"/>
        </w:rPr>
        <w:t>11.</w:t>
      </w:r>
      <w:r w:rsidRPr="00C41BAA">
        <w:rPr>
          <w:lang w:val="pt-BR"/>
        </w:rPr>
        <w:tab/>
      </w:r>
      <w:r w:rsidR="00C41BAA" w:rsidRPr="00C41BAA">
        <w:rPr>
          <w:lang w:val="pt-BR"/>
        </w:rPr>
        <w:t xml:space="preserve">Pahuja, S., Garg, M., Kumari, T., Bhatia, S., &amp; Sarup, P. (2022). </w:t>
      </w:r>
      <w:r w:rsidR="00C41BAA" w:rsidRPr="00C41BAA">
        <w:t xml:space="preserve">Compendious Review on Bioactive Constituents and Pharmacotherapeutic Profile of </w:t>
      </w:r>
      <w:proofErr w:type="spellStart"/>
      <w:r w:rsidR="00C41BAA" w:rsidRPr="00C41BAA">
        <w:t>Heliotropium</w:t>
      </w:r>
      <w:proofErr w:type="spellEnd"/>
      <w:r w:rsidR="00C41BAA" w:rsidRPr="00C41BAA">
        <w:t xml:space="preserve"> indicum Linn. *The Natural Products Journal*, *12*(1), 38–53. </w:t>
      </w:r>
      <w:hyperlink r:id="rId49" w:history="1">
        <w:r w:rsidR="00C41BAA" w:rsidRPr="00C41BAA">
          <w:rPr>
            <w:rStyle w:val="Hyperlink"/>
            <w:lang w:val="pt-BR"/>
          </w:rPr>
          <w:t>https://doi.org/10.2174/2210315510999201210143445</w:t>
        </w:r>
      </w:hyperlink>
      <w:r w:rsidR="00C41BAA" w:rsidRPr="00C41BAA">
        <w:rPr>
          <w:lang w:val="pt-BR"/>
        </w:rPr>
        <w:t xml:space="preserve"> </w:t>
      </w:r>
    </w:p>
    <w:p w14:paraId="6B477D2A" w14:textId="501C3225" w:rsidR="008A1E13" w:rsidRDefault="008A1E13" w:rsidP="00AF7E68">
      <w:pPr>
        <w:pStyle w:val="Body"/>
        <w:ind w:left="720" w:hanging="720"/>
      </w:pPr>
      <w:r w:rsidRPr="00C41BAA">
        <w:rPr>
          <w:lang w:val="pt-BR"/>
        </w:rPr>
        <w:t>12.</w:t>
      </w:r>
      <w:r w:rsidRPr="00C41BAA">
        <w:rPr>
          <w:lang w:val="pt-BR"/>
        </w:rPr>
        <w:tab/>
      </w:r>
      <w:r w:rsidR="00C41BAA" w:rsidRPr="00C41BAA">
        <w:rPr>
          <w:lang w:val="pt-BR"/>
        </w:rPr>
        <w:t xml:space="preserve">Mainasara, M. M., Abu-Bakar, M. F., Md Akim, A., Linatoc, A. C., Abu-Bakar, F. I., &amp; Ranneh, Y. K. H. (2021). </w:t>
      </w:r>
      <w:r w:rsidR="00C41BAA" w:rsidRPr="00C41BAA">
        <w:t xml:space="preserve">Secondary Metabolites, Antioxidant, and Antiproliferative Activities of Dioscorea </w:t>
      </w:r>
      <w:proofErr w:type="spellStart"/>
      <w:r w:rsidR="00C41BAA" w:rsidRPr="00C41BAA">
        <w:t>bulbifera</w:t>
      </w:r>
      <w:proofErr w:type="spellEnd"/>
      <w:r w:rsidR="00C41BAA" w:rsidRPr="00C41BAA">
        <w:t xml:space="preserve"> Leaf Collected from Endau </w:t>
      </w:r>
      <w:proofErr w:type="spellStart"/>
      <w:r w:rsidR="00C41BAA" w:rsidRPr="00C41BAA">
        <w:t>Rompin</w:t>
      </w:r>
      <w:proofErr w:type="spellEnd"/>
      <w:r w:rsidR="00C41BAA" w:rsidRPr="00C41BAA">
        <w:t xml:space="preserve">, Johor, Malaysia. Evid Based Complement Alternat Med. </w:t>
      </w:r>
      <w:hyperlink r:id="rId50" w:history="1">
        <w:r w:rsidR="00C41BAA" w:rsidRPr="006707BF">
          <w:rPr>
            <w:rStyle w:val="Hyperlink"/>
          </w:rPr>
          <w:t>https://doi.org/10.1155/2021/8826986</w:t>
        </w:r>
      </w:hyperlink>
      <w:r w:rsidR="00C41BAA">
        <w:t xml:space="preserve"> </w:t>
      </w:r>
      <w:r>
        <w:t>.</w:t>
      </w:r>
    </w:p>
    <w:p w14:paraId="0AA1B4DE" w14:textId="77777777" w:rsidR="00A05F23" w:rsidRDefault="008A1E13" w:rsidP="00A05F23">
      <w:pPr>
        <w:pStyle w:val="Body"/>
        <w:spacing w:after="0"/>
        <w:ind w:left="720" w:hanging="720"/>
      </w:pPr>
      <w:r>
        <w:t>13.</w:t>
      </w:r>
      <w:r>
        <w:tab/>
        <w:t>Rawan</w:t>
      </w:r>
      <w:r w:rsidR="00AF7E68">
        <w:t>,</w:t>
      </w:r>
      <w:r>
        <w:t xml:space="preserve"> </w:t>
      </w:r>
      <w:r w:rsidR="00AF7E68">
        <w:t>A.</w:t>
      </w:r>
      <w:r>
        <w:t>, Abir</w:t>
      </w:r>
      <w:r w:rsidR="00AF7E68">
        <w:t>,</w:t>
      </w:r>
      <w:r>
        <w:t xml:space="preserve"> B</w:t>
      </w:r>
      <w:r w:rsidR="00AF7E68">
        <w:t>.</w:t>
      </w:r>
      <w:r>
        <w:t xml:space="preserve"> B</w:t>
      </w:r>
      <w:r w:rsidR="00AF7E68">
        <w:t>.</w:t>
      </w:r>
      <w:r>
        <w:t>, Abdulrahman</w:t>
      </w:r>
      <w:r w:rsidR="00AF7E68">
        <w:t>,</w:t>
      </w:r>
      <w:r>
        <w:t xml:space="preserve"> A</w:t>
      </w:r>
      <w:r w:rsidR="00AF7E68">
        <w:t>.</w:t>
      </w:r>
      <w:r>
        <w:t xml:space="preserve">, </w:t>
      </w:r>
      <w:proofErr w:type="spellStart"/>
      <w:r>
        <w:t>Mikhlid</w:t>
      </w:r>
      <w:proofErr w:type="spellEnd"/>
      <w:r w:rsidR="00AF7E68">
        <w:t>,</w:t>
      </w:r>
      <w:r>
        <w:t xml:space="preserve"> H. A</w:t>
      </w:r>
      <w:r w:rsidR="00AF7E68">
        <w:t>.</w:t>
      </w:r>
      <w:r>
        <w:t>, Maha</w:t>
      </w:r>
      <w:r w:rsidR="00AF7E68">
        <w:t>,</w:t>
      </w:r>
      <w:r>
        <w:t xml:space="preserve"> A</w:t>
      </w:r>
      <w:r w:rsidR="00AF7E68">
        <w:t>.</w:t>
      </w:r>
      <w:r>
        <w:t>, Hadel</w:t>
      </w:r>
      <w:r w:rsidR="00AF7E68">
        <w:t>,</w:t>
      </w:r>
      <w:r>
        <w:t xml:space="preserve"> A</w:t>
      </w:r>
      <w:r w:rsidR="00AF7E68">
        <w:t>.</w:t>
      </w:r>
      <w:r>
        <w:t>, Nael</w:t>
      </w:r>
      <w:r w:rsidR="00AF7E68">
        <w:t>,</w:t>
      </w:r>
      <w:r>
        <w:t xml:space="preserve"> A</w:t>
      </w:r>
      <w:r w:rsidR="00AF7E68">
        <w:t>.</w:t>
      </w:r>
      <w:r>
        <w:t xml:space="preserve">, </w:t>
      </w:r>
      <w:r w:rsidR="00AF7E68">
        <w:t xml:space="preserve">&amp; </w:t>
      </w:r>
      <w:r>
        <w:t>Abdelhabib</w:t>
      </w:r>
      <w:r w:rsidR="00AF7E68">
        <w:t>,</w:t>
      </w:r>
      <w:r>
        <w:t xml:space="preserve"> S</w:t>
      </w:r>
      <w:r w:rsidR="00AF7E68">
        <w:t>.</w:t>
      </w:r>
      <w:r>
        <w:t xml:space="preserve"> (2022). Cytotoxic effects of Annona squamosa leaves against breast cancer cells via apoptotic signaling proteins. Journal of King Saud University - Science. 34. 102013. 10.1016/j.jksus.2022.102013.</w:t>
      </w:r>
      <w:r w:rsidR="00A05F23">
        <w:t xml:space="preserve"> </w:t>
      </w:r>
    </w:p>
    <w:p w14:paraId="3099A64D" w14:textId="4C5C43CC" w:rsidR="008A1E13" w:rsidRDefault="00A05F23" w:rsidP="00A05F23">
      <w:pPr>
        <w:pStyle w:val="Body"/>
        <w:spacing w:after="0"/>
        <w:ind w:left="720"/>
      </w:pPr>
      <w:hyperlink r:id="rId51" w:history="1">
        <w:r w:rsidRPr="00A05F23">
          <w:rPr>
            <w:rStyle w:val="Hyperlink"/>
          </w:rPr>
          <w:t>DOI:10.20944/preprints</w:t>
        </w:r>
        <w:proofErr w:type="gramStart"/>
        <w:r w:rsidRPr="00A05F23">
          <w:rPr>
            <w:rStyle w:val="Hyperlink"/>
          </w:rPr>
          <w:t>202005.0212.v</w:t>
        </w:r>
        <w:proofErr w:type="gramEnd"/>
        <w:r w:rsidRPr="00A05F23">
          <w:rPr>
            <w:rStyle w:val="Hyperlink"/>
          </w:rPr>
          <w:t>1</w:t>
        </w:r>
      </w:hyperlink>
    </w:p>
    <w:p w14:paraId="62D7A71B" w14:textId="77777777" w:rsidR="00A05F23" w:rsidRDefault="00A05F23" w:rsidP="00A05F23">
      <w:pPr>
        <w:pStyle w:val="Body"/>
        <w:spacing w:after="0"/>
        <w:ind w:left="720"/>
      </w:pPr>
    </w:p>
    <w:p w14:paraId="5266C8F1" w14:textId="4B1B3D71" w:rsidR="00C41BAA" w:rsidRDefault="008A1E13" w:rsidP="00C84810">
      <w:pPr>
        <w:pStyle w:val="Body"/>
        <w:ind w:left="720" w:hanging="720"/>
      </w:pPr>
      <w:r>
        <w:t>14.</w:t>
      </w:r>
      <w:r>
        <w:tab/>
      </w:r>
      <w:proofErr w:type="spellStart"/>
      <w:r w:rsidR="00C41BAA" w:rsidRPr="00C41BAA">
        <w:t>Chunthorng</w:t>
      </w:r>
      <w:proofErr w:type="spellEnd"/>
      <w:r w:rsidR="00C41BAA" w:rsidRPr="00C41BAA">
        <w:t xml:space="preserve">-Orn, J., </w:t>
      </w:r>
      <w:proofErr w:type="spellStart"/>
      <w:r w:rsidR="00C41BAA" w:rsidRPr="00C41BAA">
        <w:t>Dechayont</w:t>
      </w:r>
      <w:proofErr w:type="spellEnd"/>
      <w:r w:rsidR="00C41BAA" w:rsidRPr="00C41BAA">
        <w:t xml:space="preserve">, B., </w:t>
      </w:r>
      <w:proofErr w:type="spellStart"/>
      <w:r w:rsidR="00C41BAA" w:rsidRPr="00C41BAA">
        <w:t>Phuaklee</w:t>
      </w:r>
      <w:proofErr w:type="spellEnd"/>
      <w:r w:rsidR="00C41BAA" w:rsidRPr="00C41BAA">
        <w:t xml:space="preserve">, P., </w:t>
      </w:r>
      <w:proofErr w:type="spellStart"/>
      <w:r w:rsidR="00C41BAA" w:rsidRPr="00C41BAA">
        <w:t>Prajuabjinda</w:t>
      </w:r>
      <w:proofErr w:type="spellEnd"/>
      <w:r w:rsidR="00C41BAA" w:rsidRPr="00C41BAA">
        <w:t xml:space="preserve">, O., </w:t>
      </w:r>
      <w:proofErr w:type="spellStart"/>
      <w:r w:rsidR="00C41BAA" w:rsidRPr="00C41BAA">
        <w:t>Juckmeta</w:t>
      </w:r>
      <w:proofErr w:type="spellEnd"/>
      <w:r w:rsidR="00C41BAA" w:rsidRPr="00C41BAA">
        <w:t xml:space="preserve">, T., &amp; </w:t>
      </w:r>
      <w:proofErr w:type="spellStart"/>
      <w:r w:rsidR="00C41BAA" w:rsidRPr="00C41BAA">
        <w:t>Itharat</w:t>
      </w:r>
      <w:proofErr w:type="spellEnd"/>
      <w:r w:rsidR="00C41BAA" w:rsidRPr="00C41BAA">
        <w:t xml:space="preserve">, A. (2016). Cytotoxic, Anti-inflammatory and Antioxidant Activities of </w:t>
      </w:r>
      <w:proofErr w:type="spellStart"/>
      <w:r w:rsidR="00C41BAA" w:rsidRPr="00C41BAA">
        <w:t>Heliotropium</w:t>
      </w:r>
      <w:proofErr w:type="spellEnd"/>
      <w:r w:rsidR="00C41BAA" w:rsidRPr="00C41BAA">
        <w:t xml:space="preserve"> indicum Extracts. J Med Assoc Thai, 99(Suppl. 4), S102-S109. </w:t>
      </w:r>
      <w:hyperlink r:id="rId52" w:history="1">
        <w:r w:rsidR="00C41BAA" w:rsidRPr="006707BF">
          <w:rPr>
            <w:rStyle w:val="Hyperlink"/>
          </w:rPr>
          <w:t>http://www.jmatonline.com/index.php/jmat/issue/archive</w:t>
        </w:r>
      </w:hyperlink>
      <w:r w:rsidR="00C41BAA">
        <w:t xml:space="preserve"> </w:t>
      </w:r>
      <w:r w:rsidR="00A05F23">
        <w:t xml:space="preserve"> </w:t>
      </w:r>
      <w:r w:rsidR="00A05F23" w:rsidRPr="00A05F23">
        <w:t>PMID: 29919994</w:t>
      </w:r>
    </w:p>
    <w:p w14:paraId="00D1EDEF" w14:textId="6B60A336" w:rsidR="008A1E13" w:rsidRDefault="008A1E13" w:rsidP="00C84810">
      <w:pPr>
        <w:pStyle w:val="Body"/>
        <w:ind w:left="720" w:hanging="720"/>
      </w:pPr>
      <w:r>
        <w:t>15.</w:t>
      </w:r>
      <w:r>
        <w:tab/>
      </w:r>
      <w:r w:rsidR="00C41BAA" w:rsidRPr="00C41BAA">
        <w:t xml:space="preserve">Appadurai, P., &amp; </w:t>
      </w:r>
      <w:proofErr w:type="spellStart"/>
      <w:r w:rsidR="00C41BAA" w:rsidRPr="00C41BAA">
        <w:t>Rathinasamy</w:t>
      </w:r>
      <w:proofErr w:type="spellEnd"/>
      <w:r w:rsidR="00C41BAA" w:rsidRPr="00C41BAA">
        <w:t xml:space="preserve">, K. (2014). Indicine N-oxide binds to tubulin at a distinct site and inhibits the assembly of microtubules: A mechanism for its cytotoxic activity. </w:t>
      </w:r>
      <w:proofErr w:type="spellStart"/>
      <w:r w:rsidR="00C41BAA" w:rsidRPr="00C41BAA">
        <w:t>Toxicol</w:t>
      </w:r>
      <w:proofErr w:type="spellEnd"/>
      <w:r w:rsidR="00C41BAA" w:rsidRPr="00C41BAA">
        <w:t xml:space="preserve">. Lett. </w:t>
      </w:r>
      <w:hyperlink r:id="rId53" w:history="1">
        <w:r w:rsidR="00C41BAA" w:rsidRPr="006707BF">
          <w:rPr>
            <w:rStyle w:val="Hyperlink"/>
          </w:rPr>
          <w:t>https://doi.org/10.1016/j.toxlet.2013.11.030</w:t>
        </w:r>
      </w:hyperlink>
      <w:r w:rsidR="00C41BAA">
        <w:t xml:space="preserve"> </w:t>
      </w:r>
    </w:p>
    <w:p w14:paraId="10A18F5E" w14:textId="22660D6D" w:rsidR="008A1E13" w:rsidRDefault="008A1E13" w:rsidP="00A05F23">
      <w:pPr>
        <w:pStyle w:val="Body"/>
        <w:ind w:left="720" w:hanging="720"/>
      </w:pPr>
      <w:r>
        <w:t>16.</w:t>
      </w:r>
      <w:r>
        <w:tab/>
        <w:t xml:space="preserve">Dash, S. L., </w:t>
      </w:r>
      <w:proofErr w:type="spellStart"/>
      <w:r>
        <w:t>Mohapater</w:t>
      </w:r>
      <w:proofErr w:type="spellEnd"/>
      <w:r>
        <w:t xml:space="preserve">, R., </w:t>
      </w:r>
      <w:r w:rsidR="00C84810">
        <w:t xml:space="preserve">&amp; </w:t>
      </w:r>
      <w:r>
        <w:t>Mishra, S. K. (2023). Anticancer Activity Study of Some Selected Indian Medicinal Plants used Traditionally, J Pharm Negative Results 2023;14(1):125-132.</w:t>
      </w:r>
      <w:r w:rsidR="00A05F23">
        <w:t xml:space="preserve"> </w:t>
      </w:r>
      <w:hyperlink r:id="rId54" w:history="1">
        <w:r w:rsidR="00A05F23" w:rsidRPr="00A05F23">
          <w:rPr>
            <w:rStyle w:val="Hyperlink"/>
            <w:lang w:val="en-GB"/>
          </w:rPr>
          <w:t>https://doi.org/10.47750/pnr.2023.14.02.144</w:t>
        </w:r>
      </w:hyperlink>
    </w:p>
    <w:p w14:paraId="2105BCB4" w14:textId="5B6E7220" w:rsidR="008A1E13" w:rsidRDefault="008A1E13" w:rsidP="00C84810">
      <w:pPr>
        <w:pStyle w:val="Body"/>
        <w:ind w:left="720" w:hanging="720"/>
      </w:pPr>
      <w:r w:rsidRPr="00C41BAA">
        <w:lastRenderedPageBreak/>
        <w:t>17.</w:t>
      </w:r>
      <w:r w:rsidRPr="00C41BAA">
        <w:tab/>
      </w:r>
      <w:r w:rsidR="00C41BAA" w:rsidRPr="00C41BAA">
        <w:t xml:space="preserve">Kamarul Zaman, M. A., &amp; Mohamad </w:t>
      </w:r>
      <w:proofErr w:type="spellStart"/>
      <w:r w:rsidR="00C41BAA" w:rsidRPr="00C41BAA">
        <w:t>Azzeme</w:t>
      </w:r>
      <w:proofErr w:type="spellEnd"/>
      <w:r w:rsidR="00C41BAA" w:rsidRPr="00C41BAA">
        <w:t xml:space="preserve">, A. M. (2019). </w:t>
      </w:r>
      <w:r w:rsidR="00C41BAA" w:rsidRPr="00C41BAA">
        <w:rPr>
          <w:lang w:val="en-IN"/>
        </w:rPr>
        <w:t xml:space="preserve">Plant toxins: alkaloids and their toxicities. </w:t>
      </w:r>
      <w:r w:rsidR="00C41BAA" w:rsidRPr="00C41BAA">
        <w:rPr>
          <w:lang w:val="pt-BR"/>
        </w:rPr>
        <w:t xml:space="preserve">GSC Biological and Pharmaceutical Sciences, 6(2), 21-29. </w:t>
      </w:r>
      <w:r w:rsidR="00C41BAA">
        <w:rPr>
          <w:lang w:val="pt-BR"/>
        </w:rPr>
        <w:fldChar w:fldCharType="begin"/>
      </w:r>
      <w:r w:rsidR="00C41BAA">
        <w:rPr>
          <w:lang w:val="pt-BR"/>
        </w:rPr>
        <w:instrText xml:space="preserve"> HYPERLINK "</w:instrText>
      </w:r>
      <w:r w:rsidR="00C41BAA" w:rsidRPr="00C41BAA">
        <w:rPr>
          <w:lang w:val="pt-BR"/>
        </w:rPr>
        <w:instrText>https://doi.org/10.30574/gscbps.2019.6.2.0003</w:instrText>
      </w:r>
      <w:r w:rsidR="00C41BAA">
        <w:rPr>
          <w:lang w:val="pt-BR"/>
        </w:rPr>
        <w:instrText xml:space="preserve">" </w:instrText>
      </w:r>
      <w:r w:rsidR="00C41BAA">
        <w:rPr>
          <w:lang w:val="pt-BR"/>
        </w:rPr>
      </w:r>
      <w:r w:rsidR="00C41BAA">
        <w:rPr>
          <w:lang w:val="pt-BR"/>
        </w:rPr>
        <w:fldChar w:fldCharType="separate"/>
      </w:r>
      <w:r w:rsidR="00C41BAA" w:rsidRPr="00FC41FB">
        <w:rPr>
          <w:rStyle w:val="Hyperlink"/>
          <w:lang w:val="en-IN"/>
        </w:rPr>
        <w:t>https://doi.org/10.30574/gscbps.2019.6.2.0003</w:t>
      </w:r>
      <w:r w:rsidR="00C41BAA">
        <w:rPr>
          <w:lang w:val="pt-BR"/>
        </w:rPr>
        <w:fldChar w:fldCharType="end"/>
      </w:r>
      <w:r w:rsidR="00C41BAA" w:rsidRPr="00FC41FB">
        <w:rPr>
          <w:lang w:val="en-IN"/>
        </w:rPr>
        <w:t xml:space="preserve"> </w:t>
      </w:r>
    </w:p>
    <w:p w14:paraId="34A68FE9" w14:textId="1CA05A5F" w:rsidR="00FC41FB" w:rsidRPr="00FC41FB" w:rsidRDefault="008A1E13" w:rsidP="00C84810">
      <w:pPr>
        <w:pStyle w:val="Body"/>
        <w:ind w:left="720" w:hanging="720"/>
        <w:rPr>
          <w:lang w:val="pt-BR"/>
        </w:rPr>
      </w:pPr>
      <w:r>
        <w:t>18.</w:t>
      </w:r>
      <w:r>
        <w:tab/>
      </w:r>
      <w:r w:rsidR="00FC41FB" w:rsidRPr="00FC41FB">
        <w:t>Farhana, A., &amp; Lappin, S. L. (2023). Biochemistry, Lactate Dehydrogenase. In *</w:t>
      </w:r>
      <w:proofErr w:type="spellStart"/>
      <w:r w:rsidR="00FC41FB" w:rsidRPr="00FC41FB">
        <w:t>StatPearls</w:t>
      </w:r>
      <w:proofErr w:type="spellEnd"/>
      <w:r w:rsidR="00FC41FB" w:rsidRPr="00FC41FB">
        <w:t xml:space="preserve">*. </w:t>
      </w:r>
      <w:proofErr w:type="spellStart"/>
      <w:r w:rsidR="00FC41FB" w:rsidRPr="00FC41FB">
        <w:t>StatPearls</w:t>
      </w:r>
      <w:proofErr w:type="spellEnd"/>
      <w:r w:rsidR="00FC41FB" w:rsidRPr="00FC41FB">
        <w:t xml:space="preserve"> Publishing. </w:t>
      </w:r>
      <w:hyperlink r:id="rId55" w:history="1">
        <w:r w:rsidR="00FC41FB" w:rsidRPr="00FC41FB">
          <w:rPr>
            <w:rStyle w:val="Hyperlink"/>
            <w:lang w:val="pt-BR"/>
          </w:rPr>
          <w:t>https://www.ncbi.nlm.nih.gov/books/NBK557536/</w:t>
        </w:r>
      </w:hyperlink>
    </w:p>
    <w:p w14:paraId="6CA43DB4" w14:textId="53A3AA7A" w:rsidR="00FC41FB" w:rsidRPr="00FC41FB" w:rsidRDefault="008A1E13" w:rsidP="00C84810">
      <w:pPr>
        <w:pStyle w:val="Body"/>
        <w:ind w:left="720" w:hanging="720"/>
        <w:rPr>
          <w:lang w:val="en-IN"/>
        </w:rPr>
      </w:pPr>
      <w:r w:rsidRPr="00FC41FB">
        <w:rPr>
          <w:lang w:val="pt-BR"/>
        </w:rPr>
        <w:t>19.</w:t>
      </w:r>
      <w:r w:rsidRPr="00FC41FB">
        <w:rPr>
          <w:lang w:val="pt-BR"/>
        </w:rPr>
        <w:tab/>
        <w:t xml:space="preserve"> </w:t>
      </w:r>
      <w:r w:rsidR="00FC41FB" w:rsidRPr="00FC41FB">
        <w:rPr>
          <w:lang w:val="pt-BR"/>
        </w:rPr>
        <w:t xml:space="preserve">Kumar, P., Nagarajan, A., &amp; Uchil, P. D. (2018). </w:t>
      </w:r>
      <w:r w:rsidR="00FC41FB" w:rsidRPr="00FC41FB">
        <w:rPr>
          <w:lang w:val="en-IN"/>
        </w:rPr>
        <w:t xml:space="preserve">Analysis of Cell Viability by the Lactate Dehydrogenase Assay. </w:t>
      </w:r>
      <w:r w:rsidR="00FC41FB" w:rsidRPr="00FC41FB">
        <w:rPr>
          <w:lang w:val="pt-BR"/>
        </w:rPr>
        <w:t xml:space="preserve">Cold Spring Harbor Protocols. </w:t>
      </w:r>
      <w:r w:rsidR="00FC41FB">
        <w:rPr>
          <w:lang w:val="pt-BR"/>
        </w:rPr>
        <w:fldChar w:fldCharType="begin"/>
      </w:r>
      <w:r w:rsidR="00FC41FB">
        <w:rPr>
          <w:lang w:val="pt-BR"/>
        </w:rPr>
        <w:instrText xml:space="preserve"> HYPERLINK "</w:instrText>
      </w:r>
      <w:r w:rsidR="00FC41FB" w:rsidRPr="00FC41FB">
        <w:rPr>
          <w:lang w:val="pt-BR"/>
        </w:rPr>
        <w:instrText>https://doi.org/10.1101/pdb.prot095497</w:instrText>
      </w:r>
      <w:r w:rsidR="00FC41FB">
        <w:rPr>
          <w:lang w:val="pt-BR"/>
        </w:rPr>
        <w:instrText xml:space="preserve">" </w:instrText>
      </w:r>
      <w:r w:rsidR="00FC41FB">
        <w:rPr>
          <w:lang w:val="pt-BR"/>
        </w:rPr>
      </w:r>
      <w:r w:rsidR="00FC41FB">
        <w:rPr>
          <w:lang w:val="pt-BR"/>
        </w:rPr>
        <w:fldChar w:fldCharType="separate"/>
      </w:r>
      <w:r w:rsidR="00FC41FB" w:rsidRPr="00FC41FB">
        <w:rPr>
          <w:rStyle w:val="Hyperlink"/>
          <w:lang w:val="en-IN"/>
        </w:rPr>
        <w:t>https://doi.org/10.1101/pdb.prot095497</w:t>
      </w:r>
      <w:r w:rsidR="00FC41FB">
        <w:rPr>
          <w:lang w:val="pt-BR"/>
        </w:rPr>
        <w:fldChar w:fldCharType="end"/>
      </w:r>
    </w:p>
    <w:p w14:paraId="467C328C" w14:textId="61E1ADAB" w:rsidR="00FC41FB" w:rsidRDefault="008A1E13" w:rsidP="00C84810">
      <w:pPr>
        <w:pStyle w:val="Body"/>
        <w:ind w:left="720" w:hanging="720"/>
      </w:pPr>
      <w:r>
        <w:t>20.</w:t>
      </w:r>
      <w:r>
        <w:tab/>
      </w:r>
      <w:r w:rsidR="00FC41FB" w:rsidRPr="00FC41FB">
        <w:t xml:space="preserve">Chan, K., Truong, D., Shangari, N., &amp; O’Brien, P. J. (2005). Drug-induced mitochondrial toxicity. Expert Opinion on Drug Metabolism &amp; Toxicology, 1(4), 655-669. </w:t>
      </w:r>
      <w:hyperlink r:id="rId56" w:history="1">
        <w:r w:rsidR="00FC41FB" w:rsidRPr="006707BF">
          <w:rPr>
            <w:rStyle w:val="Hyperlink"/>
          </w:rPr>
          <w:t>https://doi.org/10.1517/17425255.1.4.655</w:t>
        </w:r>
      </w:hyperlink>
    </w:p>
    <w:p w14:paraId="09CC0BC1" w14:textId="07A2B5B9" w:rsidR="008A1E13" w:rsidRDefault="008A1E13" w:rsidP="00C84810">
      <w:pPr>
        <w:pStyle w:val="Body"/>
        <w:ind w:left="720" w:hanging="720"/>
      </w:pPr>
      <w:r>
        <w:t>21.</w:t>
      </w:r>
      <w:r>
        <w:tab/>
      </w:r>
      <w:r w:rsidR="00FC41FB" w:rsidRPr="00FC41FB">
        <w:t xml:space="preserve">Zhang, Z., Liang, X., Fan, Y., Gao, Z., Bindoff, L. A., Costea, D. E., &amp; Li, L. (2019). Fibroblasts rescue oral squamous cancer cell from metformin-induced apoptosis via alleviating metabolic disbalance and inhibiting AMPK pathway. Cell Cycle (Georgetown, Tex.), 18(9), 949–962. </w:t>
      </w:r>
      <w:hyperlink r:id="rId57" w:history="1">
        <w:r w:rsidR="00FC41FB" w:rsidRPr="006707BF">
          <w:rPr>
            <w:rStyle w:val="Hyperlink"/>
          </w:rPr>
          <w:t>https://doi.org/10.1080/15384101.2019.1596900</w:t>
        </w:r>
      </w:hyperlink>
      <w:r w:rsidR="00FC41FB">
        <w:t xml:space="preserve"> </w:t>
      </w:r>
      <w:r>
        <w:t xml:space="preserve">. </w:t>
      </w:r>
    </w:p>
    <w:p w14:paraId="1C6A54E7" w14:textId="77777777" w:rsidR="00FC41FB" w:rsidRDefault="008A1E13" w:rsidP="00C84810">
      <w:pPr>
        <w:pStyle w:val="Body"/>
        <w:ind w:left="720" w:hanging="720"/>
      </w:pPr>
      <w:r>
        <w:t>22.</w:t>
      </w:r>
      <w:r>
        <w:tab/>
      </w:r>
      <w:r w:rsidR="00FC41FB" w:rsidRPr="00FC41FB">
        <w:t xml:space="preserve">Julien, O., &amp; Wells, J. A. (2017). Caspases and their substrates. Cell Death &amp; Differentiation. </w:t>
      </w:r>
      <w:hyperlink r:id="rId58" w:history="1">
        <w:r w:rsidR="00FC41FB" w:rsidRPr="006707BF">
          <w:rPr>
            <w:rStyle w:val="Hyperlink"/>
          </w:rPr>
          <w:t>https://doi.org/10.1038/cdd.2017.44</w:t>
        </w:r>
      </w:hyperlink>
      <w:r w:rsidR="00FC41FB">
        <w:t xml:space="preserve"> </w:t>
      </w:r>
    </w:p>
    <w:p w14:paraId="33D07A44" w14:textId="37CC2EE0" w:rsidR="008A1E13" w:rsidRDefault="008A1E13" w:rsidP="00C84810">
      <w:pPr>
        <w:pStyle w:val="Body"/>
        <w:ind w:left="720" w:hanging="720"/>
      </w:pPr>
      <w:r>
        <w:t>23.</w:t>
      </w:r>
      <w:r>
        <w:tab/>
        <w:t xml:space="preserve">Brown, L. M., Hanna, D. T., Khaw, S. L., </w:t>
      </w:r>
      <w:r w:rsidR="00C84810">
        <w:t>&amp;</w:t>
      </w:r>
      <w:r>
        <w:t xml:space="preserve"> Ekert, P. G. (2017). Dysregulation of BCL-2 family proteins by leukemia fusion genes. The Journal of biological chemistry, 292(35), 14325–14333. </w:t>
      </w:r>
      <w:hyperlink r:id="rId59" w:history="1">
        <w:r w:rsidR="00A05F23" w:rsidRPr="002052E1">
          <w:rPr>
            <w:rStyle w:val="Hyperlink"/>
          </w:rPr>
          <w:t>https://doi.org/10.1074/jbc.R117.799056</w:t>
        </w:r>
      </w:hyperlink>
      <w:r w:rsidR="00A05F23">
        <w:t xml:space="preserve"> </w:t>
      </w:r>
    </w:p>
    <w:p w14:paraId="5FEF56D9" w14:textId="76BFB7D8" w:rsidR="008A1E13" w:rsidRDefault="008A1E13" w:rsidP="00C84810">
      <w:pPr>
        <w:pStyle w:val="Body"/>
        <w:ind w:left="720" w:hanging="720"/>
      </w:pPr>
      <w:r>
        <w:t>24.</w:t>
      </w:r>
      <w:r>
        <w:tab/>
      </w:r>
      <w:r w:rsidR="00FC41FB" w:rsidRPr="00FC41FB">
        <w:t xml:space="preserve">Bonora, M., &amp; </w:t>
      </w:r>
      <w:proofErr w:type="spellStart"/>
      <w:r w:rsidR="00FC41FB" w:rsidRPr="00FC41FB">
        <w:t>Pinton</w:t>
      </w:r>
      <w:proofErr w:type="spellEnd"/>
      <w:r w:rsidR="00FC41FB" w:rsidRPr="00FC41FB">
        <w:t xml:space="preserve">, P. (2014). The mitochondrial permeability transition pore and cancer: molecular mechanisms involved in cell death. Frontiers in Oncology. </w:t>
      </w:r>
      <w:hyperlink r:id="rId60" w:history="1">
        <w:r w:rsidR="00FC41FB" w:rsidRPr="006707BF">
          <w:rPr>
            <w:rStyle w:val="Hyperlink"/>
          </w:rPr>
          <w:t>https://doi.org/10.3389/fonc.2014.00302</w:t>
        </w:r>
      </w:hyperlink>
      <w:r w:rsidR="00FC41FB">
        <w:t xml:space="preserve"> </w:t>
      </w:r>
    </w:p>
    <w:p w14:paraId="73D3464E" w14:textId="5DE9665C" w:rsidR="00FC41FB" w:rsidRDefault="008A1E13" w:rsidP="00C84810">
      <w:pPr>
        <w:pStyle w:val="Body"/>
        <w:ind w:left="720" w:hanging="720"/>
      </w:pPr>
      <w:r>
        <w:t>25.</w:t>
      </w:r>
      <w:r>
        <w:tab/>
      </w:r>
      <w:r w:rsidR="00FC41FB" w:rsidRPr="00FC41FB">
        <w:t xml:space="preserve">Wang, Y., Yang, T., Han, Y., Ren, Z., Zou, J., Liu, J., &amp; Xi, S. (2020). lncRNA OTUD6B-AS1 Exacerbates As2O3-Induced Oxidative Damage in Bladder Cancer via miR-6734-5p-Mediated Functional Inhibition of IDH2. Oxidative Medicine and Cellular Longevity. </w:t>
      </w:r>
      <w:hyperlink r:id="rId61" w:history="1">
        <w:r w:rsidR="00FC41FB" w:rsidRPr="006707BF">
          <w:rPr>
            <w:rStyle w:val="Hyperlink"/>
          </w:rPr>
          <w:t>https://doi.org/10.1155/2020/3035624</w:t>
        </w:r>
      </w:hyperlink>
    </w:p>
    <w:p w14:paraId="00A843DC" w14:textId="2E97AAEB" w:rsidR="00FC41FB" w:rsidRDefault="008A1E13" w:rsidP="00C84810">
      <w:pPr>
        <w:pStyle w:val="Body"/>
        <w:ind w:left="720" w:hanging="720"/>
      </w:pPr>
      <w:r>
        <w:t>26.</w:t>
      </w:r>
      <w:r>
        <w:tab/>
      </w:r>
      <w:r w:rsidR="00FC41FB" w:rsidRPr="00FC41FB">
        <w:t xml:space="preserve">Van Opdenbosch, N., &amp; </w:t>
      </w:r>
      <w:proofErr w:type="spellStart"/>
      <w:r w:rsidR="00FC41FB" w:rsidRPr="00FC41FB">
        <w:t>Lamkanfi</w:t>
      </w:r>
      <w:proofErr w:type="spellEnd"/>
      <w:r w:rsidR="00FC41FB" w:rsidRPr="00FC41FB">
        <w:t xml:space="preserve">, M. (2019). Caspases in cell death, inflammation, and disease. Immunity, 50(6), 1352–1364. </w:t>
      </w:r>
      <w:hyperlink r:id="rId62" w:history="1">
        <w:r w:rsidR="00FC41FB" w:rsidRPr="006707BF">
          <w:rPr>
            <w:rStyle w:val="Hyperlink"/>
          </w:rPr>
          <w:t>https://doi.org/10.1016/j.immuni.2019.05.020</w:t>
        </w:r>
      </w:hyperlink>
    </w:p>
    <w:p w14:paraId="09B4359F" w14:textId="5EC9BFF6" w:rsidR="00FC41FB" w:rsidRDefault="008A1E13" w:rsidP="00FC41FB">
      <w:pPr>
        <w:pStyle w:val="Body"/>
        <w:ind w:left="720" w:hanging="720"/>
      </w:pPr>
      <w:r>
        <w:t>27.</w:t>
      </w:r>
      <w:r>
        <w:tab/>
      </w:r>
      <w:r w:rsidR="00FC41FB" w:rsidRPr="00FC41FB">
        <w:t xml:space="preserve">McIlwain, D. R., Berger, T., &amp; Mak, T. W. (2015). Caspase functions in cell death and disease. Cold Spring Harbor Perspectives in Biology, 7(4), a026716. </w:t>
      </w:r>
      <w:hyperlink r:id="rId63" w:history="1">
        <w:r w:rsidR="00FC41FB" w:rsidRPr="006707BF">
          <w:rPr>
            <w:rStyle w:val="Hyperlink"/>
          </w:rPr>
          <w:t>https://doi.org/10.1101/cshperspect.a026716</w:t>
        </w:r>
      </w:hyperlink>
    </w:p>
    <w:p w14:paraId="281DB902" w14:textId="017EEFDF" w:rsidR="002C57D2" w:rsidRDefault="008A1E13" w:rsidP="00FC41FB">
      <w:pPr>
        <w:pStyle w:val="Body"/>
        <w:ind w:left="720" w:hanging="720"/>
        <w:rPr>
          <w:rFonts w:ascii="Arial" w:hAnsi="Arial" w:cs="Arial"/>
        </w:rPr>
      </w:pPr>
      <w:r>
        <w:t>28.</w:t>
      </w:r>
      <w:r>
        <w:tab/>
      </w:r>
      <w:r w:rsidR="00FC41FB" w:rsidRPr="00FC41FB">
        <w:t xml:space="preserve">Avrutsky, M. I., &amp; Troy, C. M. (2021). Caspase-9: A Multimodal Therapeutic Target </w:t>
      </w:r>
      <w:proofErr w:type="gramStart"/>
      <w:r w:rsidR="00FC41FB" w:rsidRPr="00FC41FB">
        <w:t>With</w:t>
      </w:r>
      <w:proofErr w:type="gramEnd"/>
      <w:r w:rsidR="00FC41FB" w:rsidRPr="00FC41FB">
        <w:t xml:space="preserve"> Diverse Cellular Expression in Human Disease. Frontiers in Pharmacology, 12, 701301. </w:t>
      </w:r>
      <w:hyperlink r:id="rId64" w:history="1">
        <w:r w:rsidR="00FC41FB" w:rsidRPr="006707BF">
          <w:rPr>
            <w:rStyle w:val="Hyperlink"/>
          </w:rPr>
          <w:t>https://doi.org/10.3389/fphar.2021.701301</w:t>
        </w:r>
      </w:hyperlink>
      <w:r w:rsidR="00FC41FB">
        <w:t xml:space="preserve"> </w:t>
      </w:r>
    </w:p>
    <w:sectPr w:rsidR="002C57D2" w:rsidSect="00CB2396">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989F59" w14:textId="77777777" w:rsidR="00D047A5" w:rsidRDefault="00D047A5" w:rsidP="00C37E61">
      <w:r>
        <w:separator/>
      </w:r>
    </w:p>
  </w:endnote>
  <w:endnote w:type="continuationSeparator" w:id="0">
    <w:p w14:paraId="4A5962E4" w14:textId="77777777" w:rsidR="00D047A5" w:rsidRDefault="00D047A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20A1B" w14:textId="77777777" w:rsidR="00CB2396" w:rsidRDefault="00CB23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79484" w14:textId="77777777" w:rsidR="00CB2396" w:rsidRDefault="00CB23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641F7" w14:textId="4E9B6F06" w:rsidR="00754C9A" w:rsidRPr="009E578F" w:rsidRDefault="00754C9A" w:rsidP="009E57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C3FCFB" w14:textId="77777777" w:rsidR="00D047A5" w:rsidRDefault="00D047A5" w:rsidP="00C37E61">
      <w:r>
        <w:separator/>
      </w:r>
    </w:p>
  </w:footnote>
  <w:footnote w:type="continuationSeparator" w:id="0">
    <w:p w14:paraId="751C21C9" w14:textId="77777777" w:rsidR="00D047A5" w:rsidRDefault="00D047A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2BE6B" w14:textId="152BF584" w:rsidR="00CB2396" w:rsidRDefault="00000000">
    <w:pPr>
      <w:pStyle w:val="Header"/>
    </w:pPr>
    <w:r>
      <w:rPr>
        <w:noProof/>
      </w:rPr>
      <w:pict w14:anchorId="72467C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9372860"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0A96B" w14:textId="69AB7AA9" w:rsidR="00CB2396" w:rsidRDefault="00000000">
    <w:pPr>
      <w:pStyle w:val="Header"/>
    </w:pPr>
    <w:r>
      <w:rPr>
        <w:noProof/>
      </w:rPr>
      <w:pict w14:anchorId="56572E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9372861"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36FC3" w14:textId="594A1BD2" w:rsidR="00296529" w:rsidRPr="00296529" w:rsidRDefault="00000000" w:rsidP="00296529">
    <w:pPr>
      <w:ind w:left="2160"/>
      <w:jc w:val="center"/>
      <w:rPr>
        <w:rFonts w:ascii="Times New Roman" w:eastAsia="Calibri" w:hAnsi="Times New Roman"/>
        <w:i/>
        <w:sz w:val="18"/>
        <w:szCs w:val="22"/>
      </w:rPr>
    </w:pPr>
    <w:r>
      <w:rPr>
        <w:noProof/>
      </w:rPr>
      <w:pict w14:anchorId="0C093B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9372859"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1934A5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A97651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D0DDE6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819CDF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100421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1F37A3D"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4E1C4871"/>
    <w:multiLevelType w:val="hybridMultilevel"/>
    <w:tmpl w:val="E14CAD26"/>
    <w:lvl w:ilvl="0" w:tplc="20000015">
      <w:start w:val="1"/>
      <w:numFmt w:val="upperLetter"/>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ABD27F8"/>
    <w:multiLevelType w:val="hybridMultilevel"/>
    <w:tmpl w:val="F9908B64"/>
    <w:lvl w:ilvl="0" w:tplc="20000015">
      <w:start w:val="1"/>
      <w:numFmt w:val="upperLetter"/>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12318766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19310784">
    <w:abstractNumId w:val="15"/>
  </w:num>
  <w:num w:numId="3" w16cid:durableId="920993370">
    <w:abstractNumId w:val="25"/>
  </w:num>
  <w:num w:numId="4" w16cid:durableId="1041587616">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221943292">
    <w:abstractNumId w:val="7"/>
  </w:num>
  <w:num w:numId="6" w16cid:durableId="1508788329">
    <w:abstractNumId w:val="6"/>
  </w:num>
  <w:num w:numId="7" w16cid:durableId="899512924">
    <w:abstractNumId w:val="1"/>
  </w:num>
  <w:num w:numId="8" w16cid:durableId="649480984">
    <w:abstractNumId w:val="12"/>
  </w:num>
  <w:num w:numId="9" w16cid:durableId="1589197294">
    <w:abstractNumId w:val="27"/>
  </w:num>
  <w:num w:numId="10" w16cid:durableId="754589199">
    <w:abstractNumId w:val="2"/>
  </w:num>
  <w:num w:numId="11" w16cid:durableId="730693326">
    <w:abstractNumId w:val="19"/>
  </w:num>
  <w:num w:numId="12" w16cid:durableId="421990928">
    <w:abstractNumId w:val="3"/>
  </w:num>
  <w:num w:numId="13" w16cid:durableId="1452896708">
    <w:abstractNumId w:val="18"/>
  </w:num>
  <w:num w:numId="14" w16cid:durableId="1253392844">
    <w:abstractNumId w:val="8"/>
  </w:num>
  <w:num w:numId="15" w16cid:durableId="77407386">
    <w:abstractNumId w:val="23"/>
  </w:num>
  <w:num w:numId="16" w16cid:durableId="63069855">
    <w:abstractNumId w:val="5"/>
  </w:num>
  <w:num w:numId="17" w16cid:durableId="513229056">
    <w:abstractNumId w:val="24"/>
  </w:num>
  <w:num w:numId="18" w16cid:durableId="1844006348">
    <w:abstractNumId w:val="14"/>
  </w:num>
  <w:num w:numId="19" w16cid:durableId="1271937125">
    <w:abstractNumId w:val="30"/>
  </w:num>
  <w:num w:numId="20" w16cid:durableId="492258905">
    <w:abstractNumId w:val="11"/>
  </w:num>
  <w:num w:numId="21" w16cid:durableId="941649082">
    <w:abstractNumId w:val="9"/>
  </w:num>
  <w:num w:numId="22" w16cid:durableId="630209792">
    <w:abstractNumId w:val="13"/>
  </w:num>
  <w:num w:numId="23" w16cid:durableId="1654867444">
    <w:abstractNumId w:val="21"/>
  </w:num>
  <w:num w:numId="24" w16cid:durableId="519856459">
    <w:abstractNumId w:val="28"/>
  </w:num>
  <w:num w:numId="25" w16cid:durableId="1834100400">
    <w:abstractNumId w:val="4"/>
  </w:num>
  <w:num w:numId="26" w16cid:durableId="335622590">
    <w:abstractNumId w:val="17"/>
  </w:num>
  <w:num w:numId="27" w16cid:durableId="2138713778">
    <w:abstractNumId w:val="22"/>
  </w:num>
  <w:num w:numId="28" w16cid:durableId="1238058169">
    <w:abstractNumId w:val="29"/>
  </w:num>
  <w:num w:numId="29" w16cid:durableId="164829825">
    <w:abstractNumId w:val="26"/>
  </w:num>
  <w:num w:numId="30" w16cid:durableId="1358967050">
    <w:abstractNumId w:val="10"/>
  </w:num>
  <w:num w:numId="31" w16cid:durableId="122317545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373395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70673"/>
    <w:rsid w:val="000A47FA"/>
    <w:rsid w:val="000A65D3"/>
    <w:rsid w:val="000B1E33"/>
    <w:rsid w:val="000D689F"/>
    <w:rsid w:val="000E7B7B"/>
    <w:rsid w:val="000E7D62"/>
    <w:rsid w:val="000F4D5F"/>
    <w:rsid w:val="00103357"/>
    <w:rsid w:val="001109F4"/>
    <w:rsid w:val="00123C9F"/>
    <w:rsid w:val="00126190"/>
    <w:rsid w:val="00130F17"/>
    <w:rsid w:val="001320BF"/>
    <w:rsid w:val="00163BC4"/>
    <w:rsid w:val="00167775"/>
    <w:rsid w:val="00191062"/>
    <w:rsid w:val="00192B72"/>
    <w:rsid w:val="00192E72"/>
    <w:rsid w:val="001A29D8"/>
    <w:rsid w:val="001A5CAA"/>
    <w:rsid w:val="001B0427"/>
    <w:rsid w:val="001D3A51"/>
    <w:rsid w:val="001E10D2"/>
    <w:rsid w:val="001E25B4"/>
    <w:rsid w:val="001E44FE"/>
    <w:rsid w:val="00200595"/>
    <w:rsid w:val="00204835"/>
    <w:rsid w:val="00211927"/>
    <w:rsid w:val="00231920"/>
    <w:rsid w:val="0023195C"/>
    <w:rsid w:val="0024282C"/>
    <w:rsid w:val="002460DC"/>
    <w:rsid w:val="00250985"/>
    <w:rsid w:val="002556F6"/>
    <w:rsid w:val="00283105"/>
    <w:rsid w:val="00284C4C"/>
    <w:rsid w:val="00284D99"/>
    <w:rsid w:val="00287E68"/>
    <w:rsid w:val="002918FE"/>
    <w:rsid w:val="00296529"/>
    <w:rsid w:val="002A7644"/>
    <w:rsid w:val="002B27FB"/>
    <w:rsid w:val="002B685A"/>
    <w:rsid w:val="002C57D2"/>
    <w:rsid w:val="002E0D56"/>
    <w:rsid w:val="002E7403"/>
    <w:rsid w:val="00303E4D"/>
    <w:rsid w:val="00310D49"/>
    <w:rsid w:val="00315186"/>
    <w:rsid w:val="0033343E"/>
    <w:rsid w:val="00345727"/>
    <w:rsid w:val="003512C2"/>
    <w:rsid w:val="00371FB6"/>
    <w:rsid w:val="003763C1"/>
    <w:rsid w:val="00376BBE"/>
    <w:rsid w:val="0039224F"/>
    <w:rsid w:val="003A43A4"/>
    <w:rsid w:val="003A7E18"/>
    <w:rsid w:val="003C3410"/>
    <w:rsid w:val="003C4C86"/>
    <w:rsid w:val="003C6258"/>
    <w:rsid w:val="003E2904"/>
    <w:rsid w:val="00401927"/>
    <w:rsid w:val="0040577B"/>
    <w:rsid w:val="0041027F"/>
    <w:rsid w:val="00412475"/>
    <w:rsid w:val="00423789"/>
    <w:rsid w:val="00440F43"/>
    <w:rsid w:val="00441B6F"/>
    <w:rsid w:val="00446221"/>
    <w:rsid w:val="00450E62"/>
    <w:rsid w:val="004539DB"/>
    <w:rsid w:val="00471A80"/>
    <w:rsid w:val="00476AB8"/>
    <w:rsid w:val="004D305E"/>
    <w:rsid w:val="004D4277"/>
    <w:rsid w:val="00502516"/>
    <w:rsid w:val="00505F06"/>
    <w:rsid w:val="00506828"/>
    <w:rsid w:val="00512791"/>
    <w:rsid w:val="0053056E"/>
    <w:rsid w:val="00550683"/>
    <w:rsid w:val="00554FDA"/>
    <w:rsid w:val="005836E1"/>
    <w:rsid w:val="005C784C"/>
    <w:rsid w:val="005D17F6"/>
    <w:rsid w:val="005E5539"/>
    <w:rsid w:val="005F7B92"/>
    <w:rsid w:val="00602BF5"/>
    <w:rsid w:val="00617FDD"/>
    <w:rsid w:val="00633614"/>
    <w:rsid w:val="00633F68"/>
    <w:rsid w:val="00636EB2"/>
    <w:rsid w:val="006375B8"/>
    <w:rsid w:val="0066510A"/>
    <w:rsid w:val="00670BE7"/>
    <w:rsid w:val="00673F9F"/>
    <w:rsid w:val="006773A4"/>
    <w:rsid w:val="00686953"/>
    <w:rsid w:val="00687DEA"/>
    <w:rsid w:val="00687E67"/>
    <w:rsid w:val="006967F7"/>
    <w:rsid w:val="006A250C"/>
    <w:rsid w:val="006B21D3"/>
    <w:rsid w:val="006B57D0"/>
    <w:rsid w:val="006C274B"/>
    <w:rsid w:val="006D30FF"/>
    <w:rsid w:val="006D6940"/>
    <w:rsid w:val="006E4BA4"/>
    <w:rsid w:val="006F11EC"/>
    <w:rsid w:val="0070082C"/>
    <w:rsid w:val="007369E6"/>
    <w:rsid w:val="00736EA4"/>
    <w:rsid w:val="00746E59"/>
    <w:rsid w:val="00754C9A"/>
    <w:rsid w:val="0075599A"/>
    <w:rsid w:val="00761D52"/>
    <w:rsid w:val="0077749E"/>
    <w:rsid w:val="00790ADA"/>
    <w:rsid w:val="007D2288"/>
    <w:rsid w:val="007E088F"/>
    <w:rsid w:val="007F7B32"/>
    <w:rsid w:val="00804BC2"/>
    <w:rsid w:val="0081431A"/>
    <w:rsid w:val="008169EC"/>
    <w:rsid w:val="0083216F"/>
    <w:rsid w:val="00860000"/>
    <w:rsid w:val="00863BD3"/>
    <w:rsid w:val="008641ED"/>
    <w:rsid w:val="00866D66"/>
    <w:rsid w:val="008671C6"/>
    <w:rsid w:val="00875803"/>
    <w:rsid w:val="008927D6"/>
    <w:rsid w:val="008A1E13"/>
    <w:rsid w:val="008B459E"/>
    <w:rsid w:val="008E13AE"/>
    <w:rsid w:val="008E1506"/>
    <w:rsid w:val="008E710C"/>
    <w:rsid w:val="008F69D6"/>
    <w:rsid w:val="00902823"/>
    <w:rsid w:val="00915CA6"/>
    <w:rsid w:val="00927834"/>
    <w:rsid w:val="009500A6"/>
    <w:rsid w:val="009527A4"/>
    <w:rsid w:val="00957C18"/>
    <w:rsid w:val="009659BA"/>
    <w:rsid w:val="00983040"/>
    <w:rsid w:val="009B3FB9"/>
    <w:rsid w:val="009C2465"/>
    <w:rsid w:val="009C67A6"/>
    <w:rsid w:val="009D35A0"/>
    <w:rsid w:val="009D7EB7"/>
    <w:rsid w:val="009E048A"/>
    <w:rsid w:val="009E08E9"/>
    <w:rsid w:val="009E3DB9"/>
    <w:rsid w:val="009E578F"/>
    <w:rsid w:val="009E6E35"/>
    <w:rsid w:val="009F0EDA"/>
    <w:rsid w:val="00A03B96"/>
    <w:rsid w:val="00A05B19"/>
    <w:rsid w:val="00A05F23"/>
    <w:rsid w:val="00A0787F"/>
    <w:rsid w:val="00A1134E"/>
    <w:rsid w:val="00A2388C"/>
    <w:rsid w:val="00A24E7E"/>
    <w:rsid w:val="00A258C3"/>
    <w:rsid w:val="00A347C0"/>
    <w:rsid w:val="00A51431"/>
    <w:rsid w:val="00A539AD"/>
    <w:rsid w:val="00A566AC"/>
    <w:rsid w:val="00A94063"/>
    <w:rsid w:val="00AA6219"/>
    <w:rsid w:val="00AA74E0"/>
    <w:rsid w:val="00AB703F"/>
    <w:rsid w:val="00AC6BB8"/>
    <w:rsid w:val="00AC76DB"/>
    <w:rsid w:val="00AD0D64"/>
    <w:rsid w:val="00AE008F"/>
    <w:rsid w:val="00AF7E68"/>
    <w:rsid w:val="00B01FCD"/>
    <w:rsid w:val="00B04554"/>
    <w:rsid w:val="00B1776C"/>
    <w:rsid w:val="00B52583"/>
    <w:rsid w:val="00B52896"/>
    <w:rsid w:val="00B95236"/>
    <w:rsid w:val="00B96BD9"/>
    <w:rsid w:val="00BA1B01"/>
    <w:rsid w:val="00BA2641"/>
    <w:rsid w:val="00BA7C6C"/>
    <w:rsid w:val="00BB37AA"/>
    <w:rsid w:val="00BC53A0"/>
    <w:rsid w:val="00BE62AD"/>
    <w:rsid w:val="00BF121F"/>
    <w:rsid w:val="00BF1F80"/>
    <w:rsid w:val="00C166EF"/>
    <w:rsid w:val="00C17EB0"/>
    <w:rsid w:val="00C27F5F"/>
    <w:rsid w:val="00C30A0F"/>
    <w:rsid w:val="00C37E61"/>
    <w:rsid w:val="00C41BAA"/>
    <w:rsid w:val="00C42F43"/>
    <w:rsid w:val="00C57E88"/>
    <w:rsid w:val="00C70F1B"/>
    <w:rsid w:val="00C71A47"/>
    <w:rsid w:val="00C7464C"/>
    <w:rsid w:val="00C84810"/>
    <w:rsid w:val="00C85588"/>
    <w:rsid w:val="00CB2396"/>
    <w:rsid w:val="00CD6755"/>
    <w:rsid w:val="00CD6856"/>
    <w:rsid w:val="00CE0089"/>
    <w:rsid w:val="00CE077F"/>
    <w:rsid w:val="00CE793C"/>
    <w:rsid w:val="00CF193C"/>
    <w:rsid w:val="00D047A5"/>
    <w:rsid w:val="00D173F1"/>
    <w:rsid w:val="00D6197F"/>
    <w:rsid w:val="00D65C46"/>
    <w:rsid w:val="00D738CE"/>
    <w:rsid w:val="00D74CB0"/>
    <w:rsid w:val="00D8295D"/>
    <w:rsid w:val="00DA6D30"/>
    <w:rsid w:val="00DB4368"/>
    <w:rsid w:val="00DC2A65"/>
    <w:rsid w:val="00DD29E6"/>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3439A"/>
    <w:rsid w:val="00F434AE"/>
    <w:rsid w:val="00F469F0"/>
    <w:rsid w:val="00F53273"/>
    <w:rsid w:val="00F73B5B"/>
    <w:rsid w:val="00F755E4"/>
    <w:rsid w:val="00F77D02"/>
    <w:rsid w:val="00FB3A86"/>
    <w:rsid w:val="00FC41FB"/>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3C4E7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A05F2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07067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070673"/>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167775"/>
    <w:pPr>
      <w:spacing w:after="160" w:line="256" w:lineRule="auto"/>
      <w:ind w:left="720"/>
      <w:contextualSpacing/>
    </w:pPr>
    <w:rPr>
      <w:rFonts w:asciiTheme="minorHAnsi" w:eastAsiaTheme="minorHAnsi" w:hAnsiTheme="minorHAnsi" w:cstheme="minorBidi"/>
      <w:kern w:val="2"/>
      <w:sz w:val="22"/>
      <w:szCs w:val="22"/>
    </w:rPr>
  </w:style>
  <w:style w:type="character" w:customStyle="1" w:styleId="Heading2Char">
    <w:name w:val="Heading 2 Char"/>
    <w:basedOn w:val="DefaultParagraphFont"/>
    <w:link w:val="Heading2"/>
    <w:semiHidden/>
    <w:rsid w:val="00A05F23"/>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oleObject" Target="embeddings/oleObject3.bin"/><Relationship Id="rId34" Type="http://schemas.openxmlformats.org/officeDocument/2006/relationships/image" Target="media/image15.png"/><Relationship Id="rId42" Type="http://schemas.openxmlformats.org/officeDocument/2006/relationships/hyperlink" Target="https://doi.org/10.2147/JHC.S61146" TargetMode="External"/><Relationship Id="rId47" Type="http://schemas.openxmlformats.org/officeDocument/2006/relationships/hyperlink" Target="https://doi.org/10.1016/j.gendis.2022.02.007" TargetMode="External"/><Relationship Id="rId50" Type="http://schemas.openxmlformats.org/officeDocument/2006/relationships/hyperlink" Target="https://doi.org/10.1155/2021/8826986" TargetMode="External"/><Relationship Id="rId55" Type="http://schemas.openxmlformats.org/officeDocument/2006/relationships/hyperlink" Target="https://www.ncbi.nlm.nih.gov/books/NBK557536/" TargetMode="External"/><Relationship Id="rId63" Type="http://schemas.openxmlformats.org/officeDocument/2006/relationships/hyperlink" Target="https://doi.org/10.1101/cshperspect.a02671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image" Target="media/image10.png"/><Relationship Id="rId11" Type="http://schemas.openxmlformats.org/officeDocument/2006/relationships/footer" Target="footer2.xml"/><Relationship Id="rId24" Type="http://schemas.openxmlformats.org/officeDocument/2006/relationships/image" Target="media/image7.emf"/><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https://doi.org/10.3389/fpubh.2022.839835" TargetMode="External"/><Relationship Id="rId45" Type="http://schemas.openxmlformats.org/officeDocument/2006/relationships/hyperlink" Target="https://doi.org/10.1111/ijcp.14758" TargetMode="External"/><Relationship Id="rId53" Type="http://schemas.openxmlformats.org/officeDocument/2006/relationships/hyperlink" Target="https://doi.org/10.1016/j.toxlet.2013.11.030" TargetMode="External"/><Relationship Id="rId58" Type="http://schemas.openxmlformats.org/officeDocument/2006/relationships/hyperlink" Target="https://doi.org/10.1038/cdd.2017.44"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doi.org/10.1155/2020/3035624" TargetMode="External"/><Relationship Id="rId19" Type="http://schemas.openxmlformats.org/officeDocument/2006/relationships/oleObject" Target="embeddings/oleObject2.bin"/><Relationship Id="rId14" Type="http://schemas.openxmlformats.org/officeDocument/2006/relationships/image" Target="media/image1.png"/><Relationship Id="rId22" Type="http://schemas.openxmlformats.org/officeDocument/2006/relationships/image" Target="media/image6.emf"/><Relationship Id="rId27" Type="http://schemas.openxmlformats.org/officeDocument/2006/relationships/oleObject" Target="embeddings/oleObject6.bin"/><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s://doi.org/10.1002/ueg2.12238" TargetMode="External"/><Relationship Id="rId48" Type="http://schemas.openxmlformats.org/officeDocument/2006/relationships/hyperlink" Target="https://doi.org/10.9734/ARRB/2017/36334" TargetMode="External"/><Relationship Id="rId56" Type="http://schemas.openxmlformats.org/officeDocument/2006/relationships/hyperlink" Target="https://doi.org/10.1517/17425255.1.4.655" TargetMode="External"/><Relationship Id="rId64" Type="http://schemas.openxmlformats.org/officeDocument/2006/relationships/hyperlink" Target="https://doi.org/10.3389/fphar.2021.701301" TargetMode="External"/><Relationship Id="rId8" Type="http://schemas.openxmlformats.org/officeDocument/2006/relationships/header" Target="header1.xml"/><Relationship Id="rId51" Type="http://schemas.openxmlformats.org/officeDocument/2006/relationships/hyperlink" Target="https://www.preprints.org/manuscript/202005.0212"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yperlink" Target="https://doi.org/10.1155/2020/4274682" TargetMode="External"/><Relationship Id="rId59" Type="http://schemas.openxmlformats.org/officeDocument/2006/relationships/hyperlink" Target="https://doi.org/10.1074/jbc.R117.799056" TargetMode="External"/><Relationship Id="rId20" Type="http://schemas.openxmlformats.org/officeDocument/2006/relationships/image" Target="media/image5.emf"/><Relationship Id="rId41" Type="http://schemas.openxmlformats.org/officeDocument/2006/relationships/hyperlink" Target="https://doi.org/10.1007/978-3-031-31852-8_11" TargetMode="External"/><Relationship Id="rId54" Type="http://schemas.openxmlformats.org/officeDocument/2006/relationships/hyperlink" Target="https://doi.org/10.47750/pnr.2023.14.02.144" TargetMode="External"/><Relationship Id="rId62" Type="http://schemas.openxmlformats.org/officeDocument/2006/relationships/hyperlink" Target="https://doi.org/10.1016/j.immuni.2019.05.02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oleObject" Target="embeddings/oleObject4.bin"/><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yperlink" Target="https://doi.org/10.2174/2210315510999201210143445" TargetMode="External"/><Relationship Id="rId57" Type="http://schemas.openxmlformats.org/officeDocument/2006/relationships/hyperlink" Target="https://doi.org/10.1080/15384101.2019.1596900" TargetMode="External"/><Relationship Id="rId10" Type="http://schemas.openxmlformats.org/officeDocument/2006/relationships/footer" Target="footer1.xml"/><Relationship Id="rId31" Type="http://schemas.openxmlformats.org/officeDocument/2006/relationships/image" Target="media/image12.png"/><Relationship Id="rId44" Type="http://schemas.openxmlformats.org/officeDocument/2006/relationships/hyperlink" Target="https://doi.org/10.1200/GO.20.00290" TargetMode="External"/><Relationship Id="rId52" Type="http://schemas.openxmlformats.org/officeDocument/2006/relationships/hyperlink" Target="http://www.jmatonline.com/index.php/jmat/issue/archive" TargetMode="External"/><Relationship Id="rId60" Type="http://schemas.openxmlformats.org/officeDocument/2006/relationships/hyperlink" Target="https://doi.org/10.3389/fonc.2014.00302"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4.wmf"/><Relationship Id="rId39" Type="http://schemas.openxmlformats.org/officeDocument/2006/relationships/hyperlink" Target="https://doi.org/10.1186/s12889-019-6674-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A20D3-63E4-457C-88A1-1E94A46AD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51</TotalTime>
  <Pages>16</Pages>
  <Words>6347</Words>
  <Characters>36183</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42446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HP</cp:lastModifiedBy>
  <cp:revision>3</cp:revision>
  <cp:lastPrinted>1999-07-06T11:00:00Z</cp:lastPrinted>
  <dcterms:created xsi:type="dcterms:W3CDTF">2025-12-31T11:35:00Z</dcterms:created>
  <dcterms:modified xsi:type="dcterms:W3CDTF">2025-12-31T12:45:00Z</dcterms:modified>
</cp:coreProperties>
</file>