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C14" w:rsidRDefault="00796A82">
      <w:pPr>
        <w:spacing w:line="240" w:lineRule="auto"/>
        <w:jc w:val="both"/>
        <w:rPr>
          <w:sz w:val="24"/>
          <w:szCs w:val="24"/>
          <w:u w:val="single"/>
          <w:lang w:val="en-GB"/>
        </w:rPr>
      </w:pPr>
      <w:r>
        <w:rPr>
          <w:rFonts w:ascii="Times New Roman" w:hAnsi="Times New Roman"/>
          <w:b/>
          <w:bCs/>
          <w:sz w:val="24"/>
          <w:szCs w:val="24"/>
          <w:u w:val="single"/>
        </w:rPr>
        <w:t>Original Research Article</w:t>
      </w:r>
    </w:p>
    <w:p w:rsidR="00DE0C14" w:rsidRDefault="00796A82">
      <w:pPr>
        <w:spacing w:line="240" w:lineRule="auto"/>
        <w:rPr>
          <w:caps/>
          <w:sz w:val="24"/>
          <w:szCs w:val="24"/>
          <w:u w:val="single"/>
          <w:lang w:val="en-GB"/>
        </w:rPr>
      </w:pPr>
      <w:r>
        <w:rPr>
          <w:rFonts w:ascii="Times New Roman" w:eastAsia="Times New Roman" w:hAnsi="Times New Roman"/>
          <w:b/>
          <w:bCs/>
          <w:caps/>
          <w:sz w:val="20"/>
          <w:szCs w:val="20"/>
          <w:lang w:val="en-GB" w:eastAsia="en-US"/>
        </w:rPr>
        <w:t>“Protective Effects of</w:t>
      </w:r>
      <w:r>
        <w:rPr>
          <w:rFonts w:ascii="Times New Roman" w:eastAsia="Times New Roman" w:hAnsi="Times New Roman"/>
          <w:b/>
          <w:bCs/>
          <w:i/>
          <w:iCs/>
          <w:caps/>
          <w:sz w:val="20"/>
          <w:szCs w:val="20"/>
          <w:lang w:val="en-GB" w:eastAsia="en-US"/>
        </w:rPr>
        <w:t xml:space="preserve"> Trigonella foenum-graecum </w:t>
      </w:r>
      <w:r>
        <w:rPr>
          <w:rFonts w:ascii="Times New Roman" w:eastAsia="Times New Roman" w:hAnsi="Times New Roman"/>
          <w:b/>
          <w:bCs/>
          <w:caps/>
          <w:sz w:val="20"/>
          <w:szCs w:val="20"/>
          <w:lang w:val="en-GB" w:eastAsia="en-US"/>
        </w:rPr>
        <w:t xml:space="preserve"> Seed Extract on KCLO₄-Induced Thyroid Dysfuncti</w:t>
      </w:r>
      <w:bookmarkStart w:id="0" w:name="_GoBack"/>
      <w:bookmarkEnd w:id="0"/>
      <w:r>
        <w:rPr>
          <w:rFonts w:ascii="Times New Roman" w:eastAsia="Times New Roman" w:hAnsi="Times New Roman"/>
          <w:b/>
          <w:bCs/>
          <w:caps/>
          <w:sz w:val="20"/>
          <w:szCs w:val="20"/>
          <w:lang w:val="en-GB" w:eastAsia="en-US"/>
        </w:rPr>
        <w:t>on and Inflammation” in albino Rats.</w:t>
      </w:r>
    </w:p>
    <w:p w:rsidR="00DE0C14" w:rsidRDefault="00DE0C14">
      <w:pPr>
        <w:spacing w:line="360" w:lineRule="auto"/>
        <w:jc w:val="both"/>
        <w:rPr>
          <w:b/>
          <w:bCs/>
          <w:caps/>
          <w:sz w:val="24"/>
          <w:szCs w:val="24"/>
        </w:rPr>
      </w:pPr>
    </w:p>
    <w:p w:rsidR="00DE0C14" w:rsidRDefault="00796A82">
      <w:pPr>
        <w:spacing w:line="360" w:lineRule="auto"/>
        <w:jc w:val="both"/>
        <w:rPr>
          <w:b/>
          <w:bCs/>
          <w:caps/>
          <w:sz w:val="24"/>
          <w:szCs w:val="24"/>
        </w:rPr>
      </w:pPr>
      <w:r>
        <w:rPr>
          <w:b/>
          <w:bCs/>
          <w:caps/>
          <w:sz w:val="24"/>
          <w:szCs w:val="24"/>
        </w:rPr>
        <w:t>Abstract</w:t>
      </w:r>
    </w:p>
    <w:p w:rsidR="00DE0C14" w:rsidRDefault="00796A82">
      <w:pPr>
        <w:spacing w:line="360" w:lineRule="auto"/>
        <w:jc w:val="both"/>
        <w:rPr>
          <w:sz w:val="24"/>
          <w:szCs w:val="24"/>
        </w:rPr>
      </w:pPr>
      <w:r>
        <w:rPr>
          <w:sz w:val="24"/>
          <w:szCs w:val="24"/>
        </w:rPr>
        <w:t xml:space="preserve">Goiter, a common manifestation of thyroid dysfunction, is often linked to iodine </w:t>
      </w:r>
      <w:r>
        <w:rPr>
          <w:sz w:val="24"/>
          <w:szCs w:val="24"/>
        </w:rPr>
        <w:t>deficiency, environmental toxins, and autoimmune disorders. Potassium perchlorate (KClO₄) is a recognized goitrogen that inhibits iodine uptake, leading to hypothyroidism, oxidative stress, and systemic inflammation.</w:t>
      </w:r>
      <w:r>
        <w:rPr>
          <w:sz w:val="24"/>
          <w:szCs w:val="24"/>
        </w:rPr>
        <w:t xml:space="preserve"> </w:t>
      </w:r>
      <w:r>
        <w:rPr>
          <w:sz w:val="24"/>
          <w:szCs w:val="24"/>
        </w:rPr>
        <w:t>This study evaluated the</w:t>
      </w:r>
      <w:r>
        <w:rPr>
          <w:sz w:val="24"/>
          <w:szCs w:val="24"/>
        </w:rPr>
        <w:t xml:space="preserve"> “Protective ef</w:t>
      </w:r>
      <w:r>
        <w:rPr>
          <w:sz w:val="24"/>
          <w:szCs w:val="24"/>
        </w:rPr>
        <w:t xml:space="preserve">fects of </w:t>
      </w:r>
      <w:r>
        <w:rPr>
          <w:i/>
          <w:iCs/>
          <w:sz w:val="24"/>
          <w:szCs w:val="24"/>
        </w:rPr>
        <w:t>Trigonella foenum-graecum</w:t>
      </w:r>
      <w:r>
        <w:rPr>
          <w:sz w:val="24"/>
          <w:szCs w:val="24"/>
        </w:rPr>
        <w:t xml:space="preserve"> seed extract on KCLO₄-Induced Thyroid Dysfunction and Inflammation”</w:t>
      </w:r>
      <w:r>
        <w:rPr>
          <w:sz w:val="24"/>
          <w:szCs w:val="24"/>
        </w:rPr>
        <w:t xml:space="preserve"> in female albino rats</w:t>
      </w:r>
      <w:r>
        <w:rPr>
          <w:sz w:val="24"/>
          <w:szCs w:val="24"/>
        </w:rPr>
        <w:t xml:space="preserve">. </w:t>
      </w:r>
      <w:r>
        <w:rPr>
          <w:sz w:val="24"/>
          <w:szCs w:val="24"/>
        </w:rPr>
        <w:t>Twenty-five rats were divided into five groups: normal control, KClO₄-only, KClO₄ + FSE 200 mg/kg, KClO₄ + FSE 400 mg/kg, and KClO</w:t>
      </w:r>
      <w:r>
        <w:rPr>
          <w:sz w:val="24"/>
          <w:szCs w:val="24"/>
        </w:rPr>
        <w:t>₄ + levothyroxine (standard). Treatments were administered orally for 14 days following goiter induction. Body weight, thyroid hormones (T₃, T₄, TSH),</w:t>
      </w:r>
      <w:r>
        <w:rPr>
          <w:sz w:val="24"/>
          <w:szCs w:val="24"/>
        </w:rPr>
        <w:t xml:space="preserve"> </w:t>
      </w:r>
      <w:r>
        <w:rPr>
          <w:sz w:val="24"/>
          <w:szCs w:val="24"/>
        </w:rPr>
        <w:t>and pro-inflammatory cytokines (TNF-α, IL-1β, IL-6) were measured. KClO₄ significantly decreased body wei</w:t>
      </w:r>
      <w:r>
        <w:rPr>
          <w:sz w:val="24"/>
          <w:szCs w:val="24"/>
        </w:rPr>
        <w:t>ght and thyroid hormone levels while elevating TSH and inflammatory cytokines. FSE treatment improved body weight and restored T₃ and T₄ in a dose-dependent manner, with 400 mg/kg showing the most pronounced effects. TNF-α and IL-1β were substantially supp</w:t>
      </w:r>
      <w:r>
        <w:rPr>
          <w:sz w:val="24"/>
          <w:szCs w:val="24"/>
        </w:rPr>
        <w:t>ressed by FSE, whereas IL-6 reduction was moderate. Levothyroxine normalized hormonal and inflammatory profiles but caused lower weight gain. Phytochemical analysis revealed bioactive compounds such as flavonoids and saponins, potentially responsible for t</w:t>
      </w:r>
      <w:r>
        <w:rPr>
          <w:sz w:val="24"/>
          <w:szCs w:val="24"/>
        </w:rPr>
        <w:t>he observed effects. These findings indicate that FSE possesses thyroid-protective and anti-inflammatory properties and may serve as a safe adjunct or alternative to conventional therapy in managing hypothyroidism and goiter.</w:t>
      </w:r>
    </w:p>
    <w:p w:rsidR="00DE0C14" w:rsidRDefault="00796A82">
      <w:pPr>
        <w:spacing w:line="360" w:lineRule="auto"/>
        <w:jc w:val="both"/>
        <w:rPr>
          <w:i/>
          <w:iCs/>
          <w:sz w:val="24"/>
          <w:szCs w:val="24"/>
        </w:rPr>
      </w:pPr>
      <w:r>
        <w:rPr>
          <w:sz w:val="24"/>
          <w:szCs w:val="24"/>
        </w:rPr>
        <w:t>Keywords:</w:t>
      </w:r>
      <w:r>
        <w:rPr>
          <w:i/>
          <w:iCs/>
          <w:sz w:val="24"/>
          <w:szCs w:val="24"/>
        </w:rPr>
        <w:t xml:space="preserve"> Fenugreek, Trigonell</w:t>
      </w:r>
      <w:r>
        <w:rPr>
          <w:i/>
          <w:iCs/>
          <w:sz w:val="24"/>
          <w:szCs w:val="24"/>
        </w:rPr>
        <w:t>a foenum-graecum, goiter, hypothyroidism, potassium perchlorate, cytokines, thyroid hormones</w:t>
      </w:r>
    </w:p>
    <w:p w:rsidR="00DE0C14" w:rsidRDefault="00DE0C14">
      <w:pPr>
        <w:spacing w:line="360" w:lineRule="auto"/>
        <w:jc w:val="both"/>
        <w:rPr>
          <w:b/>
          <w:bCs/>
          <w:caps/>
          <w:sz w:val="24"/>
          <w:szCs w:val="24"/>
        </w:rPr>
      </w:pPr>
    </w:p>
    <w:p w:rsidR="00DE0C14" w:rsidRDefault="00796A82">
      <w:pPr>
        <w:spacing w:line="360" w:lineRule="auto"/>
        <w:jc w:val="both"/>
        <w:rPr>
          <w:sz w:val="24"/>
          <w:szCs w:val="24"/>
        </w:rPr>
      </w:pPr>
      <w:r>
        <w:rPr>
          <w:b/>
          <w:bCs/>
          <w:caps/>
          <w:sz w:val="24"/>
          <w:szCs w:val="24"/>
        </w:rPr>
        <w:t>Introduction</w:t>
      </w:r>
    </w:p>
    <w:p w:rsidR="00DE0C14" w:rsidRDefault="00796A82">
      <w:pPr>
        <w:spacing w:line="360" w:lineRule="auto"/>
        <w:jc w:val="both"/>
        <w:rPr>
          <w:sz w:val="24"/>
          <w:szCs w:val="24"/>
        </w:rPr>
      </w:pPr>
      <w:r>
        <w:rPr>
          <w:sz w:val="24"/>
          <w:szCs w:val="24"/>
        </w:rPr>
        <w:lastRenderedPageBreak/>
        <w:t xml:space="preserve">Goiter, defined as an abnormal enlargement of the thyroid gland, remains a prevalent clinical condition worldwide. Its etiology includes iodine </w:t>
      </w:r>
      <w:r>
        <w:rPr>
          <w:sz w:val="24"/>
          <w:szCs w:val="24"/>
        </w:rPr>
        <w:t>deficiency, autoimmune disorders, genetic predisposition, and exposure to environmental toxins (Zimmermann and Boelaert, 2022). Among the recognized goitrogenic agents, potassium perchlorate is notable for its ability to competitively inhibit iodine uptake</w:t>
      </w:r>
      <w:r>
        <w:rPr>
          <w:sz w:val="24"/>
          <w:szCs w:val="24"/>
        </w:rPr>
        <w:t xml:space="preserve"> into the thyroid gland, thereby impairing thyroid hormone synthesis.</w:t>
      </w:r>
      <w:r>
        <w:rPr>
          <w:sz w:val="24"/>
          <w:szCs w:val="24"/>
        </w:rPr>
        <w:t xml:space="preserve"> This disruption leads to hypothyroidism accompanied by compensatory thyroid enlargement (Zhu &amp; Yang, 2023). Potassium perchlorate–induced goiter is also associated with oxidative stress,</w:t>
      </w:r>
      <w:r>
        <w:rPr>
          <w:sz w:val="24"/>
          <w:szCs w:val="24"/>
        </w:rPr>
        <w:t xml:space="preserve"> elevated pro-inflammatory cytokines, and structural alterations in thyroid tissue, further complicating its management.</w:t>
      </w:r>
      <w:r>
        <w:rPr>
          <w:sz w:val="24"/>
          <w:szCs w:val="24"/>
        </w:rPr>
        <w:t xml:space="preserve"> </w:t>
      </w:r>
    </w:p>
    <w:p w:rsidR="00DE0C14" w:rsidRDefault="00796A82">
      <w:pPr>
        <w:spacing w:line="360" w:lineRule="auto"/>
        <w:jc w:val="both"/>
        <w:rPr>
          <w:sz w:val="24"/>
          <w:szCs w:val="24"/>
        </w:rPr>
      </w:pPr>
      <w:r>
        <w:rPr>
          <w:sz w:val="24"/>
          <w:szCs w:val="24"/>
        </w:rPr>
        <w:t>Given the limitations and side effects of conventional therapies, there is growing interest in natural remedies with fewer adverse eff</w:t>
      </w:r>
      <w:r>
        <w:rPr>
          <w:sz w:val="24"/>
          <w:szCs w:val="24"/>
        </w:rPr>
        <w:t>ects for managing thyroid dysfunction. Fenugreek (Trigonella foenum-graecum), a leguminous plant traditionally used for medicinal purposes, has gained attention due to its diverse pharmacological activities. In particular, its anti-inflammatory, antioxidan</w:t>
      </w:r>
      <w:r>
        <w:rPr>
          <w:sz w:val="24"/>
          <w:szCs w:val="24"/>
        </w:rPr>
        <w:t xml:space="preserve">t, and immunomodulatory properties are highly relevant in the context of thyroid-related disorders (Goyal, 2021; Sood and Sood, 2019). Studies have shown that extracts of fenugreek seeds can modulate inflammatory mediators, attenuate oxidative stress, and </w:t>
      </w:r>
      <w:r>
        <w:rPr>
          <w:sz w:val="24"/>
          <w:szCs w:val="24"/>
        </w:rPr>
        <w:t>support immune balance, thereby potentially protecting thyroid tissue against goitrogenic insults</w:t>
      </w:r>
      <w:r>
        <w:rPr>
          <w:sz w:val="24"/>
          <w:szCs w:val="24"/>
        </w:rPr>
        <w:t xml:space="preserve"> (Alsuliam </w:t>
      </w:r>
      <w:r>
        <w:rPr>
          <w:i/>
          <w:iCs/>
          <w:sz w:val="24"/>
          <w:szCs w:val="24"/>
        </w:rPr>
        <w:t>et al</w:t>
      </w:r>
      <w:r>
        <w:rPr>
          <w:sz w:val="24"/>
          <w:szCs w:val="24"/>
        </w:rPr>
        <w:t xml:space="preserve">., 2022; </w:t>
      </w:r>
      <w:r>
        <w:rPr>
          <w:sz w:val="24"/>
          <w:szCs w:val="24"/>
        </w:rPr>
        <w:t>Das and Sur, 2019).</w:t>
      </w:r>
    </w:p>
    <w:p w:rsidR="00DE0C14" w:rsidRDefault="00796A82">
      <w:pPr>
        <w:spacing w:line="360" w:lineRule="auto"/>
        <w:jc w:val="both"/>
        <w:rPr>
          <w:sz w:val="24"/>
          <w:szCs w:val="24"/>
        </w:rPr>
      </w:pPr>
      <w:r>
        <w:rPr>
          <w:sz w:val="24"/>
          <w:szCs w:val="24"/>
        </w:rPr>
        <w:t>Furthermore, female subjects are disproportionately affected by thyroid disorders compared to males. This increase</w:t>
      </w:r>
      <w:r>
        <w:rPr>
          <w:sz w:val="24"/>
          <w:szCs w:val="24"/>
        </w:rPr>
        <w:t xml:space="preserve">d susceptibility has been linked to hormonal fluctuations during menstruation, pregnancy, and menopause, as well as higher prevalence of autoimmune conditions such as Hashimoto’s thyroiditis among women </w:t>
      </w:r>
      <w:r>
        <w:rPr>
          <w:sz w:val="24"/>
          <w:szCs w:val="24"/>
        </w:rPr>
        <w:t xml:space="preserve">(Hu </w:t>
      </w:r>
      <w:r>
        <w:rPr>
          <w:i/>
          <w:iCs/>
          <w:sz w:val="24"/>
          <w:szCs w:val="24"/>
        </w:rPr>
        <w:t>et al.</w:t>
      </w:r>
      <w:r>
        <w:rPr>
          <w:sz w:val="24"/>
          <w:szCs w:val="24"/>
        </w:rPr>
        <w:t>, 2022</w:t>
      </w:r>
      <w:r>
        <w:rPr>
          <w:sz w:val="24"/>
          <w:szCs w:val="24"/>
        </w:rPr>
        <w:t>). These factors contribute to a grea</w:t>
      </w:r>
      <w:r>
        <w:rPr>
          <w:sz w:val="24"/>
          <w:szCs w:val="24"/>
        </w:rPr>
        <w:t>ter risk of thyroid dysfunction and goiter in females, making them a critical focus of thyroid-related research.</w:t>
      </w:r>
    </w:p>
    <w:p w:rsidR="00DE0C14" w:rsidRDefault="00796A82">
      <w:pPr>
        <w:spacing w:line="360" w:lineRule="auto"/>
        <w:jc w:val="both"/>
        <w:rPr>
          <w:sz w:val="24"/>
          <w:szCs w:val="24"/>
        </w:rPr>
      </w:pPr>
      <w:r>
        <w:rPr>
          <w:sz w:val="24"/>
          <w:szCs w:val="24"/>
        </w:rPr>
        <w:t>This study, therefore, investigates the</w:t>
      </w:r>
      <w:r>
        <w:rPr>
          <w:sz w:val="24"/>
          <w:szCs w:val="24"/>
        </w:rPr>
        <w:t xml:space="preserve"> “Protective Effects of Trigonella foenum-graecum Seed Extract on KCLO₄-Induced Thyroid Dysfunction and </w:t>
      </w:r>
      <w:r>
        <w:rPr>
          <w:sz w:val="24"/>
          <w:szCs w:val="24"/>
        </w:rPr>
        <w:t xml:space="preserve">Inflammation” </w:t>
      </w:r>
      <w:r>
        <w:rPr>
          <w:sz w:val="24"/>
          <w:szCs w:val="24"/>
        </w:rPr>
        <w:t>in female albino rats, with the aim of exploring its potential as a natural therapeutic alternative.</w:t>
      </w:r>
    </w:p>
    <w:p w:rsidR="00DE0C14" w:rsidRDefault="00796A82">
      <w:pPr>
        <w:spacing w:line="360" w:lineRule="auto"/>
        <w:jc w:val="both"/>
        <w:rPr>
          <w:b/>
          <w:bCs/>
          <w:caps/>
          <w:sz w:val="24"/>
          <w:szCs w:val="24"/>
        </w:rPr>
      </w:pPr>
      <w:r>
        <w:rPr>
          <w:b/>
          <w:bCs/>
          <w:caps/>
          <w:sz w:val="24"/>
          <w:szCs w:val="24"/>
        </w:rPr>
        <w:t>2.0  Materials and Methods</w:t>
      </w:r>
    </w:p>
    <w:p w:rsidR="00DE0C14" w:rsidRDefault="00796A82">
      <w:pPr>
        <w:spacing w:line="360" w:lineRule="auto"/>
        <w:jc w:val="both"/>
        <w:rPr>
          <w:b/>
          <w:bCs/>
          <w:sz w:val="24"/>
          <w:szCs w:val="24"/>
        </w:rPr>
      </w:pPr>
      <w:r>
        <w:rPr>
          <w:b/>
          <w:bCs/>
          <w:sz w:val="24"/>
          <w:szCs w:val="24"/>
        </w:rPr>
        <w:lastRenderedPageBreak/>
        <w:t>2.1 Chemicals and Reagents</w:t>
      </w:r>
    </w:p>
    <w:p w:rsidR="00DE0C14" w:rsidRDefault="00796A82">
      <w:pPr>
        <w:spacing w:line="360" w:lineRule="auto"/>
        <w:jc w:val="both"/>
        <w:rPr>
          <w:sz w:val="24"/>
          <w:szCs w:val="24"/>
        </w:rPr>
      </w:pPr>
      <w:r>
        <w:rPr>
          <w:sz w:val="24"/>
          <w:szCs w:val="24"/>
        </w:rPr>
        <w:t>Potassium perchlorate (KClO₄) was used for goiter induction. Randox commercial kits wer</w:t>
      </w:r>
      <w:r>
        <w:rPr>
          <w:sz w:val="24"/>
          <w:szCs w:val="24"/>
        </w:rPr>
        <w:t>e employed for biochemical assays. Other reagents and laboratory equipment included digital scales, animal cages, centrifuge, homogenizer, ELISA kits, spectrophotometer, chromatography system, ultrasound machine, blood test analyzer, as well as surgical an</w:t>
      </w:r>
      <w:r>
        <w:rPr>
          <w:sz w:val="24"/>
          <w:szCs w:val="24"/>
        </w:rPr>
        <w:t>d anesthesia tools for tissue collection.</w:t>
      </w:r>
    </w:p>
    <w:p w:rsidR="00DE0C14" w:rsidRDefault="00DE0C14">
      <w:pPr>
        <w:spacing w:line="360" w:lineRule="auto"/>
        <w:jc w:val="both"/>
        <w:rPr>
          <w:b/>
          <w:bCs/>
          <w:sz w:val="24"/>
          <w:szCs w:val="24"/>
        </w:rPr>
      </w:pPr>
    </w:p>
    <w:p w:rsidR="00DE0C14" w:rsidRDefault="00796A82">
      <w:pPr>
        <w:spacing w:line="360" w:lineRule="auto"/>
        <w:jc w:val="both"/>
        <w:rPr>
          <w:b/>
          <w:bCs/>
          <w:sz w:val="24"/>
          <w:szCs w:val="24"/>
        </w:rPr>
      </w:pPr>
      <w:r>
        <w:rPr>
          <w:b/>
          <w:bCs/>
          <w:sz w:val="24"/>
          <w:szCs w:val="24"/>
        </w:rPr>
        <w:t>2.2 Plant Material Collection and Preparation</w:t>
      </w:r>
    </w:p>
    <w:p w:rsidR="00DE0C14" w:rsidRDefault="00796A82">
      <w:pPr>
        <w:spacing w:line="360" w:lineRule="auto"/>
        <w:jc w:val="both"/>
        <w:rPr>
          <w:b/>
          <w:bCs/>
          <w:sz w:val="24"/>
          <w:szCs w:val="24"/>
        </w:rPr>
      </w:pPr>
      <w:r>
        <w:rPr>
          <w:noProof/>
        </w:rPr>
        <w:drawing>
          <wp:inline distT="0" distB="0" distL="0" distR="0">
            <wp:extent cx="3306444" cy="197598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3306444" cy="1975982"/>
                    </a:xfrm>
                    <a:prstGeom prst="rect">
                      <a:avLst/>
                    </a:prstGeom>
                  </pic:spPr>
                </pic:pic>
              </a:graphicData>
            </a:graphic>
          </wp:inline>
        </w:drawing>
      </w:r>
    </w:p>
    <w:p w:rsidR="00DE0C14" w:rsidRDefault="00796A82">
      <w:pPr>
        <w:spacing w:line="360" w:lineRule="auto"/>
        <w:jc w:val="both"/>
        <w:rPr>
          <w:sz w:val="24"/>
          <w:szCs w:val="24"/>
        </w:rPr>
      </w:pPr>
      <w:r>
        <w:rPr>
          <w:b/>
          <w:bCs/>
          <w:sz w:val="24"/>
          <w:szCs w:val="24"/>
        </w:rPr>
        <w:t xml:space="preserve">Fig 1: </w:t>
      </w:r>
      <w:r>
        <w:rPr>
          <w:b/>
          <w:bCs/>
          <w:i/>
          <w:iCs/>
          <w:sz w:val="24"/>
          <w:szCs w:val="24"/>
        </w:rPr>
        <w:t>Trigonella foenum-graecum</w:t>
      </w:r>
      <w:r>
        <w:rPr>
          <w:b/>
          <w:bCs/>
          <w:sz w:val="24"/>
          <w:szCs w:val="24"/>
        </w:rPr>
        <w:t xml:space="preserve"> (fenugreek) seed </w:t>
      </w: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796A82">
      <w:pPr>
        <w:spacing w:line="360" w:lineRule="auto"/>
        <w:jc w:val="both"/>
        <w:rPr>
          <w:sz w:val="24"/>
          <w:szCs w:val="24"/>
        </w:rPr>
      </w:pPr>
      <w:r>
        <w:rPr>
          <w:sz w:val="24"/>
          <w:szCs w:val="24"/>
        </w:rPr>
        <w:t xml:space="preserve">Fenugreek (Trigonella foenum-graecum) seed were purchased from a local market, in Umuahia, Abia State, Nigeria. </w:t>
      </w:r>
      <w:r>
        <w:rPr>
          <w:sz w:val="24"/>
          <w:szCs w:val="24"/>
        </w:rPr>
        <w:t>The seeds were rinsed thoroughly with clean water to remove impurities, sun-dried to prevent mold growth, and ground into fine powder using an electric grinder to increase the surface area for extraction.</w:t>
      </w:r>
    </w:p>
    <w:p w:rsidR="00DE0C14" w:rsidRDefault="00796A82">
      <w:pPr>
        <w:spacing w:line="360" w:lineRule="auto"/>
        <w:jc w:val="both"/>
        <w:rPr>
          <w:b/>
          <w:bCs/>
          <w:sz w:val="24"/>
          <w:szCs w:val="24"/>
        </w:rPr>
      </w:pPr>
      <w:r>
        <w:rPr>
          <w:b/>
          <w:bCs/>
          <w:sz w:val="24"/>
          <w:szCs w:val="24"/>
        </w:rPr>
        <w:t>2.3 Extraction of Plant Material</w:t>
      </w:r>
    </w:p>
    <w:p w:rsidR="00DE0C14" w:rsidRDefault="00796A82">
      <w:pPr>
        <w:spacing w:line="360" w:lineRule="auto"/>
        <w:jc w:val="both"/>
        <w:rPr>
          <w:sz w:val="24"/>
          <w:szCs w:val="24"/>
        </w:rPr>
      </w:pPr>
      <w:r>
        <w:rPr>
          <w:sz w:val="24"/>
          <w:szCs w:val="24"/>
        </w:rPr>
        <w:lastRenderedPageBreak/>
        <w:t>The powdered seeds</w:t>
      </w:r>
      <w:r>
        <w:rPr>
          <w:sz w:val="24"/>
          <w:szCs w:val="24"/>
        </w:rPr>
        <w:t xml:space="preserve"> were extracted using 70% ethanol. A total of 200 g of seeds powder was soaked in 1000 mL of ethanol for 72 hours with intermittent shaking. The mixture was filtered through muslin cloth and Whatman No. 1 filter paper. The filtrate was concentrated to dryn</w:t>
      </w:r>
      <w:r>
        <w:rPr>
          <w:sz w:val="24"/>
          <w:szCs w:val="24"/>
        </w:rPr>
        <w:t>ess under reduced pressure using a rotary evaporator at 40–45 °C. The crude extract was stored in an airtight container at 4 °C until further use.</w:t>
      </w:r>
    </w:p>
    <w:p w:rsidR="00DE0C14" w:rsidRDefault="00796A82">
      <w:pPr>
        <w:spacing w:line="360" w:lineRule="auto"/>
        <w:jc w:val="both"/>
        <w:rPr>
          <w:b/>
          <w:bCs/>
          <w:sz w:val="24"/>
          <w:szCs w:val="24"/>
        </w:rPr>
      </w:pPr>
      <w:r>
        <w:rPr>
          <w:b/>
          <w:bCs/>
          <w:sz w:val="24"/>
          <w:szCs w:val="24"/>
        </w:rPr>
        <w:t>2.4 Phytochemical Analysis</w:t>
      </w:r>
    </w:p>
    <w:p w:rsidR="00DE0C14" w:rsidRDefault="00796A82">
      <w:pPr>
        <w:spacing w:line="360" w:lineRule="auto"/>
        <w:jc w:val="both"/>
        <w:rPr>
          <w:sz w:val="24"/>
          <w:szCs w:val="24"/>
        </w:rPr>
      </w:pPr>
      <w:r>
        <w:rPr>
          <w:sz w:val="24"/>
          <w:szCs w:val="24"/>
        </w:rPr>
        <w:t>Both qualitative and quantitative phytochemical screening of fenugreek seed extrac</w:t>
      </w:r>
      <w:r>
        <w:rPr>
          <w:sz w:val="24"/>
          <w:szCs w:val="24"/>
        </w:rPr>
        <w:t>t was conducted. Gas chromatography coupled with mass spectrometry (GC-MS) and spectrophotometry were employed to identify and quantify bioactive compounds present in the extract.</w:t>
      </w:r>
    </w:p>
    <w:p w:rsidR="00DE0C14" w:rsidRDefault="00796A82">
      <w:pPr>
        <w:spacing w:line="360" w:lineRule="auto"/>
        <w:jc w:val="both"/>
        <w:rPr>
          <w:b/>
          <w:bCs/>
          <w:sz w:val="24"/>
          <w:szCs w:val="24"/>
        </w:rPr>
      </w:pPr>
      <w:r>
        <w:rPr>
          <w:b/>
          <w:bCs/>
          <w:sz w:val="24"/>
          <w:szCs w:val="24"/>
        </w:rPr>
        <w:t>2.5 Acute Toxicity (LD₅₀) Determination</w:t>
      </w:r>
    </w:p>
    <w:p w:rsidR="00DE0C14" w:rsidRDefault="00796A82">
      <w:pPr>
        <w:spacing w:line="360" w:lineRule="auto"/>
        <w:jc w:val="both"/>
        <w:rPr>
          <w:sz w:val="24"/>
          <w:szCs w:val="24"/>
        </w:rPr>
      </w:pPr>
      <w:r>
        <w:rPr>
          <w:sz w:val="24"/>
          <w:szCs w:val="24"/>
        </w:rPr>
        <w:t>The acute oral toxicity of fenugreek</w:t>
      </w:r>
      <w:r>
        <w:rPr>
          <w:sz w:val="24"/>
          <w:szCs w:val="24"/>
        </w:rPr>
        <w:t xml:space="preserve"> seed crude extract was evaluated following OECD Guideline 425, with slight modifications (OECD, 2001).</w:t>
      </w:r>
    </w:p>
    <w:p w:rsidR="00DE0C14" w:rsidRDefault="00796A82">
      <w:pPr>
        <w:spacing w:line="360" w:lineRule="auto"/>
        <w:jc w:val="both"/>
        <w:rPr>
          <w:sz w:val="24"/>
          <w:szCs w:val="24"/>
        </w:rPr>
      </w:pPr>
      <w:r>
        <w:rPr>
          <w:sz w:val="24"/>
          <w:szCs w:val="24"/>
        </w:rPr>
        <w:t xml:space="preserve">Phase I: Nine (9) female albino rats were divided into three groups (n=3 per group) and administered 10 mg/kg, 100 mg/kg, and 1000 mg/kg of the extract </w:t>
      </w:r>
      <w:r>
        <w:rPr>
          <w:sz w:val="24"/>
          <w:szCs w:val="24"/>
        </w:rPr>
        <w:t>orally. Rats were observed for 24 hours for signs of toxicity and mortality.</w:t>
      </w:r>
    </w:p>
    <w:p w:rsidR="00DE0C14" w:rsidRDefault="00796A82">
      <w:pPr>
        <w:spacing w:line="360" w:lineRule="auto"/>
        <w:jc w:val="both"/>
        <w:rPr>
          <w:sz w:val="24"/>
          <w:szCs w:val="24"/>
        </w:rPr>
      </w:pPr>
      <w:r>
        <w:rPr>
          <w:sz w:val="24"/>
          <w:szCs w:val="24"/>
        </w:rPr>
        <w:t>Phase II: In the absence of mortality, nine (9) additional rats were divided into three groups (n=3 per group) and treated with 1600 mg/kg, 2900 mg/kg, and 5000 mg/kg, respectivel</w:t>
      </w:r>
      <w:r>
        <w:rPr>
          <w:sz w:val="24"/>
          <w:szCs w:val="24"/>
        </w:rPr>
        <w:t>y. Animals were monitored for 24 hours.</w:t>
      </w:r>
    </w:p>
    <w:p w:rsidR="00DE0C14" w:rsidRDefault="00796A82">
      <w:pPr>
        <w:spacing w:line="360" w:lineRule="auto"/>
        <w:jc w:val="both"/>
        <w:rPr>
          <w:sz w:val="24"/>
          <w:szCs w:val="24"/>
        </w:rPr>
      </w:pPr>
      <w:r>
        <w:rPr>
          <w:sz w:val="24"/>
          <w:szCs w:val="24"/>
        </w:rPr>
        <w:t>The LD₅₀ was determined as the geometric mean of the highest non-lethal dose and the lowest lethal dose. The safe experimental doses of 200 and 400 mg/kg body weight were selected for fenugreek treatment.</w:t>
      </w:r>
    </w:p>
    <w:p w:rsidR="00DE0C14" w:rsidRDefault="00796A82">
      <w:pPr>
        <w:spacing w:line="360" w:lineRule="auto"/>
        <w:jc w:val="both"/>
        <w:rPr>
          <w:b/>
          <w:bCs/>
          <w:sz w:val="24"/>
          <w:szCs w:val="24"/>
        </w:rPr>
      </w:pPr>
      <w:r>
        <w:rPr>
          <w:b/>
          <w:bCs/>
          <w:sz w:val="24"/>
          <w:szCs w:val="24"/>
        </w:rPr>
        <w:t>2.6 Experim</w:t>
      </w:r>
      <w:r>
        <w:rPr>
          <w:b/>
          <w:bCs/>
          <w:sz w:val="24"/>
          <w:szCs w:val="24"/>
        </w:rPr>
        <w:t>ental Animals</w:t>
      </w:r>
    </w:p>
    <w:p w:rsidR="00DE0C14" w:rsidRDefault="00796A82">
      <w:pPr>
        <w:spacing w:line="360" w:lineRule="auto"/>
        <w:jc w:val="both"/>
        <w:rPr>
          <w:sz w:val="24"/>
          <w:szCs w:val="24"/>
        </w:rPr>
      </w:pPr>
      <w:r>
        <w:rPr>
          <w:sz w:val="24"/>
          <w:szCs w:val="24"/>
        </w:rPr>
        <w:t xml:space="preserve">A total of twenty-five (25) healthy female albino rats, aged 6–8 weeks and weighing 150–180 g, were obtained from the Animal House, Department of Biochemistry, Abia State University, </w:t>
      </w:r>
      <w:r>
        <w:rPr>
          <w:sz w:val="24"/>
          <w:szCs w:val="24"/>
        </w:rPr>
        <w:lastRenderedPageBreak/>
        <w:t xml:space="preserve">Uturu, Nigeria. The rats were housed in well-ventilated </w:t>
      </w:r>
      <w:r>
        <w:rPr>
          <w:sz w:val="24"/>
          <w:szCs w:val="24"/>
        </w:rPr>
        <w:t>cages under standard laboratory conditions (temperature 23–37 °C, 12 h light/dark cycle, and adequate bedding). Animals were acclimatized for 14 days prior to experimentation and were fed with standard pelleted chow and water ad libitum.</w:t>
      </w:r>
    </w:p>
    <w:p w:rsidR="00DE0C14" w:rsidRDefault="00796A82">
      <w:pPr>
        <w:spacing w:line="360" w:lineRule="auto"/>
        <w:jc w:val="both"/>
        <w:rPr>
          <w:b/>
          <w:bCs/>
          <w:sz w:val="24"/>
          <w:szCs w:val="24"/>
        </w:rPr>
      </w:pPr>
      <w:r>
        <w:rPr>
          <w:b/>
          <w:bCs/>
          <w:sz w:val="24"/>
          <w:szCs w:val="24"/>
        </w:rPr>
        <w:t>2.7 Experimental D</w:t>
      </w:r>
      <w:r>
        <w:rPr>
          <w:b/>
          <w:bCs/>
          <w:sz w:val="24"/>
          <w:szCs w:val="24"/>
        </w:rPr>
        <w:t>esign</w:t>
      </w:r>
    </w:p>
    <w:p w:rsidR="00DE0C14" w:rsidRDefault="00796A82">
      <w:pPr>
        <w:spacing w:line="360" w:lineRule="auto"/>
        <w:jc w:val="both"/>
        <w:rPr>
          <w:sz w:val="24"/>
          <w:szCs w:val="24"/>
        </w:rPr>
      </w:pPr>
      <w:r>
        <w:rPr>
          <w:sz w:val="24"/>
          <w:szCs w:val="24"/>
        </w:rPr>
        <w:t>The twenty five (25) rats were randomly assigned into five groups (n=5 per group) as follows:</w:t>
      </w:r>
    </w:p>
    <w:p w:rsidR="00DE0C14" w:rsidRDefault="00796A82">
      <w:pPr>
        <w:spacing w:line="360" w:lineRule="auto"/>
        <w:jc w:val="both"/>
        <w:rPr>
          <w:sz w:val="24"/>
          <w:szCs w:val="24"/>
        </w:rPr>
      </w:pPr>
      <w:r>
        <w:rPr>
          <w:sz w:val="24"/>
          <w:szCs w:val="24"/>
        </w:rPr>
        <w:t>Group I (Normal control): no induction or treatment.</w:t>
      </w:r>
    </w:p>
    <w:p w:rsidR="00DE0C14" w:rsidRDefault="00796A82">
      <w:pPr>
        <w:spacing w:line="360" w:lineRule="auto"/>
        <w:jc w:val="both"/>
        <w:rPr>
          <w:sz w:val="24"/>
          <w:szCs w:val="24"/>
        </w:rPr>
      </w:pPr>
      <w:r>
        <w:rPr>
          <w:sz w:val="24"/>
          <w:szCs w:val="24"/>
        </w:rPr>
        <w:t>Group II (Goiter control): induced with KClO₄ only.</w:t>
      </w:r>
    </w:p>
    <w:p w:rsidR="00DE0C14" w:rsidRDefault="00796A82">
      <w:pPr>
        <w:spacing w:line="360" w:lineRule="auto"/>
        <w:jc w:val="both"/>
        <w:rPr>
          <w:sz w:val="24"/>
          <w:szCs w:val="24"/>
        </w:rPr>
      </w:pPr>
      <w:r>
        <w:rPr>
          <w:sz w:val="24"/>
          <w:szCs w:val="24"/>
        </w:rPr>
        <w:t xml:space="preserve">Group III (Low-dose fenugreek): induced with KClO₄ </w:t>
      </w:r>
      <w:r>
        <w:rPr>
          <w:sz w:val="24"/>
          <w:szCs w:val="24"/>
        </w:rPr>
        <w:t>and treated with 200 mg/kg fenugreek extract.</w:t>
      </w:r>
    </w:p>
    <w:p w:rsidR="00DE0C14" w:rsidRDefault="00796A82">
      <w:pPr>
        <w:spacing w:line="360" w:lineRule="auto"/>
        <w:jc w:val="both"/>
        <w:rPr>
          <w:sz w:val="24"/>
          <w:szCs w:val="24"/>
        </w:rPr>
      </w:pPr>
      <w:r>
        <w:rPr>
          <w:sz w:val="24"/>
          <w:szCs w:val="24"/>
        </w:rPr>
        <w:t>Group IV (High-dose fenugreek): induced with KClO₄ and treated with 400 mg/kg fenugreek extract.</w:t>
      </w:r>
    </w:p>
    <w:p w:rsidR="00DE0C14" w:rsidRDefault="00796A82">
      <w:pPr>
        <w:spacing w:line="360" w:lineRule="auto"/>
        <w:jc w:val="both"/>
        <w:rPr>
          <w:sz w:val="24"/>
          <w:szCs w:val="24"/>
        </w:rPr>
      </w:pPr>
      <w:r>
        <w:rPr>
          <w:sz w:val="24"/>
          <w:szCs w:val="24"/>
        </w:rPr>
        <w:t>Group V (Standard treatment): induced with KClO₄ and treated with levothyroxine.</w:t>
      </w:r>
    </w:p>
    <w:p w:rsidR="00DE0C14" w:rsidRDefault="00796A82">
      <w:pPr>
        <w:spacing w:line="360" w:lineRule="auto"/>
        <w:jc w:val="both"/>
        <w:rPr>
          <w:b/>
          <w:bCs/>
          <w:sz w:val="24"/>
          <w:szCs w:val="24"/>
        </w:rPr>
      </w:pPr>
      <w:r>
        <w:rPr>
          <w:b/>
          <w:bCs/>
          <w:sz w:val="24"/>
          <w:szCs w:val="24"/>
        </w:rPr>
        <w:t>2.7.1 Induction of Goiter</w:t>
      </w:r>
    </w:p>
    <w:p w:rsidR="00DE0C14" w:rsidRDefault="00796A82">
      <w:pPr>
        <w:spacing w:line="360" w:lineRule="auto"/>
        <w:jc w:val="both"/>
        <w:rPr>
          <w:sz w:val="24"/>
          <w:szCs w:val="24"/>
        </w:rPr>
      </w:pPr>
      <w:r>
        <w:rPr>
          <w:sz w:val="24"/>
          <w:szCs w:val="24"/>
        </w:rPr>
        <w:t>Goiter</w:t>
      </w:r>
      <w:r>
        <w:rPr>
          <w:sz w:val="24"/>
          <w:szCs w:val="24"/>
        </w:rPr>
        <w:t xml:space="preserve"> was induced by oral administration of potassium perchlorate (0.4 mL daily via gavage) for 14 days to inhibit iodine uptake and mimic hypothyroidism.</w:t>
      </w:r>
    </w:p>
    <w:p w:rsidR="00DE0C14" w:rsidRDefault="00DE0C14">
      <w:pPr>
        <w:spacing w:line="360" w:lineRule="auto"/>
        <w:jc w:val="both"/>
        <w:rPr>
          <w:b/>
          <w:bCs/>
          <w:sz w:val="24"/>
          <w:szCs w:val="24"/>
        </w:rPr>
      </w:pPr>
    </w:p>
    <w:p w:rsidR="00DE0C14" w:rsidRDefault="00796A82">
      <w:pPr>
        <w:spacing w:line="360" w:lineRule="auto"/>
        <w:jc w:val="both"/>
        <w:rPr>
          <w:b/>
          <w:bCs/>
          <w:sz w:val="24"/>
          <w:szCs w:val="24"/>
        </w:rPr>
      </w:pPr>
      <w:r>
        <w:rPr>
          <w:b/>
          <w:bCs/>
          <w:sz w:val="24"/>
          <w:szCs w:val="24"/>
        </w:rPr>
        <w:t>2.7.2 Fenugreek Treatment</w:t>
      </w:r>
    </w:p>
    <w:p w:rsidR="00DE0C14" w:rsidRDefault="00796A82">
      <w:pPr>
        <w:spacing w:line="360" w:lineRule="auto"/>
        <w:jc w:val="both"/>
        <w:rPr>
          <w:sz w:val="24"/>
          <w:szCs w:val="24"/>
        </w:rPr>
      </w:pPr>
      <w:r>
        <w:rPr>
          <w:sz w:val="24"/>
          <w:szCs w:val="24"/>
        </w:rPr>
        <w:t>After induction, rats in Groups III and IV were treated orally with 200 mg/kg a</w:t>
      </w:r>
      <w:r>
        <w:rPr>
          <w:sz w:val="24"/>
          <w:szCs w:val="24"/>
        </w:rPr>
        <w:t>nd 400 mg/kg fenugreek crude extract, respectively, once daily for 14 days.</w:t>
      </w:r>
    </w:p>
    <w:p w:rsidR="00DE0C14" w:rsidRDefault="00796A82">
      <w:pPr>
        <w:spacing w:line="360" w:lineRule="auto"/>
        <w:jc w:val="both"/>
        <w:rPr>
          <w:b/>
          <w:bCs/>
          <w:sz w:val="24"/>
          <w:szCs w:val="24"/>
        </w:rPr>
      </w:pPr>
      <w:r>
        <w:rPr>
          <w:b/>
          <w:bCs/>
          <w:sz w:val="24"/>
          <w:szCs w:val="24"/>
        </w:rPr>
        <w:t>2.7.3 Standard Treatment</w:t>
      </w:r>
    </w:p>
    <w:p w:rsidR="00DE0C14" w:rsidRDefault="00796A82">
      <w:pPr>
        <w:spacing w:line="360" w:lineRule="auto"/>
        <w:jc w:val="both"/>
        <w:rPr>
          <w:sz w:val="24"/>
          <w:szCs w:val="24"/>
        </w:rPr>
      </w:pPr>
      <w:r>
        <w:rPr>
          <w:sz w:val="24"/>
          <w:szCs w:val="24"/>
        </w:rPr>
        <w:t>Rats in Group V received levothyroxine orally as standard therapy.</w:t>
      </w:r>
    </w:p>
    <w:p w:rsidR="00DE0C14" w:rsidRDefault="00796A82">
      <w:pPr>
        <w:spacing w:line="360" w:lineRule="auto"/>
        <w:jc w:val="both"/>
        <w:rPr>
          <w:b/>
          <w:bCs/>
          <w:sz w:val="24"/>
          <w:szCs w:val="24"/>
        </w:rPr>
      </w:pPr>
      <w:r>
        <w:rPr>
          <w:b/>
          <w:bCs/>
          <w:sz w:val="24"/>
          <w:szCs w:val="24"/>
        </w:rPr>
        <w:lastRenderedPageBreak/>
        <w:t>2.8 Monitoring and Data Collection</w:t>
      </w:r>
    </w:p>
    <w:p w:rsidR="00DE0C14" w:rsidRDefault="00796A82">
      <w:pPr>
        <w:spacing w:line="360" w:lineRule="auto"/>
        <w:jc w:val="both"/>
        <w:rPr>
          <w:sz w:val="24"/>
          <w:szCs w:val="24"/>
        </w:rPr>
      </w:pPr>
      <w:r>
        <w:rPr>
          <w:sz w:val="24"/>
          <w:szCs w:val="24"/>
        </w:rPr>
        <w:t>The experimental period lasted for 28 days, including</w:t>
      </w:r>
      <w:r>
        <w:rPr>
          <w:sz w:val="24"/>
          <w:szCs w:val="24"/>
        </w:rPr>
        <w:t xml:space="preserve"> induction and treatment phases. Rats were observed daily for behavioral and physical changes, clinical signs of toxicity, and mortality. Body weights were recorded weekly throughout the study. At the end of the experiment, rats were anesthetized, and bloo</w:t>
      </w:r>
      <w:r>
        <w:rPr>
          <w:sz w:val="24"/>
          <w:szCs w:val="24"/>
        </w:rPr>
        <w:t>d and thyroid tissues were collected for analyses.</w:t>
      </w:r>
    </w:p>
    <w:p w:rsidR="00DE0C14" w:rsidRDefault="00796A82">
      <w:pPr>
        <w:spacing w:line="360" w:lineRule="auto"/>
        <w:jc w:val="both"/>
        <w:rPr>
          <w:b/>
          <w:bCs/>
          <w:sz w:val="24"/>
          <w:szCs w:val="24"/>
        </w:rPr>
      </w:pPr>
      <w:r>
        <w:rPr>
          <w:b/>
          <w:bCs/>
          <w:sz w:val="24"/>
          <w:szCs w:val="24"/>
        </w:rPr>
        <w:t>2.9 Measurement of Body Weight</w:t>
      </w:r>
    </w:p>
    <w:p w:rsidR="00DE0C14" w:rsidRDefault="00796A82">
      <w:pPr>
        <w:spacing w:line="360" w:lineRule="auto"/>
        <w:jc w:val="both"/>
        <w:rPr>
          <w:sz w:val="24"/>
          <w:szCs w:val="24"/>
        </w:rPr>
      </w:pPr>
      <w:r>
        <w:rPr>
          <w:sz w:val="24"/>
          <w:szCs w:val="24"/>
        </w:rPr>
        <w:t>The body weight of each rat was recorded at three stages:</w:t>
      </w:r>
    </w:p>
    <w:p w:rsidR="00DE0C14" w:rsidRDefault="00796A82">
      <w:pPr>
        <w:spacing w:line="360" w:lineRule="auto"/>
        <w:jc w:val="both"/>
        <w:rPr>
          <w:sz w:val="24"/>
          <w:szCs w:val="24"/>
        </w:rPr>
      </w:pPr>
      <w:r>
        <w:rPr>
          <w:sz w:val="24"/>
          <w:szCs w:val="24"/>
        </w:rPr>
        <w:t>Initial weight: before the commencement of the experiment.</w:t>
      </w:r>
    </w:p>
    <w:p w:rsidR="00DE0C14" w:rsidRDefault="00796A82">
      <w:pPr>
        <w:spacing w:line="360" w:lineRule="auto"/>
        <w:jc w:val="both"/>
        <w:rPr>
          <w:sz w:val="24"/>
          <w:szCs w:val="24"/>
        </w:rPr>
      </w:pPr>
      <w:r>
        <w:rPr>
          <w:sz w:val="24"/>
          <w:szCs w:val="24"/>
        </w:rPr>
        <w:t>Post-induction weight: immediately after goiter induction</w:t>
      </w:r>
      <w:r>
        <w:rPr>
          <w:sz w:val="24"/>
          <w:szCs w:val="24"/>
        </w:rPr>
        <w:t>.</w:t>
      </w:r>
    </w:p>
    <w:p w:rsidR="00DE0C14" w:rsidRDefault="00796A82">
      <w:pPr>
        <w:spacing w:line="360" w:lineRule="auto"/>
        <w:jc w:val="both"/>
        <w:rPr>
          <w:sz w:val="24"/>
          <w:szCs w:val="24"/>
        </w:rPr>
      </w:pPr>
      <w:r>
        <w:rPr>
          <w:sz w:val="24"/>
          <w:szCs w:val="24"/>
        </w:rPr>
        <w:t>Final weight: at the end of the treatment period.</w:t>
      </w:r>
    </w:p>
    <w:p w:rsidR="00DE0C14" w:rsidRDefault="00796A82">
      <w:pPr>
        <w:spacing w:line="360" w:lineRule="auto"/>
        <w:jc w:val="both"/>
        <w:rPr>
          <w:b/>
          <w:bCs/>
          <w:sz w:val="24"/>
          <w:szCs w:val="24"/>
        </w:rPr>
      </w:pPr>
      <w:r>
        <w:rPr>
          <w:sz w:val="24"/>
          <w:szCs w:val="24"/>
        </w:rPr>
        <w:t>The mean weight change and percentage weight change were calculated from the overall mean weight gain or loss across the 4-week study period.</w:t>
      </w:r>
    </w:p>
    <w:p w:rsidR="00DE0C14" w:rsidRDefault="00796A82">
      <w:pPr>
        <w:spacing w:line="360" w:lineRule="auto"/>
        <w:jc w:val="both"/>
        <w:rPr>
          <w:b/>
          <w:bCs/>
          <w:sz w:val="24"/>
          <w:szCs w:val="24"/>
        </w:rPr>
      </w:pPr>
      <w:r>
        <w:rPr>
          <w:b/>
          <w:bCs/>
          <w:sz w:val="24"/>
          <w:szCs w:val="24"/>
        </w:rPr>
        <w:t>2.10  Biochemical Analyses</w:t>
      </w:r>
    </w:p>
    <w:p w:rsidR="00DE0C14" w:rsidRDefault="00796A82">
      <w:pPr>
        <w:spacing w:line="360" w:lineRule="auto"/>
        <w:jc w:val="both"/>
        <w:rPr>
          <w:b/>
          <w:bCs/>
          <w:sz w:val="24"/>
          <w:szCs w:val="24"/>
        </w:rPr>
      </w:pPr>
      <w:r>
        <w:rPr>
          <w:b/>
          <w:bCs/>
          <w:sz w:val="24"/>
          <w:szCs w:val="24"/>
        </w:rPr>
        <w:t xml:space="preserve">Blood Collection and Serum </w:t>
      </w:r>
      <w:r>
        <w:rPr>
          <w:b/>
          <w:bCs/>
          <w:sz w:val="24"/>
          <w:szCs w:val="24"/>
        </w:rPr>
        <w:t>Preparation</w:t>
      </w:r>
    </w:p>
    <w:p w:rsidR="00DE0C14" w:rsidRDefault="00796A82">
      <w:pPr>
        <w:spacing w:line="360" w:lineRule="auto"/>
        <w:jc w:val="both"/>
        <w:rPr>
          <w:sz w:val="24"/>
          <w:szCs w:val="24"/>
        </w:rPr>
      </w:pPr>
      <w:r>
        <w:rPr>
          <w:sz w:val="24"/>
          <w:szCs w:val="24"/>
        </w:rPr>
        <w:t>Blood samples were collected via cardiac puncture under anesthesia into plain and EDTA tubes. Serum was separated by centrifugation at 3000 rpm for 10 minutes and stored at –20 °C until analysis.</w:t>
      </w:r>
    </w:p>
    <w:p w:rsidR="00DE0C14" w:rsidRDefault="00796A82">
      <w:pPr>
        <w:spacing w:line="360" w:lineRule="auto"/>
        <w:jc w:val="both"/>
        <w:rPr>
          <w:b/>
          <w:bCs/>
          <w:sz w:val="24"/>
          <w:szCs w:val="24"/>
        </w:rPr>
      </w:pPr>
      <w:r>
        <w:rPr>
          <w:b/>
          <w:bCs/>
          <w:sz w:val="24"/>
          <w:szCs w:val="24"/>
        </w:rPr>
        <w:t>Thyroid Hormones</w:t>
      </w:r>
    </w:p>
    <w:p w:rsidR="00DE0C14" w:rsidRDefault="00796A82">
      <w:pPr>
        <w:spacing w:line="360" w:lineRule="auto"/>
        <w:jc w:val="both"/>
        <w:rPr>
          <w:b/>
          <w:bCs/>
          <w:sz w:val="24"/>
          <w:szCs w:val="24"/>
        </w:rPr>
      </w:pPr>
      <w:r>
        <w:rPr>
          <w:sz w:val="24"/>
          <w:szCs w:val="24"/>
        </w:rPr>
        <w:t>Serum levels of triiodothyronin</w:t>
      </w:r>
      <w:r>
        <w:rPr>
          <w:sz w:val="24"/>
          <w:szCs w:val="24"/>
        </w:rPr>
        <w:t>e (T₃), thyroxine (T₄), and thyroid-stimulating hormone (TSH) were quantified using</w:t>
      </w:r>
      <w:r>
        <w:rPr>
          <w:b/>
          <w:bCs/>
          <w:sz w:val="24"/>
          <w:szCs w:val="24"/>
        </w:rPr>
        <w:t xml:space="preserve"> </w:t>
      </w:r>
      <w:r>
        <w:rPr>
          <w:sz w:val="24"/>
          <w:szCs w:val="24"/>
        </w:rPr>
        <w:t>ELISA kits (Randox, UK).</w:t>
      </w:r>
    </w:p>
    <w:p w:rsidR="00DE0C14" w:rsidRDefault="00796A82">
      <w:pPr>
        <w:spacing w:line="360" w:lineRule="auto"/>
        <w:jc w:val="both"/>
        <w:rPr>
          <w:b/>
          <w:bCs/>
          <w:sz w:val="24"/>
          <w:szCs w:val="24"/>
        </w:rPr>
      </w:pPr>
      <w:r>
        <w:rPr>
          <w:b/>
          <w:bCs/>
          <w:sz w:val="24"/>
          <w:szCs w:val="24"/>
        </w:rPr>
        <w:t>Cytokines</w:t>
      </w:r>
    </w:p>
    <w:p w:rsidR="00DE0C14" w:rsidRDefault="00796A82">
      <w:pPr>
        <w:spacing w:line="360" w:lineRule="auto"/>
        <w:jc w:val="both"/>
        <w:rPr>
          <w:b/>
          <w:bCs/>
          <w:sz w:val="24"/>
          <w:szCs w:val="24"/>
        </w:rPr>
      </w:pPr>
      <w:r>
        <w:rPr>
          <w:sz w:val="24"/>
          <w:szCs w:val="24"/>
        </w:rPr>
        <w:t>Pro-inflammatory cytokines, including TNF-α, IL-1β, and IL-6, were determined using rat-specific ELISA kits.</w:t>
      </w:r>
    </w:p>
    <w:p w:rsidR="00DE0C14" w:rsidRDefault="00796A82">
      <w:pPr>
        <w:spacing w:line="360" w:lineRule="auto"/>
        <w:jc w:val="both"/>
        <w:rPr>
          <w:b/>
          <w:bCs/>
          <w:sz w:val="24"/>
          <w:szCs w:val="24"/>
        </w:rPr>
      </w:pPr>
      <w:r>
        <w:rPr>
          <w:b/>
          <w:bCs/>
          <w:sz w:val="24"/>
          <w:szCs w:val="24"/>
        </w:rPr>
        <w:lastRenderedPageBreak/>
        <w:t xml:space="preserve">2.11 Statistical Analysis </w:t>
      </w:r>
    </w:p>
    <w:p w:rsidR="00DE0C14" w:rsidRDefault="00796A82">
      <w:pPr>
        <w:spacing w:line="360" w:lineRule="auto"/>
        <w:jc w:val="both"/>
        <w:rPr>
          <w:b/>
          <w:bCs/>
          <w:sz w:val="24"/>
          <w:szCs w:val="24"/>
        </w:rPr>
      </w:pPr>
      <w:r>
        <w:rPr>
          <w:sz w:val="24"/>
          <w:szCs w:val="24"/>
        </w:rPr>
        <w:t>D</w:t>
      </w:r>
      <w:r>
        <w:rPr>
          <w:sz w:val="24"/>
          <w:szCs w:val="24"/>
        </w:rPr>
        <w:t>ata were expressed as mean ± SD. One-way ANOVA followed by Tukey’s post hoc test was applied. Significance was considered at p &lt; 0.05.</w:t>
      </w: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796A82">
      <w:pPr>
        <w:spacing w:line="360" w:lineRule="auto"/>
        <w:jc w:val="both"/>
        <w:rPr>
          <w:b/>
          <w:bCs/>
          <w:sz w:val="24"/>
          <w:szCs w:val="24"/>
        </w:rPr>
      </w:pPr>
      <w:r>
        <w:rPr>
          <w:b/>
          <w:bCs/>
          <w:sz w:val="24"/>
          <w:szCs w:val="24"/>
        </w:rPr>
        <w:t>3.0 Results &amp; Discussion</w:t>
      </w:r>
    </w:p>
    <w:p w:rsidR="00DE0C14" w:rsidRDefault="00796A82">
      <w:pPr>
        <w:spacing w:line="360" w:lineRule="auto"/>
        <w:rPr>
          <w:b/>
          <w:bCs/>
          <w:sz w:val="24"/>
          <w:szCs w:val="24"/>
        </w:rPr>
      </w:pPr>
      <w:r>
        <w:rPr>
          <w:b/>
          <w:bCs/>
          <w:sz w:val="24"/>
          <w:szCs w:val="24"/>
        </w:rPr>
        <w:t>3.1 Animal profiling</w:t>
      </w:r>
    </w:p>
    <w:p w:rsidR="00DE0C14" w:rsidRDefault="00796A82">
      <w:pPr>
        <w:spacing w:line="360" w:lineRule="auto"/>
        <w:rPr>
          <w:b/>
          <w:bCs/>
          <w:sz w:val="24"/>
          <w:szCs w:val="24"/>
        </w:rPr>
      </w:pPr>
      <w:r>
        <w:rPr>
          <w:b/>
          <w:bCs/>
          <w:sz w:val="24"/>
          <w:szCs w:val="24"/>
        </w:rPr>
        <w:t xml:space="preserve">Table 1. showed the animals (Albino rats) profiling within the </w:t>
      </w:r>
      <w:r>
        <w:rPr>
          <w:b/>
          <w:bCs/>
          <w:sz w:val="24"/>
          <w:szCs w:val="24"/>
        </w:rPr>
        <w:t>28 days of the study.</w:t>
      </w:r>
    </w:p>
    <w:tbl>
      <w:tblPr>
        <w:tblW w:w="0" w:type="auto"/>
        <w:tblLook w:val="04A0" w:firstRow="1" w:lastRow="0" w:firstColumn="1" w:lastColumn="0" w:noHBand="0" w:noVBand="1"/>
      </w:tblPr>
      <w:tblGrid>
        <w:gridCol w:w="938"/>
        <w:gridCol w:w="2050"/>
        <w:gridCol w:w="1880"/>
        <w:gridCol w:w="1417"/>
        <w:gridCol w:w="2894"/>
      </w:tblGrid>
      <w:tr w:rsidR="00DE0C14">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b/>
                <w:bCs/>
                <w:sz w:val="24"/>
                <w:szCs w:val="24"/>
              </w:rPr>
              <w:t xml:space="preserve">Groups </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Treatments</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Milli-litre (ml)</w:t>
            </w:r>
          </w:p>
          <w:p w:rsidR="00DE0C14" w:rsidRDefault="00DE0C14">
            <w:pPr>
              <w:spacing w:after="160" w:line="360"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rFonts w:ascii="Times New Roman" w:eastAsia="Calibri" w:hAnsi="Times New Roman"/>
                <w:b/>
                <w:bCs/>
                <w:sz w:val="24"/>
                <w:szCs w:val="24"/>
                <w:lang w:eastAsia="en-US"/>
              </w:rPr>
              <w:t>Number of death</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Observations</w:t>
            </w:r>
          </w:p>
          <w:p w:rsidR="00DE0C14" w:rsidRDefault="00DE0C14">
            <w:pPr>
              <w:spacing w:after="160" w:line="360" w:lineRule="auto"/>
              <w:jc w:val="both"/>
              <w:rPr>
                <w:sz w:val="24"/>
                <w:szCs w:val="24"/>
              </w:rPr>
            </w:pPr>
          </w:p>
        </w:tc>
      </w:tr>
      <w:tr w:rsidR="00DE0C14">
        <w:trPr>
          <w:trHeight w:val="707"/>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lastRenderedPageBreak/>
              <w:t>1.</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Control Group</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 xml:space="preserve">None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 xml:space="preserve">Normal </w:t>
            </w:r>
          </w:p>
        </w:tc>
      </w:tr>
      <w:tr w:rsidR="00DE0C14">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2.</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rFonts w:ascii="Times New Roman" w:eastAsia="Calibri" w:hAnsi="Times New Roman"/>
                <w:sz w:val="24"/>
                <w:szCs w:val="24"/>
                <w:lang w:eastAsia="en-US"/>
              </w:rPr>
              <w:t>KClO</w:t>
            </w:r>
            <w:r>
              <w:rPr>
                <w:rFonts w:ascii="Times New Roman" w:eastAsia="Calibri" w:hAnsi="Times New Roman"/>
                <w:sz w:val="24"/>
                <w:szCs w:val="24"/>
                <w:vertAlign w:val="subscript"/>
                <w:lang w:eastAsia="en-US"/>
              </w:rPr>
              <w:t xml:space="preserve">4 </w:t>
            </w:r>
            <w:r>
              <w:rPr>
                <w:rFonts w:ascii="Times New Roman" w:eastAsia="Calibri" w:hAnsi="Times New Roman"/>
                <w:sz w:val="24"/>
                <w:szCs w:val="24"/>
                <w:lang w:eastAsia="en-US"/>
              </w:rPr>
              <w:t xml:space="preserve">only </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0.6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 xml:space="preserve">No mortality, weight loss </w:t>
            </w:r>
          </w:p>
        </w:tc>
      </w:tr>
      <w:tr w:rsidR="00DE0C14">
        <w:trPr>
          <w:trHeight w:val="815"/>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3.</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rFonts w:ascii="Times New Roman" w:eastAsia="Calibri" w:hAnsi="Times New Roman"/>
                <w:sz w:val="24"/>
                <w:szCs w:val="24"/>
                <w:lang w:eastAsia="en-US"/>
              </w:rPr>
              <w:t>KClO</w:t>
            </w:r>
            <w:r>
              <w:rPr>
                <w:rFonts w:ascii="Times New Roman" w:eastAsia="Calibri" w:hAnsi="Times New Roman"/>
                <w:sz w:val="24"/>
                <w:szCs w:val="24"/>
                <w:vertAlign w:val="subscript"/>
                <w:lang w:eastAsia="en-US"/>
              </w:rPr>
              <w:t xml:space="preserve">4 </w:t>
            </w:r>
            <w:r>
              <w:rPr>
                <w:rFonts w:ascii="Times New Roman" w:eastAsia="Calibri" w:hAnsi="Times New Roman"/>
                <w:sz w:val="24"/>
                <w:szCs w:val="24"/>
                <w:lang w:eastAsia="en-US"/>
              </w:rPr>
              <w:t>+FE 200mg/kg</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0.6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sz w:val="24"/>
                <w:szCs w:val="24"/>
              </w:rPr>
              <w:t xml:space="preserve">No mortality, no clinical or behavioral abnormalities were observed, weight gain </w:t>
            </w:r>
          </w:p>
        </w:tc>
      </w:tr>
      <w:tr w:rsidR="00DE0C14">
        <w:trPr>
          <w:trHeight w:val="770"/>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4.</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rFonts w:ascii="Times New Roman" w:eastAsia="Calibri" w:hAnsi="Times New Roman"/>
                <w:sz w:val="24"/>
                <w:szCs w:val="24"/>
                <w:lang w:eastAsia="en-US"/>
              </w:rPr>
              <w:t>KClO</w:t>
            </w:r>
            <w:r>
              <w:rPr>
                <w:rFonts w:ascii="Times New Roman" w:eastAsia="Calibri" w:hAnsi="Times New Roman"/>
                <w:sz w:val="24"/>
                <w:szCs w:val="24"/>
                <w:vertAlign w:val="subscript"/>
                <w:lang w:eastAsia="en-US"/>
              </w:rPr>
              <w:t xml:space="preserve">4 </w:t>
            </w:r>
            <w:r>
              <w:rPr>
                <w:rFonts w:ascii="Times New Roman" w:eastAsia="Calibri" w:hAnsi="Times New Roman"/>
                <w:sz w:val="24"/>
                <w:szCs w:val="24"/>
                <w:lang w:eastAsia="en-US"/>
              </w:rPr>
              <w:t>+ FE 400mg/kg</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1.2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sz w:val="24"/>
                <w:szCs w:val="24"/>
              </w:rPr>
              <w:t xml:space="preserve">No mortality, no clinical or behavioral abnormalities were observed, weight gain </w:t>
            </w:r>
          </w:p>
        </w:tc>
      </w:tr>
      <w:tr w:rsidR="00DE0C14">
        <w:trPr>
          <w:trHeight w:val="871"/>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b/>
                <w:bCs/>
                <w:sz w:val="24"/>
                <w:szCs w:val="24"/>
                <w:lang w:eastAsia="en-US"/>
              </w:rPr>
              <w:t>5.</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rPr>
                <w:sz w:val="24"/>
                <w:szCs w:val="24"/>
              </w:rPr>
            </w:pPr>
            <w:r>
              <w:rPr>
                <w:rFonts w:ascii="Times New Roman" w:eastAsia="Calibri" w:hAnsi="Times New Roman"/>
                <w:sz w:val="24"/>
                <w:szCs w:val="24"/>
                <w:lang w:eastAsia="en-US"/>
              </w:rPr>
              <w:t>Standard drugs (Levothyroxine)</w:t>
            </w:r>
          </w:p>
          <w:p w:rsidR="00DE0C14" w:rsidRDefault="00DE0C14">
            <w:pPr>
              <w:spacing w:after="160" w:line="360" w:lineRule="auto"/>
              <w:rPr>
                <w:sz w:val="24"/>
                <w:szCs w:val="24"/>
              </w:rPr>
            </w:pP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0.3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after="160" w:line="360" w:lineRule="auto"/>
              <w:jc w:val="both"/>
              <w:rPr>
                <w:sz w:val="24"/>
                <w:szCs w:val="24"/>
              </w:rPr>
            </w:pPr>
            <w:r>
              <w:rPr>
                <w:sz w:val="24"/>
                <w:szCs w:val="24"/>
              </w:rPr>
              <w:t xml:space="preserve">No </w:t>
            </w:r>
            <w:r>
              <w:rPr>
                <w:sz w:val="24"/>
                <w:szCs w:val="24"/>
              </w:rPr>
              <w:t>mortality, restlessness, anxiety, weight loss.</w:t>
            </w:r>
          </w:p>
        </w:tc>
      </w:tr>
    </w:tbl>
    <w:p w:rsidR="00DE0C14" w:rsidRDefault="00796A82">
      <w:pPr>
        <w:spacing w:line="360" w:lineRule="auto"/>
        <w:rPr>
          <w:b/>
          <w:bCs/>
          <w:sz w:val="24"/>
          <w:szCs w:val="24"/>
        </w:rPr>
      </w:pPr>
      <w:r>
        <w:rPr>
          <w:b/>
          <w:bCs/>
          <w:sz w:val="24"/>
          <w:szCs w:val="24"/>
        </w:rPr>
        <w:t>No deaths occurred in any group. KClO₄ induced visible goiter in Groups II–V, absent in Group I. Levothyroxine-treated rats showed mild anxiety and reduced weight gain (Table 4).</w:t>
      </w:r>
    </w:p>
    <w:p w:rsidR="00DE0C14" w:rsidRDefault="00DE0C14">
      <w:pPr>
        <w:spacing w:line="360" w:lineRule="auto"/>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796A82">
      <w:pPr>
        <w:spacing w:line="360" w:lineRule="auto"/>
        <w:jc w:val="both"/>
        <w:rPr>
          <w:sz w:val="24"/>
          <w:szCs w:val="24"/>
        </w:rPr>
      </w:pPr>
      <w:r>
        <w:rPr>
          <w:noProof/>
          <w:sz w:val="24"/>
          <w:szCs w:val="24"/>
        </w:rPr>
        <w:lastRenderedPageBreak/>
        <w:drawing>
          <wp:anchor distT="0" distB="0" distL="0" distR="0" simplePos="0" relativeHeight="8" behindDoc="0" locked="0" layoutInCell="1" allowOverlap="1">
            <wp:simplePos x="0" y="0"/>
            <wp:positionH relativeFrom="page">
              <wp:posOffset>1080655</wp:posOffset>
            </wp:positionH>
            <wp:positionV relativeFrom="page">
              <wp:posOffset>676894</wp:posOffset>
            </wp:positionV>
            <wp:extent cx="3015615" cy="3376929"/>
            <wp:effectExtent l="0" t="0" r="0" b="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3015615" cy="3376929"/>
                    </a:xfrm>
                    <a:prstGeom prst="rect">
                      <a:avLst/>
                    </a:prstGeom>
                  </pic:spPr>
                </pic:pic>
              </a:graphicData>
            </a:graphic>
          </wp:anchor>
        </w:drawing>
      </w: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796A82">
      <w:pPr>
        <w:spacing w:line="360" w:lineRule="auto"/>
        <w:jc w:val="both"/>
        <w:rPr>
          <w:sz w:val="24"/>
          <w:szCs w:val="24"/>
        </w:rPr>
      </w:pPr>
      <w:r>
        <w:rPr>
          <w:noProof/>
          <w:sz w:val="24"/>
          <w:szCs w:val="24"/>
        </w:rPr>
        <w:drawing>
          <wp:anchor distT="0" distB="0" distL="0" distR="0" simplePos="0" relativeHeight="2" behindDoc="0" locked="0" layoutInCell="1" allowOverlap="1">
            <wp:simplePos x="0" y="0"/>
            <wp:positionH relativeFrom="page">
              <wp:posOffset>4282440</wp:posOffset>
            </wp:positionH>
            <wp:positionV relativeFrom="page">
              <wp:posOffset>464820</wp:posOffset>
            </wp:positionV>
            <wp:extent cx="2971800" cy="3534409"/>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2971800" cy="3534409"/>
                    </a:xfrm>
                    <a:prstGeom prst="rect">
                      <a:avLst/>
                    </a:prstGeom>
                  </pic:spPr>
                </pic:pic>
              </a:graphicData>
            </a:graphic>
          </wp:anchor>
        </w:drawing>
      </w:r>
      <w:r>
        <w:rPr>
          <w:noProof/>
          <w:sz w:val="24"/>
          <w:szCs w:val="24"/>
        </w:rPr>
        <w:drawing>
          <wp:anchor distT="0" distB="0" distL="0" distR="0" simplePos="0" relativeHeight="6" behindDoc="0" locked="0" layoutInCell="1" allowOverlap="1">
            <wp:simplePos x="0" y="0"/>
            <wp:positionH relativeFrom="page">
              <wp:posOffset>1044300</wp:posOffset>
            </wp:positionH>
            <wp:positionV relativeFrom="page">
              <wp:posOffset>4549398</wp:posOffset>
            </wp:positionV>
            <wp:extent cx="3114039" cy="3409314"/>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3114039" cy="3409314"/>
                    </a:xfrm>
                    <a:prstGeom prst="rect">
                      <a:avLst/>
                    </a:prstGeom>
                  </pic:spPr>
                </pic:pic>
              </a:graphicData>
            </a:graphic>
          </wp:anchor>
        </w:drawing>
      </w:r>
      <w:r>
        <w:rPr>
          <w:noProof/>
          <w:sz w:val="24"/>
          <w:szCs w:val="24"/>
        </w:rPr>
        <w:drawing>
          <wp:anchor distT="0" distB="0" distL="0" distR="0" simplePos="0" relativeHeight="3" behindDoc="0" locked="0" layoutInCell="1" allowOverlap="1">
            <wp:simplePos x="0" y="0"/>
            <wp:positionH relativeFrom="page">
              <wp:posOffset>4367979</wp:posOffset>
            </wp:positionH>
            <wp:positionV relativeFrom="page">
              <wp:posOffset>4530526</wp:posOffset>
            </wp:positionV>
            <wp:extent cx="2973705" cy="3465829"/>
            <wp:effectExtent l="0" t="0" r="0" b="0"/>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2973705" cy="3465829"/>
                    </a:xfrm>
                    <a:prstGeom prst="rect">
                      <a:avLst/>
                    </a:prstGeom>
                  </pic:spPr>
                </pic:pic>
              </a:graphicData>
            </a:graphic>
          </wp:anchor>
        </w:drawing>
      </w: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jc w:val="both"/>
        <w:rPr>
          <w:sz w:val="24"/>
          <w:szCs w:val="24"/>
        </w:rPr>
      </w:pPr>
    </w:p>
    <w:p w:rsidR="00DE0C14" w:rsidRDefault="00DE0C14">
      <w:pPr>
        <w:spacing w:line="360" w:lineRule="auto"/>
        <w:rPr>
          <w:b/>
          <w:bCs/>
          <w:caps/>
          <w:sz w:val="24"/>
          <w:szCs w:val="24"/>
        </w:rPr>
      </w:pPr>
    </w:p>
    <w:p w:rsidR="00DE0C14" w:rsidRDefault="00DE0C14">
      <w:pPr>
        <w:spacing w:line="360" w:lineRule="auto"/>
        <w:rPr>
          <w:b/>
          <w:bCs/>
          <w:sz w:val="24"/>
          <w:szCs w:val="24"/>
        </w:rPr>
      </w:pPr>
    </w:p>
    <w:p w:rsidR="00DE0C14" w:rsidRDefault="00796A82">
      <w:pPr>
        <w:spacing w:line="360" w:lineRule="auto"/>
        <w:rPr>
          <w:sz w:val="24"/>
          <w:szCs w:val="24"/>
        </w:rPr>
      </w:pPr>
      <w:r>
        <w:rPr>
          <w:b/>
          <w:bCs/>
          <w:sz w:val="24"/>
          <w:szCs w:val="24"/>
        </w:rPr>
        <w:t>Figure 2: showed image of Normal control albino rat and Rats with enlargement of the thyroid gland (goiter).</w:t>
      </w:r>
    </w:p>
    <w:p w:rsidR="00DE0C14" w:rsidRDefault="00DE0C14">
      <w:pPr>
        <w:spacing w:line="360" w:lineRule="auto"/>
        <w:jc w:val="both"/>
        <w:rPr>
          <w:sz w:val="24"/>
          <w:szCs w:val="24"/>
        </w:rPr>
      </w:pPr>
    </w:p>
    <w:p w:rsidR="00DE0C14" w:rsidRDefault="00796A82">
      <w:pPr>
        <w:spacing w:line="360" w:lineRule="auto"/>
        <w:jc w:val="both"/>
        <w:rPr>
          <w:b/>
          <w:bCs/>
          <w:sz w:val="24"/>
          <w:szCs w:val="24"/>
        </w:rPr>
      </w:pPr>
      <w:r>
        <w:rPr>
          <w:b/>
          <w:bCs/>
          <w:sz w:val="24"/>
          <w:szCs w:val="24"/>
        </w:rPr>
        <w:t>Table 2 Effect of fenugreek seed ethanol extract on body weight changes in albino rats with KClO₄-induced goiter</w:t>
      </w:r>
    </w:p>
    <w:tbl>
      <w:tblPr>
        <w:tblW w:w="9759" w:type="dxa"/>
        <w:tblLook w:val="04A0" w:firstRow="1" w:lastRow="0" w:firstColumn="1" w:lastColumn="0" w:noHBand="0" w:noVBand="1"/>
      </w:tblPr>
      <w:tblGrid>
        <w:gridCol w:w="1747"/>
        <w:gridCol w:w="1859"/>
        <w:gridCol w:w="1741"/>
        <w:gridCol w:w="1859"/>
        <w:gridCol w:w="1477"/>
        <w:gridCol w:w="1076"/>
      </w:tblGrid>
      <w:tr w:rsidR="00DE0C14">
        <w:trPr>
          <w:trHeight w:val="963"/>
        </w:trPr>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b/>
                <w:bCs/>
                <w:sz w:val="24"/>
                <w:szCs w:val="24"/>
              </w:rPr>
              <w:lastRenderedPageBreak/>
              <w:t>Group</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b/>
                <w:bCs/>
                <w:sz w:val="24"/>
                <w:szCs w:val="24"/>
              </w:rPr>
              <w:t>Initial weight (g) Day 1</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b/>
                <w:bCs/>
                <w:sz w:val="24"/>
                <w:szCs w:val="24"/>
              </w:rPr>
              <w:t>Po</w:t>
            </w:r>
            <w:r>
              <w:rPr>
                <w:b/>
                <w:bCs/>
                <w:sz w:val="24"/>
                <w:szCs w:val="24"/>
              </w:rPr>
              <w:t>st- induction weight (g)         Day 14</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b/>
                <w:bCs/>
                <w:sz w:val="24"/>
                <w:szCs w:val="24"/>
              </w:rPr>
              <w:t>Final weight (g)</w:t>
            </w:r>
          </w:p>
          <w:p w:rsidR="00DE0C14" w:rsidRDefault="00796A82">
            <w:pPr>
              <w:spacing w:line="360" w:lineRule="auto"/>
              <w:rPr>
                <w:sz w:val="24"/>
                <w:szCs w:val="24"/>
              </w:rPr>
            </w:pPr>
            <w:r>
              <w:rPr>
                <w:b/>
                <w:bCs/>
                <w:sz w:val="24"/>
                <w:szCs w:val="24"/>
              </w:rPr>
              <w:t>Day 28</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b/>
                <w:bCs/>
                <w:sz w:val="24"/>
                <w:szCs w:val="24"/>
              </w:rPr>
              <w:t>weight gain (g)</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b/>
                <w:bCs/>
                <w:sz w:val="24"/>
                <w:szCs w:val="24"/>
              </w:rPr>
              <w:t>%wieght gain</w:t>
            </w:r>
          </w:p>
        </w:tc>
      </w:tr>
      <w:tr w:rsidR="00DE0C14">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 xml:space="preserve">Normal control </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163.48±7.89</w:t>
            </w:r>
            <w:r>
              <w:rPr>
                <w:rFonts w:ascii="Times New Roman" w:eastAsia="Calibri" w:hAnsi="Times New Roman"/>
                <w:sz w:val="24"/>
                <w:szCs w:val="24"/>
                <w:vertAlign w:val="superscript"/>
                <w:lang w:eastAsia="en-US"/>
              </w:rPr>
              <w:t>a,b,4</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173.±5.5582</w:t>
            </w:r>
            <w:r>
              <w:rPr>
                <w:rFonts w:ascii="Times New Roman" w:eastAsia="Calibri" w:hAnsi="Times New Roman"/>
                <w:sz w:val="24"/>
                <w:szCs w:val="24"/>
                <w:vertAlign w:val="superscript"/>
                <w:lang w:eastAsia="en-US"/>
              </w:rPr>
              <w:t>a,5</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185.64±5.17c</w:t>
            </w:r>
            <w:r>
              <w:rPr>
                <w:rFonts w:ascii="Times New Roman" w:eastAsia="Calibri" w:hAnsi="Times New Roman"/>
                <w:sz w:val="24"/>
                <w:szCs w:val="24"/>
                <w:vertAlign w:val="superscript"/>
                <w:lang w:eastAsia="en-US"/>
              </w:rPr>
              <w:t>,6</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22.6</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13.55%</w:t>
            </w:r>
          </w:p>
        </w:tc>
      </w:tr>
      <w:tr w:rsidR="00DE0C14">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Negative control (KClO</w:t>
            </w:r>
            <w:r>
              <w:rPr>
                <w:sz w:val="24"/>
                <w:szCs w:val="24"/>
                <w:vertAlign w:val="subscript"/>
              </w:rPr>
              <w:t xml:space="preserve">4 </w:t>
            </w:r>
            <w:r>
              <w:rPr>
                <w:sz w:val="24"/>
                <w:szCs w:val="24"/>
              </w:rPr>
              <w:t>only)</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161.55±5.71</w:t>
            </w:r>
            <w:r>
              <w:rPr>
                <w:rFonts w:ascii="Times New Roman" w:eastAsia="Calibri" w:hAnsi="Times New Roman"/>
                <w:sz w:val="24"/>
                <w:szCs w:val="24"/>
                <w:vertAlign w:val="superscript"/>
                <w:lang w:eastAsia="en-US"/>
              </w:rPr>
              <w:t>a,3</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167.66±4.53</w:t>
            </w:r>
            <w:r>
              <w:rPr>
                <w:rFonts w:ascii="Times New Roman" w:eastAsia="Calibri" w:hAnsi="Times New Roman"/>
                <w:sz w:val="24"/>
                <w:szCs w:val="24"/>
                <w:vertAlign w:val="superscript"/>
                <w:lang w:eastAsia="en-US"/>
              </w:rPr>
              <w:t>a,4</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170.26±3.71</w:t>
            </w:r>
            <w:r>
              <w:rPr>
                <w:rFonts w:ascii="Times New Roman" w:eastAsia="Calibri" w:hAnsi="Times New Roman"/>
                <w:sz w:val="24"/>
                <w:szCs w:val="24"/>
                <w:vertAlign w:val="superscript"/>
                <w:lang w:eastAsia="en-US"/>
              </w:rPr>
              <w:t>a,4</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8.71</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5.39%</w:t>
            </w:r>
          </w:p>
        </w:tc>
      </w:tr>
      <w:tr w:rsidR="00DE0C14">
        <w:trPr>
          <w:trHeight w:val="581"/>
        </w:trPr>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KClO</w:t>
            </w:r>
            <w:r>
              <w:rPr>
                <w:sz w:val="24"/>
                <w:szCs w:val="24"/>
                <w:vertAlign w:val="subscript"/>
              </w:rPr>
              <w:t xml:space="preserve">4 </w:t>
            </w:r>
            <w:r>
              <w:rPr>
                <w:sz w:val="24"/>
                <w:szCs w:val="24"/>
              </w:rPr>
              <w:t>+ FE 200mg/kg</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163.98±5.12</w:t>
            </w:r>
            <w:r>
              <w:rPr>
                <w:rFonts w:ascii="Times New Roman" w:eastAsia="Calibri" w:hAnsi="Times New Roman"/>
                <w:sz w:val="24"/>
                <w:szCs w:val="24"/>
                <w:vertAlign w:val="superscript"/>
                <w:lang w:eastAsia="en-US"/>
              </w:rPr>
              <w:t>a,b,4</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171.56±7.05</w:t>
            </w:r>
            <w:r>
              <w:rPr>
                <w:rFonts w:ascii="Times New Roman" w:eastAsia="Calibri" w:hAnsi="Times New Roman"/>
                <w:sz w:val="24"/>
                <w:szCs w:val="24"/>
                <w:vertAlign w:val="superscript"/>
                <w:lang w:eastAsia="en-US"/>
              </w:rPr>
              <w:t>a,5</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177.39±4.55</w:t>
            </w:r>
            <w:r>
              <w:rPr>
                <w:rFonts w:ascii="Times New Roman" w:eastAsia="Calibri" w:hAnsi="Times New Roman"/>
                <w:sz w:val="24"/>
                <w:szCs w:val="24"/>
                <w:vertAlign w:val="superscript"/>
                <w:lang w:eastAsia="en-US"/>
              </w:rPr>
              <w:t>a,b,5</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13.41</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8.17%</w:t>
            </w:r>
          </w:p>
        </w:tc>
      </w:tr>
      <w:tr w:rsidR="00DE0C14">
        <w:trPr>
          <w:trHeight w:val="1041"/>
        </w:trPr>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KClO</w:t>
            </w:r>
            <w:r>
              <w:rPr>
                <w:sz w:val="24"/>
                <w:szCs w:val="24"/>
                <w:vertAlign w:val="subscript"/>
              </w:rPr>
              <w:t xml:space="preserve">4 </w:t>
            </w:r>
            <w:r>
              <w:rPr>
                <w:sz w:val="24"/>
                <w:szCs w:val="24"/>
              </w:rPr>
              <w:t>+ FE 400mg/kg</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164.86±7.09</w:t>
            </w:r>
            <w:r>
              <w:rPr>
                <w:rFonts w:ascii="Times New Roman" w:eastAsia="Calibri" w:hAnsi="Times New Roman"/>
                <w:sz w:val="24"/>
                <w:szCs w:val="24"/>
                <w:vertAlign w:val="superscript"/>
                <w:lang w:eastAsia="en-US"/>
              </w:rPr>
              <w:t>a,b,3</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173.15±7.22</w:t>
            </w:r>
            <w:r>
              <w:rPr>
                <w:rFonts w:ascii="Times New Roman" w:eastAsia="Calibri" w:hAnsi="Times New Roman"/>
                <w:sz w:val="24"/>
                <w:szCs w:val="24"/>
                <w:vertAlign w:val="superscript"/>
                <w:lang w:eastAsia="en-US"/>
              </w:rPr>
              <w:t>a,4</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181.02±8.09</w:t>
            </w:r>
            <w:r>
              <w:rPr>
                <w:rFonts w:ascii="Times New Roman" w:eastAsia="Calibri" w:hAnsi="Times New Roman"/>
                <w:sz w:val="24"/>
                <w:szCs w:val="24"/>
                <w:vertAlign w:val="superscript"/>
                <w:lang w:eastAsia="en-US"/>
              </w:rPr>
              <w:t>b,c,4</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16.16</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9.80%</w:t>
            </w:r>
          </w:p>
        </w:tc>
      </w:tr>
      <w:tr w:rsidR="00DE0C14">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Standard drugs (Levothyroxine)</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172.59±5.77</w:t>
            </w:r>
            <w:r>
              <w:rPr>
                <w:rFonts w:ascii="Times New Roman" w:eastAsia="Calibri" w:hAnsi="Times New Roman"/>
                <w:sz w:val="24"/>
                <w:szCs w:val="24"/>
                <w:vertAlign w:val="superscript"/>
                <w:lang w:eastAsia="en-US"/>
              </w:rPr>
              <w:t>b,3</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172.34±6.86</w:t>
            </w:r>
            <w:r>
              <w:rPr>
                <w:rFonts w:ascii="Times New Roman" w:eastAsia="Calibri" w:hAnsi="Times New Roman"/>
                <w:sz w:val="24"/>
                <w:szCs w:val="24"/>
                <w:vertAlign w:val="superscript"/>
                <w:lang w:eastAsia="en-US"/>
              </w:rPr>
              <w:t>a,3</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176.80±6.40</w:t>
            </w:r>
            <w:r>
              <w:rPr>
                <w:rFonts w:ascii="Times New Roman" w:eastAsia="Calibri" w:hAnsi="Times New Roman"/>
                <w:sz w:val="24"/>
                <w:szCs w:val="24"/>
                <w:vertAlign w:val="superscript"/>
                <w:lang w:eastAsia="en-US"/>
              </w:rPr>
              <w:t>a,b,3</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4.21</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2.44%</w:t>
            </w:r>
          </w:p>
        </w:tc>
      </w:tr>
    </w:tbl>
    <w:p w:rsidR="00DE0C14" w:rsidRDefault="00796A82">
      <w:pPr>
        <w:spacing w:line="360" w:lineRule="auto"/>
        <w:jc w:val="both"/>
        <w:rPr>
          <w:i/>
          <w:iCs/>
          <w:sz w:val="24"/>
          <w:szCs w:val="24"/>
        </w:rPr>
      </w:pPr>
      <w:r>
        <w:rPr>
          <w:rFonts w:ascii="Times New Roman" w:eastAsia="Calibri" w:hAnsi="Times New Roman"/>
          <w:i/>
          <w:iCs/>
          <w:sz w:val="24"/>
          <w:szCs w:val="24"/>
          <w:lang w:eastAsia="en-US"/>
        </w:rPr>
        <w:t>Values are presented as mean ± standard deviation (n = 5); and mean with different letter superscripts are significantly (P &lt; 0.05) different within the column.</w:t>
      </w:r>
    </w:p>
    <w:p w:rsidR="00DE0C14" w:rsidRDefault="00796A82">
      <w:pPr>
        <w:spacing w:line="360" w:lineRule="auto"/>
        <w:jc w:val="both"/>
        <w:rPr>
          <w:sz w:val="24"/>
          <w:szCs w:val="24"/>
        </w:rPr>
      </w:pPr>
      <w:r>
        <w:rPr>
          <w:sz w:val="24"/>
          <w:szCs w:val="24"/>
        </w:rPr>
        <w:t>Table 2 presents the effects of fenugreek seed ethanol extract (FSE) and levothyroxine (LT4) on</w:t>
      </w:r>
      <w:r>
        <w:rPr>
          <w:sz w:val="24"/>
          <w:szCs w:val="24"/>
        </w:rPr>
        <w:t xml:space="preserve"> body weight in albino rats with KClO₄-induced goiter. The normal control group exhibited steady growth over 28 days (13.55% weight gain), reflecting normal metabolic and anabolic activity. In contrast, KClO₄-only rats (negative control) showed markedly re</w:t>
      </w:r>
      <w:r>
        <w:rPr>
          <w:sz w:val="24"/>
          <w:szCs w:val="24"/>
        </w:rPr>
        <w:t xml:space="preserve">duced weight gain (5.39%), confirming that KClO₄-induced hypothyroidism impairs growth and basal metabolism (Lee </w:t>
      </w:r>
      <w:r>
        <w:rPr>
          <w:i/>
          <w:iCs/>
          <w:sz w:val="24"/>
          <w:szCs w:val="24"/>
        </w:rPr>
        <w:t>et al</w:t>
      </w:r>
      <w:r>
        <w:rPr>
          <w:sz w:val="24"/>
          <w:szCs w:val="24"/>
        </w:rPr>
        <w:t>., 2014).</w:t>
      </w:r>
    </w:p>
    <w:p w:rsidR="00DE0C14" w:rsidRDefault="00DE0C14">
      <w:pPr>
        <w:spacing w:line="360" w:lineRule="auto"/>
        <w:jc w:val="both"/>
        <w:rPr>
          <w:sz w:val="24"/>
          <w:szCs w:val="24"/>
        </w:rPr>
      </w:pPr>
    </w:p>
    <w:p w:rsidR="00DE0C14" w:rsidRDefault="00796A82">
      <w:pPr>
        <w:spacing w:line="360" w:lineRule="auto"/>
        <w:jc w:val="both"/>
        <w:rPr>
          <w:sz w:val="24"/>
          <w:szCs w:val="24"/>
        </w:rPr>
      </w:pPr>
      <w:r>
        <w:rPr>
          <w:sz w:val="24"/>
          <w:szCs w:val="24"/>
        </w:rPr>
        <w:t>Treatment with FSE partially restored body weight in a dose-dependent manner, with 200 mg/kg and 400 mg/kg groups achieving 8.1</w:t>
      </w:r>
      <w:r>
        <w:rPr>
          <w:sz w:val="24"/>
          <w:szCs w:val="24"/>
        </w:rPr>
        <w:t xml:space="preserve">7% and 9.80% weight gain, respectively. This improvement suggests that FSE may enhance metabolic or anabolic processes under </w:t>
      </w:r>
      <w:r>
        <w:rPr>
          <w:sz w:val="24"/>
          <w:szCs w:val="24"/>
        </w:rPr>
        <w:lastRenderedPageBreak/>
        <w:t xml:space="preserve">hypothyroid conditions, potentially via antioxidant activity, anti-inflammatory effects, or stimulation of growth-related pathways </w:t>
      </w:r>
      <w:r>
        <w:rPr>
          <w:sz w:val="24"/>
          <w:szCs w:val="24"/>
        </w:rPr>
        <w:t xml:space="preserve">(Bhardwaj </w:t>
      </w:r>
      <w:r>
        <w:rPr>
          <w:i/>
          <w:iCs/>
          <w:sz w:val="24"/>
          <w:szCs w:val="24"/>
        </w:rPr>
        <w:t>et al</w:t>
      </w:r>
      <w:r>
        <w:rPr>
          <w:sz w:val="24"/>
          <w:szCs w:val="24"/>
        </w:rPr>
        <w:t>., 2018).</w:t>
      </w:r>
    </w:p>
    <w:p w:rsidR="00DE0C14" w:rsidRDefault="00796A82">
      <w:pPr>
        <w:spacing w:line="360" w:lineRule="auto"/>
        <w:jc w:val="both"/>
        <w:rPr>
          <w:sz w:val="24"/>
          <w:szCs w:val="24"/>
        </w:rPr>
      </w:pPr>
      <w:r>
        <w:rPr>
          <w:sz w:val="24"/>
          <w:szCs w:val="24"/>
        </w:rPr>
        <w:t>Interestingly, LT4-treated rats showed the lowest weight gain (2.44%), despite its known ability to normalize thyroid hormone levels. This observation may reflect species-specific differences in thyroid hormone physiology and incom</w:t>
      </w:r>
      <w:r>
        <w:rPr>
          <w:sz w:val="24"/>
          <w:szCs w:val="24"/>
        </w:rPr>
        <w:t>plete peripheral conversion of T₄ to active T₃ in rodents, limiting anabolic recovery (Bianco &amp; Kim, 2006). Additionally, the increase in basal metabolism induced by LT4 may elevate energy expenditure without proportional anabolic gain.</w:t>
      </w:r>
    </w:p>
    <w:p w:rsidR="00DE0C14" w:rsidRDefault="00796A82">
      <w:pPr>
        <w:spacing w:line="360" w:lineRule="auto"/>
        <w:jc w:val="both"/>
        <w:rPr>
          <w:sz w:val="24"/>
          <w:szCs w:val="24"/>
        </w:rPr>
      </w:pPr>
      <w:r>
        <w:rPr>
          <w:sz w:val="24"/>
          <w:szCs w:val="24"/>
        </w:rPr>
        <w:t>Overall, these find</w:t>
      </w:r>
      <w:r>
        <w:rPr>
          <w:sz w:val="24"/>
          <w:szCs w:val="24"/>
        </w:rPr>
        <w:t>ings indicate that FSE supports body weight maintenance under hypothyroid conditions more effectively than LT4 in this model, highlighting its potential as a complementary metabolic intervention. However, further studies measuring thyroid hormone levels, e</w:t>
      </w:r>
      <w:r>
        <w:rPr>
          <w:sz w:val="24"/>
          <w:szCs w:val="24"/>
        </w:rPr>
        <w:t>nergy expenditure, and body composition are warranted to confirm the mechanisms underlying these effects.</w:t>
      </w:r>
    </w:p>
    <w:p w:rsidR="00DE0C14" w:rsidRDefault="00DE0C14">
      <w:pPr>
        <w:spacing w:line="360" w:lineRule="auto"/>
        <w:jc w:val="both"/>
        <w:rPr>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796A82">
      <w:pPr>
        <w:spacing w:line="360" w:lineRule="auto"/>
        <w:jc w:val="both"/>
        <w:rPr>
          <w:b/>
          <w:bCs/>
          <w:sz w:val="24"/>
          <w:szCs w:val="24"/>
        </w:rPr>
      </w:pPr>
      <w:r>
        <w:rPr>
          <w:b/>
          <w:bCs/>
          <w:sz w:val="24"/>
          <w:szCs w:val="24"/>
        </w:rPr>
        <w:t>Table 3. Effect of fenugreek seed ethanol extract on serum thyroid hormones in albino rats with KClO₄-induced goiter</w:t>
      </w:r>
    </w:p>
    <w:tbl>
      <w:tblPr>
        <w:tblW w:w="9590" w:type="dxa"/>
        <w:tblLook w:val="04A0" w:firstRow="1" w:lastRow="0" w:firstColumn="1" w:lastColumn="0" w:noHBand="0" w:noVBand="1"/>
      </w:tblPr>
      <w:tblGrid>
        <w:gridCol w:w="2578"/>
        <w:gridCol w:w="1976"/>
        <w:gridCol w:w="1939"/>
        <w:gridCol w:w="3097"/>
      </w:tblGrid>
      <w:tr w:rsidR="00DE0C14">
        <w:trPr>
          <w:trHeight w:val="377"/>
        </w:trPr>
        <w:tc>
          <w:tcPr>
            <w:tcW w:w="2575"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Treatments</w:t>
            </w:r>
          </w:p>
        </w:tc>
        <w:tc>
          <w:tcPr>
            <w:tcW w:w="1973"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T3 (ng/ml)</w:t>
            </w:r>
          </w:p>
        </w:tc>
        <w:tc>
          <w:tcPr>
            <w:tcW w:w="1936"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 xml:space="preserve">T4 </w:t>
            </w:r>
            <w:r>
              <w:rPr>
                <w:rFonts w:ascii="Times New Roman" w:eastAsia="Calibri" w:hAnsi="Times New Roman"/>
                <w:sz w:val="24"/>
                <w:szCs w:val="24"/>
                <w:lang w:eastAsia="en-US"/>
              </w:rPr>
              <w:t>(µg/dl)</w:t>
            </w:r>
          </w:p>
        </w:tc>
        <w:tc>
          <w:tcPr>
            <w:tcW w:w="3093"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TSH (µIU/ml)</w:t>
            </w:r>
          </w:p>
        </w:tc>
      </w:tr>
      <w:tr w:rsidR="00DE0C14">
        <w:trPr>
          <w:trHeight w:val="377"/>
        </w:trPr>
        <w:tc>
          <w:tcPr>
            <w:tcW w:w="2575"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lastRenderedPageBreak/>
              <w:t>Normal control</w:t>
            </w:r>
          </w:p>
        </w:tc>
        <w:tc>
          <w:tcPr>
            <w:tcW w:w="1973"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1.35±0.11</w:t>
            </w:r>
            <w:r>
              <w:rPr>
                <w:rFonts w:ascii="Times New Roman" w:eastAsia="Calibri" w:hAnsi="Times New Roman"/>
                <w:sz w:val="24"/>
                <w:szCs w:val="24"/>
                <w:vertAlign w:val="superscript"/>
                <w:lang w:eastAsia="en-US"/>
              </w:rPr>
              <w:t>b</w:t>
            </w:r>
          </w:p>
        </w:tc>
        <w:tc>
          <w:tcPr>
            <w:tcW w:w="1936"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5.55±0.30</w:t>
            </w:r>
            <w:r>
              <w:rPr>
                <w:rFonts w:ascii="Times New Roman" w:eastAsia="Calibri" w:hAnsi="Times New Roman"/>
                <w:sz w:val="24"/>
                <w:szCs w:val="24"/>
                <w:vertAlign w:val="superscript"/>
                <w:lang w:eastAsia="en-US"/>
              </w:rPr>
              <w:t>b</w:t>
            </w:r>
          </w:p>
        </w:tc>
        <w:tc>
          <w:tcPr>
            <w:tcW w:w="3093"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0.52±0.04</w:t>
            </w:r>
            <w:r>
              <w:rPr>
                <w:rFonts w:ascii="Times New Roman" w:eastAsia="Calibri" w:hAnsi="Times New Roman"/>
                <w:sz w:val="24"/>
                <w:szCs w:val="24"/>
                <w:vertAlign w:val="superscript"/>
                <w:lang w:eastAsia="en-US"/>
              </w:rPr>
              <w:t>b</w:t>
            </w:r>
          </w:p>
        </w:tc>
      </w:tr>
      <w:tr w:rsidR="00DE0C14">
        <w:trPr>
          <w:trHeight w:val="377"/>
        </w:trPr>
        <w:tc>
          <w:tcPr>
            <w:tcW w:w="2575" w:type="dxa"/>
            <w:tcMar>
              <w:top w:w="0" w:type="dxa"/>
              <w:left w:w="108" w:type="dxa"/>
              <w:bottom w:w="0" w:type="dxa"/>
              <w:right w:w="108" w:type="dxa"/>
            </w:tcMar>
          </w:tcPr>
          <w:p w:rsidR="00DE0C14" w:rsidRDefault="00796A82">
            <w:pPr>
              <w:spacing w:line="360" w:lineRule="auto"/>
              <w:jc w:val="both"/>
              <w:rPr>
                <w:sz w:val="24"/>
                <w:szCs w:val="24"/>
              </w:rPr>
            </w:pPr>
            <w:r>
              <w:rPr>
                <w:sz w:val="24"/>
                <w:szCs w:val="24"/>
              </w:rPr>
              <w:t>KClO</w:t>
            </w:r>
            <w:r>
              <w:rPr>
                <w:sz w:val="24"/>
                <w:szCs w:val="24"/>
                <w:vertAlign w:val="subscript"/>
              </w:rPr>
              <w:t>4</w:t>
            </w:r>
            <w:r>
              <w:rPr>
                <w:sz w:val="24"/>
                <w:szCs w:val="24"/>
              </w:rPr>
              <w:t xml:space="preserve"> only</w:t>
            </w:r>
          </w:p>
        </w:tc>
        <w:tc>
          <w:tcPr>
            <w:tcW w:w="197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0.94±0.09</w:t>
            </w:r>
            <w:r>
              <w:rPr>
                <w:rFonts w:ascii="Times New Roman" w:eastAsia="Calibri" w:hAnsi="Times New Roman"/>
                <w:sz w:val="24"/>
                <w:szCs w:val="24"/>
                <w:vertAlign w:val="superscript"/>
                <w:lang w:eastAsia="en-US"/>
              </w:rPr>
              <w:t>a</w:t>
            </w:r>
          </w:p>
        </w:tc>
        <w:tc>
          <w:tcPr>
            <w:tcW w:w="1936"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4.49±0.55</w:t>
            </w:r>
            <w:r>
              <w:rPr>
                <w:rFonts w:ascii="Times New Roman" w:eastAsia="Calibri" w:hAnsi="Times New Roman"/>
                <w:sz w:val="24"/>
                <w:szCs w:val="24"/>
                <w:vertAlign w:val="superscript"/>
                <w:lang w:eastAsia="en-US"/>
              </w:rPr>
              <w:t>a</w:t>
            </w:r>
          </w:p>
        </w:tc>
        <w:tc>
          <w:tcPr>
            <w:tcW w:w="309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1.01±0.11</w:t>
            </w:r>
            <w:r>
              <w:rPr>
                <w:rFonts w:ascii="Times New Roman" w:eastAsia="Calibri" w:hAnsi="Times New Roman"/>
                <w:sz w:val="24"/>
                <w:szCs w:val="24"/>
                <w:vertAlign w:val="superscript"/>
                <w:lang w:eastAsia="en-US"/>
              </w:rPr>
              <w:t>d</w:t>
            </w:r>
          </w:p>
        </w:tc>
      </w:tr>
      <w:tr w:rsidR="00DE0C14">
        <w:trPr>
          <w:trHeight w:val="358"/>
        </w:trPr>
        <w:tc>
          <w:tcPr>
            <w:tcW w:w="2575" w:type="dxa"/>
            <w:tcMar>
              <w:top w:w="0" w:type="dxa"/>
              <w:left w:w="108" w:type="dxa"/>
              <w:bottom w:w="0" w:type="dxa"/>
              <w:right w:w="108" w:type="dxa"/>
            </w:tcMar>
          </w:tcPr>
          <w:p w:rsidR="00DE0C14" w:rsidRDefault="00796A82">
            <w:pPr>
              <w:spacing w:line="360" w:lineRule="auto"/>
              <w:rPr>
                <w:sz w:val="24"/>
                <w:szCs w:val="24"/>
              </w:rPr>
            </w:pPr>
            <w:r>
              <w:rPr>
                <w:sz w:val="24"/>
                <w:szCs w:val="24"/>
              </w:rPr>
              <w:t>KClO</w:t>
            </w:r>
            <w:r>
              <w:rPr>
                <w:sz w:val="24"/>
                <w:szCs w:val="24"/>
                <w:vertAlign w:val="subscript"/>
              </w:rPr>
              <w:t xml:space="preserve">4 </w:t>
            </w:r>
            <w:r>
              <w:rPr>
                <w:sz w:val="24"/>
                <w:szCs w:val="24"/>
              </w:rPr>
              <w:t>+ FE 200mg/kg</w:t>
            </w:r>
          </w:p>
        </w:tc>
        <w:tc>
          <w:tcPr>
            <w:tcW w:w="197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1.05±0.06</w:t>
            </w:r>
            <w:r>
              <w:rPr>
                <w:rFonts w:ascii="Times New Roman" w:eastAsia="Calibri" w:hAnsi="Times New Roman"/>
                <w:sz w:val="24"/>
                <w:szCs w:val="24"/>
                <w:vertAlign w:val="superscript"/>
                <w:lang w:eastAsia="en-US"/>
              </w:rPr>
              <w:t>a</w:t>
            </w:r>
          </w:p>
        </w:tc>
        <w:tc>
          <w:tcPr>
            <w:tcW w:w="1936"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5.38±0.44</w:t>
            </w:r>
            <w:r>
              <w:rPr>
                <w:rFonts w:ascii="Times New Roman" w:eastAsia="Calibri" w:hAnsi="Times New Roman"/>
                <w:sz w:val="24"/>
                <w:szCs w:val="24"/>
                <w:vertAlign w:val="superscript"/>
                <w:lang w:eastAsia="en-US"/>
              </w:rPr>
              <w:t>c</w:t>
            </w:r>
          </w:p>
        </w:tc>
        <w:tc>
          <w:tcPr>
            <w:tcW w:w="309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0.83±0.08</w:t>
            </w:r>
            <w:r>
              <w:rPr>
                <w:rFonts w:ascii="Times New Roman" w:eastAsia="Calibri" w:hAnsi="Times New Roman"/>
                <w:sz w:val="24"/>
                <w:szCs w:val="24"/>
                <w:vertAlign w:val="superscript"/>
                <w:lang w:eastAsia="en-US"/>
              </w:rPr>
              <w:t>e</w:t>
            </w:r>
          </w:p>
        </w:tc>
      </w:tr>
      <w:tr w:rsidR="00DE0C14">
        <w:trPr>
          <w:trHeight w:val="453"/>
        </w:trPr>
        <w:tc>
          <w:tcPr>
            <w:tcW w:w="2575" w:type="dxa"/>
            <w:tcMar>
              <w:top w:w="0" w:type="dxa"/>
              <w:left w:w="108" w:type="dxa"/>
              <w:bottom w:w="0" w:type="dxa"/>
              <w:right w:w="108" w:type="dxa"/>
            </w:tcMar>
          </w:tcPr>
          <w:p w:rsidR="00DE0C14" w:rsidRDefault="00796A82">
            <w:pPr>
              <w:spacing w:line="360" w:lineRule="auto"/>
              <w:jc w:val="both"/>
              <w:rPr>
                <w:sz w:val="24"/>
                <w:szCs w:val="24"/>
              </w:rPr>
            </w:pPr>
            <w:r>
              <w:rPr>
                <w:sz w:val="24"/>
                <w:szCs w:val="24"/>
              </w:rPr>
              <w:t>KClO</w:t>
            </w:r>
            <w:r>
              <w:rPr>
                <w:sz w:val="24"/>
                <w:szCs w:val="24"/>
                <w:vertAlign w:val="subscript"/>
              </w:rPr>
              <w:t xml:space="preserve">4 </w:t>
            </w:r>
            <w:r>
              <w:rPr>
                <w:sz w:val="24"/>
                <w:szCs w:val="24"/>
              </w:rPr>
              <w:t>+ FE 400mg/kg</w:t>
            </w:r>
          </w:p>
        </w:tc>
        <w:tc>
          <w:tcPr>
            <w:tcW w:w="197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1.81±0.17</w:t>
            </w:r>
            <w:r>
              <w:rPr>
                <w:rFonts w:ascii="Times New Roman" w:eastAsia="Calibri" w:hAnsi="Times New Roman"/>
                <w:sz w:val="24"/>
                <w:szCs w:val="24"/>
                <w:vertAlign w:val="superscript"/>
                <w:lang w:eastAsia="en-US"/>
              </w:rPr>
              <w:t>d</w:t>
            </w:r>
          </w:p>
        </w:tc>
        <w:tc>
          <w:tcPr>
            <w:tcW w:w="1936"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6.51±0.27</w:t>
            </w:r>
            <w:r>
              <w:rPr>
                <w:rFonts w:ascii="Times New Roman" w:eastAsia="Calibri" w:hAnsi="Times New Roman"/>
                <w:sz w:val="24"/>
                <w:szCs w:val="24"/>
                <w:vertAlign w:val="superscript"/>
                <w:lang w:eastAsia="en-US"/>
              </w:rPr>
              <w:t>c</w:t>
            </w:r>
          </w:p>
        </w:tc>
        <w:tc>
          <w:tcPr>
            <w:tcW w:w="309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0.67±0.04</w:t>
            </w:r>
            <w:r>
              <w:rPr>
                <w:rFonts w:ascii="Times New Roman" w:eastAsia="Calibri" w:hAnsi="Times New Roman"/>
                <w:sz w:val="24"/>
                <w:szCs w:val="24"/>
                <w:vertAlign w:val="superscript"/>
                <w:lang w:eastAsia="en-US"/>
              </w:rPr>
              <w:t>c</w:t>
            </w:r>
          </w:p>
        </w:tc>
      </w:tr>
      <w:tr w:rsidR="00DE0C14">
        <w:trPr>
          <w:trHeight w:val="310"/>
        </w:trPr>
        <w:tc>
          <w:tcPr>
            <w:tcW w:w="2575" w:type="dxa"/>
            <w:tcBorders>
              <w:bottom w:val="single" w:sz="12"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Standard drugs (Levothyroxine)</w:t>
            </w:r>
          </w:p>
        </w:tc>
        <w:tc>
          <w:tcPr>
            <w:tcW w:w="1973" w:type="dxa"/>
            <w:tcBorders>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1.60±0.07</w:t>
            </w:r>
            <w:r>
              <w:rPr>
                <w:rFonts w:ascii="Times New Roman" w:eastAsia="Calibri" w:hAnsi="Times New Roman"/>
                <w:sz w:val="24"/>
                <w:szCs w:val="24"/>
                <w:vertAlign w:val="superscript"/>
                <w:lang w:eastAsia="en-US"/>
              </w:rPr>
              <w:t>c</w:t>
            </w:r>
          </w:p>
        </w:tc>
        <w:tc>
          <w:tcPr>
            <w:tcW w:w="1936" w:type="dxa"/>
            <w:tcBorders>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10.95±0.43</w:t>
            </w:r>
            <w:r>
              <w:rPr>
                <w:rFonts w:ascii="Times New Roman" w:eastAsia="Calibri" w:hAnsi="Times New Roman"/>
                <w:sz w:val="24"/>
                <w:szCs w:val="24"/>
                <w:vertAlign w:val="superscript"/>
                <w:lang w:eastAsia="en-US"/>
              </w:rPr>
              <w:t>d</w:t>
            </w:r>
          </w:p>
        </w:tc>
        <w:tc>
          <w:tcPr>
            <w:tcW w:w="3093" w:type="dxa"/>
            <w:tcBorders>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0.15±0.04</w:t>
            </w:r>
            <w:r>
              <w:rPr>
                <w:rFonts w:ascii="Times New Roman" w:eastAsia="Calibri" w:hAnsi="Times New Roman"/>
                <w:sz w:val="24"/>
                <w:szCs w:val="24"/>
                <w:vertAlign w:val="superscript"/>
                <w:lang w:eastAsia="en-US"/>
              </w:rPr>
              <w:t>a</w:t>
            </w:r>
          </w:p>
        </w:tc>
      </w:tr>
    </w:tbl>
    <w:p w:rsidR="00DE0C14" w:rsidRDefault="00796A82">
      <w:pPr>
        <w:spacing w:line="360" w:lineRule="auto"/>
        <w:jc w:val="both"/>
        <w:rPr>
          <w:i/>
          <w:iCs/>
          <w:sz w:val="24"/>
          <w:szCs w:val="24"/>
        </w:rPr>
      </w:pPr>
      <w:r>
        <w:rPr>
          <w:rFonts w:ascii="Times New Roman" w:eastAsia="Calibri" w:hAnsi="Times New Roman"/>
          <w:i/>
          <w:iCs/>
          <w:sz w:val="24"/>
          <w:szCs w:val="24"/>
          <w:lang w:eastAsia="en-US"/>
        </w:rPr>
        <w:t>Values are presented as mean ± standard deviation (n = 5); and mean with different letter superscripts are significantly (P &lt; 0.05) different within the column.</w:t>
      </w:r>
    </w:p>
    <w:p w:rsidR="00DE0C14" w:rsidRDefault="00796A82">
      <w:pPr>
        <w:spacing w:line="360" w:lineRule="auto"/>
        <w:jc w:val="both"/>
        <w:rPr>
          <w:b/>
          <w:bCs/>
          <w:sz w:val="24"/>
          <w:szCs w:val="24"/>
        </w:rPr>
      </w:pPr>
      <w:r>
        <w:rPr>
          <w:sz w:val="24"/>
          <w:szCs w:val="24"/>
        </w:rPr>
        <w:t>KClO₄ administration caused significant reductions in T₃ and</w:t>
      </w:r>
      <w:r>
        <w:rPr>
          <w:sz w:val="24"/>
          <w:szCs w:val="24"/>
        </w:rPr>
        <w:t xml:space="preserve"> T₄, with compensatory increases in TSH, confirming hypothyroidism induction via inhibition of iodide uptake (Brent, 2012).</w:t>
      </w:r>
    </w:p>
    <w:p w:rsidR="00DE0C14" w:rsidRDefault="00796A82">
      <w:pPr>
        <w:spacing w:line="360" w:lineRule="auto"/>
        <w:jc w:val="both"/>
        <w:rPr>
          <w:sz w:val="24"/>
          <w:szCs w:val="24"/>
        </w:rPr>
      </w:pPr>
      <w:r>
        <w:rPr>
          <w:sz w:val="24"/>
          <w:szCs w:val="24"/>
        </w:rPr>
        <w:t>FSE treatment significantly improved thyroid hormone levels in a dose-dependent manner. At 200 mg/kg, partial restoration of T₃, T₄,</w:t>
      </w:r>
      <w:r>
        <w:rPr>
          <w:sz w:val="24"/>
          <w:szCs w:val="24"/>
        </w:rPr>
        <w:t xml:space="preserve"> and TSH was observed, whereas 400 mg/kg markedly increased T₃ and T₄ while normalizing TSH, indicating strong thyroid-stimulating activity. These effects may be mediated by flavonoid-induced modulation of thyroid peroxidase activity, saponin-driven follic</w:t>
      </w:r>
      <w:r>
        <w:rPr>
          <w:sz w:val="24"/>
          <w:szCs w:val="24"/>
        </w:rPr>
        <w:t>ular regeneration, and enhanced iodide uptake and organification (Saxena</w:t>
      </w:r>
      <w:r>
        <w:rPr>
          <w:i/>
          <w:iCs/>
          <w:sz w:val="24"/>
          <w:szCs w:val="24"/>
        </w:rPr>
        <w:t xml:space="preserve"> et al</w:t>
      </w:r>
      <w:r>
        <w:rPr>
          <w:sz w:val="24"/>
          <w:szCs w:val="24"/>
        </w:rPr>
        <w:t>., 2015; Singh &amp; Gupta, 2017).</w:t>
      </w:r>
    </w:p>
    <w:p w:rsidR="00DE0C14" w:rsidRDefault="00796A82">
      <w:pPr>
        <w:spacing w:line="360" w:lineRule="auto"/>
        <w:jc w:val="both"/>
        <w:rPr>
          <w:b/>
          <w:bCs/>
          <w:sz w:val="24"/>
          <w:szCs w:val="24"/>
        </w:rPr>
      </w:pPr>
      <w:r>
        <w:rPr>
          <w:sz w:val="24"/>
          <w:szCs w:val="24"/>
        </w:rPr>
        <w:t>Levothyroxine, as expected, elevated T₄ substantially and suppressed TSH. However, the hormonal overshoot indicated iatrogenic hyperthyroidism, hig</w:t>
      </w:r>
      <w:r>
        <w:rPr>
          <w:sz w:val="24"/>
          <w:szCs w:val="24"/>
        </w:rPr>
        <w:t>hlighting one limitation of synthetic therapy. In contrast, FSE achieved a more balanced hormonal restoration, suggesting potential as a safer alternative or adjunct.</w:t>
      </w:r>
    </w:p>
    <w:p w:rsidR="00DE0C14" w:rsidRDefault="00796A82">
      <w:pPr>
        <w:spacing w:line="360" w:lineRule="auto"/>
        <w:jc w:val="both"/>
        <w:rPr>
          <w:b/>
          <w:bCs/>
          <w:sz w:val="24"/>
          <w:szCs w:val="24"/>
        </w:rPr>
      </w:pPr>
      <w:r>
        <w:rPr>
          <w:b/>
          <w:bCs/>
          <w:sz w:val="24"/>
          <w:szCs w:val="24"/>
        </w:rPr>
        <w:t>Table 4 Effect of fenugreek seed ethanol extract on inflammatory markers in albino rats w</w:t>
      </w:r>
      <w:r>
        <w:rPr>
          <w:b/>
          <w:bCs/>
          <w:sz w:val="24"/>
          <w:szCs w:val="24"/>
        </w:rPr>
        <w:t>ith KClO₄-induced goiter</w:t>
      </w:r>
    </w:p>
    <w:tbl>
      <w:tblPr>
        <w:tblW w:w="9468" w:type="dxa"/>
        <w:tblLook w:val="04A0" w:firstRow="1" w:lastRow="0" w:firstColumn="1" w:lastColumn="0" w:noHBand="0" w:noVBand="1"/>
      </w:tblPr>
      <w:tblGrid>
        <w:gridCol w:w="2260"/>
        <w:gridCol w:w="2238"/>
        <w:gridCol w:w="2413"/>
        <w:gridCol w:w="2557"/>
      </w:tblGrid>
      <w:tr w:rsidR="00DE0C14">
        <w:trPr>
          <w:trHeight w:val="511"/>
        </w:trPr>
        <w:tc>
          <w:tcPr>
            <w:tcW w:w="2260"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Treatments</w:t>
            </w:r>
          </w:p>
        </w:tc>
        <w:tc>
          <w:tcPr>
            <w:tcW w:w="2238"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TNF-αβ (pg/ml)</w:t>
            </w:r>
          </w:p>
        </w:tc>
        <w:tc>
          <w:tcPr>
            <w:tcW w:w="2413"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IL-1β (pg/ml)</w:t>
            </w:r>
          </w:p>
        </w:tc>
        <w:tc>
          <w:tcPr>
            <w:tcW w:w="2557"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IL-6 (pg/ml)</w:t>
            </w:r>
          </w:p>
        </w:tc>
      </w:tr>
      <w:tr w:rsidR="00DE0C14">
        <w:trPr>
          <w:trHeight w:val="511"/>
        </w:trPr>
        <w:tc>
          <w:tcPr>
            <w:tcW w:w="2260"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Normal control</w:t>
            </w:r>
          </w:p>
        </w:tc>
        <w:tc>
          <w:tcPr>
            <w:tcW w:w="2238"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25.13±2.73</w:t>
            </w:r>
            <w:r>
              <w:rPr>
                <w:rFonts w:ascii="Times New Roman" w:eastAsia="Calibri" w:hAnsi="Times New Roman"/>
                <w:sz w:val="24"/>
                <w:szCs w:val="24"/>
                <w:vertAlign w:val="superscript"/>
                <w:lang w:eastAsia="en-US"/>
              </w:rPr>
              <w:t>a</w:t>
            </w:r>
          </w:p>
        </w:tc>
        <w:tc>
          <w:tcPr>
            <w:tcW w:w="2413"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0.27±0.04</w:t>
            </w:r>
            <w:r>
              <w:rPr>
                <w:rFonts w:ascii="Times New Roman" w:eastAsia="Calibri" w:hAnsi="Times New Roman"/>
                <w:sz w:val="24"/>
                <w:szCs w:val="24"/>
                <w:vertAlign w:val="superscript"/>
                <w:lang w:eastAsia="en-US"/>
              </w:rPr>
              <w:t>a</w:t>
            </w:r>
          </w:p>
        </w:tc>
        <w:tc>
          <w:tcPr>
            <w:tcW w:w="2557" w:type="dxa"/>
            <w:tcBorders>
              <w:top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5.46±0.30</w:t>
            </w:r>
            <w:r>
              <w:rPr>
                <w:rFonts w:ascii="Times New Roman" w:eastAsia="Calibri" w:hAnsi="Times New Roman"/>
                <w:sz w:val="24"/>
                <w:szCs w:val="24"/>
                <w:vertAlign w:val="superscript"/>
                <w:lang w:eastAsia="en-US"/>
              </w:rPr>
              <w:t>a</w:t>
            </w:r>
          </w:p>
        </w:tc>
      </w:tr>
      <w:tr w:rsidR="00DE0C14">
        <w:trPr>
          <w:trHeight w:val="511"/>
        </w:trPr>
        <w:tc>
          <w:tcPr>
            <w:tcW w:w="2260" w:type="dxa"/>
            <w:tcMar>
              <w:top w:w="0" w:type="dxa"/>
              <w:left w:w="108" w:type="dxa"/>
              <w:bottom w:w="0" w:type="dxa"/>
              <w:right w:w="108" w:type="dxa"/>
            </w:tcMar>
          </w:tcPr>
          <w:p w:rsidR="00DE0C14" w:rsidRDefault="00796A82">
            <w:pPr>
              <w:spacing w:line="360" w:lineRule="auto"/>
              <w:rPr>
                <w:sz w:val="24"/>
                <w:szCs w:val="24"/>
              </w:rPr>
            </w:pPr>
            <w:r>
              <w:rPr>
                <w:sz w:val="24"/>
                <w:szCs w:val="24"/>
              </w:rPr>
              <w:lastRenderedPageBreak/>
              <w:t>Negative control (KClO</w:t>
            </w:r>
            <w:r>
              <w:rPr>
                <w:sz w:val="24"/>
                <w:szCs w:val="24"/>
                <w:vertAlign w:val="subscript"/>
              </w:rPr>
              <w:t>4</w:t>
            </w:r>
            <w:r>
              <w:rPr>
                <w:sz w:val="24"/>
                <w:szCs w:val="24"/>
              </w:rPr>
              <w:t xml:space="preserve"> only)</w:t>
            </w:r>
          </w:p>
        </w:tc>
        <w:tc>
          <w:tcPr>
            <w:tcW w:w="2238"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67.67±7.05</w:t>
            </w:r>
            <w:r>
              <w:rPr>
                <w:rFonts w:ascii="Times New Roman" w:eastAsia="Calibri" w:hAnsi="Times New Roman"/>
                <w:sz w:val="24"/>
                <w:szCs w:val="24"/>
                <w:vertAlign w:val="superscript"/>
                <w:lang w:eastAsia="en-US"/>
              </w:rPr>
              <w:t>e</w:t>
            </w:r>
          </w:p>
        </w:tc>
        <w:tc>
          <w:tcPr>
            <w:tcW w:w="241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4.07±0.35</w:t>
            </w:r>
            <w:r>
              <w:rPr>
                <w:rFonts w:ascii="Times New Roman" w:eastAsia="Calibri" w:hAnsi="Times New Roman"/>
                <w:sz w:val="24"/>
                <w:szCs w:val="24"/>
                <w:vertAlign w:val="superscript"/>
                <w:lang w:eastAsia="en-US"/>
              </w:rPr>
              <w:t>d</w:t>
            </w:r>
          </w:p>
        </w:tc>
        <w:tc>
          <w:tcPr>
            <w:tcW w:w="2557"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14.03±1.34</w:t>
            </w:r>
            <w:r>
              <w:rPr>
                <w:rFonts w:ascii="Times New Roman" w:eastAsia="Calibri" w:hAnsi="Times New Roman"/>
                <w:sz w:val="24"/>
                <w:szCs w:val="24"/>
                <w:vertAlign w:val="superscript"/>
                <w:lang w:eastAsia="en-US"/>
              </w:rPr>
              <w:t>d</w:t>
            </w:r>
          </w:p>
        </w:tc>
      </w:tr>
      <w:tr w:rsidR="00DE0C14">
        <w:trPr>
          <w:trHeight w:val="684"/>
        </w:trPr>
        <w:tc>
          <w:tcPr>
            <w:tcW w:w="2260" w:type="dxa"/>
            <w:tcMar>
              <w:top w:w="0" w:type="dxa"/>
              <w:left w:w="108" w:type="dxa"/>
              <w:bottom w:w="0" w:type="dxa"/>
              <w:right w:w="108" w:type="dxa"/>
            </w:tcMar>
          </w:tcPr>
          <w:p w:rsidR="00DE0C14" w:rsidRDefault="00796A82">
            <w:pPr>
              <w:spacing w:line="360" w:lineRule="auto"/>
              <w:rPr>
                <w:sz w:val="24"/>
                <w:szCs w:val="24"/>
              </w:rPr>
            </w:pPr>
            <w:r>
              <w:rPr>
                <w:sz w:val="24"/>
                <w:szCs w:val="24"/>
              </w:rPr>
              <w:t>KClO</w:t>
            </w:r>
            <w:r>
              <w:rPr>
                <w:sz w:val="24"/>
                <w:szCs w:val="24"/>
                <w:vertAlign w:val="subscript"/>
              </w:rPr>
              <w:t xml:space="preserve">4 </w:t>
            </w:r>
            <w:r>
              <w:rPr>
                <w:sz w:val="24"/>
                <w:szCs w:val="24"/>
              </w:rPr>
              <w:t>+ FE 200mg/kg</w:t>
            </w:r>
          </w:p>
        </w:tc>
        <w:tc>
          <w:tcPr>
            <w:tcW w:w="2238"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52.89±5.48</w:t>
            </w:r>
            <w:r>
              <w:rPr>
                <w:rFonts w:ascii="Times New Roman" w:eastAsia="Calibri" w:hAnsi="Times New Roman"/>
                <w:sz w:val="24"/>
                <w:szCs w:val="24"/>
                <w:vertAlign w:val="superscript"/>
                <w:lang w:eastAsia="en-US"/>
              </w:rPr>
              <w:t>d</w:t>
            </w:r>
          </w:p>
        </w:tc>
        <w:tc>
          <w:tcPr>
            <w:tcW w:w="2413"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2.13±0.15</w:t>
            </w:r>
            <w:r>
              <w:rPr>
                <w:rFonts w:ascii="Times New Roman" w:eastAsia="Calibri" w:hAnsi="Times New Roman"/>
                <w:sz w:val="24"/>
                <w:szCs w:val="24"/>
                <w:vertAlign w:val="superscript"/>
                <w:lang w:eastAsia="en-US"/>
              </w:rPr>
              <w:t>c</w:t>
            </w:r>
          </w:p>
        </w:tc>
        <w:tc>
          <w:tcPr>
            <w:tcW w:w="2557" w:type="dxa"/>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13.54±1.05</w:t>
            </w:r>
            <w:r>
              <w:rPr>
                <w:rFonts w:ascii="Times New Roman" w:eastAsia="Calibri" w:hAnsi="Times New Roman"/>
                <w:sz w:val="24"/>
                <w:szCs w:val="24"/>
                <w:vertAlign w:val="superscript"/>
                <w:lang w:eastAsia="en-US"/>
              </w:rPr>
              <w:t>d</w:t>
            </w:r>
          </w:p>
        </w:tc>
      </w:tr>
      <w:tr w:rsidR="00DE0C14">
        <w:trPr>
          <w:trHeight w:val="828"/>
        </w:trPr>
        <w:tc>
          <w:tcPr>
            <w:tcW w:w="2260" w:type="dxa"/>
            <w:tcBorders>
              <w:bottom w:val="single" w:sz="12" w:space="0" w:color="auto"/>
            </w:tcBorders>
            <w:tcMar>
              <w:top w:w="0" w:type="dxa"/>
              <w:left w:w="108" w:type="dxa"/>
              <w:bottom w:w="0" w:type="dxa"/>
              <w:right w:w="108" w:type="dxa"/>
            </w:tcMar>
          </w:tcPr>
          <w:p w:rsidR="00DE0C14" w:rsidRDefault="00796A82">
            <w:pPr>
              <w:spacing w:line="360" w:lineRule="auto"/>
              <w:rPr>
                <w:sz w:val="24"/>
                <w:szCs w:val="24"/>
              </w:rPr>
            </w:pPr>
            <w:r>
              <w:rPr>
                <w:sz w:val="24"/>
                <w:szCs w:val="24"/>
              </w:rPr>
              <w:t>KClO</w:t>
            </w:r>
            <w:r>
              <w:rPr>
                <w:sz w:val="24"/>
                <w:szCs w:val="24"/>
                <w:vertAlign w:val="subscript"/>
              </w:rPr>
              <w:t xml:space="preserve">4 </w:t>
            </w:r>
            <w:r>
              <w:rPr>
                <w:sz w:val="24"/>
                <w:szCs w:val="24"/>
              </w:rPr>
              <w:t>+ FE 400mg/kg</w:t>
            </w:r>
          </w:p>
        </w:tc>
        <w:tc>
          <w:tcPr>
            <w:tcW w:w="2238" w:type="dxa"/>
            <w:tcBorders>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46.15±3.54</w:t>
            </w:r>
            <w:r>
              <w:rPr>
                <w:rFonts w:ascii="Times New Roman" w:eastAsia="Calibri" w:hAnsi="Times New Roman"/>
                <w:sz w:val="24"/>
                <w:szCs w:val="24"/>
                <w:vertAlign w:val="superscript"/>
                <w:lang w:eastAsia="en-US"/>
              </w:rPr>
              <w:t>c</w:t>
            </w:r>
          </w:p>
        </w:tc>
        <w:tc>
          <w:tcPr>
            <w:tcW w:w="2413" w:type="dxa"/>
            <w:tcBorders>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1.96±0.09</w:t>
            </w:r>
            <w:r>
              <w:rPr>
                <w:rFonts w:ascii="Times New Roman" w:eastAsia="Calibri" w:hAnsi="Times New Roman"/>
                <w:sz w:val="24"/>
                <w:szCs w:val="24"/>
                <w:vertAlign w:val="superscript"/>
                <w:lang w:eastAsia="en-US"/>
              </w:rPr>
              <w:t>c</w:t>
            </w:r>
          </w:p>
        </w:tc>
        <w:tc>
          <w:tcPr>
            <w:tcW w:w="2557" w:type="dxa"/>
            <w:tcBorders>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11.00±0.74</w:t>
            </w:r>
            <w:r>
              <w:rPr>
                <w:rFonts w:ascii="Times New Roman" w:eastAsia="Calibri" w:hAnsi="Times New Roman"/>
                <w:sz w:val="24"/>
                <w:szCs w:val="24"/>
                <w:vertAlign w:val="superscript"/>
                <w:lang w:eastAsia="en-US"/>
              </w:rPr>
              <w:t>c</w:t>
            </w:r>
          </w:p>
        </w:tc>
      </w:tr>
      <w:tr w:rsidR="00DE0C14">
        <w:trPr>
          <w:trHeight w:val="670"/>
        </w:trPr>
        <w:tc>
          <w:tcPr>
            <w:tcW w:w="2260"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rPr>
                <w:sz w:val="24"/>
                <w:szCs w:val="24"/>
              </w:rPr>
            </w:pPr>
            <w:r>
              <w:rPr>
                <w:rFonts w:ascii="Times New Roman" w:eastAsia="Calibri" w:hAnsi="Times New Roman"/>
                <w:sz w:val="24"/>
                <w:szCs w:val="24"/>
                <w:lang w:eastAsia="en-US"/>
              </w:rPr>
              <w:t>Standard drugs (Levothyroxine)</w:t>
            </w:r>
          </w:p>
        </w:tc>
        <w:tc>
          <w:tcPr>
            <w:tcW w:w="2238"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35.96±3.11</w:t>
            </w:r>
            <w:r>
              <w:rPr>
                <w:rFonts w:ascii="Times New Roman" w:eastAsia="Calibri" w:hAnsi="Times New Roman"/>
                <w:sz w:val="24"/>
                <w:szCs w:val="24"/>
                <w:vertAlign w:val="superscript"/>
                <w:lang w:eastAsia="en-US"/>
              </w:rPr>
              <w:t>b</w:t>
            </w:r>
          </w:p>
        </w:tc>
        <w:tc>
          <w:tcPr>
            <w:tcW w:w="2413"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0.88±0.10</w:t>
            </w:r>
            <w:r>
              <w:rPr>
                <w:rFonts w:ascii="Times New Roman" w:eastAsia="Calibri" w:hAnsi="Times New Roman"/>
                <w:sz w:val="24"/>
                <w:szCs w:val="24"/>
                <w:vertAlign w:val="superscript"/>
                <w:lang w:eastAsia="en-US"/>
              </w:rPr>
              <w:t>b</w:t>
            </w:r>
          </w:p>
        </w:tc>
        <w:tc>
          <w:tcPr>
            <w:tcW w:w="2557" w:type="dxa"/>
            <w:tcBorders>
              <w:top w:val="single" w:sz="12" w:space="0" w:color="auto"/>
              <w:bottom w:val="single" w:sz="12" w:space="0" w:color="auto"/>
            </w:tcBorders>
            <w:tcMar>
              <w:top w:w="0" w:type="dxa"/>
              <w:left w:w="108" w:type="dxa"/>
              <w:bottom w:w="0" w:type="dxa"/>
              <w:right w:w="108" w:type="dxa"/>
            </w:tcMar>
          </w:tcPr>
          <w:p w:rsidR="00DE0C14" w:rsidRDefault="00796A82">
            <w:pPr>
              <w:spacing w:line="360" w:lineRule="auto"/>
              <w:jc w:val="both"/>
              <w:rPr>
                <w:sz w:val="24"/>
                <w:szCs w:val="24"/>
              </w:rPr>
            </w:pPr>
            <w:r>
              <w:rPr>
                <w:rFonts w:ascii="Times New Roman" w:eastAsia="Calibri" w:hAnsi="Times New Roman"/>
                <w:sz w:val="24"/>
                <w:szCs w:val="24"/>
                <w:lang w:eastAsia="en-US"/>
              </w:rPr>
              <w:t xml:space="preserve"> 8.44±0.63</w:t>
            </w:r>
            <w:r>
              <w:rPr>
                <w:rFonts w:ascii="Times New Roman" w:eastAsia="Calibri" w:hAnsi="Times New Roman"/>
                <w:sz w:val="24"/>
                <w:szCs w:val="24"/>
                <w:vertAlign w:val="superscript"/>
                <w:lang w:eastAsia="en-US"/>
              </w:rPr>
              <w:t>b</w:t>
            </w:r>
          </w:p>
        </w:tc>
      </w:tr>
    </w:tbl>
    <w:p w:rsidR="00DE0C14" w:rsidRDefault="00796A82">
      <w:pPr>
        <w:spacing w:line="360" w:lineRule="auto"/>
        <w:jc w:val="both"/>
        <w:rPr>
          <w:i/>
          <w:iCs/>
          <w:sz w:val="24"/>
          <w:szCs w:val="24"/>
        </w:rPr>
      </w:pPr>
      <w:r>
        <w:rPr>
          <w:rFonts w:ascii="Times New Roman" w:eastAsia="Calibri" w:hAnsi="Times New Roman"/>
          <w:i/>
          <w:iCs/>
          <w:sz w:val="24"/>
          <w:szCs w:val="24"/>
          <w:lang w:eastAsia="en-US"/>
        </w:rPr>
        <w:t xml:space="preserve">Values are presented as mean ± standard deviation (n = 5); and mean with different letter superscripts are significantly (P &lt; 0.05) </w:t>
      </w:r>
      <w:r>
        <w:rPr>
          <w:rFonts w:ascii="Times New Roman" w:eastAsia="Calibri" w:hAnsi="Times New Roman"/>
          <w:i/>
          <w:iCs/>
          <w:sz w:val="24"/>
          <w:szCs w:val="24"/>
          <w:lang w:eastAsia="en-US"/>
        </w:rPr>
        <w:t>different within the column.</w:t>
      </w:r>
    </w:p>
    <w:p w:rsidR="00DE0C14" w:rsidRDefault="00796A82">
      <w:pPr>
        <w:spacing w:line="360" w:lineRule="auto"/>
        <w:jc w:val="both"/>
        <w:rPr>
          <w:sz w:val="24"/>
          <w:szCs w:val="24"/>
        </w:rPr>
      </w:pPr>
      <w:r>
        <w:rPr>
          <w:sz w:val="24"/>
          <w:szCs w:val="24"/>
        </w:rPr>
        <w:t xml:space="preserve">Potassium perchlorate (KClO₄) administration induced hypothyroidism in albino rats, resulting in significant elevations in TNF-α, IL-1β, and IL-6 compared to the normal control group (Table 4). This is consistent with previous </w:t>
      </w:r>
      <w:r>
        <w:rPr>
          <w:sz w:val="24"/>
          <w:szCs w:val="24"/>
        </w:rPr>
        <w:t>reports indicating that thyroid hormone deficiency promotes oxidative stress–driven systemic inflammation and upregulates pro-inflammatory cytokines (Duntas &amp; Brenta, 2012; Brent, 2010).</w:t>
      </w:r>
    </w:p>
    <w:p w:rsidR="00DE0C14" w:rsidRDefault="00796A82">
      <w:pPr>
        <w:spacing w:line="360" w:lineRule="auto"/>
        <w:jc w:val="both"/>
        <w:rPr>
          <w:sz w:val="24"/>
          <w:szCs w:val="24"/>
        </w:rPr>
      </w:pPr>
      <w:r>
        <w:rPr>
          <w:sz w:val="24"/>
          <w:szCs w:val="24"/>
        </w:rPr>
        <w:t>Treatment with fenugreek seed ethanol extract (FSE) led to a dose-dependent reduction in TNF-α and IL-1β, with the higher dose (400 mg/kg) showing more pronounced suppression (TNF-α: 46.15 ± 3.54 pg/ml; IL-1β: 1.96 ± 0.09 pg/ml). The effect on IL-6 was mod</w:t>
      </w:r>
      <w:r>
        <w:rPr>
          <w:sz w:val="24"/>
          <w:szCs w:val="24"/>
        </w:rPr>
        <w:t>erate, indicating a selective anti-inflammatory action. These findings align with prior studies reporting anti-inflammatory effects of fenugreek extracts through modulation of NF-κB signaling and antioxidant pathways (</w:t>
      </w:r>
      <w:r>
        <w:rPr>
          <w:sz w:val="24"/>
          <w:szCs w:val="24"/>
        </w:rPr>
        <w:t xml:space="preserve">Fatima </w:t>
      </w:r>
      <w:r>
        <w:rPr>
          <w:i/>
          <w:iCs/>
          <w:sz w:val="24"/>
          <w:szCs w:val="24"/>
        </w:rPr>
        <w:t>et al</w:t>
      </w:r>
      <w:r>
        <w:rPr>
          <w:sz w:val="24"/>
          <w:szCs w:val="24"/>
        </w:rPr>
        <w:t>., 2022</w:t>
      </w:r>
      <w:r>
        <w:rPr>
          <w:sz w:val="24"/>
          <w:szCs w:val="24"/>
        </w:rPr>
        <w:t>;</w:t>
      </w:r>
      <w:r>
        <w:rPr>
          <w:sz w:val="24"/>
          <w:szCs w:val="24"/>
        </w:rPr>
        <w:t xml:space="preserve"> Kamal </w:t>
      </w:r>
      <w:r>
        <w:rPr>
          <w:i/>
          <w:iCs/>
          <w:sz w:val="24"/>
          <w:szCs w:val="24"/>
        </w:rPr>
        <w:t>et al.</w:t>
      </w:r>
      <w:r>
        <w:rPr>
          <w:sz w:val="24"/>
          <w:szCs w:val="24"/>
        </w:rPr>
        <w:t>, 202</w:t>
      </w:r>
      <w:r>
        <w:rPr>
          <w:sz w:val="24"/>
          <w:szCs w:val="24"/>
        </w:rPr>
        <w:t xml:space="preserve">2; </w:t>
      </w:r>
      <w:r>
        <w:rPr>
          <w:sz w:val="24"/>
          <w:szCs w:val="24"/>
        </w:rPr>
        <w:t xml:space="preserve">Park </w:t>
      </w:r>
      <w:r>
        <w:rPr>
          <w:i/>
          <w:iCs/>
          <w:sz w:val="24"/>
          <w:szCs w:val="24"/>
        </w:rPr>
        <w:t>et al</w:t>
      </w:r>
      <w:r>
        <w:rPr>
          <w:sz w:val="24"/>
          <w:szCs w:val="24"/>
        </w:rPr>
        <w:t>., 2018).</w:t>
      </w:r>
    </w:p>
    <w:p w:rsidR="00DE0C14" w:rsidRDefault="00796A82">
      <w:pPr>
        <w:spacing w:line="360" w:lineRule="auto"/>
        <w:jc w:val="both"/>
        <w:rPr>
          <w:sz w:val="24"/>
          <w:szCs w:val="24"/>
        </w:rPr>
      </w:pPr>
      <w:r>
        <w:rPr>
          <w:sz w:val="24"/>
          <w:szCs w:val="24"/>
        </w:rPr>
        <w:t>Levothyroxine, used as the standard drug, achieved the most substantial reduction across all cytokines (TNF-α: 35.96 ± 3.11 pg/ml; IL-1β: 0.88 ± 0.10 pg/ml; IL-6: 8.44 ± 0.63 pg/ml), consistent with its known ability to normalize inf</w:t>
      </w:r>
      <w:r>
        <w:rPr>
          <w:sz w:val="24"/>
          <w:szCs w:val="24"/>
        </w:rPr>
        <w:t>lammatory responses in hypothyroidism (</w:t>
      </w:r>
      <w:r>
        <w:rPr>
          <w:sz w:val="24"/>
          <w:szCs w:val="24"/>
        </w:rPr>
        <w:t xml:space="preserve">Marchiori </w:t>
      </w:r>
      <w:r>
        <w:rPr>
          <w:i/>
          <w:iCs/>
          <w:sz w:val="24"/>
          <w:szCs w:val="24"/>
        </w:rPr>
        <w:t>et al.</w:t>
      </w:r>
      <w:r>
        <w:rPr>
          <w:sz w:val="24"/>
          <w:szCs w:val="24"/>
        </w:rPr>
        <w:t>, 201</w:t>
      </w:r>
      <w:r>
        <w:rPr>
          <w:sz w:val="24"/>
          <w:szCs w:val="24"/>
        </w:rPr>
        <w:t>5</w:t>
      </w:r>
      <w:r>
        <w:rPr>
          <w:sz w:val="24"/>
          <w:szCs w:val="24"/>
        </w:rPr>
        <w:t>).</w:t>
      </w:r>
    </w:p>
    <w:p w:rsidR="00DE0C14" w:rsidRDefault="00796A82">
      <w:pPr>
        <w:spacing w:line="360" w:lineRule="auto"/>
        <w:jc w:val="both"/>
        <w:rPr>
          <w:sz w:val="24"/>
          <w:szCs w:val="24"/>
        </w:rPr>
      </w:pPr>
      <w:r>
        <w:rPr>
          <w:sz w:val="24"/>
          <w:szCs w:val="24"/>
        </w:rPr>
        <w:t xml:space="preserve">Overall, these results suggest that FSE can attenuate systemic inflammation in KClO₄-induced hypothyroid rats and may serve as a potential adjunct therapy alongside standard treatment. </w:t>
      </w:r>
      <w:r>
        <w:rPr>
          <w:sz w:val="24"/>
          <w:szCs w:val="24"/>
        </w:rPr>
        <w:lastRenderedPageBreak/>
        <w:t>The dos</w:t>
      </w:r>
      <w:r>
        <w:rPr>
          <w:sz w:val="24"/>
          <w:szCs w:val="24"/>
        </w:rPr>
        <w:t>e-dependent cytokine suppression observed supports the therapeutic potential of fenugreek seed extract in mitigating inflammation associated with thyroid dysfunction.</w:t>
      </w:r>
    </w:p>
    <w:p w:rsidR="00DE0C14" w:rsidRDefault="00DE0C14">
      <w:pPr>
        <w:spacing w:line="360" w:lineRule="auto"/>
        <w:jc w:val="both"/>
        <w:rPr>
          <w:b/>
          <w:bCs/>
          <w:sz w:val="24"/>
          <w:szCs w:val="24"/>
        </w:rPr>
      </w:pPr>
    </w:p>
    <w:p w:rsidR="00DE0C14" w:rsidRDefault="00796A82">
      <w:pPr>
        <w:spacing w:line="360" w:lineRule="auto"/>
        <w:jc w:val="both"/>
        <w:rPr>
          <w:b/>
          <w:bCs/>
          <w:sz w:val="24"/>
          <w:szCs w:val="24"/>
        </w:rPr>
      </w:pPr>
      <w:r>
        <w:rPr>
          <w:b/>
          <w:bCs/>
          <w:sz w:val="24"/>
          <w:szCs w:val="24"/>
        </w:rPr>
        <w:t>Conclusion</w:t>
      </w:r>
    </w:p>
    <w:p w:rsidR="00DE0C14" w:rsidRDefault="00796A82">
      <w:pPr>
        <w:spacing w:line="360" w:lineRule="auto"/>
        <w:jc w:val="both"/>
        <w:rPr>
          <w:sz w:val="24"/>
          <w:szCs w:val="24"/>
        </w:rPr>
      </w:pPr>
      <w:r>
        <w:rPr>
          <w:sz w:val="24"/>
          <w:szCs w:val="24"/>
        </w:rPr>
        <w:t>The present study demonstrates that Trigonella foenum-graecum (fenugreek) seed ethanol extract (FSE) exerts protective effects against KClO₄-induced thyroid dysfunction and systemic inflammation in female albino rats. FSE administration significantly resto</w:t>
      </w:r>
      <w:r>
        <w:rPr>
          <w:sz w:val="24"/>
          <w:szCs w:val="24"/>
        </w:rPr>
        <w:t>red thyroid hormone levels (T₃ and T₄), normalized TSH, reduced pro-inflammatory cytokines (TNF-α, IL-1β, IL-6), and improved body weight in a dose-dependent manner. Compared to standard levothyroxine therapy, FSE provided a more balanced hormonal and meta</w:t>
      </w:r>
      <w:r>
        <w:rPr>
          <w:sz w:val="24"/>
          <w:szCs w:val="24"/>
        </w:rPr>
        <w:t>bolic profile, highlighting its potential as a safer, natural alternative or adjunct for managing hypothyroidism and goiter. The observed effects are likely mediated by bioactive phytochemicals, particularly flavonoids and saponins, which may enhance thyro</w:t>
      </w:r>
      <w:r>
        <w:rPr>
          <w:sz w:val="24"/>
          <w:szCs w:val="24"/>
        </w:rPr>
        <w:t xml:space="preserve">id function and suppress inflammation. These findings support further investigation into FSE’s long-term efficacy and mechanisms, emphasizing its promise as a plant-based therapeutic intervention for thyroid dysfunction and </w:t>
      </w:r>
    </w:p>
    <w:p w:rsidR="00DE0C14" w:rsidRDefault="00DE0C14">
      <w:pPr>
        <w:spacing w:line="360" w:lineRule="auto"/>
        <w:jc w:val="both"/>
        <w:rPr>
          <w:b/>
          <w:bCs/>
          <w:sz w:val="24"/>
          <w:szCs w:val="24"/>
        </w:rPr>
      </w:pPr>
    </w:p>
    <w:p w:rsidR="00DE0C14" w:rsidRDefault="00DE0C14">
      <w:pPr>
        <w:spacing w:line="360" w:lineRule="auto"/>
        <w:jc w:val="both"/>
        <w:rPr>
          <w:b/>
          <w:bCs/>
          <w:sz w:val="24"/>
          <w:szCs w:val="24"/>
        </w:rPr>
      </w:pPr>
    </w:p>
    <w:p w:rsidR="00DE0C14" w:rsidRDefault="00796A82">
      <w:pPr>
        <w:spacing w:line="360" w:lineRule="auto"/>
        <w:jc w:val="both"/>
        <w:rPr>
          <w:b/>
          <w:bCs/>
          <w:sz w:val="24"/>
          <w:szCs w:val="24"/>
        </w:rPr>
      </w:pPr>
      <w:r>
        <w:rPr>
          <w:b/>
          <w:bCs/>
          <w:sz w:val="24"/>
          <w:szCs w:val="24"/>
        </w:rPr>
        <w:t>Ethical Approval</w:t>
      </w:r>
    </w:p>
    <w:p w:rsidR="00DE0C14" w:rsidRDefault="00796A82">
      <w:pPr>
        <w:spacing w:line="360" w:lineRule="auto"/>
        <w:jc w:val="both"/>
        <w:rPr>
          <w:sz w:val="24"/>
          <w:szCs w:val="24"/>
        </w:rPr>
      </w:pPr>
      <w:r>
        <w:rPr>
          <w:sz w:val="24"/>
          <w:szCs w:val="24"/>
        </w:rPr>
        <w:t>All animal e</w:t>
      </w:r>
      <w:r>
        <w:rPr>
          <w:sz w:val="24"/>
          <w:szCs w:val="24"/>
        </w:rPr>
        <w:t>xperimental procedures were conducted in accordance with international guidelines for the care and use of laboratory animals (OECD/NIH). The protocol was reviewed and approved by the Abia State University, Uturu, under approval number ABSU/REC/PG/PHDBCM/00</w:t>
      </w:r>
      <w:r>
        <w:rPr>
          <w:sz w:val="24"/>
          <w:szCs w:val="24"/>
        </w:rPr>
        <w:t>1.</w:t>
      </w:r>
    </w:p>
    <w:p w:rsidR="00DE0C14" w:rsidRDefault="00DE0C14">
      <w:pPr>
        <w:jc w:val="both"/>
        <w:outlineLvl w:val="0"/>
        <w:rPr>
          <w:rFonts w:ascii="Arial" w:eastAsia="Times New Roman" w:hAnsi="Arial" w:cs="Arial"/>
          <w:b/>
          <w:bCs/>
          <w:lang w:val="en-GB" w:eastAsia="en-GB"/>
        </w:rPr>
      </w:pPr>
    </w:p>
    <w:p w:rsidR="00DE0C14" w:rsidRDefault="00796A82">
      <w:pPr>
        <w:jc w:val="both"/>
        <w:outlineLvl w:val="0"/>
        <w:rPr>
          <w:rFonts w:ascii="Arial" w:eastAsia="Times New Roman" w:hAnsi="Arial" w:cs="Arial"/>
          <w:lang w:val="en-GB" w:eastAsia="en-GB"/>
        </w:rPr>
      </w:pPr>
      <w:r>
        <w:rPr>
          <w:rFonts w:ascii="Arial" w:eastAsia="Times New Roman" w:hAnsi="Arial" w:cs="Arial"/>
          <w:b/>
          <w:bCs/>
          <w:lang w:val="en-GB" w:eastAsia="en-GB"/>
        </w:rPr>
        <w:t>COMPETING INTERESTS DISCLAIMER:</w:t>
      </w:r>
    </w:p>
    <w:p w:rsidR="00DE0C14" w:rsidRDefault="00796A82">
      <w:pPr>
        <w:rPr>
          <w:rFonts w:eastAsia="Times New Roman"/>
          <w:lang w:val="en-GB" w:eastAsia="en-GB"/>
        </w:rPr>
      </w:pPr>
      <w:r>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rsidR="00DE0C14" w:rsidRDefault="00796A82">
      <w:pPr>
        <w:rPr>
          <w:highlight w:val="yellow"/>
        </w:rPr>
      </w:pPr>
      <w:r>
        <w:rPr>
          <w:highlight w:val="yellow"/>
        </w:rPr>
        <w:lastRenderedPageBreak/>
        <w:t>Disclaimer (Artifici</w:t>
      </w:r>
      <w:r>
        <w:rPr>
          <w:highlight w:val="yellow"/>
        </w:rPr>
        <w:t>al intelligence)</w:t>
      </w:r>
    </w:p>
    <w:p w:rsidR="00DE0C14" w:rsidRDefault="00796A82">
      <w:pPr>
        <w:rPr>
          <w:highlight w:val="yellow"/>
        </w:rPr>
      </w:pPr>
      <w:r>
        <w:rPr>
          <w:highlight w:val="yellow"/>
        </w:rPr>
        <w:t xml:space="preserve">Option 1: </w:t>
      </w:r>
    </w:p>
    <w:p w:rsidR="00DE0C14" w:rsidRDefault="00796A82">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DE0C14" w:rsidRDefault="00DE0C14">
      <w:pPr>
        <w:rPr>
          <w:highlight w:val="yellow"/>
        </w:rPr>
      </w:pPr>
    </w:p>
    <w:p w:rsidR="00DE0C14" w:rsidRDefault="00DE0C14">
      <w:pPr>
        <w:spacing w:line="360" w:lineRule="auto"/>
        <w:jc w:val="center"/>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DE0C14">
      <w:pPr>
        <w:spacing w:line="360" w:lineRule="auto"/>
        <w:rPr>
          <w:rFonts w:ascii="Times New Roman" w:hAnsi="Times New Roman"/>
          <w:b/>
          <w:bCs/>
          <w:caps/>
          <w:sz w:val="24"/>
          <w:szCs w:val="24"/>
        </w:rPr>
      </w:pPr>
    </w:p>
    <w:p w:rsidR="00DE0C14" w:rsidRDefault="00796A82">
      <w:pPr>
        <w:spacing w:line="360" w:lineRule="auto"/>
        <w:ind w:left="720" w:hanging="720"/>
        <w:jc w:val="both"/>
        <w:rPr>
          <w:rFonts w:ascii="Times New Roman" w:hAnsi="Times New Roman"/>
          <w:b/>
          <w:bCs/>
          <w:caps/>
          <w:sz w:val="24"/>
          <w:szCs w:val="24"/>
        </w:rPr>
      </w:pPr>
      <w:r>
        <w:rPr>
          <w:rFonts w:ascii="Times New Roman" w:hAnsi="Times New Roman"/>
          <w:b/>
          <w:bCs/>
          <w:caps/>
          <w:sz w:val="24"/>
          <w:szCs w:val="24"/>
        </w:rPr>
        <w:t>References</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Alsuliam, S. M., Albadr, N. A., Almaiman, S. A., Al-Khalifah, A. S., Alkhaldy, N. S., &amp; Alshammari, G. M. (2022). Fenugreek seed galactomannan aqueous and extract protects against diabetic nephropathy and liver damage by targeting NF-κB and Keap</w:t>
      </w:r>
      <w:r w:rsidRPr="00643115">
        <w:rPr>
          <w:sz w:val="24"/>
          <w:szCs w:val="24"/>
        </w:rPr>
        <w:t>1/Nrf2 axis. Toxics, 10(7), 362. https://doi.org/10.3390/toxics10070362</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Basch, E., Ulbricht, C., Kuo, G., Szapary, P., &amp; Smith, M. (2003). Therapeutic applications of fenugreek. </w:t>
      </w:r>
      <w:r w:rsidRPr="00643115">
        <w:rPr>
          <w:i/>
          <w:iCs/>
          <w:sz w:val="24"/>
          <w:szCs w:val="24"/>
        </w:rPr>
        <w:t>Alternative Medicine Review,</w:t>
      </w:r>
      <w:r w:rsidRPr="00643115">
        <w:rPr>
          <w:sz w:val="24"/>
          <w:szCs w:val="24"/>
        </w:rPr>
        <w:t xml:space="preserve"> 8(1), 20–27. </w:t>
      </w:r>
      <w:hyperlink r:id="rId13" w:history="1">
        <w:r w:rsidRPr="00643115">
          <w:rPr>
            <w:rStyle w:val="Hyperlink"/>
            <w:sz w:val="24"/>
            <w:szCs w:val="24"/>
          </w:rPr>
          <w:t>https://pubmed.ncbi.nlm.nih.gov/12611558/</w:t>
        </w:r>
      </w:hyperlink>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lastRenderedPageBreak/>
        <w:t xml:space="preserve">Bianco, A. C., &amp; Kim, B. W. (2006). Deiodinases: implications of the local control of thyroid hormone action. </w:t>
      </w:r>
      <w:r w:rsidRPr="00643115">
        <w:rPr>
          <w:i/>
          <w:iCs/>
          <w:sz w:val="24"/>
          <w:szCs w:val="24"/>
        </w:rPr>
        <w:t>The Journal of Clinical Investigation,</w:t>
      </w:r>
      <w:r w:rsidRPr="00643115">
        <w:rPr>
          <w:sz w:val="24"/>
          <w:szCs w:val="24"/>
        </w:rPr>
        <w:t xml:space="preserve"> 116(10)</w:t>
      </w:r>
      <w:r w:rsidRPr="00643115">
        <w:rPr>
          <w:sz w:val="24"/>
          <w:szCs w:val="24"/>
        </w:rPr>
        <w:t xml:space="preserve">, 2571–2579. </w:t>
      </w:r>
      <w:hyperlink r:id="rId14" w:history="1">
        <w:r w:rsidRPr="00643115">
          <w:rPr>
            <w:rStyle w:val="Hyperlink"/>
            <w:sz w:val="24"/>
            <w:szCs w:val="24"/>
          </w:rPr>
          <w:t>https://doi.org/10.1172/JCI29812</w:t>
        </w:r>
      </w:hyperlink>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Bhardwaj, S., Kaur, G., &amp; Jaggi, A. S. (2018). Pharmacological evaluation of Trigonella foenum-graecum seeds extract in experimental models of diabetes and metab</w:t>
      </w:r>
      <w:r w:rsidRPr="00643115">
        <w:rPr>
          <w:sz w:val="24"/>
          <w:szCs w:val="24"/>
        </w:rPr>
        <w:t xml:space="preserve">olic dysfunction. </w:t>
      </w:r>
      <w:r w:rsidRPr="00643115">
        <w:rPr>
          <w:i/>
          <w:iCs/>
          <w:sz w:val="24"/>
          <w:szCs w:val="24"/>
        </w:rPr>
        <w:t>Journal of Ethnopharmacology,</w:t>
      </w:r>
      <w:r w:rsidRPr="00643115">
        <w:rPr>
          <w:sz w:val="24"/>
          <w:szCs w:val="24"/>
        </w:rPr>
        <w:t xml:space="preserve"> 219, 60–68. https://doi.org/10.1016/j.jep.2018.03.015</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Brent, G. A. (2012). Mechanisms of thyroid hormone action. </w:t>
      </w:r>
      <w:r w:rsidRPr="00643115">
        <w:rPr>
          <w:i/>
          <w:iCs/>
          <w:sz w:val="24"/>
          <w:szCs w:val="24"/>
        </w:rPr>
        <w:t>Journal of Clinical Investigation,</w:t>
      </w:r>
      <w:r w:rsidRPr="00643115">
        <w:rPr>
          <w:sz w:val="24"/>
          <w:szCs w:val="24"/>
        </w:rPr>
        <w:t xml:space="preserve"> 122(9), 3035–3043. </w:t>
      </w:r>
      <w:hyperlink r:id="rId15" w:history="1">
        <w:r w:rsidRPr="00643115">
          <w:rPr>
            <w:rStyle w:val="Hyperlink"/>
            <w:sz w:val="24"/>
            <w:szCs w:val="24"/>
          </w:rPr>
          <w:t>https://doi.org/10.1172/JCI60047</w:t>
        </w:r>
      </w:hyperlink>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Duntas, L. H., &amp; Brenta, G. (2012). The effect of thyroid disorders on lipid levels and metabolism. Medical Clinics of North America, 96(2), 269–281. </w:t>
      </w:r>
      <w:hyperlink r:id="rId16" w:history="1">
        <w:r w:rsidRPr="00643115">
          <w:rPr>
            <w:rStyle w:val="Hyperlink"/>
            <w:sz w:val="24"/>
            <w:szCs w:val="24"/>
          </w:rPr>
          <w:t>https://d</w:t>
        </w:r>
        <w:r w:rsidRPr="00643115">
          <w:rPr>
            <w:rStyle w:val="Hyperlink"/>
            <w:sz w:val="24"/>
            <w:szCs w:val="24"/>
          </w:rPr>
          <w:t>oi.org/10.1016/j.mcna.2012.01.012</w:t>
        </w:r>
      </w:hyperlink>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Fatima, H., Shahid, M., Pruitt, C., Pung, M. A., Mills, P. J., Riaz, M., &amp; Ashraf, R. (2022). Chemical Fingerprinting, Antioxidant, and Anti-Inflammatory Potential of Hydroethanolic Extract of Trigonella foenum-graecum.</w:t>
      </w:r>
      <w:r w:rsidRPr="00643115">
        <w:rPr>
          <w:sz w:val="24"/>
          <w:szCs w:val="24"/>
        </w:rPr>
        <w:t xml:space="preserve"> </w:t>
      </w:r>
      <w:r w:rsidRPr="00643115">
        <w:rPr>
          <w:i/>
          <w:iCs/>
          <w:sz w:val="24"/>
          <w:szCs w:val="24"/>
        </w:rPr>
        <w:t>Antioxidants</w:t>
      </w:r>
      <w:r w:rsidRPr="00643115">
        <w:rPr>
          <w:sz w:val="24"/>
          <w:szCs w:val="24"/>
        </w:rPr>
        <w:t xml:space="preserve">, 11(2), 364. https://doi.org/10.3390/antiox11020364 </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Gaikwad, S., &amp; Somani, G. (2011). Effects of goitrogenic compounds on thyroid function in rats. </w:t>
      </w:r>
      <w:r w:rsidRPr="00643115">
        <w:rPr>
          <w:i/>
          <w:iCs/>
          <w:sz w:val="24"/>
          <w:szCs w:val="24"/>
        </w:rPr>
        <w:t>Food and Chemical Toxicology.</w:t>
      </w:r>
      <w:r w:rsidRPr="00643115">
        <w:rPr>
          <w:sz w:val="24"/>
          <w:szCs w:val="24"/>
        </w:rPr>
        <w:t xml:space="preserve"> </w:t>
      </w:r>
      <w:hyperlink r:id="rId17" w:history="1">
        <w:r w:rsidRPr="00643115">
          <w:rPr>
            <w:rStyle w:val="Hyperlink"/>
            <w:rFonts w:ascii="Calibri" w:hAnsi="Calibri"/>
            <w:sz w:val="24"/>
            <w:szCs w:val="24"/>
          </w:rPr>
          <w:t>https://</w:t>
        </w:r>
        <w:r w:rsidRPr="00643115">
          <w:rPr>
            <w:rStyle w:val="Hyperlink"/>
            <w:rFonts w:ascii="Calibri" w:hAnsi="Calibri"/>
            <w:sz w:val="24"/>
            <w:szCs w:val="24"/>
          </w:rPr>
          <w:t>doi.org/10.1016/j.fct.2010.12.009</w:t>
        </w:r>
      </w:hyperlink>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Goyal, R. K. (2021). Pharmacological potential of fenugreek in endocrine disorders: a review. </w:t>
      </w:r>
      <w:r w:rsidRPr="00643115">
        <w:rPr>
          <w:i/>
          <w:iCs/>
          <w:sz w:val="24"/>
          <w:szCs w:val="24"/>
        </w:rPr>
        <w:t xml:space="preserve">Journal of Herbal Medicine, </w:t>
      </w:r>
      <w:r w:rsidRPr="00643115">
        <w:rPr>
          <w:sz w:val="24"/>
          <w:szCs w:val="24"/>
        </w:rPr>
        <w:t>28, 100468. https://doi.org/10.1016/j.hermed.2021.100468</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Hu, X., Chen, Y., Shen, Y., Tian, R., Sheng, Y., &amp; Que, H. (2022). Global prevalence and epidemiological trends of Hashimoto’s thyroiditis in adults: A systematic review and meta-analysis. </w:t>
      </w:r>
      <w:r w:rsidRPr="00643115">
        <w:rPr>
          <w:i/>
          <w:iCs/>
          <w:sz w:val="24"/>
          <w:szCs w:val="24"/>
        </w:rPr>
        <w:t xml:space="preserve">Frontiers in Public Health, </w:t>
      </w:r>
      <w:r w:rsidRPr="00643115">
        <w:rPr>
          <w:sz w:val="24"/>
          <w:szCs w:val="24"/>
        </w:rPr>
        <w:t>10, 1020709. https://doi.org/10.3389/fp</w:t>
      </w:r>
      <w:r w:rsidRPr="00643115">
        <w:rPr>
          <w:sz w:val="24"/>
          <w:szCs w:val="24"/>
        </w:rPr>
        <w:t>ubh.2022.1020709</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Kamal P., Pal R., Nath R., Sachan A. K. (2022). Protective effects of the ethanolic fenugreek seeds extract and its potentiation with nitric oxide modulators in adjuvant </w:t>
      </w:r>
      <w:r w:rsidRPr="00643115">
        <w:rPr>
          <w:sz w:val="24"/>
          <w:szCs w:val="24"/>
        </w:rPr>
        <w:lastRenderedPageBreak/>
        <w:t>induced changes in arthritic index, pro-inflammatory/anti-inflammator</w:t>
      </w:r>
      <w:r w:rsidRPr="00643115">
        <w:rPr>
          <w:sz w:val="24"/>
          <w:szCs w:val="24"/>
        </w:rPr>
        <w:t xml:space="preserve">y cytokines imbalance and oxidative stress markers in rats. Indian </w:t>
      </w:r>
      <w:r w:rsidRPr="00643115">
        <w:rPr>
          <w:i/>
          <w:iCs/>
          <w:sz w:val="24"/>
          <w:szCs w:val="24"/>
        </w:rPr>
        <w:t>Journal of Physiology and Pharmacology,</w:t>
      </w:r>
      <w:r w:rsidRPr="00643115">
        <w:rPr>
          <w:sz w:val="24"/>
          <w:szCs w:val="24"/>
        </w:rPr>
        <w:t xml:space="preserve"> 66, 45–54. https://doi.org/10.25259/IJPP_11_2022</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Lee, S. Y., Braverman, L. E., Pearce, E. N., et al. (2014). Changes in body weight after treatment o</w:t>
      </w:r>
      <w:r w:rsidRPr="00643115">
        <w:rPr>
          <w:sz w:val="24"/>
          <w:szCs w:val="24"/>
        </w:rPr>
        <w:t xml:space="preserve">f primary hypothyroidism with levothyroxine. </w:t>
      </w:r>
      <w:r w:rsidRPr="00643115">
        <w:rPr>
          <w:i/>
          <w:iCs/>
          <w:sz w:val="24"/>
          <w:szCs w:val="24"/>
        </w:rPr>
        <w:t>Thyroid</w:t>
      </w:r>
      <w:r w:rsidRPr="00643115">
        <w:rPr>
          <w:sz w:val="24"/>
          <w:szCs w:val="24"/>
        </w:rPr>
        <w:t>, 24(8), 1295–1300. https://doi.org/10.1089/thy.2013.0624</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Marchiori, R. C., Pereira, L. A. F., Naujorks, A. A., Rovaris, D. L., Meinerz, D. F., Duarte, M. M. M. F., &amp; Rocha, J. B. T. (2015). Improvement o</w:t>
      </w:r>
      <w:r w:rsidRPr="00643115">
        <w:rPr>
          <w:sz w:val="24"/>
          <w:szCs w:val="24"/>
        </w:rPr>
        <w:t xml:space="preserve">f blood inflammatory marker levels in patients with hypothyroidism under levothyroxine treatment. BMC </w:t>
      </w:r>
      <w:r w:rsidRPr="00643115">
        <w:rPr>
          <w:i/>
          <w:iCs/>
          <w:sz w:val="24"/>
          <w:szCs w:val="24"/>
        </w:rPr>
        <w:t xml:space="preserve">Endocrine Disorders, </w:t>
      </w:r>
      <w:r w:rsidRPr="00643115">
        <w:rPr>
          <w:sz w:val="24"/>
          <w:szCs w:val="24"/>
        </w:rPr>
        <w:t xml:space="preserve">15, 32. https://doi.org/10.1186/s12902-2015-0032-3 </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OECD. (2001). OECD Guideline for the Testing of Chemicals: Acute Oral Toxicity – </w:t>
      </w:r>
      <w:r w:rsidRPr="00643115">
        <w:rPr>
          <w:sz w:val="24"/>
          <w:szCs w:val="24"/>
        </w:rPr>
        <w:t>Up-and-Down Procedure (Test Guideline 425). Organisation for Economic Co-operation and Development.https://www.oecd.org/env/ehs/testing/mono(425)acuteoraltoxicity.pdf</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Park, S. Y., Kim, H. J., &amp; Park, J. H. (2018). Anti-inflammatory effects of Trigonella fo</w:t>
      </w:r>
      <w:r w:rsidRPr="00643115">
        <w:rPr>
          <w:sz w:val="24"/>
          <w:szCs w:val="24"/>
        </w:rPr>
        <w:t xml:space="preserve">enum-graecum in vitro and in vivo. </w:t>
      </w:r>
      <w:r w:rsidRPr="00643115">
        <w:rPr>
          <w:i/>
          <w:iCs/>
          <w:sz w:val="24"/>
          <w:szCs w:val="24"/>
        </w:rPr>
        <w:t xml:space="preserve">Journal of Ethnopharmacology. </w:t>
      </w:r>
      <w:hyperlink r:id="rId18" w:history="1">
        <w:r w:rsidRPr="00643115">
          <w:rPr>
            <w:rStyle w:val="Hyperlink"/>
            <w:sz w:val="24"/>
            <w:szCs w:val="24"/>
          </w:rPr>
          <w:t>https://doi.org/10.1016/j.jep.2017.08.030</w:t>
        </w:r>
      </w:hyperlink>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Saxena, R., et al. (2015). Thyroid-stimulating potential of Trigonella foenum-graecum in ex</w:t>
      </w:r>
      <w:r w:rsidRPr="00643115">
        <w:rPr>
          <w:sz w:val="24"/>
          <w:szCs w:val="24"/>
        </w:rPr>
        <w:t xml:space="preserve">perimental hypothyroidism. </w:t>
      </w:r>
      <w:r w:rsidRPr="00643115">
        <w:rPr>
          <w:i/>
          <w:iCs/>
          <w:sz w:val="24"/>
          <w:szCs w:val="24"/>
        </w:rPr>
        <w:t xml:space="preserve">Journal of Ethnopharmacology, </w:t>
      </w:r>
      <w:r w:rsidRPr="00643115">
        <w:rPr>
          <w:sz w:val="24"/>
          <w:szCs w:val="24"/>
        </w:rPr>
        <w:t>162, 276–283. https://doi.org/10.1016/j.jep.2014.12.029</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Singh, P., &amp; Gupta, S. (2017). Mechanistic insights into the thyroid-modulatory effects of fenugreek (Trigonella foenum-graecum). </w:t>
      </w:r>
      <w:r w:rsidRPr="00643115">
        <w:rPr>
          <w:i/>
          <w:iCs/>
          <w:sz w:val="24"/>
          <w:szCs w:val="24"/>
        </w:rPr>
        <w:t xml:space="preserve">Phytotherapy </w:t>
      </w:r>
      <w:r w:rsidRPr="00643115">
        <w:rPr>
          <w:i/>
          <w:iCs/>
          <w:sz w:val="24"/>
          <w:szCs w:val="24"/>
        </w:rPr>
        <w:t>Research,</w:t>
      </w:r>
      <w:r w:rsidRPr="00643115">
        <w:rPr>
          <w:sz w:val="24"/>
          <w:szCs w:val="24"/>
        </w:rPr>
        <w:t xml:space="preserve"> 31(6), 867–875. https://doi.org/10.1002/ptr.5770</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 xml:space="preserve">Sood, N., &amp; Sood, R. (2019). Traditional and modern uses of fenugreek (Trigonella foenum-graecum) in health management. </w:t>
      </w:r>
      <w:r w:rsidRPr="00643115">
        <w:rPr>
          <w:i/>
          <w:iCs/>
          <w:sz w:val="24"/>
          <w:szCs w:val="24"/>
        </w:rPr>
        <w:t>Phytotherapy Research,</w:t>
      </w:r>
      <w:r w:rsidRPr="00643115">
        <w:rPr>
          <w:sz w:val="24"/>
          <w:szCs w:val="24"/>
        </w:rPr>
        <w:t xml:space="preserve"> 33(12), 3105–3121. https://doi.org/10.1002/ptr.6461</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lastRenderedPageBreak/>
        <w:t>Zh</w:t>
      </w:r>
      <w:r w:rsidRPr="00643115">
        <w:rPr>
          <w:sz w:val="24"/>
          <w:szCs w:val="24"/>
        </w:rPr>
        <w:t xml:space="preserve">u, L., &amp; Yang, L. (2023). Potassium perchlorate-induced hypothyroidism: Mechanisms and toxicological effects. </w:t>
      </w:r>
      <w:r w:rsidRPr="00643115">
        <w:rPr>
          <w:i/>
          <w:iCs/>
          <w:sz w:val="24"/>
          <w:szCs w:val="24"/>
        </w:rPr>
        <w:t>Toxicology Letters</w:t>
      </w:r>
      <w:r w:rsidRPr="00643115">
        <w:rPr>
          <w:sz w:val="24"/>
          <w:szCs w:val="24"/>
        </w:rPr>
        <w:t>, 371, 20–30. https://doi.org/10.1016/j.toxlet.2023.01.004</w:t>
      </w:r>
    </w:p>
    <w:p w:rsidR="00DE0C14" w:rsidRPr="00643115" w:rsidRDefault="00796A82" w:rsidP="00643115">
      <w:pPr>
        <w:pStyle w:val="ListParagraph"/>
        <w:numPr>
          <w:ilvl w:val="0"/>
          <w:numId w:val="2"/>
        </w:numPr>
        <w:spacing w:line="360" w:lineRule="auto"/>
        <w:jc w:val="both"/>
        <w:rPr>
          <w:sz w:val="24"/>
          <w:szCs w:val="24"/>
        </w:rPr>
      </w:pPr>
      <w:r w:rsidRPr="00643115">
        <w:rPr>
          <w:sz w:val="24"/>
          <w:szCs w:val="24"/>
        </w:rPr>
        <w:t>Zimmermann, M. B., &amp; Boelaert, K. (2022). Iodine deficiency and thyro</w:t>
      </w:r>
      <w:r w:rsidRPr="00643115">
        <w:rPr>
          <w:sz w:val="24"/>
          <w:szCs w:val="24"/>
        </w:rPr>
        <w:t xml:space="preserve">id disorders. </w:t>
      </w:r>
      <w:r w:rsidRPr="00643115">
        <w:rPr>
          <w:i/>
          <w:iCs/>
          <w:sz w:val="24"/>
          <w:szCs w:val="24"/>
        </w:rPr>
        <w:t>The Lancet Diabetes &amp; Endocrinology,</w:t>
      </w:r>
      <w:r w:rsidRPr="00643115">
        <w:rPr>
          <w:sz w:val="24"/>
          <w:szCs w:val="24"/>
        </w:rPr>
        <w:t xml:space="preserve"> 10(9), 642–655. https://doi.org/10.1016/S2213-8587(22)00113-0</w:t>
      </w:r>
    </w:p>
    <w:p w:rsidR="00DE0C14" w:rsidRDefault="00DE0C14">
      <w:pPr>
        <w:spacing w:line="360" w:lineRule="auto"/>
        <w:rPr>
          <w:sz w:val="24"/>
          <w:szCs w:val="24"/>
        </w:rPr>
      </w:pPr>
    </w:p>
    <w:p w:rsidR="00DE0C14" w:rsidRDefault="00DE0C14">
      <w:pPr>
        <w:spacing w:line="360" w:lineRule="auto"/>
        <w:rPr>
          <w:sz w:val="24"/>
          <w:szCs w:val="24"/>
        </w:rPr>
      </w:pPr>
    </w:p>
    <w:p w:rsidR="00DE0C14" w:rsidRDefault="00DE0C14">
      <w:pPr>
        <w:spacing w:line="360" w:lineRule="auto"/>
        <w:rPr>
          <w:sz w:val="24"/>
          <w:szCs w:val="24"/>
        </w:rPr>
      </w:pPr>
    </w:p>
    <w:p w:rsidR="00DE0C14" w:rsidRDefault="00DE0C14">
      <w:pPr>
        <w:spacing w:line="360" w:lineRule="auto"/>
        <w:rPr>
          <w:sz w:val="24"/>
          <w:szCs w:val="24"/>
        </w:rPr>
      </w:pPr>
    </w:p>
    <w:p w:rsidR="00DE0C14" w:rsidRDefault="00DE0C14">
      <w:pPr>
        <w:spacing w:line="360" w:lineRule="auto"/>
        <w:rPr>
          <w:sz w:val="24"/>
          <w:szCs w:val="24"/>
        </w:rPr>
      </w:pPr>
    </w:p>
    <w:p w:rsidR="00DE0C14" w:rsidRDefault="00DE0C14">
      <w:pPr>
        <w:spacing w:line="360" w:lineRule="auto"/>
        <w:rPr>
          <w:sz w:val="24"/>
          <w:szCs w:val="24"/>
        </w:rPr>
      </w:pPr>
    </w:p>
    <w:p w:rsidR="00DE0C14" w:rsidRDefault="00DE0C14">
      <w:pPr>
        <w:spacing w:line="360" w:lineRule="auto"/>
        <w:rPr>
          <w:sz w:val="24"/>
          <w:szCs w:val="24"/>
        </w:rPr>
      </w:pPr>
    </w:p>
    <w:p w:rsidR="00DE0C14" w:rsidRDefault="00DE0C14">
      <w:pPr>
        <w:spacing w:line="360" w:lineRule="auto"/>
        <w:rPr>
          <w:rFonts w:ascii="Times New Roman" w:hAnsi="Times New Roman"/>
          <w:sz w:val="24"/>
          <w:szCs w:val="24"/>
        </w:rPr>
      </w:pPr>
    </w:p>
    <w:p w:rsidR="00DE0C14" w:rsidRDefault="00DE0C14"/>
    <w:sectPr w:rsidR="00DE0C14">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A82" w:rsidRDefault="00796A82">
      <w:pPr>
        <w:spacing w:after="0" w:line="240" w:lineRule="auto"/>
      </w:pPr>
      <w:r>
        <w:separator/>
      </w:r>
    </w:p>
  </w:endnote>
  <w:endnote w:type="continuationSeparator" w:id="0">
    <w:p w:rsidR="00796A82" w:rsidRDefault="00796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00"/>
    <w:family w:val="roman"/>
    <w:pitch w:val="variable"/>
    <w:sig w:usb0="20007A87" w:usb1="80000000" w:usb2="00000008" w:usb3="00000000" w:csb0="000001FF" w:csb1="00000000"/>
  </w:font>
  <w:font w:name="Arial Unicode MS">
    <w:panose1 w:val="020B06040202020202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C14" w:rsidRDefault="00DE0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C14" w:rsidRDefault="00DE0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A82" w:rsidRDefault="00796A82">
      <w:pPr>
        <w:spacing w:after="0" w:line="240" w:lineRule="auto"/>
      </w:pPr>
      <w:r>
        <w:separator/>
      </w:r>
    </w:p>
  </w:footnote>
  <w:footnote w:type="continuationSeparator" w:id="0">
    <w:p w:rsidR="00796A82" w:rsidRDefault="00796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C14" w:rsidRDefault="00796A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05pt;height:104.6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C14" w:rsidRDefault="00796A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05pt;height:104.6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C14" w:rsidRDefault="00796A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05pt;height:104.6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B4E6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24C0B"/>
    <w:multiLevelType w:val="hybridMultilevel"/>
    <w:tmpl w:val="06BA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C14"/>
    <w:rsid w:val="00643115"/>
    <w:rsid w:val="00796A82"/>
    <w:rsid w:val="00DE0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36B9D5B5-61FF-4EB5-991E-72AC8915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paragraph" w:styleId="Heading2">
    <w:name w:val="heading 2"/>
    <w:basedOn w:val="Normal"/>
    <w:uiPriority w:val="9"/>
    <w:semiHidden/>
    <w:unhideWhenUsed/>
    <w:qFormat/>
    <w:pPr>
      <w:keepNext/>
      <w:spacing w:after="0"/>
      <w:jc w:val="both"/>
      <w:outlineLvl w:val="1"/>
    </w:pPr>
    <w:rPr>
      <w:rFonts w:ascii="Helvetica" w:eastAsia="MS Mincho" w:hAnsi="Helvetica" w:cs="Helvetica"/>
      <w:b/>
      <w:bCs/>
      <w:sz w:val="20"/>
      <w:szCs w:val="20"/>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rPr>
      <w:rFonts w:ascii="Times New Roman" w:hAnsi="Times New Roman"/>
    </w:r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lang w:eastAsia="zh-C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lang w:eastAsia="zh-CN"/>
    </w:rPr>
  </w:style>
  <w:style w:type="paragraph" w:styleId="BodyText">
    <w:name w:val="Body Text"/>
    <w:basedOn w:val="Normal"/>
    <w:pPr>
      <w:spacing w:after="0"/>
      <w:jc w:val="both"/>
    </w:pPr>
    <w:rPr>
      <w:rFonts w:ascii="Helvetica" w:eastAsia="MS Mincho" w:hAnsi="Helvetica" w:cs="Helvetica"/>
      <w:sz w:val="24"/>
      <w:szCs w:val="24"/>
      <w:lang w:val="fr-FR" w:eastAsia="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12611558/" TargetMode="External"/><Relationship Id="rId18" Type="http://schemas.openxmlformats.org/officeDocument/2006/relationships/hyperlink" Target="https://doi.org/10.1016/j.jep.2017.08.03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fct.2010.12.00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mcna.2012.01.01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2/JCI60047"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72/JCI29812"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3525</Words>
  <Characters>20096</Characters>
  <Application>Microsoft Office Word</Application>
  <DocSecurity>0</DocSecurity>
  <Lines>167</Lines>
  <Paragraphs>47</Paragraphs>
  <ScaleCrop>false</ScaleCrop>
  <Company/>
  <LinksUpToDate>false</LinksUpToDate>
  <CharactersWithSpaces>23574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KJ5</dc:creator>
  <cp:lastModifiedBy>Editor-11</cp:lastModifiedBy>
  <cp:revision>42</cp:revision>
  <dcterms:created xsi:type="dcterms:W3CDTF">2025-09-08T06:03:00Z</dcterms:created>
  <dcterms:modified xsi:type="dcterms:W3CDTF">2025-12-10T11:50:00Z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a785fbd3e2494492abb0ac4890d641ce</vt:lpwstr>
  </property>
  <property fmtid="{D5CDD505-2E9C-101B-9397-08002B2CF9AE}" pid="3" name="KSOProductBuildVer">
    <vt:lpwstr>2057-12.2.0.21936</vt:lpwstr>
  </property>
</Properties>
</file>