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2BF41" w14:textId="05FACA5B" w:rsidR="008C0A81" w:rsidRPr="008C0A81" w:rsidRDefault="008C0A81" w:rsidP="00B17C16">
      <w:pPr>
        <w:pStyle w:val="Author"/>
        <w:spacing w:line="240" w:lineRule="auto"/>
        <w:jc w:val="left"/>
        <w:rPr>
          <w:rFonts w:ascii="Arial" w:hAnsi="Arial" w:cs="Arial"/>
          <w:bCs/>
          <w:iCs/>
          <w:kern w:val="28"/>
          <w:sz w:val="36"/>
          <w:lang w:val="en"/>
        </w:rPr>
      </w:pPr>
      <w:r w:rsidRPr="008C0A81">
        <w:rPr>
          <w:rFonts w:ascii="Arial" w:hAnsi="Arial" w:cs="Arial"/>
          <w:bCs/>
          <w:iCs/>
          <w:kern w:val="28"/>
          <w:sz w:val="36"/>
          <w:lang w:val="en"/>
        </w:rPr>
        <w:t xml:space="preserve">Physicochemical </w:t>
      </w:r>
      <w:r w:rsidR="00B17C16" w:rsidRPr="008C0A81">
        <w:rPr>
          <w:rFonts w:ascii="Arial" w:hAnsi="Arial" w:cs="Arial"/>
          <w:bCs/>
          <w:iCs/>
          <w:kern w:val="28"/>
          <w:sz w:val="36"/>
          <w:lang w:val="en"/>
        </w:rPr>
        <w:t xml:space="preserve">Quality of Water Resources </w:t>
      </w:r>
      <w:r w:rsidRPr="008C0A81">
        <w:rPr>
          <w:rFonts w:ascii="Arial" w:hAnsi="Arial" w:cs="Arial"/>
          <w:bCs/>
          <w:iCs/>
          <w:kern w:val="28"/>
          <w:sz w:val="36"/>
          <w:lang w:val="en"/>
        </w:rPr>
        <w:t xml:space="preserve">in the </w:t>
      </w:r>
      <w:proofErr w:type="spellStart"/>
      <w:r w:rsidRPr="008C0A81">
        <w:rPr>
          <w:rFonts w:ascii="Arial" w:hAnsi="Arial" w:cs="Arial"/>
          <w:bCs/>
          <w:iCs/>
          <w:kern w:val="28"/>
          <w:sz w:val="36"/>
          <w:lang w:val="en"/>
        </w:rPr>
        <w:t>Téguéré</w:t>
      </w:r>
      <w:proofErr w:type="spellEnd"/>
      <w:r w:rsidRPr="008C0A81">
        <w:rPr>
          <w:rFonts w:ascii="Arial" w:hAnsi="Arial" w:cs="Arial"/>
          <w:bCs/>
          <w:iCs/>
          <w:kern w:val="28"/>
          <w:sz w:val="36"/>
          <w:lang w:val="en"/>
        </w:rPr>
        <w:t xml:space="preserve"> River </w:t>
      </w:r>
      <w:r w:rsidR="00B17C16" w:rsidRPr="008C0A81">
        <w:rPr>
          <w:rFonts w:ascii="Arial" w:hAnsi="Arial" w:cs="Arial"/>
          <w:bCs/>
          <w:iCs/>
          <w:kern w:val="28"/>
          <w:sz w:val="36"/>
          <w:lang w:val="en"/>
        </w:rPr>
        <w:t xml:space="preserve">Watershed </w:t>
      </w:r>
      <w:r w:rsidRPr="008C0A81">
        <w:rPr>
          <w:rFonts w:ascii="Arial" w:hAnsi="Arial" w:cs="Arial"/>
          <w:bCs/>
          <w:iCs/>
          <w:kern w:val="28"/>
          <w:sz w:val="36"/>
          <w:lang w:val="en"/>
        </w:rPr>
        <w:t xml:space="preserve">in </w:t>
      </w:r>
      <w:r w:rsidR="009030C6">
        <w:rPr>
          <w:rFonts w:ascii="Arial" w:hAnsi="Arial" w:cs="Arial"/>
          <w:bCs/>
          <w:iCs/>
          <w:kern w:val="28"/>
          <w:sz w:val="36"/>
          <w:lang w:val="en"/>
        </w:rPr>
        <w:t xml:space="preserve">the </w:t>
      </w:r>
      <w:r w:rsidR="00B17C16">
        <w:rPr>
          <w:rFonts w:ascii="Arial" w:hAnsi="Arial" w:cs="Arial"/>
          <w:bCs/>
          <w:iCs/>
          <w:kern w:val="28"/>
          <w:sz w:val="36"/>
          <w:lang w:val="en"/>
        </w:rPr>
        <w:t xml:space="preserve">Face of Pressures from </w:t>
      </w:r>
      <w:proofErr w:type="spellStart"/>
      <w:r w:rsidR="00B17C16">
        <w:rPr>
          <w:rFonts w:ascii="Arial" w:hAnsi="Arial" w:cs="Arial"/>
          <w:bCs/>
          <w:iCs/>
          <w:kern w:val="28"/>
          <w:sz w:val="36"/>
          <w:lang w:val="en"/>
        </w:rPr>
        <w:t>Peri</w:t>
      </w:r>
      <w:r w:rsidR="00B17C16" w:rsidRPr="008C0A81">
        <w:rPr>
          <w:rFonts w:ascii="Arial" w:hAnsi="Arial" w:cs="Arial"/>
          <w:bCs/>
          <w:iCs/>
          <w:kern w:val="28"/>
          <w:sz w:val="36"/>
          <w:lang w:val="en"/>
        </w:rPr>
        <w:t>urban</w:t>
      </w:r>
      <w:proofErr w:type="spellEnd"/>
      <w:r w:rsidR="00B17C16" w:rsidRPr="008C0A81">
        <w:rPr>
          <w:rFonts w:ascii="Arial" w:hAnsi="Arial" w:cs="Arial"/>
          <w:bCs/>
          <w:iCs/>
          <w:kern w:val="28"/>
          <w:sz w:val="36"/>
          <w:lang w:val="en"/>
        </w:rPr>
        <w:t xml:space="preserve"> Market Gardening </w:t>
      </w:r>
      <w:r w:rsidRPr="008C0A81">
        <w:rPr>
          <w:rFonts w:ascii="Arial" w:hAnsi="Arial" w:cs="Arial"/>
          <w:bCs/>
          <w:iCs/>
          <w:kern w:val="28"/>
          <w:sz w:val="36"/>
          <w:lang w:val="en"/>
        </w:rPr>
        <w:t xml:space="preserve">in </w:t>
      </w:r>
      <w:proofErr w:type="spellStart"/>
      <w:r w:rsidRPr="008C0A81">
        <w:rPr>
          <w:rFonts w:ascii="Arial" w:hAnsi="Arial" w:cs="Arial"/>
          <w:bCs/>
          <w:iCs/>
          <w:kern w:val="28"/>
          <w:sz w:val="36"/>
          <w:lang w:val="en"/>
        </w:rPr>
        <w:t>Korhogo</w:t>
      </w:r>
      <w:proofErr w:type="spellEnd"/>
      <w:r w:rsidR="00B17C16">
        <w:rPr>
          <w:rFonts w:ascii="Arial" w:hAnsi="Arial" w:cs="Arial"/>
          <w:bCs/>
          <w:iCs/>
          <w:kern w:val="28"/>
          <w:sz w:val="36"/>
          <w:lang w:val="en"/>
        </w:rPr>
        <w:t xml:space="preserve">, </w:t>
      </w:r>
      <w:r w:rsidRPr="008C0A81">
        <w:rPr>
          <w:rFonts w:ascii="Arial" w:hAnsi="Arial" w:cs="Arial"/>
          <w:bCs/>
          <w:iCs/>
          <w:kern w:val="28"/>
          <w:sz w:val="36"/>
        </w:rPr>
        <w:t>Northern Côte d'Ivoire</w:t>
      </w:r>
    </w:p>
    <w:p w14:paraId="22A003BF" w14:textId="77777777" w:rsidR="00A258C3" w:rsidRPr="008C0A81" w:rsidRDefault="00A258C3" w:rsidP="00441B6F">
      <w:pPr>
        <w:pStyle w:val="Author"/>
        <w:spacing w:line="240" w:lineRule="auto"/>
        <w:jc w:val="both"/>
        <w:rPr>
          <w:rFonts w:ascii="Arial" w:hAnsi="Arial" w:cs="Arial"/>
          <w:sz w:val="36"/>
          <w:lang w:val="en"/>
        </w:rPr>
      </w:pPr>
    </w:p>
    <w:p w14:paraId="35C8CD14" w14:textId="77777777" w:rsidR="003C2DE3" w:rsidRPr="0083216F" w:rsidRDefault="003C2DE3" w:rsidP="007173AE">
      <w:pPr>
        <w:pStyle w:val="Affiliation"/>
        <w:spacing w:after="0" w:line="240" w:lineRule="auto"/>
        <w:rPr>
          <w:rFonts w:ascii="Arial" w:hAnsi="Arial" w:cs="Arial"/>
          <w:i/>
        </w:rPr>
      </w:pPr>
    </w:p>
    <w:p w14:paraId="3F921EC1" w14:textId="77777777" w:rsidR="00790ADA" w:rsidRDefault="00790ADA" w:rsidP="00441B6F">
      <w:pPr>
        <w:pStyle w:val="Affiliation"/>
        <w:spacing w:after="0" w:line="240" w:lineRule="auto"/>
        <w:jc w:val="both"/>
        <w:rPr>
          <w:rFonts w:ascii="Arial" w:hAnsi="Arial" w:cs="Arial"/>
        </w:rPr>
      </w:pPr>
    </w:p>
    <w:p w14:paraId="63B2B936" w14:textId="77777777" w:rsidR="002C57D2" w:rsidRPr="00FB3A86" w:rsidRDefault="002C57D2" w:rsidP="00441B6F">
      <w:pPr>
        <w:pStyle w:val="Affiliation"/>
        <w:spacing w:after="0" w:line="240" w:lineRule="auto"/>
        <w:jc w:val="both"/>
        <w:rPr>
          <w:rFonts w:ascii="Arial" w:hAnsi="Arial" w:cs="Arial"/>
        </w:rPr>
      </w:pPr>
    </w:p>
    <w:p w14:paraId="5A784A6C" w14:textId="77777777" w:rsidR="00B01FCD" w:rsidRPr="00FB3A86" w:rsidRDefault="00722536" w:rsidP="00441B6F">
      <w:pPr>
        <w:pStyle w:val="Copyright"/>
        <w:spacing w:after="0" w:line="240" w:lineRule="auto"/>
        <w:jc w:val="both"/>
        <w:rPr>
          <w:rFonts w:ascii="Arial" w:hAnsi="Arial" w:cs="Arial"/>
        </w:rPr>
        <w:sectPr w:rsidR="00B01FCD" w:rsidRPr="00FB3A86" w:rsidSect="008861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BCBF35">
          <v:shapetype id="_x0000_t32" coordsize="21600,21600" o:spt="32" o:oned="t" path="m,l21600,21600e" filled="f">
            <v:path arrowok="t" fillok="f" o:connecttype="none"/>
            <o:lock v:ext="edit" shapetype="t"/>
          </v:shapetype>
          <v:shape id="_x0000_s103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CBEA19"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E0AB41" w14:textId="77777777" w:rsidR="00C7451E" w:rsidRPr="00FB3A86" w:rsidRDefault="00C7451E"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E8DAB2C" w14:textId="77777777" w:rsidTr="001E44FE">
        <w:tc>
          <w:tcPr>
            <w:tcW w:w="9576" w:type="dxa"/>
            <w:shd w:val="clear" w:color="auto" w:fill="F2F2F2"/>
          </w:tcPr>
          <w:p w14:paraId="5616C536" w14:textId="77777777" w:rsidR="001C13FC" w:rsidRPr="001C13FC" w:rsidRDefault="001C13FC" w:rsidP="001C13FC">
            <w:pPr>
              <w:pStyle w:val="Body"/>
              <w:spacing w:after="0"/>
              <w:rPr>
                <w:rFonts w:ascii="Arial" w:eastAsia="Calibri" w:hAnsi="Arial" w:cs="Arial"/>
                <w:szCs w:val="22"/>
              </w:rPr>
            </w:pPr>
            <w:r w:rsidRPr="001C13FC">
              <w:rPr>
                <w:rFonts w:ascii="Arial" w:eastAsia="Calibri" w:hAnsi="Arial" w:cs="Arial"/>
                <w:szCs w:val="22"/>
              </w:rPr>
              <w:t xml:space="preserve">In </w:t>
            </w:r>
            <w:proofErr w:type="spellStart"/>
            <w:r w:rsidRPr="001C13FC">
              <w:rPr>
                <w:rFonts w:ascii="Arial" w:eastAsia="Calibri" w:hAnsi="Arial" w:cs="Arial"/>
                <w:szCs w:val="22"/>
              </w:rPr>
              <w:t>Korhogo</w:t>
            </w:r>
            <w:proofErr w:type="spellEnd"/>
            <w:r w:rsidRPr="001C13FC">
              <w:rPr>
                <w:rFonts w:ascii="Arial" w:eastAsia="Calibri" w:hAnsi="Arial" w:cs="Arial"/>
                <w:szCs w:val="22"/>
              </w:rPr>
              <w:t xml:space="preserve">, the </w:t>
            </w:r>
            <w:proofErr w:type="spellStart"/>
            <w:r w:rsidRPr="001C13FC">
              <w:rPr>
                <w:rFonts w:ascii="Arial" w:eastAsia="Calibri" w:hAnsi="Arial" w:cs="Arial"/>
                <w:szCs w:val="22"/>
              </w:rPr>
              <w:t>Téguéré</w:t>
            </w:r>
            <w:proofErr w:type="spellEnd"/>
            <w:r w:rsidRPr="001C13FC">
              <w:rPr>
                <w:rFonts w:ascii="Arial" w:eastAsia="Calibri" w:hAnsi="Arial" w:cs="Arial"/>
                <w:szCs w:val="22"/>
              </w:rPr>
              <w:t xml:space="preserve"> River watershed is home to intensive peri-urban market gardening. The widespread use of pesticides poses a significant risk to water resource quality.</w:t>
            </w:r>
          </w:p>
          <w:p w14:paraId="42989856" w14:textId="66E24540" w:rsidR="001C13FC" w:rsidRPr="001C13FC" w:rsidRDefault="001C13FC" w:rsidP="001C13FC">
            <w:pPr>
              <w:pStyle w:val="Body"/>
              <w:spacing w:after="0"/>
              <w:rPr>
                <w:rFonts w:ascii="Arial" w:eastAsia="Calibri" w:hAnsi="Arial" w:cs="Arial"/>
                <w:szCs w:val="22"/>
              </w:rPr>
            </w:pPr>
            <w:r w:rsidRPr="001C13FC">
              <w:rPr>
                <w:rFonts w:ascii="Arial" w:eastAsia="Calibri" w:hAnsi="Arial" w:cs="Arial"/>
                <w:szCs w:val="22"/>
              </w:rPr>
              <w:t xml:space="preserve">This study aims to assess the impact of pesticides on the quality of water resources in the </w:t>
            </w:r>
            <w:proofErr w:type="spellStart"/>
            <w:r w:rsidRPr="001C13FC">
              <w:rPr>
                <w:rFonts w:ascii="Arial" w:eastAsia="Calibri" w:hAnsi="Arial" w:cs="Arial"/>
                <w:szCs w:val="22"/>
              </w:rPr>
              <w:t>Téguéré</w:t>
            </w:r>
            <w:proofErr w:type="spellEnd"/>
            <w:r w:rsidRPr="001C13FC">
              <w:rPr>
                <w:rFonts w:ascii="Arial" w:eastAsia="Calibri" w:hAnsi="Arial" w:cs="Arial"/>
                <w:szCs w:val="22"/>
              </w:rPr>
              <w:t xml:space="preserve"> watershed. To this end, ten water points were sampled, including four surface water sources (river) and six groundwater sources (wells). Physicochemical parameters and pesticide concentrations were measured. Pesticide contamination indices (PCI) and pesticide alteration indices (PAI) were calculated. </w:t>
            </w:r>
            <w:r w:rsidR="00995C8B" w:rsidRPr="00995C8B">
              <w:rPr>
                <w:rFonts w:ascii="Arial" w:eastAsia="Calibri" w:hAnsi="Arial" w:cs="Arial"/>
                <w:szCs w:val="22"/>
              </w:rPr>
              <w:t>Principal component analysis (PCA) identified measurement points groups</w:t>
            </w:r>
            <w:r w:rsidR="00995C8B">
              <w:rPr>
                <w:rFonts w:ascii="Arial" w:eastAsia="Calibri" w:hAnsi="Arial" w:cs="Arial"/>
                <w:szCs w:val="22"/>
              </w:rPr>
              <w:t>.</w:t>
            </w:r>
          </w:p>
          <w:p w14:paraId="1E7F23D0" w14:textId="4A27F843" w:rsidR="00505F06" w:rsidRPr="00191304" w:rsidRDefault="001C13FC" w:rsidP="00191304">
            <w:pPr>
              <w:pStyle w:val="Body"/>
              <w:spacing w:after="0"/>
              <w:rPr>
                <w:rFonts w:ascii="Arial" w:eastAsia="Calibri" w:hAnsi="Arial" w:cs="Arial"/>
                <w:szCs w:val="22"/>
                <w:lang w:val="en-GB"/>
              </w:rPr>
            </w:pPr>
            <w:r w:rsidRPr="001C13FC">
              <w:rPr>
                <w:rFonts w:ascii="Arial" w:eastAsia="Calibri" w:hAnsi="Arial" w:cs="Arial"/>
                <w:szCs w:val="22"/>
              </w:rPr>
              <w:t xml:space="preserve">The results reveal that the average temperatures of surface water (31.9°C) and groundwater (31.03°C) are higher than the WHO recommended standard (25°C). These waters are acidic, with an average pH of 4.264. Conductivity is higher in surface water (230 µS/cm) than in groundwater (75 µS/cm). Analysis of pesticide residues identified sixteen (16) active molecules belonging to six (6) chemical families: organophosphates, organochlorines, triazines and their metabolites, carbamates, substituted </w:t>
            </w:r>
            <w:proofErr w:type="spellStart"/>
            <w:r w:rsidRPr="001C13FC">
              <w:rPr>
                <w:rFonts w:ascii="Arial" w:eastAsia="Calibri" w:hAnsi="Arial" w:cs="Arial"/>
                <w:szCs w:val="22"/>
              </w:rPr>
              <w:t>ureas</w:t>
            </w:r>
            <w:proofErr w:type="spellEnd"/>
            <w:r w:rsidRPr="001C13FC">
              <w:rPr>
                <w:rFonts w:ascii="Arial" w:eastAsia="Calibri" w:hAnsi="Arial" w:cs="Arial"/>
                <w:szCs w:val="22"/>
              </w:rPr>
              <w:t>, and pyrethroids. The majority of molecules detected in these waters have concentrations above the WHO guideline value (0.1 µg/L), with a maximum concentration of 3.45 µg/L for chlorpyrifos-ethyl recorded at sampling point No. 4. Triazines and their metabolites dominate surface waters, while organophosphates are most abundant in groundwater. Contamination index (</w:t>
            </w:r>
            <w:r w:rsidR="00DE0D72">
              <w:rPr>
                <w:rFonts w:ascii="Arial" w:eastAsia="Calibri" w:hAnsi="Arial" w:cs="Arial"/>
                <w:szCs w:val="22"/>
              </w:rPr>
              <w:t>P</w:t>
            </w:r>
            <w:r w:rsidRPr="001C13FC">
              <w:rPr>
                <w:rFonts w:ascii="Arial" w:eastAsia="Calibri" w:hAnsi="Arial" w:cs="Arial"/>
                <w:szCs w:val="22"/>
              </w:rPr>
              <w:t xml:space="preserve">CI) results indicate that 20.1% of surface waters are of good quality, 47.9% are of poor quality, and 32% are of very poor quality. As for groundwater, 60.86% of samples are classified as good quality and 39.14% as poor quality. The </w:t>
            </w:r>
            <w:r w:rsidR="00DE0D72">
              <w:rPr>
                <w:rFonts w:ascii="Arial" w:eastAsia="Calibri" w:hAnsi="Arial" w:cs="Arial"/>
                <w:szCs w:val="22"/>
              </w:rPr>
              <w:t>PAI</w:t>
            </w:r>
            <w:r w:rsidRPr="001C13FC">
              <w:rPr>
                <w:rFonts w:ascii="Arial" w:eastAsia="Calibri" w:hAnsi="Arial" w:cs="Arial"/>
                <w:szCs w:val="22"/>
              </w:rPr>
              <w:t xml:space="preserve"> reveals an average value of 5.30 µg/L for surface water, indicating very poor quality, and 1.9445 µg/L for groundwater, indicating degraded quality.</w:t>
            </w:r>
            <w:r w:rsidR="00191304" w:rsidRPr="00191304">
              <w:rPr>
                <w:rFonts w:ascii="Arial" w:hAnsi="Arial" w:cs="Arial"/>
                <w:lang w:val="en-GB"/>
              </w:rPr>
              <w:t xml:space="preserve"> </w:t>
            </w:r>
            <w:r w:rsidR="00191304" w:rsidRPr="00191304">
              <w:rPr>
                <w:rFonts w:ascii="Arial" w:eastAsia="Calibri" w:hAnsi="Arial" w:cs="Arial"/>
                <w:szCs w:val="22"/>
                <w:lang w:val="en-GB"/>
              </w:rPr>
              <w:t>The discrimination of pesticide sources by PCA, reveals three distinct poles: intensive agriculture, hydrological interactions, and watersheds with their own characteristics.</w:t>
            </w:r>
          </w:p>
        </w:tc>
      </w:tr>
    </w:tbl>
    <w:p w14:paraId="6BEC6AD5" w14:textId="77777777" w:rsidR="00636EB2" w:rsidRDefault="00636EB2" w:rsidP="00441B6F">
      <w:pPr>
        <w:pStyle w:val="Body"/>
        <w:spacing w:after="0"/>
        <w:rPr>
          <w:rFonts w:ascii="Arial" w:hAnsi="Arial" w:cs="Arial"/>
          <w:i/>
        </w:rPr>
      </w:pPr>
    </w:p>
    <w:p w14:paraId="67CB61E4" w14:textId="77777777" w:rsidR="00790ADA" w:rsidRPr="00C7451E" w:rsidRDefault="00A24E7E" w:rsidP="00C7451E">
      <w:pPr>
        <w:pStyle w:val="Body"/>
        <w:rPr>
          <w:rFonts w:ascii="Arial" w:hAnsi="Arial" w:cs="Arial"/>
          <w:i/>
          <w:lang w:val="en-GB"/>
        </w:rPr>
      </w:pPr>
      <w:r>
        <w:rPr>
          <w:rFonts w:ascii="Arial" w:hAnsi="Arial" w:cs="Arial"/>
          <w:i/>
        </w:rPr>
        <w:t xml:space="preserve">Keywords: </w:t>
      </w:r>
      <w:r w:rsidR="00C7451E" w:rsidRPr="00C7451E">
        <w:rPr>
          <w:rFonts w:ascii="Arial" w:hAnsi="Arial" w:cs="Arial"/>
          <w:i/>
          <w:lang w:val="en-GB"/>
        </w:rPr>
        <w:t xml:space="preserve">Peri-urban agriculture, Pesticide contamination, Surface and groundwater quality, </w:t>
      </w:r>
      <w:proofErr w:type="spellStart"/>
      <w:r w:rsidR="00C7451E" w:rsidRPr="00C7451E">
        <w:rPr>
          <w:rFonts w:ascii="Arial" w:hAnsi="Arial" w:cs="Arial"/>
          <w:i/>
          <w:lang w:val="en-GB"/>
        </w:rPr>
        <w:t>Korhogo</w:t>
      </w:r>
      <w:proofErr w:type="spellEnd"/>
    </w:p>
    <w:p w14:paraId="0077530E" w14:textId="77777777" w:rsidR="0024282C" w:rsidRDefault="0024282C" w:rsidP="00C7451E">
      <w:pPr>
        <w:pStyle w:val="Body"/>
        <w:spacing w:after="0"/>
        <w:rPr>
          <w:rFonts w:ascii="Arial" w:hAnsi="Arial" w:cs="Arial"/>
          <w:i/>
          <w:sz w:val="18"/>
        </w:rPr>
      </w:pPr>
    </w:p>
    <w:p w14:paraId="7CB9F0C9" w14:textId="77777777" w:rsidR="00505F06" w:rsidRPr="00A24E7E" w:rsidRDefault="00505F06" w:rsidP="00441B6F">
      <w:pPr>
        <w:pStyle w:val="Body"/>
        <w:spacing w:after="0"/>
        <w:rPr>
          <w:rFonts w:ascii="Arial" w:hAnsi="Arial" w:cs="Arial"/>
          <w:i/>
        </w:rPr>
      </w:pPr>
    </w:p>
    <w:p w14:paraId="045751C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4E8D699" w14:textId="77777777" w:rsidR="00790ADA" w:rsidRPr="00FB3A86" w:rsidRDefault="00790ADA" w:rsidP="00441B6F">
      <w:pPr>
        <w:pStyle w:val="AbstHead"/>
        <w:spacing w:after="0"/>
        <w:jc w:val="both"/>
        <w:rPr>
          <w:rFonts w:ascii="Arial" w:hAnsi="Arial" w:cs="Arial"/>
        </w:rPr>
      </w:pPr>
    </w:p>
    <w:p w14:paraId="137D71DE"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Rapid urbanization in sub-Saharan Africa is exerting increasing pressure on urban water systems through the combined effects of population growth, land-use change, and intensified resource demands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&lt;EndNote&gt;&lt;Cite&gt;&lt;Author&gt;UN-Habitat&lt;/Author&gt;&lt;Year&gt;2016&lt;/Year&gt;&lt;RecNum&gt;1&lt;/RecNum&gt;&lt;DisplayText&gt;(UN-Habitat 2016, McDonald&lt;style face="italic"&gt; et al.&lt;/style&gt; 2020)&lt;/DisplayText&gt;&lt;record&gt;&lt;rec-number&gt;1&lt;/rec-number&gt;&lt;foreign-keys&gt;&lt;key app="EN" db-id="artdva0tl0wr0qe2e5dxp9fpa5d999xzrd22" timestamp="1765621619"&gt;1&lt;/key&gt;&lt;/foreign-keys&gt;&lt;ref-type name="Journal Article"&gt;17&lt;/ref-type&gt;&lt;contributors&gt;&lt;authors&gt;&lt;author&gt;UN-Habitat,&lt;/author&gt;&lt;/authors&gt;&lt;/contributors&gt;&lt;titles&gt;&lt;title&gt;Urbanization and development: emerging futures&lt;/title&gt;&lt;/titles&gt;&lt;pages&gt;4-51&lt;/pages&gt;&lt;volume&gt;3&lt;/volume&gt;&lt;number&gt;4&lt;/number&gt;&lt;dates&gt;&lt;year&gt;2016&lt;/year&gt;&lt;/dates&gt;&lt;urls&gt;&lt;/urls&gt;&lt;/record&gt;&lt;/Cite&gt;&lt;Cite&gt;&lt;Author&gt;McDonald&lt;/Author&gt;&lt;Year&gt;2020&lt;/Year&gt;&lt;RecNum&gt;7&lt;/RecNum&gt;&lt;record&gt;&lt;rec-number&gt;7&lt;/rec-number&gt;&lt;foreign-keys&gt;&lt;key app="EN" db-id="artdva0tl0wr0qe2e5dxp9fpa5d999xzrd22" timestamp="1765621968"&gt;7&lt;/key&gt;&lt;/foreign-keys&gt;&lt;ref-type name="Journal Article"&gt;17&lt;/ref-type&gt;&lt;contributors&gt;&lt;authors&gt;&lt;author&gt;McDonald, Robert I&lt;/author&gt;&lt;author&gt;Mansur, Andressa V&lt;/author&gt;&lt;author&gt;Ascensão, Fernando&lt;/author&gt;&lt;author&gt;Colbert, M’lisa&lt;/author&gt;&lt;author&gt;Crossman, Katie&lt;/author&gt;&lt;author&gt;Elmqvist, Thomas&lt;/author&gt;&lt;author&gt;Gonzalez, Andrew&lt;/author&gt;&lt;author&gt;Güneralp, Burak&lt;/author&gt;&lt;author&gt;Haase, Dagmar&lt;/author&gt;&lt;author&gt;Hamann, Maike&lt;/author&gt;&lt;/authors&gt;&lt;/contributors&gt;&lt;titles&gt;&lt;title&gt;Research gaps in knowledge of the impact of urban growth on biodiversity&lt;/title&gt;&lt;secondary-title&gt;Nature Sustainability&lt;/secondary-title&gt;&lt;/titles&gt;&lt;periodical&gt;&lt;full-title&gt;Nature Sustainability&lt;/full-title&gt;&lt;/periodical&gt;&lt;pages&gt;16-24&lt;/pages&gt;&lt;volume&gt;3&lt;/volume&gt;&lt;number&gt;1&lt;/number&gt;&lt;dates&gt;&lt;year&gt;2020&lt;/year&gt;&lt;/dates&gt;&lt;isbn&gt;2398-9629&lt;/isbn&gt;&lt;urls&gt;&lt;/urls&gt;&lt;electronic-resource-num&gt;https://doi.org/10.1038/s41893-019-0436-6&lt;/electronic-resource-num&gt;&lt;/record&gt;&lt;/Cite&gt;&lt;/EndNote&gt;</w:instrText>
      </w:r>
      <w:r w:rsidRPr="00F50615">
        <w:rPr>
          <w:rFonts w:ascii="Arial" w:hAnsi="Arial" w:cs="Arial"/>
          <w:lang w:val="en-GB"/>
        </w:rPr>
        <w:fldChar w:fldCharType="separate"/>
      </w:r>
      <w:r w:rsidRPr="00F50615">
        <w:rPr>
          <w:rFonts w:ascii="Arial" w:hAnsi="Arial" w:cs="Arial"/>
          <w:lang w:val="en-GB"/>
        </w:rPr>
        <w:t>(UN-Habitat 2016, McDonald</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lang w:val="en-GB"/>
        </w:rPr>
        <w:t xml:space="preserve">. Urban surface waters, in particular, are highly vulnerable to multiple anthropogenic stressors, including domestic wastewater discharges, solid waste accumulation, and diffuse pollution from urban </w:t>
      </w:r>
      <w:r w:rsidRPr="00F50615">
        <w:rPr>
          <w:rFonts w:ascii="Arial" w:hAnsi="Arial" w:cs="Arial"/>
          <w:lang w:val="en-GB"/>
        </w:rPr>
        <w:lastRenderedPageBreak/>
        <w:t xml:space="preserve">and peri -urban agriculture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&lt;EndNote&gt;&lt;Cite&gt;&lt;Author&gt;Paul&lt;/Author&gt;&lt;Year&gt;2001&lt;/Year&gt;&lt;RecNum&gt;10&lt;/RecNum&gt;&lt;DisplayText&gt;(Paul and Meyer 2001, Fletcher&lt;style face="italic"&gt; et al.&lt;/style&gt; 2013)&lt;/DisplayText&gt;&lt;record&gt;&lt;rec-number&gt;10&lt;/rec-number&gt;&lt;foreign-keys&gt;&lt;key app="EN" db-id="artdva0tl0wr0qe2e5dxp9fpa5d999xzrd22" timestamp="1765621968"&gt;10&lt;/key&gt;&lt;/foreign-keys&gt;&lt;ref-type name="Journal Article"&gt;17&lt;/ref-type&gt;&lt;contributors&gt;&lt;authors&gt;&lt;author&gt;Paul, Michael J&lt;/author&gt;&lt;author&gt;Meyer, Judy L &lt;/author&gt;&lt;/authors&gt;&lt;/contributors&gt;&lt;titles&gt;&lt;title&gt;Streams in the urban landscape&lt;/title&gt;&lt;secondary-title&gt;Annual review of Ecology Systematics&lt;/secondary-title&gt;&lt;/titles&gt;&lt;periodical&gt;&lt;full-title&gt;Annual review of Ecology Systematics&lt;/full-title&gt;&lt;/periodical&gt;&lt;pages&gt;333-365&lt;/pages&gt;&lt;volume&gt;32&lt;/volume&gt;&lt;number&gt;1&lt;/number&gt;&lt;dates&gt;&lt;year&gt;2001&lt;/year&gt;&lt;/dates&gt;&lt;isbn&gt;0066-4162&lt;/isbn&gt;&lt;urls&gt;&lt;/urls&gt;&lt;electronic-resource-num&gt;https://doi.org/10.1146/annurev.ecolsys.32.081501.114040&lt;/electronic-resource-num&gt;&lt;/record&gt;&lt;/Cite&gt;&lt;Cite&gt;&lt;Author&gt;Fletcher&lt;/Author&gt;&lt;Year&gt;2013&lt;/Year&gt;&lt;RecNum&gt;4&lt;/RecNum&gt;&lt;record&gt;&lt;rec-number&gt;4&lt;/rec-number&gt;&lt;foreign-keys&gt;&lt;key app="EN" db-id="artdva0tl0wr0qe2e5dxp9fpa5d999xzrd22" timestamp="1765621968"&gt;4&lt;/key&gt;&lt;/foreign-keys&gt;&lt;ref-type name="Journal Article"&gt;17&lt;/ref-type&gt;&lt;contributors&gt;&lt;authors&gt;&lt;author&gt;Fletcher, Tim D&lt;/author&gt;&lt;author&gt;Andrieu, Herve&lt;/author&gt;&lt;author&gt;Hamel, Perrine %J Advances in water resources&lt;/author&gt;&lt;/authors&gt;&lt;/contributors&gt;&lt;titles&gt;&lt;title&gt;Understanding, management and modelling of urban hydrology and its consequences for receiving waters: A state of the art&lt;/title&gt;&lt;/titles&gt;&lt;pages&gt;261-279&lt;/pages&gt;&lt;volume&gt;51&lt;/volume&gt;&lt;dates&gt;&lt;year&gt;2013&lt;/year&gt;&lt;/dates&gt;&lt;isbn&gt;0309-1708&lt;/isbn&gt;&lt;urls&gt;&lt;/urls&gt;&lt;electronic-resource-num&gt;https://doi.org/10.1016/j.advwatres.2012.09.001&lt;/electronic-resource-num&gt;&lt;/record&gt;&lt;/Cite&gt;&lt;/EndNote&gt;</w:instrText>
      </w:r>
      <w:r w:rsidRPr="00F50615">
        <w:rPr>
          <w:rFonts w:ascii="Arial" w:hAnsi="Arial" w:cs="Arial"/>
          <w:lang w:val="en-GB"/>
        </w:rPr>
        <w:fldChar w:fldCharType="separate"/>
      </w:r>
      <w:r w:rsidRPr="00F50615">
        <w:rPr>
          <w:rFonts w:ascii="Arial" w:hAnsi="Arial" w:cs="Arial"/>
          <w:lang w:val="en-GB"/>
        </w:rPr>
        <w:t>(Paul and Meyer 2001, Fletcher</w:t>
      </w:r>
      <w:r w:rsidRPr="00F50615">
        <w:rPr>
          <w:rFonts w:ascii="Arial" w:hAnsi="Arial" w:cs="Arial"/>
          <w:i/>
          <w:lang w:val="en-GB"/>
        </w:rPr>
        <w:t xml:space="preserve"> et al.</w:t>
      </w:r>
      <w:r w:rsidRPr="00F50615">
        <w:rPr>
          <w:rFonts w:ascii="Arial" w:hAnsi="Arial" w:cs="Arial"/>
          <w:lang w:val="en-GB"/>
        </w:rPr>
        <w:t xml:space="preserve"> 2013)</w:t>
      </w:r>
      <w:r w:rsidRPr="00F50615">
        <w:rPr>
          <w:rFonts w:ascii="Arial" w:hAnsi="Arial" w:cs="Arial"/>
        </w:rPr>
        <w:fldChar w:fldCharType="end"/>
      </w:r>
      <w:r w:rsidRPr="00F50615">
        <w:rPr>
          <w:rFonts w:ascii="Arial" w:hAnsi="Arial" w:cs="Arial"/>
          <w:lang w:val="en-GB"/>
        </w:rPr>
        <w:t>. In this context, understanding the interactions between land-use practices and urban water quality has become a central challenge for integrated urban water management.</w:t>
      </w:r>
    </w:p>
    <w:p w14:paraId="4E8613A9"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Urban and peri -urban agriculture has emerged as a critical land-use system in many African cities, contributing significantly to food security, employment, and income generation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&lt;EndNote&gt;&lt;Cite&gt;&lt;Author&gt;Obuobie&lt;/Author&gt;&lt;Year&gt;2006&lt;/Year&gt;&lt;RecNum&gt;10&lt;/RecNum&gt;&lt;DisplayText&gt;(Obuobie&lt;style face="italic"&gt; et al.&lt;/style&gt; 2006)&lt;/DisplayText&gt;&lt;record&gt;&lt;rec-number&gt;10&lt;/rec-number&gt;&lt;foreign-keys&gt;&lt;key app="EN" db-id="sdxv00rtkzrf0jes0zpvdvzwpsxdddfsdz9e" timestamp="1765618603"&gt;10&lt;/key&gt;&lt;/foreign-keys&gt;&lt;ref-type name="Report"&gt;27&lt;/ref-type&gt;&lt;contributors&gt;&lt;authors&gt;&lt;author&gt;Obuobie, Emmanuel&lt;/author&gt;&lt;author&gt;Keraita, Bernard&lt;/author&gt;&lt;author&gt;Danso, George&lt;/author&gt;&lt;author&gt;Amoah, Philip&lt;/author&gt;&lt;author&gt;Cofie, Olufunke O&lt;/author&gt;&lt;author&gt;Raschid-Sally, Liqa&lt;/author&gt;&lt;author&gt;Drechsel, Pay&lt;/author&gt;&lt;/authors&gt;&lt;/contributors&gt;&lt;titles&gt;&lt;title&gt;Irrigated urban vegetable production in Ghana: characteristics, benefits and risks&lt;/title&gt;&lt;/titles&gt;&lt;pages&gt;150&lt;/pages&gt;&lt;dates&gt;&lt;year&gt;2006&lt;/year&gt;&lt;/dates&gt;&lt;publisher&gt;IWMI-RUAF-CPWF&lt;/publisher&gt;&lt;urls&gt;&lt;/urls&gt;&lt;/record&gt;&lt;/Cite&gt;&lt;/EndNote&gt;</w:instrText>
      </w:r>
      <w:r w:rsidRPr="00F50615">
        <w:rPr>
          <w:rFonts w:ascii="Arial" w:hAnsi="Arial" w:cs="Arial"/>
          <w:lang w:val="en-GB"/>
        </w:rPr>
        <w:fldChar w:fldCharType="separate"/>
      </w:r>
      <w:r w:rsidRPr="00F50615">
        <w:rPr>
          <w:rFonts w:ascii="Arial" w:hAnsi="Arial" w:cs="Arial"/>
          <w:lang w:val="en-GB"/>
        </w:rPr>
        <w:t>(Obuobie</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xml:space="preserve">. In Côte d'Ivoire, peri -urban market gardening plays a particularly important role in supplying fresh vegetables to urban markets, especially in secondary cities where food supply chains remain largely informal </w:t>
      </w:r>
      <w:r w:rsidRPr="00F50615">
        <w:rPr>
          <w:rFonts w:ascii="Arial" w:hAnsi="Arial" w:cs="Arial"/>
          <w:lang w:val="en-GB"/>
        </w:rPr>
        <w:fldChar w:fldCharType="begin"/>
      </w:r>
      <w:r w:rsidRPr="00F50615">
        <w:rPr>
          <w:rFonts w:ascii="Arial" w:hAnsi="Arial" w:cs="Arial"/>
          <w:lang w:val="en-GB"/>
        </w:rPr>
        <w:instrText xml:space="preserve"> ADDIN EN.CITE &lt;EndNote&gt;&lt;Cite&gt;&lt;Author&gt;Ducroquet&lt;/Author&gt;&lt;Year&gt;2017&lt;/Year&gt;&lt;RecNum&gt;4&lt;/RecNum&gt;&lt;DisplayText&gt;(Ducroquet&lt;style face="italic"&gt; et al.&lt;/style&gt; 2017, Coulibaly 2024)&lt;/DisplayText&gt;&lt;record&gt;&lt;rec-number&gt;4&lt;/rec-number&gt;&lt;foreign-keys&gt;&lt;key app="EN" db-id="sdxv00rtkzrf0jes0zpvdvzwpsxdddfsdz9e" timestamp="1765618000"&gt;4&lt;/key&gt;&lt;/foreign-keys&gt;&lt;ref-type name="Report"&gt;27&lt;/ref-type&gt;&lt;contributors&gt;&lt;authors&gt;&lt;author&gt;Ducroquet, Hubert&lt;/author&gt;&lt;author&gt;Tillie, Pascal&lt;/author&gt;&lt;author&gt;Elouhichi, Kamel&lt;/author&gt;&lt;author&gt;Gomez, Y&lt;/author&gt;&lt;/authors&gt;&lt;/contributors&gt;&lt;titles&gt;&lt;title&gt;L&amp;apos;agriculture de la Côte d&amp;apos;Ivoire à la loupe: État des lieux des filières de production végétales et animales et revue des politiques agricoles&lt;/title&gt;&lt;/titles&gt;&lt;pages&gt;244&lt;/pages&gt;&lt;dates&gt;&lt;year&gt;2017&lt;/year&gt;&lt;/dates&gt;&lt;publisher&gt;European commission&lt;/publisher&gt;&lt;isbn&gt;9279731793&lt;/isbn&gt;&lt;urls&gt;&lt;/urls&gt;&lt;/record&gt;&lt;/Cite&gt;&lt;Cite&gt;&lt;Author&gt;Coulibaly&lt;/Author&gt;&lt;Year&gt;2024&lt;/Year&gt;&lt;RecNum&gt;2&lt;/RecNum&gt;&lt;record&gt;&lt;rec-number&gt;2&lt;/rec-number&gt;&lt;foreign-keys&gt;&lt;key app="EN" db-id="sdxv00rtkzrf0jes0zpvdvzwpsxdddfsdz9e" timestamp="1765618000"&gt;2&lt;/key&gt;&lt;/foreign-keys&gt;&lt;ref-type name="Journal Article"&gt;17&lt;/ref-type&gt;&lt;contributors&gt;&lt;authors&gt;&lt;author&gt;Coulibaly, Tiécoura Hamed &lt;/author&gt;&lt;/authors&gt;&lt;/contributors&gt;&lt;titles&gt;&lt;title&gt;Agriculture urbaine et approvisionnement des marches de la ville de Korhogo (nord de la Côte d&amp;apos;Ivoire)&lt;/title&gt;&lt;secondary-title&gt;Revue Internationale du Chercheur&lt;/secondary-title&gt;&lt;/titles&gt;&lt;periodical&gt;&lt;full-title&gt;Revue Internationale du Chercheur&lt;/full-title&gt;&lt;/periodical&gt;&lt;pages&gt;438-454&lt;/pages&gt;&lt;volume&gt;5&lt;/volume&gt;&lt;number&gt;1&lt;/number&gt;&lt;dates&gt;&lt;year&gt;2024&lt;/year&gt;&lt;/dates&gt;&lt;isbn&gt;2726-5889&lt;/isbn&gt;&lt;urls&gt;&lt;/urls&gt;&lt;/record&gt;&lt;/Cite&gt;&lt;/EndNote&gt;</w:instrText>
      </w:r>
      <w:r w:rsidRPr="00F50615">
        <w:rPr>
          <w:rFonts w:ascii="Arial" w:hAnsi="Arial" w:cs="Arial"/>
          <w:lang w:val="en-GB"/>
        </w:rPr>
        <w:fldChar w:fldCharType="separate"/>
      </w:r>
      <w:r w:rsidRPr="00F50615">
        <w:rPr>
          <w:rFonts w:ascii="Arial" w:hAnsi="Arial" w:cs="Arial"/>
          <w:lang w:val="en-GB"/>
        </w:rPr>
        <w:t>(Ducroquet</w:t>
      </w:r>
      <w:r w:rsidRPr="00F50615">
        <w:rPr>
          <w:rFonts w:ascii="Arial" w:hAnsi="Arial" w:cs="Arial"/>
          <w:i/>
          <w:lang w:val="en-GB"/>
        </w:rPr>
        <w:t xml:space="preserve"> et al.</w:t>
      </w:r>
      <w:r w:rsidRPr="00F50615">
        <w:rPr>
          <w:rFonts w:ascii="Arial" w:hAnsi="Arial" w:cs="Arial"/>
          <w:lang w:val="en-GB"/>
        </w:rPr>
        <w:t xml:space="preserve"> 2017, Coulibaly 2024)</w:t>
      </w:r>
      <w:r w:rsidRPr="00F50615">
        <w:rPr>
          <w:rFonts w:ascii="Arial" w:hAnsi="Arial" w:cs="Arial"/>
        </w:rPr>
        <w:fldChar w:fldCharType="end"/>
      </w:r>
      <w:r w:rsidRPr="00F50615">
        <w:rPr>
          <w:rFonts w:ascii="Arial" w:hAnsi="Arial" w:cs="Arial"/>
          <w:lang w:val="en-GB"/>
        </w:rPr>
        <w:t xml:space="preserve">. In the city of </w:t>
      </w:r>
      <w:proofErr w:type="spellStart"/>
      <w:r w:rsidRPr="00F50615">
        <w:rPr>
          <w:rFonts w:ascii="Arial" w:hAnsi="Arial" w:cs="Arial"/>
          <w:lang w:val="en-GB"/>
        </w:rPr>
        <w:t>Korhogo</w:t>
      </w:r>
      <w:proofErr w:type="spellEnd"/>
      <w:r w:rsidRPr="00F50615">
        <w:rPr>
          <w:rFonts w:ascii="Arial" w:hAnsi="Arial" w:cs="Arial"/>
          <w:lang w:val="en-GB"/>
        </w:rPr>
        <w:t xml:space="preserve"> , recent studies have emphasized the strategic importance of peri -urban vegetable production, while also highlighting increasing constraints related to land availability, water access, and the availability of agricultural inputs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&lt;EndNote&gt;&lt;Cite&gt;&lt;Author&gt;Ballé&lt;/Author&gt;&lt;Year&gt;2024&lt;/Year&gt;&lt;RecNum&gt;1&lt;/RecNum&gt;&lt;DisplayText&gt;(Ballé 2024, Dosso&lt;style face="italic"&gt; et al.&lt;/style&gt; 2025)&lt;/DisplayText&gt;&lt;record&gt;&lt;rec-number&gt;1&lt;/rec-number&gt;&lt;foreign-keys&gt;&lt;key app="EN" db-id="sdxv00rtkzrf0jes0zpvdvzwpsxdddfsdz9e" timestamp="1765618000"&gt;1&lt;/key&gt;&lt;/foreign-keys&gt;&lt;ref-type name="Journal Article"&gt;17&lt;/ref-type&gt;&lt;contributors&gt;&lt;authors&gt;&lt;author&gt;Ballé, Guy Romaric Ségbé  &lt;/author&gt;&lt;/authors&gt;&lt;/contributors&gt;&lt;titles&gt;&lt;title&gt;Le maraîchage urbain et périurbain face à la raréfaction des facteurs de production dans la ville de Korhogo (Côte d’Ivoire)&lt;/title&gt;&lt;secondary-title&gt;Revue Africaine d’Environnement et d’Agriculture&lt;/secondary-title&gt;&lt;/titles&gt;&lt;periodical&gt;&lt;full-title&gt;Revue Africaine d’Environnement et d’Agriculture&lt;/full-title&gt;&lt;/periodical&gt;&lt;pages&gt;56-66&lt;/pages&gt;&lt;volume&gt;7&lt;/volume&gt;&lt;number&gt;4&lt;/number&gt;&lt;dates&gt;&lt;year&gt;2024&lt;/year&gt;&lt;/dates&gt;&lt;isbn&gt;2708-5422&lt;/isbn&gt;&lt;urls&gt;&lt;/urls&gt;&lt;/record&gt;&lt;/Cite&gt;&lt;Cite&gt;&lt;Author&gt;Dosso&lt;/Author&gt;&lt;Year&gt;2025&lt;/Year&gt;&lt;RecNum&gt;3&lt;/RecNum&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Pr="00F50615">
        <w:rPr>
          <w:rFonts w:ascii="Arial" w:hAnsi="Arial" w:cs="Arial"/>
          <w:lang w:val="en-GB"/>
        </w:rPr>
        <w:fldChar w:fldCharType="separate"/>
      </w:r>
      <w:r w:rsidRPr="00F50615">
        <w:rPr>
          <w:rFonts w:ascii="Arial" w:hAnsi="Arial" w:cs="Arial"/>
          <w:lang w:val="en-GB"/>
        </w:rPr>
        <w:t>(Ballé 2024, Dosso</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w:t>
      </w:r>
    </w:p>
    <w:p w14:paraId="08AD1536"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To maintain high productivity under conditions of continuous cultivation and limited space, peri -urban market gardening systems rely heavily on mineral fertilizers and phytosanitary products. Numerous studies across West Africa have documented the widespread use of pesticides in urban and peri -urban agriculture, often characterized by inadequate training, non-compliance with recommended application rates, and limited awareness of environmental risks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&lt;EndNote&gt;&lt;Cite&gt;&lt;Author&gt;Mambe-Ani&lt;/Author&gt;&lt;Year&gt;2019&lt;/Year&gt;&lt;RecNum&gt;9&lt;/RecNum&gt;&lt;DisplayText&gt;(Kpan&lt;style face="italic"&gt; et al.&lt;/style&gt; 2019, Mambe-Ani&lt;style face="italic"&gt; et al.&lt;/style&gt; 2019)&lt;/DisplayText&gt;&lt;record&gt;&lt;rec-number&gt;9&lt;/rec-number&gt;&lt;foreign-keys&gt;&lt;key app="EN" db-id="sdxv00rtkzrf0jes0zpvdvzwpsxdddfsdz9e" timestamp="1765618352"&gt;9&lt;/key&gt;&lt;/foreign-keys&gt;&lt;ref-type name="Journal Article"&gt;17&lt;/ref-type&gt;&lt;contributors&gt;&lt;authors&gt;&lt;author&gt;Mambe-Ani, Perpétue&lt;/author&gt;&lt;author&gt;Ouattara, Koffi Nouho&lt;/author&gt;&lt;author&gt;Elleingand, Fattoh Eric&lt;/author&gt;&lt;author&gt;Kadjo, Vincent &lt;/author&gt;&lt;/authors&gt;&lt;/contributors&gt;&lt;titles&gt;&lt;title&gt;Assessment of the impact of pesticide use in urban and periurban agriculture in Abidjan, Côte d’Ivoire&lt;/title&gt;&lt;secondary-title&gt; International Journal of Biological Chemical Sciences&lt;/secondary-title&gt;&lt;/titles&gt;&lt;pages&gt;2824-2837&lt;/pages&gt;&lt;volume&gt;13&lt;/volume&gt;&lt;number&gt;6&lt;/number&gt;&lt;dates&gt;&lt;year&gt;2019&lt;/year&gt;&lt;/dates&gt;&lt;isbn&gt;1997-342X&lt;/isbn&gt;&lt;urls&gt;&lt;/urls&gt;&lt;electronic-resource-num&gt; https://dx.doi.org/10.4314/ijbcs.v13i6.32&lt;/electronic-resource-num&gt;&lt;/record&gt;&lt;/Cite&gt;&lt;Cite&gt;&lt;Author&gt;Kpan&lt;/Author&gt;&lt;Year&gt;2019&lt;/Year&gt;&lt;RecNum&gt;5&lt;/RecNum&gt;&lt;record&gt;&lt;rec-number&gt;5&lt;/rec-number&gt;&lt;foreign-keys&gt;&lt;key app="EN" db-id="sdxv00rtkzrf0jes0zpvdvzwpsxdddfsdz9e" timestamp="1765618000"&gt;5&lt;/key&gt;&lt;/foreign-keys&gt;&lt;ref-type name="Journal Article"&gt;17&lt;/ref-type&gt;&lt;contributors&gt;&lt;authors&gt;&lt;author&gt;Kpan, K&lt;/author&gt;&lt;author&gt;Yao, B&lt;/author&gt;&lt;author&gt;Diemeleou, C&lt;/author&gt;&lt;author&gt;N’guettia, R&lt;/author&gt;&lt;author&gt;Traore, S&lt;/author&gt;&lt;author&gt;Dembele, Ardjouma  &lt;/author&gt;&lt;/authors&gt;&lt;/contributors&gt;&lt;titles&gt;&lt;title&gt;Pratiques phytosanitaires en agriculture périurbaine et contamination des denrées par les pesticides: cas des maraîchers de Port-Bouët (Abidjan)&lt;/title&gt;&lt;secondary-title&gt;Anim Plant Sci&lt;/secondary-title&gt;&lt;/titles&gt;&lt;periodical&gt;&lt;full-title&gt;Anim Plant Sci&lt;/full-title&gt;&lt;/periodical&gt;&lt;pages&gt;6847-63&lt;/pages&gt;&lt;volume&gt;41&lt;/volume&gt;&lt;dates&gt;&lt;year&gt;2019&lt;/year&gt;&lt;/dates&gt;&lt;urls&gt;&lt;/urls&gt;&lt;/record&gt;&lt;/Cite&gt;&lt;/EndNote&gt;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(Kpan</w:t>
      </w:r>
      <w:r w:rsidRPr="00F50615">
        <w:rPr>
          <w:rFonts w:ascii="Arial" w:hAnsi="Arial" w:cs="Arial"/>
          <w:i/>
          <w:lang w:val="en-GB"/>
        </w:rPr>
        <w:t xml:space="preserve"> et al.</w:t>
      </w:r>
      <w:r w:rsidRPr="00F50615">
        <w:rPr>
          <w:rFonts w:ascii="Arial" w:hAnsi="Arial" w:cs="Arial"/>
          <w:lang w:val="en-GB"/>
        </w:rPr>
        <w:t xml:space="preserve"> 2019, Mambe-Ani</w:t>
      </w:r>
      <w:r w:rsidRPr="00F50615">
        <w:rPr>
          <w:rFonts w:ascii="Arial" w:hAnsi="Arial" w:cs="Arial"/>
          <w:i/>
          <w:lang w:val="en-GB"/>
        </w:rPr>
        <w:t xml:space="preserve"> et al.</w:t>
      </w:r>
      <w:r w:rsidRPr="00F50615">
        <w:rPr>
          <w:rFonts w:ascii="Arial" w:hAnsi="Arial" w:cs="Arial"/>
          <w:lang w:val="en-GB"/>
        </w:rPr>
        <w:t xml:space="preserve"> 2019)</w:t>
      </w:r>
      <w:r w:rsidRPr="00F50615">
        <w:rPr>
          <w:rFonts w:ascii="Arial" w:hAnsi="Arial" w:cs="Arial"/>
        </w:rPr>
        <w:fldChar w:fldCharType="end"/>
      </w:r>
      <w:r w:rsidRPr="00F50615">
        <w:rPr>
          <w:rFonts w:ascii="Arial" w:hAnsi="Arial" w:cs="Arial"/>
          <w:lang w:val="en-GB"/>
        </w:rPr>
        <w:t xml:space="preserve">. Such practices increase the likelihood of agrochemical transfer to adjacent environmental compartments, particularly surface waters, through runoff, erosion, and leaching processes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&lt;EndNote&gt;&lt;Cite&gt;&lt;Author&gt;Carvalho&lt;/Author&gt;&lt;Year&gt;2017&lt;/Year&gt;&lt;RecNum&gt;7&lt;/RecNum&gt;&lt;DisplayText&gt;(Stehle and Schulz 2015, Carvalho 2017)&lt;/DisplayText&gt;&lt;record&gt;&lt;rec-number&gt;7&lt;/rec-number&gt;&lt;foreign-keys&gt;&lt;key app="EN" db-id="sdxv00rtkzrf0jes0zpvdvzwpsxdddfsdz9e" timestamp="1765618023"&gt;7&lt;/key&gt;&lt;/foreign-keys&gt;&lt;ref-type name="Journal Article"&gt;17&lt;/ref-type&gt;&lt;contributors&gt;&lt;authors&gt;&lt;author&gt;Carvalho, Fernando P %J &lt;/author&gt;&lt;/authors&gt;&lt;/contributors&gt;&lt;titles&gt;&lt;title&gt;Pesticides, environment, and food safety&lt;/title&gt;&lt;secondary-title&gt;Food energy security&lt;/secondary-title&gt;&lt;/titles&gt;&lt;periodical&gt;&lt;full-title&gt;Food energy security&lt;/full-title&gt;&lt;/periodical&gt;&lt;pages&gt;48-60&lt;/pages&gt;&lt;volume&gt;6&lt;/volume&gt;&lt;number&gt;2&lt;/number&gt;&lt;dates&gt;&lt;year&gt;2017&lt;/year&gt;&lt;/dates&gt;&lt;isbn&gt;2048-3694&lt;/isbn&gt;&lt;urls&gt;&lt;/urls&gt;&lt;electronic-resource-num&gt;https://doi.org/10.1002/fes3.108&lt;/electronic-resource-num&gt;&lt;/record&gt;&lt;/Cite&gt;&lt;Cite&gt;&lt;Author&gt;Stehle&lt;/Author&gt;&lt;Year&gt;2015&lt;/Year&gt;&lt;RecNum&gt;9&lt;/RecNum&gt;&lt;record&gt;&lt;rec-number&gt;9&lt;/rec-number&gt;&lt;foreign-keys&gt;&lt;key app="EN" db-id="0ezsp9v08za5fcerd25592wxz2prpvpetxz2" timestamp="1765621189"&gt;9&lt;/key&gt;&lt;/foreign-keys&gt;&lt;ref-type name="Journal Article"&gt;17&lt;/ref-type&gt;&lt;contributors&gt;&lt;authors&gt;&lt;author&gt;Stehle, Sebastian&lt;/author&gt;&lt;author&gt;Schulz, Ralf  &lt;/author&gt;&lt;/authors&gt;&lt;/contributors&gt;&lt;titles&gt;&lt;title&gt;Agricultural insecticides threaten surface waters at the global scale&lt;/title&gt;&lt;secondary-title&gt;Proceedings of the National Academy of Sciences&lt;/secondary-title&gt;&lt;/titles&gt;&lt;periodical&gt;&lt;full-title&gt;Proceedings of the National Academy of Sciences&lt;/full-title&gt;&lt;/periodical&gt;&lt;pages&gt;5750-5755&lt;/pages&gt;&lt;volume&gt;112&lt;/volume&gt;&lt;number&gt;18&lt;/number&gt;&lt;dates&gt;&lt;year&gt;2015&lt;/year&gt;&lt;/dates&gt;&lt;isbn&gt;0027-8424&lt;/isbn&gt;&lt;urls&gt;&lt;/urls&gt;&lt;electronic-resource-num&gt;https://doi.org/10.1073/pnas.150023211&lt;/electronic-resource-num&gt;&lt;/record&gt;&lt;/Cite&gt;&lt;/EndNote&gt;</w:instrText>
      </w:r>
      <w:r w:rsidRPr="00F50615">
        <w:rPr>
          <w:rFonts w:ascii="Arial" w:hAnsi="Arial" w:cs="Arial"/>
          <w:lang w:val="en-GB"/>
        </w:rPr>
        <w:fldChar w:fldCharType="separate"/>
      </w:r>
      <w:r w:rsidRPr="00F50615">
        <w:rPr>
          <w:rFonts w:ascii="Arial" w:hAnsi="Arial" w:cs="Arial"/>
          <w:lang w:val="en-GB"/>
        </w:rPr>
        <w:t>(Stehle and Schulz 2015, Carvalho 2017)</w:t>
      </w:r>
      <w:r w:rsidRPr="00F50615">
        <w:rPr>
          <w:rFonts w:ascii="Arial" w:hAnsi="Arial" w:cs="Arial"/>
        </w:rPr>
        <w:fldChar w:fldCharType="end"/>
      </w:r>
      <w:r w:rsidRPr="00F50615">
        <w:rPr>
          <w:rFonts w:ascii="Arial" w:hAnsi="Arial" w:cs="Arial"/>
          <w:lang w:val="en-GB"/>
        </w:rPr>
        <w:t>.</w:t>
      </w:r>
    </w:p>
    <w:p w14:paraId="731371C9"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Urban rivers are especially sensitive to diffuse agricultural pollution, as they integrate upstream pressures within relatively small and highly modified catchments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&lt;EndNote&gt;&lt;Cite&gt;&lt;Author&gt;Roy&lt;/Author&gt;&lt;Year&gt;2008&lt;/Year&gt;&lt;RecNum&gt;8&lt;/RecNum&gt;&lt;DisplayText&gt;(Roy&lt;style face="italic"&gt; et al.&lt;/style&gt; 2008)&lt;/DisplayText&gt;&lt;record&gt;&lt;rec-number&gt;8&lt;/rec-number&gt;&lt;foreign-keys&gt;&lt;key app="EN" db-id="0ezsp9v08za5fcerd25592wxz2prpvpetxz2" timestamp="1765620044"&gt;8&lt;/key&gt;&lt;/foreign-keys&gt;&lt;ref-type name="Journal Article"&gt;17&lt;/ref-type&gt;&lt;contributors&gt;&lt;authors&gt;&lt;author&gt;Roy, Allison H&lt;/author&gt;&lt;author&gt;Wenger, Seth J&lt;/author&gt;&lt;author&gt;Fletcher, Tim D&lt;/author&gt;&lt;author&gt;Walsh, Christopher J&lt;/author&gt;&lt;author&gt;Ladson, Anthony R&lt;/author&gt;&lt;author&gt;Shuster, William D&lt;/author&gt;&lt;author&gt;Thurston, Hale W&lt;/author&gt;&lt;author&gt;Brown, Rebekah R &lt;/author&gt;&lt;/authors&gt;&lt;/contributors&gt;&lt;titles&gt;&lt;title&gt;Impediments and solutions to sustainable, watershed-scale urban stormwater management: lessons from Australia and the United States&lt;/title&gt;&lt;secondary-title&gt;Environmental management&lt;/secondary-title&gt;&lt;/titles&gt;&lt;periodical&gt;&lt;full-title&gt;Environmental management&lt;/full-title&gt;&lt;/periodical&gt;&lt;pages&gt;344-359&lt;/pages&gt;&lt;volume&gt;42&lt;/volume&gt;&lt;number&gt;2&lt;/number&gt;&lt;dates&gt;&lt;year&gt;2008&lt;/year&gt;&lt;/dates&gt;&lt;isbn&gt;0364-152X&lt;/isbn&gt;&lt;urls&gt;&lt;/urls&gt;&lt;electronic-resource-num&gt;https://doi.org/10.1007/s00267-008-9119-1&lt;/electronic-resource-num&gt;&lt;/record&gt;&lt;/Cite&gt;&lt;/EndNote&gt;</w:instrText>
      </w:r>
      <w:r w:rsidRPr="00F50615">
        <w:rPr>
          <w:rFonts w:ascii="Arial" w:hAnsi="Arial" w:cs="Arial"/>
          <w:lang w:val="en-GB"/>
        </w:rPr>
        <w:fldChar w:fldCharType="separate"/>
      </w:r>
      <w:r w:rsidRPr="00F50615">
        <w:rPr>
          <w:rFonts w:ascii="Arial" w:hAnsi="Arial" w:cs="Arial"/>
          <w:lang w:val="en-GB"/>
        </w:rPr>
        <w:t>(Roy</w:t>
      </w:r>
      <w:r w:rsidRPr="00F50615">
        <w:rPr>
          <w:rFonts w:ascii="Arial" w:hAnsi="Arial" w:cs="Arial"/>
          <w:i/>
          <w:lang w:val="en-GB"/>
        </w:rPr>
        <w:t xml:space="preserve"> et al.</w:t>
      </w:r>
      <w:r w:rsidRPr="00F50615">
        <w:rPr>
          <w:rFonts w:ascii="Arial" w:hAnsi="Arial" w:cs="Arial"/>
          <w:lang w:val="en-GB"/>
        </w:rPr>
        <w:t xml:space="preserve"> 2008)</w:t>
      </w:r>
      <w:r w:rsidRPr="00F50615">
        <w:rPr>
          <w:rFonts w:ascii="Arial" w:hAnsi="Arial" w:cs="Arial"/>
        </w:rPr>
        <w:fldChar w:fldCharType="end"/>
      </w:r>
      <w:r w:rsidRPr="00F50615">
        <w:rPr>
          <w:rFonts w:ascii="Arial" w:hAnsi="Arial" w:cs="Arial"/>
          <w:lang w:val="en-GB"/>
        </w:rPr>
        <w:t xml:space="preserve">. Changes in </w:t>
      </w:r>
      <w:proofErr w:type="spellStart"/>
      <w:r w:rsidRPr="00F50615">
        <w:rPr>
          <w:rFonts w:ascii="Arial" w:hAnsi="Arial" w:cs="Arial"/>
          <w:lang w:val="en-GB"/>
        </w:rPr>
        <w:t>physico</w:t>
      </w:r>
      <w:proofErr w:type="spellEnd"/>
      <w:r w:rsidRPr="00F50615">
        <w:rPr>
          <w:rFonts w:ascii="Arial" w:hAnsi="Arial" w:cs="Arial"/>
          <w:lang w:val="en-GB"/>
        </w:rPr>
        <w:t xml:space="preserve"> -chemical water quality such as increased nutrient concentrations, altered ionic composition, or elevated conductivity can degrade aquatic ecosystems, reduce the suitability of water for irrigation and other urban uses, and exacerbate public health risks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&lt;EndNote&gt;&lt;Cite&gt;&lt;Author&gt;WHO&lt;/Author&gt;&lt;Year&gt;2022&lt;/Year&gt;&lt;RecNum&gt;3&lt;/RecNum&gt;&lt;DisplayText&gt;(Kaushal&lt;style face="italic"&gt; et al.&lt;/style&gt; 2018, WHO 2022)&lt;/DisplayText&gt;&lt;record&gt;&lt;rec-number&gt;3&lt;/rec-number&gt;&lt;foreign-keys&gt;&lt;key app="EN" db-id="artdva0tl0wr0qe2e5dxp9fpa5d999xzrd22" timestamp="1765621901"&gt;3&lt;/key&gt;&lt;/foreign-keys&gt;&lt;ref-type name="Book"&gt;6&lt;/ref-type&gt;&lt;contributors&gt;&lt;authors&gt;&lt;author&gt;WHO,&lt;/author&gt;&lt;/authors&gt;&lt;/contributors&gt;&lt;titles&gt;&lt;title&gt;Guidelines for drinking-water quality: incorporating the first and second addenda&lt;/title&gt;&lt;/titles&gt;&lt;dates&gt;&lt;year&gt;2022&lt;/year&gt;&lt;/dates&gt;&lt;publisher&gt;World Health Organization&lt;/publisher&gt;&lt;isbn&gt;9240045066&lt;/isbn&gt;&lt;urls&gt;&lt;/urls&gt;&lt;/record&gt;&lt;/Cite&gt;&lt;Cite&gt;&lt;Author&gt;Kaushal&lt;/Author&gt;&lt;Year&gt;2018&lt;/Year&gt;&lt;RecNum&gt;5&lt;/RecNum&gt;&lt;record&gt;&lt;rec-number&gt;5&lt;/rec-number&gt;&lt;foreign-keys&gt;&lt;key app="EN" db-id="artdva0tl0wr0qe2e5dxp9fpa5d999xzrd22" timestamp="1765621968"&gt;5&lt;/key&gt;&lt;/foreign-keys&gt;&lt;ref-type name="Journal Article"&gt;17&lt;/ref-type&gt;&lt;contributors&gt;&lt;authors&gt;&lt;author&gt;Kaushal, Sujay S&lt;/author&gt;&lt;author&gt;Likens, Gene E&lt;/author&gt;&lt;author&gt;Pace, Michael L&lt;/author&gt;&lt;author&gt;Utz, Ryan M&lt;/author&gt;&lt;author&gt;Haq, Shahan&lt;/author&gt;&lt;author&gt;Gorman, Julia&lt;/author&gt;&lt;author&gt;Grese, Melissa&lt;/author&gt;&lt;/authors&gt;&lt;/contributors&gt;&lt;titles&gt;&lt;title&gt;Freshwater salinization syndrome on a continental scale&lt;/title&gt;&lt;secondary-title&gt;Proceedings of the National Academy of Sciences&lt;/secondary-title&gt;&lt;/titles&gt;&lt;periodical&gt;&lt;full-title&gt;Proceedings of the National Academy of Sciences&lt;/full-title&gt;&lt;/periodical&gt;&lt;pages&gt;E574-E583&lt;/pages&gt;&lt;volume&gt;115&lt;/volume&gt;&lt;number&gt;4&lt;/number&gt;&lt;dates&gt;&lt;year&gt;2018&lt;/year&gt;&lt;/dates&gt;&lt;isbn&gt;0027-8424&lt;/isbn&gt;&lt;urls&gt;&lt;/urls&gt;&lt;electronic-resource-num&gt;https://doi.org/10.1073/pnas.1711234115&lt;/electronic-resource-num&gt;&lt;/record&gt;&lt;/Cite&gt;&lt;/EndNote&gt;</w:instrText>
      </w:r>
      <w:r w:rsidRPr="00F50615">
        <w:rPr>
          <w:rFonts w:ascii="Arial" w:hAnsi="Arial" w:cs="Arial"/>
          <w:lang w:val="en-GB"/>
        </w:rPr>
        <w:fldChar w:fldCharType="separate"/>
      </w:r>
      <w:r w:rsidRPr="00F50615">
        <w:rPr>
          <w:rFonts w:ascii="Arial" w:hAnsi="Arial" w:cs="Arial"/>
          <w:lang w:val="en-GB"/>
        </w:rPr>
        <w:t>(Kaushal</w:t>
      </w:r>
      <w:r w:rsidRPr="00F50615">
        <w:rPr>
          <w:rFonts w:ascii="Arial" w:hAnsi="Arial" w:cs="Arial"/>
          <w:i/>
          <w:lang w:val="en-GB"/>
        </w:rPr>
        <w:t xml:space="preserve"> et al.</w:t>
      </w:r>
      <w:r w:rsidRPr="00F50615">
        <w:rPr>
          <w:rFonts w:ascii="Arial" w:hAnsi="Arial" w:cs="Arial"/>
          <w:lang w:val="en-GB"/>
        </w:rPr>
        <w:t xml:space="preserve"> 2018, WHO 2022)</w:t>
      </w:r>
      <w:r w:rsidRPr="00F50615">
        <w:rPr>
          <w:rFonts w:ascii="Arial" w:hAnsi="Arial" w:cs="Arial"/>
        </w:rPr>
        <w:fldChar w:fldCharType="end"/>
      </w:r>
      <w:r w:rsidRPr="00F50615">
        <w:rPr>
          <w:rFonts w:ascii="Arial" w:hAnsi="Arial" w:cs="Arial"/>
          <w:lang w:val="en-GB"/>
        </w:rPr>
        <w:t xml:space="preserve">. Despite these risks, water quality monitoring in rapidly expanding African cities remains limited, and empirical data linking peri -urban agricultural practices to urban river water quality are still scarce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&lt;EndNote&gt;&lt;Cite&gt;&lt;Author&gt;Nyenje&lt;/Author&gt;&lt;Year&gt;2010&lt;/Year&gt;&lt;RecNum&gt;9&lt;/RecNum&gt;&lt;DisplayText&gt;(Nyenje&lt;style face="italic"&gt; et al.&lt;/style&gt; 2010)&lt;/DisplayText&gt;&lt;record&gt;&lt;rec-number&gt;9&lt;/rec-number&gt;&lt;foreign-keys&gt;&lt;key app="EN" db-id="artdva0tl0wr0qe2e5dxp9fpa5d999xzrd22" timestamp="1765621968"&gt;9&lt;/key&gt;&lt;/foreign-keys&gt;&lt;ref-type name="Journal Article"&gt;17&lt;/ref-type&gt;&lt;contributors&gt;&lt;authors&gt;&lt;author&gt;Nyenje, PM&lt;/author&gt;&lt;author&gt;Foppen, JW&lt;/author&gt;&lt;author&gt;Uhlenbrook, S&lt;/author&gt;&lt;author&gt;Kulabako, R&lt;/author&gt;&lt;author&gt;Muwanga, A  &lt;/author&gt;&lt;/authors&gt;&lt;/contributors&gt;&lt;titles&gt;&lt;title&gt;Eutrophication and nutrient release in urban areas of sub-Saharan Africa—a review&lt;/title&gt;&lt;secondary-title&gt;Science of the total environment&lt;/secondary-title&gt;&lt;/titles&gt;&lt;periodical&gt;&lt;full-title&gt;Science of the total environment&lt;/full-title&gt;&lt;/periodical&gt;&lt;pages&gt;447-455&lt;/pages&gt;&lt;volume&gt;408&lt;/volume&gt;&lt;number&gt;3&lt;/number&gt;&lt;dates&gt;&lt;year&gt;2010&lt;/year&gt;&lt;/dates&gt;&lt;isbn&gt;0048-9697&lt;/isbn&gt;&lt;urls&gt;&lt;/urls&gt;&lt;electronic-resource-num&gt;https://doi.org/10.1016/j.scitotenv.2009.10.020&lt;/electronic-resource-num&gt;&lt;/record&gt;&lt;/Cite&gt;&lt;/EndNote&gt;</w:instrText>
      </w:r>
      <w:r w:rsidRPr="00F50615">
        <w:rPr>
          <w:rFonts w:ascii="Arial" w:hAnsi="Arial" w:cs="Arial"/>
          <w:lang w:val="en-GB"/>
        </w:rPr>
        <w:fldChar w:fldCharType="separate"/>
      </w:r>
      <w:r w:rsidRPr="00F50615">
        <w:rPr>
          <w:rFonts w:ascii="Arial" w:hAnsi="Arial" w:cs="Arial"/>
          <w:lang w:val="en-GB"/>
        </w:rPr>
        <w:t>(Nyenje</w:t>
      </w:r>
      <w:r w:rsidRPr="00F50615">
        <w:rPr>
          <w:rFonts w:ascii="Arial" w:hAnsi="Arial" w:cs="Arial"/>
          <w:i/>
          <w:lang w:val="en-GB"/>
        </w:rPr>
        <w:t xml:space="preserve"> et al.</w:t>
      </w:r>
      <w:r w:rsidRPr="00F50615">
        <w:rPr>
          <w:rFonts w:ascii="Arial" w:hAnsi="Arial" w:cs="Arial"/>
          <w:lang w:val="en-GB"/>
        </w:rPr>
        <w:t xml:space="preserve"> 2010)</w:t>
      </w:r>
      <w:r w:rsidRPr="00F50615">
        <w:rPr>
          <w:rFonts w:ascii="Arial" w:hAnsi="Arial" w:cs="Arial"/>
        </w:rPr>
        <w:fldChar w:fldCharType="end"/>
      </w:r>
      <w:r w:rsidRPr="00F50615">
        <w:rPr>
          <w:rFonts w:ascii="Arial" w:hAnsi="Arial" w:cs="Arial"/>
          <w:lang w:val="en-GB"/>
        </w:rPr>
        <w:t>.</w:t>
      </w:r>
    </w:p>
    <w:p w14:paraId="4C011C90" w14:textId="77777777" w:rsidR="00F50615" w:rsidRPr="00F50615" w:rsidRDefault="009B5E57" w:rsidP="00F50615">
      <w:pPr>
        <w:pStyle w:val="Body"/>
        <w:spacing w:after="0"/>
        <w:rPr>
          <w:rFonts w:ascii="Arial" w:hAnsi="Arial" w:cs="Arial"/>
          <w:lang w:val="en-GB"/>
        </w:rPr>
      </w:pPr>
      <w:r>
        <w:rPr>
          <w:rFonts w:ascii="Arial" w:hAnsi="Arial" w:cs="Arial"/>
          <w:lang w:val="en-GB"/>
        </w:rPr>
        <w:t xml:space="preserve">In </w:t>
      </w:r>
      <w:proofErr w:type="spellStart"/>
      <w:r>
        <w:rPr>
          <w:rFonts w:ascii="Arial" w:hAnsi="Arial" w:cs="Arial"/>
          <w:lang w:val="en-GB"/>
        </w:rPr>
        <w:t>Korhogo</w:t>
      </w:r>
      <w:proofErr w:type="spellEnd"/>
      <w:r w:rsidR="00F50615" w:rsidRPr="00F50615">
        <w:rPr>
          <w:rFonts w:ascii="Arial" w:hAnsi="Arial" w:cs="Arial"/>
          <w:lang w:val="en-GB"/>
        </w:rPr>
        <w:t xml:space="preserve">, the </w:t>
      </w:r>
      <w:proofErr w:type="spellStart"/>
      <w:r w:rsidR="00F50615" w:rsidRPr="00F50615">
        <w:rPr>
          <w:rFonts w:ascii="Arial" w:hAnsi="Arial" w:cs="Arial"/>
          <w:lang w:val="en-GB"/>
        </w:rPr>
        <w:t>Téguéré</w:t>
      </w:r>
      <w:proofErr w:type="spellEnd"/>
      <w:r w:rsidR="00F50615" w:rsidRPr="00F50615">
        <w:rPr>
          <w:rFonts w:ascii="Arial" w:hAnsi="Arial" w:cs="Arial"/>
          <w:lang w:val="en-GB"/>
        </w:rPr>
        <w:t xml:space="preserve"> River represents a key component of the urban hydrological network, flowing through areas intensively occupied by peri -urban market gardening. While socio-economic and value-chain </w:t>
      </w:r>
      <w:proofErr w:type="spellStart"/>
      <w:r w:rsidR="00F50615" w:rsidRPr="00F50615">
        <w:rPr>
          <w:rFonts w:ascii="Arial" w:hAnsi="Arial" w:cs="Arial"/>
          <w:lang w:val="en-GB"/>
        </w:rPr>
        <w:t>analyzes</w:t>
      </w:r>
      <w:proofErr w:type="spellEnd"/>
      <w:r w:rsidR="00F50615" w:rsidRPr="00F50615">
        <w:rPr>
          <w:rFonts w:ascii="Arial" w:hAnsi="Arial" w:cs="Arial"/>
          <w:lang w:val="en-GB"/>
        </w:rPr>
        <w:t xml:space="preserve"> have provided detailed insights into the organization, constraints, and performance of the local vegetable sector </w:t>
      </w:r>
      <w:r w:rsidR="00F50615" w:rsidRPr="00F50615">
        <w:rPr>
          <w:rFonts w:ascii="Arial" w:hAnsi="Arial" w:cs="Arial"/>
          <w:lang w:val="en-GB"/>
        </w:rPr>
        <w:fldChar w:fldCharType="begin"/>
      </w:r>
      <w:r w:rsidR="00F50615" w:rsidRPr="00F50615">
        <w:rPr>
          <w:rFonts w:ascii="Arial" w:hAnsi="Arial" w:cs="Arial"/>
          <w:lang w:val="en-GB"/>
        </w:rPr>
        <w:instrText xml:space="preserve"> ADDIN EN.CITE &lt;EndNote&gt;&lt;Cite&gt;&lt;Author&gt;Ballé&lt;/Author&gt;&lt;Year&gt;2024&lt;/Year&gt;&lt;RecNum&gt;1&lt;/RecNum&gt;&lt;DisplayText&gt;(Ballé 2024, Dosso&lt;style face="italic"&gt; et al.&lt;/style&gt; 2025)&lt;/DisplayText&gt;&lt;record&gt;&lt;rec-number&gt;1&lt;/rec-number&gt;&lt;foreign-keys&gt;&lt;key app="EN" db-id="sdxv00rtkzrf0jes0zpvdvzwpsxdddfsdz9e" timestamp="1765618000"&gt;1&lt;/key&gt;&lt;/foreign-keys&gt;&lt;ref-type name="Journal Article"&gt;17&lt;/ref-type&gt;&lt;contributors&gt;&lt;authors&gt;&lt;author&gt;Ballé, Guy Romaric Ségbé  &lt;/author&gt;&lt;/authors&gt;&lt;/contributors&gt;&lt;titles&gt;&lt;title&gt;Le maraîchage urbain et périurbain face à la raréfaction des facteurs de production dans la ville de Korhogo (Côte d’Ivoire)&lt;/title&gt;&lt;secondary-title&gt;Revue Africaine d’Environnement et d’Agriculture&lt;/secondary-title&gt;&lt;/titles&gt;&lt;periodical&gt;&lt;full-title&gt;Revue Africaine d’Environnement et d’Agriculture&lt;/full-title&gt;&lt;/periodical&gt;&lt;pages&gt;56-66&lt;/pages&gt;&lt;volume&gt;7&lt;/volume&gt;&lt;number&gt;4&lt;/number&gt;&lt;dates&gt;&lt;year&gt;2024&lt;/year&gt;&lt;/dates&gt;&lt;isbn&gt;2708-5422&lt;/isbn&gt;&lt;urls&gt;&lt;/urls&gt;&lt;/record&gt;&lt;/Cite&gt;&lt;Cite&gt;&lt;Author&gt;Dosso&lt;/Author&gt;&lt;Year&gt;2025&lt;/Year&gt;&lt;RecNum&gt;3&lt;/RecNum&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00F50615" w:rsidRPr="00F50615">
        <w:rPr>
          <w:rFonts w:ascii="Arial" w:hAnsi="Arial" w:cs="Arial"/>
          <w:lang w:val="en-GB"/>
        </w:rPr>
        <w:fldChar w:fldCharType="separate"/>
      </w:r>
      <w:r w:rsidR="00F50615" w:rsidRPr="00F50615">
        <w:rPr>
          <w:rFonts w:ascii="Arial" w:hAnsi="Arial" w:cs="Arial"/>
          <w:lang w:val="en-GB"/>
        </w:rPr>
        <w:t>(Ballé 2024, Dosso</w:t>
      </w:r>
      <w:r w:rsidR="00F50615" w:rsidRPr="00F50615">
        <w:rPr>
          <w:rFonts w:ascii="Arial" w:hAnsi="Arial" w:cs="Arial"/>
          <w:i/>
          <w:lang w:val="en-GB"/>
        </w:rPr>
        <w:t xml:space="preserve"> et al.</w:t>
      </w:r>
      <w:r w:rsidR="00F50615" w:rsidRPr="00F50615">
        <w:rPr>
          <w:rFonts w:ascii="Arial" w:hAnsi="Arial" w:cs="Arial"/>
          <w:lang w:val="en-GB"/>
        </w:rPr>
        <w:t xml:space="preserve"> 2025)</w:t>
      </w:r>
      <w:r w:rsidR="00F50615" w:rsidRPr="00F50615">
        <w:rPr>
          <w:rFonts w:ascii="Arial" w:hAnsi="Arial" w:cs="Arial"/>
        </w:rPr>
        <w:fldChar w:fldCharType="end"/>
      </w:r>
      <w:r w:rsidR="00F50615" w:rsidRPr="00F50615">
        <w:rPr>
          <w:rFonts w:ascii="Arial" w:hAnsi="Arial" w:cs="Arial"/>
          <w:lang w:val="en-GB"/>
        </w:rPr>
        <w:t xml:space="preserve">, the environmental implications of these activities for urban surface water quality remain poorly documented. In particular, the </w:t>
      </w:r>
      <w:proofErr w:type="spellStart"/>
      <w:r w:rsidR="00F50615" w:rsidRPr="00F50615">
        <w:rPr>
          <w:rFonts w:ascii="Arial" w:hAnsi="Arial" w:cs="Arial"/>
          <w:lang w:val="en-GB"/>
        </w:rPr>
        <w:t>physico</w:t>
      </w:r>
      <w:proofErr w:type="spellEnd"/>
      <w:r w:rsidR="00F50615" w:rsidRPr="00F50615">
        <w:rPr>
          <w:rFonts w:ascii="Arial" w:hAnsi="Arial" w:cs="Arial"/>
          <w:lang w:val="en-GB"/>
        </w:rPr>
        <w:t xml:space="preserve"> -chemical status of the </w:t>
      </w:r>
      <w:proofErr w:type="spellStart"/>
      <w:r w:rsidR="00F50615" w:rsidRPr="00F50615">
        <w:rPr>
          <w:rFonts w:ascii="Arial" w:hAnsi="Arial" w:cs="Arial"/>
          <w:lang w:val="en-GB"/>
        </w:rPr>
        <w:t>Téguéré</w:t>
      </w:r>
      <w:proofErr w:type="spellEnd"/>
      <w:r w:rsidR="00F50615" w:rsidRPr="00F50615">
        <w:rPr>
          <w:rFonts w:ascii="Arial" w:hAnsi="Arial" w:cs="Arial"/>
          <w:lang w:val="en-GB"/>
        </w:rPr>
        <w:t xml:space="preserve"> River and its response to peri -urban agricultural pressures have not been systematically assessed, limiting the integration of agriculture-related pressures into urban water management strategies.</w:t>
      </w:r>
    </w:p>
    <w:p w14:paraId="61B1938E"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Assessing the </w:t>
      </w:r>
      <w:proofErr w:type="spellStart"/>
      <w:r w:rsidRPr="00F50615">
        <w:rPr>
          <w:rFonts w:ascii="Arial" w:hAnsi="Arial" w:cs="Arial"/>
          <w:lang w:val="en-GB"/>
        </w:rPr>
        <w:t>physico</w:t>
      </w:r>
      <w:proofErr w:type="spellEnd"/>
      <w:r w:rsidRPr="00F50615">
        <w:rPr>
          <w:rFonts w:ascii="Arial" w:hAnsi="Arial" w:cs="Arial"/>
          <w:lang w:val="en-GB"/>
        </w:rPr>
        <w:t xml:space="preserve"> -chemical quality of urban rivers under peri -urban agricultural influence is essential for improving the understanding of land–water interactions in rapidly urbanizing contexts and for supporting evidence-based decision-making in urban water governance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&lt;EndNote&gt;&lt;Cite&gt;&lt;Author&gt;McGrane&lt;/Author&gt;&lt;Year&gt;2016&lt;/Year&gt;&lt;RecNum&gt;8&lt;/RecNum&gt;&lt;DisplayText&gt;(McGrane 2016)&lt;/DisplayText&gt;&lt;record&gt;&lt;rec-number&gt;8&lt;/rec-number&gt;&lt;foreign-keys&gt;&lt;key app="EN" db-id="artdva0tl0wr0qe2e5dxp9fpa5d999xzrd22" timestamp="1765621968"&gt;8&lt;/key&gt;&lt;/foreign-keys&gt;&lt;ref-type name="Journal Article"&gt;17&lt;/ref-type&gt;&lt;contributors&gt;&lt;authors&gt;&lt;author&gt;McGrane, Scott J  &lt;/author&gt;&lt;/authors&gt;&lt;/contributors&gt;&lt;titles&gt;&lt;title&gt;Impacts of urbanisation on hydrological and water quality dynamics, and urban water management: a review&lt;/title&gt;&lt;secondary-title&gt;Hydrological Sciences Journal&lt;/secondary-title&gt;&lt;/titles&gt;&lt;periodical&gt;&lt;full-title&gt;Hydrological Sciences Journal&lt;/full-title&gt;&lt;/periodical&gt;&lt;pages&gt;2295-2311&lt;/pages&gt;&lt;volume&gt;61&lt;/volume&gt;&lt;number&gt;13&lt;/number&gt;&lt;dates&gt;&lt;year&gt;2016&lt;/year&gt;&lt;/dates&gt;&lt;isbn&gt;0262-6667&lt;/isbn&gt;&lt;urls&gt;&lt;/urls&gt;&lt;electronic-resource-num&gt; https://doi.org/10.1080/02626667.2015.1128084&lt;/electronic-resource-num&gt;&lt;/record&gt;&lt;/Cite&gt;&lt;/EndNote&gt;</w:instrText>
      </w:r>
      <w:r w:rsidRPr="00F50615">
        <w:rPr>
          <w:rFonts w:ascii="Arial" w:hAnsi="Arial" w:cs="Arial"/>
          <w:lang w:val="en-GB"/>
        </w:rPr>
        <w:fldChar w:fldCharType="separate"/>
      </w:r>
      <w:r w:rsidRPr="00F50615">
        <w:rPr>
          <w:rFonts w:ascii="Arial" w:hAnsi="Arial" w:cs="Arial"/>
          <w:lang w:val="en-GB"/>
        </w:rPr>
        <w:t>(McGrane 2016)</w:t>
      </w:r>
      <w:r w:rsidRPr="00F50615">
        <w:rPr>
          <w:rFonts w:ascii="Arial" w:hAnsi="Arial" w:cs="Arial"/>
        </w:rPr>
        <w:fldChar w:fldCharType="end"/>
      </w:r>
      <w:r w:rsidRPr="00F50615">
        <w:rPr>
          <w:rFonts w:ascii="Arial" w:hAnsi="Arial" w:cs="Arial"/>
          <w:lang w:val="en-GB"/>
        </w:rPr>
        <w:t>. Such assessments contribute to the broader objectives of integrated urban water management by identifying degradation processes, informing risk mitigation strategies, and supporting the sustainable coexistence of food production and urban water systems.</w:t>
      </w:r>
    </w:p>
    <w:p w14:paraId="7476A738"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The objective of this study is therefore to evaluate the </w:t>
      </w:r>
      <w:proofErr w:type="spellStart"/>
      <w:r w:rsidRPr="00F50615">
        <w:rPr>
          <w:rFonts w:ascii="Arial" w:hAnsi="Arial" w:cs="Arial"/>
          <w:lang w:val="en-GB"/>
        </w:rPr>
        <w:t>physico</w:t>
      </w:r>
      <w:proofErr w:type="spellEnd"/>
      <w:r w:rsidRPr="00F50615">
        <w:rPr>
          <w:rFonts w:ascii="Arial" w:hAnsi="Arial" w:cs="Arial"/>
          <w:lang w:val="en-GB"/>
        </w:rPr>
        <w:t xml:space="preserve"> -chemical quality of the </w:t>
      </w:r>
      <w:proofErr w:type="spellStart"/>
      <w:r w:rsidRPr="00F50615">
        <w:rPr>
          <w:rFonts w:ascii="Arial" w:hAnsi="Arial" w:cs="Arial"/>
          <w:lang w:val="en-GB"/>
        </w:rPr>
        <w:t>Téguéré</w:t>
      </w:r>
      <w:proofErr w:type="spellEnd"/>
      <w:r w:rsidRPr="00F50615">
        <w:rPr>
          <w:rFonts w:ascii="Arial" w:hAnsi="Arial" w:cs="Arial"/>
          <w:lang w:val="en-GB"/>
        </w:rPr>
        <w:t xml:space="preserve"> River under peri -urban market gardening pressures in the city of </w:t>
      </w:r>
      <w:proofErr w:type="spellStart"/>
      <w:r w:rsidRPr="00F50615">
        <w:rPr>
          <w:rFonts w:ascii="Arial" w:hAnsi="Arial" w:cs="Arial"/>
          <w:lang w:val="en-GB"/>
        </w:rPr>
        <w:t>Korhogo</w:t>
      </w:r>
      <w:proofErr w:type="spellEnd"/>
      <w:r w:rsidRPr="00F50615">
        <w:rPr>
          <w:rFonts w:ascii="Arial" w:hAnsi="Arial" w:cs="Arial"/>
          <w:lang w:val="en-GB"/>
        </w:rPr>
        <w:t>, providing empirical evidence to support integrated management of urban surface waters in secondary cities of West Africa.</w:t>
      </w:r>
    </w:p>
    <w:p w14:paraId="06F9FA1F" w14:textId="77777777" w:rsidR="00790ADA" w:rsidRPr="00F50615" w:rsidRDefault="00790ADA" w:rsidP="00441B6F">
      <w:pPr>
        <w:pStyle w:val="Body"/>
        <w:spacing w:after="0"/>
        <w:rPr>
          <w:rFonts w:ascii="Arial" w:hAnsi="Arial" w:cs="Arial"/>
          <w:lang w:val="en-GB"/>
        </w:rPr>
      </w:pPr>
    </w:p>
    <w:p w14:paraId="3EFD2498"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1071B0F1" w14:textId="77777777" w:rsidR="00F50615" w:rsidRPr="00FB3A86" w:rsidRDefault="00F50615" w:rsidP="00441B6F">
      <w:pPr>
        <w:pStyle w:val="AbstHead"/>
        <w:spacing w:after="0"/>
        <w:jc w:val="both"/>
        <w:rPr>
          <w:rFonts w:ascii="Arial" w:hAnsi="Arial" w:cs="Arial"/>
        </w:rPr>
      </w:pPr>
    </w:p>
    <w:p w14:paraId="749DB93B"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The </w:t>
      </w:r>
      <w:proofErr w:type="spellStart"/>
      <w:r w:rsidRPr="00F50615">
        <w:rPr>
          <w:rFonts w:ascii="Arial" w:hAnsi="Arial" w:cs="Arial"/>
          <w:lang w:val="en-GB"/>
        </w:rPr>
        <w:t>Téguéré</w:t>
      </w:r>
      <w:proofErr w:type="spellEnd"/>
      <w:r w:rsidRPr="00F50615">
        <w:rPr>
          <w:rFonts w:ascii="Arial" w:hAnsi="Arial" w:cs="Arial"/>
          <w:lang w:val="en-GB"/>
        </w:rPr>
        <w:t xml:space="preserve"> River watershed is located in </w:t>
      </w:r>
      <w:proofErr w:type="spellStart"/>
      <w:r w:rsidRPr="00F50615">
        <w:rPr>
          <w:rFonts w:ascii="Arial" w:hAnsi="Arial" w:cs="Arial"/>
          <w:lang w:val="en-GB"/>
        </w:rPr>
        <w:t>Korhogo</w:t>
      </w:r>
      <w:proofErr w:type="spellEnd"/>
      <w:r w:rsidRPr="00F50615">
        <w:rPr>
          <w:rFonts w:ascii="Arial" w:hAnsi="Arial" w:cs="Arial"/>
          <w:lang w:val="en-GB"/>
        </w:rPr>
        <w:t xml:space="preserve"> , in the northern region of Côte d'Ivoire, in the </w:t>
      </w:r>
      <w:proofErr w:type="spellStart"/>
      <w:r w:rsidRPr="00F50615">
        <w:rPr>
          <w:rFonts w:ascii="Arial" w:hAnsi="Arial" w:cs="Arial"/>
          <w:lang w:val="en-GB"/>
        </w:rPr>
        <w:t>Savanes</w:t>
      </w:r>
      <w:proofErr w:type="spellEnd"/>
      <w:r w:rsidRPr="00F50615">
        <w:rPr>
          <w:rFonts w:ascii="Arial" w:hAnsi="Arial" w:cs="Arial"/>
          <w:lang w:val="en-GB"/>
        </w:rPr>
        <w:t xml:space="preserve"> district, approximately 568 km north of Abidjan and 331 km from Yamoussoukro, with coordinates of 9°03′N and 5°40′W and an average altitude of 380 m </w:t>
      </w:r>
      <w:r w:rsidRPr="00F50615">
        <w:rPr>
          <w:rFonts w:ascii="Arial" w:hAnsi="Arial" w:cs="Arial"/>
          <w:lang w:val="en-GB"/>
        </w:rPr>
        <w:fldChar w:fldCharType="begin"/>
      </w:r>
      <w:r w:rsidRPr="00F50615">
        <w:rPr>
          <w:rFonts w:ascii="Arial" w:hAnsi="Arial" w:cs="Arial"/>
          <w:lang w:val="en-GB"/>
        </w:rPr>
        <w:instrText xml:space="preserve"> ADDIN EN.CITE &lt;EndNote&gt;&lt;Cite&gt;&lt;Author&gt;TRAORE&lt;/Author&gt;&lt;Year&gt;2025&lt;/Year&gt;&lt;RecNum&gt;1&lt;/RecNum&gt;&lt;DisplayText&gt;(Traoré 2025)&lt;/DisplayText&gt;&lt;record&gt;&lt;rec-number&gt;1&lt;/rec-number&gt;&lt;foreign-keys&gt;&lt;key app="EN" db-id="xx000tfe2e9axre5rx9xdwzmrt0wztxtrp09" timestamp="1765626275"&gt;1&lt;/key&gt;&lt;/foreign-keys&gt;&lt;ref-type name="Journal Article"&gt;17&lt;/ref-type&gt;&lt;contributors&gt;&lt;authors&gt;&lt;author&gt;Traoré, Michel &lt;/author&gt;&lt;/authors&gt;&lt;/contributors&gt;&lt;titles&gt;&lt;title&gt;Land artificialisation and urban heat island development in Korhogo, northern Côte d&amp;apos;Ivoire&lt;/title&gt;&lt;secondary-title&gt;Urban Art BioO&lt;/secondary-title&gt;&lt;/titles&gt;&lt;periodical&gt;&lt;full-title&gt;Urban Art BioO&lt;/full-title&gt;&lt;/periodical&gt;&lt;pages&gt;1-16&lt;/pages&gt;&lt;volume&gt;4&lt;/volume&gt;&lt;number&gt;01&lt;/number&gt;&lt;dates&gt;&lt;year&gt;2025&lt;/year&gt;&lt;/dates&gt;&lt;isbn&gt;2830-9618&lt;/isbn&gt;&lt;urls&gt;&lt;/urls&gt;&lt;/record&gt;&lt;/Cite&gt;&lt;/EndNote&gt;</w:instrText>
      </w:r>
      <w:r w:rsidRPr="00F50615">
        <w:rPr>
          <w:rFonts w:ascii="Arial" w:hAnsi="Arial" w:cs="Arial"/>
          <w:lang w:val="en-GB"/>
        </w:rPr>
        <w:fldChar w:fldCharType="separate"/>
      </w:r>
      <w:r w:rsidRPr="00F50615">
        <w:rPr>
          <w:rFonts w:ascii="Arial" w:hAnsi="Arial" w:cs="Arial"/>
          <w:lang w:val="en-GB"/>
        </w:rPr>
        <w:t>(Traoré 2025)</w:t>
      </w:r>
      <w:r w:rsidRPr="00F50615">
        <w:rPr>
          <w:rFonts w:ascii="Arial" w:hAnsi="Arial" w:cs="Arial"/>
        </w:rPr>
        <w:fldChar w:fldCharType="end"/>
      </w:r>
      <w:r w:rsidRPr="00F50615">
        <w:rPr>
          <w:rFonts w:ascii="Arial" w:hAnsi="Arial" w:cs="Arial"/>
          <w:lang w:val="en-GB"/>
        </w:rPr>
        <w:t xml:space="preserve">(Figure 1). Part of the </w:t>
      </w:r>
      <w:proofErr w:type="spellStart"/>
      <w:r w:rsidRPr="00F50615">
        <w:rPr>
          <w:rFonts w:ascii="Arial" w:hAnsi="Arial" w:cs="Arial"/>
          <w:lang w:val="en-GB"/>
        </w:rPr>
        <w:t>Bandama</w:t>
      </w:r>
      <w:proofErr w:type="spellEnd"/>
      <w:r w:rsidRPr="00F50615">
        <w:rPr>
          <w:rFonts w:ascii="Arial" w:hAnsi="Arial" w:cs="Arial"/>
          <w:lang w:val="en-GB"/>
        </w:rPr>
        <w:t xml:space="preserve"> River system, it originates near Mount </w:t>
      </w:r>
      <w:proofErr w:type="spellStart"/>
      <w:r w:rsidRPr="00F50615">
        <w:rPr>
          <w:rFonts w:ascii="Arial" w:hAnsi="Arial" w:cs="Arial"/>
          <w:lang w:val="en-GB"/>
        </w:rPr>
        <w:t>Korhogo</w:t>
      </w:r>
      <w:proofErr w:type="spellEnd"/>
      <w:r w:rsidRPr="00F50615">
        <w:rPr>
          <w:rFonts w:ascii="Arial" w:hAnsi="Arial" w:cs="Arial"/>
          <w:lang w:val="en-GB"/>
        </w:rPr>
        <w:t xml:space="preserve"> , flows through agricultural areas, and joins other rivers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&lt;EndNote&gt;&lt;Cite&gt;&lt;Author&gt;Dosso&lt;/Author&gt;&lt;Year&gt;2025&lt;/Year&gt;&lt;RecNum&gt;3&lt;/RecNum&gt;&lt;DisplayText&gt;(Dosso&lt;style face="italic"&gt; et al.&lt;/style&gt; 2025)&lt;/DisplayText&gt;&lt;record&gt;&lt;rec-number&gt;3&lt;/rec-number&gt;&lt;foreign-keys&gt;&lt;key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Pr="00F50615">
        <w:rPr>
          <w:rFonts w:ascii="Arial" w:hAnsi="Arial" w:cs="Arial"/>
          <w:lang w:val="en-GB"/>
        </w:rPr>
        <w:fldChar w:fldCharType="separate"/>
      </w:r>
      <w:r w:rsidRPr="00F50615">
        <w:rPr>
          <w:rFonts w:ascii="Arial" w:hAnsi="Arial" w:cs="Arial"/>
          <w:lang w:val="en-GB"/>
        </w:rPr>
        <w:t>(Dosso</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 xml:space="preserve">. The slightly rugged terrain and soils with low buffering capacity promote the transport of pollutants to surface waters </w:t>
      </w:r>
      <w:proofErr w:type="gramStart"/>
      <w:r w:rsidRPr="00F50615">
        <w:rPr>
          <w:rFonts w:ascii="Arial" w:hAnsi="Arial" w:cs="Arial"/>
          <w:lang w:val="en-GB"/>
        </w:rPr>
        <w:t>( Stehle</w:t>
      </w:r>
      <w:proofErr w:type="gramEnd"/>
      <w:r w:rsidRPr="00F50615">
        <w:rPr>
          <w:rFonts w:ascii="Arial" w:hAnsi="Arial" w:cs="Arial"/>
          <w:lang w:val="en-GB"/>
        </w:rPr>
        <w:t xml:space="preserve"> &amp; Schulz, 2015). The climate is characterized by a dry season (November–April) and a rainy season (May–October) with 1,200–1,400 mm of rainfall per year, leading to seasonal flooding between July and September and modulating the hydrological regime, which is also influenced by water withdrawals for irrigation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&lt;EndNote&gt;&lt;Cite&gt;&lt;Author&gt;Goula&lt;/Author&gt;&lt;Year&gt;2006&lt;/Year&gt;&lt;RecNum&gt;2&lt;/RecNum&gt;&lt;DisplayText&gt;(Goula&lt;style face="italic"&gt; et al.&lt;/style&gt; 2006)&lt;/DisplayText&gt;&lt;record&gt;&lt;rec-number&gt;2&lt;/rec-number&gt;&lt;foreign-keys&gt;&lt;key app="EN" db-id="xx000tfe2e9axre5rx9xdwzmrt0wztxtrp09" timestamp="1765626753"&gt;2&lt;/key&gt;&lt;/foreign-keys&gt;&lt;ref-type name="Journal Article"&gt;17&lt;/ref-type&gt;&lt;contributors&gt;&lt;authors&gt;&lt;author&gt;Goula, Bt&lt;/author&gt;&lt;author&gt;Kouassi, VJ&lt;/author&gt;&lt;author&gt;Savane, L  &lt;/author&gt;&lt;/authors&gt;&lt;/contributors&gt;&lt;titles&gt;&lt;title&gt;Impacts du changement climatique sur les ressources en eau en zone tropicale humide: cas du bassin versant du Bandama en Côte d\&amp;apos;Ivoire&lt;/title&gt;&lt;secondary-title&gt;Agronomie africaine&lt;/secondary-title&gt;&lt;/titles&gt;&lt;periodical&gt;&lt;full-title&gt;Agronomie africaine&lt;/full-title&gt;&lt;/periodical&gt;&lt;pages&gt;1-11&lt;/pages&gt;&lt;volume&gt;18&lt;/volume&gt;&lt;number&gt;1&lt;/number&gt;&lt;dates&gt;&lt;year&gt;2006&lt;/year&gt;&lt;/dates&gt;&lt;isbn&gt;1015-2288&lt;/isbn&gt;&lt;urls&gt;&lt;/urls&gt;&lt;/record&gt;&lt;/Cite&gt;&lt;/EndNote&gt;</w:instrText>
      </w:r>
      <w:r w:rsidRPr="00F50615">
        <w:rPr>
          <w:rFonts w:ascii="Arial" w:hAnsi="Arial" w:cs="Arial"/>
          <w:lang w:val="en-GB"/>
        </w:rPr>
        <w:fldChar w:fldCharType="separate"/>
      </w:r>
      <w:r w:rsidRPr="00F50615">
        <w:rPr>
          <w:rFonts w:ascii="Arial" w:hAnsi="Arial" w:cs="Arial"/>
          <w:lang w:val="en-GB"/>
        </w:rPr>
        <w:t>(Goula</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The basin includes surface and groundwater that feeds food crops (maize, cassava, rice), intensive market gardening (sweet potatoes, tomatoes, onions,</w:t>
      </w:r>
      <w:r w:rsidR="009B5E57">
        <w:rPr>
          <w:rFonts w:ascii="Arial" w:hAnsi="Arial" w:cs="Arial"/>
          <w:lang w:val="en-GB"/>
        </w:rPr>
        <w:t xml:space="preserve"> okra), and livestock farming (</w:t>
      </w:r>
      <w:r w:rsidRPr="00F50615">
        <w:rPr>
          <w:rFonts w:ascii="Arial" w:hAnsi="Arial" w:cs="Arial"/>
          <w:lang w:val="en-GB"/>
        </w:rPr>
        <w:t>Tano et al., 2011; Kpan et al., 2019). The ferruginous tropical and sandy-clay soils, which are poor in organic matter and cation retention capacity, are vuln</w:t>
      </w:r>
      <w:r w:rsidR="009B5E57">
        <w:rPr>
          <w:rFonts w:ascii="Arial" w:hAnsi="Arial" w:cs="Arial"/>
          <w:lang w:val="en-GB"/>
        </w:rPr>
        <w:t>erable to chemical pollutants (</w:t>
      </w:r>
      <w:proofErr w:type="gramStart"/>
      <w:r w:rsidRPr="00F50615">
        <w:rPr>
          <w:rFonts w:ascii="Arial" w:hAnsi="Arial" w:cs="Arial"/>
          <w:lang w:val="en-GB"/>
        </w:rPr>
        <w:t>Carvalho ,</w:t>
      </w:r>
      <w:proofErr w:type="gramEnd"/>
      <w:r w:rsidRPr="00F50615">
        <w:rPr>
          <w:rFonts w:ascii="Arial" w:hAnsi="Arial" w:cs="Arial"/>
          <w:lang w:val="en-GB"/>
        </w:rPr>
        <w:t xml:space="preserve"> 2017). The fine texture, combined with limited vegetation cover, promotes runoff and erosion.</w:t>
      </w:r>
    </w:p>
    <w:p w14:paraId="61D808AA" w14:textId="77777777" w:rsidR="00F50615" w:rsidRPr="00F50615" w:rsidRDefault="00F50615" w:rsidP="00F50615">
      <w:pPr>
        <w:pStyle w:val="Body"/>
        <w:spacing w:after="0"/>
        <w:rPr>
          <w:rFonts w:ascii="Arial" w:hAnsi="Arial" w:cs="Arial"/>
          <w:lang w:val="fr-FR"/>
        </w:rPr>
      </w:pPr>
      <w:r w:rsidRPr="00F50615">
        <w:rPr>
          <w:rFonts w:ascii="Arial" w:hAnsi="Arial" w:cs="Arial"/>
          <w:noProof/>
        </w:rPr>
        <w:drawing>
          <wp:inline distT="0" distB="0" distL="0" distR="0" wp14:anchorId="3E0015E4" wp14:editId="2454AA2A">
            <wp:extent cx="5760720" cy="4062730"/>
            <wp:effectExtent l="0" t="0" r="0" b="0"/>
            <wp:docPr id="894272937"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72937" name="Image 17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62730"/>
                    </a:xfrm>
                    <a:prstGeom prst="rect">
                      <a:avLst/>
                    </a:prstGeom>
                  </pic:spPr>
                </pic:pic>
              </a:graphicData>
            </a:graphic>
          </wp:inline>
        </w:drawing>
      </w:r>
    </w:p>
    <w:p w14:paraId="37D141E4" w14:textId="77777777" w:rsidR="00F50615" w:rsidRDefault="00F50615" w:rsidP="00F50615">
      <w:pPr>
        <w:pStyle w:val="Body"/>
        <w:spacing w:after="0"/>
        <w:rPr>
          <w:rFonts w:ascii="Arial" w:hAnsi="Arial" w:cs="Arial"/>
          <w:iCs/>
          <w:lang w:val="en"/>
        </w:rPr>
      </w:pPr>
      <w:r w:rsidRPr="00F50615">
        <w:rPr>
          <w:rFonts w:ascii="Arial" w:hAnsi="Arial" w:cs="Arial"/>
          <w:iCs/>
          <w:lang w:val="en"/>
        </w:rPr>
        <w:t xml:space="preserve">Figure </w:t>
      </w:r>
      <w:r w:rsidRPr="00F50615">
        <w:rPr>
          <w:rFonts w:ascii="Arial" w:hAnsi="Arial" w:cs="Arial"/>
          <w:iCs/>
          <w:lang w:val="en"/>
        </w:rPr>
        <w:fldChar w:fldCharType="begin"/>
      </w:r>
      <w:r w:rsidRPr="00F50615">
        <w:rPr>
          <w:rFonts w:ascii="Arial" w:hAnsi="Arial" w:cs="Arial"/>
          <w:iCs/>
          <w:lang w:val="en"/>
        </w:rPr>
        <w:instrText xml:space="preserve"> SEQ Figure \* ARABIC </w:instrText>
      </w:r>
      <w:r w:rsidRPr="00F50615">
        <w:rPr>
          <w:rFonts w:ascii="Arial" w:hAnsi="Arial" w:cs="Arial"/>
          <w:iCs/>
          <w:lang w:val="en"/>
        </w:rPr>
        <w:fldChar w:fldCharType="separate"/>
      </w:r>
      <w:r w:rsidRPr="00F50615">
        <w:rPr>
          <w:rFonts w:ascii="Arial" w:hAnsi="Arial" w:cs="Arial"/>
          <w:iCs/>
          <w:lang w:val="en"/>
        </w:rPr>
        <w:t>1</w:t>
      </w:r>
      <w:r w:rsidRPr="00F50615">
        <w:rPr>
          <w:rFonts w:ascii="Arial" w:hAnsi="Arial" w:cs="Arial"/>
        </w:rPr>
        <w:fldChar w:fldCharType="end"/>
      </w:r>
      <w:r w:rsidRPr="00F50615">
        <w:rPr>
          <w:rFonts w:ascii="Arial" w:hAnsi="Arial" w:cs="Arial"/>
          <w:iCs/>
          <w:lang w:val="en"/>
        </w:rPr>
        <w:t xml:space="preserve">: Map of sampling sites along the </w:t>
      </w:r>
      <w:proofErr w:type="spellStart"/>
      <w:r w:rsidRPr="00F50615">
        <w:rPr>
          <w:rFonts w:ascii="Arial" w:hAnsi="Arial" w:cs="Arial"/>
          <w:iCs/>
          <w:lang w:val="en"/>
        </w:rPr>
        <w:t>Téguéré</w:t>
      </w:r>
      <w:proofErr w:type="spellEnd"/>
      <w:r w:rsidRPr="00F50615">
        <w:rPr>
          <w:rFonts w:ascii="Arial" w:hAnsi="Arial" w:cs="Arial"/>
          <w:iCs/>
          <w:lang w:val="en"/>
        </w:rPr>
        <w:t xml:space="preserve"> River basin.</w:t>
      </w:r>
    </w:p>
    <w:p w14:paraId="71D9A363" w14:textId="77777777" w:rsidR="00F50615" w:rsidRPr="00F50615" w:rsidRDefault="00F50615" w:rsidP="00F50615">
      <w:pPr>
        <w:pStyle w:val="Body"/>
        <w:spacing w:after="0"/>
        <w:rPr>
          <w:rFonts w:ascii="Arial" w:hAnsi="Arial" w:cs="Arial"/>
          <w:iCs/>
          <w:lang w:val="en-GB"/>
        </w:rPr>
      </w:pPr>
    </w:p>
    <w:p w14:paraId="455E0BD2" w14:textId="77777777" w:rsidR="00F50615" w:rsidRDefault="004D0AE6" w:rsidP="00DF3629">
      <w:pPr>
        <w:pStyle w:val="Body"/>
        <w:spacing w:after="0"/>
        <w:rPr>
          <w:rFonts w:ascii="Arial" w:hAnsi="Arial" w:cs="Arial"/>
          <w:b/>
          <w:sz w:val="22"/>
        </w:rPr>
      </w:pPr>
      <w:r w:rsidRPr="00C30A0F">
        <w:rPr>
          <w:rFonts w:ascii="Arial" w:hAnsi="Arial" w:cs="Arial"/>
          <w:b/>
          <w:caps/>
          <w:sz w:val="22"/>
        </w:rPr>
        <w:t xml:space="preserve">2.1 </w:t>
      </w:r>
      <w:r w:rsidRPr="004D0AE6">
        <w:rPr>
          <w:rFonts w:ascii="Arial" w:hAnsi="Arial" w:cs="Arial"/>
          <w:b/>
          <w:sz w:val="22"/>
          <w:lang w:val="en-GB"/>
        </w:rPr>
        <w:t>Study Design and Sampling Sites</w:t>
      </w:r>
      <w:r w:rsidRPr="004D0AE6">
        <w:rPr>
          <w:rFonts w:ascii="Arial" w:hAnsi="Arial" w:cs="Arial"/>
          <w:b/>
          <w:sz w:val="22"/>
        </w:rPr>
        <w:t xml:space="preserve"> </w:t>
      </w:r>
    </w:p>
    <w:p w14:paraId="43F83EB2" w14:textId="77777777" w:rsidR="001A65C7" w:rsidRPr="00F50615" w:rsidRDefault="001A65C7" w:rsidP="00DF3629">
      <w:pPr>
        <w:pStyle w:val="Body"/>
        <w:spacing w:after="0"/>
        <w:rPr>
          <w:rFonts w:ascii="Arial" w:hAnsi="Arial" w:cs="Arial"/>
          <w:b/>
          <w:lang w:val="en-GB"/>
        </w:rPr>
      </w:pPr>
    </w:p>
    <w:p w14:paraId="258A107A" w14:textId="77777777" w:rsidR="00F50615" w:rsidRPr="00F50615" w:rsidRDefault="00F50615" w:rsidP="00F50615">
      <w:pPr>
        <w:pStyle w:val="Body"/>
        <w:spacing w:after="0"/>
        <w:rPr>
          <w:rFonts w:ascii="Arial" w:hAnsi="Arial" w:cs="Arial"/>
          <w:lang w:val="en"/>
        </w:rPr>
      </w:pPr>
      <w:proofErr w:type="spellStart"/>
      <w:r w:rsidRPr="00F50615">
        <w:rPr>
          <w:rFonts w:ascii="Arial" w:hAnsi="Arial" w:cs="Arial"/>
          <w:lang w:val="en"/>
        </w:rPr>
        <w:t>Hydrochemical</w:t>
      </w:r>
      <w:proofErr w:type="spellEnd"/>
      <w:r w:rsidRPr="00F50615">
        <w:rPr>
          <w:rFonts w:ascii="Arial" w:hAnsi="Arial" w:cs="Arial"/>
          <w:lang w:val="en"/>
        </w:rPr>
        <w:t xml:space="preserve"> data were collected during a field campaign conducted on 11 March 2025 and supplemented by laboratory analyses. Both surface water (including a natural spring) </w:t>
      </w:r>
      <w:r w:rsidRPr="00F50615">
        <w:rPr>
          <w:rFonts w:ascii="Arial" w:hAnsi="Arial" w:cs="Arial"/>
          <w:lang w:val="en"/>
        </w:rPr>
        <w:lastRenderedPageBreak/>
        <w:t>and groundwater (from wells and boreholes) were sampled. In situ measurements included temperature, pH, and electrical conductivity.</w:t>
      </w:r>
    </w:p>
    <w:p w14:paraId="3CA6DBAE" w14:textId="77777777" w:rsidR="00F50615" w:rsidRDefault="00F50615" w:rsidP="00F50615">
      <w:pPr>
        <w:pStyle w:val="Body"/>
        <w:spacing w:after="0"/>
        <w:rPr>
          <w:rFonts w:ascii="Arial" w:hAnsi="Arial" w:cs="Arial"/>
        </w:rPr>
      </w:pPr>
      <w:r w:rsidRPr="00F50615">
        <w:rPr>
          <w:rFonts w:ascii="Arial" w:hAnsi="Arial" w:cs="Arial"/>
          <w:lang w:val="en"/>
        </w:rPr>
        <w:t xml:space="preserve">Sampling sites were selected based on their proximity to peri -urban agricultural areas along the </w:t>
      </w:r>
      <w:proofErr w:type="spellStart"/>
      <w:r w:rsidRPr="00F50615">
        <w:rPr>
          <w:rFonts w:ascii="Arial" w:hAnsi="Arial" w:cs="Arial"/>
          <w:lang w:val="en"/>
        </w:rPr>
        <w:t>Téguéré</w:t>
      </w:r>
      <w:proofErr w:type="spellEnd"/>
      <w:r w:rsidRPr="00F50615">
        <w:rPr>
          <w:rFonts w:ascii="Arial" w:hAnsi="Arial" w:cs="Arial"/>
          <w:lang w:val="en"/>
        </w:rPr>
        <w:t xml:space="preserve"> River. A total of ten sites were included: six groundwater sites (wells and boreholes) and four surface water sites (Figure 1). Site selection aimed to capture potential gradients of agricultural influence on water quality. </w:t>
      </w:r>
      <w:r w:rsidRPr="00F50615">
        <w:rPr>
          <w:rFonts w:ascii="Arial" w:hAnsi="Arial" w:cs="Arial"/>
          <w:lang w:val="en-GB"/>
        </w:rPr>
        <w:t xml:space="preserve">This sampling strategy aims to maximize the environmental and health relevance of the study by focusing on areas most likely to exhibit pesticide contamination </w:t>
      </w:r>
      <w:r w:rsidRPr="00F50615">
        <w:rPr>
          <w:rFonts w:ascii="Arial" w:hAnsi="Arial" w:cs="Arial"/>
          <w:lang w:val="fr-FR"/>
        </w:rPr>
        <w:fldChar w:fldCharType="begin"/>
      </w:r>
      <w:r w:rsidRPr="00F50615">
        <w:rPr>
          <w:rFonts w:ascii="Arial" w:hAnsi="Arial" w:cs="Arial"/>
          <w:lang w:val="en-GB"/>
        </w:rPr>
        <w:instrText xml:space="preserve"> ADDIN EN.CITE &lt;EndNote&gt;&lt;Cite&gt;&lt;Author&gt;Konan&lt;/Author&gt;&lt;Year&gt;2023&lt;/Year&gt;&lt;RecNum&gt;4&lt;/RecNum&gt;&lt;DisplayText&gt;(Konan&lt;style face="italic"&gt; et al.&lt;/style&gt; 2023)&lt;/DisplayText&gt;&lt;record&gt;&lt;rec-number&gt;4&lt;/rec-number&gt;&lt;foreign-keys&gt;&lt;key app="EN" db-id="xx000tfe2e9axre5rx9xdwzmrt0wztxtrp09" timestamp="1765646704"&gt;4&lt;/key&gt;&lt;/foreign-keys&gt;&lt;ref-type name="Journal Article"&gt;17&lt;/ref-type&gt;&lt;contributors&gt;&lt;authors&gt;&lt;author&gt;Konan, Kouamé Jean-Paul&lt;/author&gt;&lt;author&gt;Yao, Koffi Théodore&lt;/author&gt;&lt;author&gt;Adiaffi, Bernard &lt;/author&gt;&lt;/authors&gt;&lt;/contributors&gt;&lt;titles&gt;&lt;title&gt;Évaluation de la pollution des ressources en eau par les activités agricoles dans le bassin versant de la Loka dans le département de Sakassou, Côte d’Ivoire&lt;/title&gt;&lt;secondary-title&gt;Afrique Science&lt;/secondary-title&gt;&lt;/titles&gt;&lt;periodical&gt;&lt;full-title&gt;Afrique Science&lt;/full-title&gt;&lt;/periodical&gt;&lt;pages&gt;34-43&lt;/pages&gt;&lt;volume&gt;22&lt;/volume&gt;&lt;number&gt;3&lt;/number&gt;&lt;dates&gt;&lt;year&gt;2023&lt;/year&gt;&lt;/dates&gt;&lt;urls&gt;&lt;/urls&gt;&lt;/record&gt;&lt;/Cite&gt;&lt;/EndNote&gt;</w:instrText>
      </w:r>
      <w:r w:rsidRPr="00F50615">
        <w:rPr>
          <w:rFonts w:ascii="Arial" w:hAnsi="Arial" w:cs="Arial"/>
          <w:lang w:val="fr-FR"/>
        </w:rPr>
        <w:fldChar w:fldCharType="separate"/>
      </w:r>
      <w:r w:rsidRPr="00F50615">
        <w:rPr>
          <w:rFonts w:ascii="Arial" w:hAnsi="Arial" w:cs="Arial"/>
          <w:lang w:val="en-GB"/>
        </w:rPr>
        <w:t>(Konan</w:t>
      </w:r>
      <w:r w:rsidRPr="00F50615">
        <w:rPr>
          <w:rFonts w:ascii="Arial" w:hAnsi="Arial" w:cs="Arial"/>
          <w:i/>
          <w:lang w:val="en-GB"/>
        </w:rPr>
        <w:t xml:space="preserve"> et al.</w:t>
      </w:r>
      <w:r w:rsidRPr="00F50615">
        <w:rPr>
          <w:rFonts w:ascii="Arial" w:hAnsi="Arial" w:cs="Arial"/>
          <w:lang w:val="en-GB"/>
        </w:rPr>
        <w:t xml:space="preserve"> 2023)</w:t>
      </w:r>
      <w:r w:rsidRPr="00F50615">
        <w:rPr>
          <w:rFonts w:ascii="Arial" w:hAnsi="Arial" w:cs="Arial"/>
        </w:rPr>
        <w:fldChar w:fldCharType="end"/>
      </w:r>
      <w:r w:rsidRPr="00F50615">
        <w:rPr>
          <w:rFonts w:ascii="Arial" w:hAnsi="Arial" w:cs="Arial"/>
          <w:lang w:val="en-GB"/>
        </w:rPr>
        <w:t xml:space="preserve">. Furthermore, choosing sites near agricultural areas allows for a targeted assessment of the </w:t>
      </w:r>
      <w:r w:rsidRPr="00F50615">
        <w:rPr>
          <w:rFonts w:ascii="Arial" w:hAnsi="Arial" w:cs="Arial"/>
          <w:bCs/>
          <w:lang w:val="en-GB"/>
        </w:rPr>
        <w:t xml:space="preserve">actual impact of local agricultural practices </w:t>
      </w:r>
      <w:r w:rsidRPr="00F50615">
        <w:rPr>
          <w:rFonts w:ascii="Arial" w:hAnsi="Arial" w:cs="Arial"/>
          <w:lang w:val="en-GB"/>
        </w:rPr>
        <w:t xml:space="preserve">on surface and groundwater quality, while also facilitating the identification of spatial gradients of contamination </w:t>
      </w:r>
      <w:r w:rsidRPr="00F50615">
        <w:rPr>
          <w:rFonts w:ascii="Arial" w:hAnsi="Arial" w:cs="Arial"/>
          <w:lang w:val="fr-FR"/>
        </w:rPr>
        <w:fldChar w:fldCharType="begin"/>
      </w:r>
      <w:r w:rsidRPr="00F50615">
        <w:rPr>
          <w:rFonts w:ascii="Arial" w:hAnsi="Arial" w:cs="Arial"/>
          <w:lang w:val="en-GB"/>
        </w:rPr>
        <w:instrText xml:space="preserve"> ADDIN EN.CITE &lt;EndNote&gt;&lt;Cite&gt;&lt;Author&gt;Chow&lt;/Author&gt;&lt;Year&gt;2020&lt;/Year&gt;&lt;RecNum&gt;6&lt;/RecNum&gt;&lt;DisplayText&gt;(Chow&lt;style face="italic"&gt; et al.&lt;/style&gt; 2020)&lt;/DisplayText&gt;&lt;record&gt;&lt;rec-number&gt;6&lt;/rec-number&gt;&lt;foreign-keys&gt;&lt;key app="EN" db-id="xx000tfe2e9axre5rx9xdwzmrt0wztxtrp09" timestamp="1765647358"&gt;6&lt;/key&gt;&lt;/foreign-keys&gt;&lt;ref-type name="Journal Article"&gt;17&lt;/ref-type&gt;&lt;contributors&gt;&lt;authors&gt;&lt;author&gt;Chow, R&lt;/author&gt;&lt;author&gt;Scheidegger, R&lt;/author&gt;&lt;author&gt;Doppler, T&lt;/author&gt;&lt;author&gt;Dietzel, A&lt;/author&gt;&lt;author&gt;Fenicia, F&lt;/author&gt;&lt;author&gt;Stamm, C %J  X&lt;/author&gt;&lt;/authors&gt;&lt;/contributors&gt;&lt;titles&gt;&lt;title&gt;A review of long-term pesticide monitoring studies to assess surface water quality trends&lt;/title&gt;&lt;secondary-title&gt;Water research x&lt;/secondary-title&gt;&lt;/titles&gt;&lt;periodical&gt;&lt;full-title&gt;Water research x&lt;/full-title&gt;&lt;/periodical&gt;&lt;pages&gt;100064&lt;/pages&gt;&lt;volume&gt;9&lt;/volume&gt;&lt;dates&gt;&lt;year&gt;2020&lt;/year&gt;&lt;/dates&gt;&lt;isbn&gt;2589-9147&lt;/isbn&gt;&lt;urls&gt;&lt;/urls&gt;&lt;electronic-resource-num&gt;https://doi.org/10.1016/j.wroa.2020.100064&lt;/electronic-resource-num&gt;&lt;/record&gt;&lt;/Cite&gt;&lt;/EndNote&gt;</w:instrText>
      </w:r>
      <w:r w:rsidRPr="00F50615">
        <w:rPr>
          <w:rFonts w:ascii="Arial" w:hAnsi="Arial" w:cs="Arial"/>
          <w:lang w:val="fr-FR"/>
        </w:rPr>
        <w:fldChar w:fldCharType="separate"/>
      </w:r>
      <w:r w:rsidRPr="00F50615">
        <w:rPr>
          <w:rFonts w:ascii="Arial" w:hAnsi="Arial" w:cs="Arial"/>
          <w:lang w:val="en-GB"/>
        </w:rPr>
        <w:t>(Chow</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lang w:val="en-GB"/>
        </w:rPr>
        <w:t xml:space="preserve">. This approach is commonly recommended in environmental monitoring studies aimed at linking diffuse sources of pollution to concentrations observed in aquatic environments </w:t>
      </w:r>
      <w:r w:rsidRPr="00F50615">
        <w:rPr>
          <w:rFonts w:ascii="Arial" w:hAnsi="Arial" w:cs="Arial"/>
          <w:lang w:val="fr-FR"/>
        </w:rPr>
        <w:fldChar w:fldCharType="begin"/>
      </w:r>
      <w:r w:rsidRPr="00F50615">
        <w:rPr>
          <w:rFonts w:ascii="Arial" w:hAnsi="Arial" w:cs="Arial"/>
          <w:lang w:val="en-GB"/>
        </w:rPr>
        <w:instrText xml:space="preserve"> ADDIN EN.CITE &lt;EndNote&gt;&lt;Cite&gt;&lt;Author&gt;Stehle&lt;/Author&gt;&lt;Year&gt;2015&lt;/Year&gt;&lt;RecNum&gt;9&lt;/RecNum&gt;&lt;DisplayText&gt;(Stehle and Schulz 2015, Chow&lt;style face="italic"&gt; et al.&lt;/style&gt; 2020)&lt;/DisplayText&gt;&lt;record&gt;&lt;rec-number&gt;9&lt;/rec-number&gt;&lt;foreign-keys&gt;&lt;key app="EN" db-id="0ezsp9v08za5fcerd25592wxz2prpvpetxz2" timestamp="1765621189"&gt;9&lt;/key&gt;&lt;/foreign-keys&gt;&lt;ref-type name="Journal Article"&gt;17&lt;/ref-type&gt;&lt;contributors&gt;&lt;authors&gt;&lt;author&gt;Stehle, Sebastian&lt;/author&gt;&lt;author&gt;Schulz, Ralf  &lt;/author&gt;&lt;/authors&gt;&lt;/contributors&gt;&lt;titles&gt;&lt;title&gt;Agricultural insecticides threaten surface waters at the global scale&lt;/title&gt;&lt;secondary-title&gt;Proceedings of the National Academy of Sciences&lt;/secondary-title&gt;&lt;/titles&gt;&lt;periodical&gt;&lt;full-title&gt;Proceedings of the National Academy of Sciences&lt;/full-title&gt;&lt;/periodical&gt;&lt;pages&gt;5750-5755&lt;/pages&gt;&lt;volume&gt;112&lt;/volume&gt;&lt;number&gt;18&lt;/number&gt;&lt;dates&gt;&lt;year&gt;2015&lt;/year&gt;&lt;/dates&gt;&lt;isbn&gt;0027-8424&lt;/isbn&gt;&lt;urls&gt;&lt;/urls&gt;&lt;electronic-resource-num&gt;https://doi.org/10.1073/pnas.150023211&lt;/electronic-resource-num&gt;&lt;/record&gt;&lt;/Cite&gt;&lt;Cite&gt;&lt;Author&gt;Chow&lt;/Author&gt;&lt;Year&gt;2020&lt;/Year&gt;&lt;RecNum&gt;6&lt;/RecNum&gt;&lt;record&gt;&lt;rec-number&gt;6&lt;/rec-number&gt;&lt;foreign-keys&gt;&lt;key app="EN" db-id="xx000tfe2e9axre5rx9xdwzmrt0wztxtrp09" timestamp="1765647358"&gt;6&lt;/key&gt;&lt;/foreign-keys&gt;&lt;ref-type name="Journal Article"&gt;17&lt;/ref-type&gt;&lt;contributors&gt;&lt;authors&gt;&lt;author&gt;Chow, R&lt;/author&gt;&lt;author&gt;S</w:instrText>
      </w:r>
      <w:r w:rsidRPr="00F50615">
        <w:rPr>
          <w:rFonts w:ascii="Arial" w:hAnsi="Arial" w:cs="Arial"/>
        </w:rPr>
        <w:instrText>cheidegger, R&lt;/author&gt;&lt;author&gt;Doppler, T&lt;/author&gt;&lt;author&gt;Dietzel, A&lt;/author&gt;&lt;author&gt;Fenicia, F&lt;/author&gt;&lt;author&gt;Stamm, C %J  X&lt;/author&gt;&lt;/authors&gt;&lt;/contributors&gt;&lt;titles&gt;&lt;title&gt;A review of long-term pesticide monitoring studies to assess surface water quality trends&lt;/title&gt;&lt;secondary-title&gt;Water research x&lt;/secondary-title&gt;&lt;/titles&gt;&lt;periodical&gt;&lt;full-title&gt;Water research x&lt;/full-title&gt;&lt;/periodical&gt;&lt;pages&gt;100064&lt;/pages&gt;&lt;volume&gt;9&lt;/volume&gt;&lt;dates&gt;&lt;year&gt;2020&lt;/year&gt;&lt;/dates&gt;&lt;isbn&gt;2589-9147&lt;/isbn&gt;&lt;urls&gt;&lt;/urls&gt;&lt;electronic-resource-num&gt;https://doi.org/10.1016/j.wroa.2020.100064&lt;/electronic-resource-num&gt;&lt;/record&gt;&lt;/Cite&gt;&lt;/EndNote&gt;</w:instrText>
      </w:r>
      <w:r w:rsidRPr="00F50615">
        <w:rPr>
          <w:rFonts w:ascii="Arial" w:hAnsi="Arial" w:cs="Arial"/>
          <w:lang w:val="fr-FR"/>
        </w:rPr>
        <w:fldChar w:fldCharType="separate"/>
      </w:r>
      <w:r w:rsidRPr="00F50615">
        <w:rPr>
          <w:rFonts w:ascii="Arial" w:hAnsi="Arial" w:cs="Arial"/>
          <w:lang w:val="en-GB"/>
        </w:rPr>
        <w:t>(Stehle and Schulz 2015, Chow</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rPr>
        <w:t>.</w:t>
      </w:r>
    </w:p>
    <w:p w14:paraId="6846875D" w14:textId="77777777" w:rsidR="00DF3629" w:rsidRPr="00F50615" w:rsidRDefault="00DF3629" w:rsidP="00F50615">
      <w:pPr>
        <w:pStyle w:val="Body"/>
        <w:spacing w:after="0"/>
        <w:rPr>
          <w:rFonts w:ascii="Arial" w:hAnsi="Arial" w:cs="Arial"/>
        </w:rPr>
      </w:pPr>
    </w:p>
    <w:p w14:paraId="74C3DCDD" w14:textId="77777777" w:rsidR="00F50615" w:rsidRDefault="001A65C7" w:rsidP="00DF3629">
      <w:pPr>
        <w:pStyle w:val="Body"/>
        <w:spacing w:after="0"/>
        <w:rPr>
          <w:rFonts w:ascii="Arial" w:hAnsi="Arial" w:cs="Arial"/>
          <w:b/>
          <w:sz w:val="22"/>
          <w:lang w:val="en-GB"/>
        </w:rPr>
      </w:pPr>
      <w:r w:rsidRPr="001A65C7">
        <w:rPr>
          <w:rFonts w:ascii="Arial" w:hAnsi="Arial" w:cs="Arial"/>
          <w:b/>
          <w:sz w:val="22"/>
          <w:lang w:val="en-GB"/>
        </w:rPr>
        <w:t xml:space="preserve">2.2 </w:t>
      </w:r>
      <w:r w:rsidR="00F50615" w:rsidRPr="001A65C7">
        <w:rPr>
          <w:rFonts w:ascii="Arial" w:hAnsi="Arial" w:cs="Arial"/>
          <w:b/>
          <w:sz w:val="22"/>
          <w:lang w:val="en-GB"/>
        </w:rPr>
        <w:t>Field Equipment and Procedures</w:t>
      </w:r>
    </w:p>
    <w:p w14:paraId="18FD0193" w14:textId="77777777" w:rsidR="001A65C7" w:rsidRPr="001A65C7" w:rsidRDefault="001A65C7" w:rsidP="00DF3629">
      <w:pPr>
        <w:pStyle w:val="Body"/>
        <w:spacing w:after="0"/>
        <w:rPr>
          <w:rFonts w:ascii="Arial" w:hAnsi="Arial" w:cs="Arial"/>
          <w:b/>
          <w:sz w:val="22"/>
          <w:lang w:val="en-GB"/>
        </w:rPr>
      </w:pPr>
    </w:p>
    <w:p w14:paraId="3D321E79" w14:textId="77777777" w:rsidR="00F50615" w:rsidRDefault="00F50615" w:rsidP="00F50615">
      <w:pPr>
        <w:pStyle w:val="Body"/>
        <w:spacing w:after="0"/>
        <w:rPr>
          <w:rFonts w:ascii="Arial" w:hAnsi="Arial" w:cs="Arial"/>
          <w:lang w:val="en"/>
        </w:rPr>
      </w:pPr>
      <w:r w:rsidRPr="00F50615">
        <w:rPr>
          <w:rFonts w:ascii="Arial" w:hAnsi="Arial" w:cs="Arial"/>
          <w:lang w:val="en"/>
        </w:rPr>
        <w:t xml:space="preserve">Field measurements were performed using a Garmin </w:t>
      </w:r>
      <w:proofErr w:type="spellStart"/>
      <w:r w:rsidRPr="00F50615">
        <w:rPr>
          <w:rFonts w:ascii="Arial" w:hAnsi="Arial" w:cs="Arial"/>
          <w:lang w:val="en"/>
        </w:rPr>
        <w:t>ETrex</w:t>
      </w:r>
      <w:proofErr w:type="spellEnd"/>
      <w:r w:rsidRPr="00F50615">
        <w:rPr>
          <w:rFonts w:ascii="Arial" w:hAnsi="Arial" w:cs="Arial"/>
          <w:lang w:val="en"/>
        </w:rPr>
        <w:t xml:space="preserve"> 32X GPS to record UTM coordinates. </w:t>
      </w:r>
      <w:r w:rsidRPr="00F50615">
        <w:rPr>
          <w:rFonts w:ascii="Arial" w:hAnsi="Arial" w:cs="Arial"/>
          <w:lang w:val="en-GB"/>
        </w:rPr>
        <w:t xml:space="preserve">The </w:t>
      </w:r>
      <w:r w:rsidRPr="00F50615">
        <w:rPr>
          <w:rFonts w:ascii="Arial" w:hAnsi="Arial" w:cs="Arial"/>
          <w:bCs/>
          <w:lang w:val="en-GB"/>
        </w:rPr>
        <w:t xml:space="preserve">Garmin The </w:t>
      </w:r>
      <w:proofErr w:type="spellStart"/>
      <w:r w:rsidRPr="00F50615">
        <w:rPr>
          <w:rFonts w:ascii="Arial" w:hAnsi="Arial" w:cs="Arial"/>
          <w:bCs/>
          <w:lang w:val="en-GB"/>
        </w:rPr>
        <w:t>eTrex</w:t>
      </w:r>
      <w:proofErr w:type="spellEnd"/>
      <w:r w:rsidRPr="00F50615">
        <w:rPr>
          <w:rFonts w:ascii="Arial" w:hAnsi="Arial" w:cs="Arial"/>
          <w:bCs/>
          <w:lang w:val="en-GB"/>
        </w:rPr>
        <w:t xml:space="preserve"> 32x GPS </w:t>
      </w:r>
      <w:r w:rsidRPr="00F50615">
        <w:rPr>
          <w:rFonts w:ascii="Arial" w:hAnsi="Arial" w:cs="Arial"/>
          <w:lang w:val="en-GB"/>
        </w:rPr>
        <w:t xml:space="preserve">offers a </w:t>
      </w:r>
      <w:r w:rsidRPr="00F50615">
        <w:rPr>
          <w:rFonts w:ascii="Arial" w:hAnsi="Arial" w:cs="Arial"/>
          <w:i/>
          <w:iCs/>
          <w:lang w:val="en-GB"/>
        </w:rPr>
        <w:t xml:space="preserve">typical position accuracy of less than ±10 meters </w:t>
      </w:r>
      <w:r w:rsidRPr="00F50615">
        <w:rPr>
          <w:rFonts w:ascii="Arial" w:hAnsi="Arial" w:cs="Arial"/>
          <w:lang w:val="en-GB"/>
        </w:rPr>
        <w:t xml:space="preserve">for geographic coordinates, with potential improvement to </w:t>
      </w:r>
      <w:r w:rsidRPr="00F50615">
        <w:rPr>
          <w:rFonts w:ascii="Arial" w:hAnsi="Arial" w:cs="Arial"/>
          <w:bCs/>
          <w:lang w:val="en-GB"/>
        </w:rPr>
        <w:t xml:space="preserve">&lt;5 meters </w:t>
      </w:r>
      <w:r w:rsidRPr="00F50615">
        <w:rPr>
          <w:rFonts w:ascii="Arial" w:hAnsi="Arial" w:cs="Arial"/>
          <w:lang w:val="en-GB"/>
        </w:rPr>
        <w:t xml:space="preserve">when using WAAS/EGNOS (Differential Navigation System) corrections under optimal conditions. </w:t>
      </w:r>
      <w:r w:rsidRPr="00F50615">
        <w:rPr>
          <w:rFonts w:ascii="Arial" w:hAnsi="Arial" w:cs="Arial"/>
          <w:lang w:val="en"/>
        </w:rPr>
        <w:t xml:space="preserve">A multiparameter probe (HI9829-03042, Hanna Instruments) was used to measure temperature, pH, and electrical conductivity directly on site. </w:t>
      </w:r>
      <w:r w:rsidRPr="00F50615">
        <w:rPr>
          <w:rFonts w:ascii="Arial" w:hAnsi="Arial" w:cs="Arial"/>
          <w:lang w:val="en-GB"/>
        </w:rPr>
        <w:t xml:space="preserve">The HI9829-03042 probe provides high accuracy (±0.02 pH, ±1% EC, ±0.15 °C) for field measurements, making it a reliable instrument for the physicochemical characterization of surface and groundwater. For sampling , 500 mL polyethylene bottles were used , carefully </w:t>
      </w:r>
      <w:proofErr w:type="spellStart"/>
      <w:r w:rsidRPr="00F50615">
        <w:rPr>
          <w:rFonts w:ascii="Arial" w:hAnsi="Arial" w:cs="Arial"/>
          <w:lang w:val="en-GB"/>
        </w:rPr>
        <w:t>labeled</w:t>
      </w:r>
      <w:proofErr w:type="spellEnd"/>
      <w:r w:rsidRPr="00F50615">
        <w:rPr>
          <w:rFonts w:ascii="Arial" w:hAnsi="Arial" w:cs="Arial"/>
          <w:lang w:val="en-GB"/>
        </w:rPr>
        <w:t xml:space="preserve"> with site- specific codes using adhesive tape and permanent markers </w:t>
      </w:r>
      <w:r w:rsidRPr="00F50615">
        <w:rPr>
          <w:rFonts w:ascii="Arial" w:hAnsi="Arial" w:cs="Arial"/>
          <w:lang w:val="en"/>
        </w:rPr>
        <w:fldChar w:fldCharType="begin"/>
      </w:r>
      <w:r w:rsidRPr="00F50615">
        <w:rPr>
          <w:rFonts w:ascii="Arial" w:hAnsi="Arial" w:cs="Arial"/>
          <w:lang w:val="en"/>
        </w:rPr>
        <w:instrText xml:space="preserve"> ADDIN EN.CITE &lt;EndNote&gt;&lt;Cite&gt;&lt;Author&gt;Shelton&lt;/Author&gt;&lt;Year&gt;1994&lt;/Year&gt;&lt;RecNum&gt;7&lt;/RecNum&gt;&lt;DisplayText&gt;(Shelton 1994)&lt;/DisplayText&gt;&lt;record&gt;&lt;rec-number&gt;7&lt;/rec-number&gt;&lt;foreign-keys&gt;&lt;key app="EN" db-id="xx000tfe2e9axre5rx9xdwzmrt0wztxtrp09" timestamp="1765647822"&gt;7&lt;/key&gt;&lt;/foreign-keys&gt;&lt;ref-type name="Book"&gt;6&lt;/ref-type&gt;&lt;contributors&gt;&lt;authors&gt;&lt;author&gt;Shelton, Larry R&lt;/author&gt;&lt;/authors&gt;&lt;/contributors&gt;&lt;titles&gt;&lt;title&gt;Field guide for collecting and processing stream-water samples for the National Water-Quality Assessment Program&lt;/title&gt;&lt;/titles&gt;&lt;volume&gt;94&lt;/volume&gt;&lt;number&gt;455&lt;/number&gt;&lt;dates&gt;&lt;year&gt;1994&lt;/year&gt;&lt;/dates&gt;&lt;publisher&gt;US Geological Survey&lt;/publisher&gt;&lt;urls&gt;&lt;/urls&gt;&lt;/record&gt;&lt;/Cite&gt;&lt;/EndNote&gt;</w:instrText>
      </w:r>
      <w:r w:rsidRPr="00F50615">
        <w:rPr>
          <w:rFonts w:ascii="Arial" w:hAnsi="Arial" w:cs="Arial"/>
          <w:lang w:val="en"/>
        </w:rPr>
        <w:fldChar w:fldCharType="separate"/>
      </w:r>
      <w:r w:rsidRPr="00F50615">
        <w:rPr>
          <w:rFonts w:ascii="Arial" w:hAnsi="Arial" w:cs="Arial"/>
          <w:lang w:val="en-GB"/>
        </w:rPr>
        <w:t>(Shelton 1994)</w:t>
      </w:r>
      <w:r w:rsidRPr="00F50615">
        <w:rPr>
          <w:rFonts w:ascii="Arial" w:hAnsi="Arial" w:cs="Arial"/>
        </w:rPr>
        <w:fldChar w:fldCharType="end"/>
      </w:r>
      <w:r w:rsidRPr="00F50615">
        <w:rPr>
          <w:rFonts w:ascii="Arial" w:hAnsi="Arial" w:cs="Arial"/>
          <w:lang w:val="en-GB"/>
        </w:rPr>
        <w:t xml:space="preserve">. </w:t>
      </w:r>
      <w:r w:rsidRPr="00F50615">
        <w:rPr>
          <w:rFonts w:ascii="Arial" w:hAnsi="Arial" w:cs="Arial"/>
          <w:lang w:val="en"/>
        </w:rPr>
        <w:t xml:space="preserve">Surface water samples were collected by filling the bottles directly using a clean sampling cup. Groundwater from wells was collected using a stainless-steel ladle. After collection, all samples were stored in cooled containers and transported to the laboratory for chemical analysis </w:t>
      </w:r>
      <w:r w:rsidRPr="00F50615">
        <w:rPr>
          <w:rFonts w:ascii="Arial" w:hAnsi="Arial" w:cs="Arial"/>
          <w:lang w:val="en"/>
        </w:rPr>
        <w:fldChar w:fldCharType="begin"/>
      </w:r>
      <w:r w:rsidRPr="00F50615">
        <w:rPr>
          <w:rFonts w:ascii="Arial" w:hAnsi="Arial" w:cs="Arial"/>
          <w:lang w:val="en"/>
        </w:rPr>
        <w:instrText xml:space="preserve"> ADDIN EN.CITE &lt;EndNote&gt;&lt;Cite&gt;&lt;Author&gt;Koparan&lt;/Author&gt;&lt;Year&gt;2019&lt;/Year&gt;&lt;RecNum&gt;8&lt;/RecNum&gt;&lt;DisplayText&gt;(Koparan&lt;style face="italic"&gt; et al.&lt;/style&gt; 2019)&lt;/DisplayText&gt;&lt;record&gt;&lt;rec-number&gt;8&lt;/rec-number&gt;&lt;foreign-keys&gt;&lt;key app="EN" db-id="xx000tfe2e9axre5rx9xdwzmrt0wztxtrp09" timestamp="1765647979"&gt;8&lt;/key&gt;&lt;/foreign-keys&gt;&lt;ref-type name="Journal Article"&gt;17&lt;/ref-type&gt;&lt;contributors&gt;&lt;authors&gt;&lt;author&gt;Koparan, Cengiz&lt;/author&gt;&lt;author&gt;Koc, Ali Bulent&lt;/author&gt;&lt;author&gt;Privette, Charles V&lt;/author&gt;&lt;author&gt;Sawyer, Calvin B&lt;/author&gt;&lt;/authors&gt;&lt;/contributors&gt;&lt;titles&gt;&lt;title&gt;Autonomous in situ measurements of noncontaminant water quality indicators and sample collection with a UAV&lt;/title&gt;&lt;secondary-title&gt; Water research x&lt;/secondary-title&gt;&lt;/titles&gt;&lt;pages&gt;604&lt;/pages&gt;&lt;volume&gt;11&lt;/volume&gt;&lt;number&gt;3&lt;/number&gt;&lt;dates&gt;&lt;year&gt;2019&lt;/year&gt;&lt;/dates&gt;&lt;isbn&gt;2073-4441&lt;/isbn&gt;&lt;urls&gt;&lt;/urls&gt;&lt;/record&gt;&lt;/Cite&gt;&lt;/EndNote&gt;</w:instrText>
      </w:r>
      <w:r w:rsidRPr="00F50615">
        <w:rPr>
          <w:rFonts w:ascii="Arial" w:hAnsi="Arial" w:cs="Arial"/>
          <w:lang w:val="en"/>
        </w:rPr>
        <w:fldChar w:fldCharType="separate"/>
      </w:r>
      <w:r w:rsidRPr="00F50615">
        <w:rPr>
          <w:rFonts w:ascii="Arial" w:hAnsi="Arial" w:cs="Arial"/>
          <w:lang w:val="en"/>
        </w:rPr>
        <w:t>(Koparan</w:t>
      </w:r>
      <w:r w:rsidRPr="00F50615">
        <w:rPr>
          <w:rFonts w:ascii="Arial" w:hAnsi="Arial" w:cs="Arial"/>
          <w:i/>
          <w:lang w:val="en"/>
        </w:rPr>
        <w:t xml:space="preserve"> et al.</w:t>
      </w:r>
      <w:r w:rsidRPr="00F50615">
        <w:rPr>
          <w:rFonts w:ascii="Arial" w:hAnsi="Arial" w:cs="Arial"/>
          <w:lang w:val="en"/>
        </w:rPr>
        <w:t xml:space="preserve"> 2019)</w:t>
      </w:r>
      <w:r w:rsidRPr="00F50615">
        <w:rPr>
          <w:rFonts w:ascii="Arial" w:hAnsi="Arial" w:cs="Arial"/>
        </w:rPr>
        <w:fldChar w:fldCharType="end"/>
      </w:r>
      <w:r w:rsidRPr="00F50615">
        <w:rPr>
          <w:rFonts w:ascii="Arial" w:hAnsi="Arial" w:cs="Arial"/>
          <w:lang w:val="en"/>
        </w:rPr>
        <w:t>.</w:t>
      </w:r>
    </w:p>
    <w:p w14:paraId="46C7D908" w14:textId="77777777" w:rsidR="001A65C7" w:rsidRPr="00F50615" w:rsidRDefault="001A65C7" w:rsidP="00F50615">
      <w:pPr>
        <w:pStyle w:val="Body"/>
        <w:spacing w:after="0"/>
        <w:rPr>
          <w:rFonts w:ascii="Arial" w:hAnsi="Arial" w:cs="Arial"/>
          <w:lang w:val="en"/>
        </w:rPr>
      </w:pPr>
    </w:p>
    <w:p w14:paraId="7BDDCFE9" w14:textId="77777777" w:rsidR="00F50615" w:rsidRPr="001A65C7" w:rsidRDefault="001A65C7" w:rsidP="001A65C7">
      <w:pPr>
        <w:pStyle w:val="Body"/>
        <w:spacing w:after="0"/>
        <w:rPr>
          <w:rFonts w:ascii="Arial" w:hAnsi="Arial" w:cs="Arial"/>
          <w:b/>
          <w:sz w:val="22"/>
          <w:lang w:val="en-GB"/>
        </w:rPr>
      </w:pPr>
      <w:r w:rsidRPr="001A65C7">
        <w:rPr>
          <w:rFonts w:ascii="Arial" w:hAnsi="Arial" w:cs="Arial"/>
          <w:b/>
          <w:sz w:val="22"/>
          <w:lang w:val="en-GB"/>
        </w:rPr>
        <w:t xml:space="preserve">2.3 </w:t>
      </w:r>
      <w:r w:rsidR="00F50615" w:rsidRPr="001A65C7">
        <w:rPr>
          <w:rFonts w:ascii="Arial" w:hAnsi="Arial" w:cs="Arial"/>
          <w:b/>
          <w:sz w:val="22"/>
          <w:lang w:val="en-GB"/>
        </w:rPr>
        <w:t>Laboratory Equipment and analytical Methods</w:t>
      </w:r>
    </w:p>
    <w:p w14:paraId="077E0CD8" w14:textId="77777777" w:rsidR="001A65C7" w:rsidRPr="00F50615" w:rsidRDefault="001A65C7" w:rsidP="001A65C7">
      <w:pPr>
        <w:pStyle w:val="Body"/>
        <w:spacing w:after="0"/>
        <w:rPr>
          <w:rFonts w:ascii="Arial" w:hAnsi="Arial" w:cs="Arial"/>
          <w:b/>
          <w:lang w:val="en-GB"/>
        </w:rPr>
      </w:pPr>
    </w:p>
    <w:p w14:paraId="09BF5CDD" w14:textId="77777777" w:rsidR="00F50615" w:rsidRPr="00F50615" w:rsidRDefault="00F50615" w:rsidP="00F50615">
      <w:pPr>
        <w:pStyle w:val="Body"/>
        <w:spacing w:after="0"/>
        <w:rPr>
          <w:rFonts w:ascii="Arial" w:hAnsi="Arial" w:cs="Arial"/>
          <w:lang w:val="en"/>
        </w:rPr>
      </w:pPr>
      <w:r w:rsidRPr="00F50615">
        <w:rPr>
          <w:rFonts w:ascii="Arial" w:hAnsi="Arial" w:cs="Arial"/>
          <w:lang w:val="en"/>
        </w:rPr>
        <w:t xml:space="preserve">Chemical analyses were conducted at the Central Hygiene Laboratory Food and Agro-industry (LCHAI). A Shimadzu HPLC system was used, including a TRAY reservoir with 10 mL methanol (mobile phase), a DGU-20A5 degasser, a SIL-20A </w:t>
      </w:r>
      <w:proofErr w:type="gramStart"/>
      <w:r w:rsidRPr="00F50615">
        <w:rPr>
          <w:rFonts w:ascii="Arial" w:hAnsi="Arial" w:cs="Arial"/>
          <w:lang w:val="en"/>
        </w:rPr>
        <w:t>autosampler ,</w:t>
      </w:r>
      <w:proofErr w:type="gramEnd"/>
      <w:r w:rsidRPr="00F50615">
        <w:rPr>
          <w:rFonts w:ascii="Arial" w:hAnsi="Arial" w:cs="Arial"/>
          <w:lang w:val="en"/>
        </w:rPr>
        <w:t xml:space="preserve"> an LC-20AT pump, a CTO-20A column oven, and an SPD-20A UV/Vis detector. Data acquisition and preliminary processing were performed using LC Solution software </w:t>
      </w:r>
      <w:r w:rsidRPr="00F50615">
        <w:rPr>
          <w:rFonts w:ascii="Arial" w:hAnsi="Arial" w:cs="Arial"/>
          <w:lang w:val="en"/>
        </w:rPr>
        <w:fldChar w:fldCharType="begin"/>
      </w:r>
      <w:r w:rsidRPr="00F50615">
        <w:rPr>
          <w:rFonts w:ascii="Arial" w:hAnsi="Arial" w:cs="Arial"/>
          <w:lang w:val="en"/>
        </w:rPr>
        <w:instrText xml:space="preserve"> ADDIN EN.CITE &lt;EndNote&gt;&lt;Cite&gt;&lt;Author&gt;Lipps&lt;/Author&gt;&lt;Year&gt;2023&lt;/Year&gt;&lt;RecNum&gt;9&lt;/RecNum&gt;&lt;DisplayText&gt;(Lipps&lt;style face="italic"&gt; et al.&lt;/style&gt; 2023)&lt;/DisplayText&gt;&lt;record&gt;&lt;rec-number&gt;9&lt;/rec-number&gt;&lt;foreign-keys&gt;&lt;key app="EN" db-id="xx000tfe2e9axre5rx9xdwzmrt0wztxtrp09" timestamp="1765649079"&gt;9&lt;/key&gt;&lt;/foreign-keys&gt;&lt;ref-type name="Book"&gt;6&lt;/ref-type&gt;&lt;contributors&gt;&lt;authors&gt;&lt;author&gt;Lipps, William C&lt;/author&gt;&lt;author&gt;Braun-Howland, Ellen Burton&lt;/author&gt;&lt;author&gt;Baxter, Terry E&lt;/author&gt;&lt;/authors&gt;&lt;/contributors&gt;&lt;titles&gt;&lt;title&gt;Standard methods for the examination of water and wastewater. 24th Edition. American Public Health Association, American Water Works Association: Washington DC.&lt;/title&gt;&lt;/titles&gt;&lt;section&gt;pp 1536&lt;/section&gt;&lt;dates&gt;&lt;year&gt;2023&lt;/year&gt;&lt;/dates&gt;&lt;isbn&gt;0875532993&lt;/isbn&gt;&lt;urls&gt;&lt;/urls&gt;&lt;/record&gt;&lt;/Cite&gt;&lt;/EndNote&gt;</w:instrText>
      </w:r>
      <w:r w:rsidRPr="00F50615">
        <w:rPr>
          <w:rFonts w:ascii="Arial" w:hAnsi="Arial" w:cs="Arial"/>
          <w:lang w:val="en"/>
        </w:rPr>
        <w:fldChar w:fldCharType="separate"/>
      </w:r>
      <w:r w:rsidRPr="00F50615">
        <w:rPr>
          <w:rFonts w:ascii="Arial" w:hAnsi="Arial" w:cs="Arial"/>
          <w:lang w:val="en"/>
        </w:rPr>
        <w:t>(Lipps</w:t>
      </w:r>
      <w:r w:rsidRPr="00F50615">
        <w:rPr>
          <w:rFonts w:ascii="Arial" w:hAnsi="Arial" w:cs="Arial"/>
          <w:i/>
          <w:lang w:val="en"/>
        </w:rPr>
        <w:t xml:space="preserve"> et al.</w:t>
      </w:r>
      <w:r w:rsidRPr="00F50615">
        <w:rPr>
          <w:rFonts w:ascii="Arial" w:hAnsi="Arial" w:cs="Arial"/>
          <w:lang w:val="en"/>
        </w:rPr>
        <w:t xml:space="preserve"> 2023)</w:t>
      </w:r>
      <w:r w:rsidRPr="00F50615">
        <w:rPr>
          <w:rFonts w:ascii="Arial" w:hAnsi="Arial" w:cs="Arial"/>
        </w:rPr>
        <w:fldChar w:fldCharType="end"/>
      </w:r>
      <w:r w:rsidRPr="00F50615">
        <w:rPr>
          <w:rFonts w:ascii="Arial" w:hAnsi="Arial" w:cs="Arial"/>
          <w:lang w:val="en"/>
        </w:rPr>
        <w:t>. Spatial analyzes were conducted using ArcGIS 10.2.2.</w:t>
      </w:r>
    </w:p>
    <w:p w14:paraId="0D5A4C13" w14:textId="77777777" w:rsidR="00DF3629" w:rsidRPr="001A65C7" w:rsidRDefault="00F50615" w:rsidP="001A65C7">
      <w:pPr>
        <w:pStyle w:val="Body"/>
        <w:spacing w:after="0"/>
        <w:rPr>
          <w:rFonts w:ascii="Arial" w:hAnsi="Arial" w:cs="Arial"/>
          <w:lang w:val="en"/>
        </w:rPr>
      </w:pPr>
      <w:r w:rsidRPr="00F50615">
        <w:rPr>
          <w:rFonts w:ascii="Arial" w:hAnsi="Arial" w:cs="Arial"/>
          <w:lang w:val="en"/>
        </w:rPr>
        <w:t xml:space="preserve">Pesticides were extracted from water samples using solid-phase extraction (SPE) with C18 cartridges. Columns were conditioned with 10 mL methanol and equilibrated with 10 mL deionized water. A 10 mL water sample was passed through the column to retain pesticides. After 30 minutes of drying, adsorbed pesticides were eluted with 5 mL methanol. The eluate was analyzed by HPLC-MS to identify and quantify multiple residues simultaneously </w:t>
      </w:r>
      <w:r w:rsidRPr="00F50615">
        <w:rPr>
          <w:rFonts w:ascii="Arial" w:hAnsi="Arial" w:cs="Arial"/>
          <w:lang w:val="en"/>
        </w:rPr>
        <w:fldChar w:fldCharType="begin">
          <w:fldData xml:space="preserve">PEVuZE5vdGU+PENpdGU+PEF1dGhvcj5Wb24gQW1lbG4gTG92aXNvbjwvQXV0aG9yPjxZZWFyPjIw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</w:fldData>
        </w:fldChar>
      </w:r>
      <w:r w:rsidRPr="00F50615">
        <w:rPr>
          <w:rFonts w:ascii="Arial" w:hAnsi="Arial" w:cs="Arial"/>
          <w:lang w:val="en"/>
        </w:rPr>
        <w:instrText xml:space="preserve"> ADDIN EN.CITE </w:instrText>
      </w:r>
      <w:r w:rsidRPr="00F50615">
        <w:rPr>
          <w:rFonts w:ascii="Arial" w:hAnsi="Arial" w:cs="Arial"/>
          <w:lang w:val="en"/>
        </w:rPr>
        <w:fldChar w:fldCharType="begin">
          <w:fldData xml:space="preserve">PEVuZE5vdGU+PENpdGU+PEF1dGhvcj5Wb24gQW1lbG4gTG92aXNvbjwvQXV0aG9yPjxZZWFyPjIw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</w:fldData>
        </w:fldChar>
      </w:r>
      <w:r w:rsidRPr="00F50615">
        <w:rPr>
          <w:rFonts w:ascii="Arial" w:hAnsi="Arial" w:cs="Arial"/>
          <w:lang w:val="en"/>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
        </w:rPr>
      </w:r>
      <w:r w:rsidRPr="00F50615">
        <w:rPr>
          <w:rFonts w:ascii="Arial" w:hAnsi="Arial" w:cs="Arial"/>
          <w:lang w:val="en"/>
        </w:rPr>
        <w:fldChar w:fldCharType="separate"/>
      </w:r>
      <w:r w:rsidRPr="00F50615">
        <w:rPr>
          <w:rFonts w:ascii="Arial" w:hAnsi="Arial" w:cs="Arial"/>
          <w:lang w:val="en"/>
        </w:rPr>
        <w:t>(Nakhjavan</w:t>
      </w:r>
      <w:r w:rsidRPr="00F50615">
        <w:rPr>
          <w:rFonts w:ascii="Arial" w:hAnsi="Arial" w:cs="Arial"/>
          <w:i/>
          <w:lang w:val="en"/>
        </w:rPr>
        <w:t xml:space="preserve"> et al.</w:t>
      </w:r>
      <w:r w:rsidRPr="00F50615">
        <w:rPr>
          <w:rFonts w:ascii="Arial" w:hAnsi="Arial" w:cs="Arial"/>
          <w:lang w:val="en"/>
        </w:rPr>
        <w:t xml:space="preserve"> 2021, Von Ameln Lovison</w:t>
      </w:r>
      <w:r w:rsidRPr="00F50615">
        <w:rPr>
          <w:rFonts w:ascii="Arial" w:hAnsi="Arial" w:cs="Arial"/>
          <w:i/>
          <w:lang w:val="en"/>
        </w:rPr>
        <w:t xml:space="preserve"> et al.</w:t>
      </w:r>
      <w:r w:rsidRPr="00F50615">
        <w:rPr>
          <w:rFonts w:ascii="Arial" w:hAnsi="Arial" w:cs="Arial"/>
          <w:lang w:val="en"/>
        </w:rPr>
        <w:t xml:space="preserve"> 2021)</w:t>
      </w:r>
      <w:r w:rsidRPr="00F50615">
        <w:rPr>
          <w:rFonts w:ascii="Arial" w:hAnsi="Arial" w:cs="Arial"/>
        </w:rPr>
        <w:fldChar w:fldCharType="end"/>
      </w:r>
      <w:r w:rsidRPr="00F50615">
        <w:rPr>
          <w:rFonts w:ascii="Arial" w:hAnsi="Arial" w:cs="Arial"/>
          <w:lang w:val="en"/>
        </w:rPr>
        <w:t xml:space="preserve">. Detection limits ranged from 0.002 µg/L to 0.0058 µg/L </w:t>
      </w:r>
      <w:r w:rsidRPr="00F50615">
        <w:rPr>
          <w:rFonts w:ascii="Arial" w:hAnsi="Arial" w:cs="Arial"/>
          <w:lang w:val="en"/>
        </w:rPr>
        <w:fldChar w:fldCharType="begin">
          <w:fldData xml:space="preserve">PEVuZE5vdGU+PENpdGU+PEF1dGhvcj5NZW5nPC9BdXRob3I+PFllYXI+MjAyNDwvWWVhcj48UmVj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</w:fldData>
        </w:fldChar>
      </w:r>
      <w:r w:rsidRPr="00F50615">
        <w:rPr>
          <w:rFonts w:ascii="Arial" w:hAnsi="Arial" w:cs="Arial"/>
          <w:lang w:val="en"/>
        </w:rPr>
        <w:instrText xml:space="preserve"> ADDIN EN.CITE </w:instrText>
      </w:r>
      <w:r w:rsidRPr="00F50615">
        <w:rPr>
          <w:rFonts w:ascii="Arial" w:hAnsi="Arial" w:cs="Arial"/>
          <w:lang w:val="en"/>
        </w:rPr>
        <w:fldChar w:fldCharType="begin">
          <w:fldData xml:space="preserve">PEVuZE5vdGU+PENpdGU+PEF1dGhvcj5NZW5nPC9BdXRob3I+PFllYXI+MjAyNDwvWWVhcj48UmVj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</w:fldData>
        </w:fldChar>
      </w:r>
      <w:r w:rsidRPr="00F50615">
        <w:rPr>
          <w:rFonts w:ascii="Arial" w:hAnsi="Arial" w:cs="Arial"/>
          <w:lang w:val="en"/>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
        </w:rPr>
      </w:r>
      <w:r w:rsidRPr="00F50615">
        <w:rPr>
          <w:rFonts w:ascii="Arial" w:hAnsi="Arial" w:cs="Arial"/>
          <w:lang w:val="en"/>
        </w:rPr>
        <w:fldChar w:fldCharType="separate"/>
      </w:r>
      <w:r w:rsidRPr="00F50615">
        <w:rPr>
          <w:rFonts w:ascii="Arial" w:hAnsi="Arial" w:cs="Arial"/>
          <w:lang w:val="en"/>
        </w:rPr>
        <w:t>(Casado</w:t>
      </w:r>
      <w:r w:rsidRPr="00F50615">
        <w:rPr>
          <w:rFonts w:ascii="Arial" w:hAnsi="Arial" w:cs="Arial"/>
          <w:i/>
          <w:lang w:val="en"/>
        </w:rPr>
        <w:t xml:space="preserve"> et al.</w:t>
      </w:r>
      <w:r w:rsidRPr="00F50615">
        <w:rPr>
          <w:rFonts w:ascii="Arial" w:hAnsi="Arial" w:cs="Arial"/>
          <w:lang w:val="en"/>
        </w:rPr>
        <w:t xml:space="preserve"> 2018, Meng</w:t>
      </w:r>
      <w:r w:rsidRPr="00F50615">
        <w:rPr>
          <w:rFonts w:ascii="Arial" w:hAnsi="Arial" w:cs="Arial"/>
          <w:i/>
          <w:lang w:val="en"/>
        </w:rPr>
        <w:t xml:space="preserve"> et al.</w:t>
      </w:r>
      <w:r w:rsidRPr="00F50615">
        <w:rPr>
          <w:rFonts w:ascii="Arial" w:hAnsi="Arial" w:cs="Arial"/>
          <w:lang w:val="en"/>
        </w:rPr>
        <w:t xml:space="preserve"> 2024)</w:t>
      </w:r>
      <w:r w:rsidRPr="00F50615">
        <w:rPr>
          <w:rFonts w:ascii="Arial" w:hAnsi="Arial" w:cs="Arial"/>
        </w:rPr>
        <w:fldChar w:fldCharType="end"/>
      </w:r>
      <w:r w:rsidRPr="00F50615">
        <w:rPr>
          <w:rFonts w:ascii="Arial" w:hAnsi="Arial" w:cs="Arial"/>
          <w:lang w:val="en"/>
        </w:rPr>
        <w:t xml:space="preserve">. Some parameters, including temperature, pH, and electrical conductivity, were measured directly on site to prevent alteration during transport </w:t>
      </w:r>
      <w:r w:rsidRPr="00F50615">
        <w:rPr>
          <w:rFonts w:ascii="Arial" w:hAnsi="Arial" w:cs="Arial"/>
          <w:lang w:val="en"/>
        </w:rPr>
        <w:fldChar w:fldCharType="begin"/>
      </w:r>
      <w:r w:rsidRPr="00F50615">
        <w:rPr>
          <w:rFonts w:ascii="Arial" w:hAnsi="Arial" w:cs="Arial"/>
          <w:lang w:val="en"/>
        </w:rPr>
        <w:instrText xml:space="preserve"> ADDIN EN.CITE &lt;EndNote&gt;&lt;Cite&gt;&lt;Author&gt;Ruiz-Gil&lt;/Author&gt;&lt;Year&gt;2008&lt;/Year&gt;&lt;RecNum&gt;4&lt;/RecNum&gt;&lt;DisplayText&gt;(Ruiz-Gil&lt;style face="italic"&gt; et al.&lt;/style&gt; 2008)&lt;/DisplayText&gt;&lt;record&gt;&lt;rec-number&gt;4&lt;/rec-number&gt;&lt;foreign-keys&gt;&lt;key app="EN" db-id="x5ast2ezjww22se9evnvv5rl2aeefztr2tvf" timestamp="1765650396"&gt;4&lt;/key&gt;&lt;/foreign-keys&gt;&lt;ref-type name="Journal Article"&gt;17&lt;/ref-type&gt;&lt;contributors&gt;&lt;authors&gt;&lt;author&gt;Ruiz-Gil, L.&lt;/author&gt;&lt;author&gt;Romero-González, R.&lt;/author&gt;&lt;author&gt;Garrido Frenich, A.&lt;/author&gt;&lt;author&gt;Martínez Vidal, J. L.&lt;/author&gt;&lt;/authors&gt;&lt;/contributors&gt;&lt;auth-address&gt;Research Group Analytical Chemistry of Contaminants, Department of Analytical Chemistry, Almería University, Almería, Spain.&lt;/auth-address&gt;&lt;titles&gt;&lt;title&gt;Determination of pesticides in water samples by solid phase extraction and gas chromatography tandem mass spectrometry&lt;/title&gt;&lt;secondary-title&gt;J Sep Sci&lt;/secondary-title&gt;&lt;alt-title&gt;Journal of separation science&lt;/alt-title&gt;&lt;/titles&gt;&lt;periodical&gt;&lt;full-title&gt;J Sep Sci&lt;/full-title&gt;&lt;abbr-1&gt;Journal of separation science&lt;/abbr-1&gt;&lt;/periodical&gt;&lt;alt-periodical&gt;&lt;full-title&gt;J Sep Sci&lt;/full-title&gt;&lt;abbr-1&gt;Journal of separation science&lt;/abbr-1&gt;&lt;/alt-periodical&gt;&lt;pages&gt;151-61&lt;/pages&gt;&lt;volume&gt;31&lt;/volume&gt;&lt;number&gt;1&lt;/number&gt;&lt;edition&gt;2007/11/27&lt;/edition&gt;&lt;keywords&gt;&lt;keyword&gt;Gas Chromatography-Mass Spectrometry/*methods&lt;/keyword&gt;&lt;keyword&gt;Pesticides/*analysis&lt;/keyword&gt;&lt;keyword&gt;Solid Phase Extraction/*methods&lt;/keyword&gt;&lt;keyword&gt;Tandem Mass Spectrometry/*methods&lt;/keyword&gt;&lt;keyword&gt;Water/*chemistry&lt;/keyword&gt;&lt;/keywords&gt;&lt;dates&gt;&lt;year&gt;2008&lt;/year&gt;&lt;pub-dates&gt;&lt;date&gt;Jan&lt;/date&gt;&lt;/pub-dates&gt;&lt;/dates&gt;&lt;isbn&gt;1615-9306 (Print)&amp;#xD;1615-9306&lt;/isbn&gt;&lt;accession-num&gt;18035851&lt;/accession-num&gt;&lt;urls&gt;&lt;/urls&gt;&lt;electronic-resource-num&gt;https://doi.org/10.1002/jssc.200700299&lt;/electronic-resource-num&gt;&lt;remote-database-provider&gt;NLM&lt;/remote-database-provider&gt;&lt;language&gt;eng&lt;/language&gt;&lt;/record&gt;&lt;/Cite&gt;&lt;/EndNote&gt;</w:instrText>
      </w:r>
      <w:r w:rsidRPr="00F50615">
        <w:rPr>
          <w:rFonts w:ascii="Arial" w:hAnsi="Arial" w:cs="Arial"/>
          <w:lang w:val="en"/>
        </w:rPr>
        <w:fldChar w:fldCharType="separate"/>
      </w:r>
      <w:r w:rsidRPr="00F50615">
        <w:rPr>
          <w:rFonts w:ascii="Arial" w:hAnsi="Arial" w:cs="Arial"/>
          <w:lang w:val="en"/>
        </w:rPr>
        <w:t>(Ruiz-Gil</w:t>
      </w:r>
      <w:r w:rsidRPr="00F50615">
        <w:rPr>
          <w:rFonts w:ascii="Arial" w:hAnsi="Arial" w:cs="Arial"/>
          <w:i/>
          <w:lang w:val="en"/>
        </w:rPr>
        <w:t xml:space="preserve"> et al.</w:t>
      </w:r>
      <w:r w:rsidRPr="00F50615">
        <w:rPr>
          <w:rFonts w:ascii="Arial" w:hAnsi="Arial" w:cs="Arial"/>
          <w:lang w:val="en"/>
        </w:rPr>
        <w:t xml:space="preserve"> 2008)</w:t>
      </w:r>
      <w:r w:rsidRPr="00F50615">
        <w:rPr>
          <w:rFonts w:ascii="Arial" w:hAnsi="Arial" w:cs="Arial"/>
        </w:rPr>
        <w:fldChar w:fldCharType="end"/>
      </w:r>
      <w:r w:rsidRPr="00F50615">
        <w:rPr>
          <w:rFonts w:ascii="Arial" w:hAnsi="Arial" w:cs="Arial"/>
          <w:lang w:val="en"/>
        </w:rPr>
        <w:t>. These measurements provide essential baseline data for interpreting laboratory analyses.</w:t>
      </w:r>
    </w:p>
    <w:p w14:paraId="5C253ACF" w14:textId="77777777" w:rsidR="00DF3629" w:rsidRDefault="001A65C7" w:rsidP="00DF3629">
      <w:pPr>
        <w:pStyle w:val="Body"/>
        <w:spacing w:after="0"/>
        <w:rPr>
          <w:rFonts w:ascii="Arial" w:hAnsi="Arial" w:cs="Arial"/>
          <w:b/>
          <w:sz w:val="22"/>
          <w:lang w:val="en-GB"/>
        </w:rPr>
      </w:pPr>
      <w:r w:rsidRPr="001A65C7">
        <w:rPr>
          <w:rFonts w:ascii="Arial" w:hAnsi="Arial" w:cs="Arial"/>
          <w:b/>
          <w:sz w:val="22"/>
          <w:lang w:val="en-GB"/>
        </w:rPr>
        <w:t xml:space="preserve">2.4 </w:t>
      </w:r>
      <w:r w:rsidR="00F50615" w:rsidRPr="001A65C7">
        <w:rPr>
          <w:rFonts w:ascii="Arial" w:hAnsi="Arial" w:cs="Arial"/>
          <w:b/>
          <w:sz w:val="22"/>
          <w:lang w:val="en-GB"/>
        </w:rPr>
        <w:t>Data Analysis</w:t>
      </w:r>
    </w:p>
    <w:p w14:paraId="1B4E0319" w14:textId="77777777" w:rsidR="001A65C7" w:rsidRPr="001A65C7" w:rsidRDefault="001A65C7" w:rsidP="00DF3629">
      <w:pPr>
        <w:pStyle w:val="Body"/>
        <w:spacing w:after="0"/>
        <w:rPr>
          <w:rFonts w:ascii="Arial" w:hAnsi="Arial" w:cs="Arial"/>
          <w:b/>
          <w:sz w:val="22"/>
          <w:lang w:val="en-GB"/>
        </w:rPr>
      </w:pPr>
    </w:p>
    <w:p w14:paraId="1AD99F24" w14:textId="77777777" w:rsidR="00F50615" w:rsidRPr="00DF3629" w:rsidRDefault="00F50615" w:rsidP="00DF3629">
      <w:pPr>
        <w:pStyle w:val="Body"/>
        <w:spacing w:after="0"/>
        <w:rPr>
          <w:rFonts w:ascii="Arial" w:hAnsi="Arial" w:cs="Arial"/>
          <w:b/>
          <w:lang w:val="en-GB"/>
        </w:rPr>
      </w:pPr>
      <w:r w:rsidRPr="00F50615">
        <w:rPr>
          <w:rFonts w:ascii="Arial" w:hAnsi="Arial" w:cs="Arial"/>
          <w:lang w:val="en-GB"/>
        </w:rPr>
        <w:t xml:space="preserve">Descriptive statistical </w:t>
      </w:r>
      <w:proofErr w:type="spellStart"/>
      <w:r w:rsidRPr="00F50615">
        <w:rPr>
          <w:rFonts w:ascii="Arial" w:hAnsi="Arial" w:cs="Arial"/>
          <w:lang w:val="en-GB"/>
        </w:rPr>
        <w:t>analyzes</w:t>
      </w:r>
      <w:proofErr w:type="spellEnd"/>
      <w:r w:rsidRPr="00F50615">
        <w:rPr>
          <w:rFonts w:ascii="Arial" w:hAnsi="Arial" w:cs="Arial"/>
          <w:lang w:val="en-GB"/>
        </w:rPr>
        <w:t xml:space="preserve"> were performed to determine the minimum and maximum values, means, and standard deviations of the measured parameters, in accordance with the </w:t>
      </w:r>
      <w:r w:rsidRPr="00F50615">
        <w:rPr>
          <w:rFonts w:ascii="Arial" w:hAnsi="Arial" w:cs="Arial"/>
          <w:lang w:val="en-GB"/>
        </w:rPr>
        <w:lastRenderedPageBreak/>
        <w:t xml:space="preserve">methodological practices used in similar studies on the quality of water contaminated by pesticides </w:t>
      </w:r>
      <w:r w:rsidRPr="00F50615">
        <w:rPr>
          <w:rFonts w:ascii="Arial" w:hAnsi="Arial" w:cs="Arial"/>
          <w:lang w:val="en"/>
        </w:rPr>
        <w:fldChar w:fldCharType="begin"/>
      </w:r>
      <w:r w:rsidRPr="00F50615">
        <w:rPr>
          <w:rFonts w:ascii="Arial" w:hAnsi="Arial" w:cs="Arial"/>
          <w:lang w:val="en"/>
        </w:rPr>
        <w:instrText xml:space="preserve"> ADDIN EN.CITE &lt;EndNote&gt;&lt;Cite&gt;&lt;Author&gt;Konan&lt;/Author&gt;&lt;Year&gt;2023&lt;/Year&gt;&lt;RecNum&gt;6&lt;/RecNum&gt;&lt;DisplayText&gt;(Kouamé&lt;style face="italic"&gt; et al.&lt;/style&gt; 2022, Konan&lt;style face="italic"&gt; et al.&lt;/style&gt; 2023)&lt;/DisplayText&gt;&lt;record&gt;&lt;rec-number&gt;6&lt;/rec-number&gt;&lt;foreign-keys&gt;&lt;key app="EN" db-id="x5ast2ezjww22se9evnvv5rl2aeefztr2tvf" timestamp="1765653068"&gt;6&lt;/key&gt;&lt;/foreign-keys&gt;&lt;ref-type name="Journal Article"&gt;17&lt;/ref-type&gt;&lt;contributors&gt;&lt;authors&gt;&lt;author&gt;Konan, Kouamé Jean-Paul&lt;/author&gt;&lt;author&gt;Yao, Koffi Théodore&lt;/author&gt;&lt;author&gt;Adiaffi, Bernard&lt;/author&gt;&lt;/authors&gt;&lt;/contributors&gt;&lt;titles&gt;&lt;title&gt;Évaluation de la pollution des ressources en eau par les activités agricoles dans le bassin versant de la Loka dans le département de Sakassou, Côte d’Ivoire&lt;/title&gt;&lt;secondary-title&gt;Afrique Science&lt;/secondary-title&gt;&lt;/titles&gt;&lt;periodical&gt;&lt;full-title&gt;Afrique Science&lt;/full-title&gt;&lt;/periodical&gt;&lt;pages&gt;34-43&lt;/pages&gt;&lt;volume&gt;22&lt;/volume&gt;&lt;number&gt;3&lt;/number&gt;&lt;dates&gt;&lt;year&gt;2023&lt;/year&gt;&lt;/dates&gt;&lt;urls&gt;&lt;/urls&gt;&lt;/record&gt;&lt;/Cite&gt;&lt;Cite&gt;&lt;Author&gt;Kouamé&lt;/Author&gt;&lt;Year&gt;2022&lt;/Year&gt;&lt;RecNum&gt;7&lt;/RecNum&gt;&lt;record&gt;&lt;rec-number&gt;7&lt;/rec-number&gt;&lt;foreign-keys&gt;&lt;key app="EN" db-id="x5ast2ezjww22se9evnvv5rl2aeefztr2tvf" timestamp="1765653232"&gt;7&lt;/key&gt;&lt;/foreign-keys&gt;&lt;ref-type name="Journal Article"&gt;17&lt;/ref-type&gt;&lt;contributors&gt;&lt;authors&gt;&lt;author&gt;Kouamé, Kassi Alexis&lt;/author&gt;&lt;author&gt;Éba, Anowa Evrade Larissa&lt;/author&gt;&lt;author&gt;Serge Kouakou, DEH&lt;/author&gt;&lt;author&gt;Déabo, Boza Fulgence&lt;/author&gt;&lt;author&gt;Dongo, Kouassi&lt;/author&gt;&lt;/authors&gt;&lt;/contributors&gt;&lt;titles&gt;&lt;title&gt;Effet induit de l’utilisation des pesticides en culture maraichère sur l’environnement et la santé humaine à Daloa, Côte d’Ivoire&lt;/title&gt;&lt;secondary-title&gt;Rev. Ivoir. Sci. Technol.&lt;/secondary-title&gt;&lt;/titles&gt;&lt;periodical&gt;&lt;full-title&gt;Rev. Ivoir. Sci. Technol.&lt;/full-title&gt;&lt;/periodical&gt;&lt;pages&gt;88-105&lt;/pages&gt;&lt;dates&gt;&lt;year&gt;2022&lt;/year&gt;&lt;/dates&gt;&lt;urls&gt;&lt;/urls&gt;&lt;/record&gt;&lt;/Cite&gt;&lt;/EndNote&gt;</w:instrText>
      </w:r>
      <w:r w:rsidRPr="00F50615">
        <w:rPr>
          <w:rFonts w:ascii="Arial" w:hAnsi="Arial" w:cs="Arial"/>
          <w:lang w:val="en"/>
        </w:rPr>
        <w:fldChar w:fldCharType="separate"/>
      </w:r>
      <w:r w:rsidRPr="00F50615">
        <w:rPr>
          <w:rFonts w:ascii="Arial" w:hAnsi="Arial" w:cs="Arial"/>
          <w:lang w:val="en-GB"/>
        </w:rPr>
        <w:t>(Kouamé</w:t>
      </w:r>
      <w:r w:rsidRPr="00F50615">
        <w:rPr>
          <w:rFonts w:ascii="Arial" w:hAnsi="Arial" w:cs="Arial"/>
          <w:i/>
          <w:lang w:val="en-GB"/>
        </w:rPr>
        <w:t xml:space="preserve"> et al.</w:t>
      </w:r>
      <w:r w:rsidRPr="00F50615">
        <w:rPr>
          <w:rFonts w:ascii="Arial" w:hAnsi="Arial" w:cs="Arial"/>
          <w:lang w:val="en-GB"/>
        </w:rPr>
        <w:t xml:space="preserve"> 2022, Konan</w:t>
      </w:r>
      <w:r w:rsidRPr="00F50615">
        <w:rPr>
          <w:rFonts w:ascii="Arial" w:hAnsi="Arial" w:cs="Arial"/>
          <w:i/>
          <w:lang w:val="en-GB"/>
        </w:rPr>
        <w:t xml:space="preserve"> et al.</w:t>
      </w:r>
      <w:r w:rsidRPr="00F50615">
        <w:rPr>
          <w:rFonts w:ascii="Arial" w:hAnsi="Arial" w:cs="Arial"/>
          <w:lang w:val="en-GB"/>
        </w:rPr>
        <w:t xml:space="preserve"> 2023)</w:t>
      </w:r>
      <w:r w:rsidRPr="00F50615">
        <w:rPr>
          <w:rFonts w:ascii="Arial" w:hAnsi="Arial" w:cs="Arial"/>
        </w:rPr>
        <w:fldChar w:fldCharType="end"/>
      </w:r>
      <w:r w:rsidRPr="00F50615">
        <w:rPr>
          <w:rFonts w:ascii="Arial" w:hAnsi="Arial" w:cs="Arial"/>
          <w:lang w:val="en-GB"/>
        </w:rPr>
        <w:t>.</w:t>
      </w:r>
    </w:p>
    <w:p w14:paraId="29BADF60" w14:textId="77777777" w:rsidR="00F50615" w:rsidRPr="00F50615" w:rsidRDefault="00F50615" w:rsidP="00DF3629">
      <w:pPr>
        <w:pStyle w:val="Body"/>
        <w:rPr>
          <w:rFonts w:ascii="Arial" w:hAnsi="Arial" w:cs="Arial"/>
          <w:lang w:val="en-GB"/>
        </w:rPr>
      </w:pPr>
      <w:r w:rsidRPr="00F50615">
        <w:rPr>
          <w:rFonts w:ascii="Arial" w:hAnsi="Arial" w:cs="Arial"/>
          <w:lang w:val="en-GB"/>
        </w:rPr>
        <w:t xml:space="preserve">Assessment of water quality with respect to pesticide contamination was further refined using two specific indices: the Pesticide Contamination Index (PCI) and the Pesticide Alteration Index (PAI)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&lt;EndNote&gt;&lt;Cite&gt;&lt;Author&gt;Mark&lt;/Author&gt;&lt;Year&gt;2006&lt;/Year&gt;&lt;RecNum&gt;8&lt;/RecNum&gt;&lt;DisplayText&gt;(Mark&lt;style face="italic"&gt; et al.&lt;/style&gt; 2006)&lt;/DisplayText&gt;&lt;record&gt;&lt;rec-number&gt;8&lt;/rec-number&gt;&lt;foreign-keys&gt;&lt;key app="EN" db-id="x5ast2ezjww22se9evnvv5rl2aeefztr2tvf" timestamp="1765654046"&gt;8&lt;/key&gt;&lt;/foreign-keys&gt;&lt;ref-type name="Journal Article"&gt;17&lt;/ref-type&gt;&lt;contributors&gt;&lt;authors&gt;&lt;author&gt;Mark, D. Munn&lt;/author&gt;&lt;author&gt; Robert, J. Gilliom&lt;/author&gt;&lt;author&gt;Patrick, W. Moran &lt;/author&gt;&lt;author&gt;Lisa, H. Nowell&lt;/author&gt;&lt;/authors&gt;&lt;/contributors&gt;&lt;titles&gt;&lt;title&gt;Pesticide Toxicity Index for Freshwater Aquatic Organisms, 2nd Edition&lt;/title&gt;&lt;/titles&gt;&lt;pages&gt;87&lt;/pages&gt;&lt;dates&gt;&lt;year&gt;2006&lt;/year&gt;&lt;/dates&gt;&lt;urls&gt;&lt;/urls&gt;&lt;/record&gt;&lt;/Cite&gt;&lt;/EndNote&gt;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(Mark</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xml:space="preserve">. These indices provide a comprehensive and quantitative evaluation of pollution levels based on the concentrations of detected active substances </w:t>
      </w:r>
      <w:r w:rsidRPr="00F50615">
        <w:rPr>
          <w:rFonts w:ascii="Arial" w:hAnsi="Arial" w:cs="Arial"/>
          <w:lang w:val="en-GB"/>
        </w:rPr>
        <w:fldChar w:fldCharType="begin">
          <w:fldData xml:space="preserve">PEVuZE5vdGU+PENpdGU+PEF1dGhvcj5Sb2NoYTwvQXV0aG9yPjxZZWFyPjIwMTU8L1llYXI+PFJl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</w:fldData>
        </w:fldChar>
      </w:r>
      <w:r w:rsidRPr="00F50615">
        <w:rPr>
          <w:rFonts w:ascii="Arial" w:hAnsi="Arial" w:cs="Arial"/>
          <w:lang w:val="en-GB"/>
        </w:rPr>
        <w:instrText xml:space="preserve"> ADDIN EN.CITE </w:instrText>
      </w:r>
      <w:r w:rsidRPr="00F50615">
        <w:rPr>
          <w:rFonts w:ascii="Arial" w:hAnsi="Arial" w:cs="Arial"/>
          <w:lang w:val="en-GB"/>
        </w:rPr>
        <w:fldChar w:fldCharType="begin">
          <w:fldData xml:space="preserve">PEVuZE5vdGU+PENpdGU+PEF1dGhvcj5Sb2NoYTwvQXV0aG9yPjxZZWFyPjIwMTU8L1llYXI+PFJl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</w:fldData>
        </w:fldChar>
      </w:r>
      <w:r w:rsidRPr="00F50615">
        <w:rPr>
          <w:rFonts w:ascii="Arial" w:hAnsi="Arial" w:cs="Arial"/>
          <w:lang w:val="en-GB"/>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GB"/>
        </w:rPr>
      </w:r>
      <w:r w:rsidRPr="00F50615">
        <w:rPr>
          <w:rFonts w:ascii="Arial" w:hAnsi="Arial" w:cs="Arial"/>
          <w:lang w:val="en-GB"/>
        </w:rPr>
        <w:fldChar w:fldCharType="separate"/>
      </w:r>
      <w:r w:rsidRPr="00F50615">
        <w:rPr>
          <w:rFonts w:ascii="Arial" w:hAnsi="Arial" w:cs="Arial"/>
          <w:lang w:val="en-GB"/>
        </w:rPr>
        <w:t>(Rocha</w:t>
      </w:r>
      <w:r w:rsidRPr="00F50615">
        <w:rPr>
          <w:rFonts w:ascii="Arial" w:hAnsi="Arial" w:cs="Arial"/>
          <w:i/>
          <w:lang w:val="en-GB"/>
        </w:rPr>
        <w:t xml:space="preserve"> et al.</w:t>
      </w:r>
      <w:r w:rsidRPr="00F50615">
        <w:rPr>
          <w:rFonts w:ascii="Arial" w:hAnsi="Arial" w:cs="Arial"/>
          <w:lang w:val="en-GB"/>
        </w:rPr>
        <w:t xml:space="preserve"> 2015)</w:t>
      </w:r>
      <w:r w:rsidRPr="00F50615">
        <w:rPr>
          <w:rFonts w:ascii="Arial" w:hAnsi="Arial" w:cs="Arial"/>
        </w:rPr>
        <w:fldChar w:fldCharType="end"/>
      </w:r>
      <w:r w:rsidRPr="00F50615">
        <w:rPr>
          <w:rFonts w:ascii="Arial" w:hAnsi="Arial" w:cs="Arial"/>
          <w:lang w:val="en-GB"/>
        </w:rPr>
        <w:t xml:space="preserve">. The assessment of water quality with respect to the presence of active substances was supplemented by the calculation of synthetic indices such as the Pesticide Contamination Index (PCI) and the Pesticide Alteration Index (PAI), recognized for their ability to quantitatively summarize the level of pesticide pollution in aquatic environments </w:t>
      </w:r>
      <w:r w:rsidRPr="00F50615">
        <w:rPr>
          <w:rFonts w:ascii="Arial" w:hAnsi="Arial" w:cs="Arial"/>
          <w:lang w:val="en"/>
        </w:rPr>
        <w:fldChar w:fldCharType="begin"/>
      </w:r>
      <w:r w:rsidRPr="00F50615">
        <w:rPr>
          <w:rFonts w:ascii="Arial" w:hAnsi="Arial" w:cs="Arial"/>
          <w:lang w:val="en"/>
        </w:rPr>
        <w:instrText xml:space="preserve"> ADDIN EN.CITE &lt;EndNote&gt;&lt;Cite&gt;&lt;Author&gt;Atto&lt;/Author&gt;&lt;Year&gt;2020&lt;/Year&gt;&lt;RecNum&gt;5&lt;/RecNum&gt;&lt;DisplayText&gt;(Atto and Monde 2020, Kouamé&lt;style face="italic"&gt; et al.&lt;/style&gt; 2022)&lt;/DisplayText&gt;&lt;record&gt;&lt;rec-number&gt;5&lt;/rec-number&gt;&lt;foreign-keys&gt;&lt;key app="EN" db-id="x5ast2ezjww22se9evnvv5rl2aeefztr2tvf" timestamp="1765652918"&gt;5&lt;/key&gt;&lt;/foreign-keys&gt;&lt;ref-type name="Journal Article"&gt;17&lt;/ref-type&gt;&lt;contributors&gt;&lt;authors&gt;&lt;author&gt;Atto, Yapi&lt;/author&gt;&lt;author&gt;Monde, Sylvain %J &lt;/author&gt;&lt;/authors&gt;&lt;/contributors&gt;&lt;titles&gt;&lt;title&gt;Évaluation du niveau de contamination du lac d’Adaou (est de la côte d’ivoire) par les produits phytosanitaires&lt;/title&gt;&lt;secondary-title&gt;Dynamiques environnementales. Journal international de géosciences et de l’environnement&lt;/secondary-title&gt;&lt;/titles&gt;&lt;periodical&gt;&lt;full-title&gt;Dynamiques environnementales. Journal international de géosciences et de l’environnement&lt;/full-title&gt;&lt;/periodical&gt;&lt;pages&gt;56-60&lt;/pages&gt;&lt;number&gt;45&lt;/number&gt;&lt;dates&gt;&lt;year&gt;2020&lt;/year&gt;&lt;/dates&gt;&lt;isbn&gt;2534-4358&lt;/isbn&gt;&lt;urls&gt;&lt;/urls&gt;&lt;electronic-resource-num&gt;https://doi.org/10.4000/dynenviron.3924&lt;/electronic-resource-num&gt;&lt;/record&gt;&lt;/Cite&gt;&lt;Cite&gt;&lt;Author&gt;Kouamé&lt;/Author&gt;&lt;RecNum&gt;7&lt;/RecNum&gt;&lt;record&gt;&lt;rec-number&gt;7&lt;/rec-number&gt;&lt;foreign-keys&gt;&lt;key app="EN" db-id="x5ast2ezjww22se9evnvv5rl2aeefztr2tvf" timestamp="1765653232"&gt;7&lt;/key&gt;&lt;/foreign-keys&gt;&lt;ref-type name="Journal Article"&gt;17&lt;/ref-type&gt;&lt;contributors&gt;&lt;authors&gt;&lt;author&gt;Kouamé, Kassi Alexis&lt;/author&gt;&lt;author&gt;Éba, Anowa Evrade Larissa&lt;/author&gt;&lt;author&gt;Serge Kouakou, DEH&lt;/author&gt;&lt;author&gt;Déabo, Boza Fulgence&lt;/author&gt;&lt;author&gt;Dongo, Kouassi&lt;/author&gt;&lt;/authors&gt;&lt;/contributors&gt;&lt;titles&gt;&lt;title&gt;Effet induit de l’utilisation des pesticides en culture maraichère sur l’environnement et la santé humaine à Daloa, Côte d’Ivoire&lt;/title&gt;&lt;secondary-title&gt;Rev. Ivoir. Sci. Technol.&lt;/secondary-title&gt;&lt;/titles&gt;&lt;periodical&gt;&lt;full-title&gt;Rev. Ivoir. Sci. Technol.&lt;/full-title&gt;&lt;/periodical&gt;&lt;pages&gt;88-105&lt;/pages&gt;&lt;dates&gt;&lt;year&gt;2022&lt;/year&gt;&lt;/dates&gt;&lt;urls&gt;&lt;/urls&gt;&lt;/record&gt;&lt;/Cite&gt;&lt;/EndNote&gt;</w:instrText>
      </w:r>
      <w:r w:rsidRPr="00F50615">
        <w:rPr>
          <w:rFonts w:ascii="Arial" w:hAnsi="Arial" w:cs="Arial"/>
          <w:lang w:val="en"/>
        </w:rPr>
        <w:fldChar w:fldCharType="separate"/>
      </w:r>
      <w:r w:rsidRPr="00F50615">
        <w:rPr>
          <w:rFonts w:ascii="Arial" w:hAnsi="Arial" w:cs="Arial"/>
          <w:lang w:val="en-GB"/>
        </w:rPr>
        <w:t>(Atto and Monde 2020, Kouamé</w:t>
      </w:r>
      <w:r w:rsidRPr="00F50615">
        <w:rPr>
          <w:rFonts w:ascii="Arial" w:hAnsi="Arial" w:cs="Arial"/>
          <w:i/>
          <w:lang w:val="en-GB"/>
        </w:rPr>
        <w:t xml:space="preserve"> et al.</w:t>
      </w:r>
      <w:r w:rsidRPr="00F50615">
        <w:rPr>
          <w:rFonts w:ascii="Arial" w:hAnsi="Arial" w:cs="Arial"/>
          <w:lang w:val="en-GB"/>
        </w:rPr>
        <w:t xml:space="preserve"> 2022)</w:t>
      </w:r>
      <w:r w:rsidRPr="00F50615">
        <w:rPr>
          <w:rFonts w:ascii="Arial" w:hAnsi="Arial" w:cs="Arial"/>
        </w:rPr>
        <w:fldChar w:fldCharType="end"/>
      </w:r>
      <w:r w:rsidRPr="00F50615">
        <w:rPr>
          <w:rFonts w:ascii="Arial" w:hAnsi="Arial" w:cs="Arial"/>
          <w:lang w:val="en-GB"/>
        </w:rPr>
        <w:t>. The concentration of each active substance was calculated using:</w:t>
      </w:r>
    </w:p>
    <w:p w14:paraId="011841AB" w14:textId="77777777" w:rsidR="00F50615" w:rsidRPr="00F50615" w:rsidRDefault="00722536" w:rsidP="00DF3629">
      <w:pPr>
        <w:pStyle w:val="Body"/>
        <w:rPr>
          <w:rFonts w:ascii="Arial" w:hAnsi="Arial" w:cs="Arial"/>
          <w:b/>
          <w:lang w:val="en"/>
        </w:rPr>
      </w:pPr>
      <m:oMathPara>
        <m:oMathParaPr>
          <m:jc m:val="center"/>
        </m:oMathParaPr>
        <m:oMath>
          <m:sSub>
            <m:sSubPr>
              <m:ctrlPr>
                <w:rPr>
                  <w:rFonts w:ascii="Cambria Math" w:hAnsi="Cambria Math" w:cs="Arial"/>
                  <w:b/>
                  <w:i/>
                  <w:lang w:val="en"/>
                </w:rPr>
              </m:ctrlPr>
            </m:sSubPr>
            <m:e>
              <m:r>
                <m:rPr>
                  <m:sty m:val="bi"/>
                </m:rPr>
                <w:rPr>
                  <w:rFonts w:ascii="Cambria Math" w:hAnsi="Cambria Math" w:cs="Arial"/>
                  <w:lang w:val="en"/>
                </w:rPr>
                <m:t>C</m:t>
              </m:r>
            </m:e>
            <m:sub>
              <m:r>
                <m:rPr>
                  <m:sty m:val="bi"/>
                </m:rPr>
                <w:rPr>
                  <w:rFonts w:ascii="Cambria Math" w:hAnsi="Cambria Math" w:cs="Arial"/>
                  <w:lang w:val="en"/>
                </w:rPr>
                <m:t>P</m:t>
              </m:r>
            </m:sub>
          </m:sSub>
          <m:r>
            <m:rPr>
              <m:sty m:val="bi"/>
            </m:rPr>
            <w:rPr>
              <w:rFonts w:ascii="Cambria Math" w:hAnsi="Cambria Math" w:cs="Arial"/>
              <w:lang w:val="en"/>
            </w:rPr>
            <m:t>=</m:t>
          </m:r>
          <m:f>
            <m:fPr>
              <m:ctrlPr>
                <w:rPr>
                  <w:rFonts w:ascii="Cambria Math" w:hAnsi="Cambria Math" w:cs="Arial"/>
                  <w:b/>
                  <w:i/>
                  <w:lang w:val="en"/>
                </w:rPr>
              </m:ctrlPr>
            </m:fPr>
            <m:num>
              <m:sSub>
                <m:sSubPr>
                  <m:ctrlPr>
                    <w:rPr>
                      <w:rFonts w:ascii="Cambria Math" w:hAnsi="Cambria Math" w:cs="Arial"/>
                      <w:b/>
                      <w:i/>
                      <w:lang w:val="en"/>
                    </w:rPr>
                  </m:ctrlPr>
                </m:sSubPr>
                <m:e>
                  <m:r>
                    <m:rPr>
                      <m:sty m:val="bi"/>
                    </m:rPr>
                    <w:rPr>
                      <w:rFonts w:ascii="Cambria Math" w:hAnsi="Cambria Math" w:cs="Arial"/>
                      <w:lang w:val="en"/>
                    </w:rPr>
                    <m:t>S</m:t>
                  </m:r>
                </m:e>
                <m:sub>
                  <m:r>
                    <m:rPr>
                      <m:sty m:val="bi"/>
                    </m:rPr>
                    <w:rPr>
                      <w:rFonts w:ascii="Cambria Math" w:hAnsi="Cambria Math" w:cs="Arial"/>
                      <w:lang w:val="en"/>
                    </w:rPr>
                    <m:t>c</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C</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2</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f</m:t>
                  </m:r>
                </m:sub>
              </m:sSub>
              <m:r>
                <m:rPr>
                  <m:sty m:val="bi"/>
                </m:rPr>
                <w:rPr>
                  <w:rFonts w:ascii="Cambria Math" w:hAnsi="Cambria Math" w:cs="Arial"/>
                  <w:lang w:val="en"/>
                </w:rPr>
                <m:t>×F</m:t>
              </m:r>
            </m:num>
            <m:den>
              <m:sSub>
                <m:sSubPr>
                  <m:ctrlPr>
                    <w:rPr>
                      <w:rFonts w:ascii="Cambria Math" w:hAnsi="Cambria Math" w:cs="Arial"/>
                      <w:b/>
                      <w:i/>
                      <w:lang w:val="en"/>
                    </w:rPr>
                  </m:ctrlPr>
                </m:sSubPr>
                <m:e>
                  <m:r>
                    <m:rPr>
                      <m:sty m:val="bi"/>
                    </m:rPr>
                    <w:rPr>
                      <w:rFonts w:ascii="Cambria Math" w:hAnsi="Cambria Math" w:cs="Arial"/>
                      <w:lang w:val="en"/>
                    </w:rPr>
                    <m:t>S</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M</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1</m:t>
                  </m:r>
                </m:sub>
              </m:sSub>
            </m:den>
          </m:f>
        </m:oMath>
      </m:oMathPara>
    </w:p>
    <w:p w14:paraId="1A9BDDCB" w14:textId="77777777" w:rsidR="00F50615" w:rsidRPr="00F50615" w:rsidRDefault="00F50615" w:rsidP="00F50615">
      <w:pPr>
        <w:pStyle w:val="Body"/>
        <w:spacing w:after="0"/>
        <w:rPr>
          <w:rFonts w:ascii="Arial" w:hAnsi="Arial" w:cs="Arial"/>
          <w:lang w:val="en"/>
        </w:rPr>
      </w:pPr>
      <w:r w:rsidRPr="00F50615">
        <w:rPr>
          <w:rFonts w:ascii="Arial" w:hAnsi="Arial" w:cs="Arial"/>
          <w:lang w:val="en"/>
        </w:rPr>
        <w:t>C</w:t>
      </w:r>
      <w:r w:rsidRPr="00F50615">
        <w:rPr>
          <w:rFonts w:ascii="Arial" w:hAnsi="Arial" w:cs="Arial"/>
          <w:vertAlign w:val="subscript"/>
          <w:lang w:val="en"/>
        </w:rPr>
        <w:t>P:</w:t>
      </w:r>
      <w:r w:rsidRPr="00F50615">
        <w:rPr>
          <w:rFonts w:ascii="Arial" w:hAnsi="Arial" w:cs="Arial"/>
          <w:lang w:val="en"/>
        </w:rPr>
        <w:t xml:space="preserve"> Concentration of active substance (mg/L); </w:t>
      </w:r>
      <w:proofErr w:type="gramStart"/>
      <w:r w:rsidRPr="00F50615">
        <w:rPr>
          <w:rFonts w:ascii="Arial" w:hAnsi="Arial" w:cs="Arial"/>
          <w:lang w:val="en"/>
        </w:rPr>
        <w:t>S</w:t>
      </w:r>
      <w:r w:rsidRPr="00F50615">
        <w:rPr>
          <w:rFonts w:ascii="Arial" w:hAnsi="Arial" w:cs="Arial"/>
          <w:vertAlign w:val="subscript"/>
          <w:lang w:val="en"/>
        </w:rPr>
        <w:t xml:space="preserve">C </w:t>
      </w:r>
      <w:r w:rsidRPr="00F50615">
        <w:rPr>
          <w:rFonts w:ascii="Arial" w:hAnsi="Arial" w:cs="Arial"/>
          <w:lang w:val="en"/>
        </w:rPr>
        <w:t>:</w:t>
      </w:r>
      <w:proofErr w:type="gramEnd"/>
      <w:r w:rsidRPr="00F50615">
        <w:rPr>
          <w:rFonts w:ascii="Arial" w:hAnsi="Arial" w:cs="Arial"/>
          <w:lang w:val="en"/>
        </w:rPr>
        <w:t xml:space="preserve"> peak area of sample; S</w:t>
      </w:r>
      <w:r w:rsidRPr="00F50615">
        <w:rPr>
          <w:rFonts w:ascii="Arial" w:hAnsi="Arial" w:cs="Arial"/>
          <w:vertAlign w:val="subscript"/>
          <w:lang w:val="en"/>
        </w:rPr>
        <w:t xml:space="preserve">e </w:t>
      </w:r>
      <w:r w:rsidRPr="00F50615">
        <w:rPr>
          <w:rFonts w:ascii="Arial" w:hAnsi="Arial" w:cs="Arial"/>
          <w:lang w:val="en"/>
        </w:rPr>
        <w:t xml:space="preserve">: peak area of standard; C </w:t>
      </w:r>
      <w:r w:rsidRPr="00F50615">
        <w:rPr>
          <w:rFonts w:ascii="Arial" w:hAnsi="Arial" w:cs="Arial"/>
          <w:vertAlign w:val="subscript"/>
          <w:lang w:val="en"/>
        </w:rPr>
        <w:t xml:space="preserve">e </w:t>
      </w:r>
      <w:r w:rsidRPr="00F50615">
        <w:rPr>
          <w:rFonts w:ascii="Arial" w:hAnsi="Arial" w:cs="Arial"/>
          <w:lang w:val="en"/>
        </w:rPr>
        <w:t>: concentration of standard (mg/L); V</w:t>
      </w:r>
      <w:r w:rsidRPr="00F50615">
        <w:rPr>
          <w:rFonts w:ascii="Arial" w:hAnsi="Arial" w:cs="Arial"/>
          <w:vertAlign w:val="subscript"/>
          <w:lang w:val="en"/>
        </w:rPr>
        <w:t xml:space="preserve">1 </w:t>
      </w:r>
      <w:r w:rsidRPr="00F50615">
        <w:rPr>
          <w:rFonts w:ascii="Arial" w:hAnsi="Arial" w:cs="Arial"/>
          <w:lang w:val="en"/>
        </w:rPr>
        <w:t xml:space="preserve">: volume to be purified (L); V </w:t>
      </w:r>
      <w:r w:rsidRPr="00F50615">
        <w:rPr>
          <w:rFonts w:ascii="Arial" w:hAnsi="Arial" w:cs="Arial"/>
          <w:vertAlign w:val="subscript"/>
          <w:lang w:val="en"/>
        </w:rPr>
        <w:t xml:space="preserve">2 </w:t>
      </w:r>
      <w:r w:rsidRPr="00F50615">
        <w:rPr>
          <w:rFonts w:ascii="Arial" w:hAnsi="Arial" w:cs="Arial"/>
          <w:lang w:val="en"/>
        </w:rPr>
        <w:t xml:space="preserve">: volume after purification (L); </w:t>
      </w:r>
      <w:proofErr w:type="spellStart"/>
      <w:r w:rsidRPr="00F50615">
        <w:rPr>
          <w:rFonts w:ascii="Arial" w:hAnsi="Arial" w:cs="Arial"/>
          <w:lang w:val="en"/>
        </w:rPr>
        <w:t>V</w:t>
      </w:r>
      <w:r w:rsidRPr="00F50615">
        <w:rPr>
          <w:rFonts w:ascii="Arial" w:hAnsi="Arial" w:cs="Arial"/>
          <w:vertAlign w:val="subscript"/>
          <w:lang w:val="en"/>
        </w:rPr>
        <w:t>f</w:t>
      </w:r>
      <w:proofErr w:type="spellEnd"/>
      <w:r w:rsidRPr="00F50615">
        <w:rPr>
          <w:rFonts w:ascii="Arial" w:hAnsi="Arial" w:cs="Arial"/>
          <w:vertAlign w:val="subscript"/>
          <w:lang w:val="en"/>
        </w:rPr>
        <w:t xml:space="preserve"> </w:t>
      </w:r>
      <w:r w:rsidRPr="00F50615">
        <w:rPr>
          <w:rFonts w:ascii="Arial" w:hAnsi="Arial" w:cs="Arial"/>
          <w:lang w:val="en"/>
        </w:rPr>
        <w:t>: final volume (L); M</w:t>
      </w:r>
      <w:r w:rsidRPr="00F50615">
        <w:rPr>
          <w:rFonts w:ascii="Arial" w:hAnsi="Arial" w:cs="Arial"/>
          <w:vertAlign w:val="subscript"/>
          <w:lang w:val="en"/>
        </w:rPr>
        <w:t xml:space="preserve">e </w:t>
      </w:r>
      <w:r w:rsidRPr="00F50615">
        <w:rPr>
          <w:rFonts w:ascii="Arial" w:hAnsi="Arial" w:cs="Arial"/>
          <w:lang w:val="en"/>
        </w:rPr>
        <w:t>: sample volume (L); F: dilution factor.</w:t>
      </w:r>
    </w:p>
    <w:p w14:paraId="68986FB7" w14:textId="77777777" w:rsidR="00F50615" w:rsidRPr="00F50615" w:rsidRDefault="00F50615" w:rsidP="00DF3629">
      <w:pPr>
        <w:pStyle w:val="Body"/>
        <w:spacing w:after="0"/>
        <w:rPr>
          <w:rFonts w:ascii="Arial" w:hAnsi="Arial" w:cs="Arial"/>
          <w:b/>
          <w:lang w:val="en-GB"/>
        </w:rPr>
      </w:pPr>
    </w:p>
    <w:p w14:paraId="3B02A2F3" w14:textId="77777777" w:rsidR="00F50615" w:rsidRPr="001A65C7" w:rsidRDefault="001A65C7" w:rsidP="00DF3629">
      <w:pPr>
        <w:pStyle w:val="Body"/>
        <w:spacing w:after="0"/>
        <w:rPr>
          <w:rFonts w:ascii="Arial" w:hAnsi="Arial" w:cs="Arial"/>
          <w:b/>
          <w:sz w:val="22"/>
          <w:lang w:val="en"/>
        </w:rPr>
      </w:pPr>
      <w:r w:rsidRPr="001A65C7">
        <w:rPr>
          <w:rFonts w:ascii="Arial" w:hAnsi="Arial" w:cs="Arial"/>
          <w:b/>
          <w:sz w:val="22"/>
          <w:lang w:val="en"/>
        </w:rPr>
        <w:t xml:space="preserve">2.5 </w:t>
      </w:r>
      <w:r w:rsidR="00F50615" w:rsidRPr="001A65C7">
        <w:rPr>
          <w:rFonts w:ascii="Arial" w:hAnsi="Arial" w:cs="Arial"/>
          <w:b/>
          <w:sz w:val="22"/>
          <w:lang w:val="en"/>
        </w:rPr>
        <w:t>Principal Component Analysis (PCA)</w:t>
      </w:r>
    </w:p>
    <w:p w14:paraId="6F320FCD" w14:textId="77777777" w:rsidR="001A65C7" w:rsidRPr="00F50615" w:rsidRDefault="001A65C7" w:rsidP="00DF3629">
      <w:pPr>
        <w:pStyle w:val="Body"/>
        <w:spacing w:after="0"/>
        <w:rPr>
          <w:rFonts w:ascii="Arial" w:hAnsi="Arial" w:cs="Arial"/>
          <w:b/>
          <w:lang w:val="en"/>
        </w:rPr>
      </w:pPr>
    </w:p>
    <w:p w14:paraId="6E952F45"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To explore the relationships between sampling sites and pesticide contamination patterns, and to identify the main factors controlling the spatial distribution of contaminants within the </w:t>
      </w:r>
      <w:proofErr w:type="spellStart"/>
      <w:r w:rsidRPr="00F50615">
        <w:rPr>
          <w:rFonts w:ascii="Arial" w:hAnsi="Arial" w:cs="Arial"/>
          <w:lang w:val="en-GB"/>
        </w:rPr>
        <w:t>Téguéré</w:t>
      </w:r>
      <w:proofErr w:type="spellEnd"/>
      <w:r w:rsidRPr="00F50615">
        <w:rPr>
          <w:rFonts w:ascii="Arial" w:hAnsi="Arial" w:cs="Arial"/>
          <w:lang w:val="en-GB"/>
        </w:rPr>
        <w:t xml:space="preserve"> River watershed, a principal component analysis (PCA) was applied to the analytical dataset. PCA is a multivariate statistical technique widely used in environmental sciences to reduce data dimensionality, identify correlations among variables, and discriminate potential pollution sources in complex </w:t>
      </w:r>
      <w:proofErr w:type="spellStart"/>
      <w:r w:rsidRPr="00F50615">
        <w:rPr>
          <w:rFonts w:ascii="Arial" w:hAnsi="Arial" w:cs="Arial"/>
          <w:lang w:val="en-GB"/>
        </w:rPr>
        <w:t>hydrochemical</w:t>
      </w:r>
      <w:proofErr w:type="spellEnd"/>
      <w:r w:rsidRPr="00F50615">
        <w:rPr>
          <w:rFonts w:ascii="Arial" w:hAnsi="Arial" w:cs="Arial"/>
          <w:lang w:val="en-GB"/>
        </w:rPr>
        <w:t xml:space="preserve"> datasets </w:t>
      </w:r>
      <w:r w:rsidRPr="00F50615">
        <w:rPr>
          <w:rFonts w:ascii="Arial" w:hAnsi="Arial" w:cs="Arial"/>
          <w:lang w:val="en-GB"/>
        </w:rPr>
        <w:fldChar w:fldCharType="begin">
          <w:fldData xml:space="preserve">PEVuZE5vdGU+PENpdGU+PEF1dGhvcj5IZWxlbmE8L0F1dGhvcj48WWVhcj4yMDAwPC9ZZWFyPjxS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=
</w:fldData>
        </w:fldChar>
      </w:r>
      <w:r w:rsidRPr="00F50615">
        <w:rPr>
          <w:rFonts w:ascii="Arial" w:hAnsi="Arial" w:cs="Arial"/>
          <w:lang w:val="en-GB"/>
        </w:rPr>
        <w:instrText xml:space="preserve"> ADDIN EN.CITE </w:instrText>
      </w:r>
      <w:r w:rsidRPr="00F50615">
        <w:rPr>
          <w:rFonts w:ascii="Arial" w:hAnsi="Arial" w:cs="Arial"/>
          <w:lang w:val="en-GB"/>
        </w:rPr>
        <w:fldChar w:fldCharType="begin">
          <w:fldData xml:space="preserve">PEVuZE5vdGU+PENpdGU+PEF1dGhvcj5IZWxlbmE8L0F1dGhvcj48WWVhcj4yMDAwPC9ZZWFyPjxS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=
</w:fldData>
        </w:fldChar>
      </w:r>
      <w:r w:rsidRPr="00F50615">
        <w:rPr>
          <w:rFonts w:ascii="Arial" w:hAnsi="Arial" w:cs="Arial"/>
          <w:lang w:val="en-GB"/>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GB"/>
        </w:rPr>
      </w:r>
      <w:r w:rsidRPr="00F50615">
        <w:rPr>
          <w:rFonts w:ascii="Arial" w:hAnsi="Arial" w:cs="Arial"/>
          <w:lang w:val="en-GB"/>
        </w:rPr>
        <w:fldChar w:fldCharType="separate"/>
      </w:r>
      <w:r w:rsidRPr="00F50615">
        <w:rPr>
          <w:rFonts w:ascii="Arial" w:hAnsi="Arial" w:cs="Arial"/>
          <w:lang w:val="en-GB"/>
        </w:rPr>
        <w:t>(Helena</w:t>
      </w:r>
      <w:r w:rsidRPr="00F50615">
        <w:rPr>
          <w:rFonts w:ascii="Arial" w:hAnsi="Arial" w:cs="Arial"/>
          <w:i/>
          <w:lang w:val="en-GB"/>
        </w:rPr>
        <w:t xml:space="preserve"> et al.</w:t>
      </w:r>
      <w:r w:rsidRPr="00F50615">
        <w:rPr>
          <w:rFonts w:ascii="Arial" w:hAnsi="Arial" w:cs="Arial"/>
          <w:lang w:val="en-GB"/>
        </w:rPr>
        <w:t xml:space="preserve"> 2000, Jolliffe and Cadima 2016)</w:t>
      </w:r>
      <w:r w:rsidRPr="00F50615">
        <w:rPr>
          <w:rFonts w:ascii="Arial" w:hAnsi="Arial" w:cs="Arial"/>
        </w:rPr>
        <w:fldChar w:fldCharType="end"/>
      </w:r>
      <w:r w:rsidRPr="00F50615">
        <w:rPr>
          <w:rFonts w:ascii="Arial" w:hAnsi="Arial" w:cs="Arial"/>
          <w:lang w:val="en-GB"/>
        </w:rPr>
        <w:t xml:space="preserve">. The PCA was performed on a data matrix composed of pesticide concentrations measured in both surface water and groundwater samples. Prior to analysis, all variables were standardized using z-score normalization (mean = 0, standard deviation = 1) to minimize the influence of differences in units and magnitude among the </w:t>
      </w:r>
      <w:proofErr w:type="spellStart"/>
      <w:r w:rsidRPr="00F50615">
        <w:rPr>
          <w:rFonts w:ascii="Arial" w:hAnsi="Arial" w:cs="Arial"/>
          <w:lang w:val="en-GB"/>
        </w:rPr>
        <w:t>analyzed</w:t>
      </w:r>
      <w:proofErr w:type="spellEnd"/>
      <w:r w:rsidRPr="00F50615">
        <w:rPr>
          <w:rFonts w:ascii="Arial" w:hAnsi="Arial" w:cs="Arial"/>
          <w:lang w:val="en-GB"/>
        </w:rPr>
        <w:t xml:space="preserve"> compounds, ensuring that each pesticide contributed equally to the formation of the principal components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&lt;EndNote&gt;&lt;Cite&gt;&lt;Author&gt;Reimann&lt;/Author&gt;&lt;Year&gt;2011&lt;/Year&gt;&lt;RecNum&gt;10&lt;/RecNum&gt;&lt;DisplayText&gt;(Reimann&lt;style face="italic"&gt; et al.&lt;/style&gt; 2011)&lt;/DisplayText&gt;&lt;record&gt;&lt;rec-number&gt;10&lt;/rec-number&gt;&lt;foreign-keys&gt;&lt;key app="EN" db-id="5arwtxpf3w0vfler5pzxa0v3z5t5etx0ratz" timestamp="1766314467"&gt;10&lt;/key&gt;&lt;/foreign-keys&gt;&lt;ref-type name="Book"&gt;6&lt;/ref-type&gt;&lt;contributors&gt;&lt;authors&gt;&lt;author&gt;Reimann, Clemens&lt;/author&gt;&lt;author&gt;Filzmoser, Peter&lt;/author&gt;&lt;author&gt;Garrett, Robert&lt;/author&gt;&lt;author&gt;Dutter, Rudolf&lt;/author&gt;&lt;/authors&gt;&lt;/contributors&gt;&lt;titles&gt;&lt;title&gt;Statistical data analysis explained: applied environmental statistics with R&lt;/title&gt;&lt;/titles&gt;&lt;section&gt;350&lt;/section&gt;&lt;dates&gt;&lt;year&gt;2011&lt;/year&gt;&lt;/dates&gt;&lt;publisher&gt;John Wiley &amp;amp; Sons&lt;/publisher&gt;&lt;isbn&gt;1119965284&lt;/isbn&gt;&lt;urls&gt;&lt;/urls&gt;&lt;/record&gt;&lt;/Cite&gt;&lt;/EndNote&gt;</w:instrText>
      </w:r>
      <w:r w:rsidRPr="00F50615">
        <w:rPr>
          <w:rFonts w:ascii="Arial" w:hAnsi="Arial" w:cs="Arial"/>
          <w:lang w:val="en-GB"/>
        </w:rPr>
        <w:fldChar w:fldCharType="separate"/>
      </w:r>
      <w:r w:rsidRPr="00F50615">
        <w:rPr>
          <w:rFonts w:ascii="Arial" w:hAnsi="Arial" w:cs="Arial"/>
          <w:lang w:val="en-GB"/>
        </w:rPr>
        <w:t>(Reimann</w:t>
      </w:r>
      <w:r w:rsidRPr="00F50615">
        <w:rPr>
          <w:rFonts w:ascii="Arial" w:hAnsi="Arial" w:cs="Arial"/>
          <w:i/>
          <w:lang w:val="en-GB"/>
        </w:rPr>
        <w:t xml:space="preserve"> et al.</w:t>
      </w:r>
      <w:r w:rsidRPr="00F50615">
        <w:rPr>
          <w:rFonts w:ascii="Arial" w:hAnsi="Arial" w:cs="Arial"/>
          <w:lang w:val="en-GB"/>
        </w:rPr>
        <w:t xml:space="preserve"> 2011)</w:t>
      </w:r>
      <w:r w:rsidRPr="00F50615">
        <w:rPr>
          <w:rFonts w:ascii="Arial" w:hAnsi="Arial" w:cs="Arial"/>
        </w:rPr>
        <w:fldChar w:fldCharType="end"/>
      </w:r>
      <w:r w:rsidRPr="00F50615">
        <w:rPr>
          <w:rFonts w:ascii="Arial" w:hAnsi="Arial" w:cs="Arial"/>
          <w:lang w:val="en-GB"/>
        </w:rPr>
        <w:t>.</w:t>
      </w:r>
    </w:p>
    <w:p w14:paraId="6C435762"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The analysis was based on the correlation matrix, and principal components with eigenvalues greater than 1 were retained according to the Kaiser criterion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&lt;EndNote&gt;&lt;Cite&gt;&lt;Author&gt;Aydin Uncumusaoğlu&lt;/Author&gt;&lt;Year&gt;2017&lt;/Year&gt;&lt;RecNum&gt;1&lt;/RecNum&gt;&lt;DisplayText&gt;(Aydin Uncumusaoğlu and Akkan 2017)&lt;/DisplayText&gt;&lt;record&gt;&lt;rec-number&gt;1&lt;/rec-number&gt;&lt;foreign-keys&gt;&lt;key app="EN" db-id="tzf2tv25msxxelexwpcxvwthea50wpdew9ef" timestamp="1766314996"&gt;1&lt;/key&gt;&lt;/foreign-keys&gt;&lt;ref-type name="Journal Article"&gt;17&lt;/ref-type&gt;&lt;contributors&gt;&lt;authors&gt;&lt;author&gt;Aydin Uncumusaoğlu, Arzu&lt;/author&gt;&lt;author&gt;Akkan, Tamer  &lt;/author&gt;&lt;/authors&gt;&lt;/contributors&gt;&lt;titles&gt;&lt;title&gt;Assessment of Water Quality of Yağlidere Stream (Turkey) Using Multivariate Statistical Techniquess&lt;/title&gt;&lt;secondary-title&gt;Polish Journal of Environmental Studies&lt;/secondary-title&gt;&lt;/titles&gt;&lt;periodical&gt;&lt;full-title&gt;Polish Journal of Environmental Studies&lt;/full-title&gt;&lt;/periodical&gt;&lt;pages&gt;1715-1723&lt;/pages&gt;&lt;volume&gt;26&lt;/volume&gt;&lt;number&gt;4&lt;/number&gt;&lt;dates&gt;&lt;year&gt;2017&lt;/year&gt;&lt;/dates&gt;&lt;urls&gt;&lt;/urls&gt;&lt;/record&gt;&lt;/Cite&gt;&lt;/EndNote&gt;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(Aydin Uncumusaoğlu and Akkan 2017)</w:t>
      </w:r>
      <w:r w:rsidRPr="00F50615">
        <w:rPr>
          <w:rFonts w:ascii="Arial" w:hAnsi="Arial" w:cs="Arial"/>
        </w:rPr>
        <w:fldChar w:fldCharType="end"/>
      </w:r>
      <w:r w:rsidRPr="00F50615">
        <w:rPr>
          <w:rFonts w:ascii="Arial" w:hAnsi="Arial" w:cs="Arial"/>
          <w:lang w:val="en-GB"/>
        </w:rPr>
        <w:t xml:space="preserve">. The cumulative variance explained by the retained components was used to assess the adequacy of the factorial solution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&lt;EndNote&gt;&lt;Cite&gt;&lt;Author&gt;Aydin Uncumusaoğlu&lt;/Author&gt;&lt;Year&gt;2017&lt;/Year&gt;&lt;RecNum&gt;1&lt;/RecNum&gt;&lt;DisplayText&gt;(Aydin Uncumusaoğlu and Akkan 2017)&lt;/DisplayText&gt;&lt;record&gt;&lt;rec-number&gt;1&lt;/rec-number&gt;&lt;foreign-keys&gt;&lt;key app="EN" db-id="tzf2tv25msxxelexwpcxvwthea50wpdew9ef" timestamp="1766314996"&gt;1&lt;/key&gt;&lt;/foreign-keys&gt;&lt;ref-type name="Journal Article"&gt;17&lt;/ref-type&gt;&lt;contributors&gt;&lt;authors&gt;&lt;author&gt;Aydin Uncumusaoğlu, Arzu&lt;/author&gt;&lt;author&gt;Akkan, Tamer  &lt;/author&gt;&lt;/authors&gt;&lt;/contributors&gt;&lt;titles&gt;&lt;title&gt;Assessment of Water Quality of Yağlidere Stream (Turkey) Using Multivariate Statistical Techniquess&lt;/title&gt;&lt;secondary-title&gt;Polish Journal of Environmental Studies&lt;/secondary-title&gt;&lt;/titles&gt;&lt;periodical&gt;&lt;full-title&gt;Polish Journal of Environmental Studies&lt;/full-title&gt;&lt;/periodical&gt;&lt;pages&gt;1715-1723&lt;/pages&gt;&lt;volume&gt;26&lt;/volume&gt;&lt;number&gt;4&lt;/number&gt;&lt;dates&gt;&lt;year&gt;2017&lt;/year&gt;&lt;/dates&gt;&lt;urls&gt;&lt;/urls&gt;&lt;/record&gt;&lt;/Cite&gt;&lt;/EndNote&gt;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(Aydin Uncumusaoğlu and Akkan 2017)</w:t>
      </w:r>
      <w:r w:rsidRPr="00F50615">
        <w:rPr>
          <w:rFonts w:ascii="Arial" w:hAnsi="Arial" w:cs="Arial"/>
        </w:rPr>
        <w:fldChar w:fldCharType="end"/>
      </w:r>
      <w:r w:rsidRPr="00F50615">
        <w:rPr>
          <w:rFonts w:ascii="Arial" w:hAnsi="Arial" w:cs="Arial"/>
          <w:lang w:val="en-GB"/>
        </w:rPr>
        <w:t xml:space="preserve">. Factor loadings were examined to identify the pesticides most strongly associated with each principal component, while factor scores were used to evaluate the similarities and contrasts among sampling sites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&lt;EndNote&gt;&lt;Cite&gt;&lt;Author&gt;Shrestha&lt;/Author&gt;&lt;Year&gt;2007&lt;/Year&gt;&lt;RecNum&gt;2&lt;/RecNum&gt;&lt;DisplayText&gt;(Shrestha and Kazama 2007)&lt;/DisplayText&gt;&lt;record&gt;&lt;rec-number&gt;2&lt;/rec-number&gt;&lt;foreign-keys&gt;&lt;key app="EN" db-id="tzf2tv25msxxelexwpcxvwthea50wpdew9ef" timestamp="1766315205"&gt;2&lt;/key&gt;&lt;/foreign-keys&gt;&lt;ref-type name="Journal Article"&gt;17&lt;/ref-type&gt;&lt;contributors&gt;&lt;authors&gt;&lt;author&gt;Shrestha, S.&lt;/author&gt;&lt;author&gt;Kazama, F.&lt;/author&gt;&lt;/authors&gt;&lt;/contributors&gt;&lt;titles&gt;&lt;title&gt;Assessment of surface water quality using multivariate statistical techniques: A case study of the Fuji river basin, Japan&lt;/title&gt;&lt;secondary-title&gt;Environmental Modelling &amp;amp; Software&lt;/secondary-title&gt;&lt;/titles&gt;&lt;periodical&gt;&lt;full-title&gt;Environmental Modelling &amp;amp; Software&lt;/full-title&gt;&lt;/periodical&gt;&lt;pages&gt;464-475&lt;/pages&gt;&lt;volume&gt;22&lt;/volume&gt;&lt;number&gt;4&lt;/number&gt;&lt;keywords&gt;&lt;keyword&gt;Fuji river basin&lt;/keyword&gt;&lt;keyword&gt;Water quality&lt;/keyword&gt;&lt;keyword&gt;Cluster analysis&lt;/keyword&gt;&lt;keyword&gt;Principal component analysis&lt;/keyword&gt;&lt;keyword&gt;Factor analysis&lt;/keyword&gt;&lt;keyword&gt;Discriminant analysis&lt;/keyword&gt;&lt;/keywords&gt;&lt;dates&gt;&lt;year&gt;2007&lt;/year&gt;&lt;pub-dates&gt;&lt;date&gt;2007/04/01/&lt;/date&gt;&lt;/pub-dates&gt;&lt;/dates&gt;&lt;isbn&gt;1364-8152&lt;/isbn&gt;&lt;urls&gt;&lt;related-urls&gt;&lt;url&gt;https://www.sciencedirect.com/science/article/pii/S136481520600048X&lt;/url&gt;&lt;/related-urls&gt;&lt;/urls&gt;&lt;electronic-resource-num&gt;https://doi.org/10.1016/j.envsoft.2006.02.001&lt;/electronic-resource-num&gt;&lt;/record&gt;&lt;/Cite&gt;&lt;/EndNote&gt;</w:instrText>
      </w:r>
      <w:r w:rsidRPr="00F50615">
        <w:rPr>
          <w:rFonts w:ascii="Arial" w:hAnsi="Arial" w:cs="Arial"/>
          <w:lang w:val="en-GB"/>
        </w:rPr>
        <w:fldChar w:fldCharType="separate"/>
      </w:r>
      <w:r w:rsidRPr="00F50615">
        <w:rPr>
          <w:rFonts w:ascii="Arial" w:hAnsi="Arial" w:cs="Arial"/>
          <w:lang w:val="en-GB"/>
        </w:rPr>
        <w:t>(Shrestha and Kazama 2007)</w:t>
      </w:r>
      <w:r w:rsidRPr="00F50615">
        <w:rPr>
          <w:rFonts w:ascii="Arial" w:hAnsi="Arial" w:cs="Arial"/>
        </w:rPr>
        <w:fldChar w:fldCharType="end"/>
      </w:r>
      <w:r w:rsidRPr="00F50615">
        <w:rPr>
          <w:rFonts w:ascii="Arial" w:hAnsi="Arial" w:cs="Arial"/>
          <w:lang w:val="en-GB"/>
        </w:rPr>
        <w:t xml:space="preserve">. Graphical representations, including biplots of variables and sampling sites, were employed to facilitate the interpretation of PCA results. These diagrams allowed the identification of clusters of sites characterized by similar contamination profiles, as well as the discrimination of chemical signatures associated with distinct pesticide families and potential sources. Such an approach is particularly effective for distinguishing diffuse agricultural inputs from localized contamination and for highlighting the role of hydrological connectivity between surface water and groundwater systems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&lt;EndNote&gt;&lt;Cite&gt;&lt;Author&gt;Hussain&lt;/Author&gt;&lt;Year&gt;2025&lt;/Year&gt;&lt;RecNum&gt;3&lt;/RecNum&gt;&lt;DisplayText&gt;(Hussain&lt;style face="italic"&gt; et al.&lt;/style&gt; 2025)&lt;/DisplayText&gt;&lt;record&gt;&lt;rec-number&gt;3&lt;/rec-number&gt;&lt;foreign-keys&gt;&lt;key app="EN" db-id="tzf2tv25msxxelexwpcxvwthea50wpdew9ef" timestamp="1766315705"&gt;3&lt;/key&gt;&lt;/foreign-keys&gt;&lt;ref-type name="Journal Article"&gt;17&lt;/ref-type&gt;&lt;contributors&gt;&lt;authors&gt;&lt;author&gt;Hussain, Fida&lt;/author&gt;&lt;author&gt;Ahmed, Shakeel&lt;/author&gt;&lt;author&gt;Muhammad Zaigham Abbas Naqvi, Syed&lt;/author&gt;&lt;author&gt;Awais, Muhammad&lt;/author&gt;&lt;author&gt;Zhang, Yanyan&lt;/author&gt;&lt;author&gt;Zhang, Hao&lt;/author&gt;&lt;author&gt;Raghavan, Vijaya&lt;/author&gt;&lt;author&gt;Zang, Yiheng&lt;/author&gt;&lt;author&gt;Zhao, Guoqing&lt;/author&gt;&lt;author&gt;Hu, Jiandong &lt;/author&gt;&lt;/authors&gt;&lt;/contributors&gt;&lt;titles&gt;&lt;title&gt;Agricultural Non-Point Source Pollution: Comprehensive Analysis of Sources and Assessment Methods&lt;/title&gt;&lt;secondary-title&gt;Agriculture&lt;/secondary-title&gt;&lt;/titles&gt;&lt;periodical&gt;&lt;full-title&gt;Agriculture&lt;/full-title&gt;&lt;/periodical&gt;&lt;pages&gt;531&lt;/pages&gt;&lt;volume&gt;15&lt;/volume&gt;&lt;number&gt;5&lt;/number&gt;&lt;dates&gt;&lt;year&gt;2025&lt;/year&gt;&lt;/dates&gt;&lt;isbn&gt;2077-0472&lt;/isbn&gt;&lt;urls&gt;&lt;/urls&gt;&lt;/record&gt;&lt;/Cite&gt;&lt;/EndNote&gt;</w:instrText>
      </w:r>
      <w:r w:rsidRPr="00F50615">
        <w:rPr>
          <w:rFonts w:ascii="Arial" w:hAnsi="Arial" w:cs="Arial"/>
          <w:lang w:val="en-GB"/>
        </w:rPr>
        <w:fldChar w:fldCharType="separate"/>
      </w:r>
      <w:r w:rsidRPr="00F50615">
        <w:rPr>
          <w:rFonts w:ascii="Arial" w:hAnsi="Arial" w:cs="Arial"/>
          <w:lang w:val="en-GB"/>
        </w:rPr>
        <w:t>(Hussain</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 xml:space="preserve">. The interpretation of PCA outputs was further supported by spatial analysis using a geographic information system (GIS), enabling the integration of multivariate statistical results with the spatial distribution of sampling points. This combined statistical and spatial approach enhances the environmental relevance of the analysis and provides a more comprehensive understanding of pesticide </w:t>
      </w:r>
      <w:r w:rsidRPr="00F50615">
        <w:rPr>
          <w:rFonts w:ascii="Arial" w:hAnsi="Arial" w:cs="Arial"/>
          <w:lang w:val="en-GB"/>
        </w:rPr>
        <w:lastRenderedPageBreak/>
        <w:t xml:space="preserve">transport processes, accumulation patterns, and source apportionment within the watershed </w:t>
      </w:r>
      <w:r w:rsidRPr="00F50615">
        <w:rPr>
          <w:rFonts w:ascii="Arial" w:hAnsi="Arial" w:cs="Arial"/>
          <w:lang w:val="en-GB"/>
        </w:rPr>
        <w:fldChar w:fldCharType="begin"/>
      </w:r>
      <w:r w:rsidRPr="00F50615">
        <w:rPr>
          <w:rFonts w:ascii="Arial" w:hAnsi="Arial" w:cs="Arial"/>
          <w:lang w:val="en-GB"/>
        </w:rPr>
        <w:instrText xml:space="preserve"> ADDIN EN.CITE &lt;EndNote&gt;&lt;Cite&gt;&lt;Author&gt;Helena&lt;/Author&gt;&lt;Year&gt;2000&lt;/Year&gt;&lt;RecNum&gt;8&lt;/RecNum&gt;&lt;DisplayText&gt;(Helena&lt;style face="italic"&gt; et al.&lt;/style&gt; 2000)&lt;/DisplayText&gt;&lt;record&gt;&lt;rec-number&gt;8&lt;/rec-number&gt;&lt;foreign-keys&gt;&lt;key app="EN" db-id="5arwtxpf3w0vfler5pzxa0v3z5t5etx0ratz" timestamp="1766313520"&gt;8&lt;/key&gt;&lt;/foreign-keys&gt;&lt;ref-type name="Journal Article"&gt;17&lt;/ref-type&gt;&lt;contributors&gt;&lt;authors&gt;&lt;author&gt;Helena, Beatriz&lt;/author&gt;&lt;author&gt;Pardo, Rafael&lt;/author&gt;&lt;author&gt;Vega, Marisol&lt;/author&gt;&lt;author&gt;Barrado, Enrique&lt;/author&gt;&lt;author&gt;Fernandez, Jose Manuel&lt;/author&gt;&lt;author&gt;Fernandez, Luis&lt;/author&gt;&lt;/authors&gt;&lt;/contributors&gt;&lt;titles&gt;&lt;title&gt;Temporal evolution of groundwater composition in an alluvial aquifer (Pisuerga River, Spain) by principal component analysis&lt;/title&gt;&lt;secondary-title&gt;Water Research&lt;/secondary-title&gt;&lt;/titles&gt;&lt;periodical&gt;&lt;full-title&gt;Water Research&lt;/full-title&gt;&lt;/periodical&gt;&lt;pages&gt;807-816&lt;/pages&gt;&lt;volume&gt;34&lt;/volume&gt;&lt;number&gt;3&lt;/number&gt;&lt;dates&gt;&lt;year&gt;2000&lt;/year&gt;&lt;pub-dates&gt;&lt;date&gt;2000/02/15/&lt;/date&gt;&lt;/pub-dates&gt;&lt;/dates&gt;&lt;isbn&gt;0043-1354&lt;/isbn&gt;&lt;urls&gt;&lt;related-urls&gt;&lt;url&gt;https://www.sciencedirect.com/science/article/pii/S0043135499002250&lt;/url&gt;&lt;/related-urls&gt;&lt;/urls&gt;&lt;electronic-resource-num&gt;https://doi.org/10.1016/S0043-1354(99)00225-0&lt;/electronic-resource-num&gt;&lt;/record&gt;&lt;/Cite&gt;&lt;/EndNote&gt;</w:instrText>
      </w:r>
      <w:r w:rsidRPr="00F50615">
        <w:rPr>
          <w:rFonts w:ascii="Arial" w:hAnsi="Arial" w:cs="Arial"/>
          <w:lang w:val="en-GB"/>
        </w:rPr>
        <w:fldChar w:fldCharType="separate"/>
      </w:r>
      <w:r w:rsidRPr="00F50615">
        <w:rPr>
          <w:rFonts w:ascii="Arial" w:hAnsi="Arial" w:cs="Arial"/>
          <w:lang w:val="en-GB"/>
        </w:rPr>
        <w:t>(Helena</w:t>
      </w:r>
      <w:r w:rsidRPr="00F50615">
        <w:rPr>
          <w:rFonts w:ascii="Arial" w:hAnsi="Arial" w:cs="Arial"/>
          <w:i/>
          <w:lang w:val="en-GB"/>
        </w:rPr>
        <w:t xml:space="preserve"> et al.</w:t>
      </w:r>
      <w:r w:rsidRPr="00F50615">
        <w:rPr>
          <w:rFonts w:ascii="Arial" w:hAnsi="Arial" w:cs="Arial"/>
          <w:lang w:val="en-GB"/>
        </w:rPr>
        <w:t xml:space="preserve"> 2000)</w:t>
      </w:r>
      <w:r w:rsidRPr="00F50615">
        <w:rPr>
          <w:rFonts w:ascii="Arial" w:hAnsi="Arial" w:cs="Arial"/>
        </w:rPr>
        <w:fldChar w:fldCharType="end"/>
      </w:r>
      <w:r w:rsidRPr="00F50615">
        <w:rPr>
          <w:rFonts w:ascii="Arial" w:hAnsi="Arial" w:cs="Arial"/>
          <w:lang w:val="en-GB"/>
        </w:rPr>
        <w:t xml:space="preserve">. </w:t>
      </w:r>
    </w:p>
    <w:p w14:paraId="6E7C4B67" w14:textId="77777777" w:rsidR="00790ADA" w:rsidRPr="00FB3A86" w:rsidRDefault="00790ADA" w:rsidP="00441B6F">
      <w:pPr>
        <w:pStyle w:val="Body"/>
        <w:spacing w:after="0"/>
        <w:rPr>
          <w:rFonts w:ascii="Arial" w:hAnsi="Arial" w:cs="Arial"/>
        </w:rPr>
      </w:pPr>
    </w:p>
    <w:p w14:paraId="3165918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08D8DB0" w14:textId="77777777" w:rsidR="00E9424C" w:rsidRDefault="00E9424C" w:rsidP="00441B6F">
      <w:pPr>
        <w:pStyle w:val="Body"/>
        <w:spacing w:after="0"/>
        <w:rPr>
          <w:rFonts w:ascii="Arial" w:hAnsi="Arial" w:cs="Arial"/>
        </w:rPr>
      </w:pPr>
    </w:p>
    <w:p w14:paraId="71816D01" w14:textId="77777777" w:rsidR="002D44DF" w:rsidRDefault="00E9424C" w:rsidP="00E9424C">
      <w:pPr>
        <w:pStyle w:val="Body"/>
        <w:spacing w:after="0"/>
        <w:rPr>
          <w:rFonts w:ascii="Arial" w:hAnsi="Arial" w:cs="Arial"/>
          <w:b/>
          <w:sz w:val="22"/>
          <w:lang w:val="en-GB"/>
        </w:rPr>
      </w:pPr>
      <w:r w:rsidRPr="00E9424C">
        <w:rPr>
          <w:rFonts w:ascii="Arial" w:hAnsi="Arial" w:cs="Arial"/>
          <w:b/>
          <w:sz w:val="22"/>
          <w:lang w:val="en-GB"/>
        </w:rPr>
        <w:t xml:space="preserve">3.1 </w:t>
      </w:r>
      <w:r w:rsidR="00060175">
        <w:rPr>
          <w:rFonts w:ascii="Arial" w:hAnsi="Arial" w:cs="Arial"/>
          <w:b/>
          <w:sz w:val="22"/>
          <w:lang w:val="en-GB"/>
        </w:rPr>
        <w:t xml:space="preserve">Results </w:t>
      </w:r>
    </w:p>
    <w:p w14:paraId="0D3FB7ED" w14:textId="77777777" w:rsidR="00060175" w:rsidRDefault="00060175" w:rsidP="00E9424C">
      <w:pPr>
        <w:pStyle w:val="Body"/>
        <w:spacing w:after="0"/>
        <w:rPr>
          <w:rFonts w:ascii="Arial" w:hAnsi="Arial" w:cs="Arial"/>
          <w:b/>
          <w:sz w:val="22"/>
          <w:lang w:val="en-GB"/>
        </w:rPr>
      </w:pPr>
    </w:p>
    <w:p w14:paraId="607FBC9D" w14:textId="77777777" w:rsidR="00DE62A3" w:rsidRDefault="00060175" w:rsidP="00E9424C">
      <w:pPr>
        <w:pStyle w:val="Body"/>
        <w:spacing w:after="0"/>
        <w:rPr>
          <w:rFonts w:ascii="Arial" w:hAnsi="Arial" w:cs="Arial"/>
          <w:b/>
          <w:lang w:val="en-GB"/>
        </w:rPr>
      </w:pPr>
      <w:r>
        <w:rPr>
          <w:rFonts w:ascii="Arial" w:hAnsi="Arial" w:cs="Arial"/>
          <w:b/>
          <w:sz w:val="22"/>
          <w:lang w:val="en-GB"/>
        </w:rPr>
        <w:t xml:space="preserve">3.1.1 </w:t>
      </w:r>
      <w:r w:rsidR="00DE62A3" w:rsidRPr="00E9424C">
        <w:rPr>
          <w:rFonts w:ascii="Arial" w:hAnsi="Arial" w:cs="Arial"/>
          <w:b/>
          <w:sz w:val="22"/>
          <w:lang w:val="en-GB"/>
        </w:rPr>
        <w:t>Physical characteristics of surface water and groundwater</w:t>
      </w:r>
    </w:p>
    <w:p w14:paraId="1F73B1BF" w14:textId="77777777" w:rsidR="00E9424C" w:rsidRPr="00DE62A3" w:rsidRDefault="00E9424C" w:rsidP="00E9424C">
      <w:pPr>
        <w:pStyle w:val="Body"/>
        <w:spacing w:after="0"/>
        <w:rPr>
          <w:rFonts w:ascii="Arial" w:hAnsi="Arial" w:cs="Arial"/>
          <w:b/>
          <w:lang w:val="en-GB"/>
        </w:rPr>
      </w:pPr>
    </w:p>
    <w:p w14:paraId="3476B6A4" w14:textId="77777777" w:rsidR="00DE62A3" w:rsidRPr="00DE62A3" w:rsidRDefault="00DE62A3" w:rsidP="00E9424C">
      <w:pPr>
        <w:pStyle w:val="Body"/>
        <w:rPr>
          <w:rFonts w:ascii="Arial" w:hAnsi="Arial" w:cs="Arial"/>
          <w:lang w:val="en-GB"/>
        </w:rPr>
      </w:pPr>
      <w:r w:rsidRPr="00DE62A3">
        <w:rPr>
          <w:rFonts w:ascii="Arial" w:hAnsi="Arial" w:cs="Arial"/>
          <w:lang w:val="en-GB"/>
        </w:rPr>
        <w:t xml:space="preserve">Table 1 provides an overview of the main physicochemical parameters, including temperature, pH, and electrical conductivity, measured in both surface water and groundwater at several sampling sites. These parameters provide essential information on water quality and the environmental factors that influence it. </w:t>
      </w:r>
    </w:p>
    <w:p w14:paraId="49498BA4" w14:textId="77777777" w:rsidR="00DE62A3" w:rsidRPr="00DE62A3" w:rsidRDefault="00DE62A3" w:rsidP="00E9424C">
      <w:pPr>
        <w:pStyle w:val="Body"/>
        <w:rPr>
          <w:rFonts w:ascii="Arial" w:hAnsi="Arial" w:cs="Arial"/>
          <w:iCs/>
          <w:lang w:val="en-GB"/>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1</w:t>
      </w:r>
      <w:r w:rsidRPr="00DE62A3">
        <w:rPr>
          <w:rFonts w:ascii="Arial" w:hAnsi="Arial" w:cs="Arial"/>
        </w:rPr>
        <w:fldChar w:fldCharType="end"/>
      </w:r>
      <w:r w:rsidRPr="00DE62A3">
        <w:rPr>
          <w:rFonts w:ascii="Arial" w:hAnsi="Arial" w:cs="Arial"/>
          <w:iCs/>
          <w:lang w:val="en"/>
        </w:rPr>
        <w:t>: Physicochemical Characteristics of Surface Water and Groundwater</w:t>
      </w:r>
    </w:p>
    <w:tbl>
      <w:tblPr>
        <w:tblW w:w="9080" w:type="dxa"/>
        <w:tblInd w:w="-431" w:type="dxa"/>
        <w:tblLook w:val="04A0" w:firstRow="1" w:lastRow="0" w:firstColumn="1" w:lastColumn="0" w:noHBand="0" w:noVBand="1"/>
      </w:tblPr>
      <w:tblGrid>
        <w:gridCol w:w="1700"/>
        <w:gridCol w:w="2460"/>
        <w:gridCol w:w="960"/>
        <w:gridCol w:w="960"/>
        <w:gridCol w:w="2040"/>
        <w:gridCol w:w="960"/>
      </w:tblGrid>
      <w:tr w:rsidR="00DE62A3" w:rsidRPr="00DE62A3" w14:paraId="48ADA8F4" w14:textId="77777777" w:rsidTr="00E9424C">
        <w:trPr>
          <w:trHeight w:val="290"/>
        </w:trPr>
        <w:tc>
          <w:tcPr>
            <w:tcW w:w="1700" w:type="dxa"/>
            <w:tcBorders>
              <w:top w:val="single" w:sz="4" w:space="0" w:color="auto"/>
              <w:left w:val="nil"/>
              <w:bottom w:val="nil"/>
              <w:right w:val="nil"/>
            </w:tcBorders>
            <w:vAlign w:val="center"/>
            <w:hideMark/>
          </w:tcPr>
          <w:p w14:paraId="257EF928"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Water Type</w:t>
            </w:r>
          </w:p>
        </w:tc>
        <w:tc>
          <w:tcPr>
            <w:tcW w:w="2460" w:type="dxa"/>
            <w:tcBorders>
              <w:top w:val="single" w:sz="4" w:space="0" w:color="auto"/>
              <w:left w:val="nil"/>
              <w:bottom w:val="nil"/>
              <w:right w:val="nil"/>
            </w:tcBorders>
            <w:vAlign w:val="center"/>
            <w:hideMark/>
          </w:tcPr>
          <w:p w14:paraId="13294090"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Variable</w:t>
            </w:r>
          </w:p>
        </w:tc>
        <w:tc>
          <w:tcPr>
            <w:tcW w:w="960" w:type="dxa"/>
            <w:tcBorders>
              <w:top w:val="single" w:sz="4" w:space="0" w:color="auto"/>
              <w:left w:val="nil"/>
              <w:bottom w:val="nil"/>
              <w:right w:val="nil"/>
            </w:tcBorders>
            <w:vAlign w:val="center"/>
            <w:hideMark/>
          </w:tcPr>
          <w:p w14:paraId="309E7D4D"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Min</w:t>
            </w:r>
          </w:p>
        </w:tc>
        <w:tc>
          <w:tcPr>
            <w:tcW w:w="960" w:type="dxa"/>
            <w:tcBorders>
              <w:top w:val="single" w:sz="4" w:space="0" w:color="auto"/>
              <w:left w:val="nil"/>
              <w:bottom w:val="nil"/>
              <w:right w:val="nil"/>
            </w:tcBorders>
            <w:vAlign w:val="center"/>
            <w:hideMark/>
          </w:tcPr>
          <w:p w14:paraId="4B39B429"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Max</w:t>
            </w:r>
          </w:p>
        </w:tc>
        <w:tc>
          <w:tcPr>
            <w:tcW w:w="2040" w:type="dxa"/>
            <w:tcBorders>
              <w:top w:val="single" w:sz="4" w:space="0" w:color="auto"/>
              <w:left w:val="nil"/>
              <w:bottom w:val="nil"/>
              <w:right w:val="nil"/>
            </w:tcBorders>
            <w:vAlign w:val="center"/>
            <w:hideMark/>
          </w:tcPr>
          <w:p w14:paraId="7FC163C7"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Standard Deviation</w:t>
            </w:r>
          </w:p>
        </w:tc>
        <w:tc>
          <w:tcPr>
            <w:tcW w:w="960" w:type="dxa"/>
            <w:tcBorders>
              <w:top w:val="single" w:sz="4" w:space="0" w:color="auto"/>
              <w:left w:val="nil"/>
              <w:bottom w:val="nil"/>
              <w:right w:val="nil"/>
            </w:tcBorders>
            <w:vAlign w:val="center"/>
            <w:hideMark/>
          </w:tcPr>
          <w:p w14:paraId="391DD629"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Mean</w:t>
            </w:r>
          </w:p>
        </w:tc>
      </w:tr>
      <w:tr w:rsidR="00DE62A3" w:rsidRPr="00DE62A3" w14:paraId="6D8AC304" w14:textId="77777777" w:rsidTr="00E9424C">
        <w:trPr>
          <w:trHeight w:val="290"/>
        </w:trPr>
        <w:tc>
          <w:tcPr>
            <w:tcW w:w="1700" w:type="dxa"/>
            <w:vMerge w:val="restart"/>
            <w:tcBorders>
              <w:top w:val="single" w:sz="4" w:space="0" w:color="auto"/>
              <w:left w:val="nil"/>
              <w:bottom w:val="nil"/>
              <w:right w:val="nil"/>
            </w:tcBorders>
            <w:vAlign w:val="center"/>
            <w:hideMark/>
          </w:tcPr>
          <w:p w14:paraId="49376C1C" w14:textId="77777777" w:rsidR="00DE62A3" w:rsidRPr="00DE62A3" w:rsidRDefault="00DE62A3" w:rsidP="00E9424C">
            <w:pPr>
              <w:pStyle w:val="Body"/>
              <w:spacing w:after="0"/>
              <w:rPr>
                <w:rFonts w:ascii="Arial" w:hAnsi="Arial" w:cs="Arial"/>
                <w:b/>
                <w:lang w:val="en-GB"/>
              </w:rPr>
            </w:pPr>
            <w:r w:rsidRPr="00DE62A3">
              <w:rPr>
                <w:rFonts w:ascii="Arial" w:hAnsi="Arial" w:cs="Arial"/>
                <w:b/>
                <w:lang w:val="en-GB"/>
              </w:rPr>
              <w:t>Surface Water</w:t>
            </w:r>
          </w:p>
        </w:tc>
        <w:tc>
          <w:tcPr>
            <w:tcW w:w="2460" w:type="dxa"/>
            <w:tcBorders>
              <w:top w:val="single" w:sz="4" w:space="0" w:color="auto"/>
              <w:left w:val="nil"/>
              <w:bottom w:val="nil"/>
              <w:right w:val="nil"/>
            </w:tcBorders>
            <w:vAlign w:val="center"/>
            <w:hideMark/>
          </w:tcPr>
          <w:p w14:paraId="6E3B5558"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Temperature (°C)</w:t>
            </w:r>
          </w:p>
        </w:tc>
        <w:tc>
          <w:tcPr>
            <w:tcW w:w="960" w:type="dxa"/>
            <w:tcBorders>
              <w:top w:val="single" w:sz="4" w:space="0" w:color="auto"/>
              <w:left w:val="nil"/>
              <w:bottom w:val="nil"/>
              <w:right w:val="nil"/>
            </w:tcBorders>
            <w:vAlign w:val="center"/>
            <w:hideMark/>
          </w:tcPr>
          <w:p w14:paraId="754615BD"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29.9</w:t>
            </w:r>
          </w:p>
        </w:tc>
        <w:tc>
          <w:tcPr>
            <w:tcW w:w="960" w:type="dxa"/>
            <w:tcBorders>
              <w:top w:val="single" w:sz="4" w:space="0" w:color="auto"/>
              <w:left w:val="nil"/>
              <w:bottom w:val="nil"/>
              <w:right w:val="nil"/>
            </w:tcBorders>
            <w:vAlign w:val="center"/>
            <w:hideMark/>
          </w:tcPr>
          <w:p w14:paraId="1CBCEEC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33.1</w:t>
            </w:r>
          </w:p>
        </w:tc>
        <w:tc>
          <w:tcPr>
            <w:tcW w:w="2040" w:type="dxa"/>
            <w:tcBorders>
              <w:top w:val="single" w:sz="4" w:space="0" w:color="auto"/>
              <w:left w:val="nil"/>
              <w:bottom w:val="nil"/>
              <w:right w:val="nil"/>
            </w:tcBorders>
            <w:vAlign w:val="center"/>
            <w:hideMark/>
          </w:tcPr>
          <w:p w14:paraId="1720BFD4"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1.395</w:t>
            </w:r>
          </w:p>
        </w:tc>
        <w:tc>
          <w:tcPr>
            <w:tcW w:w="960" w:type="dxa"/>
            <w:tcBorders>
              <w:top w:val="single" w:sz="4" w:space="0" w:color="auto"/>
              <w:left w:val="nil"/>
              <w:bottom w:val="nil"/>
              <w:right w:val="nil"/>
            </w:tcBorders>
            <w:vAlign w:val="center"/>
            <w:hideMark/>
          </w:tcPr>
          <w:p w14:paraId="5E6BEDB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31.90</w:t>
            </w:r>
          </w:p>
        </w:tc>
      </w:tr>
      <w:tr w:rsidR="00DE62A3" w:rsidRPr="00DE62A3" w14:paraId="08AF16E9" w14:textId="77777777" w:rsidTr="00E9424C">
        <w:trPr>
          <w:trHeight w:val="290"/>
        </w:trPr>
        <w:tc>
          <w:tcPr>
            <w:tcW w:w="1700" w:type="dxa"/>
            <w:vMerge/>
            <w:tcBorders>
              <w:top w:val="single" w:sz="4" w:space="0" w:color="auto"/>
              <w:left w:val="nil"/>
              <w:bottom w:val="nil"/>
              <w:right w:val="nil"/>
            </w:tcBorders>
            <w:vAlign w:val="center"/>
            <w:hideMark/>
          </w:tcPr>
          <w:p w14:paraId="7F686C3B"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640D165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pH</w:t>
            </w:r>
          </w:p>
        </w:tc>
        <w:tc>
          <w:tcPr>
            <w:tcW w:w="960" w:type="dxa"/>
            <w:tcBorders>
              <w:top w:val="nil"/>
              <w:left w:val="nil"/>
              <w:bottom w:val="nil"/>
              <w:right w:val="nil"/>
            </w:tcBorders>
            <w:vAlign w:val="center"/>
            <w:hideMark/>
          </w:tcPr>
          <w:p w14:paraId="651EA14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3.83</w:t>
            </w:r>
          </w:p>
        </w:tc>
        <w:tc>
          <w:tcPr>
            <w:tcW w:w="960" w:type="dxa"/>
            <w:tcBorders>
              <w:top w:val="nil"/>
              <w:left w:val="nil"/>
              <w:bottom w:val="nil"/>
              <w:right w:val="nil"/>
            </w:tcBorders>
            <w:vAlign w:val="center"/>
            <w:hideMark/>
          </w:tcPr>
          <w:p w14:paraId="631F12C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4.76</w:t>
            </w:r>
          </w:p>
        </w:tc>
        <w:tc>
          <w:tcPr>
            <w:tcW w:w="2040" w:type="dxa"/>
            <w:tcBorders>
              <w:top w:val="nil"/>
              <w:left w:val="nil"/>
              <w:bottom w:val="nil"/>
              <w:right w:val="nil"/>
            </w:tcBorders>
            <w:vAlign w:val="center"/>
            <w:hideMark/>
          </w:tcPr>
          <w:p w14:paraId="3A20A6FA"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0.421</w:t>
            </w:r>
          </w:p>
        </w:tc>
        <w:tc>
          <w:tcPr>
            <w:tcW w:w="960" w:type="dxa"/>
            <w:tcBorders>
              <w:top w:val="nil"/>
              <w:left w:val="nil"/>
              <w:bottom w:val="nil"/>
              <w:right w:val="nil"/>
            </w:tcBorders>
            <w:vAlign w:val="center"/>
            <w:hideMark/>
          </w:tcPr>
          <w:p w14:paraId="11B2854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4.335</w:t>
            </w:r>
          </w:p>
        </w:tc>
      </w:tr>
      <w:tr w:rsidR="00DE62A3" w:rsidRPr="00DE62A3" w14:paraId="21FBD73F" w14:textId="77777777" w:rsidTr="00E9424C">
        <w:trPr>
          <w:trHeight w:val="290"/>
        </w:trPr>
        <w:tc>
          <w:tcPr>
            <w:tcW w:w="1700" w:type="dxa"/>
            <w:vMerge/>
            <w:tcBorders>
              <w:top w:val="single" w:sz="4" w:space="0" w:color="auto"/>
              <w:left w:val="nil"/>
              <w:bottom w:val="nil"/>
              <w:right w:val="nil"/>
            </w:tcBorders>
            <w:vAlign w:val="center"/>
            <w:hideMark/>
          </w:tcPr>
          <w:p w14:paraId="400EABA1"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0DDB282B"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Conductivity (µS/cm)</w:t>
            </w:r>
          </w:p>
        </w:tc>
        <w:tc>
          <w:tcPr>
            <w:tcW w:w="960" w:type="dxa"/>
            <w:tcBorders>
              <w:top w:val="nil"/>
              <w:left w:val="nil"/>
              <w:bottom w:val="nil"/>
              <w:right w:val="nil"/>
            </w:tcBorders>
            <w:vAlign w:val="center"/>
            <w:hideMark/>
          </w:tcPr>
          <w:p w14:paraId="2BA0A39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40.00</w:t>
            </w:r>
          </w:p>
        </w:tc>
        <w:tc>
          <w:tcPr>
            <w:tcW w:w="960" w:type="dxa"/>
            <w:tcBorders>
              <w:top w:val="nil"/>
              <w:left w:val="nil"/>
              <w:bottom w:val="nil"/>
              <w:right w:val="nil"/>
            </w:tcBorders>
            <w:vAlign w:val="center"/>
            <w:hideMark/>
          </w:tcPr>
          <w:p w14:paraId="4CB05A2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370.00</w:t>
            </w:r>
          </w:p>
        </w:tc>
        <w:tc>
          <w:tcPr>
            <w:tcW w:w="2040" w:type="dxa"/>
            <w:tcBorders>
              <w:top w:val="nil"/>
              <w:left w:val="nil"/>
              <w:bottom w:val="nil"/>
              <w:right w:val="nil"/>
            </w:tcBorders>
            <w:vAlign w:val="center"/>
            <w:hideMark/>
          </w:tcPr>
          <w:p w14:paraId="24806264"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139.28</w:t>
            </w:r>
          </w:p>
        </w:tc>
        <w:tc>
          <w:tcPr>
            <w:tcW w:w="960" w:type="dxa"/>
            <w:tcBorders>
              <w:top w:val="nil"/>
              <w:left w:val="nil"/>
              <w:bottom w:val="nil"/>
              <w:right w:val="nil"/>
            </w:tcBorders>
            <w:vAlign w:val="center"/>
            <w:hideMark/>
          </w:tcPr>
          <w:p w14:paraId="6C4B5B56"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230</w:t>
            </w:r>
          </w:p>
        </w:tc>
      </w:tr>
      <w:tr w:rsidR="00DE62A3" w:rsidRPr="00DE62A3" w14:paraId="6F320BD1" w14:textId="77777777" w:rsidTr="00E9424C">
        <w:trPr>
          <w:trHeight w:val="290"/>
        </w:trPr>
        <w:tc>
          <w:tcPr>
            <w:tcW w:w="1700" w:type="dxa"/>
            <w:vMerge w:val="restart"/>
            <w:tcBorders>
              <w:top w:val="single" w:sz="4" w:space="0" w:color="auto"/>
              <w:left w:val="nil"/>
              <w:bottom w:val="single" w:sz="4" w:space="0" w:color="000000"/>
              <w:right w:val="nil"/>
            </w:tcBorders>
            <w:vAlign w:val="center"/>
            <w:hideMark/>
          </w:tcPr>
          <w:p w14:paraId="557D6008" w14:textId="77777777" w:rsidR="00DE62A3" w:rsidRPr="00DE62A3" w:rsidRDefault="00DE62A3" w:rsidP="00E9424C">
            <w:pPr>
              <w:pStyle w:val="Body"/>
              <w:spacing w:after="0"/>
              <w:rPr>
                <w:rFonts w:ascii="Arial" w:hAnsi="Arial" w:cs="Arial"/>
                <w:b/>
                <w:lang w:val="en-GB"/>
              </w:rPr>
            </w:pPr>
            <w:r w:rsidRPr="00DE62A3">
              <w:rPr>
                <w:rFonts w:ascii="Arial" w:hAnsi="Arial" w:cs="Arial"/>
                <w:b/>
                <w:lang w:val="en-GB"/>
              </w:rPr>
              <w:t>Groundwater</w:t>
            </w:r>
          </w:p>
        </w:tc>
        <w:tc>
          <w:tcPr>
            <w:tcW w:w="2460" w:type="dxa"/>
            <w:tcBorders>
              <w:top w:val="single" w:sz="4" w:space="0" w:color="auto"/>
              <w:left w:val="nil"/>
              <w:bottom w:val="nil"/>
              <w:right w:val="nil"/>
            </w:tcBorders>
            <w:vAlign w:val="center"/>
            <w:hideMark/>
          </w:tcPr>
          <w:p w14:paraId="45D9EC12"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Temperature (°C)</w:t>
            </w:r>
          </w:p>
        </w:tc>
        <w:tc>
          <w:tcPr>
            <w:tcW w:w="960" w:type="dxa"/>
            <w:tcBorders>
              <w:top w:val="single" w:sz="4" w:space="0" w:color="auto"/>
              <w:left w:val="nil"/>
              <w:bottom w:val="nil"/>
              <w:right w:val="nil"/>
            </w:tcBorders>
            <w:vAlign w:val="center"/>
            <w:hideMark/>
          </w:tcPr>
          <w:p w14:paraId="54424E3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27.90</w:t>
            </w:r>
          </w:p>
        </w:tc>
        <w:tc>
          <w:tcPr>
            <w:tcW w:w="960" w:type="dxa"/>
            <w:tcBorders>
              <w:top w:val="single" w:sz="4" w:space="0" w:color="auto"/>
              <w:left w:val="nil"/>
              <w:bottom w:val="nil"/>
              <w:right w:val="nil"/>
            </w:tcBorders>
            <w:vAlign w:val="center"/>
            <w:hideMark/>
          </w:tcPr>
          <w:p w14:paraId="0EBFB8D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35.40</w:t>
            </w:r>
          </w:p>
        </w:tc>
        <w:tc>
          <w:tcPr>
            <w:tcW w:w="2040" w:type="dxa"/>
            <w:tcBorders>
              <w:top w:val="single" w:sz="4" w:space="0" w:color="auto"/>
              <w:left w:val="nil"/>
              <w:bottom w:val="nil"/>
              <w:right w:val="nil"/>
            </w:tcBorders>
            <w:vAlign w:val="center"/>
            <w:hideMark/>
          </w:tcPr>
          <w:p w14:paraId="6C224181"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3.20</w:t>
            </w:r>
          </w:p>
        </w:tc>
        <w:tc>
          <w:tcPr>
            <w:tcW w:w="960" w:type="dxa"/>
            <w:tcBorders>
              <w:top w:val="single" w:sz="4" w:space="0" w:color="auto"/>
              <w:left w:val="nil"/>
              <w:bottom w:val="nil"/>
              <w:right w:val="nil"/>
            </w:tcBorders>
            <w:vAlign w:val="center"/>
            <w:hideMark/>
          </w:tcPr>
          <w:p w14:paraId="7937DD4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31.03</w:t>
            </w:r>
          </w:p>
        </w:tc>
      </w:tr>
      <w:tr w:rsidR="00DE62A3" w:rsidRPr="00DE62A3" w14:paraId="1917E765" w14:textId="77777777" w:rsidTr="00E9424C">
        <w:trPr>
          <w:trHeight w:val="290"/>
        </w:trPr>
        <w:tc>
          <w:tcPr>
            <w:tcW w:w="1700" w:type="dxa"/>
            <w:vMerge/>
            <w:tcBorders>
              <w:top w:val="single" w:sz="4" w:space="0" w:color="auto"/>
              <w:left w:val="nil"/>
              <w:bottom w:val="single" w:sz="4" w:space="0" w:color="000000"/>
              <w:right w:val="nil"/>
            </w:tcBorders>
            <w:vAlign w:val="center"/>
            <w:hideMark/>
          </w:tcPr>
          <w:p w14:paraId="6DFC5552"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0462297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pH</w:t>
            </w:r>
          </w:p>
        </w:tc>
        <w:tc>
          <w:tcPr>
            <w:tcW w:w="960" w:type="dxa"/>
            <w:tcBorders>
              <w:top w:val="nil"/>
              <w:left w:val="nil"/>
              <w:bottom w:val="nil"/>
              <w:right w:val="nil"/>
            </w:tcBorders>
            <w:vAlign w:val="center"/>
            <w:hideMark/>
          </w:tcPr>
          <w:p w14:paraId="44DEA69B"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3.45</w:t>
            </w:r>
          </w:p>
        </w:tc>
        <w:tc>
          <w:tcPr>
            <w:tcW w:w="960" w:type="dxa"/>
            <w:tcBorders>
              <w:top w:val="nil"/>
              <w:left w:val="nil"/>
              <w:bottom w:val="nil"/>
              <w:right w:val="nil"/>
            </w:tcBorders>
            <w:vAlign w:val="center"/>
            <w:hideMark/>
          </w:tcPr>
          <w:p w14:paraId="2CAA6E5D"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5.06</w:t>
            </w:r>
          </w:p>
        </w:tc>
        <w:tc>
          <w:tcPr>
            <w:tcW w:w="2040" w:type="dxa"/>
            <w:tcBorders>
              <w:top w:val="nil"/>
              <w:left w:val="nil"/>
              <w:bottom w:val="nil"/>
              <w:right w:val="nil"/>
            </w:tcBorders>
            <w:vAlign w:val="center"/>
            <w:hideMark/>
          </w:tcPr>
          <w:p w14:paraId="2158A866"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0.58</w:t>
            </w:r>
          </w:p>
        </w:tc>
        <w:tc>
          <w:tcPr>
            <w:tcW w:w="960" w:type="dxa"/>
            <w:tcBorders>
              <w:top w:val="nil"/>
              <w:left w:val="nil"/>
              <w:bottom w:val="nil"/>
              <w:right w:val="nil"/>
            </w:tcBorders>
            <w:vAlign w:val="center"/>
            <w:hideMark/>
          </w:tcPr>
          <w:p w14:paraId="614116E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4.22</w:t>
            </w:r>
          </w:p>
        </w:tc>
      </w:tr>
      <w:tr w:rsidR="00DE62A3" w:rsidRPr="00DE62A3" w14:paraId="4FF14A6C" w14:textId="77777777" w:rsidTr="00E9424C">
        <w:trPr>
          <w:trHeight w:val="290"/>
        </w:trPr>
        <w:tc>
          <w:tcPr>
            <w:tcW w:w="1700" w:type="dxa"/>
            <w:vMerge/>
            <w:tcBorders>
              <w:top w:val="single" w:sz="4" w:space="0" w:color="auto"/>
              <w:left w:val="nil"/>
              <w:bottom w:val="single" w:sz="4" w:space="0" w:color="000000"/>
              <w:right w:val="nil"/>
            </w:tcBorders>
            <w:vAlign w:val="center"/>
            <w:hideMark/>
          </w:tcPr>
          <w:p w14:paraId="4514DADE"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single" w:sz="4" w:space="0" w:color="auto"/>
              <w:right w:val="nil"/>
            </w:tcBorders>
            <w:vAlign w:val="center"/>
            <w:hideMark/>
          </w:tcPr>
          <w:p w14:paraId="4C1D53E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Conductivity (µS/cm)</w:t>
            </w:r>
          </w:p>
        </w:tc>
        <w:tc>
          <w:tcPr>
            <w:tcW w:w="960" w:type="dxa"/>
            <w:tcBorders>
              <w:top w:val="nil"/>
              <w:left w:val="nil"/>
              <w:bottom w:val="single" w:sz="4" w:space="0" w:color="auto"/>
              <w:right w:val="nil"/>
            </w:tcBorders>
            <w:vAlign w:val="center"/>
            <w:hideMark/>
          </w:tcPr>
          <w:p w14:paraId="1C29D72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20.00</w:t>
            </w:r>
          </w:p>
        </w:tc>
        <w:tc>
          <w:tcPr>
            <w:tcW w:w="960" w:type="dxa"/>
            <w:tcBorders>
              <w:top w:val="nil"/>
              <w:left w:val="nil"/>
              <w:bottom w:val="single" w:sz="4" w:space="0" w:color="auto"/>
              <w:right w:val="nil"/>
            </w:tcBorders>
            <w:vAlign w:val="center"/>
            <w:hideMark/>
          </w:tcPr>
          <w:p w14:paraId="0C2F0EF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180.00</w:t>
            </w:r>
          </w:p>
        </w:tc>
        <w:tc>
          <w:tcPr>
            <w:tcW w:w="2040" w:type="dxa"/>
            <w:tcBorders>
              <w:top w:val="nil"/>
              <w:left w:val="nil"/>
              <w:bottom w:val="single" w:sz="4" w:space="0" w:color="auto"/>
              <w:right w:val="nil"/>
            </w:tcBorders>
            <w:vAlign w:val="center"/>
            <w:hideMark/>
          </w:tcPr>
          <w:p w14:paraId="045EDF5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60.25</w:t>
            </w:r>
          </w:p>
        </w:tc>
        <w:tc>
          <w:tcPr>
            <w:tcW w:w="960" w:type="dxa"/>
            <w:tcBorders>
              <w:top w:val="nil"/>
              <w:left w:val="nil"/>
              <w:bottom w:val="single" w:sz="4" w:space="0" w:color="auto"/>
              <w:right w:val="nil"/>
            </w:tcBorders>
            <w:vAlign w:val="center"/>
            <w:hideMark/>
          </w:tcPr>
          <w:p w14:paraId="46AC02B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75.00</w:t>
            </w:r>
          </w:p>
        </w:tc>
      </w:tr>
    </w:tbl>
    <w:p w14:paraId="76C0FB8E" w14:textId="77777777" w:rsidR="00E9424C" w:rsidRDefault="00E9424C" w:rsidP="00DE62A3">
      <w:pPr>
        <w:pStyle w:val="Body"/>
        <w:spacing w:after="0"/>
        <w:rPr>
          <w:rFonts w:ascii="Arial" w:hAnsi="Arial" w:cs="Arial"/>
          <w:lang w:val="en-GB"/>
        </w:rPr>
      </w:pPr>
    </w:p>
    <w:p w14:paraId="647F6D1F" w14:textId="77777777" w:rsidR="00DE62A3" w:rsidRDefault="00DE62A3" w:rsidP="00DE62A3">
      <w:pPr>
        <w:pStyle w:val="Body"/>
        <w:spacing w:after="0"/>
        <w:rPr>
          <w:rFonts w:ascii="Arial" w:hAnsi="Arial" w:cs="Arial"/>
          <w:lang w:val="en-GB"/>
        </w:rPr>
      </w:pPr>
      <w:r w:rsidRPr="00DE62A3">
        <w:rPr>
          <w:rFonts w:ascii="Arial" w:hAnsi="Arial" w:cs="Arial"/>
          <w:lang w:val="en-GB"/>
        </w:rPr>
        <w:t>Surface water temperatures ranged from 29.9 to 33.1°C, with an average of 31.90°C and a relatively low standard deviation of 1.395, indicating limited thermal variation between sites. This low range suggests that surface water temperature is mainly controlled by ambient temperature and solar radiation, with limited influence from site-specific factors. In contrast, groundwater temperatures showed greater variability, ranging from 27.9 to 35.4°C, with an average of 31.03°C and a higher standard deviation of 3.20. pH values indicate that both surface water and groundwater are acidic. The pH of surface water ranged from 3.83 to 4.76, with an average of 4.34 and a standard deviation of 0.421, while the pH of groundwater ranged from 3.45 to 5.06, with an average of 4.22 and a standard deviation of 0.58. The slightly higher variability of pH in groundwater suggests heterogeneity in the geochemical conditions of the subsoil. Electrical conductivity, which reflects the ion content and overall mineralization of water, shows notable differences between surface water and groundwater. Surface water has values ranging from 40 to 370 µS/cm, with an average of 230 µS/cm and a standard deviation of 139.28. Groundwater, on the other hand, has lower conductivity values, ranging from 20 to 180 µS/cm, with an average of 75 µS/cm and a standard deviation of 60.25, suggesting lower mineralization and reduced influence from surface contaminants.</w:t>
      </w:r>
    </w:p>
    <w:p w14:paraId="078A25E4" w14:textId="77777777" w:rsidR="00E9424C" w:rsidRPr="00DE62A3" w:rsidRDefault="00E9424C" w:rsidP="00DE62A3">
      <w:pPr>
        <w:pStyle w:val="Body"/>
        <w:spacing w:after="0"/>
        <w:rPr>
          <w:rFonts w:ascii="Arial" w:hAnsi="Arial" w:cs="Arial"/>
          <w:lang w:val="en-GB"/>
        </w:rPr>
      </w:pPr>
    </w:p>
    <w:p w14:paraId="59DC5752" w14:textId="77777777" w:rsidR="00A465DC" w:rsidRDefault="00E9424C" w:rsidP="00E9424C">
      <w:pPr>
        <w:pStyle w:val="Body"/>
        <w:spacing w:after="0"/>
        <w:rPr>
          <w:rFonts w:ascii="Arial" w:hAnsi="Arial" w:cs="Arial"/>
          <w:b/>
          <w:sz w:val="22"/>
          <w:lang w:val="en-GB"/>
        </w:rPr>
      </w:pPr>
      <w:r w:rsidRPr="00E9424C">
        <w:rPr>
          <w:rFonts w:ascii="Arial" w:hAnsi="Arial" w:cs="Arial"/>
          <w:b/>
          <w:sz w:val="22"/>
          <w:lang w:val="en-GB"/>
        </w:rPr>
        <w:t>3.</w:t>
      </w:r>
      <w:r w:rsidR="00060175">
        <w:rPr>
          <w:rFonts w:ascii="Arial" w:hAnsi="Arial" w:cs="Arial"/>
          <w:b/>
          <w:sz w:val="22"/>
          <w:lang w:val="en-GB"/>
        </w:rPr>
        <w:t>1.</w:t>
      </w:r>
      <w:r w:rsidRPr="00E9424C">
        <w:rPr>
          <w:rFonts w:ascii="Arial" w:hAnsi="Arial" w:cs="Arial"/>
          <w:b/>
          <w:sz w:val="22"/>
          <w:lang w:val="en-GB"/>
        </w:rPr>
        <w:t xml:space="preserve">2 </w:t>
      </w:r>
      <w:r w:rsidR="00DE62A3" w:rsidRPr="00E9424C">
        <w:rPr>
          <w:rFonts w:ascii="Arial" w:hAnsi="Arial" w:cs="Arial"/>
          <w:b/>
          <w:sz w:val="22"/>
          <w:lang w:val="en-GB"/>
        </w:rPr>
        <w:t xml:space="preserve">Water contamination by active molecules </w:t>
      </w:r>
    </w:p>
    <w:p w14:paraId="750EC72B" w14:textId="77777777" w:rsidR="00DE62A3" w:rsidRPr="00A465DC" w:rsidRDefault="00A465DC" w:rsidP="00A465DC">
      <w:pPr>
        <w:pStyle w:val="Body"/>
        <w:spacing w:after="0"/>
        <w:rPr>
          <w:rFonts w:ascii="Arial" w:hAnsi="Arial" w:cs="Arial"/>
          <w:b/>
          <w:i/>
          <w:lang w:val="en-GB"/>
        </w:rPr>
      </w:pPr>
      <w:r w:rsidRPr="00A465DC">
        <w:rPr>
          <w:rFonts w:ascii="Arial" w:hAnsi="Arial" w:cs="Arial"/>
          <w:b/>
          <w:i/>
          <w:lang w:val="en-GB"/>
        </w:rPr>
        <w:t xml:space="preserve">3.1.2.1 Water contamination by active molecules </w:t>
      </w:r>
      <w:r w:rsidR="00DE62A3" w:rsidRPr="00A465DC">
        <w:rPr>
          <w:rFonts w:ascii="Arial" w:hAnsi="Arial" w:cs="Arial"/>
          <w:b/>
          <w:i/>
          <w:lang w:val="en-GB"/>
        </w:rPr>
        <w:t>in surface water</w:t>
      </w:r>
    </w:p>
    <w:p w14:paraId="52FBA96B" w14:textId="77777777" w:rsidR="00E9424C" w:rsidRPr="00DE62A3" w:rsidRDefault="00E9424C" w:rsidP="00E9424C">
      <w:pPr>
        <w:pStyle w:val="Body"/>
        <w:spacing w:after="0"/>
        <w:rPr>
          <w:rFonts w:ascii="Arial" w:hAnsi="Arial" w:cs="Arial"/>
          <w:b/>
          <w:lang w:val="en-GB"/>
        </w:rPr>
      </w:pPr>
    </w:p>
    <w:p w14:paraId="1B9F3DD2" w14:textId="77777777" w:rsidR="00DE62A3" w:rsidRPr="00DE62A3" w:rsidRDefault="00DE62A3" w:rsidP="00E9424C">
      <w:pPr>
        <w:pStyle w:val="Body"/>
        <w:rPr>
          <w:rFonts w:ascii="Arial" w:hAnsi="Arial" w:cs="Arial"/>
          <w:lang w:val="en-GB"/>
        </w:rPr>
      </w:pPr>
      <w:r w:rsidRPr="00DE62A3">
        <w:rPr>
          <w:rFonts w:ascii="Arial" w:hAnsi="Arial" w:cs="Arial"/>
          <w:lang w:val="en-GB"/>
        </w:rPr>
        <w:t xml:space="preserve">Pesticide concentrations in surface water vary significantly depending on the family and molecules. Among insecticides, the maximum values recorded range from 0.01 µg/L for deltamethrin to 3.45 µg/L for chlorpyrifos –ethyl (Table 2). The averages indicate that the molecules most frequently detected at significant levels are chlorpyrifos -ethyl (1.17 µg/L) and dimethoate (0.83 µg/L), while deltamethrin and </w:t>
      </w:r>
      <w:proofErr w:type="spellStart"/>
      <w:r w:rsidRPr="00DE62A3">
        <w:rPr>
          <w:rFonts w:ascii="Arial" w:hAnsi="Arial" w:cs="Arial"/>
          <w:lang w:val="en-GB"/>
        </w:rPr>
        <w:t>carbosulfan</w:t>
      </w:r>
      <w:proofErr w:type="spellEnd"/>
      <w:r w:rsidRPr="00DE62A3">
        <w:rPr>
          <w:rFonts w:ascii="Arial" w:hAnsi="Arial" w:cs="Arial"/>
          <w:lang w:val="en-GB"/>
        </w:rPr>
        <w:t xml:space="preserve"> remain at very low levels (0.01 and 0.02 µg/L respectively). The relatively high standard deviations, particularly for </w:t>
      </w:r>
      <w:r w:rsidRPr="00DE62A3">
        <w:rPr>
          <w:rFonts w:ascii="Arial" w:hAnsi="Arial" w:cs="Arial"/>
          <w:lang w:val="en-GB"/>
        </w:rPr>
        <w:lastRenderedPageBreak/>
        <w:t xml:space="preserve">chlorpyrifos -ethyl (1.59) and parathion-ethyl (0.47), indicate high spatial or temporal variability. Herbicides follow a similar trend, with maximum levels observed for </w:t>
      </w:r>
      <w:proofErr w:type="spellStart"/>
      <w:r w:rsidRPr="00DE62A3">
        <w:rPr>
          <w:rFonts w:ascii="Arial" w:hAnsi="Arial" w:cs="Arial"/>
          <w:lang w:val="en-GB"/>
        </w:rPr>
        <w:t>terbutryn</w:t>
      </w:r>
      <w:proofErr w:type="spellEnd"/>
      <w:r w:rsidRPr="00DE62A3">
        <w:rPr>
          <w:rFonts w:ascii="Arial" w:hAnsi="Arial" w:cs="Arial"/>
          <w:lang w:val="en-GB"/>
        </w:rPr>
        <w:t xml:space="preserve"> (2.23 µg/L), atrazine, and </w:t>
      </w:r>
      <w:proofErr w:type="spellStart"/>
      <w:r w:rsidRPr="00DE62A3">
        <w:rPr>
          <w:rFonts w:ascii="Arial" w:hAnsi="Arial" w:cs="Arial"/>
          <w:lang w:val="en-GB"/>
        </w:rPr>
        <w:t>prometryn</w:t>
      </w:r>
      <w:proofErr w:type="spellEnd"/>
      <w:r w:rsidRPr="00DE62A3">
        <w:rPr>
          <w:rFonts w:ascii="Arial" w:hAnsi="Arial" w:cs="Arial"/>
          <w:lang w:val="en-GB"/>
        </w:rPr>
        <w:t xml:space="preserve"> (1.03 µg/L each). The averages reveal that certain molecules, such as </w:t>
      </w:r>
      <w:proofErr w:type="spellStart"/>
      <w:r w:rsidRPr="00DE62A3">
        <w:rPr>
          <w:rFonts w:ascii="Arial" w:hAnsi="Arial" w:cs="Arial"/>
          <w:lang w:val="en-GB"/>
        </w:rPr>
        <w:t>terbutryn</w:t>
      </w:r>
      <w:proofErr w:type="spellEnd"/>
      <w:r w:rsidRPr="00DE62A3">
        <w:rPr>
          <w:rFonts w:ascii="Arial" w:hAnsi="Arial" w:cs="Arial"/>
          <w:lang w:val="en-GB"/>
        </w:rPr>
        <w:t xml:space="preserve"> (0.56 µg/L) and </w:t>
      </w:r>
      <w:proofErr w:type="spellStart"/>
      <w:r w:rsidRPr="00DE62A3">
        <w:rPr>
          <w:rFonts w:ascii="Arial" w:hAnsi="Arial" w:cs="Arial"/>
          <w:lang w:val="en-GB"/>
        </w:rPr>
        <w:t>prometryn</w:t>
      </w:r>
      <w:proofErr w:type="spellEnd"/>
      <w:r w:rsidRPr="00DE62A3">
        <w:rPr>
          <w:rFonts w:ascii="Arial" w:hAnsi="Arial" w:cs="Arial"/>
          <w:lang w:val="en-GB"/>
        </w:rPr>
        <w:t xml:space="preserve"> (0.51 µg/L), are present at relatively high levels, while metazachlor (0.07 µg/L) and diuron (0.20 µg/L) appear in low concentrations. The high standard deviations for </w:t>
      </w:r>
      <w:proofErr w:type="spellStart"/>
      <w:r w:rsidRPr="00DE62A3">
        <w:rPr>
          <w:rFonts w:ascii="Arial" w:hAnsi="Arial" w:cs="Arial"/>
          <w:lang w:val="en-GB"/>
        </w:rPr>
        <w:t>terbutryn</w:t>
      </w:r>
      <w:proofErr w:type="spellEnd"/>
      <w:r w:rsidRPr="00DE62A3">
        <w:rPr>
          <w:rFonts w:ascii="Arial" w:hAnsi="Arial" w:cs="Arial"/>
          <w:lang w:val="en-GB"/>
        </w:rPr>
        <w:t xml:space="preserve"> (1.12 µg/L) and </w:t>
      </w:r>
      <w:proofErr w:type="spellStart"/>
      <w:r w:rsidRPr="00DE62A3">
        <w:rPr>
          <w:rFonts w:ascii="Arial" w:hAnsi="Arial" w:cs="Arial"/>
          <w:lang w:val="en-GB"/>
        </w:rPr>
        <w:t>prometryn</w:t>
      </w:r>
      <w:proofErr w:type="spellEnd"/>
      <w:r w:rsidRPr="00DE62A3">
        <w:rPr>
          <w:rFonts w:ascii="Arial" w:hAnsi="Arial" w:cs="Arial"/>
          <w:lang w:val="en-GB"/>
        </w:rPr>
        <w:t xml:space="preserve"> (0.53 µg/L) indicate a heterogeneous distribution, probably linked to localized agricultural applications or hydrological variations. Finally, the fungicide vinclozolin is detected at very low concentrations (mean 0.01 µg/L, standard deviation 0.01 µg/L), highlighting.</w:t>
      </w:r>
    </w:p>
    <w:p w14:paraId="471373DC" w14:textId="77777777" w:rsidR="00DE62A3" w:rsidRPr="00DE62A3" w:rsidRDefault="00DE62A3" w:rsidP="00E9424C">
      <w:pPr>
        <w:pStyle w:val="Body"/>
        <w:rPr>
          <w:rFonts w:ascii="Arial" w:hAnsi="Arial" w:cs="Arial"/>
          <w:iCs/>
          <w:lang w:val="en"/>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2</w:t>
      </w:r>
      <w:r w:rsidRPr="00DE62A3">
        <w:rPr>
          <w:rFonts w:ascii="Arial" w:hAnsi="Arial" w:cs="Arial"/>
        </w:rPr>
        <w:fldChar w:fldCharType="end"/>
      </w:r>
      <w:r w:rsidRPr="00DE62A3">
        <w:rPr>
          <w:rFonts w:ascii="Arial" w:hAnsi="Arial" w:cs="Arial"/>
          <w:iCs/>
          <w:lang w:val="en"/>
        </w:rPr>
        <w:t>: Summary Statistics of detected pesticides by family and compound in surface water</w:t>
      </w:r>
    </w:p>
    <w:tbl>
      <w:tblPr>
        <w:tblW w:w="9140" w:type="dxa"/>
        <w:jc w:val="center"/>
        <w:tblLook w:val="04A0" w:firstRow="1" w:lastRow="0" w:firstColumn="1" w:lastColumn="0" w:noHBand="0" w:noVBand="1"/>
      </w:tblPr>
      <w:tblGrid>
        <w:gridCol w:w="1940"/>
        <w:gridCol w:w="2160"/>
        <w:gridCol w:w="1300"/>
        <w:gridCol w:w="1220"/>
        <w:gridCol w:w="1220"/>
        <w:gridCol w:w="1300"/>
      </w:tblGrid>
      <w:tr w:rsidR="00DE62A3" w:rsidRPr="00DE62A3" w14:paraId="1A17F093" w14:textId="77777777" w:rsidTr="002D44DF">
        <w:trPr>
          <w:trHeight w:val="290"/>
          <w:jc w:val="center"/>
        </w:trPr>
        <w:tc>
          <w:tcPr>
            <w:tcW w:w="1940" w:type="dxa"/>
            <w:tcBorders>
              <w:top w:val="single" w:sz="4" w:space="0" w:color="auto"/>
              <w:left w:val="nil"/>
              <w:bottom w:val="nil"/>
              <w:right w:val="nil"/>
            </w:tcBorders>
            <w:vAlign w:val="center"/>
            <w:hideMark/>
          </w:tcPr>
          <w:p w14:paraId="50509F3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Pesticide Group</w:t>
            </w:r>
          </w:p>
        </w:tc>
        <w:tc>
          <w:tcPr>
            <w:tcW w:w="2160" w:type="dxa"/>
            <w:tcBorders>
              <w:top w:val="single" w:sz="4" w:space="0" w:color="auto"/>
              <w:left w:val="nil"/>
              <w:bottom w:val="nil"/>
              <w:right w:val="nil"/>
            </w:tcBorders>
            <w:vAlign w:val="center"/>
            <w:hideMark/>
          </w:tcPr>
          <w:p w14:paraId="3FF8776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Active Compound</w:t>
            </w:r>
          </w:p>
        </w:tc>
        <w:tc>
          <w:tcPr>
            <w:tcW w:w="1300" w:type="dxa"/>
            <w:tcBorders>
              <w:top w:val="single" w:sz="4" w:space="0" w:color="auto"/>
              <w:left w:val="nil"/>
              <w:bottom w:val="nil"/>
              <w:right w:val="nil"/>
            </w:tcBorders>
            <w:vAlign w:val="center"/>
            <w:hideMark/>
          </w:tcPr>
          <w:p w14:paraId="3A09079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Min (µg/L)</w:t>
            </w:r>
          </w:p>
        </w:tc>
        <w:tc>
          <w:tcPr>
            <w:tcW w:w="1220" w:type="dxa"/>
            <w:tcBorders>
              <w:top w:val="single" w:sz="4" w:space="0" w:color="auto"/>
              <w:left w:val="nil"/>
              <w:bottom w:val="nil"/>
              <w:right w:val="nil"/>
            </w:tcBorders>
            <w:vAlign w:val="center"/>
            <w:hideMark/>
          </w:tcPr>
          <w:p w14:paraId="077480DA"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Max (µg/L)</w:t>
            </w:r>
          </w:p>
        </w:tc>
        <w:tc>
          <w:tcPr>
            <w:tcW w:w="1220" w:type="dxa"/>
            <w:tcBorders>
              <w:top w:val="single" w:sz="4" w:space="0" w:color="auto"/>
              <w:left w:val="nil"/>
              <w:bottom w:val="nil"/>
              <w:right w:val="nil"/>
            </w:tcBorders>
            <w:vAlign w:val="center"/>
            <w:hideMark/>
          </w:tcPr>
          <w:p w14:paraId="1B7FD4A2"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SD (µg/L)</w:t>
            </w:r>
          </w:p>
        </w:tc>
        <w:tc>
          <w:tcPr>
            <w:tcW w:w="1300" w:type="dxa"/>
            <w:tcBorders>
              <w:top w:val="single" w:sz="4" w:space="0" w:color="auto"/>
              <w:left w:val="nil"/>
              <w:bottom w:val="nil"/>
              <w:right w:val="nil"/>
            </w:tcBorders>
            <w:vAlign w:val="center"/>
            <w:hideMark/>
          </w:tcPr>
          <w:p w14:paraId="120D0F7D"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Mean (µg/L)</w:t>
            </w:r>
          </w:p>
        </w:tc>
      </w:tr>
      <w:tr w:rsidR="00DE62A3" w:rsidRPr="00DE62A3" w14:paraId="211B26F5" w14:textId="77777777" w:rsidTr="002D44DF">
        <w:trPr>
          <w:trHeight w:val="290"/>
          <w:jc w:val="center"/>
        </w:trPr>
        <w:tc>
          <w:tcPr>
            <w:tcW w:w="1940" w:type="dxa"/>
            <w:vMerge w:val="restart"/>
            <w:tcBorders>
              <w:top w:val="single" w:sz="4" w:space="0" w:color="auto"/>
              <w:left w:val="nil"/>
              <w:bottom w:val="nil"/>
              <w:right w:val="nil"/>
            </w:tcBorders>
            <w:vAlign w:val="center"/>
            <w:hideMark/>
          </w:tcPr>
          <w:p w14:paraId="2374F9C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Insecticides</w:t>
            </w:r>
          </w:p>
        </w:tc>
        <w:tc>
          <w:tcPr>
            <w:tcW w:w="2160" w:type="dxa"/>
            <w:tcBorders>
              <w:top w:val="single" w:sz="4" w:space="0" w:color="auto"/>
              <w:left w:val="nil"/>
              <w:bottom w:val="nil"/>
              <w:right w:val="nil"/>
            </w:tcBorders>
            <w:vAlign w:val="center"/>
            <w:hideMark/>
          </w:tcPr>
          <w:p w14:paraId="599F91A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Parathion-methyl</w:t>
            </w:r>
          </w:p>
        </w:tc>
        <w:tc>
          <w:tcPr>
            <w:tcW w:w="1300" w:type="dxa"/>
            <w:tcBorders>
              <w:top w:val="single" w:sz="4" w:space="0" w:color="auto"/>
              <w:left w:val="nil"/>
              <w:bottom w:val="nil"/>
              <w:right w:val="nil"/>
            </w:tcBorders>
            <w:vAlign w:val="center"/>
            <w:hideMark/>
          </w:tcPr>
          <w:p w14:paraId="59A464C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single" w:sz="4" w:space="0" w:color="auto"/>
              <w:left w:val="nil"/>
              <w:bottom w:val="nil"/>
              <w:right w:val="nil"/>
            </w:tcBorders>
            <w:vAlign w:val="center"/>
            <w:hideMark/>
          </w:tcPr>
          <w:p w14:paraId="12BAF25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0.07</w:t>
            </w:r>
          </w:p>
        </w:tc>
        <w:tc>
          <w:tcPr>
            <w:tcW w:w="1220" w:type="dxa"/>
            <w:tcBorders>
              <w:top w:val="single" w:sz="4" w:space="0" w:color="auto"/>
              <w:left w:val="nil"/>
              <w:bottom w:val="nil"/>
              <w:right w:val="nil"/>
            </w:tcBorders>
            <w:vAlign w:val="center"/>
            <w:hideMark/>
          </w:tcPr>
          <w:p w14:paraId="28F001D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300" w:type="dxa"/>
            <w:tcBorders>
              <w:top w:val="single" w:sz="4" w:space="0" w:color="auto"/>
              <w:left w:val="nil"/>
              <w:bottom w:val="nil"/>
              <w:right w:val="nil"/>
            </w:tcBorders>
            <w:vAlign w:val="center"/>
            <w:hideMark/>
          </w:tcPr>
          <w:p w14:paraId="1A82A5B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r>
      <w:tr w:rsidR="00DE62A3" w:rsidRPr="00DE62A3" w14:paraId="41BEA5A7" w14:textId="77777777" w:rsidTr="002D44DF">
        <w:trPr>
          <w:trHeight w:val="290"/>
          <w:jc w:val="center"/>
        </w:trPr>
        <w:tc>
          <w:tcPr>
            <w:tcW w:w="1940" w:type="dxa"/>
            <w:vMerge/>
            <w:tcBorders>
              <w:top w:val="single" w:sz="4" w:space="0" w:color="auto"/>
              <w:left w:val="nil"/>
              <w:bottom w:val="nil"/>
              <w:right w:val="nil"/>
            </w:tcBorders>
            <w:vAlign w:val="center"/>
            <w:hideMark/>
          </w:tcPr>
          <w:p w14:paraId="29B24C90"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82FF5B2"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Chlorfenvinphos</w:t>
            </w:r>
            <w:proofErr w:type="spellEnd"/>
          </w:p>
        </w:tc>
        <w:tc>
          <w:tcPr>
            <w:tcW w:w="1300" w:type="dxa"/>
            <w:tcBorders>
              <w:top w:val="nil"/>
              <w:left w:val="nil"/>
              <w:bottom w:val="nil"/>
              <w:right w:val="nil"/>
            </w:tcBorders>
            <w:vAlign w:val="center"/>
            <w:hideMark/>
          </w:tcPr>
          <w:p w14:paraId="22F18F2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280D6458"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0.83</w:t>
            </w:r>
          </w:p>
        </w:tc>
        <w:tc>
          <w:tcPr>
            <w:tcW w:w="1220" w:type="dxa"/>
            <w:tcBorders>
              <w:top w:val="nil"/>
              <w:left w:val="nil"/>
              <w:bottom w:val="nil"/>
              <w:right w:val="nil"/>
            </w:tcBorders>
            <w:vAlign w:val="center"/>
            <w:hideMark/>
          </w:tcPr>
          <w:p w14:paraId="24CF5F0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300" w:type="dxa"/>
            <w:tcBorders>
              <w:top w:val="nil"/>
              <w:left w:val="nil"/>
              <w:bottom w:val="nil"/>
              <w:right w:val="nil"/>
            </w:tcBorders>
            <w:vAlign w:val="center"/>
            <w:hideMark/>
          </w:tcPr>
          <w:p w14:paraId="427C9DC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0.28</w:t>
            </w:r>
          </w:p>
        </w:tc>
      </w:tr>
      <w:tr w:rsidR="00DE62A3" w:rsidRPr="00DE62A3" w14:paraId="7EF3D25A" w14:textId="77777777" w:rsidTr="002D44DF">
        <w:trPr>
          <w:trHeight w:val="290"/>
          <w:jc w:val="center"/>
        </w:trPr>
        <w:tc>
          <w:tcPr>
            <w:tcW w:w="1940" w:type="dxa"/>
            <w:vMerge/>
            <w:tcBorders>
              <w:top w:val="single" w:sz="4" w:space="0" w:color="auto"/>
              <w:left w:val="nil"/>
              <w:bottom w:val="nil"/>
              <w:right w:val="nil"/>
            </w:tcBorders>
            <w:vAlign w:val="center"/>
            <w:hideMark/>
          </w:tcPr>
          <w:p w14:paraId="49E5CBE3"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0FCBA39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Parathion-ethyl</w:t>
            </w:r>
          </w:p>
        </w:tc>
        <w:tc>
          <w:tcPr>
            <w:tcW w:w="1300" w:type="dxa"/>
            <w:tcBorders>
              <w:top w:val="nil"/>
              <w:left w:val="nil"/>
              <w:bottom w:val="nil"/>
              <w:right w:val="nil"/>
            </w:tcBorders>
            <w:vAlign w:val="center"/>
            <w:hideMark/>
          </w:tcPr>
          <w:p w14:paraId="1250002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220" w:type="dxa"/>
            <w:tcBorders>
              <w:top w:val="nil"/>
              <w:left w:val="nil"/>
              <w:bottom w:val="nil"/>
              <w:right w:val="nil"/>
            </w:tcBorders>
            <w:vAlign w:val="center"/>
            <w:hideMark/>
          </w:tcPr>
          <w:p w14:paraId="222263E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0.95</w:t>
            </w:r>
          </w:p>
        </w:tc>
        <w:tc>
          <w:tcPr>
            <w:tcW w:w="1220" w:type="dxa"/>
            <w:tcBorders>
              <w:top w:val="nil"/>
              <w:left w:val="nil"/>
              <w:bottom w:val="nil"/>
              <w:right w:val="nil"/>
            </w:tcBorders>
            <w:vAlign w:val="center"/>
            <w:hideMark/>
          </w:tcPr>
          <w:p w14:paraId="1C608F2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0.47</w:t>
            </w:r>
          </w:p>
        </w:tc>
        <w:tc>
          <w:tcPr>
            <w:tcW w:w="1300" w:type="dxa"/>
            <w:tcBorders>
              <w:top w:val="nil"/>
              <w:left w:val="nil"/>
              <w:bottom w:val="nil"/>
              <w:right w:val="nil"/>
            </w:tcBorders>
            <w:vAlign w:val="center"/>
            <w:hideMark/>
          </w:tcPr>
          <w:p w14:paraId="3F60C860"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0.51</w:t>
            </w:r>
          </w:p>
        </w:tc>
      </w:tr>
      <w:tr w:rsidR="00DE62A3" w:rsidRPr="00DE62A3" w14:paraId="2B0D0589" w14:textId="77777777" w:rsidTr="002D44DF">
        <w:trPr>
          <w:trHeight w:val="290"/>
          <w:jc w:val="center"/>
        </w:trPr>
        <w:tc>
          <w:tcPr>
            <w:tcW w:w="1940" w:type="dxa"/>
            <w:vMerge/>
            <w:tcBorders>
              <w:top w:val="single" w:sz="4" w:space="0" w:color="auto"/>
              <w:left w:val="nil"/>
              <w:bottom w:val="nil"/>
              <w:right w:val="nil"/>
            </w:tcBorders>
            <w:vAlign w:val="center"/>
            <w:hideMark/>
          </w:tcPr>
          <w:p w14:paraId="6AD9D1D6"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4153E46C"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Profenofos</w:t>
            </w:r>
            <w:proofErr w:type="spellEnd"/>
          </w:p>
        </w:tc>
        <w:tc>
          <w:tcPr>
            <w:tcW w:w="1300" w:type="dxa"/>
            <w:tcBorders>
              <w:top w:val="nil"/>
              <w:left w:val="nil"/>
              <w:bottom w:val="nil"/>
              <w:right w:val="nil"/>
            </w:tcBorders>
            <w:vAlign w:val="center"/>
            <w:hideMark/>
          </w:tcPr>
          <w:p w14:paraId="4A6EC97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c>
          <w:tcPr>
            <w:tcW w:w="1220" w:type="dxa"/>
            <w:tcBorders>
              <w:top w:val="nil"/>
              <w:left w:val="nil"/>
              <w:bottom w:val="nil"/>
              <w:right w:val="nil"/>
            </w:tcBorders>
            <w:vAlign w:val="center"/>
            <w:hideMark/>
          </w:tcPr>
          <w:p w14:paraId="1732D57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0.91</w:t>
            </w:r>
          </w:p>
        </w:tc>
        <w:tc>
          <w:tcPr>
            <w:tcW w:w="1220" w:type="dxa"/>
            <w:tcBorders>
              <w:top w:val="nil"/>
              <w:left w:val="nil"/>
              <w:bottom w:val="nil"/>
              <w:right w:val="nil"/>
            </w:tcBorders>
            <w:vAlign w:val="center"/>
            <w:hideMark/>
          </w:tcPr>
          <w:p w14:paraId="1433C87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300" w:type="dxa"/>
            <w:tcBorders>
              <w:top w:val="nil"/>
              <w:left w:val="nil"/>
              <w:bottom w:val="nil"/>
              <w:right w:val="nil"/>
            </w:tcBorders>
            <w:vAlign w:val="center"/>
            <w:hideMark/>
          </w:tcPr>
          <w:p w14:paraId="219D4FD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0.36</w:t>
            </w:r>
          </w:p>
        </w:tc>
      </w:tr>
      <w:tr w:rsidR="00DE62A3" w:rsidRPr="00DE62A3" w14:paraId="3AD1C7DE" w14:textId="77777777" w:rsidTr="002D44DF">
        <w:trPr>
          <w:trHeight w:val="290"/>
          <w:jc w:val="center"/>
        </w:trPr>
        <w:tc>
          <w:tcPr>
            <w:tcW w:w="1940" w:type="dxa"/>
            <w:vMerge/>
            <w:tcBorders>
              <w:top w:val="single" w:sz="4" w:space="0" w:color="auto"/>
              <w:left w:val="nil"/>
              <w:bottom w:val="nil"/>
              <w:right w:val="nil"/>
            </w:tcBorders>
            <w:vAlign w:val="center"/>
            <w:hideMark/>
          </w:tcPr>
          <w:p w14:paraId="2D9A1A1C"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0BE866A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Dimethoate</w:t>
            </w:r>
          </w:p>
        </w:tc>
        <w:tc>
          <w:tcPr>
            <w:tcW w:w="1300" w:type="dxa"/>
            <w:tcBorders>
              <w:top w:val="nil"/>
              <w:left w:val="nil"/>
              <w:bottom w:val="nil"/>
              <w:right w:val="nil"/>
            </w:tcBorders>
            <w:vAlign w:val="center"/>
            <w:hideMark/>
          </w:tcPr>
          <w:p w14:paraId="6DB6331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220" w:type="dxa"/>
            <w:tcBorders>
              <w:top w:val="nil"/>
              <w:left w:val="nil"/>
              <w:bottom w:val="nil"/>
              <w:right w:val="nil"/>
            </w:tcBorders>
            <w:vAlign w:val="center"/>
            <w:hideMark/>
          </w:tcPr>
          <w:p w14:paraId="01D3A65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2FA14A7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0.31</w:t>
            </w:r>
          </w:p>
        </w:tc>
        <w:tc>
          <w:tcPr>
            <w:tcW w:w="1300" w:type="dxa"/>
            <w:tcBorders>
              <w:top w:val="nil"/>
              <w:left w:val="nil"/>
              <w:bottom w:val="nil"/>
              <w:right w:val="nil"/>
            </w:tcBorders>
            <w:vAlign w:val="center"/>
            <w:hideMark/>
          </w:tcPr>
          <w:p w14:paraId="59B2C8E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0.83</w:t>
            </w:r>
          </w:p>
        </w:tc>
      </w:tr>
      <w:tr w:rsidR="00DE62A3" w:rsidRPr="00DE62A3" w14:paraId="09264F86" w14:textId="77777777" w:rsidTr="002D44DF">
        <w:trPr>
          <w:trHeight w:val="290"/>
          <w:jc w:val="center"/>
        </w:trPr>
        <w:tc>
          <w:tcPr>
            <w:tcW w:w="1940" w:type="dxa"/>
            <w:vMerge/>
            <w:tcBorders>
              <w:top w:val="single" w:sz="4" w:space="0" w:color="auto"/>
              <w:left w:val="nil"/>
              <w:bottom w:val="nil"/>
              <w:right w:val="nil"/>
            </w:tcBorders>
            <w:vAlign w:val="center"/>
            <w:hideMark/>
          </w:tcPr>
          <w:p w14:paraId="1CED5ED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595C847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Chlorpyrifos-ethyl</w:t>
            </w:r>
          </w:p>
        </w:tc>
        <w:tc>
          <w:tcPr>
            <w:tcW w:w="1300" w:type="dxa"/>
            <w:tcBorders>
              <w:top w:val="nil"/>
              <w:left w:val="nil"/>
              <w:bottom w:val="nil"/>
              <w:right w:val="nil"/>
            </w:tcBorders>
            <w:vAlign w:val="center"/>
            <w:hideMark/>
          </w:tcPr>
          <w:p w14:paraId="4D51EC8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220" w:type="dxa"/>
            <w:tcBorders>
              <w:top w:val="nil"/>
              <w:left w:val="nil"/>
              <w:bottom w:val="nil"/>
              <w:right w:val="nil"/>
            </w:tcBorders>
            <w:vAlign w:val="center"/>
            <w:hideMark/>
          </w:tcPr>
          <w:p w14:paraId="5AEC763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3.45</w:t>
            </w:r>
          </w:p>
        </w:tc>
        <w:tc>
          <w:tcPr>
            <w:tcW w:w="1220" w:type="dxa"/>
            <w:tcBorders>
              <w:top w:val="nil"/>
              <w:left w:val="nil"/>
              <w:bottom w:val="nil"/>
              <w:right w:val="nil"/>
            </w:tcBorders>
            <w:vAlign w:val="center"/>
            <w:hideMark/>
          </w:tcPr>
          <w:p w14:paraId="3C81425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1.59</w:t>
            </w:r>
          </w:p>
        </w:tc>
        <w:tc>
          <w:tcPr>
            <w:tcW w:w="1300" w:type="dxa"/>
            <w:tcBorders>
              <w:top w:val="nil"/>
              <w:left w:val="nil"/>
              <w:bottom w:val="nil"/>
              <w:right w:val="nil"/>
            </w:tcBorders>
            <w:vAlign w:val="center"/>
            <w:hideMark/>
          </w:tcPr>
          <w:p w14:paraId="45DB4D0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1.17</w:t>
            </w:r>
          </w:p>
        </w:tc>
      </w:tr>
      <w:tr w:rsidR="00DE62A3" w:rsidRPr="00DE62A3" w14:paraId="067ED217" w14:textId="77777777" w:rsidTr="002D44DF">
        <w:trPr>
          <w:trHeight w:val="290"/>
          <w:jc w:val="center"/>
        </w:trPr>
        <w:tc>
          <w:tcPr>
            <w:tcW w:w="1940" w:type="dxa"/>
            <w:vMerge/>
            <w:tcBorders>
              <w:top w:val="single" w:sz="4" w:space="0" w:color="auto"/>
              <w:left w:val="nil"/>
              <w:bottom w:val="nil"/>
              <w:right w:val="nil"/>
            </w:tcBorders>
            <w:vAlign w:val="center"/>
            <w:hideMark/>
          </w:tcPr>
          <w:p w14:paraId="1DC57C95"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C491CBF"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Carbosulfan</w:t>
            </w:r>
            <w:proofErr w:type="spellEnd"/>
          </w:p>
        </w:tc>
        <w:tc>
          <w:tcPr>
            <w:tcW w:w="1300" w:type="dxa"/>
            <w:tcBorders>
              <w:top w:val="nil"/>
              <w:left w:val="nil"/>
              <w:bottom w:val="nil"/>
              <w:right w:val="nil"/>
            </w:tcBorders>
            <w:vAlign w:val="center"/>
            <w:hideMark/>
          </w:tcPr>
          <w:p w14:paraId="5BE0A33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53E1D73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0.04</w:t>
            </w:r>
          </w:p>
        </w:tc>
        <w:tc>
          <w:tcPr>
            <w:tcW w:w="1220" w:type="dxa"/>
            <w:tcBorders>
              <w:top w:val="nil"/>
              <w:left w:val="nil"/>
              <w:bottom w:val="nil"/>
              <w:right w:val="nil"/>
            </w:tcBorders>
            <w:vAlign w:val="center"/>
            <w:hideMark/>
          </w:tcPr>
          <w:p w14:paraId="1A0AEE5E"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300" w:type="dxa"/>
            <w:tcBorders>
              <w:top w:val="nil"/>
              <w:left w:val="nil"/>
              <w:bottom w:val="nil"/>
              <w:right w:val="nil"/>
            </w:tcBorders>
            <w:vAlign w:val="center"/>
            <w:hideMark/>
          </w:tcPr>
          <w:p w14:paraId="3067504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r>
      <w:tr w:rsidR="00DE62A3" w:rsidRPr="00DE62A3" w14:paraId="1BD80F2B" w14:textId="77777777" w:rsidTr="002D44DF">
        <w:trPr>
          <w:trHeight w:val="290"/>
          <w:jc w:val="center"/>
        </w:trPr>
        <w:tc>
          <w:tcPr>
            <w:tcW w:w="1940" w:type="dxa"/>
            <w:vMerge/>
            <w:tcBorders>
              <w:top w:val="single" w:sz="4" w:space="0" w:color="auto"/>
              <w:left w:val="nil"/>
              <w:bottom w:val="nil"/>
              <w:right w:val="nil"/>
            </w:tcBorders>
            <w:vAlign w:val="center"/>
            <w:hideMark/>
          </w:tcPr>
          <w:p w14:paraId="4A4E753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EF406B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Lambda-cyhalothrin</w:t>
            </w:r>
          </w:p>
        </w:tc>
        <w:tc>
          <w:tcPr>
            <w:tcW w:w="1300" w:type="dxa"/>
            <w:tcBorders>
              <w:top w:val="nil"/>
              <w:left w:val="nil"/>
              <w:bottom w:val="nil"/>
              <w:right w:val="nil"/>
            </w:tcBorders>
            <w:vAlign w:val="center"/>
            <w:hideMark/>
          </w:tcPr>
          <w:p w14:paraId="32B3643E"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220" w:type="dxa"/>
            <w:tcBorders>
              <w:top w:val="nil"/>
              <w:left w:val="nil"/>
              <w:bottom w:val="nil"/>
              <w:right w:val="nil"/>
            </w:tcBorders>
            <w:vAlign w:val="center"/>
            <w:hideMark/>
          </w:tcPr>
          <w:p w14:paraId="2719615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0.49</w:t>
            </w:r>
          </w:p>
        </w:tc>
        <w:tc>
          <w:tcPr>
            <w:tcW w:w="1220" w:type="dxa"/>
            <w:tcBorders>
              <w:top w:val="nil"/>
              <w:left w:val="nil"/>
              <w:bottom w:val="nil"/>
              <w:right w:val="nil"/>
            </w:tcBorders>
            <w:vAlign w:val="center"/>
            <w:hideMark/>
          </w:tcPr>
          <w:p w14:paraId="13B8E12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0.23</w:t>
            </w:r>
          </w:p>
        </w:tc>
        <w:tc>
          <w:tcPr>
            <w:tcW w:w="1300" w:type="dxa"/>
            <w:tcBorders>
              <w:top w:val="nil"/>
              <w:left w:val="nil"/>
              <w:bottom w:val="nil"/>
              <w:right w:val="nil"/>
            </w:tcBorders>
            <w:vAlign w:val="center"/>
            <w:hideMark/>
          </w:tcPr>
          <w:p w14:paraId="36A2BA7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r>
      <w:tr w:rsidR="00DE62A3" w:rsidRPr="00DE62A3" w14:paraId="02FA331A" w14:textId="77777777" w:rsidTr="002D44DF">
        <w:trPr>
          <w:trHeight w:val="290"/>
          <w:jc w:val="center"/>
        </w:trPr>
        <w:tc>
          <w:tcPr>
            <w:tcW w:w="1940" w:type="dxa"/>
            <w:vMerge/>
            <w:tcBorders>
              <w:top w:val="single" w:sz="4" w:space="0" w:color="auto"/>
              <w:left w:val="nil"/>
              <w:bottom w:val="nil"/>
              <w:right w:val="nil"/>
            </w:tcBorders>
            <w:vAlign w:val="center"/>
            <w:hideMark/>
          </w:tcPr>
          <w:p w14:paraId="4ACAB757"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5DE872D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Deltamethrin</w:t>
            </w:r>
          </w:p>
        </w:tc>
        <w:tc>
          <w:tcPr>
            <w:tcW w:w="1300" w:type="dxa"/>
            <w:tcBorders>
              <w:top w:val="nil"/>
              <w:left w:val="nil"/>
              <w:bottom w:val="nil"/>
              <w:right w:val="nil"/>
            </w:tcBorders>
            <w:vAlign w:val="center"/>
            <w:hideMark/>
          </w:tcPr>
          <w:p w14:paraId="3989E9E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7ADF60A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668B5AF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300" w:type="dxa"/>
            <w:tcBorders>
              <w:top w:val="nil"/>
              <w:left w:val="nil"/>
              <w:bottom w:val="nil"/>
              <w:right w:val="nil"/>
            </w:tcBorders>
            <w:vAlign w:val="center"/>
            <w:hideMark/>
          </w:tcPr>
          <w:p w14:paraId="0B2E1C2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r>
      <w:tr w:rsidR="00DE62A3" w:rsidRPr="00DE62A3" w14:paraId="00D622AA" w14:textId="77777777" w:rsidTr="002D44DF">
        <w:trPr>
          <w:trHeight w:val="290"/>
          <w:jc w:val="center"/>
        </w:trPr>
        <w:tc>
          <w:tcPr>
            <w:tcW w:w="1940" w:type="dxa"/>
            <w:vMerge w:val="restart"/>
            <w:tcBorders>
              <w:top w:val="single" w:sz="4" w:space="0" w:color="auto"/>
              <w:left w:val="nil"/>
              <w:bottom w:val="nil"/>
              <w:right w:val="nil"/>
            </w:tcBorders>
            <w:vAlign w:val="center"/>
            <w:hideMark/>
          </w:tcPr>
          <w:p w14:paraId="53870B6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Herbicides</w:t>
            </w:r>
          </w:p>
        </w:tc>
        <w:tc>
          <w:tcPr>
            <w:tcW w:w="2160" w:type="dxa"/>
            <w:tcBorders>
              <w:top w:val="single" w:sz="4" w:space="0" w:color="auto"/>
              <w:left w:val="nil"/>
              <w:bottom w:val="nil"/>
              <w:right w:val="nil"/>
            </w:tcBorders>
            <w:vAlign w:val="center"/>
            <w:hideMark/>
          </w:tcPr>
          <w:p w14:paraId="7ECCD5D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Metolachlor</w:t>
            </w:r>
          </w:p>
        </w:tc>
        <w:tc>
          <w:tcPr>
            <w:tcW w:w="1300" w:type="dxa"/>
            <w:tcBorders>
              <w:top w:val="single" w:sz="4" w:space="0" w:color="auto"/>
              <w:left w:val="nil"/>
              <w:bottom w:val="nil"/>
              <w:right w:val="nil"/>
            </w:tcBorders>
            <w:vAlign w:val="center"/>
            <w:hideMark/>
          </w:tcPr>
          <w:p w14:paraId="13349A2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220" w:type="dxa"/>
            <w:tcBorders>
              <w:top w:val="single" w:sz="4" w:space="0" w:color="auto"/>
              <w:left w:val="nil"/>
              <w:bottom w:val="nil"/>
              <w:right w:val="nil"/>
            </w:tcBorders>
            <w:vAlign w:val="center"/>
            <w:hideMark/>
          </w:tcPr>
          <w:p w14:paraId="6409DC1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0.71</w:t>
            </w:r>
          </w:p>
        </w:tc>
        <w:tc>
          <w:tcPr>
            <w:tcW w:w="1220" w:type="dxa"/>
            <w:tcBorders>
              <w:top w:val="single" w:sz="4" w:space="0" w:color="auto"/>
              <w:left w:val="nil"/>
              <w:bottom w:val="nil"/>
              <w:right w:val="nil"/>
            </w:tcBorders>
            <w:vAlign w:val="center"/>
            <w:hideMark/>
          </w:tcPr>
          <w:p w14:paraId="694D8B70"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0.30</w:t>
            </w:r>
          </w:p>
        </w:tc>
        <w:tc>
          <w:tcPr>
            <w:tcW w:w="1300" w:type="dxa"/>
            <w:tcBorders>
              <w:top w:val="single" w:sz="4" w:space="0" w:color="auto"/>
              <w:left w:val="nil"/>
              <w:bottom w:val="nil"/>
              <w:right w:val="nil"/>
            </w:tcBorders>
            <w:vAlign w:val="center"/>
            <w:hideMark/>
          </w:tcPr>
          <w:p w14:paraId="5EEB382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0.29</w:t>
            </w:r>
          </w:p>
        </w:tc>
      </w:tr>
      <w:tr w:rsidR="00DE62A3" w:rsidRPr="00DE62A3" w14:paraId="7DD22482" w14:textId="77777777" w:rsidTr="002D44DF">
        <w:trPr>
          <w:trHeight w:val="290"/>
          <w:jc w:val="center"/>
        </w:trPr>
        <w:tc>
          <w:tcPr>
            <w:tcW w:w="1940" w:type="dxa"/>
            <w:vMerge/>
            <w:tcBorders>
              <w:top w:val="single" w:sz="4" w:space="0" w:color="auto"/>
              <w:left w:val="nil"/>
              <w:bottom w:val="nil"/>
              <w:right w:val="nil"/>
            </w:tcBorders>
            <w:vAlign w:val="center"/>
            <w:hideMark/>
          </w:tcPr>
          <w:p w14:paraId="31FC75D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D41F87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Metazachlor</w:t>
            </w:r>
          </w:p>
        </w:tc>
        <w:tc>
          <w:tcPr>
            <w:tcW w:w="1300" w:type="dxa"/>
            <w:tcBorders>
              <w:top w:val="nil"/>
              <w:left w:val="nil"/>
              <w:bottom w:val="nil"/>
              <w:right w:val="nil"/>
            </w:tcBorders>
            <w:vAlign w:val="center"/>
            <w:hideMark/>
          </w:tcPr>
          <w:p w14:paraId="26E61BD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64C74CE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0.13</w:t>
            </w:r>
          </w:p>
        </w:tc>
        <w:tc>
          <w:tcPr>
            <w:tcW w:w="1220" w:type="dxa"/>
            <w:tcBorders>
              <w:top w:val="nil"/>
              <w:left w:val="nil"/>
              <w:bottom w:val="nil"/>
              <w:right w:val="nil"/>
            </w:tcBorders>
            <w:vAlign w:val="center"/>
            <w:hideMark/>
          </w:tcPr>
          <w:p w14:paraId="4CDE9B3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0.05</w:t>
            </w:r>
          </w:p>
        </w:tc>
        <w:tc>
          <w:tcPr>
            <w:tcW w:w="1300" w:type="dxa"/>
            <w:tcBorders>
              <w:top w:val="nil"/>
              <w:left w:val="nil"/>
              <w:bottom w:val="nil"/>
              <w:right w:val="nil"/>
            </w:tcBorders>
            <w:vAlign w:val="center"/>
            <w:hideMark/>
          </w:tcPr>
          <w:p w14:paraId="12F5E155"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0.07</w:t>
            </w:r>
          </w:p>
        </w:tc>
      </w:tr>
      <w:tr w:rsidR="00DE62A3" w:rsidRPr="00DE62A3" w14:paraId="23F77432" w14:textId="77777777" w:rsidTr="002D44DF">
        <w:trPr>
          <w:trHeight w:val="290"/>
          <w:jc w:val="center"/>
        </w:trPr>
        <w:tc>
          <w:tcPr>
            <w:tcW w:w="1940" w:type="dxa"/>
            <w:vMerge/>
            <w:tcBorders>
              <w:top w:val="single" w:sz="4" w:space="0" w:color="auto"/>
              <w:left w:val="nil"/>
              <w:bottom w:val="nil"/>
              <w:right w:val="nil"/>
            </w:tcBorders>
            <w:vAlign w:val="center"/>
            <w:hideMark/>
          </w:tcPr>
          <w:p w14:paraId="01CF9CFF"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14C6893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Atrazine</w:t>
            </w:r>
          </w:p>
        </w:tc>
        <w:tc>
          <w:tcPr>
            <w:tcW w:w="1300" w:type="dxa"/>
            <w:tcBorders>
              <w:top w:val="nil"/>
              <w:left w:val="nil"/>
              <w:bottom w:val="nil"/>
              <w:right w:val="nil"/>
            </w:tcBorders>
            <w:vAlign w:val="center"/>
            <w:hideMark/>
          </w:tcPr>
          <w:p w14:paraId="1F8B3E75"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3BE7C47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4568679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0.48</w:t>
            </w:r>
          </w:p>
        </w:tc>
        <w:tc>
          <w:tcPr>
            <w:tcW w:w="1300" w:type="dxa"/>
            <w:tcBorders>
              <w:top w:val="nil"/>
              <w:left w:val="nil"/>
              <w:bottom w:val="nil"/>
              <w:right w:val="nil"/>
            </w:tcBorders>
            <w:vAlign w:val="center"/>
            <w:hideMark/>
          </w:tcPr>
          <w:p w14:paraId="515AD05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0.33</w:t>
            </w:r>
          </w:p>
        </w:tc>
      </w:tr>
      <w:tr w:rsidR="00DE62A3" w:rsidRPr="00DE62A3" w14:paraId="08589F4A" w14:textId="77777777" w:rsidTr="002D44DF">
        <w:trPr>
          <w:trHeight w:val="290"/>
          <w:jc w:val="center"/>
        </w:trPr>
        <w:tc>
          <w:tcPr>
            <w:tcW w:w="1940" w:type="dxa"/>
            <w:vMerge/>
            <w:tcBorders>
              <w:top w:val="single" w:sz="4" w:space="0" w:color="auto"/>
              <w:left w:val="nil"/>
              <w:bottom w:val="nil"/>
              <w:right w:val="nil"/>
            </w:tcBorders>
            <w:vAlign w:val="center"/>
            <w:hideMark/>
          </w:tcPr>
          <w:p w14:paraId="67316CC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6E277E49"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Prometryne</w:t>
            </w:r>
            <w:proofErr w:type="spellEnd"/>
          </w:p>
        </w:tc>
        <w:tc>
          <w:tcPr>
            <w:tcW w:w="1300" w:type="dxa"/>
            <w:tcBorders>
              <w:top w:val="nil"/>
              <w:left w:val="nil"/>
              <w:bottom w:val="nil"/>
              <w:right w:val="nil"/>
            </w:tcBorders>
            <w:vAlign w:val="center"/>
            <w:hideMark/>
          </w:tcPr>
          <w:p w14:paraId="7C24AED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0.04</w:t>
            </w:r>
          </w:p>
        </w:tc>
        <w:tc>
          <w:tcPr>
            <w:tcW w:w="1220" w:type="dxa"/>
            <w:tcBorders>
              <w:top w:val="nil"/>
              <w:left w:val="nil"/>
              <w:bottom w:val="nil"/>
              <w:right w:val="nil"/>
            </w:tcBorders>
            <w:vAlign w:val="center"/>
            <w:hideMark/>
          </w:tcPr>
          <w:p w14:paraId="2654D69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1FB9EA6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0.53</w:t>
            </w:r>
          </w:p>
        </w:tc>
        <w:tc>
          <w:tcPr>
            <w:tcW w:w="1300" w:type="dxa"/>
            <w:tcBorders>
              <w:top w:val="nil"/>
              <w:left w:val="nil"/>
              <w:bottom w:val="nil"/>
              <w:right w:val="nil"/>
            </w:tcBorders>
            <w:vAlign w:val="center"/>
            <w:hideMark/>
          </w:tcPr>
          <w:p w14:paraId="3A63239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0.51</w:t>
            </w:r>
          </w:p>
        </w:tc>
      </w:tr>
      <w:tr w:rsidR="00DE62A3" w:rsidRPr="00DE62A3" w14:paraId="7CF14B56" w14:textId="77777777" w:rsidTr="002D44DF">
        <w:trPr>
          <w:trHeight w:val="290"/>
          <w:jc w:val="center"/>
        </w:trPr>
        <w:tc>
          <w:tcPr>
            <w:tcW w:w="1940" w:type="dxa"/>
            <w:vMerge/>
            <w:tcBorders>
              <w:top w:val="single" w:sz="4" w:space="0" w:color="auto"/>
              <w:left w:val="nil"/>
              <w:bottom w:val="nil"/>
              <w:right w:val="nil"/>
            </w:tcBorders>
            <w:vAlign w:val="center"/>
            <w:hideMark/>
          </w:tcPr>
          <w:p w14:paraId="4AE3880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15E6BD47"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Terbutryn</w:t>
            </w:r>
            <w:proofErr w:type="spellEnd"/>
          </w:p>
        </w:tc>
        <w:tc>
          <w:tcPr>
            <w:tcW w:w="1300" w:type="dxa"/>
            <w:tcBorders>
              <w:top w:val="nil"/>
              <w:left w:val="nil"/>
              <w:bottom w:val="nil"/>
              <w:right w:val="nil"/>
            </w:tcBorders>
            <w:vAlign w:val="center"/>
            <w:hideMark/>
          </w:tcPr>
          <w:p w14:paraId="4FF817D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7BB89FF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2.23</w:t>
            </w:r>
          </w:p>
        </w:tc>
        <w:tc>
          <w:tcPr>
            <w:tcW w:w="1220" w:type="dxa"/>
            <w:tcBorders>
              <w:top w:val="nil"/>
              <w:left w:val="nil"/>
              <w:bottom w:val="nil"/>
              <w:right w:val="nil"/>
            </w:tcBorders>
            <w:vAlign w:val="center"/>
            <w:hideMark/>
          </w:tcPr>
          <w:p w14:paraId="74DEFF9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1.12</w:t>
            </w:r>
          </w:p>
        </w:tc>
        <w:tc>
          <w:tcPr>
            <w:tcW w:w="1300" w:type="dxa"/>
            <w:tcBorders>
              <w:top w:val="nil"/>
              <w:left w:val="nil"/>
              <w:bottom w:val="nil"/>
              <w:right w:val="nil"/>
            </w:tcBorders>
            <w:vAlign w:val="center"/>
            <w:hideMark/>
          </w:tcPr>
          <w:p w14:paraId="2A00D4D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0.56</w:t>
            </w:r>
          </w:p>
        </w:tc>
      </w:tr>
      <w:tr w:rsidR="00DE62A3" w:rsidRPr="00DE62A3" w14:paraId="4D1C1AC4" w14:textId="77777777" w:rsidTr="002D44DF">
        <w:trPr>
          <w:trHeight w:val="290"/>
          <w:jc w:val="center"/>
        </w:trPr>
        <w:tc>
          <w:tcPr>
            <w:tcW w:w="1940" w:type="dxa"/>
            <w:vMerge/>
            <w:tcBorders>
              <w:top w:val="single" w:sz="4" w:space="0" w:color="auto"/>
              <w:left w:val="nil"/>
              <w:bottom w:val="nil"/>
              <w:right w:val="nil"/>
            </w:tcBorders>
            <w:vAlign w:val="center"/>
            <w:hideMark/>
          </w:tcPr>
          <w:p w14:paraId="4FE41448"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7BEAF9A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Diuron</w:t>
            </w:r>
          </w:p>
        </w:tc>
        <w:tc>
          <w:tcPr>
            <w:tcW w:w="1300" w:type="dxa"/>
            <w:tcBorders>
              <w:top w:val="nil"/>
              <w:left w:val="nil"/>
              <w:bottom w:val="nil"/>
              <w:right w:val="nil"/>
            </w:tcBorders>
            <w:vAlign w:val="center"/>
            <w:hideMark/>
          </w:tcPr>
          <w:p w14:paraId="007954C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0.09</w:t>
            </w:r>
          </w:p>
        </w:tc>
        <w:tc>
          <w:tcPr>
            <w:tcW w:w="1220" w:type="dxa"/>
            <w:tcBorders>
              <w:top w:val="nil"/>
              <w:left w:val="nil"/>
              <w:bottom w:val="nil"/>
              <w:right w:val="nil"/>
            </w:tcBorders>
            <w:vAlign w:val="center"/>
            <w:hideMark/>
          </w:tcPr>
          <w:p w14:paraId="49B6956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0.42</w:t>
            </w:r>
          </w:p>
        </w:tc>
        <w:tc>
          <w:tcPr>
            <w:tcW w:w="1220" w:type="dxa"/>
            <w:tcBorders>
              <w:top w:val="nil"/>
              <w:left w:val="nil"/>
              <w:bottom w:val="nil"/>
              <w:right w:val="nil"/>
            </w:tcBorders>
            <w:vAlign w:val="center"/>
            <w:hideMark/>
          </w:tcPr>
          <w:p w14:paraId="7C8FAB2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c>
          <w:tcPr>
            <w:tcW w:w="1300" w:type="dxa"/>
            <w:tcBorders>
              <w:top w:val="nil"/>
              <w:left w:val="nil"/>
              <w:bottom w:val="nil"/>
              <w:right w:val="nil"/>
            </w:tcBorders>
            <w:vAlign w:val="center"/>
            <w:hideMark/>
          </w:tcPr>
          <w:p w14:paraId="2EA6B93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0.20</w:t>
            </w:r>
          </w:p>
        </w:tc>
      </w:tr>
      <w:tr w:rsidR="00DE62A3" w:rsidRPr="00DE62A3" w14:paraId="1A82884D" w14:textId="77777777" w:rsidTr="002D44DF">
        <w:trPr>
          <w:trHeight w:val="290"/>
          <w:jc w:val="center"/>
        </w:trPr>
        <w:tc>
          <w:tcPr>
            <w:tcW w:w="1940" w:type="dxa"/>
            <w:tcBorders>
              <w:top w:val="single" w:sz="4" w:space="0" w:color="auto"/>
              <w:left w:val="nil"/>
              <w:bottom w:val="single" w:sz="4" w:space="0" w:color="auto"/>
              <w:right w:val="nil"/>
            </w:tcBorders>
            <w:vAlign w:val="center"/>
            <w:hideMark/>
          </w:tcPr>
          <w:p w14:paraId="4A3BBC5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Fungicide</w:t>
            </w:r>
          </w:p>
        </w:tc>
        <w:tc>
          <w:tcPr>
            <w:tcW w:w="2160" w:type="dxa"/>
            <w:tcBorders>
              <w:top w:val="single" w:sz="4" w:space="0" w:color="auto"/>
              <w:left w:val="nil"/>
              <w:bottom w:val="single" w:sz="4" w:space="0" w:color="auto"/>
              <w:right w:val="nil"/>
            </w:tcBorders>
            <w:vAlign w:val="center"/>
            <w:hideMark/>
          </w:tcPr>
          <w:p w14:paraId="70B598C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Vinclozolin</w:t>
            </w:r>
          </w:p>
        </w:tc>
        <w:tc>
          <w:tcPr>
            <w:tcW w:w="1300" w:type="dxa"/>
            <w:tcBorders>
              <w:top w:val="single" w:sz="4" w:space="0" w:color="auto"/>
              <w:left w:val="nil"/>
              <w:bottom w:val="single" w:sz="4" w:space="0" w:color="auto"/>
              <w:right w:val="nil"/>
            </w:tcBorders>
            <w:vAlign w:val="center"/>
            <w:hideMark/>
          </w:tcPr>
          <w:p w14:paraId="01B3844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single" w:sz="4" w:space="0" w:color="auto"/>
              <w:left w:val="nil"/>
              <w:bottom w:val="single" w:sz="4" w:space="0" w:color="auto"/>
              <w:right w:val="nil"/>
            </w:tcBorders>
            <w:vAlign w:val="center"/>
            <w:hideMark/>
          </w:tcPr>
          <w:p w14:paraId="5EE589A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single" w:sz="4" w:space="0" w:color="auto"/>
              <w:left w:val="nil"/>
              <w:bottom w:val="single" w:sz="4" w:space="0" w:color="auto"/>
              <w:right w:val="nil"/>
            </w:tcBorders>
            <w:vAlign w:val="center"/>
            <w:hideMark/>
          </w:tcPr>
          <w:p w14:paraId="26DEB5E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300" w:type="dxa"/>
            <w:tcBorders>
              <w:top w:val="single" w:sz="4" w:space="0" w:color="auto"/>
              <w:left w:val="nil"/>
              <w:bottom w:val="single" w:sz="4" w:space="0" w:color="auto"/>
              <w:right w:val="nil"/>
            </w:tcBorders>
            <w:vAlign w:val="center"/>
            <w:hideMark/>
          </w:tcPr>
          <w:p w14:paraId="48F5D89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r>
    </w:tbl>
    <w:p w14:paraId="1CB39FFB" w14:textId="77777777" w:rsidR="00DE62A3" w:rsidRPr="00DE62A3" w:rsidRDefault="00DE62A3" w:rsidP="00DE62A3">
      <w:pPr>
        <w:pStyle w:val="Body"/>
        <w:spacing w:after="0"/>
        <w:rPr>
          <w:rFonts w:ascii="Arial" w:hAnsi="Arial" w:cs="Arial"/>
          <w:b/>
          <w:lang w:val="en-GB"/>
        </w:rPr>
      </w:pPr>
    </w:p>
    <w:p w14:paraId="320D27E4" w14:textId="77777777" w:rsidR="00DE62A3" w:rsidRPr="00A465DC" w:rsidRDefault="00E9424C" w:rsidP="00E9424C">
      <w:pPr>
        <w:pStyle w:val="Body"/>
        <w:spacing w:after="0"/>
        <w:rPr>
          <w:rFonts w:ascii="Arial" w:hAnsi="Arial" w:cs="Arial"/>
          <w:b/>
          <w:i/>
          <w:lang w:val="en-GB"/>
        </w:rPr>
      </w:pPr>
      <w:r w:rsidRPr="00A465DC">
        <w:rPr>
          <w:rFonts w:ascii="Arial" w:hAnsi="Arial" w:cs="Arial"/>
          <w:b/>
          <w:i/>
          <w:lang w:val="en-GB"/>
        </w:rPr>
        <w:t>3.</w:t>
      </w:r>
      <w:r w:rsidR="00A465DC" w:rsidRPr="00A465DC">
        <w:rPr>
          <w:rFonts w:ascii="Arial" w:hAnsi="Arial" w:cs="Arial"/>
          <w:b/>
          <w:i/>
          <w:lang w:val="en-GB"/>
        </w:rPr>
        <w:t>1.2.2</w:t>
      </w:r>
      <w:r w:rsidRPr="00A465DC">
        <w:rPr>
          <w:rFonts w:ascii="Arial" w:hAnsi="Arial" w:cs="Arial"/>
          <w:b/>
          <w:i/>
          <w:lang w:val="en-GB"/>
        </w:rPr>
        <w:t xml:space="preserve"> </w:t>
      </w:r>
      <w:r w:rsidR="00DE62A3" w:rsidRPr="00A465DC">
        <w:rPr>
          <w:rFonts w:ascii="Arial" w:hAnsi="Arial" w:cs="Arial"/>
          <w:b/>
          <w:i/>
          <w:lang w:val="en-GB"/>
        </w:rPr>
        <w:t>Concentration of active molecules in groundwater</w:t>
      </w:r>
    </w:p>
    <w:p w14:paraId="3DC02926" w14:textId="77777777" w:rsidR="00E9424C" w:rsidRPr="00DE62A3" w:rsidRDefault="00E9424C" w:rsidP="00E9424C">
      <w:pPr>
        <w:pStyle w:val="Body"/>
        <w:spacing w:after="0"/>
        <w:rPr>
          <w:rFonts w:ascii="Arial" w:hAnsi="Arial" w:cs="Arial"/>
          <w:b/>
          <w:lang w:val="en-GB"/>
        </w:rPr>
      </w:pPr>
    </w:p>
    <w:p w14:paraId="0FF7700C" w14:textId="77777777" w:rsidR="00DE62A3" w:rsidRDefault="00DE62A3" w:rsidP="00DE62A3">
      <w:pPr>
        <w:pStyle w:val="Body"/>
        <w:spacing w:after="0"/>
        <w:rPr>
          <w:rFonts w:ascii="Arial" w:hAnsi="Arial" w:cs="Arial"/>
          <w:lang w:val="en"/>
        </w:rPr>
      </w:pPr>
      <w:r w:rsidRPr="00DE62A3">
        <w:rPr>
          <w:rFonts w:ascii="Arial" w:hAnsi="Arial" w:cs="Arial"/>
          <w:lang w:val="en-GB"/>
        </w:rPr>
        <w:t xml:space="preserve">Pesticide concentrations in groundwater are generally low, but vary considerably depending on the molecule. Among insecticides, the highest concentrations are observed for </w:t>
      </w:r>
      <w:proofErr w:type="spellStart"/>
      <w:r w:rsidRPr="00DE62A3">
        <w:rPr>
          <w:rFonts w:ascii="Arial" w:hAnsi="Arial" w:cs="Arial"/>
          <w:lang w:val="en-GB"/>
        </w:rPr>
        <w:t>profenofos</w:t>
      </w:r>
      <w:proofErr w:type="spellEnd"/>
      <w:r w:rsidRPr="00DE62A3">
        <w:rPr>
          <w:rFonts w:ascii="Arial" w:hAnsi="Arial" w:cs="Arial"/>
          <w:lang w:val="en-GB"/>
        </w:rPr>
        <w:t xml:space="preserve"> (1.04 µg/L) and dimethoate (1.022 µg/L), while molecules such as deltamethrin and lambda- cyhalothrin have very low values (0.02 and 0.021 µg/L, respectively) (Table 3). The averages confirm this disparity: dimethoate (0.685 µg/L) and </w:t>
      </w:r>
      <w:proofErr w:type="spellStart"/>
      <w:r w:rsidRPr="00DE62A3">
        <w:rPr>
          <w:rFonts w:ascii="Arial" w:hAnsi="Arial" w:cs="Arial"/>
          <w:lang w:val="en-GB"/>
        </w:rPr>
        <w:t>profenofos</w:t>
      </w:r>
      <w:proofErr w:type="spellEnd"/>
      <w:r w:rsidRPr="00DE62A3">
        <w:rPr>
          <w:rFonts w:ascii="Arial" w:hAnsi="Arial" w:cs="Arial"/>
          <w:lang w:val="en-GB"/>
        </w:rPr>
        <w:t xml:space="preserve"> (0.428 µg/L) appear to be the most significantly present insecticides, while deltamethrin and parathion-methyl remain virtually negligible (0.003 and 0.004 µg/L). The high standard deviations for certain molecules, particularly </w:t>
      </w:r>
      <w:proofErr w:type="spellStart"/>
      <w:r w:rsidRPr="00DE62A3">
        <w:rPr>
          <w:rFonts w:ascii="Arial" w:hAnsi="Arial" w:cs="Arial"/>
          <w:lang w:val="en-GB"/>
        </w:rPr>
        <w:t>profenofos</w:t>
      </w:r>
      <w:proofErr w:type="spellEnd"/>
      <w:r w:rsidRPr="00DE62A3">
        <w:rPr>
          <w:rFonts w:ascii="Arial" w:hAnsi="Arial" w:cs="Arial"/>
          <w:lang w:val="en-GB"/>
        </w:rPr>
        <w:t xml:space="preserve"> (0.468) and dimethoate (0.406), reflect a high variability in concentrations, probably linked to local differences in application or hydrological factors. Herbicides show more consistent concentrations and are generally lower than those of insecticides. The highest maximum levels are for diuron (0.192 µg/L) and metolachlor (0.202 µg/L), while </w:t>
      </w:r>
      <w:proofErr w:type="spellStart"/>
      <w:r w:rsidRPr="00DE62A3">
        <w:rPr>
          <w:rFonts w:ascii="Arial" w:hAnsi="Arial" w:cs="Arial"/>
          <w:lang w:val="en-GB"/>
        </w:rPr>
        <w:t>terbutryn</w:t>
      </w:r>
      <w:proofErr w:type="spellEnd"/>
      <w:r w:rsidRPr="00DE62A3">
        <w:rPr>
          <w:rFonts w:ascii="Arial" w:hAnsi="Arial" w:cs="Arial"/>
          <w:lang w:val="en-GB"/>
        </w:rPr>
        <w:t xml:space="preserve"> is detected at very low levels (0.012 µg/L). The averages indicate that metolachlor (0.078 µg/L), metazachlor (0.060 µg/L), and diuron (0.065 µg/L) are the most prevalent herbicides, with other molecules detected at low concentrations. </w:t>
      </w:r>
      <w:r w:rsidRPr="00DE62A3">
        <w:rPr>
          <w:rFonts w:ascii="Arial" w:hAnsi="Arial" w:cs="Arial"/>
          <w:lang w:val="en"/>
        </w:rPr>
        <w:t>The standard deviations are relatively close.</w:t>
      </w:r>
    </w:p>
    <w:p w14:paraId="22923CA6" w14:textId="77777777" w:rsidR="003B2ECF" w:rsidRPr="00E9424C" w:rsidRDefault="003B2ECF" w:rsidP="00DE62A3">
      <w:pPr>
        <w:pStyle w:val="Body"/>
        <w:spacing w:after="0"/>
        <w:rPr>
          <w:rFonts w:ascii="Arial" w:hAnsi="Arial" w:cs="Arial"/>
          <w:lang w:val="en"/>
        </w:rPr>
      </w:pPr>
    </w:p>
    <w:p w14:paraId="5F2D804C" w14:textId="77777777" w:rsidR="00DE62A3" w:rsidRPr="00DE62A3" w:rsidRDefault="00DE62A3" w:rsidP="00E9424C">
      <w:pPr>
        <w:pStyle w:val="Body"/>
        <w:rPr>
          <w:rFonts w:ascii="Arial" w:hAnsi="Arial" w:cs="Arial"/>
          <w:iCs/>
          <w:lang w:val="en"/>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3</w:t>
      </w:r>
      <w:r w:rsidRPr="00DE62A3">
        <w:rPr>
          <w:rFonts w:ascii="Arial" w:hAnsi="Arial" w:cs="Arial"/>
        </w:rPr>
        <w:fldChar w:fldCharType="end"/>
      </w:r>
      <w:r w:rsidRPr="00DE62A3">
        <w:rPr>
          <w:rFonts w:ascii="Arial" w:hAnsi="Arial" w:cs="Arial"/>
          <w:iCs/>
          <w:lang w:val="en"/>
        </w:rPr>
        <w:t xml:space="preserve">: Summary Statistics of detected pesticides by family and compound in groundwater </w:t>
      </w:r>
    </w:p>
    <w:tbl>
      <w:tblPr>
        <w:tblStyle w:val="ListTable6Colorful-Accent5"/>
        <w:tblW w:w="9025" w:type="dxa"/>
        <w:tblInd w:w="-406" w:type="dxa"/>
        <w:tblLook w:val="04A0" w:firstRow="1" w:lastRow="0" w:firstColumn="1" w:lastColumn="0" w:noHBand="0" w:noVBand="1"/>
      </w:tblPr>
      <w:tblGrid>
        <w:gridCol w:w="1800"/>
        <w:gridCol w:w="2080"/>
        <w:gridCol w:w="1365"/>
        <w:gridCol w:w="1260"/>
        <w:gridCol w:w="1160"/>
        <w:gridCol w:w="1360"/>
      </w:tblGrid>
      <w:tr w:rsidR="00E9424C" w:rsidRPr="00E9424C" w14:paraId="5C6EA0AD" w14:textId="77777777" w:rsidTr="00E9424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000000"/>
              <w:bottom w:val="single" w:sz="4" w:space="0" w:color="000000"/>
            </w:tcBorders>
            <w:hideMark/>
          </w:tcPr>
          <w:p w14:paraId="6F9FD533"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Pesticide Family</w:t>
            </w:r>
          </w:p>
        </w:tc>
        <w:tc>
          <w:tcPr>
            <w:tcW w:w="2080" w:type="dxa"/>
            <w:tcBorders>
              <w:bottom w:val="single" w:sz="4" w:space="0" w:color="000000"/>
            </w:tcBorders>
            <w:hideMark/>
          </w:tcPr>
          <w:p w14:paraId="61C2ED73"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Active Compound</w:t>
            </w:r>
          </w:p>
        </w:tc>
        <w:tc>
          <w:tcPr>
            <w:tcW w:w="1365" w:type="dxa"/>
            <w:tcBorders>
              <w:bottom w:val="single" w:sz="4" w:space="0" w:color="000000"/>
            </w:tcBorders>
            <w:hideMark/>
          </w:tcPr>
          <w:p w14:paraId="0E1C5296"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Min (µg/L)</w:t>
            </w:r>
          </w:p>
        </w:tc>
        <w:tc>
          <w:tcPr>
            <w:tcW w:w="1260" w:type="dxa"/>
            <w:tcBorders>
              <w:bottom w:val="single" w:sz="4" w:space="0" w:color="000000"/>
            </w:tcBorders>
            <w:hideMark/>
          </w:tcPr>
          <w:p w14:paraId="6F98F6FE"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Max (µg/L)</w:t>
            </w:r>
          </w:p>
        </w:tc>
        <w:tc>
          <w:tcPr>
            <w:tcW w:w="1160" w:type="dxa"/>
            <w:tcBorders>
              <w:bottom w:val="single" w:sz="4" w:space="0" w:color="000000"/>
            </w:tcBorders>
            <w:hideMark/>
          </w:tcPr>
          <w:p w14:paraId="5A485872"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SD (µg/L)</w:t>
            </w:r>
          </w:p>
        </w:tc>
        <w:tc>
          <w:tcPr>
            <w:tcW w:w="1360" w:type="dxa"/>
            <w:tcBorders>
              <w:bottom w:val="single" w:sz="4" w:space="0" w:color="000000"/>
            </w:tcBorders>
            <w:hideMark/>
          </w:tcPr>
          <w:p w14:paraId="2475F617"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Mean (µg/L)</w:t>
            </w:r>
          </w:p>
        </w:tc>
      </w:tr>
      <w:tr w:rsidR="00E9424C" w:rsidRPr="00E9424C" w14:paraId="73C2C845"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000000"/>
              <w:bottom w:val="single" w:sz="4" w:space="0" w:color="000000" w:themeColor="text1"/>
            </w:tcBorders>
            <w:shd w:val="clear" w:color="auto" w:fill="auto"/>
            <w:vAlign w:val="center"/>
            <w:hideMark/>
          </w:tcPr>
          <w:p w14:paraId="1B170243"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Insecticides</w:t>
            </w:r>
          </w:p>
        </w:tc>
        <w:tc>
          <w:tcPr>
            <w:tcW w:w="2080" w:type="dxa"/>
            <w:tcBorders>
              <w:top w:val="single" w:sz="4" w:space="0" w:color="000000"/>
            </w:tcBorders>
            <w:shd w:val="clear" w:color="auto" w:fill="auto"/>
            <w:hideMark/>
          </w:tcPr>
          <w:p w14:paraId="5CBE900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Parathion-methyl</w:t>
            </w:r>
          </w:p>
        </w:tc>
        <w:tc>
          <w:tcPr>
            <w:tcW w:w="1365" w:type="dxa"/>
            <w:tcBorders>
              <w:top w:val="single" w:sz="4" w:space="0" w:color="000000"/>
            </w:tcBorders>
            <w:shd w:val="clear" w:color="auto" w:fill="auto"/>
            <w:hideMark/>
          </w:tcPr>
          <w:p w14:paraId="15A7D4D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top w:val="single" w:sz="4" w:space="0" w:color="000000"/>
            </w:tcBorders>
            <w:shd w:val="clear" w:color="auto" w:fill="auto"/>
            <w:hideMark/>
          </w:tcPr>
          <w:p w14:paraId="629C87A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0.023</w:t>
            </w:r>
          </w:p>
        </w:tc>
        <w:tc>
          <w:tcPr>
            <w:tcW w:w="1160" w:type="dxa"/>
            <w:tcBorders>
              <w:top w:val="single" w:sz="4" w:space="0" w:color="000000"/>
            </w:tcBorders>
            <w:shd w:val="clear" w:color="auto" w:fill="auto"/>
            <w:hideMark/>
          </w:tcPr>
          <w:p w14:paraId="2A0D0C2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0.009</w:t>
            </w:r>
          </w:p>
        </w:tc>
        <w:tc>
          <w:tcPr>
            <w:tcW w:w="1360" w:type="dxa"/>
            <w:tcBorders>
              <w:top w:val="single" w:sz="4" w:space="0" w:color="000000"/>
            </w:tcBorders>
            <w:shd w:val="clear" w:color="auto" w:fill="auto"/>
            <w:hideMark/>
          </w:tcPr>
          <w:p w14:paraId="5198F383"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0.004</w:t>
            </w:r>
          </w:p>
        </w:tc>
      </w:tr>
      <w:tr w:rsidR="00E9424C" w:rsidRPr="00E9424C" w14:paraId="26B0C26F"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1289FD8C"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52D0AEB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Chlorfenvinphos</w:t>
            </w:r>
            <w:proofErr w:type="spellEnd"/>
          </w:p>
        </w:tc>
        <w:tc>
          <w:tcPr>
            <w:tcW w:w="1365" w:type="dxa"/>
            <w:hideMark/>
          </w:tcPr>
          <w:p w14:paraId="2ACB679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5850EB4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0.850</w:t>
            </w:r>
          </w:p>
        </w:tc>
        <w:tc>
          <w:tcPr>
            <w:tcW w:w="1160" w:type="dxa"/>
            <w:hideMark/>
          </w:tcPr>
          <w:p w14:paraId="335F1F8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0.330</w:t>
            </w:r>
          </w:p>
        </w:tc>
        <w:tc>
          <w:tcPr>
            <w:tcW w:w="1360" w:type="dxa"/>
            <w:hideMark/>
          </w:tcPr>
          <w:p w14:paraId="6349F10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0.202</w:t>
            </w:r>
          </w:p>
        </w:tc>
      </w:tr>
      <w:tr w:rsidR="00E9424C" w:rsidRPr="00E9424C" w14:paraId="35EAD499"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661FDFD5"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6FDAE17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Parathion-ethyl</w:t>
            </w:r>
          </w:p>
        </w:tc>
        <w:tc>
          <w:tcPr>
            <w:tcW w:w="1365" w:type="dxa"/>
            <w:shd w:val="clear" w:color="auto" w:fill="auto"/>
            <w:hideMark/>
          </w:tcPr>
          <w:p w14:paraId="3B08926F"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shd w:val="clear" w:color="auto" w:fill="auto"/>
            <w:hideMark/>
          </w:tcPr>
          <w:p w14:paraId="52E67E1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0.870</w:t>
            </w:r>
          </w:p>
        </w:tc>
        <w:tc>
          <w:tcPr>
            <w:tcW w:w="1160" w:type="dxa"/>
            <w:shd w:val="clear" w:color="auto" w:fill="auto"/>
            <w:hideMark/>
          </w:tcPr>
          <w:p w14:paraId="6F7F58E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0.353</w:t>
            </w:r>
          </w:p>
        </w:tc>
        <w:tc>
          <w:tcPr>
            <w:tcW w:w="1360" w:type="dxa"/>
            <w:shd w:val="clear" w:color="auto" w:fill="auto"/>
            <w:hideMark/>
          </w:tcPr>
          <w:p w14:paraId="038239A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0.149</w:t>
            </w:r>
          </w:p>
        </w:tc>
      </w:tr>
      <w:tr w:rsidR="00E9424C" w:rsidRPr="00E9424C" w14:paraId="1EE05053"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0CEAC102"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24FB31E2"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Profenofos</w:t>
            </w:r>
            <w:proofErr w:type="spellEnd"/>
          </w:p>
        </w:tc>
        <w:tc>
          <w:tcPr>
            <w:tcW w:w="1365" w:type="dxa"/>
            <w:hideMark/>
          </w:tcPr>
          <w:p w14:paraId="53B581D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7544088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1.040</w:t>
            </w:r>
          </w:p>
        </w:tc>
        <w:tc>
          <w:tcPr>
            <w:tcW w:w="1160" w:type="dxa"/>
            <w:hideMark/>
          </w:tcPr>
          <w:p w14:paraId="4E07E594"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0.468</w:t>
            </w:r>
          </w:p>
        </w:tc>
        <w:tc>
          <w:tcPr>
            <w:tcW w:w="1360" w:type="dxa"/>
            <w:hideMark/>
          </w:tcPr>
          <w:p w14:paraId="1FFF43FF"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0.428</w:t>
            </w:r>
          </w:p>
        </w:tc>
      </w:tr>
      <w:tr w:rsidR="00E9424C" w:rsidRPr="00E9424C" w14:paraId="4F5B972D"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1E764CF5"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3B730D73"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Dimethoate</w:t>
            </w:r>
          </w:p>
        </w:tc>
        <w:tc>
          <w:tcPr>
            <w:tcW w:w="1365" w:type="dxa"/>
            <w:shd w:val="clear" w:color="auto" w:fill="auto"/>
            <w:hideMark/>
          </w:tcPr>
          <w:p w14:paraId="47D7C25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260" w:type="dxa"/>
            <w:shd w:val="clear" w:color="auto" w:fill="auto"/>
            <w:hideMark/>
          </w:tcPr>
          <w:p w14:paraId="3B46EA48"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1.022</w:t>
            </w:r>
          </w:p>
        </w:tc>
        <w:tc>
          <w:tcPr>
            <w:tcW w:w="1160" w:type="dxa"/>
            <w:shd w:val="clear" w:color="auto" w:fill="auto"/>
            <w:hideMark/>
          </w:tcPr>
          <w:p w14:paraId="2A9696D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0.406</w:t>
            </w:r>
          </w:p>
        </w:tc>
        <w:tc>
          <w:tcPr>
            <w:tcW w:w="1360" w:type="dxa"/>
            <w:shd w:val="clear" w:color="auto" w:fill="auto"/>
            <w:hideMark/>
          </w:tcPr>
          <w:p w14:paraId="6E26536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0.685</w:t>
            </w:r>
          </w:p>
        </w:tc>
      </w:tr>
      <w:tr w:rsidR="00E9424C" w:rsidRPr="00E9424C" w14:paraId="07638297"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07C368B3"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6E945C3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Chlorpyrifos-ethyl</w:t>
            </w:r>
          </w:p>
        </w:tc>
        <w:tc>
          <w:tcPr>
            <w:tcW w:w="1365" w:type="dxa"/>
            <w:hideMark/>
          </w:tcPr>
          <w:p w14:paraId="4CA284D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0.012</w:t>
            </w:r>
          </w:p>
        </w:tc>
        <w:tc>
          <w:tcPr>
            <w:tcW w:w="1260" w:type="dxa"/>
            <w:hideMark/>
          </w:tcPr>
          <w:p w14:paraId="11D01F3A"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0.420</w:t>
            </w:r>
          </w:p>
        </w:tc>
        <w:tc>
          <w:tcPr>
            <w:tcW w:w="1160" w:type="dxa"/>
            <w:hideMark/>
          </w:tcPr>
          <w:p w14:paraId="784AC11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0.156</w:t>
            </w:r>
          </w:p>
        </w:tc>
        <w:tc>
          <w:tcPr>
            <w:tcW w:w="1360" w:type="dxa"/>
            <w:hideMark/>
          </w:tcPr>
          <w:p w14:paraId="66DEAB6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0.152</w:t>
            </w:r>
          </w:p>
        </w:tc>
      </w:tr>
      <w:tr w:rsidR="00E9424C" w:rsidRPr="00E9424C" w14:paraId="432EB8F7"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0F95965A"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78B5B6B6"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Carbosulfan</w:t>
            </w:r>
            <w:proofErr w:type="spellEnd"/>
          </w:p>
        </w:tc>
        <w:tc>
          <w:tcPr>
            <w:tcW w:w="1365" w:type="dxa"/>
            <w:shd w:val="clear" w:color="auto" w:fill="auto"/>
            <w:hideMark/>
          </w:tcPr>
          <w:p w14:paraId="6E2F50E9"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shd w:val="clear" w:color="auto" w:fill="auto"/>
            <w:hideMark/>
          </w:tcPr>
          <w:p w14:paraId="283FF0F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0.240</w:t>
            </w:r>
          </w:p>
        </w:tc>
        <w:tc>
          <w:tcPr>
            <w:tcW w:w="1160" w:type="dxa"/>
            <w:shd w:val="clear" w:color="auto" w:fill="auto"/>
            <w:hideMark/>
          </w:tcPr>
          <w:p w14:paraId="380BB9A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0.091</w:t>
            </w:r>
          </w:p>
        </w:tc>
        <w:tc>
          <w:tcPr>
            <w:tcW w:w="1360" w:type="dxa"/>
            <w:shd w:val="clear" w:color="auto" w:fill="auto"/>
            <w:hideMark/>
          </w:tcPr>
          <w:p w14:paraId="34DDFC8F"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0.056</w:t>
            </w:r>
          </w:p>
        </w:tc>
      </w:tr>
      <w:tr w:rsidR="00E9424C" w:rsidRPr="00E9424C" w14:paraId="1DD7E7E0"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727AAC5A"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6732E39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Lambda-cyhalothrin</w:t>
            </w:r>
          </w:p>
        </w:tc>
        <w:tc>
          <w:tcPr>
            <w:tcW w:w="1365" w:type="dxa"/>
            <w:hideMark/>
          </w:tcPr>
          <w:p w14:paraId="2653060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5A1B2E6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0.021</w:t>
            </w:r>
          </w:p>
        </w:tc>
        <w:tc>
          <w:tcPr>
            <w:tcW w:w="1160" w:type="dxa"/>
            <w:hideMark/>
          </w:tcPr>
          <w:p w14:paraId="5FCF3865"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360" w:type="dxa"/>
            <w:hideMark/>
          </w:tcPr>
          <w:p w14:paraId="2BB36FE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0.009</w:t>
            </w:r>
          </w:p>
        </w:tc>
      </w:tr>
      <w:tr w:rsidR="00E9424C" w:rsidRPr="00E9424C" w14:paraId="57822988"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7EE74DBE" w14:textId="77777777" w:rsidR="00DE62A3" w:rsidRPr="00E9424C" w:rsidRDefault="00DE62A3" w:rsidP="001D2DC5">
            <w:pPr>
              <w:pStyle w:val="Body"/>
              <w:spacing w:after="0"/>
              <w:rPr>
                <w:rFonts w:ascii="Arial" w:hAnsi="Arial" w:cs="Arial"/>
                <w:color w:val="auto"/>
                <w:lang w:val="en-GB"/>
              </w:rPr>
            </w:pPr>
          </w:p>
        </w:tc>
        <w:tc>
          <w:tcPr>
            <w:tcW w:w="2080" w:type="dxa"/>
            <w:tcBorders>
              <w:bottom w:val="single" w:sz="4" w:space="0" w:color="000000" w:themeColor="text1"/>
            </w:tcBorders>
            <w:shd w:val="clear" w:color="auto" w:fill="auto"/>
            <w:hideMark/>
          </w:tcPr>
          <w:p w14:paraId="0A9E7C4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Deltamethrin</w:t>
            </w:r>
          </w:p>
        </w:tc>
        <w:tc>
          <w:tcPr>
            <w:tcW w:w="1365" w:type="dxa"/>
            <w:tcBorders>
              <w:bottom w:val="single" w:sz="4" w:space="0" w:color="000000" w:themeColor="text1"/>
            </w:tcBorders>
            <w:shd w:val="clear" w:color="auto" w:fill="auto"/>
            <w:hideMark/>
          </w:tcPr>
          <w:p w14:paraId="7D121B7C"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bottom w:val="single" w:sz="4" w:space="0" w:color="000000" w:themeColor="text1"/>
            </w:tcBorders>
            <w:shd w:val="clear" w:color="auto" w:fill="auto"/>
            <w:hideMark/>
          </w:tcPr>
          <w:p w14:paraId="3AB55BA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0.020</w:t>
            </w:r>
          </w:p>
        </w:tc>
        <w:tc>
          <w:tcPr>
            <w:tcW w:w="1160" w:type="dxa"/>
            <w:tcBorders>
              <w:bottom w:val="single" w:sz="4" w:space="0" w:color="000000" w:themeColor="text1"/>
            </w:tcBorders>
            <w:shd w:val="clear" w:color="auto" w:fill="auto"/>
            <w:hideMark/>
          </w:tcPr>
          <w:p w14:paraId="5A892BCB"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0.008</w:t>
            </w:r>
          </w:p>
        </w:tc>
        <w:tc>
          <w:tcPr>
            <w:tcW w:w="1360" w:type="dxa"/>
            <w:tcBorders>
              <w:bottom w:val="single" w:sz="4" w:space="0" w:color="000000" w:themeColor="text1"/>
            </w:tcBorders>
            <w:shd w:val="clear" w:color="auto" w:fill="auto"/>
            <w:hideMark/>
          </w:tcPr>
          <w:p w14:paraId="5B61F1B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0.003</w:t>
            </w:r>
          </w:p>
        </w:tc>
      </w:tr>
      <w:tr w:rsidR="00E9424C" w:rsidRPr="00E9424C" w14:paraId="49212D61"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000000" w:themeColor="text1"/>
            </w:tcBorders>
            <w:vAlign w:val="center"/>
            <w:hideMark/>
          </w:tcPr>
          <w:p w14:paraId="37802784"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Herbicides</w:t>
            </w:r>
          </w:p>
        </w:tc>
        <w:tc>
          <w:tcPr>
            <w:tcW w:w="2080" w:type="dxa"/>
            <w:tcBorders>
              <w:top w:val="single" w:sz="4" w:space="0" w:color="000000" w:themeColor="text1"/>
            </w:tcBorders>
            <w:hideMark/>
          </w:tcPr>
          <w:p w14:paraId="4A78B603"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Metolachlor</w:t>
            </w:r>
          </w:p>
        </w:tc>
        <w:tc>
          <w:tcPr>
            <w:tcW w:w="1365" w:type="dxa"/>
            <w:tcBorders>
              <w:top w:val="single" w:sz="4" w:space="0" w:color="000000" w:themeColor="text1"/>
            </w:tcBorders>
            <w:hideMark/>
          </w:tcPr>
          <w:p w14:paraId="13EB80B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0.020</w:t>
            </w:r>
          </w:p>
        </w:tc>
        <w:tc>
          <w:tcPr>
            <w:tcW w:w="1260" w:type="dxa"/>
            <w:tcBorders>
              <w:top w:val="single" w:sz="4" w:space="0" w:color="000000" w:themeColor="text1"/>
            </w:tcBorders>
            <w:hideMark/>
          </w:tcPr>
          <w:p w14:paraId="4CB67880"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0.202</w:t>
            </w:r>
          </w:p>
        </w:tc>
        <w:tc>
          <w:tcPr>
            <w:tcW w:w="1160" w:type="dxa"/>
            <w:tcBorders>
              <w:top w:val="single" w:sz="4" w:space="0" w:color="000000" w:themeColor="text1"/>
            </w:tcBorders>
            <w:hideMark/>
          </w:tcPr>
          <w:p w14:paraId="0F3995ED"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0.072</w:t>
            </w:r>
          </w:p>
        </w:tc>
        <w:tc>
          <w:tcPr>
            <w:tcW w:w="1360" w:type="dxa"/>
            <w:tcBorders>
              <w:top w:val="single" w:sz="4" w:space="0" w:color="000000" w:themeColor="text1"/>
            </w:tcBorders>
            <w:hideMark/>
          </w:tcPr>
          <w:p w14:paraId="2F396D4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0.078</w:t>
            </w:r>
          </w:p>
        </w:tc>
      </w:tr>
      <w:tr w:rsidR="00E9424C" w:rsidRPr="00E9424C" w14:paraId="10C15C53"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hideMark/>
          </w:tcPr>
          <w:p w14:paraId="18D6C91E"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02EE4670"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Metazachlor</w:t>
            </w:r>
          </w:p>
        </w:tc>
        <w:tc>
          <w:tcPr>
            <w:tcW w:w="1365" w:type="dxa"/>
            <w:shd w:val="clear" w:color="auto" w:fill="auto"/>
            <w:hideMark/>
          </w:tcPr>
          <w:p w14:paraId="0A10F58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0.013</w:t>
            </w:r>
          </w:p>
        </w:tc>
        <w:tc>
          <w:tcPr>
            <w:tcW w:w="1260" w:type="dxa"/>
            <w:shd w:val="clear" w:color="auto" w:fill="auto"/>
            <w:hideMark/>
          </w:tcPr>
          <w:p w14:paraId="47A90B46"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0.154</w:t>
            </w:r>
          </w:p>
        </w:tc>
        <w:tc>
          <w:tcPr>
            <w:tcW w:w="1160" w:type="dxa"/>
            <w:shd w:val="clear" w:color="auto" w:fill="auto"/>
            <w:hideMark/>
          </w:tcPr>
          <w:p w14:paraId="3B22603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0.053</w:t>
            </w:r>
          </w:p>
        </w:tc>
        <w:tc>
          <w:tcPr>
            <w:tcW w:w="1360" w:type="dxa"/>
            <w:shd w:val="clear" w:color="auto" w:fill="auto"/>
            <w:hideMark/>
          </w:tcPr>
          <w:p w14:paraId="30D2598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0.060</w:t>
            </w:r>
          </w:p>
        </w:tc>
      </w:tr>
      <w:tr w:rsidR="00E9424C" w:rsidRPr="00E9424C" w14:paraId="7A6557DC"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hideMark/>
          </w:tcPr>
          <w:p w14:paraId="64FF8C2E"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3AB1AB1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Atrazine</w:t>
            </w:r>
          </w:p>
        </w:tc>
        <w:tc>
          <w:tcPr>
            <w:tcW w:w="1365" w:type="dxa"/>
            <w:hideMark/>
          </w:tcPr>
          <w:p w14:paraId="4CFE2850"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4D5D686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0.050</w:t>
            </w:r>
          </w:p>
        </w:tc>
        <w:tc>
          <w:tcPr>
            <w:tcW w:w="1160" w:type="dxa"/>
            <w:hideMark/>
          </w:tcPr>
          <w:p w14:paraId="137BA52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c>
          <w:tcPr>
            <w:tcW w:w="1360" w:type="dxa"/>
            <w:hideMark/>
          </w:tcPr>
          <w:p w14:paraId="097C235D"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r>
      <w:tr w:rsidR="00E9424C" w:rsidRPr="00E9424C" w14:paraId="36722A40"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hideMark/>
          </w:tcPr>
          <w:p w14:paraId="1CE89227"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213BA621"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Prometryne</w:t>
            </w:r>
            <w:proofErr w:type="spellEnd"/>
          </w:p>
        </w:tc>
        <w:tc>
          <w:tcPr>
            <w:tcW w:w="1365" w:type="dxa"/>
            <w:shd w:val="clear" w:color="auto" w:fill="auto"/>
            <w:hideMark/>
          </w:tcPr>
          <w:p w14:paraId="0861102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260" w:type="dxa"/>
            <w:shd w:val="clear" w:color="auto" w:fill="auto"/>
            <w:hideMark/>
          </w:tcPr>
          <w:p w14:paraId="0EB5DC60"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0.042</w:t>
            </w:r>
          </w:p>
        </w:tc>
        <w:tc>
          <w:tcPr>
            <w:tcW w:w="1160" w:type="dxa"/>
            <w:shd w:val="clear" w:color="auto" w:fill="auto"/>
            <w:hideMark/>
          </w:tcPr>
          <w:p w14:paraId="71D3FC6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0.013</w:t>
            </w:r>
          </w:p>
        </w:tc>
        <w:tc>
          <w:tcPr>
            <w:tcW w:w="1360" w:type="dxa"/>
            <w:shd w:val="clear" w:color="auto" w:fill="auto"/>
            <w:hideMark/>
          </w:tcPr>
          <w:p w14:paraId="6C87F29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r>
      <w:tr w:rsidR="00E9424C" w:rsidRPr="00E9424C" w14:paraId="40B73E24"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hideMark/>
          </w:tcPr>
          <w:p w14:paraId="54CBB749"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264343C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Terbutryn</w:t>
            </w:r>
            <w:proofErr w:type="spellEnd"/>
          </w:p>
        </w:tc>
        <w:tc>
          <w:tcPr>
            <w:tcW w:w="1365" w:type="dxa"/>
            <w:hideMark/>
          </w:tcPr>
          <w:p w14:paraId="7D8C4EC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0AB83E6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0.012</w:t>
            </w:r>
          </w:p>
        </w:tc>
        <w:tc>
          <w:tcPr>
            <w:tcW w:w="1160" w:type="dxa"/>
            <w:hideMark/>
          </w:tcPr>
          <w:p w14:paraId="593EE223"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0.005</w:t>
            </w:r>
          </w:p>
        </w:tc>
        <w:tc>
          <w:tcPr>
            <w:tcW w:w="1360" w:type="dxa"/>
            <w:hideMark/>
          </w:tcPr>
          <w:p w14:paraId="5C76480F"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0.002</w:t>
            </w:r>
          </w:p>
        </w:tc>
      </w:tr>
      <w:tr w:rsidR="00E9424C" w:rsidRPr="00E9424C" w14:paraId="00537591"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bottom w:val="single" w:sz="4" w:space="0" w:color="000000" w:themeColor="text1"/>
            </w:tcBorders>
            <w:shd w:val="clear" w:color="auto" w:fill="auto"/>
            <w:hideMark/>
          </w:tcPr>
          <w:p w14:paraId="50D7CAFC" w14:textId="77777777" w:rsidR="00DE62A3" w:rsidRPr="00E9424C" w:rsidRDefault="00DE62A3" w:rsidP="001D2DC5">
            <w:pPr>
              <w:pStyle w:val="Body"/>
              <w:spacing w:after="0"/>
              <w:rPr>
                <w:rFonts w:ascii="Arial" w:hAnsi="Arial" w:cs="Arial"/>
                <w:color w:val="auto"/>
                <w:lang w:val="en-GB"/>
              </w:rPr>
            </w:pPr>
          </w:p>
        </w:tc>
        <w:tc>
          <w:tcPr>
            <w:tcW w:w="2080" w:type="dxa"/>
            <w:tcBorders>
              <w:bottom w:val="single" w:sz="4" w:space="0" w:color="000000" w:themeColor="text1"/>
            </w:tcBorders>
            <w:shd w:val="clear" w:color="auto" w:fill="auto"/>
            <w:hideMark/>
          </w:tcPr>
          <w:p w14:paraId="0193129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Diuron</w:t>
            </w:r>
          </w:p>
        </w:tc>
        <w:tc>
          <w:tcPr>
            <w:tcW w:w="1365" w:type="dxa"/>
            <w:tcBorders>
              <w:bottom w:val="single" w:sz="4" w:space="0" w:color="000000" w:themeColor="text1"/>
            </w:tcBorders>
            <w:shd w:val="clear" w:color="auto" w:fill="auto"/>
            <w:hideMark/>
          </w:tcPr>
          <w:p w14:paraId="023C2989"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bottom w:val="single" w:sz="4" w:space="0" w:color="000000" w:themeColor="text1"/>
            </w:tcBorders>
            <w:shd w:val="clear" w:color="auto" w:fill="auto"/>
            <w:hideMark/>
          </w:tcPr>
          <w:p w14:paraId="59120C9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0.192</w:t>
            </w:r>
          </w:p>
        </w:tc>
        <w:tc>
          <w:tcPr>
            <w:tcW w:w="1160" w:type="dxa"/>
            <w:tcBorders>
              <w:bottom w:val="single" w:sz="4" w:space="0" w:color="000000" w:themeColor="text1"/>
            </w:tcBorders>
            <w:shd w:val="clear" w:color="auto" w:fill="auto"/>
            <w:hideMark/>
          </w:tcPr>
          <w:p w14:paraId="247ACFF1"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0.078</w:t>
            </w:r>
          </w:p>
        </w:tc>
        <w:tc>
          <w:tcPr>
            <w:tcW w:w="1360" w:type="dxa"/>
            <w:tcBorders>
              <w:bottom w:val="single" w:sz="4" w:space="0" w:color="000000" w:themeColor="text1"/>
            </w:tcBorders>
            <w:shd w:val="clear" w:color="auto" w:fill="auto"/>
            <w:hideMark/>
          </w:tcPr>
          <w:p w14:paraId="1688272C"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0.065</w:t>
            </w:r>
          </w:p>
        </w:tc>
      </w:tr>
      <w:tr w:rsidR="00E9424C" w:rsidRPr="00E9424C" w14:paraId="373CBADB"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000000" w:themeColor="text1"/>
              <w:bottom w:val="single" w:sz="4" w:space="0" w:color="000000"/>
            </w:tcBorders>
            <w:hideMark/>
          </w:tcPr>
          <w:p w14:paraId="1CD1E018"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Fungicide</w:t>
            </w:r>
          </w:p>
        </w:tc>
        <w:tc>
          <w:tcPr>
            <w:tcW w:w="2080" w:type="dxa"/>
            <w:tcBorders>
              <w:top w:val="single" w:sz="4" w:space="0" w:color="000000" w:themeColor="text1"/>
              <w:bottom w:val="single" w:sz="4" w:space="0" w:color="000000"/>
            </w:tcBorders>
            <w:hideMark/>
          </w:tcPr>
          <w:p w14:paraId="3A8EB6D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Vinclozolin</w:t>
            </w:r>
          </w:p>
        </w:tc>
        <w:tc>
          <w:tcPr>
            <w:tcW w:w="1365" w:type="dxa"/>
            <w:tcBorders>
              <w:top w:val="single" w:sz="4" w:space="0" w:color="000000" w:themeColor="text1"/>
              <w:bottom w:val="single" w:sz="4" w:space="0" w:color="000000"/>
            </w:tcBorders>
            <w:hideMark/>
          </w:tcPr>
          <w:p w14:paraId="100907D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top w:val="single" w:sz="4" w:space="0" w:color="000000" w:themeColor="text1"/>
              <w:bottom w:val="single" w:sz="4" w:space="0" w:color="000000"/>
            </w:tcBorders>
            <w:hideMark/>
          </w:tcPr>
          <w:p w14:paraId="457F4DC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c>
          <w:tcPr>
            <w:tcW w:w="1160" w:type="dxa"/>
            <w:tcBorders>
              <w:top w:val="single" w:sz="4" w:space="0" w:color="000000" w:themeColor="text1"/>
              <w:bottom w:val="single" w:sz="4" w:space="0" w:color="000000"/>
            </w:tcBorders>
            <w:hideMark/>
          </w:tcPr>
          <w:p w14:paraId="3FD7906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360" w:type="dxa"/>
            <w:tcBorders>
              <w:top w:val="single" w:sz="4" w:space="0" w:color="000000" w:themeColor="text1"/>
              <w:bottom w:val="single" w:sz="4" w:space="0" w:color="000000"/>
            </w:tcBorders>
            <w:hideMark/>
          </w:tcPr>
          <w:p w14:paraId="4BCA9ED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0.008</w:t>
            </w:r>
          </w:p>
        </w:tc>
      </w:tr>
    </w:tbl>
    <w:p w14:paraId="2FD93D19" w14:textId="77777777" w:rsidR="00E9424C" w:rsidRDefault="00E9424C" w:rsidP="001D2DC5">
      <w:pPr>
        <w:pStyle w:val="Body"/>
        <w:spacing w:after="0"/>
        <w:rPr>
          <w:rFonts w:ascii="Arial" w:hAnsi="Arial" w:cs="Arial"/>
          <w:b/>
          <w:lang w:val="en"/>
        </w:rPr>
      </w:pPr>
    </w:p>
    <w:p w14:paraId="3C09C43F" w14:textId="77777777" w:rsidR="00DE62A3" w:rsidRPr="007614E9" w:rsidRDefault="007614E9" w:rsidP="001D2DC5">
      <w:pPr>
        <w:pStyle w:val="Body"/>
        <w:spacing w:after="0"/>
        <w:rPr>
          <w:rFonts w:ascii="Arial" w:hAnsi="Arial" w:cs="Arial"/>
          <w:b/>
          <w:i/>
          <w:lang w:val="en"/>
        </w:rPr>
      </w:pPr>
      <w:r w:rsidRPr="007614E9">
        <w:rPr>
          <w:rFonts w:ascii="Arial" w:hAnsi="Arial" w:cs="Arial"/>
          <w:b/>
          <w:i/>
          <w:lang w:val="en-GB"/>
        </w:rPr>
        <w:t>3.1.2.</w:t>
      </w:r>
      <w:r>
        <w:rPr>
          <w:rFonts w:ascii="Arial" w:hAnsi="Arial" w:cs="Arial"/>
          <w:b/>
          <w:i/>
          <w:lang w:val="en-GB"/>
        </w:rPr>
        <w:t>3</w:t>
      </w:r>
      <w:r w:rsidRPr="007614E9">
        <w:rPr>
          <w:rFonts w:ascii="Arial" w:hAnsi="Arial" w:cs="Arial"/>
          <w:b/>
          <w:i/>
          <w:lang w:val="en-GB"/>
        </w:rPr>
        <w:t xml:space="preserve"> </w:t>
      </w:r>
      <w:r w:rsidR="00DE62A3" w:rsidRPr="007614E9">
        <w:rPr>
          <w:rFonts w:ascii="Arial" w:hAnsi="Arial" w:cs="Arial"/>
          <w:b/>
          <w:i/>
          <w:lang w:val="en"/>
        </w:rPr>
        <w:t>Concentration of different pesticide families in surface waters and groun</w:t>
      </w:r>
      <w:r w:rsidR="00E9424C" w:rsidRPr="007614E9">
        <w:rPr>
          <w:rFonts w:ascii="Arial" w:hAnsi="Arial" w:cs="Arial"/>
          <w:b/>
          <w:i/>
          <w:lang w:val="en"/>
        </w:rPr>
        <w:t>d</w:t>
      </w:r>
      <w:r w:rsidR="00DE62A3" w:rsidRPr="007614E9">
        <w:rPr>
          <w:rFonts w:ascii="Arial" w:hAnsi="Arial" w:cs="Arial"/>
          <w:b/>
          <w:i/>
          <w:lang w:val="en"/>
        </w:rPr>
        <w:t>water</w:t>
      </w:r>
    </w:p>
    <w:p w14:paraId="5DBA6865" w14:textId="77777777" w:rsidR="00E9424C" w:rsidRPr="00DE62A3" w:rsidRDefault="00E9424C" w:rsidP="001D2DC5">
      <w:pPr>
        <w:pStyle w:val="Body"/>
        <w:spacing w:after="0"/>
        <w:rPr>
          <w:rFonts w:ascii="Arial" w:hAnsi="Arial" w:cs="Arial"/>
          <w:b/>
          <w:lang w:val="en"/>
        </w:rPr>
      </w:pPr>
    </w:p>
    <w:p w14:paraId="5343DDC8" w14:textId="77777777" w:rsidR="00DE62A3" w:rsidRDefault="00DE62A3" w:rsidP="00DE62A3">
      <w:pPr>
        <w:pStyle w:val="Body"/>
        <w:spacing w:after="0"/>
        <w:rPr>
          <w:rFonts w:ascii="Arial" w:hAnsi="Arial" w:cs="Arial"/>
          <w:lang w:val="en"/>
        </w:rPr>
      </w:pPr>
      <w:r w:rsidRPr="00DE62A3">
        <w:rPr>
          <w:rFonts w:ascii="Arial" w:hAnsi="Arial" w:cs="Arial"/>
          <w:lang w:val="en"/>
        </w:rPr>
        <w:t xml:space="preserve">The table 4 presents descriptive statistics for the concentrations of pesticide families in groundwater, including minimum and maximum values, mean, and standard deviation. These data allow us to assess both the magnitude of the concentrations and their variability across chemical families. Organophosphates and triazines, as well as their metabolites, stand out with the highest mean concentrations, at 0.453 µg/L and 0.466 µg/L, respectively. These two families also exhibit high standard deviations, 0.713 µg/L for organophosphates and 0.700 µg/L for triazines, reflecting a marked dispersion of values depending on the sampling site and period. The maximum concentrations observed confirm this variability, reaching 3.450 µg/L for organophosphates and 2.230 µg/L for triazines and their metabolites. These results suggest that these pesticide families contribute most to the chemical load of the studied groundwater and that their presence is likely to be significant at specific points. Substituted </w:t>
      </w:r>
      <w:proofErr w:type="spellStart"/>
      <w:r w:rsidRPr="00DE62A3">
        <w:rPr>
          <w:rFonts w:ascii="Arial" w:hAnsi="Arial" w:cs="Arial"/>
          <w:lang w:val="en"/>
        </w:rPr>
        <w:t>ureas</w:t>
      </w:r>
      <w:proofErr w:type="spellEnd"/>
      <w:r w:rsidRPr="00DE62A3">
        <w:rPr>
          <w:rFonts w:ascii="Arial" w:hAnsi="Arial" w:cs="Arial"/>
          <w:lang w:val="en"/>
        </w:rPr>
        <w:t xml:space="preserve">, pyrethroids, and carbamates have lower mean concentrations, ranging from 0.024 to 0.202 µg/L, and relatively modest standard deviations, ranging from 0.018 to 0.167 µg/L. This indicates that the distribution of these pesticides in groundwater is more homogeneous and that concentration peaks are less pronounced. However, the maximum values remain significant for substituted </w:t>
      </w:r>
      <w:proofErr w:type="spellStart"/>
      <w:r w:rsidRPr="00DE62A3">
        <w:rPr>
          <w:rFonts w:ascii="Arial" w:hAnsi="Arial" w:cs="Arial"/>
          <w:lang w:val="en"/>
        </w:rPr>
        <w:t>ureas</w:t>
      </w:r>
      <w:proofErr w:type="spellEnd"/>
      <w:r w:rsidRPr="00DE62A3">
        <w:rPr>
          <w:rFonts w:ascii="Arial" w:hAnsi="Arial" w:cs="Arial"/>
          <w:lang w:val="en"/>
        </w:rPr>
        <w:t xml:space="preserve"> and pyrethroids, at 0.490 µg/L each, which could reflect occasional or localized inputs. Analysis of the minimum values reveals that for four out of six families, concentrations can be zero, suggesting that these pesticides are sometimes undetectable in certain water sources. Organochlorines and substituted </w:t>
      </w:r>
      <w:proofErr w:type="spellStart"/>
      <w:r w:rsidRPr="00DE62A3">
        <w:rPr>
          <w:rFonts w:ascii="Arial" w:hAnsi="Arial" w:cs="Arial"/>
          <w:lang w:val="en"/>
        </w:rPr>
        <w:t>ureas</w:t>
      </w:r>
      <w:proofErr w:type="spellEnd"/>
      <w:r w:rsidRPr="00DE62A3">
        <w:rPr>
          <w:rFonts w:ascii="Arial" w:hAnsi="Arial" w:cs="Arial"/>
          <w:lang w:val="en"/>
        </w:rPr>
        <w:t xml:space="preserve"> are the only families to show minimum values above zero, respectively 0.013 µg/L and 0.087 µg/L, which reflects a near-permanent presence, probably linked to the chemical persistence of these substances in the environment.</w:t>
      </w:r>
    </w:p>
    <w:p w14:paraId="6DA01B7E" w14:textId="77777777" w:rsidR="00E9424C" w:rsidRDefault="00E9424C" w:rsidP="003B2ECF">
      <w:pPr>
        <w:pStyle w:val="Body"/>
        <w:rPr>
          <w:rFonts w:ascii="Arial" w:hAnsi="Arial" w:cs="Arial"/>
          <w:lang w:val="en"/>
        </w:rPr>
      </w:pPr>
    </w:p>
    <w:p w14:paraId="324BA8CF" w14:textId="77777777" w:rsidR="000D58A3" w:rsidRDefault="00DE62A3" w:rsidP="003B2ECF">
      <w:pPr>
        <w:pStyle w:val="Body"/>
        <w:spacing w:after="0" w:line="360" w:lineRule="auto"/>
        <w:rPr>
          <w:rFonts w:ascii="Arial" w:hAnsi="Arial" w:cs="Arial"/>
          <w:iCs/>
          <w:lang w:val="en"/>
        </w:rPr>
      </w:pPr>
      <w:r w:rsidRPr="00DE62A3">
        <w:rPr>
          <w:rFonts w:ascii="Arial" w:hAnsi="Arial" w:cs="Arial"/>
          <w:iCs/>
          <w:lang w:val="en"/>
        </w:rPr>
        <w:lastRenderedPageBreak/>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4</w:t>
      </w:r>
      <w:r w:rsidRPr="00DE62A3">
        <w:rPr>
          <w:rFonts w:ascii="Arial" w:hAnsi="Arial" w:cs="Arial"/>
        </w:rPr>
        <w:fldChar w:fldCharType="end"/>
      </w:r>
      <w:r w:rsidRPr="00DE62A3">
        <w:rPr>
          <w:rFonts w:ascii="Arial" w:hAnsi="Arial" w:cs="Arial"/>
          <w:iCs/>
          <w:lang w:val="en"/>
        </w:rPr>
        <w:t xml:space="preserve"> : Summary of Pesticide Concentrations in Surface Water and Groundwater</w:t>
      </w:r>
    </w:p>
    <w:tbl>
      <w:tblPr>
        <w:tblW w:w="10632" w:type="dxa"/>
        <w:tblInd w:w="-1168" w:type="dxa"/>
        <w:tblLayout w:type="fixed"/>
        <w:tblLook w:val="04A0" w:firstRow="1" w:lastRow="0" w:firstColumn="1" w:lastColumn="0" w:noHBand="0" w:noVBand="1"/>
      </w:tblPr>
      <w:tblGrid>
        <w:gridCol w:w="992"/>
        <w:gridCol w:w="1135"/>
        <w:gridCol w:w="1652"/>
        <w:gridCol w:w="1608"/>
        <w:gridCol w:w="1418"/>
        <w:gridCol w:w="1275"/>
        <w:gridCol w:w="1276"/>
        <w:gridCol w:w="1276"/>
      </w:tblGrid>
      <w:tr w:rsidR="00D860F7" w:rsidRPr="00D860F7" w14:paraId="1C41B6BD" w14:textId="77777777" w:rsidTr="003B2ECF">
        <w:trPr>
          <w:trHeight w:val="290"/>
        </w:trPr>
        <w:tc>
          <w:tcPr>
            <w:tcW w:w="992" w:type="dxa"/>
            <w:tcBorders>
              <w:top w:val="single" w:sz="4" w:space="0" w:color="auto"/>
              <w:left w:val="nil"/>
              <w:bottom w:val="nil"/>
              <w:right w:val="nil"/>
            </w:tcBorders>
            <w:vAlign w:val="center"/>
            <w:hideMark/>
          </w:tcPr>
          <w:p w14:paraId="1B97E6BE" w14:textId="77777777" w:rsidR="00D860F7" w:rsidRPr="00D860F7" w:rsidRDefault="00D860F7" w:rsidP="00D418A8">
            <w:pPr>
              <w:pStyle w:val="Body"/>
              <w:spacing w:after="0"/>
              <w:rPr>
                <w:rFonts w:ascii="Arial" w:hAnsi="Arial" w:cs="Arial"/>
                <w:b/>
                <w:bCs/>
                <w:sz w:val="18"/>
                <w:szCs w:val="18"/>
                <w:lang w:val="en-GB"/>
              </w:rPr>
            </w:pPr>
            <w:r w:rsidRPr="00D860F7">
              <w:rPr>
                <w:rFonts w:ascii="Arial" w:hAnsi="Arial" w:cs="Arial"/>
                <w:b/>
                <w:bCs/>
                <w:sz w:val="18"/>
                <w:szCs w:val="18"/>
                <w:lang w:val="en-GB"/>
              </w:rPr>
              <w:t>Water Type</w:t>
            </w:r>
          </w:p>
        </w:tc>
        <w:tc>
          <w:tcPr>
            <w:tcW w:w="1135" w:type="dxa"/>
            <w:tcBorders>
              <w:top w:val="single" w:sz="4" w:space="0" w:color="auto"/>
              <w:left w:val="nil"/>
              <w:bottom w:val="nil"/>
              <w:right w:val="nil"/>
            </w:tcBorders>
            <w:vAlign w:val="center"/>
            <w:hideMark/>
          </w:tcPr>
          <w:p w14:paraId="2D7BBCD3" w14:textId="77777777" w:rsidR="00D860F7" w:rsidRPr="00D860F7" w:rsidRDefault="00D860F7" w:rsidP="00D418A8">
            <w:pPr>
              <w:pStyle w:val="Body"/>
              <w:spacing w:after="0"/>
              <w:rPr>
                <w:rFonts w:ascii="Arial" w:hAnsi="Arial" w:cs="Arial"/>
                <w:b/>
                <w:bCs/>
                <w:sz w:val="18"/>
                <w:szCs w:val="18"/>
                <w:lang w:val="en-GB"/>
              </w:rPr>
            </w:pPr>
            <w:r w:rsidRPr="00D860F7">
              <w:rPr>
                <w:rFonts w:ascii="Arial" w:hAnsi="Arial" w:cs="Arial"/>
                <w:b/>
                <w:bCs/>
                <w:sz w:val="18"/>
                <w:szCs w:val="18"/>
                <w:lang w:val="en-GB"/>
              </w:rPr>
              <w:t>Statistical variables</w:t>
            </w:r>
          </w:p>
        </w:tc>
        <w:tc>
          <w:tcPr>
            <w:tcW w:w="1652" w:type="dxa"/>
            <w:tcBorders>
              <w:top w:val="single" w:sz="4" w:space="0" w:color="auto"/>
              <w:left w:val="nil"/>
              <w:bottom w:val="nil"/>
              <w:right w:val="nil"/>
            </w:tcBorders>
            <w:vAlign w:val="center"/>
            <w:hideMark/>
          </w:tcPr>
          <w:p w14:paraId="7F07AE29"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Organo-phosphates</w:t>
            </w:r>
          </w:p>
        </w:tc>
        <w:tc>
          <w:tcPr>
            <w:tcW w:w="1608" w:type="dxa"/>
            <w:tcBorders>
              <w:top w:val="single" w:sz="4" w:space="0" w:color="auto"/>
              <w:left w:val="nil"/>
              <w:bottom w:val="nil"/>
              <w:right w:val="nil"/>
            </w:tcBorders>
            <w:vAlign w:val="center"/>
            <w:hideMark/>
          </w:tcPr>
          <w:p w14:paraId="64B14DFC"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Organo-</w:t>
            </w:r>
            <w:proofErr w:type="spellStart"/>
            <w:r w:rsidRPr="00D860F7">
              <w:rPr>
                <w:rFonts w:ascii="Arial" w:hAnsi="Arial" w:cs="Arial"/>
                <w:b/>
                <w:bCs/>
                <w:sz w:val="18"/>
                <w:szCs w:val="18"/>
                <w:lang w:val="en-GB"/>
              </w:rPr>
              <w:t>phosphorines</w:t>
            </w:r>
            <w:proofErr w:type="spellEnd"/>
          </w:p>
        </w:tc>
        <w:tc>
          <w:tcPr>
            <w:tcW w:w="1418" w:type="dxa"/>
            <w:tcBorders>
              <w:top w:val="single" w:sz="4" w:space="0" w:color="auto"/>
              <w:left w:val="nil"/>
              <w:bottom w:val="nil"/>
              <w:right w:val="nil"/>
            </w:tcBorders>
            <w:vAlign w:val="center"/>
            <w:hideMark/>
          </w:tcPr>
          <w:p w14:paraId="01099664"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Triazines and metabolites</w:t>
            </w:r>
          </w:p>
        </w:tc>
        <w:tc>
          <w:tcPr>
            <w:tcW w:w="1275" w:type="dxa"/>
            <w:tcBorders>
              <w:top w:val="single" w:sz="4" w:space="0" w:color="auto"/>
              <w:left w:val="nil"/>
              <w:bottom w:val="nil"/>
              <w:right w:val="nil"/>
            </w:tcBorders>
            <w:vAlign w:val="center"/>
            <w:hideMark/>
          </w:tcPr>
          <w:p w14:paraId="67DB25A2"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Carbamates</w:t>
            </w:r>
          </w:p>
        </w:tc>
        <w:tc>
          <w:tcPr>
            <w:tcW w:w="1276" w:type="dxa"/>
            <w:tcBorders>
              <w:top w:val="single" w:sz="4" w:space="0" w:color="auto"/>
              <w:left w:val="nil"/>
              <w:bottom w:val="nil"/>
              <w:right w:val="nil"/>
            </w:tcBorders>
          </w:tcPr>
          <w:p w14:paraId="5D3FB79B"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 xml:space="preserve">Substituted </w:t>
            </w:r>
            <w:proofErr w:type="spellStart"/>
            <w:r w:rsidRPr="00D860F7">
              <w:rPr>
                <w:rFonts w:ascii="Arial" w:hAnsi="Arial" w:cs="Arial"/>
                <w:b/>
                <w:bCs/>
                <w:sz w:val="18"/>
                <w:szCs w:val="18"/>
                <w:lang w:val="en-GB"/>
              </w:rPr>
              <w:t>ureas</w:t>
            </w:r>
            <w:proofErr w:type="spellEnd"/>
          </w:p>
        </w:tc>
        <w:tc>
          <w:tcPr>
            <w:tcW w:w="1276" w:type="dxa"/>
            <w:tcBorders>
              <w:top w:val="single" w:sz="4" w:space="0" w:color="auto"/>
              <w:left w:val="nil"/>
              <w:bottom w:val="nil"/>
              <w:right w:val="nil"/>
            </w:tcBorders>
          </w:tcPr>
          <w:p w14:paraId="70738EFF"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Pyrethroids</w:t>
            </w:r>
          </w:p>
        </w:tc>
      </w:tr>
      <w:tr w:rsidR="00D860F7" w:rsidRPr="00D860F7" w14:paraId="0713616A" w14:textId="77777777" w:rsidTr="003B2ECF">
        <w:trPr>
          <w:trHeight w:val="290"/>
        </w:trPr>
        <w:tc>
          <w:tcPr>
            <w:tcW w:w="992" w:type="dxa"/>
            <w:vMerge w:val="restart"/>
            <w:tcBorders>
              <w:top w:val="single" w:sz="4" w:space="0" w:color="auto"/>
              <w:left w:val="nil"/>
              <w:right w:val="nil"/>
            </w:tcBorders>
            <w:vAlign w:val="center"/>
            <w:hideMark/>
          </w:tcPr>
          <w:p w14:paraId="200C2BEE" w14:textId="77777777" w:rsidR="00D860F7" w:rsidRPr="00D860F7" w:rsidRDefault="00D860F7" w:rsidP="00D418A8">
            <w:pPr>
              <w:pStyle w:val="Body"/>
              <w:spacing w:after="0"/>
              <w:rPr>
                <w:rFonts w:ascii="Arial" w:hAnsi="Arial" w:cs="Arial"/>
                <w:b/>
                <w:sz w:val="18"/>
                <w:szCs w:val="18"/>
                <w:lang w:val="en-GB"/>
              </w:rPr>
            </w:pPr>
            <w:r w:rsidRPr="00D860F7">
              <w:rPr>
                <w:rFonts w:ascii="Arial" w:hAnsi="Arial" w:cs="Arial"/>
                <w:b/>
                <w:sz w:val="18"/>
                <w:szCs w:val="18"/>
                <w:lang w:val="en-GB"/>
              </w:rPr>
              <w:t>Surface Water</w:t>
            </w:r>
          </w:p>
        </w:tc>
        <w:tc>
          <w:tcPr>
            <w:tcW w:w="1135" w:type="dxa"/>
            <w:tcBorders>
              <w:top w:val="single" w:sz="4" w:space="0" w:color="auto"/>
              <w:left w:val="nil"/>
              <w:bottom w:val="nil"/>
              <w:right w:val="nil"/>
            </w:tcBorders>
            <w:vAlign w:val="center"/>
            <w:hideMark/>
          </w:tcPr>
          <w:p w14:paraId="0DFE16F1"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Minimum</w:t>
            </w:r>
          </w:p>
        </w:tc>
        <w:tc>
          <w:tcPr>
            <w:tcW w:w="1652" w:type="dxa"/>
            <w:tcBorders>
              <w:top w:val="single" w:sz="4" w:space="0" w:color="auto"/>
              <w:left w:val="nil"/>
              <w:bottom w:val="nil"/>
              <w:right w:val="nil"/>
            </w:tcBorders>
            <w:vAlign w:val="center"/>
            <w:hideMark/>
          </w:tcPr>
          <w:p w14:paraId="67C2C7FB"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608" w:type="dxa"/>
            <w:tcBorders>
              <w:top w:val="single" w:sz="4" w:space="0" w:color="auto"/>
              <w:left w:val="nil"/>
              <w:bottom w:val="nil"/>
              <w:right w:val="nil"/>
            </w:tcBorders>
            <w:vAlign w:val="center"/>
            <w:hideMark/>
          </w:tcPr>
          <w:p w14:paraId="367EDD5F"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0.013</w:t>
            </w:r>
          </w:p>
        </w:tc>
        <w:tc>
          <w:tcPr>
            <w:tcW w:w="1418" w:type="dxa"/>
            <w:tcBorders>
              <w:top w:val="single" w:sz="4" w:space="0" w:color="auto"/>
              <w:left w:val="nil"/>
              <w:bottom w:val="nil"/>
              <w:right w:val="nil"/>
            </w:tcBorders>
            <w:vAlign w:val="center"/>
            <w:hideMark/>
          </w:tcPr>
          <w:p w14:paraId="3BFF62A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5" w:type="dxa"/>
            <w:tcBorders>
              <w:top w:val="single" w:sz="4" w:space="0" w:color="auto"/>
              <w:left w:val="nil"/>
              <w:bottom w:val="nil"/>
              <w:right w:val="nil"/>
            </w:tcBorders>
            <w:vAlign w:val="center"/>
            <w:hideMark/>
          </w:tcPr>
          <w:p w14:paraId="4F784BAD"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w:t>
            </w:r>
            <w:r w:rsidR="00D860F7" w:rsidRPr="00D860F7">
              <w:rPr>
                <w:rFonts w:ascii="Arial" w:hAnsi="Arial" w:cs="Arial"/>
                <w:sz w:val="18"/>
                <w:szCs w:val="18"/>
                <w:lang w:val="en-GB"/>
              </w:rPr>
              <w:t>0</w:t>
            </w:r>
          </w:p>
        </w:tc>
        <w:tc>
          <w:tcPr>
            <w:tcW w:w="1276" w:type="dxa"/>
            <w:tcBorders>
              <w:top w:val="single" w:sz="4" w:space="0" w:color="auto"/>
              <w:left w:val="nil"/>
              <w:bottom w:val="nil"/>
              <w:right w:val="nil"/>
            </w:tcBorders>
          </w:tcPr>
          <w:p w14:paraId="54FC0FBA"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0.087</w:t>
            </w:r>
          </w:p>
        </w:tc>
        <w:tc>
          <w:tcPr>
            <w:tcW w:w="1276" w:type="dxa"/>
            <w:tcBorders>
              <w:top w:val="single" w:sz="4" w:space="0" w:color="auto"/>
              <w:left w:val="nil"/>
              <w:bottom w:val="nil"/>
              <w:right w:val="nil"/>
            </w:tcBorders>
          </w:tcPr>
          <w:p w14:paraId="64F43147"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r>
      <w:tr w:rsidR="00D860F7" w:rsidRPr="00D860F7" w14:paraId="6C52C64D" w14:textId="77777777" w:rsidTr="003B2ECF">
        <w:trPr>
          <w:trHeight w:val="290"/>
        </w:trPr>
        <w:tc>
          <w:tcPr>
            <w:tcW w:w="992" w:type="dxa"/>
            <w:vMerge/>
            <w:tcBorders>
              <w:left w:val="nil"/>
              <w:right w:val="nil"/>
            </w:tcBorders>
            <w:vAlign w:val="center"/>
            <w:hideMark/>
          </w:tcPr>
          <w:p w14:paraId="0D8CD336"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6E8F7ED4"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Maximum</w:t>
            </w:r>
          </w:p>
        </w:tc>
        <w:tc>
          <w:tcPr>
            <w:tcW w:w="1652" w:type="dxa"/>
            <w:tcBorders>
              <w:top w:val="nil"/>
              <w:left w:val="nil"/>
              <w:bottom w:val="nil"/>
              <w:right w:val="nil"/>
            </w:tcBorders>
            <w:vAlign w:val="center"/>
            <w:hideMark/>
          </w:tcPr>
          <w:p w14:paraId="12017E69"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3.</w:t>
            </w:r>
            <w:r w:rsidR="003B2ECF">
              <w:rPr>
                <w:rFonts w:ascii="Arial" w:hAnsi="Arial" w:cs="Arial"/>
                <w:sz w:val="18"/>
                <w:szCs w:val="18"/>
                <w:lang w:val="en-GB"/>
              </w:rPr>
              <w:t>45</w:t>
            </w:r>
          </w:p>
        </w:tc>
        <w:tc>
          <w:tcPr>
            <w:tcW w:w="1608" w:type="dxa"/>
            <w:tcBorders>
              <w:top w:val="nil"/>
              <w:left w:val="nil"/>
              <w:bottom w:val="nil"/>
              <w:right w:val="nil"/>
            </w:tcBorders>
            <w:vAlign w:val="center"/>
            <w:hideMark/>
          </w:tcPr>
          <w:p w14:paraId="5E5B2B21"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0.71</w:t>
            </w:r>
          </w:p>
        </w:tc>
        <w:tc>
          <w:tcPr>
            <w:tcW w:w="1418" w:type="dxa"/>
            <w:tcBorders>
              <w:top w:val="nil"/>
              <w:left w:val="nil"/>
              <w:bottom w:val="nil"/>
              <w:right w:val="nil"/>
            </w:tcBorders>
            <w:vAlign w:val="center"/>
            <w:hideMark/>
          </w:tcPr>
          <w:p w14:paraId="6A927889"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2.23</w:t>
            </w:r>
          </w:p>
        </w:tc>
        <w:tc>
          <w:tcPr>
            <w:tcW w:w="1275" w:type="dxa"/>
            <w:tcBorders>
              <w:top w:val="nil"/>
              <w:left w:val="nil"/>
              <w:bottom w:val="nil"/>
              <w:right w:val="nil"/>
            </w:tcBorders>
            <w:vAlign w:val="center"/>
            <w:hideMark/>
          </w:tcPr>
          <w:p w14:paraId="1027210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24</w:t>
            </w:r>
          </w:p>
        </w:tc>
        <w:tc>
          <w:tcPr>
            <w:tcW w:w="1276" w:type="dxa"/>
            <w:tcBorders>
              <w:top w:val="nil"/>
              <w:left w:val="nil"/>
              <w:bottom w:val="nil"/>
              <w:right w:val="nil"/>
            </w:tcBorders>
          </w:tcPr>
          <w:p w14:paraId="482AA351"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0.49</w:t>
            </w:r>
          </w:p>
        </w:tc>
        <w:tc>
          <w:tcPr>
            <w:tcW w:w="1276" w:type="dxa"/>
            <w:tcBorders>
              <w:top w:val="nil"/>
              <w:left w:val="nil"/>
              <w:bottom w:val="nil"/>
              <w:right w:val="nil"/>
            </w:tcBorders>
          </w:tcPr>
          <w:p w14:paraId="26C846D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r>
      <w:tr w:rsidR="00D860F7" w:rsidRPr="00D860F7" w14:paraId="378B2D2D" w14:textId="77777777" w:rsidTr="003B2ECF">
        <w:trPr>
          <w:trHeight w:val="290"/>
        </w:trPr>
        <w:tc>
          <w:tcPr>
            <w:tcW w:w="992" w:type="dxa"/>
            <w:vMerge/>
            <w:tcBorders>
              <w:left w:val="nil"/>
              <w:right w:val="nil"/>
            </w:tcBorders>
            <w:vAlign w:val="center"/>
            <w:hideMark/>
          </w:tcPr>
          <w:p w14:paraId="3E8E5F26"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76E51349"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Standard deviation</w:t>
            </w:r>
          </w:p>
        </w:tc>
        <w:tc>
          <w:tcPr>
            <w:tcW w:w="1652" w:type="dxa"/>
            <w:tcBorders>
              <w:top w:val="nil"/>
              <w:left w:val="nil"/>
              <w:bottom w:val="nil"/>
              <w:right w:val="nil"/>
            </w:tcBorders>
            <w:vAlign w:val="center"/>
            <w:hideMark/>
          </w:tcPr>
          <w:p w14:paraId="4D21D998"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0.</w:t>
            </w:r>
            <w:r w:rsidR="003B2ECF">
              <w:rPr>
                <w:rFonts w:ascii="Arial" w:hAnsi="Arial" w:cs="Arial"/>
                <w:sz w:val="18"/>
                <w:szCs w:val="18"/>
                <w:lang w:val="en-GB"/>
              </w:rPr>
              <w:t>713</w:t>
            </w:r>
          </w:p>
        </w:tc>
        <w:tc>
          <w:tcPr>
            <w:tcW w:w="1608" w:type="dxa"/>
            <w:tcBorders>
              <w:top w:val="nil"/>
              <w:left w:val="nil"/>
              <w:bottom w:val="nil"/>
              <w:right w:val="nil"/>
            </w:tcBorders>
            <w:vAlign w:val="center"/>
            <w:hideMark/>
          </w:tcPr>
          <w:p w14:paraId="26A582A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0.234</w:t>
            </w:r>
          </w:p>
        </w:tc>
        <w:tc>
          <w:tcPr>
            <w:tcW w:w="1418" w:type="dxa"/>
            <w:tcBorders>
              <w:top w:val="nil"/>
              <w:left w:val="nil"/>
              <w:bottom w:val="nil"/>
              <w:right w:val="nil"/>
            </w:tcBorders>
            <w:vAlign w:val="center"/>
            <w:hideMark/>
          </w:tcPr>
          <w:p w14:paraId="3691D96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0.7</w:t>
            </w:r>
          </w:p>
        </w:tc>
        <w:tc>
          <w:tcPr>
            <w:tcW w:w="1275" w:type="dxa"/>
            <w:tcBorders>
              <w:top w:val="nil"/>
              <w:left w:val="nil"/>
              <w:bottom w:val="nil"/>
              <w:right w:val="nil"/>
            </w:tcBorders>
            <w:vAlign w:val="center"/>
            <w:hideMark/>
          </w:tcPr>
          <w:p w14:paraId="144DCF49"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018</w:t>
            </w:r>
          </w:p>
        </w:tc>
        <w:tc>
          <w:tcPr>
            <w:tcW w:w="1276" w:type="dxa"/>
            <w:tcBorders>
              <w:top w:val="nil"/>
              <w:left w:val="nil"/>
              <w:bottom w:val="nil"/>
              <w:right w:val="nil"/>
            </w:tcBorders>
          </w:tcPr>
          <w:p w14:paraId="0815E3F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0.149</w:t>
            </w:r>
          </w:p>
        </w:tc>
        <w:tc>
          <w:tcPr>
            <w:tcW w:w="1276" w:type="dxa"/>
            <w:tcBorders>
              <w:top w:val="nil"/>
              <w:left w:val="nil"/>
              <w:bottom w:val="nil"/>
              <w:right w:val="nil"/>
            </w:tcBorders>
          </w:tcPr>
          <w:p w14:paraId="4AD70FEF"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0.167</w:t>
            </w:r>
          </w:p>
        </w:tc>
      </w:tr>
      <w:tr w:rsidR="00D860F7" w:rsidRPr="00D860F7" w14:paraId="45311718" w14:textId="77777777" w:rsidTr="003B2ECF">
        <w:trPr>
          <w:trHeight w:val="290"/>
        </w:trPr>
        <w:tc>
          <w:tcPr>
            <w:tcW w:w="992" w:type="dxa"/>
            <w:vMerge/>
            <w:tcBorders>
              <w:left w:val="nil"/>
              <w:bottom w:val="nil"/>
              <w:right w:val="nil"/>
            </w:tcBorders>
            <w:vAlign w:val="center"/>
          </w:tcPr>
          <w:p w14:paraId="7150D9A8"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tcPr>
          <w:p w14:paraId="45BAF8B8"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Mean</w:t>
            </w:r>
          </w:p>
        </w:tc>
        <w:tc>
          <w:tcPr>
            <w:tcW w:w="1652" w:type="dxa"/>
            <w:tcBorders>
              <w:top w:val="nil"/>
              <w:left w:val="nil"/>
              <w:bottom w:val="nil"/>
              <w:right w:val="nil"/>
            </w:tcBorders>
            <w:vAlign w:val="center"/>
          </w:tcPr>
          <w:p w14:paraId="30E479E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0.453</w:t>
            </w:r>
          </w:p>
        </w:tc>
        <w:tc>
          <w:tcPr>
            <w:tcW w:w="1608" w:type="dxa"/>
            <w:tcBorders>
              <w:top w:val="nil"/>
              <w:left w:val="nil"/>
              <w:bottom w:val="nil"/>
              <w:right w:val="nil"/>
            </w:tcBorders>
            <w:vAlign w:val="center"/>
          </w:tcPr>
          <w:p w14:paraId="482511DE"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0.175</w:t>
            </w:r>
          </w:p>
        </w:tc>
        <w:tc>
          <w:tcPr>
            <w:tcW w:w="1418" w:type="dxa"/>
            <w:tcBorders>
              <w:top w:val="nil"/>
              <w:left w:val="nil"/>
              <w:bottom w:val="nil"/>
              <w:right w:val="nil"/>
            </w:tcBorders>
            <w:vAlign w:val="center"/>
          </w:tcPr>
          <w:p w14:paraId="512B5D0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0.466</w:t>
            </w:r>
          </w:p>
        </w:tc>
        <w:tc>
          <w:tcPr>
            <w:tcW w:w="1275" w:type="dxa"/>
            <w:tcBorders>
              <w:top w:val="nil"/>
              <w:left w:val="nil"/>
              <w:bottom w:val="nil"/>
              <w:right w:val="nil"/>
            </w:tcBorders>
            <w:vAlign w:val="center"/>
          </w:tcPr>
          <w:p w14:paraId="079C6DD3"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024</w:t>
            </w:r>
          </w:p>
        </w:tc>
        <w:tc>
          <w:tcPr>
            <w:tcW w:w="1276" w:type="dxa"/>
            <w:tcBorders>
              <w:top w:val="nil"/>
              <w:left w:val="nil"/>
              <w:bottom w:val="nil"/>
              <w:right w:val="nil"/>
            </w:tcBorders>
          </w:tcPr>
          <w:p w14:paraId="172DE57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0.202</w:t>
            </w:r>
          </w:p>
        </w:tc>
        <w:tc>
          <w:tcPr>
            <w:tcW w:w="1276" w:type="dxa"/>
            <w:tcBorders>
              <w:top w:val="nil"/>
              <w:left w:val="nil"/>
              <w:bottom w:val="nil"/>
              <w:right w:val="nil"/>
            </w:tcBorders>
          </w:tcPr>
          <w:p w14:paraId="56C7AC7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0.077</w:t>
            </w:r>
          </w:p>
        </w:tc>
      </w:tr>
      <w:tr w:rsidR="00D860F7" w:rsidRPr="00D860F7" w14:paraId="625077E6" w14:textId="77777777" w:rsidTr="003B2ECF">
        <w:trPr>
          <w:trHeight w:val="290"/>
        </w:trPr>
        <w:tc>
          <w:tcPr>
            <w:tcW w:w="992" w:type="dxa"/>
            <w:vMerge w:val="restart"/>
            <w:tcBorders>
              <w:top w:val="single" w:sz="4" w:space="0" w:color="auto"/>
              <w:left w:val="nil"/>
              <w:right w:val="nil"/>
            </w:tcBorders>
            <w:vAlign w:val="center"/>
            <w:hideMark/>
          </w:tcPr>
          <w:p w14:paraId="074FCBD7" w14:textId="77777777" w:rsidR="00D860F7" w:rsidRPr="00D860F7" w:rsidRDefault="00D860F7" w:rsidP="000D58A3">
            <w:pPr>
              <w:pStyle w:val="Body"/>
              <w:spacing w:after="0"/>
              <w:rPr>
                <w:rFonts w:ascii="Arial" w:hAnsi="Arial" w:cs="Arial"/>
                <w:b/>
                <w:sz w:val="18"/>
                <w:szCs w:val="18"/>
                <w:lang w:val="en-GB"/>
              </w:rPr>
            </w:pPr>
            <w:r w:rsidRPr="00D860F7">
              <w:rPr>
                <w:rFonts w:ascii="Arial" w:hAnsi="Arial" w:cs="Arial"/>
                <w:b/>
                <w:sz w:val="18"/>
                <w:szCs w:val="18"/>
                <w:lang w:val="en-GB"/>
              </w:rPr>
              <w:t>Ground</w:t>
            </w:r>
            <w:r w:rsidR="003B2ECF">
              <w:rPr>
                <w:rFonts w:ascii="Arial" w:hAnsi="Arial" w:cs="Arial"/>
                <w:b/>
                <w:sz w:val="18"/>
                <w:szCs w:val="18"/>
                <w:lang w:val="en-GB"/>
              </w:rPr>
              <w:t>-</w:t>
            </w:r>
            <w:r w:rsidRPr="00D860F7">
              <w:rPr>
                <w:rFonts w:ascii="Arial" w:hAnsi="Arial" w:cs="Arial"/>
                <w:b/>
                <w:sz w:val="18"/>
                <w:szCs w:val="18"/>
                <w:lang w:val="en-GB"/>
              </w:rPr>
              <w:t>water</w:t>
            </w:r>
          </w:p>
        </w:tc>
        <w:tc>
          <w:tcPr>
            <w:tcW w:w="1135" w:type="dxa"/>
            <w:tcBorders>
              <w:top w:val="single" w:sz="4" w:space="0" w:color="auto"/>
              <w:left w:val="nil"/>
              <w:bottom w:val="nil"/>
              <w:right w:val="nil"/>
            </w:tcBorders>
            <w:vAlign w:val="center"/>
            <w:hideMark/>
          </w:tcPr>
          <w:p w14:paraId="1B4B9B99"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Minimum</w:t>
            </w:r>
          </w:p>
        </w:tc>
        <w:tc>
          <w:tcPr>
            <w:tcW w:w="1652" w:type="dxa"/>
            <w:tcBorders>
              <w:top w:val="single" w:sz="4" w:space="0" w:color="auto"/>
              <w:left w:val="nil"/>
              <w:bottom w:val="nil"/>
              <w:right w:val="nil"/>
            </w:tcBorders>
            <w:vAlign w:val="center"/>
            <w:hideMark/>
          </w:tcPr>
          <w:p w14:paraId="3E9D01A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608" w:type="dxa"/>
            <w:tcBorders>
              <w:top w:val="single" w:sz="4" w:space="0" w:color="auto"/>
              <w:left w:val="nil"/>
              <w:bottom w:val="nil"/>
              <w:right w:val="nil"/>
            </w:tcBorders>
            <w:vAlign w:val="center"/>
            <w:hideMark/>
          </w:tcPr>
          <w:p w14:paraId="2855C2B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0.013</w:t>
            </w:r>
          </w:p>
        </w:tc>
        <w:tc>
          <w:tcPr>
            <w:tcW w:w="1418" w:type="dxa"/>
            <w:tcBorders>
              <w:top w:val="single" w:sz="4" w:space="0" w:color="auto"/>
              <w:left w:val="nil"/>
              <w:bottom w:val="nil"/>
              <w:right w:val="nil"/>
            </w:tcBorders>
            <w:vAlign w:val="center"/>
            <w:hideMark/>
          </w:tcPr>
          <w:p w14:paraId="7D1C4FF4"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w:t>
            </w:r>
            <w:r w:rsidR="00D860F7" w:rsidRPr="00D860F7">
              <w:rPr>
                <w:rFonts w:ascii="Arial" w:hAnsi="Arial" w:cs="Arial"/>
                <w:sz w:val="18"/>
                <w:szCs w:val="18"/>
                <w:lang w:val="en-GB"/>
              </w:rPr>
              <w:t>0</w:t>
            </w:r>
          </w:p>
        </w:tc>
        <w:tc>
          <w:tcPr>
            <w:tcW w:w="1275" w:type="dxa"/>
            <w:tcBorders>
              <w:top w:val="single" w:sz="4" w:space="0" w:color="auto"/>
              <w:left w:val="nil"/>
              <w:bottom w:val="nil"/>
              <w:right w:val="nil"/>
            </w:tcBorders>
            <w:vAlign w:val="center"/>
            <w:hideMark/>
          </w:tcPr>
          <w:p w14:paraId="4234438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6" w:type="dxa"/>
            <w:tcBorders>
              <w:top w:val="single" w:sz="4" w:space="0" w:color="auto"/>
              <w:left w:val="nil"/>
              <w:bottom w:val="nil"/>
              <w:right w:val="nil"/>
            </w:tcBorders>
          </w:tcPr>
          <w:p w14:paraId="6A1007B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6" w:type="dxa"/>
            <w:tcBorders>
              <w:top w:val="single" w:sz="4" w:space="0" w:color="auto"/>
              <w:left w:val="nil"/>
              <w:bottom w:val="nil"/>
              <w:right w:val="nil"/>
            </w:tcBorders>
          </w:tcPr>
          <w:p w14:paraId="040581C8"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r>
      <w:tr w:rsidR="00D860F7" w:rsidRPr="00D860F7" w14:paraId="195F84AD" w14:textId="77777777" w:rsidTr="003B2ECF">
        <w:trPr>
          <w:trHeight w:val="290"/>
        </w:trPr>
        <w:tc>
          <w:tcPr>
            <w:tcW w:w="992" w:type="dxa"/>
            <w:vMerge/>
            <w:tcBorders>
              <w:left w:val="nil"/>
              <w:right w:val="nil"/>
            </w:tcBorders>
            <w:vAlign w:val="center"/>
            <w:hideMark/>
          </w:tcPr>
          <w:p w14:paraId="44148CC5"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63692FB7"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Maximum</w:t>
            </w:r>
          </w:p>
        </w:tc>
        <w:tc>
          <w:tcPr>
            <w:tcW w:w="1652" w:type="dxa"/>
            <w:tcBorders>
              <w:top w:val="nil"/>
              <w:left w:val="nil"/>
              <w:bottom w:val="nil"/>
              <w:right w:val="nil"/>
            </w:tcBorders>
            <w:vAlign w:val="center"/>
            <w:hideMark/>
          </w:tcPr>
          <w:p w14:paraId="55586AA0"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3.45</w:t>
            </w:r>
          </w:p>
        </w:tc>
        <w:tc>
          <w:tcPr>
            <w:tcW w:w="1608" w:type="dxa"/>
            <w:tcBorders>
              <w:top w:val="nil"/>
              <w:left w:val="nil"/>
              <w:bottom w:val="nil"/>
              <w:right w:val="nil"/>
            </w:tcBorders>
            <w:vAlign w:val="center"/>
            <w:hideMark/>
          </w:tcPr>
          <w:p w14:paraId="3BFF729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0.71</w:t>
            </w:r>
          </w:p>
        </w:tc>
        <w:tc>
          <w:tcPr>
            <w:tcW w:w="1418" w:type="dxa"/>
            <w:tcBorders>
              <w:top w:val="nil"/>
              <w:left w:val="nil"/>
              <w:bottom w:val="nil"/>
              <w:right w:val="nil"/>
            </w:tcBorders>
            <w:vAlign w:val="center"/>
            <w:hideMark/>
          </w:tcPr>
          <w:p w14:paraId="51DBC50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2.23</w:t>
            </w:r>
          </w:p>
        </w:tc>
        <w:tc>
          <w:tcPr>
            <w:tcW w:w="1275" w:type="dxa"/>
            <w:tcBorders>
              <w:top w:val="nil"/>
              <w:left w:val="nil"/>
              <w:bottom w:val="nil"/>
              <w:right w:val="nil"/>
            </w:tcBorders>
            <w:vAlign w:val="center"/>
            <w:hideMark/>
          </w:tcPr>
          <w:p w14:paraId="7721690A"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0.24</w:t>
            </w:r>
          </w:p>
        </w:tc>
        <w:tc>
          <w:tcPr>
            <w:tcW w:w="1276" w:type="dxa"/>
            <w:tcBorders>
              <w:top w:val="nil"/>
              <w:left w:val="nil"/>
              <w:bottom w:val="nil"/>
              <w:right w:val="nil"/>
            </w:tcBorders>
          </w:tcPr>
          <w:p w14:paraId="57C78EE1"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c>
          <w:tcPr>
            <w:tcW w:w="1276" w:type="dxa"/>
            <w:tcBorders>
              <w:top w:val="nil"/>
              <w:left w:val="nil"/>
              <w:bottom w:val="nil"/>
              <w:right w:val="nil"/>
            </w:tcBorders>
          </w:tcPr>
          <w:p w14:paraId="1DC13D75"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r>
      <w:tr w:rsidR="00D860F7" w:rsidRPr="00D860F7" w14:paraId="51E03AC9" w14:textId="77777777" w:rsidTr="003B2ECF">
        <w:trPr>
          <w:trHeight w:val="290"/>
        </w:trPr>
        <w:tc>
          <w:tcPr>
            <w:tcW w:w="992" w:type="dxa"/>
            <w:vMerge/>
            <w:tcBorders>
              <w:left w:val="nil"/>
              <w:right w:val="nil"/>
            </w:tcBorders>
            <w:vAlign w:val="center"/>
            <w:hideMark/>
          </w:tcPr>
          <w:p w14:paraId="0071AC28"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23E61CB3"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Standard deviation</w:t>
            </w:r>
          </w:p>
        </w:tc>
        <w:tc>
          <w:tcPr>
            <w:tcW w:w="1652" w:type="dxa"/>
            <w:tcBorders>
              <w:top w:val="nil"/>
              <w:left w:val="nil"/>
              <w:bottom w:val="nil"/>
              <w:right w:val="nil"/>
            </w:tcBorders>
            <w:vAlign w:val="center"/>
            <w:hideMark/>
          </w:tcPr>
          <w:p w14:paraId="4DE7D24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0537</w:t>
            </w:r>
          </w:p>
        </w:tc>
        <w:tc>
          <w:tcPr>
            <w:tcW w:w="1608" w:type="dxa"/>
            <w:tcBorders>
              <w:top w:val="nil"/>
              <w:left w:val="nil"/>
              <w:bottom w:val="nil"/>
              <w:right w:val="nil"/>
            </w:tcBorders>
            <w:vAlign w:val="center"/>
            <w:hideMark/>
          </w:tcPr>
          <w:p w14:paraId="517AA534"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0.159</w:t>
            </w:r>
          </w:p>
        </w:tc>
        <w:tc>
          <w:tcPr>
            <w:tcW w:w="1418" w:type="dxa"/>
            <w:tcBorders>
              <w:top w:val="nil"/>
              <w:left w:val="nil"/>
              <w:bottom w:val="nil"/>
              <w:right w:val="nil"/>
            </w:tcBorders>
            <w:vAlign w:val="center"/>
            <w:hideMark/>
          </w:tcPr>
          <w:p w14:paraId="69208EE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0.486</w:t>
            </w:r>
          </w:p>
        </w:tc>
        <w:tc>
          <w:tcPr>
            <w:tcW w:w="1275" w:type="dxa"/>
            <w:tcBorders>
              <w:top w:val="nil"/>
              <w:left w:val="nil"/>
              <w:bottom w:val="nil"/>
              <w:right w:val="nil"/>
            </w:tcBorders>
            <w:vAlign w:val="center"/>
            <w:hideMark/>
          </w:tcPr>
          <w:p w14:paraId="2117646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0.071</w:t>
            </w:r>
          </w:p>
        </w:tc>
        <w:tc>
          <w:tcPr>
            <w:tcW w:w="1276" w:type="dxa"/>
            <w:tcBorders>
              <w:top w:val="nil"/>
              <w:left w:val="nil"/>
              <w:bottom w:val="nil"/>
              <w:right w:val="nil"/>
            </w:tcBorders>
          </w:tcPr>
          <w:p w14:paraId="197287A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0.126</w:t>
            </w:r>
          </w:p>
        </w:tc>
        <w:tc>
          <w:tcPr>
            <w:tcW w:w="1276" w:type="dxa"/>
            <w:tcBorders>
              <w:top w:val="nil"/>
              <w:left w:val="nil"/>
              <w:bottom w:val="nil"/>
              <w:right w:val="nil"/>
            </w:tcBorders>
          </w:tcPr>
          <w:p w14:paraId="59CABDC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w:t>
            </w:r>
            <w:r w:rsidR="00A465DC">
              <w:rPr>
                <w:rFonts w:ascii="Arial" w:hAnsi="Arial" w:cs="Arial"/>
                <w:sz w:val="18"/>
                <w:szCs w:val="18"/>
                <w:lang w:val="en-GB"/>
              </w:rPr>
              <w:t>08</w:t>
            </w:r>
          </w:p>
        </w:tc>
      </w:tr>
      <w:tr w:rsidR="00D860F7" w:rsidRPr="00D860F7" w14:paraId="5FEFC014" w14:textId="77777777" w:rsidTr="00A465DC">
        <w:trPr>
          <w:trHeight w:val="290"/>
        </w:trPr>
        <w:tc>
          <w:tcPr>
            <w:tcW w:w="992" w:type="dxa"/>
            <w:vMerge/>
            <w:tcBorders>
              <w:left w:val="nil"/>
              <w:bottom w:val="single" w:sz="4" w:space="0" w:color="auto"/>
              <w:right w:val="nil"/>
            </w:tcBorders>
            <w:vAlign w:val="center"/>
          </w:tcPr>
          <w:p w14:paraId="223C1EA4"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single" w:sz="4" w:space="0" w:color="auto"/>
              <w:right w:val="nil"/>
            </w:tcBorders>
            <w:vAlign w:val="center"/>
          </w:tcPr>
          <w:p w14:paraId="77704973"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Mean</w:t>
            </w:r>
          </w:p>
        </w:tc>
        <w:tc>
          <w:tcPr>
            <w:tcW w:w="1652" w:type="dxa"/>
            <w:tcBorders>
              <w:top w:val="nil"/>
              <w:left w:val="nil"/>
              <w:bottom w:val="single" w:sz="4" w:space="0" w:color="auto"/>
              <w:right w:val="nil"/>
            </w:tcBorders>
            <w:vAlign w:val="center"/>
          </w:tcPr>
          <w:p w14:paraId="29BEB2BF"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0.321</w:t>
            </w:r>
          </w:p>
        </w:tc>
        <w:tc>
          <w:tcPr>
            <w:tcW w:w="1608" w:type="dxa"/>
            <w:tcBorders>
              <w:top w:val="nil"/>
              <w:left w:val="nil"/>
              <w:bottom w:val="single" w:sz="4" w:space="0" w:color="auto"/>
              <w:right w:val="nil"/>
            </w:tcBorders>
            <w:vAlign w:val="center"/>
          </w:tcPr>
          <w:p w14:paraId="13DC0781"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0.112</w:t>
            </w:r>
          </w:p>
        </w:tc>
        <w:tc>
          <w:tcPr>
            <w:tcW w:w="1418" w:type="dxa"/>
            <w:tcBorders>
              <w:top w:val="nil"/>
              <w:left w:val="nil"/>
              <w:bottom w:val="single" w:sz="4" w:space="0" w:color="auto"/>
              <w:right w:val="nil"/>
            </w:tcBorders>
            <w:vAlign w:val="center"/>
          </w:tcPr>
          <w:p w14:paraId="7B18A997"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0.195</w:t>
            </w:r>
          </w:p>
        </w:tc>
        <w:tc>
          <w:tcPr>
            <w:tcW w:w="1275" w:type="dxa"/>
            <w:tcBorders>
              <w:top w:val="nil"/>
              <w:left w:val="nil"/>
              <w:bottom w:val="single" w:sz="4" w:space="0" w:color="auto"/>
              <w:right w:val="nil"/>
            </w:tcBorders>
            <w:vAlign w:val="center"/>
          </w:tcPr>
          <w:p w14:paraId="7C2EFBD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0.043</w:t>
            </w:r>
          </w:p>
        </w:tc>
        <w:tc>
          <w:tcPr>
            <w:tcW w:w="1276" w:type="dxa"/>
            <w:tcBorders>
              <w:top w:val="nil"/>
              <w:left w:val="nil"/>
              <w:bottom w:val="single" w:sz="4" w:space="0" w:color="auto"/>
              <w:right w:val="nil"/>
            </w:tcBorders>
          </w:tcPr>
          <w:p w14:paraId="318150C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0.12</w:t>
            </w:r>
          </w:p>
        </w:tc>
        <w:tc>
          <w:tcPr>
            <w:tcW w:w="1276" w:type="dxa"/>
            <w:tcBorders>
              <w:top w:val="nil"/>
              <w:left w:val="nil"/>
              <w:bottom w:val="single" w:sz="4" w:space="0" w:color="auto"/>
              <w:right w:val="nil"/>
            </w:tcBorders>
          </w:tcPr>
          <w:p w14:paraId="49050077" w14:textId="77777777" w:rsidR="00D860F7" w:rsidRPr="00D860F7" w:rsidRDefault="00A465DC" w:rsidP="003B2ECF">
            <w:pPr>
              <w:pStyle w:val="Body"/>
              <w:spacing w:after="0"/>
              <w:jc w:val="center"/>
              <w:rPr>
                <w:rFonts w:ascii="Arial" w:hAnsi="Arial" w:cs="Arial"/>
                <w:sz w:val="18"/>
                <w:szCs w:val="18"/>
                <w:lang w:val="en-GB"/>
              </w:rPr>
            </w:pPr>
            <w:r>
              <w:rPr>
                <w:rFonts w:ascii="Arial" w:hAnsi="Arial" w:cs="Arial"/>
                <w:sz w:val="18"/>
                <w:szCs w:val="18"/>
                <w:lang w:val="en-GB"/>
              </w:rPr>
              <w:t>0.077</w:t>
            </w:r>
          </w:p>
        </w:tc>
      </w:tr>
    </w:tbl>
    <w:p w14:paraId="0BA899DC" w14:textId="77777777" w:rsidR="00DE62A3" w:rsidRDefault="00DE62A3" w:rsidP="00DE62A3">
      <w:pPr>
        <w:pStyle w:val="Body"/>
        <w:spacing w:after="0"/>
        <w:rPr>
          <w:rFonts w:ascii="Arial" w:hAnsi="Arial" w:cs="Arial"/>
          <w:b/>
          <w:bCs/>
          <w:iCs/>
          <w:lang w:val="en"/>
        </w:rPr>
      </w:pPr>
    </w:p>
    <w:p w14:paraId="5E233130" w14:textId="77777777" w:rsidR="00DE62A3" w:rsidRDefault="007614E9" w:rsidP="00DE62A3">
      <w:pPr>
        <w:pStyle w:val="Body"/>
        <w:spacing w:after="0"/>
        <w:rPr>
          <w:rFonts w:ascii="Arial" w:hAnsi="Arial" w:cs="Arial"/>
          <w:b/>
          <w:bCs/>
          <w:iCs/>
          <w:lang w:val="en"/>
        </w:rPr>
      </w:pPr>
      <w:r w:rsidRPr="007614E9">
        <w:rPr>
          <w:rFonts w:ascii="Arial" w:hAnsi="Arial" w:cs="Arial"/>
          <w:b/>
          <w:bCs/>
          <w:iCs/>
          <w:sz w:val="22"/>
          <w:lang w:val="en-GB"/>
        </w:rPr>
        <w:t xml:space="preserve">3.1.3 </w:t>
      </w:r>
      <w:r w:rsidR="00DE62A3" w:rsidRPr="007614E9">
        <w:rPr>
          <w:rFonts w:ascii="Arial" w:hAnsi="Arial" w:cs="Arial"/>
          <w:b/>
          <w:bCs/>
          <w:iCs/>
          <w:sz w:val="22"/>
          <w:lang w:val="en"/>
        </w:rPr>
        <w:t>Water quality index</w:t>
      </w:r>
    </w:p>
    <w:p w14:paraId="0722D4FC" w14:textId="77777777" w:rsidR="00E9424C" w:rsidRPr="00DE62A3" w:rsidRDefault="00E9424C" w:rsidP="00DE62A3">
      <w:pPr>
        <w:pStyle w:val="Body"/>
        <w:spacing w:after="0"/>
        <w:rPr>
          <w:rFonts w:ascii="Arial" w:hAnsi="Arial" w:cs="Arial"/>
          <w:b/>
          <w:bCs/>
          <w:iCs/>
          <w:lang w:val="en"/>
        </w:rPr>
      </w:pPr>
    </w:p>
    <w:p w14:paraId="5E517327" w14:textId="77777777" w:rsidR="00DE62A3" w:rsidRDefault="00DE62A3" w:rsidP="00DE62A3">
      <w:pPr>
        <w:pStyle w:val="Body"/>
        <w:spacing w:after="0"/>
        <w:rPr>
          <w:rFonts w:ascii="Arial" w:hAnsi="Arial" w:cs="Arial"/>
          <w:lang w:val="en"/>
        </w:rPr>
      </w:pPr>
      <w:r w:rsidRPr="00DE62A3">
        <w:rPr>
          <w:rFonts w:ascii="Arial" w:hAnsi="Arial" w:cs="Arial"/>
          <w:lang w:val="en"/>
        </w:rPr>
        <w:t>Surface waters exhibit varying levels of chemical and agricultural pollution. The Chemical Pollution Index (CPI) ranges from 1.31 at River 4 to 2.08 at River 3, with an average of 1.63, corresponding to 20.1% of samples being of good quality, 47.9% of poor quality, and 32% of very poor quality (figure 2). The Agricultural Pollution Index (API) varies from 2.65 µg/L at River 4 to 7.78 µg/L at River 3, with an average of 5.30 µg/L, indicating that 29.7% of samples are of poor quality and 70.3% are of very poor quality (Figure 3).</w:t>
      </w:r>
    </w:p>
    <w:p w14:paraId="75BB946E" w14:textId="77777777" w:rsidR="002D44DF" w:rsidRPr="00DE62A3" w:rsidRDefault="002D44DF" w:rsidP="00DE62A3">
      <w:pPr>
        <w:pStyle w:val="Body"/>
        <w:spacing w:after="0"/>
        <w:rPr>
          <w:rFonts w:ascii="Arial" w:hAnsi="Arial" w:cs="Arial"/>
          <w:lang w:val="en"/>
        </w:rPr>
      </w:pPr>
    </w:p>
    <w:p w14:paraId="383A2411" w14:textId="77777777" w:rsidR="00DE62A3" w:rsidRPr="00DE62A3" w:rsidRDefault="00722536" w:rsidP="00DE62A3">
      <w:pPr>
        <w:pStyle w:val="Body"/>
        <w:spacing w:after="0"/>
        <w:rPr>
          <w:rFonts w:ascii="Arial" w:hAnsi="Arial" w:cs="Arial"/>
          <w:lang w:val="en"/>
        </w:rPr>
      </w:pPr>
      <w:r>
        <w:rPr>
          <w:rFonts w:ascii="Arial" w:hAnsi="Arial" w:cs="Arial"/>
        </w:rPr>
        <w:pict w14:anchorId="5F10DB08">
          <v:shapetype id="_x0000_t202" coordsize="21600,21600" o:spt="202" path="m,l,21600r21600,l21600,xe">
            <v:stroke joinstyle="miter"/>
            <v:path gradientshapeok="t" o:connecttype="rect"/>
          </v:shapetype>
          <v:shape id="Text Box 4" o:spid="_x0000_s1033" type="#_x0000_t202" style="position:absolute;left:0;text-align:left;margin-left:248.5pt;margin-top:186.75pt;width:207.5pt;height:32pt;z-index:251660288;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" fillcolor="white [3201]" stroked="f" strokeweight=".5pt">
            <v:textbox style="mso-next-textbox:#Text Box 4">
              <w:txbxContent>
                <w:p w14:paraId="52827B66" w14:textId="77777777" w:rsidR="002D44DF" w:rsidRPr="000D58A3" w:rsidRDefault="002D44DF" w:rsidP="002D44DF">
                  <w:pPr>
                    <w:pStyle w:val="Caption"/>
                    <w:rPr>
                      <w:i w:val="0"/>
                      <w:noProof/>
                      <w:color w:val="auto"/>
                      <w:sz w:val="20"/>
                      <w:szCs w:val="20"/>
                    </w:rPr>
                  </w:pPr>
                  <w:r w:rsidRPr="000D58A3">
                    <w:rPr>
                      <w:i w:val="0"/>
                      <w:color w:val="auto"/>
                      <w:sz w:val="20"/>
                      <w:szCs w:val="20"/>
                    </w:rPr>
                    <w:t xml:space="preserve">Figure </w:t>
                  </w:r>
                  <w:r w:rsidRPr="000D58A3">
                    <w:rPr>
                      <w:i w:val="0"/>
                      <w:color w:val="auto"/>
                      <w:sz w:val="20"/>
                      <w:szCs w:val="20"/>
                    </w:rPr>
                    <w:fldChar w:fldCharType="begin"/>
                  </w:r>
                  <w:r w:rsidRPr="000D58A3">
                    <w:rPr>
                      <w:i w:val="0"/>
                      <w:color w:val="auto"/>
                      <w:sz w:val="20"/>
                      <w:szCs w:val="20"/>
                    </w:rPr>
                    <w:instrText xml:space="preserve"> SEQ Figure \* ARABIC </w:instrText>
                  </w:r>
                  <w:r w:rsidRPr="000D58A3">
                    <w:rPr>
                      <w:i w:val="0"/>
                      <w:color w:val="auto"/>
                      <w:sz w:val="20"/>
                      <w:szCs w:val="20"/>
                    </w:rPr>
                    <w:fldChar w:fldCharType="separate"/>
                  </w:r>
                  <w:r w:rsidRPr="000D58A3">
                    <w:rPr>
                      <w:i w:val="0"/>
                      <w:noProof/>
                      <w:color w:val="auto"/>
                      <w:sz w:val="20"/>
                      <w:szCs w:val="20"/>
                    </w:rPr>
                    <w:t>3</w:t>
                  </w:r>
                  <w:r w:rsidRPr="000D58A3">
                    <w:rPr>
                      <w:i w:val="0"/>
                      <w:color w:val="auto"/>
                      <w:sz w:val="20"/>
                      <w:szCs w:val="20"/>
                    </w:rPr>
                    <w:fldChar w:fldCharType="end"/>
                  </w:r>
                  <w:r w:rsidRPr="000D58A3">
                    <w:rPr>
                      <w:i w:val="0"/>
                      <w:color w:val="auto"/>
                      <w:sz w:val="20"/>
                      <w:szCs w:val="20"/>
                    </w:rPr>
                    <w:t xml:space="preserve"> : Spatial distribution of Pesticide Alteration Indices (PAI) in surface waters.</w:t>
                  </w:r>
                </w:p>
              </w:txbxContent>
            </v:textbox>
          </v:shape>
        </w:pict>
      </w:r>
      <w:r w:rsidR="00DE62A3" w:rsidRPr="00DE62A3">
        <w:rPr>
          <w:rFonts w:ascii="Arial" w:hAnsi="Arial" w:cs="Arial"/>
          <w:noProof/>
        </w:rPr>
        <w:drawing>
          <wp:inline distT="0" distB="0" distL="0" distR="0" wp14:anchorId="24AFB094" wp14:editId="0315DC1C">
            <wp:extent cx="59436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71725"/>
                    </a:xfrm>
                    <a:prstGeom prst="rect">
                      <a:avLst/>
                    </a:prstGeom>
                  </pic:spPr>
                </pic:pic>
              </a:graphicData>
            </a:graphic>
          </wp:inline>
        </w:drawing>
      </w:r>
    </w:p>
    <w:p w14:paraId="29866D6E" w14:textId="77777777" w:rsidR="00DE62A3" w:rsidRDefault="00722536" w:rsidP="00DE62A3">
      <w:pPr>
        <w:pStyle w:val="Body"/>
        <w:spacing w:after="0"/>
        <w:rPr>
          <w:rFonts w:ascii="Arial" w:hAnsi="Arial" w:cs="Arial"/>
          <w:lang w:val="en"/>
        </w:rPr>
      </w:pPr>
      <w:r>
        <w:rPr>
          <w:rFonts w:ascii="Arial" w:hAnsi="Arial" w:cs="Arial"/>
        </w:rPr>
        <w:pict w14:anchorId="78A9D671">
          <v:shape id="Text Box 6" o:spid="_x0000_s1034" type="#_x0000_t202" style="position:absolute;left:0;text-align:left;margin-left:8.5pt;margin-top:3pt;width:226pt;height:30pt;z-index:2516613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" fillcolor="white [3201]" stroked="f" strokeweight=".5pt">
            <v:textbox style="mso-next-textbox:#Text Box 6">
              <w:txbxContent>
                <w:p w14:paraId="05BA7897" w14:textId="77777777" w:rsidR="002D44DF" w:rsidRPr="000D58A3" w:rsidRDefault="002D44DF" w:rsidP="00DE62A3">
                  <w:pPr>
                    <w:pStyle w:val="Caption"/>
                    <w:rPr>
                      <w:i w:val="0"/>
                      <w:noProof/>
                      <w:color w:val="auto"/>
                      <w:sz w:val="20"/>
                      <w:szCs w:val="20"/>
                    </w:rPr>
                  </w:pPr>
                  <w:r w:rsidRPr="000D58A3">
                    <w:rPr>
                      <w:i w:val="0"/>
                      <w:color w:val="auto"/>
                      <w:sz w:val="20"/>
                      <w:szCs w:val="20"/>
                    </w:rPr>
                    <w:t xml:space="preserve">Figure </w:t>
                  </w:r>
                  <w:r w:rsidRPr="000D58A3">
                    <w:rPr>
                      <w:i w:val="0"/>
                      <w:color w:val="auto"/>
                      <w:sz w:val="20"/>
                      <w:szCs w:val="20"/>
                    </w:rPr>
                    <w:fldChar w:fldCharType="begin"/>
                  </w:r>
                  <w:r w:rsidRPr="000D58A3">
                    <w:rPr>
                      <w:i w:val="0"/>
                      <w:color w:val="auto"/>
                      <w:sz w:val="20"/>
                      <w:szCs w:val="20"/>
                    </w:rPr>
                    <w:instrText xml:space="preserve"> SEQ Figure \* ARABIC </w:instrText>
                  </w:r>
                  <w:r w:rsidRPr="000D58A3">
                    <w:rPr>
                      <w:i w:val="0"/>
                      <w:color w:val="auto"/>
                      <w:sz w:val="20"/>
                      <w:szCs w:val="20"/>
                    </w:rPr>
                    <w:fldChar w:fldCharType="separate"/>
                  </w:r>
                  <w:r w:rsidRPr="000D58A3">
                    <w:rPr>
                      <w:i w:val="0"/>
                      <w:noProof/>
                      <w:color w:val="auto"/>
                      <w:sz w:val="20"/>
                      <w:szCs w:val="20"/>
                    </w:rPr>
                    <w:t>2</w:t>
                  </w:r>
                  <w:r w:rsidRPr="000D58A3">
                    <w:rPr>
                      <w:i w:val="0"/>
                      <w:color w:val="auto"/>
                      <w:sz w:val="20"/>
                      <w:szCs w:val="20"/>
                    </w:rPr>
                    <w:fldChar w:fldCharType="end"/>
                  </w:r>
                  <w:r w:rsidRPr="000D58A3">
                    <w:rPr>
                      <w:i w:val="0"/>
                      <w:color w:val="auto"/>
                      <w:sz w:val="20"/>
                      <w:szCs w:val="20"/>
                    </w:rPr>
                    <w:t xml:space="preserve"> : Spatial distribution of Pesticide contamination indices (PCIs) in surface waters.</w:t>
                  </w:r>
                </w:p>
                <w:p w14:paraId="5DB0DF24" w14:textId="77777777" w:rsidR="002D44DF" w:rsidRPr="000D58A3" w:rsidRDefault="002D44DF" w:rsidP="00DE62A3"/>
              </w:txbxContent>
            </v:textbox>
          </v:shape>
        </w:pict>
      </w:r>
    </w:p>
    <w:p w14:paraId="2520D2DB" w14:textId="77777777" w:rsidR="00DE62A3" w:rsidRDefault="00DE62A3" w:rsidP="00DE62A3">
      <w:pPr>
        <w:pStyle w:val="Body"/>
        <w:spacing w:after="0"/>
        <w:rPr>
          <w:rFonts w:ascii="Arial" w:hAnsi="Arial" w:cs="Arial"/>
          <w:lang w:val="en"/>
        </w:rPr>
      </w:pPr>
    </w:p>
    <w:p w14:paraId="7745D061" w14:textId="77777777" w:rsidR="00DE62A3" w:rsidRDefault="00DE62A3" w:rsidP="00DE62A3">
      <w:pPr>
        <w:pStyle w:val="Body"/>
        <w:spacing w:after="0"/>
        <w:rPr>
          <w:rFonts w:ascii="Arial" w:hAnsi="Arial" w:cs="Arial"/>
          <w:lang w:val="en"/>
        </w:rPr>
      </w:pPr>
    </w:p>
    <w:p w14:paraId="4C581B9D" w14:textId="77777777" w:rsidR="00DE62A3" w:rsidRPr="00DE62A3" w:rsidRDefault="00DE62A3" w:rsidP="00DE62A3">
      <w:pPr>
        <w:pStyle w:val="Body"/>
        <w:spacing w:after="0"/>
        <w:rPr>
          <w:rFonts w:ascii="Arial" w:hAnsi="Arial" w:cs="Arial"/>
          <w:lang w:val="en"/>
        </w:rPr>
      </w:pPr>
    </w:p>
    <w:p w14:paraId="6B2831F8" w14:textId="77777777" w:rsidR="00DE62A3" w:rsidRPr="00DE62A3" w:rsidRDefault="00DE62A3" w:rsidP="00DE62A3">
      <w:pPr>
        <w:pStyle w:val="Body"/>
        <w:spacing w:after="0"/>
        <w:rPr>
          <w:rFonts w:ascii="Arial" w:hAnsi="Arial" w:cs="Arial"/>
          <w:lang w:val="en"/>
        </w:rPr>
      </w:pPr>
      <w:r w:rsidRPr="00DE62A3">
        <w:rPr>
          <w:rFonts w:ascii="Arial" w:hAnsi="Arial" w:cs="Arial"/>
          <w:lang w:val="en"/>
        </w:rPr>
        <w:t>In the groundwater, the Chemical Pollution Index (</w:t>
      </w:r>
      <w:proofErr w:type="spellStart"/>
      <w:r w:rsidRPr="00DE62A3">
        <w:rPr>
          <w:rFonts w:ascii="Arial" w:hAnsi="Arial" w:cs="Arial"/>
          <w:lang w:val="en"/>
        </w:rPr>
        <w:t>pCI</w:t>
      </w:r>
      <w:proofErr w:type="spellEnd"/>
      <w:r w:rsidRPr="00DE62A3">
        <w:rPr>
          <w:rFonts w:ascii="Arial" w:hAnsi="Arial" w:cs="Arial"/>
          <w:lang w:val="en"/>
        </w:rPr>
        <w:t>) ranges from 1.00 at well 5 to 1.50 at well 3, with an average of 1.28, indicating that 60.86% of the samples are of good quality and 39.14% of poor quality (Figure 4). The Agricultural Pollution Index (API) ranges from 0.307 µg/L at well 5 to 3.085 µg/L at well 3, with an average of 1.945 µg/L, exceeding the limits established by the WHO and European Directive 98/83/EC (Figure 5). This situation reveals that 97.4% of the samples are of poor quality, compared to only 2.6% of good quality, highlighting significant agricultural pressure on groundwater resources.</w:t>
      </w:r>
    </w:p>
    <w:p w14:paraId="0011F26E" w14:textId="77777777" w:rsidR="00DE62A3" w:rsidRPr="00DE62A3" w:rsidRDefault="00DE62A3" w:rsidP="00DE62A3">
      <w:pPr>
        <w:pStyle w:val="Body"/>
        <w:spacing w:after="0"/>
        <w:rPr>
          <w:rFonts w:ascii="Arial" w:hAnsi="Arial" w:cs="Arial"/>
          <w:lang w:val="en"/>
        </w:rPr>
      </w:pPr>
      <w:r w:rsidRPr="00DE62A3">
        <w:rPr>
          <w:rFonts w:ascii="Arial" w:hAnsi="Arial" w:cs="Arial"/>
          <w:noProof/>
        </w:rPr>
        <w:lastRenderedPageBreak/>
        <w:drawing>
          <wp:inline distT="0" distB="0" distL="0" distR="0" wp14:anchorId="269496B4" wp14:editId="2D66464B">
            <wp:extent cx="5943600" cy="2357755"/>
            <wp:effectExtent l="0" t="0" r="0"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57755"/>
                    </a:xfrm>
                    <a:prstGeom prst="rect">
                      <a:avLst/>
                    </a:prstGeom>
                  </pic:spPr>
                </pic:pic>
              </a:graphicData>
            </a:graphic>
          </wp:inline>
        </w:drawing>
      </w:r>
    </w:p>
    <w:p w14:paraId="4B8E18D6" w14:textId="77777777" w:rsidR="00DE62A3" w:rsidRDefault="00722536" w:rsidP="00DE62A3">
      <w:pPr>
        <w:pStyle w:val="Body"/>
        <w:spacing w:after="0"/>
        <w:rPr>
          <w:rFonts w:ascii="Arial" w:hAnsi="Arial" w:cs="Arial"/>
          <w:b/>
          <w:bCs/>
          <w:lang w:val="en"/>
        </w:rPr>
      </w:pPr>
      <w:r>
        <w:rPr>
          <w:rFonts w:ascii="Arial" w:hAnsi="Arial" w:cs="Arial"/>
        </w:rPr>
        <w:pict w14:anchorId="47A368FD">
          <v:shape id="Text Box 15" o:spid="_x0000_s1031" type="#_x0000_t202" style="position:absolute;left:0;text-align:left;margin-left:246.5pt;margin-top:.45pt;width:207.5pt;height:30.5pt;z-index:251663360;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" fillcolor="white [3201]" stroked="f" strokeweight=".5pt">
            <v:textbox style="mso-next-textbox:#Text Box 15">
              <w:txbxContent>
                <w:p w14:paraId="303B0FDB" w14:textId="77777777" w:rsidR="002D44DF" w:rsidRPr="002752FA" w:rsidRDefault="002D44DF" w:rsidP="00DE62A3">
                  <w:pPr>
                    <w:pStyle w:val="Caption"/>
                    <w:rPr>
                      <w:i w:val="0"/>
                      <w:noProof/>
                      <w:color w:val="auto"/>
                      <w:sz w:val="20"/>
                      <w:szCs w:val="20"/>
                    </w:rPr>
                  </w:pPr>
                  <w:r w:rsidRPr="002752FA">
                    <w:rPr>
                      <w:i w:val="0"/>
                      <w:color w:val="auto"/>
                      <w:sz w:val="20"/>
                      <w:szCs w:val="20"/>
                    </w:rPr>
                    <w:t xml:space="preserve">Figure </w:t>
                  </w:r>
                  <w:r w:rsidRPr="002752FA">
                    <w:rPr>
                      <w:i w:val="0"/>
                      <w:color w:val="auto"/>
                      <w:sz w:val="20"/>
                      <w:szCs w:val="20"/>
                    </w:rPr>
                    <w:fldChar w:fldCharType="begin"/>
                  </w:r>
                  <w:r w:rsidRPr="002752FA">
                    <w:rPr>
                      <w:i w:val="0"/>
                      <w:color w:val="auto"/>
                      <w:sz w:val="20"/>
                      <w:szCs w:val="20"/>
                    </w:rPr>
                    <w:instrText xml:space="preserve"> SEQ Figure \* ARABIC </w:instrText>
                  </w:r>
                  <w:r w:rsidRPr="002752FA">
                    <w:rPr>
                      <w:i w:val="0"/>
                      <w:color w:val="auto"/>
                      <w:sz w:val="20"/>
                      <w:szCs w:val="20"/>
                    </w:rPr>
                    <w:fldChar w:fldCharType="separate"/>
                  </w:r>
                  <w:r w:rsidRPr="002752FA">
                    <w:rPr>
                      <w:i w:val="0"/>
                      <w:noProof/>
                      <w:color w:val="auto"/>
                      <w:sz w:val="20"/>
                      <w:szCs w:val="20"/>
                    </w:rPr>
                    <w:t>5</w:t>
                  </w:r>
                  <w:r w:rsidRPr="002752FA">
                    <w:rPr>
                      <w:i w:val="0"/>
                      <w:color w:val="auto"/>
                      <w:sz w:val="20"/>
                      <w:szCs w:val="20"/>
                    </w:rPr>
                    <w:fldChar w:fldCharType="end"/>
                  </w:r>
                  <w:r w:rsidRPr="002752FA">
                    <w:rPr>
                      <w:i w:val="0"/>
                      <w:color w:val="auto"/>
                      <w:sz w:val="20"/>
                      <w:szCs w:val="20"/>
                    </w:rPr>
                    <w:t xml:space="preserve"> : Spatial distribution of Pesticide Alteration Indices (PAI) in groundwater.</w:t>
                  </w:r>
                </w:p>
                <w:p w14:paraId="64DC1D92" w14:textId="77777777" w:rsidR="002D44DF" w:rsidRPr="002752FA" w:rsidRDefault="002D44DF" w:rsidP="00DE62A3"/>
              </w:txbxContent>
            </v:textbox>
          </v:shape>
        </w:pict>
      </w:r>
      <w:r>
        <w:rPr>
          <w:rFonts w:ascii="Arial" w:hAnsi="Arial" w:cs="Arial"/>
        </w:rPr>
        <w:pict w14:anchorId="62FF7F29">
          <v:shape id="Text Box 14" o:spid="_x0000_s1032" type="#_x0000_t202" style="position:absolute;left:0;text-align:left;margin-left:8.5pt;margin-top:.45pt;width:220pt;height:30.5pt;z-index:25166233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" fillcolor="white [3201]" stroked="f" strokeweight=".5pt">
            <v:textbox style="mso-next-textbox:#Text Box 14">
              <w:txbxContent>
                <w:p w14:paraId="782D2C29" w14:textId="77777777" w:rsidR="002D44DF" w:rsidRPr="002752FA" w:rsidRDefault="002D44DF" w:rsidP="001D2DC5">
                  <w:pPr>
                    <w:pStyle w:val="Caption"/>
                    <w:rPr>
                      <w:i w:val="0"/>
                      <w:noProof/>
                      <w:color w:val="auto"/>
                      <w:sz w:val="20"/>
                      <w:szCs w:val="20"/>
                    </w:rPr>
                  </w:pPr>
                  <w:r w:rsidRPr="002752FA">
                    <w:rPr>
                      <w:i w:val="0"/>
                      <w:color w:val="auto"/>
                      <w:sz w:val="20"/>
                      <w:szCs w:val="20"/>
                    </w:rPr>
                    <w:t xml:space="preserve">Figure </w:t>
                  </w:r>
                  <w:r w:rsidRPr="002752FA">
                    <w:rPr>
                      <w:i w:val="0"/>
                      <w:color w:val="auto"/>
                      <w:sz w:val="20"/>
                      <w:szCs w:val="20"/>
                    </w:rPr>
                    <w:fldChar w:fldCharType="begin"/>
                  </w:r>
                  <w:r w:rsidRPr="002752FA">
                    <w:rPr>
                      <w:i w:val="0"/>
                      <w:color w:val="auto"/>
                      <w:sz w:val="20"/>
                      <w:szCs w:val="20"/>
                    </w:rPr>
                    <w:instrText xml:space="preserve"> SEQ Figure \* ARABIC </w:instrText>
                  </w:r>
                  <w:r w:rsidRPr="002752FA">
                    <w:rPr>
                      <w:i w:val="0"/>
                      <w:color w:val="auto"/>
                      <w:sz w:val="20"/>
                      <w:szCs w:val="20"/>
                    </w:rPr>
                    <w:fldChar w:fldCharType="separate"/>
                  </w:r>
                  <w:r w:rsidRPr="002752FA">
                    <w:rPr>
                      <w:i w:val="0"/>
                      <w:noProof/>
                      <w:color w:val="auto"/>
                      <w:sz w:val="20"/>
                      <w:szCs w:val="20"/>
                    </w:rPr>
                    <w:t>4</w:t>
                  </w:r>
                  <w:r w:rsidRPr="002752FA">
                    <w:rPr>
                      <w:i w:val="0"/>
                      <w:color w:val="auto"/>
                      <w:sz w:val="20"/>
                      <w:szCs w:val="20"/>
                    </w:rPr>
                    <w:fldChar w:fldCharType="end"/>
                  </w:r>
                  <w:r w:rsidRPr="002752FA">
                    <w:rPr>
                      <w:i w:val="0"/>
                      <w:color w:val="auto"/>
                      <w:sz w:val="20"/>
                      <w:szCs w:val="20"/>
                    </w:rPr>
                    <w:t xml:space="preserve"> : Spatial distribution of pesticide contamination indices (PCIs) in groundwater</w:t>
                  </w:r>
                </w:p>
              </w:txbxContent>
            </v:textbox>
          </v:shape>
        </w:pict>
      </w:r>
    </w:p>
    <w:p w14:paraId="255BB066" w14:textId="77777777" w:rsidR="00DE62A3" w:rsidRDefault="00DE62A3" w:rsidP="00DE62A3">
      <w:pPr>
        <w:pStyle w:val="Body"/>
        <w:spacing w:after="0"/>
        <w:rPr>
          <w:rFonts w:ascii="Arial" w:hAnsi="Arial" w:cs="Arial"/>
          <w:b/>
          <w:bCs/>
          <w:lang w:val="en"/>
        </w:rPr>
      </w:pPr>
    </w:p>
    <w:p w14:paraId="498AF453" w14:textId="77777777" w:rsidR="00DE62A3" w:rsidRPr="00DE62A3" w:rsidRDefault="00DE62A3" w:rsidP="00DE62A3">
      <w:pPr>
        <w:pStyle w:val="Body"/>
        <w:spacing w:after="0"/>
        <w:rPr>
          <w:rFonts w:ascii="Arial" w:hAnsi="Arial" w:cs="Arial"/>
          <w:b/>
          <w:bCs/>
          <w:lang w:val="en"/>
        </w:rPr>
      </w:pPr>
    </w:p>
    <w:p w14:paraId="72CBE1A0" w14:textId="77777777" w:rsidR="00DE62A3" w:rsidRPr="007614E9" w:rsidRDefault="007614E9" w:rsidP="007614E9">
      <w:pPr>
        <w:pStyle w:val="Body"/>
        <w:spacing w:after="0"/>
        <w:rPr>
          <w:rFonts w:ascii="Arial" w:hAnsi="Arial" w:cs="Arial"/>
          <w:b/>
          <w:bCs/>
          <w:iCs/>
          <w:sz w:val="22"/>
          <w:lang w:val="en"/>
        </w:rPr>
      </w:pPr>
      <w:r w:rsidRPr="007614E9">
        <w:rPr>
          <w:rFonts w:ascii="Arial" w:hAnsi="Arial" w:cs="Arial"/>
          <w:b/>
          <w:bCs/>
          <w:iCs/>
          <w:sz w:val="22"/>
          <w:lang w:val="en-GB"/>
        </w:rPr>
        <w:t>3.1.</w:t>
      </w:r>
      <w:r>
        <w:rPr>
          <w:rFonts w:ascii="Arial" w:hAnsi="Arial" w:cs="Arial"/>
          <w:b/>
          <w:bCs/>
          <w:iCs/>
          <w:sz w:val="22"/>
          <w:lang w:val="en-GB"/>
        </w:rPr>
        <w:t>4</w:t>
      </w:r>
      <w:r w:rsidRPr="007614E9">
        <w:rPr>
          <w:rFonts w:ascii="Arial" w:hAnsi="Arial" w:cs="Arial"/>
          <w:b/>
          <w:bCs/>
          <w:sz w:val="22"/>
          <w:lang w:val="en"/>
        </w:rPr>
        <w:t xml:space="preserve"> </w:t>
      </w:r>
      <w:r w:rsidR="00DE62A3" w:rsidRPr="007614E9">
        <w:rPr>
          <w:rFonts w:ascii="Arial" w:hAnsi="Arial" w:cs="Arial"/>
          <w:b/>
          <w:bCs/>
          <w:sz w:val="22"/>
          <w:lang w:val="en"/>
        </w:rPr>
        <w:t>Multivariate analysis of site-contaminant relationships</w:t>
      </w:r>
    </w:p>
    <w:p w14:paraId="129BB04A" w14:textId="77777777" w:rsidR="002D44DF" w:rsidRPr="00DE62A3" w:rsidRDefault="002D44DF" w:rsidP="00DE62A3">
      <w:pPr>
        <w:pStyle w:val="Body"/>
        <w:spacing w:after="0"/>
        <w:rPr>
          <w:rFonts w:ascii="Arial" w:hAnsi="Arial" w:cs="Arial"/>
          <w:b/>
          <w:bCs/>
          <w:lang w:val="en"/>
        </w:rPr>
      </w:pPr>
    </w:p>
    <w:p w14:paraId="79C6AF6A" w14:textId="77777777" w:rsidR="00DE62A3" w:rsidRDefault="00DE62A3" w:rsidP="00DE62A3">
      <w:pPr>
        <w:pStyle w:val="Body"/>
        <w:spacing w:after="0"/>
        <w:rPr>
          <w:rFonts w:ascii="Arial" w:hAnsi="Arial" w:cs="Arial"/>
          <w:lang w:val="en-GB"/>
        </w:rPr>
      </w:pPr>
      <w:r w:rsidRPr="00DE62A3">
        <w:rPr>
          <w:rFonts w:ascii="Arial" w:hAnsi="Arial" w:cs="Arial"/>
          <w:lang w:val="en-GB"/>
        </w:rPr>
        <w:t>Principal component analysis (PCA) identified three main groups of measurement points based on their contamination profiles, revealing both spatial trends and specific chemical signatures (Figure 6).</w:t>
      </w:r>
    </w:p>
    <w:p w14:paraId="56447FF9" w14:textId="77777777" w:rsidR="002D44DF" w:rsidRPr="00DE62A3" w:rsidRDefault="002D44DF" w:rsidP="00DE62A3">
      <w:pPr>
        <w:pStyle w:val="Body"/>
        <w:spacing w:after="0"/>
        <w:rPr>
          <w:rFonts w:ascii="Arial" w:hAnsi="Arial" w:cs="Arial"/>
          <w:lang w:val="en-GB"/>
        </w:rPr>
      </w:pPr>
    </w:p>
    <w:p w14:paraId="1CEE6713" w14:textId="77777777" w:rsidR="00DE62A3" w:rsidRPr="00DE62A3" w:rsidRDefault="00722536" w:rsidP="00DE62A3">
      <w:pPr>
        <w:pStyle w:val="Body"/>
        <w:spacing w:after="0"/>
        <w:rPr>
          <w:rFonts w:ascii="Arial" w:hAnsi="Arial" w:cs="Arial"/>
          <w:lang w:val="en"/>
        </w:rPr>
      </w:pPr>
      <w:r>
        <w:rPr>
          <w:rFonts w:ascii="Arial" w:hAnsi="Arial" w:cs="Arial"/>
        </w:rPr>
        <w:pict w14:anchorId="7EBE2C25">
          <v:group id="Group 9" o:spid="_x0000_s1027" style="position:absolute;left:0;text-align:left;margin-left:91.25pt;margin-top:31.5pt;width:181.7pt;height:165.45pt;z-index:251659264" coordsize="23077,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">
            <v:oval id="Oval 10" o:spid="_x0000_s1028" style="position:absolute;left:13104;top:7285;width:9973;height:1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" filled="f" strokecolor="#243f60 [1604]" strokeweight="2pt"/>
            <v:oval id="Oval 11" o:spid="_x0000_s1029" style="position:absolute;width:10170;height:9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" filled="f" strokecolor="#243f60 [1604]" strokeweight="2pt"/>
            <v:oval id="Oval 12" o:spid="_x0000_s1030" style="position:absolute;left:391;top:12860;width:6112;height:9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" filled="f" strokecolor="#243f60 [1604]" strokeweight="2pt"/>
          </v:group>
        </w:pict>
      </w:r>
      <w:r w:rsidR="00DE62A3" w:rsidRPr="00DE62A3">
        <w:rPr>
          <w:rFonts w:ascii="Arial" w:hAnsi="Arial" w:cs="Arial"/>
          <w:lang w:val="en-GB"/>
        </w:rPr>
        <w:t xml:space="preserve"> </w:t>
      </w:r>
      <w:r w:rsidR="00DE62A3" w:rsidRPr="00DE62A3">
        <w:rPr>
          <w:rFonts w:ascii="Arial" w:hAnsi="Arial" w:cs="Arial"/>
          <w:noProof/>
        </w:rPr>
        <w:drawing>
          <wp:inline distT="0" distB="0" distL="0" distR="0" wp14:anchorId="60B088FE" wp14:editId="6F84545C">
            <wp:extent cx="3657600" cy="33147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F501CC" w14:textId="77777777" w:rsidR="00DE62A3" w:rsidRPr="00DE62A3" w:rsidRDefault="00DE62A3" w:rsidP="00DE62A3">
      <w:pPr>
        <w:pStyle w:val="Body"/>
        <w:spacing w:after="0"/>
        <w:rPr>
          <w:rFonts w:ascii="Arial" w:hAnsi="Arial" w:cs="Arial"/>
          <w:iCs/>
          <w:lang w:val="en"/>
        </w:rPr>
      </w:pPr>
      <w:r w:rsidRPr="00DE62A3">
        <w:rPr>
          <w:rFonts w:ascii="Arial" w:hAnsi="Arial" w:cs="Arial"/>
          <w:iCs/>
          <w:lang w:val="en"/>
        </w:rPr>
        <w:t xml:space="preserve">Figure </w:t>
      </w:r>
      <w:r w:rsidRPr="00DE62A3">
        <w:rPr>
          <w:rFonts w:ascii="Arial" w:hAnsi="Arial" w:cs="Arial"/>
          <w:iCs/>
          <w:lang w:val="en"/>
        </w:rPr>
        <w:fldChar w:fldCharType="begin"/>
      </w:r>
      <w:r w:rsidRPr="00DE62A3">
        <w:rPr>
          <w:rFonts w:ascii="Arial" w:hAnsi="Arial" w:cs="Arial"/>
          <w:iCs/>
          <w:lang w:val="en"/>
        </w:rPr>
        <w:instrText xml:space="preserve"> SEQ Figure \* ARABIC </w:instrText>
      </w:r>
      <w:r w:rsidRPr="00DE62A3">
        <w:rPr>
          <w:rFonts w:ascii="Arial" w:hAnsi="Arial" w:cs="Arial"/>
          <w:iCs/>
          <w:lang w:val="en"/>
        </w:rPr>
        <w:fldChar w:fldCharType="separate"/>
      </w:r>
      <w:r w:rsidRPr="00DE62A3">
        <w:rPr>
          <w:rFonts w:ascii="Arial" w:hAnsi="Arial" w:cs="Arial"/>
          <w:iCs/>
          <w:lang w:val="en"/>
        </w:rPr>
        <w:t>6</w:t>
      </w:r>
      <w:r w:rsidRPr="00DE62A3">
        <w:rPr>
          <w:rFonts w:ascii="Arial" w:hAnsi="Arial" w:cs="Arial"/>
        </w:rPr>
        <w:fldChar w:fldCharType="end"/>
      </w:r>
      <w:r w:rsidRPr="00DE62A3">
        <w:rPr>
          <w:rFonts w:ascii="Arial" w:hAnsi="Arial" w:cs="Arial"/>
          <w:iCs/>
          <w:lang w:val="en"/>
        </w:rPr>
        <w:t>: Relationship between sampling sites and pesticide concentrations</w:t>
      </w:r>
    </w:p>
    <w:p w14:paraId="5252A3EF" w14:textId="77777777" w:rsidR="00DE62A3" w:rsidRPr="00DE62A3" w:rsidRDefault="00DE62A3" w:rsidP="00DE62A3">
      <w:pPr>
        <w:pStyle w:val="Body"/>
        <w:spacing w:after="0"/>
        <w:rPr>
          <w:rFonts w:ascii="Arial" w:hAnsi="Arial" w:cs="Arial"/>
          <w:lang w:val="en"/>
        </w:rPr>
      </w:pPr>
    </w:p>
    <w:p w14:paraId="4767E3D6"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 xml:space="preserve">Group 1 (Wells 1, 2, 4, 6, and River 4) has homogeneous profiles dominated by Dimethoate and </w:t>
      </w:r>
      <w:proofErr w:type="spellStart"/>
      <w:r w:rsidRPr="00DE62A3">
        <w:rPr>
          <w:rFonts w:ascii="Arial" w:hAnsi="Arial" w:cs="Arial"/>
          <w:lang w:val="en-GB"/>
        </w:rPr>
        <w:t>Profenofos</w:t>
      </w:r>
      <w:proofErr w:type="spellEnd"/>
      <w:r w:rsidRPr="00DE62A3">
        <w:rPr>
          <w:rFonts w:ascii="Arial" w:hAnsi="Arial" w:cs="Arial"/>
          <w:lang w:val="en-GB"/>
        </w:rPr>
        <w:t xml:space="preserve">, two organophosphate insecticides widely used in intensive agriculture. This homogeneity suggests a point source or diffuse source linked to local agricultural practices, </w:t>
      </w:r>
      <w:r w:rsidRPr="00DE62A3">
        <w:rPr>
          <w:rFonts w:ascii="Arial" w:hAnsi="Arial" w:cs="Arial"/>
          <w:lang w:val="en-GB"/>
        </w:rPr>
        <w:lastRenderedPageBreak/>
        <w:t xml:space="preserve">as well as hydrogeological conditions </w:t>
      </w:r>
      <w:proofErr w:type="spellStart"/>
      <w:r w:rsidRPr="00DE62A3">
        <w:rPr>
          <w:rFonts w:ascii="Arial" w:hAnsi="Arial" w:cs="Arial"/>
          <w:lang w:val="en-GB"/>
        </w:rPr>
        <w:t>favorable</w:t>
      </w:r>
      <w:proofErr w:type="spellEnd"/>
      <w:r w:rsidRPr="00DE62A3">
        <w:rPr>
          <w:rFonts w:ascii="Arial" w:hAnsi="Arial" w:cs="Arial"/>
          <w:lang w:val="en-GB"/>
        </w:rPr>
        <w:t xml:space="preserve"> to pesticide migration, such as shallow aquifers or highly permeable soils that facilitate infiltration and transport to wells and rivers.</w:t>
      </w:r>
    </w:p>
    <w:p w14:paraId="779C7024"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Group 2 (Well 5 and River 2) stands out with a unique profile, marked by Chlorpyrifos-ethyl and Parathion-ethyl, indicating a localized source or specific hydrological connection. The strong contribution of these molecules to the second component (F2) suggests targeted or recent use, and their concomitant presence in the well and river could reflect rapid transfer from the surface to the hydrological network.</w:t>
      </w:r>
    </w:p>
    <w:p w14:paraId="47870865"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 xml:space="preserve">Group 3 (Rivers 1 and 3) shows intermediate profiles, dominated by Parathion-methyl and Vinclozolin, pesticides often associated with less intensive agricultural practices or specific crops. The variability observed probably reflects distinct watersheds, different hydrological regimes, and processes of dilution, adsorption, or biological degradation. Certain molecules, such as </w:t>
      </w:r>
      <w:proofErr w:type="spellStart"/>
      <w:r w:rsidRPr="00DE62A3">
        <w:rPr>
          <w:rFonts w:ascii="Arial" w:hAnsi="Arial" w:cs="Arial"/>
          <w:lang w:val="en-GB"/>
        </w:rPr>
        <w:t>Terbutryn</w:t>
      </w:r>
      <w:proofErr w:type="spellEnd"/>
      <w:r w:rsidRPr="00DE62A3">
        <w:rPr>
          <w:rFonts w:ascii="Arial" w:hAnsi="Arial" w:cs="Arial"/>
          <w:lang w:val="en-GB"/>
        </w:rPr>
        <w:t xml:space="preserve"> and Metolachlor, contribute to several axes, indicating multiple sources, complex transfers, or varied environmental </w:t>
      </w:r>
      <w:proofErr w:type="spellStart"/>
      <w:r w:rsidRPr="00DE62A3">
        <w:rPr>
          <w:rFonts w:ascii="Arial" w:hAnsi="Arial" w:cs="Arial"/>
          <w:lang w:val="en-GB"/>
        </w:rPr>
        <w:t>behaviors</w:t>
      </w:r>
      <w:proofErr w:type="spellEnd"/>
      <w:r w:rsidRPr="00DE62A3">
        <w:rPr>
          <w:rFonts w:ascii="Arial" w:hAnsi="Arial" w:cs="Arial"/>
          <w:lang w:val="en-GB"/>
        </w:rPr>
        <w:t>, including persistence in soil and mobility in water.</w:t>
      </w:r>
    </w:p>
    <w:p w14:paraId="2259D326"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The discrimination of pesticide sources by PCA, summarized in Figure 7, reveals three distinct poles: intensive agriculture, hydrological interactions, and watersheds with their own characteristics.</w:t>
      </w:r>
    </w:p>
    <w:p w14:paraId="6B062514" w14:textId="77777777" w:rsidR="00DE62A3" w:rsidRPr="00DE62A3" w:rsidRDefault="00DE62A3" w:rsidP="00DE62A3">
      <w:pPr>
        <w:pStyle w:val="Body"/>
        <w:spacing w:after="0"/>
        <w:rPr>
          <w:rFonts w:ascii="Arial" w:hAnsi="Arial" w:cs="Arial"/>
          <w:lang w:val="en"/>
        </w:rPr>
      </w:pPr>
      <w:r w:rsidRPr="00DE62A3">
        <w:rPr>
          <w:rFonts w:ascii="Arial" w:hAnsi="Arial" w:cs="Arial"/>
          <w:noProof/>
        </w:rPr>
        <w:drawing>
          <wp:inline distT="0" distB="0" distL="0" distR="0" wp14:anchorId="42A53054" wp14:editId="563BD75D">
            <wp:extent cx="4996902" cy="35045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25" t="2725" r="6901" b="5673"/>
                    <a:stretch/>
                  </pic:blipFill>
                  <pic:spPr bwMode="auto">
                    <a:xfrm>
                      <a:off x="0" y="0"/>
                      <a:ext cx="5009241" cy="3513219"/>
                    </a:xfrm>
                    <a:prstGeom prst="rect">
                      <a:avLst/>
                    </a:prstGeom>
                    <a:ln>
                      <a:noFill/>
                    </a:ln>
                    <a:extLst>
                      <a:ext uri="{53640926-AAD7-44D8-BBD7-CCE9431645EC}">
                        <a14:shadowObscured xmlns:a14="http://schemas.microsoft.com/office/drawing/2010/main"/>
                      </a:ext>
                    </a:extLst>
                  </pic:spPr>
                </pic:pic>
              </a:graphicData>
            </a:graphic>
          </wp:inline>
        </w:drawing>
      </w:r>
    </w:p>
    <w:p w14:paraId="65C96D05" w14:textId="77777777" w:rsidR="00DE62A3" w:rsidRPr="00DE62A3" w:rsidRDefault="00DE62A3" w:rsidP="00DE62A3">
      <w:pPr>
        <w:pStyle w:val="Body"/>
        <w:spacing w:after="0"/>
        <w:rPr>
          <w:rFonts w:ascii="Arial" w:hAnsi="Arial" w:cs="Arial"/>
          <w:iCs/>
          <w:lang w:val="en-GB"/>
        </w:rPr>
      </w:pPr>
      <w:r w:rsidRPr="00DE62A3">
        <w:rPr>
          <w:rFonts w:ascii="Arial" w:hAnsi="Arial" w:cs="Arial"/>
          <w:iCs/>
          <w:lang w:val="en-GB"/>
        </w:rPr>
        <w:t xml:space="preserve">Figure </w:t>
      </w:r>
      <w:r w:rsidRPr="00DE62A3">
        <w:rPr>
          <w:rFonts w:ascii="Arial" w:hAnsi="Arial" w:cs="Arial"/>
          <w:iCs/>
          <w:lang w:val="en"/>
        </w:rPr>
        <w:fldChar w:fldCharType="begin"/>
      </w:r>
      <w:r w:rsidRPr="00DE62A3">
        <w:rPr>
          <w:rFonts w:ascii="Arial" w:hAnsi="Arial" w:cs="Arial"/>
          <w:iCs/>
          <w:lang w:val="en-GB"/>
        </w:rPr>
        <w:instrText xml:space="preserve"> SEQ Figure \* ARABIC </w:instrText>
      </w:r>
      <w:r w:rsidRPr="00DE62A3">
        <w:rPr>
          <w:rFonts w:ascii="Arial" w:hAnsi="Arial" w:cs="Arial"/>
          <w:iCs/>
          <w:lang w:val="en"/>
        </w:rPr>
        <w:fldChar w:fldCharType="separate"/>
      </w:r>
      <w:r w:rsidRPr="00DE62A3">
        <w:rPr>
          <w:rFonts w:ascii="Arial" w:hAnsi="Arial" w:cs="Arial"/>
          <w:iCs/>
          <w:lang w:val="en-GB"/>
        </w:rPr>
        <w:t>7</w:t>
      </w:r>
      <w:r w:rsidRPr="00DE62A3">
        <w:rPr>
          <w:rFonts w:ascii="Arial" w:hAnsi="Arial" w:cs="Arial"/>
        </w:rPr>
        <w:fldChar w:fldCharType="end"/>
      </w:r>
      <w:r w:rsidR="000D58A3">
        <w:rPr>
          <w:rFonts w:ascii="Arial" w:hAnsi="Arial" w:cs="Arial"/>
          <w:iCs/>
          <w:lang w:val="en-GB"/>
        </w:rPr>
        <w:t>:</w:t>
      </w:r>
      <w:r w:rsidRPr="00DE62A3">
        <w:rPr>
          <w:rFonts w:ascii="Arial" w:hAnsi="Arial" w:cs="Arial"/>
          <w:iCs/>
          <w:lang w:val="en-GB"/>
        </w:rPr>
        <w:t xml:space="preserve"> Mapping of sources by PCA</w:t>
      </w:r>
    </w:p>
    <w:p w14:paraId="7B684349" w14:textId="77777777" w:rsidR="00790ADA" w:rsidRDefault="00790ADA" w:rsidP="00441B6F">
      <w:pPr>
        <w:pStyle w:val="Body"/>
        <w:spacing w:after="0"/>
        <w:rPr>
          <w:rFonts w:ascii="Arial" w:hAnsi="Arial" w:cs="Arial"/>
          <w:lang w:val="en-GB"/>
        </w:rPr>
      </w:pPr>
    </w:p>
    <w:p w14:paraId="69EA4BFE" w14:textId="77777777" w:rsidR="002D44DF" w:rsidRPr="00060175" w:rsidRDefault="00060175" w:rsidP="002D44DF">
      <w:pPr>
        <w:pStyle w:val="Body"/>
        <w:spacing w:after="0"/>
        <w:rPr>
          <w:rFonts w:ascii="Arial" w:hAnsi="Arial" w:cs="Arial"/>
          <w:b/>
          <w:sz w:val="22"/>
          <w:lang w:val="en"/>
        </w:rPr>
      </w:pPr>
      <w:r w:rsidRPr="00060175">
        <w:rPr>
          <w:rFonts w:ascii="Arial" w:hAnsi="Arial" w:cs="Arial"/>
          <w:b/>
          <w:sz w:val="22"/>
          <w:lang w:val="en"/>
        </w:rPr>
        <w:t xml:space="preserve">3.2 </w:t>
      </w:r>
      <w:r w:rsidR="002D44DF" w:rsidRPr="00060175">
        <w:rPr>
          <w:rFonts w:ascii="Arial" w:hAnsi="Arial" w:cs="Arial"/>
          <w:b/>
          <w:sz w:val="22"/>
          <w:lang w:val="en"/>
        </w:rPr>
        <w:t>Discussion</w:t>
      </w:r>
    </w:p>
    <w:p w14:paraId="5C722E82" w14:textId="77777777" w:rsidR="002D44DF" w:rsidRPr="002D44DF" w:rsidRDefault="002D44DF" w:rsidP="002D44DF">
      <w:pPr>
        <w:pStyle w:val="Body"/>
        <w:spacing w:after="0"/>
        <w:rPr>
          <w:rFonts w:ascii="Arial" w:hAnsi="Arial" w:cs="Arial"/>
          <w:b/>
          <w:lang w:val="en"/>
        </w:rPr>
      </w:pPr>
    </w:p>
    <w:p w14:paraId="236F05E6" w14:textId="77777777" w:rsidR="002D44DF" w:rsidRPr="002D44DF" w:rsidRDefault="002D44DF" w:rsidP="002D44DF">
      <w:pPr>
        <w:pStyle w:val="Body"/>
        <w:spacing w:after="0"/>
        <w:rPr>
          <w:rFonts w:ascii="Arial" w:hAnsi="Arial" w:cs="Arial"/>
          <w:b/>
          <w:lang w:val="en"/>
        </w:rPr>
      </w:pPr>
      <w:proofErr w:type="spellStart"/>
      <w:r w:rsidRPr="002D44DF">
        <w:rPr>
          <w:rFonts w:ascii="Arial" w:hAnsi="Arial" w:cs="Arial"/>
          <w:b/>
          <w:lang w:val="en"/>
        </w:rPr>
        <w:t>Physico</w:t>
      </w:r>
      <w:proofErr w:type="spellEnd"/>
      <w:r w:rsidRPr="002D44DF">
        <w:rPr>
          <w:rFonts w:ascii="Arial" w:hAnsi="Arial" w:cs="Arial"/>
          <w:b/>
          <w:lang w:val="en"/>
        </w:rPr>
        <w:t>-chemical parameters of water</w:t>
      </w:r>
    </w:p>
    <w:p w14:paraId="754205C5"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Analysis of the physicochemical parameters of the waters in the </w:t>
      </w:r>
      <w:proofErr w:type="spellStart"/>
      <w:r w:rsidRPr="002D44DF">
        <w:rPr>
          <w:rFonts w:ascii="Arial" w:hAnsi="Arial" w:cs="Arial"/>
          <w:lang w:val="en"/>
        </w:rPr>
        <w:t>Teguéré</w:t>
      </w:r>
      <w:proofErr w:type="spellEnd"/>
      <w:r w:rsidRPr="002D44DF">
        <w:rPr>
          <w:rFonts w:ascii="Arial" w:hAnsi="Arial" w:cs="Arial"/>
          <w:lang w:val="en"/>
        </w:rPr>
        <w:t xml:space="preserve"> River watershed reveals characteristics consistent with those observed in the humid tropical zones of West Africa. The average water temperature, estimated at 31.38 °C (31.9 °C for surface water and 31.03 °C for groundwater), is relatively high and comparable to values reported in the northern and forested regions of Côte d'Ivoire </w:t>
      </w:r>
      <w:r w:rsidRPr="002D44DF">
        <w:rPr>
          <w:rFonts w:ascii="Arial" w:hAnsi="Arial" w:cs="Arial"/>
          <w:lang w:val="en"/>
        </w:rPr>
        <w:fldChar w:fldCharType="begin">
          <w:fldData xml:space="preserve">PEVuZE5vdGU+PENpdGU+PEF1dGhvcj5ZYW88L0F1dGhvcj48WWVhcj4yMDIzPC9ZZWFyPjxSZWNO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PEVuZE5vdGU+PENpdGU+PEF1dGhvcj5ZYW88L0F1dGhvcj48WWVhcj4yMDIzPC9ZZWFyPjxSZWNO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(Ebé</w:t>
      </w:r>
      <w:r w:rsidRPr="002D44DF">
        <w:rPr>
          <w:rFonts w:ascii="Arial" w:hAnsi="Arial" w:cs="Arial"/>
          <w:i/>
          <w:lang w:val="en"/>
        </w:rPr>
        <w:t xml:space="preserve"> et al.</w:t>
      </w:r>
      <w:r w:rsidRPr="002D44DF">
        <w:rPr>
          <w:rFonts w:ascii="Arial" w:hAnsi="Arial" w:cs="Arial"/>
          <w:lang w:val="en"/>
        </w:rPr>
        <w:t xml:space="preserve"> 2023, Yao</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This temperature increase is explained by prolonged exposure to solar radiation, the absence of vegetation cover, and the shallow depth of the sampling points.</w:t>
      </w:r>
    </w:p>
    <w:p w14:paraId="00E43FC5"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lastRenderedPageBreak/>
        <w:t xml:space="preserve">The average pH, 4.335 for surface water and 4.22 for groundwater, indicates marked acidity, linked to the structural acidity of the region's lateritic and granitic formations </w:t>
      </w:r>
      <w:r w:rsidRPr="002D44DF">
        <w:rPr>
          <w:rFonts w:ascii="Arial" w:hAnsi="Arial" w:cs="Arial"/>
          <w:lang w:val="en"/>
        </w:rPr>
        <w:fldChar w:fldCharType="begin">
          <w:fldData xml:space="preserve">PEVuZE5vdGU+PENpdGU+PEF1dGhvcj5EamFoYWRpPC9BdXRob3I+PFllYXI+MjAyMTwvWWVhcj48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PEVuZE5vdGU+PENpdGU+PEF1dGhvcj5EamFoYWRpPC9BdXRob3I+PFllYXI+MjAyMTwvWWVhcj48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(Adjiri</w:t>
      </w:r>
      <w:r w:rsidRPr="002D44DF">
        <w:rPr>
          <w:rFonts w:ascii="Arial" w:hAnsi="Arial" w:cs="Arial"/>
          <w:i/>
          <w:lang w:val="en"/>
        </w:rPr>
        <w:t xml:space="preserve"> et al.</w:t>
      </w:r>
      <w:r w:rsidRPr="002D44DF">
        <w:rPr>
          <w:rFonts w:ascii="Arial" w:hAnsi="Arial" w:cs="Arial"/>
          <w:lang w:val="en"/>
        </w:rPr>
        <w:t xml:space="preserve"> 2019, Djahadi</w:t>
      </w:r>
      <w:r w:rsidRPr="002D44DF">
        <w:rPr>
          <w:rFonts w:ascii="Arial" w:hAnsi="Arial" w:cs="Arial"/>
          <w:i/>
          <w:lang w:val="en"/>
        </w:rPr>
        <w:t xml:space="preserve"> et al.</w:t>
      </w:r>
      <w:r w:rsidRPr="002D44DF">
        <w:rPr>
          <w:rFonts w:ascii="Arial" w:hAnsi="Arial" w:cs="Arial"/>
          <w:lang w:val="en"/>
        </w:rPr>
        <w:t xml:space="preserve"> 2021)</w:t>
      </w:r>
      <w:r w:rsidRPr="002D44DF">
        <w:rPr>
          <w:rFonts w:ascii="Arial" w:hAnsi="Arial" w:cs="Arial"/>
          <w:lang w:val="en-GB"/>
        </w:rPr>
        <w:fldChar w:fldCharType="end"/>
      </w:r>
      <w:r w:rsidRPr="002D44DF">
        <w:rPr>
          <w:rFonts w:ascii="Arial" w:hAnsi="Arial" w:cs="Arial"/>
          <w:lang w:val="en"/>
        </w:rPr>
        <w:t xml:space="preserve">, exacerbated by the decomposition of organic matter, root respiration, and acid rain </w:t>
      </w:r>
      <w:r w:rsidRPr="002D44DF">
        <w:rPr>
          <w:rFonts w:ascii="Arial" w:hAnsi="Arial" w:cs="Arial"/>
          <w:lang w:val="en"/>
        </w:rPr>
        <w:fldChar w:fldCharType="begin">
          <w:fldData xml:space="preserve">PEVuZE5vdGU+PENpdGU+PEF1dGhvcj5Pc3NleTwvQXV0aG9yPjxZZWFyPjIwMDg8L1llYXI+PFJl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PEVuZE5vdGU+PENpdGU+PEF1dGhvcj5Pc3NleTwvQXV0aG9yPjxZZWFyPjIwMDg8L1llYXI+PFJl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(Ossey</w:t>
      </w:r>
      <w:r w:rsidRPr="002D44DF">
        <w:rPr>
          <w:rFonts w:ascii="Arial" w:hAnsi="Arial" w:cs="Arial"/>
          <w:i/>
          <w:lang w:val="en"/>
        </w:rPr>
        <w:t xml:space="preserve"> et al.</w:t>
      </w:r>
      <w:r w:rsidRPr="002D44DF">
        <w:rPr>
          <w:rFonts w:ascii="Arial" w:hAnsi="Arial" w:cs="Arial"/>
          <w:lang w:val="en"/>
        </w:rPr>
        <w:t xml:space="preserve"> 2008, Yapo</w:t>
      </w:r>
      <w:r w:rsidRPr="002D44DF">
        <w:rPr>
          <w:rFonts w:ascii="Arial" w:hAnsi="Arial" w:cs="Arial"/>
          <w:i/>
          <w:lang w:val="en"/>
        </w:rPr>
        <w:t xml:space="preserve"> et al.</w:t>
      </w:r>
      <w:r w:rsidRPr="002D44DF">
        <w:rPr>
          <w:rFonts w:ascii="Arial" w:hAnsi="Arial" w:cs="Arial"/>
          <w:lang w:val="en"/>
        </w:rPr>
        <w:t xml:space="preserve"> 2016)</w:t>
      </w:r>
      <w:r w:rsidRPr="002D44DF">
        <w:rPr>
          <w:rFonts w:ascii="Arial" w:hAnsi="Arial" w:cs="Arial"/>
          <w:lang w:val="en-GB"/>
        </w:rPr>
        <w:fldChar w:fldCharType="end"/>
      </w:r>
      <w:r w:rsidRPr="002D44DF">
        <w:rPr>
          <w:rFonts w:ascii="Arial" w:hAnsi="Arial" w:cs="Arial"/>
          <w:lang w:val="en"/>
        </w:rPr>
        <w:t>. Local agricultural practices, particularly the use of acidifying fertilizers and deforestation, also contribute to this acidity.</w:t>
      </w:r>
    </w:p>
    <w:p w14:paraId="4F6F1CF1" w14:textId="77777777" w:rsidR="002D44DF" w:rsidRDefault="002D44DF" w:rsidP="00BB7413">
      <w:pPr>
        <w:pStyle w:val="Body"/>
        <w:spacing w:after="0"/>
        <w:rPr>
          <w:rFonts w:ascii="Arial" w:hAnsi="Arial" w:cs="Arial"/>
          <w:lang w:val="en"/>
        </w:rPr>
      </w:pPr>
      <w:r w:rsidRPr="002D44DF">
        <w:rPr>
          <w:rFonts w:ascii="Arial" w:hAnsi="Arial" w:cs="Arial"/>
          <w:lang w:val="en"/>
        </w:rPr>
        <w:t xml:space="preserve">The average electrical conductivity is 230 µS/cm for surface water and 75 µS/cm for groundwater, reflecting higher mineralization at the surface, linked to agricultural runoff, domestic wastewater, and decomposing organic matter </w:t>
      </w:r>
      <w:r w:rsidRPr="002D44DF">
        <w:rPr>
          <w:rFonts w:ascii="Arial" w:hAnsi="Arial" w:cs="Arial"/>
          <w:lang w:val="en"/>
        </w:rPr>
        <w:fldChar w:fldCharType="begin"/>
      </w:r>
      <w:r w:rsidRPr="002D44DF">
        <w:rPr>
          <w:rFonts w:ascii="Arial" w:hAnsi="Arial" w:cs="Arial"/>
          <w:lang w:val="en"/>
        </w:rPr>
        <w:instrText xml:space="preserve"> ADDIN EN.CITE &lt;EndNote&gt;&lt;Cite&gt;&lt;Author&gt;Yao&lt;/Author&gt;&lt;Year&gt;2020&lt;/Year&gt;&lt;RecNum&gt;10&lt;/RecNum&gt;&lt;DisplayText&gt;(Yapo&lt;style face="italic"&gt; et al.&lt;/style&gt; 2016, Yao and Ahoussi 2020)&lt;/DisplayText&gt;&lt;record&gt;&lt;rec-number&gt;10&lt;/rec-number&gt;&lt;foreign-keys&gt;&lt;key app="EN" db-id="tzf2tv25msxxelexwpcxvwthea50wpdew9ef" timestamp="1766322543"&gt;10&lt;/key&gt;&lt;/foreign-keys&gt;&lt;ref-type name="Journal Article"&gt;17&lt;/ref-type&gt;&lt;contributors&gt;&lt;authors&gt;&lt;author&gt;Yao, Kouassi Serge Aristide&lt;/author&gt;&lt;author&gt;Ahoussi, KE  &lt;/author&gt;&lt;/authors&gt;&lt;/contributors&gt;&lt;titles&gt;&lt;title&gt;Caractérisation physico-chimique des eaux de surface dans un environnement minier du centre-Ouest de la Côte d’Ivoire: Cas du Département de Divo&lt;/title&gt;&lt;secondary-title&gt;European Scientific Journal&lt;/secondary-title&gt;&lt;/titles&gt;&lt;periodical&gt;&lt;full-title&gt;European Scientific Journal&lt;/full-title&gt;&lt;/periodical&gt;&lt;pages&gt;12&lt;/pages&gt;&lt;volume&gt;16&lt;/volume&gt;&lt;dates&gt;&lt;year&gt;2020&lt;/year&gt;&lt;/dates&gt;&lt;urls&gt;&lt;/urls&gt;&lt;/record&gt;&lt;/Cite&gt;&lt;Cite&gt;&lt;Author&gt;Yapo&lt;/Author&gt;&lt;Year&gt;2016&lt;/Year&gt;&lt;RecNum&gt;1&lt;/RecNum&gt;&lt;record&gt;&lt;rec-number&gt;1&lt;/rec-number&gt;&lt;foreign-keys&gt;&lt;key app="EN" db-id="xdfp2de5c5erx9etstlvwfs5xd95fzddrpws" timestamp="1766322724"&gt;1&lt;/key&gt;&lt;/foreign-keys&gt;&lt;ref-type name="Journal Article"&gt;17&lt;/ref-type&gt;&lt;contributors&gt;&lt;authors&gt;&lt;author&gt;Yapo, Rachelle Ida&lt;/author&gt;&lt;author&gt;Mambo, Véronique&lt;/author&gt;&lt;author&gt;Alder, Alfredo Carlos&lt;/author&gt;&lt;author&gt;Ohou-Yao, Marie Jeanne&lt;/author&gt;&lt;author&gt;Ligban, Raymond&lt;/author&gt;&lt;author&gt;Dao, Daouda&lt;/author&gt;&lt;author&gt;Stamm, Christian&lt;/author&gt;&lt;author&gt;Bonfoh, Bassirou &lt;/author&gt;&lt;/authors&gt;&lt;/contributors&gt;&lt;titles&gt;&lt;title&gt;Caractérisation saisonnière des eaux de puits à usage maraîchère et domestique de Korhogo (Côte d’Ivoire)&lt;/title&gt;&lt;secondary-title&gt;International Journal of Biological Chemical Sciences&lt;/secondary-title&gt;&lt;/titles&gt;&lt;periodical&gt;&lt;full-title&gt;International Journal of Biological Chemical Sciences&lt;/full-title&gt;&lt;/periodical&gt;&lt;pages&gt;1433-1449&lt;/pages&gt;&lt;volume&gt;10&lt;/volume&gt;&lt;number&gt;3&lt;/number&gt;&lt;dates&gt;&lt;year&gt;2016&lt;/year&gt;&lt;/dates&gt;&lt;isbn&gt;1997-342X&lt;/isbn&gt;&lt;urls&gt;&lt;/urls&gt;&lt;/record&gt;&lt;/Cite&gt;&lt;/EndNote&gt;</w:instrText>
      </w:r>
      <w:r w:rsidRPr="002D44DF">
        <w:rPr>
          <w:rFonts w:ascii="Arial" w:hAnsi="Arial" w:cs="Arial"/>
          <w:lang w:val="en"/>
        </w:rPr>
        <w:fldChar w:fldCharType="separate"/>
      </w:r>
      <w:r w:rsidRPr="002D44DF">
        <w:rPr>
          <w:rFonts w:ascii="Arial" w:hAnsi="Arial" w:cs="Arial"/>
          <w:lang w:val="en"/>
        </w:rPr>
        <w:t>(Yapo</w:t>
      </w:r>
      <w:r w:rsidRPr="002D44DF">
        <w:rPr>
          <w:rFonts w:ascii="Arial" w:hAnsi="Arial" w:cs="Arial"/>
          <w:i/>
          <w:lang w:val="en"/>
        </w:rPr>
        <w:t xml:space="preserve"> et al.</w:t>
      </w:r>
      <w:r w:rsidRPr="002D44DF">
        <w:rPr>
          <w:rFonts w:ascii="Arial" w:hAnsi="Arial" w:cs="Arial"/>
          <w:lang w:val="en"/>
        </w:rPr>
        <w:t xml:space="preserve"> 2016, Yao and Ahoussi 2020)</w:t>
      </w:r>
      <w:r w:rsidRPr="002D44DF">
        <w:rPr>
          <w:rFonts w:ascii="Arial" w:hAnsi="Arial" w:cs="Arial"/>
          <w:lang w:val="en-GB"/>
        </w:rPr>
        <w:fldChar w:fldCharType="end"/>
      </w:r>
      <w:r w:rsidRPr="002D44DF">
        <w:rPr>
          <w:rFonts w:ascii="Arial" w:hAnsi="Arial" w:cs="Arial"/>
          <w:lang w:val="en"/>
        </w:rPr>
        <w:t xml:space="preserve">. The low conductivity of groundwater reflects a reduced content of dissolved ions, typical of shallow aquifers on crystalline bedrock, but vulnerable to rapid infiltration of low-mineralized water </w:t>
      </w:r>
      <w:r w:rsidRPr="002D44DF">
        <w:rPr>
          <w:rFonts w:ascii="Arial" w:hAnsi="Arial" w:cs="Arial"/>
          <w:lang w:val="en"/>
        </w:rPr>
        <w:fldChar w:fldCharType="begin"/>
      </w:r>
      <w:r w:rsidRPr="002D44DF">
        <w:rPr>
          <w:rFonts w:ascii="Arial" w:hAnsi="Arial" w:cs="Arial"/>
          <w:lang w:val="en"/>
        </w:rPr>
        <w:instrText xml:space="preserve"> ADDIN EN.CITE &lt;EndNote&gt;&lt;Cite&gt;&lt;Author&gt;Ouattara&lt;/Author&gt;&lt;Year&gt;2016&lt;/Year&gt;&lt;RecNum&gt;3&lt;/RecNum&gt;&lt;DisplayText&gt;(Ouattara&lt;style face="italic"&gt; et al.&lt;/style&gt; 2016)&lt;/DisplayText&gt;&lt;record&gt;&lt;rec-number&gt;3&lt;/rec-number&gt;&lt;foreign-keys&gt;&lt;key app="EN" db-id="xdfp2de5c5erx9etstlvwfs5xd95fzddrpws" timestamp="1766323475"&gt;3&lt;/key&gt;&lt;/foreign-keys&gt;&lt;ref-type name="Journal Article"&gt;17&lt;/ref-type&gt;&lt;contributors&gt;&lt;authors&gt;&lt;author&gt;Ouattara, Ismaïla&lt;/author&gt;&lt;author&gt;Kamagaté, Bamory&lt;/author&gt;&lt;author&gt;Dao, Amidou&lt;/author&gt;&lt;author&gt;Noufé, Dabissi&lt;/author&gt;&lt;author&gt;Savané, Issiaka &lt;/author&gt;&lt;/authors&gt;&lt;/contributors&gt;&lt;titles&gt;&lt;title&gt;Processus de minéralisation des eaux souterraines et transfert de flux en milieu de socle fissuré: cas du bassin versant transfrontalier de la Comoé (Côte d&amp;apos;Ivoire, Burkina Faso, Ghana, Mali)[Groundwaters mineralization process and transfer of flow within fissured aquifers: Case of transboundary basin of Comoé (Côte d&amp;apos;Ivoire, Burkina Faso, Ghana, Mali)]&lt;/title&gt;&lt;secondary-title&gt;International Journal of Innovation Applied Studies&lt;/secondary-title&gt;&lt;/titles&gt;&lt;periodical&gt;&lt;full-title&gt;International Journal of Innovation Applied Studies&lt;/full-title&gt;&lt;/periodical&gt;&lt;pages&gt;57&lt;/pages&gt;&lt;volume&gt;17&lt;/volume&gt;&lt;number&gt;1&lt;/number&gt;&lt;dates&gt;&lt;year&gt;2016&lt;/year&gt;&lt;/dates&gt;&lt;isbn&gt;2028-9324&lt;/isbn&gt;&lt;urls&gt;&lt;/urls&gt;&lt;/record&gt;&lt;/Cite&gt;&lt;/EndNote&gt;</w:instrText>
      </w:r>
      <w:r w:rsidRPr="002D44DF">
        <w:rPr>
          <w:rFonts w:ascii="Arial" w:hAnsi="Arial" w:cs="Arial"/>
          <w:lang w:val="en"/>
        </w:rPr>
        <w:fldChar w:fldCharType="separate"/>
      </w:r>
      <w:r w:rsidRPr="002D44DF">
        <w:rPr>
          <w:rFonts w:ascii="Arial" w:hAnsi="Arial" w:cs="Arial"/>
          <w:lang w:val="en"/>
        </w:rPr>
        <w:t>(Ouattara</w:t>
      </w:r>
      <w:r w:rsidRPr="002D44DF">
        <w:rPr>
          <w:rFonts w:ascii="Arial" w:hAnsi="Arial" w:cs="Arial"/>
          <w:i/>
          <w:lang w:val="en"/>
        </w:rPr>
        <w:t xml:space="preserve"> et al.</w:t>
      </w:r>
      <w:r w:rsidRPr="002D44DF">
        <w:rPr>
          <w:rFonts w:ascii="Arial" w:hAnsi="Arial" w:cs="Arial"/>
          <w:lang w:val="en"/>
        </w:rPr>
        <w:t xml:space="preserve"> 2016)</w:t>
      </w:r>
      <w:r w:rsidRPr="002D44DF">
        <w:rPr>
          <w:rFonts w:ascii="Arial" w:hAnsi="Arial" w:cs="Arial"/>
          <w:lang w:val="en-GB"/>
        </w:rPr>
        <w:fldChar w:fldCharType="end"/>
      </w:r>
      <w:r w:rsidRPr="002D44DF">
        <w:rPr>
          <w:rFonts w:ascii="Arial" w:hAnsi="Arial" w:cs="Arial"/>
          <w:lang w:val="en"/>
        </w:rPr>
        <w:t xml:space="preserve">. These values remain below the WHO limit of 500 µS/cm, but seasonal increases linked to agricultural spreading and rainfall are likely </w:t>
      </w:r>
      <w:r w:rsidRPr="002D44DF">
        <w:rPr>
          <w:rFonts w:ascii="Arial" w:hAnsi="Arial" w:cs="Arial"/>
          <w:lang w:val="en"/>
        </w:rPr>
        <w:fldChar w:fldCharType="begin"/>
      </w:r>
      <w:r w:rsidRPr="002D44DF">
        <w:rPr>
          <w:rFonts w:ascii="Arial" w:hAnsi="Arial" w:cs="Arial"/>
          <w:lang w:val="en"/>
        </w:rPr>
        <w:instrText xml:space="preserve"> ADDIN EN.CITE &lt;EndNote&gt;&lt;Cite&gt;&lt;Author&gt;Akognongbe&lt;/Author&gt;&lt;Year&gt;2014&lt;/Year&gt;&lt;RecNum&gt;4&lt;/RecNum&gt;&lt;DisplayText&gt;(Akognongbe&lt;style face="italic"&gt; et al.&lt;/style&gt; 2014, Lawani&lt;style face="italic"&gt; et al.&lt;/style&gt; 2017)&lt;/DisplayText&gt;&lt;record&gt;&lt;rec-number&gt;4&lt;/rec-number&gt;&lt;foreign-keys&gt;&lt;key app="EN" db-id="xdfp2de5c5erx9etstlvwfs5xd95fzddrpws" timestamp="1766323586"&gt;4&lt;/key&gt;&lt;/foreign-keys&gt;&lt;ref-type name="Journal Article"&gt;17&lt;/ref-type&gt;&lt;contributors&gt;&lt;authors&gt;&lt;author&gt;Akognongbe, Arsène JS&lt;/author&gt;&lt;author&gt;Mama, Daouda&lt;/author&gt;&lt;author&gt;Vissin, Expédit W&lt;/author&gt;&lt;author&gt;Boko, Michel &lt;/author&gt;&lt;/authors&gt;&lt;/contributors&gt;&lt;titles&gt;&lt;title&gt;Dynamique saisonnière de la qualité physico-chimique des eaux de surface dans le bassin de l’Ouémé à l’exutoire de Beterou&lt;/title&gt;&lt;secondary-title&gt;Rev. Ivoir. Sci. Technol&lt;/secondary-title&gt;&lt;/titles&gt;&lt;periodical&gt;&lt;full-title&gt;Rev. Ivoir. Sci. Technol&lt;/full-title&gt;&lt;/periodical&gt;&lt;pages&gt;278-298&lt;/pages&gt;&lt;volume&gt;24&lt;/volume&gt;&lt;dates&gt;&lt;year&gt;2014&lt;/year&gt;&lt;/dates&gt;&lt;urls&gt;&lt;/urls&gt;&lt;/record&gt;&lt;/Cite&gt;&lt;Cite&gt;&lt;Author&gt;Lawani&lt;/Author&gt;&lt;Year&gt;2017&lt;/Year&gt;&lt;RecNum&gt;5&lt;/RecNum&gt;&lt;record&gt;&lt;rec-number&gt;5&lt;/rec-number&gt;&lt;foreign-keys&gt;&lt;key app="EN" db-id="xdfp2de5c5erx9etstlvwfs5xd95fzddrpws" timestamp="1766323693"&gt;5&lt;/key&gt;&lt;/foreign-keys&gt;&lt;ref-type name="Journal Article"&gt;17&lt;/ref-type&gt;&lt;contributors&gt;&lt;authors&gt;&lt;author&gt;Lawani, RAN&lt;/author&gt;&lt;author&gt;Kelome, NC&lt;/author&gt;&lt;author&gt;Agassounon Djikpo Tchibozo, M&lt;/author&gt;&lt;author&gt;Hounkpe, JB&lt;/author&gt;&lt;author&gt;Adjagodo, A &lt;/author&gt;&lt;/authors&gt;&lt;/contributors&gt;&lt;titles&gt;&lt;title&gt;Effets des pratiques agricoles sur la pollution des eaux de surface en République du Bénin&lt;/title&gt;&lt;secondary-title&gt;Larhyss Journal&lt;/secondary-title&gt;&lt;/titles&gt;&lt;periodical&gt;&lt;full-title&gt;Larhyss Journal&lt;/full-title&gt;&lt;/periodical&gt;&lt;pages&gt;173-190&lt;/pages&gt;&lt;volume&gt;14&lt;/volume&gt;&lt;number&gt;2&lt;/number&gt;&lt;dates&gt;&lt;year&gt;2017&lt;/year&gt;&lt;/dates&gt;&lt;isbn&gt;2602-7828&lt;/isbn&gt;&lt;urls&gt;&lt;/urls&gt;&lt;/record&gt;&lt;/Cite&gt;&lt;/EndNote&gt;</w:instrText>
      </w:r>
      <w:r w:rsidRPr="002D44DF">
        <w:rPr>
          <w:rFonts w:ascii="Arial" w:hAnsi="Arial" w:cs="Arial"/>
          <w:lang w:val="en"/>
        </w:rPr>
        <w:fldChar w:fldCharType="separate"/>
      </w:r>
      <w:r w:rsidRPr="002D44DF">
        <w:rPr>
          <w:rFonts w:ascii="Arial" w:hAnsi="Arial" w:cs="Arial"/>
          <w:lang w:val="en"/>
        </w:rPr>
        <w:t>(Akognongbe</w:t>
      </w:r>
      <w:r w:rsidRPr="002D44DF">
        <w:rPr>
          <w:rFonts w:ascii="Arial" w:hAnsi="Arial" w:cs="Arial"/>
          <w:i/>
          <w:lang w:val="en"/>
        </w:rPr>
        <w:t xml:space="preserve"> et al.</w:t>
      </w:r>
      <w:r w:rsidRPr="002D44DF">
        <w:rPr>
          <w:rFonts w:ascii="Arial" w:hAnsi="Arial" w:cs="Arial"/>
          <w:lang w:val="en"/>
        </w:rPr>
        <w:t xml:space="preserve"> 2014, Lawani</w:t>
      </w:r>
      <w:r w:rsidRPr="002D44DF">
        <w:rPr>
          <w:rFonts w:ascii="Arial" w:hAnsi="Arial" w:cs="Arial"/>
          <w:i/>
          <w:lang w:val="en"/>
        </w:rPr>
        <w:t xml:space="preserve"> et al.</w:t>
      </w:r>
      <w:r w:rsidRPr="002D44DF">
        <w:rPr>
          <w:rFonts w:ascii="Arial" w:hAnsi="Arial" w:cs="Arial"/>
          <w:lang w:val="en"/>
        </w:rPr>
        <w:t xml:space="preserve"> 2017)</w:t>
      </w:r>
      <w:r w:rsidRPr="002D44DF">
        <w:rPr>
          <w:rFonts w:ascii="Arial" w:hAnsi="Arial" w:cs="Arial"/>
          <w:lang w:val="en-GB"/>
        </w:rPr>
        <w:fldChar w:fldCharType="end"/>
      </w:r>
      <w:r w:rsidRPr="002D44DF">
        <w:rPr>
          <w:rFonts w:ascii="Arial" w:hAnsi="Arial" w:cs="Arial"/>
          <w:lang w:val="en"/>
        </w:rPr>
        <w:t>.</w:t>
      </w:r>
    </w:p>
    <w:p w14:paraId="74B6221D" w14:textId="77777777" w:rsidR="00BB7413" w:rsidRPr="002D44DF" w:rsidRDefault="00BB7413" w:rsidP="00BB7413">
      <w:pPr>
        <w:pStyle w:val="Body"/>
        <w:spacing w:after="0"/>
        <w:rPr>
          <w:rFonts w:ascii="Arial" w:hAnsi="Arial" w:cs="Arial"/>
          <w:lang w:val="en"/>
        </w:rPr>
      </w:pPr>
    </w:p>
    <w:p w14:paraId="0A47B2AB"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t>Contamination by active molecules</w:t>
      </w:r>
    </w:p>
    <w:p w14:paraId="7B9DEE9C"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The results reveal widespread water contamination by agricultural active molecules, including organophosphates, organochlorines, triazines and metabolites, carbamates, substituted </w:t>
      </w:r>
      <w:proofErr w:type="spellStart"/>
      <w:r w:rsidRPr="002D44DF">
        <w:rPr>
          <w:rFonts w:ascii="Arial" w:hAnsi="Arial" w:cs="Arial"/>
          <w:lang w:val="en"/>
        </w:rPr>
        <w:t>ureas</w:t>
      </w:r>
      <w:proofErr w:type="spellEnd"/>
      <w:r w:rsidRPr="002D44DF">
        <w:rPr>
          <w:rFonts w:ascii="Arial" w:hAnsi="Arial" w:cs="Arial"/>
          <w:lang w:val="en"/>
        </w:rPr>
        <w:t xml:space="preserve"> and pyrethroids. These substances correspond to the most commonly used insecticides, herbicides and fungicides locally, often in an unregulated manner </w:t>
      </w:r>
      <w:r w:rsidRPr="002D44DF">
        <w:rPr>
          <w:rFonts w:ascii="Arial" w:hAnsi="Arial" w:cs="Arial"/>
          <w:lang w:val="en"/>
        </w:rPr>
        <w:fldChar w:fldCharType="begin"/>
      </w:r>
      <w:r w:rsidRPr="002D44DF">
        <w:rPr>
          <w:rFonts w:ascii="Arial" w:hAnsi="Arial" w:cs="Arial"/>
          <w:lang w:val="en"/>
        </w:rPr>
        <w:instrText xml:space="preserve"> ADDIN EN.CITE &lt;EndNote&gt;&lt;Cite&gt;&lt;Author&gt;Garud&lt;/Author&gt;&lt;Year&gt;2024&lt;/Year&gt;&lt;RecNum&gt;8&lt;/RecNum&gt;&lt;DisplayText&gt;(Garud&lt;style face="italic"&gt; et al.&lt;/style&gt; 2024)&lt;/DisplayText&gt;&lt;record&gt;&lt;rec-number&gt;8&lt;/rec-number&gt;&lt;foreign-keys&gt;&lt;key app="EN" db-id="xdfp2de5c5erx9etstlvwfs5xd95fzddrpws" timestamp="1766350038"&gt;8&lt;/key&gt;&lt;/foreign-keys&gt;&lt;ref-type name="Journal Article"&gt;17&lt;/ref-type&gt;&lt;contributors&gt;&lt;authors&gt;&lt;author&gt;Garud, A.&lt;/author&gt;&lt;author&gt;Pawar, S.&lt;/author&gt;&lt;author&gt;Patil, M. S.&lt;/author&gt;&lt;author&gt;Kale, S. R.&lt;/author&gt;&lt;author&gt;Patil, S.&lt;/author&gt;&lt;/authors&gt;&lt;/contributors&gt;&lt;titles&gt;&lt;title&gt;A Scientific Review of Pesticides: Classification, Toxicity, Health Effects, Sustainability, and Environmental Impact&lt;/title&gt;&lt;secondary-title&gt;Cureus&lt;/secondary-title&gt;&lt;alt-title&gt;Cureus&lt;/alt-title&gt;&lt;/titles&gt;&lt;periodical&gt;&lt;full-title&gt;Cureus&lt;/full-title&gt;&lt;abbr-1&gt;Cureus&lt;/abbr-1&gt;&lt;/periodical&gt;&lt;alt-periodical&gt;&lt;full-title&gt;Cureus&lt;/full-title&gt;&lt;abbr-1&gt;Cureus&lt;/abbr-1&gt;&lt;/alt-periodical&gt;&lt;pages&gt;e67945&lt;/pages&gt;&lt;volume&gt;16&lt;/volume&gt;&lt;number&gt;8&lt;/number&gt;&lt;edition&gt;2024/09/27&lt;/edition&gt;&lt;dates&gt;&lt;year&gt;2024&lt;/year&gt;&lt;pub-dates&gt;&lt;date&gt;Aug&lt;/date&gt;&lt;/pub-dates&gt;&lt;/dates&gt;&lt;isbn&gt;2168-8184 (Print)&amp;#xD;2168-8184&lt;/isbn&gt;&lt;accession-num&gt;39328626&lt;/accession-num&gt;&lt;urls&gt;&lt;/urls&gt;&lt;custom2&gt;PMC11426366&lt;/custom2&gt;&lt;electronic-resource-num&gt;https://doi.org/10.7759/cureus.67945&lt;/electronic-resource-num&gt;&lt;remote-database-provider&gt;NLM&lt;/remote-database-provider&gt;&lt;language&gt;eng&lt;/language&gt;&lt;/record&gt;&lt;/Cite&gt;&lt;/EndNote&gt;</w:instrText>
      </w:r>
      <w:r w:rsidRPr="002D44DF">
        <w:rPr>
          <w:rFonts w:ascii="Arial" w:hAnsi="Arial" w:cs="Arial"/>
          <w:lang w:val="en"/>
        </w:rPr>
        <w:fldChar w:fldCharType="separate"/>
      </w:r>
      <w:r w:rsidRPr="002D44DF">
        <w:rPr>
          <w:rFonts w:ascii="Arial" w:hAnsi="Arial" w:cs="Arial"/>
          <w:lang w:val="en"/>
        </w:rPr>
        <w:t>(Garud</w:t>
      </w:r>
      <w:r w:rsidRPr="002D44DF">
        <w:rPr>
          <w:rFonts w:ascii="Arial" w:hAnsi="Arial" w:cs="Arial"/>
          <w:i/>
          <w:lang w:val="en"/>
        </w:rPr>
        <w:t xml:space="preserve"> et al.</w:t>
      </w:r>
      <w:r w:rsidRPr="002D44DF">
        <w:rPr>
          <w:rFonts w:ascii="Arial" w:hAnsi="Arial" w:cs="Arial"/>
          <w:lang w:val="en"/>
        </w:rPr>
        <w:t xml:space="preserve"> 2024)</w:t>
      </w:r>
      <w:r w:rsidRPr="002D44DF">
        <w:rPr>
          <w:rFonts w:ascii="Arial" w:hAnsi="Arial" w:cs="Arial"/>
          <w:lang w:val="en-GB"/>
        </w:rPr>
        <w:fldChar w:fldCharType="end"/>
      </w:r>
      <w:r w:rsidRPr="002D44DF">
        <w:rPr>
          <w:rFonts w:ascii="Arial" w:hAnsi="Arial" w:cs="Arial"/>
          <w:lang w:val="en"/>
        </w:rPr>
        <w:t xml:space="preserve">. Some molecules, such as parathion-methyl, parathion-ethyl, </w:t>
      </w:r>
      <w:proofErr w:type="spellStart"/>
      <w:r w:rsidRPr="002D44DF">
        <w:rPr>
          <w:rFonts w:ascii="Arial" w:hAnsi="Arial" w:cs="Arial"/>
          <w:lang w:val="en"/>
        </w:rPr>
        <w:t>chlorfenvinphos</w:t>
      </w:r>
      <w:proofErr w:type="spellEnd"/>
      <w:r w:rsidRPr="002D44DF">
        <w:rPr>
          <w:rFonts w:ascii="Arial" w:hAnsi="Arial" w:cs="Arial"/>
          <w:lang w:val="en"/>
        </w:rPr>
        <w:t xml:space="preserve">, metazachlor and </w:t>
      </w:r>
      <w:proofErr w:type="spellStart"/>
      <w:r w:rsidRPr="002D44DF">
        <w:rPr>
          <w:rFonts w:ascii="Arial" w:hAnsi="Arial" w:cs="Arial"/>
          <w:lang w:val="en"/>
        </w:rPr>
        <w:t>vinclozoline</w:t>
      </w:r>
      <w:proofErr w:type="spellEnd"/>
      <w:r w:rsidRPr="002D44DF">
        <w:rPr>
          <w:rFonts w:ascii="Arial" w:hAnsi="Arial" w:cs="Arial"/>
          <w:lang w:val="en"/>
        </w:rPr>
        <w:t xml:space="preserve">, are not registered for agricultural use in Côte d'Ivoire, suggesting illicit use </w:t>
      </w:r>
      <w:r w:rsidRPr="002D44DF">
        <w:rPr>
          <w:rFonts w:ascii="Arial" w:hAnsi="Arial" w:cs="Arial"/>
          <w:lang w:val="en"/>
        </w:rPr>
        <w:fldChar w:fldCharType="begin"/>
      </w:r>
      <w:r w:rsidRPr="002D44DF">
        <w:rPr>
          <w:rFonts w:ascii="Arial" w:hAnsi="Arial" w:cs="Arial"/>
          <w:lang w:val="en"/>
        </w:rPr>
        <w:instrText xml:space="preserve"> ADDIN EN.CITE &lt;EndNote&gt;&lt;Cite&gt;&lt;Author&gt;Dibi&lt;/Author&gt;&lt;Year&gt;2012&lt;/Year&gt;&lt;RecNum&gt;9&lt;/RecNum&gt;&lt;DisplayText&gt;(Dibi&lt;style face="italic"&gt; et al.&lt;/style&gt; 2012, Amadou&lt;style face="italic"&gt; et al.&lt;/style&gt; 2020)&lt;/DisplayText&gt;&lt;record&gt;&lt;rec-number&gt;9&lt;/rec-number&gt;&lt;foreign-keys&gt;&lt;key app="EN" db-id="xdfp2de5c5erx9etstlvwfs5xd95fzddrpws" timestamp="1766351109"&gt;9&lt;/key&gt;&lt;/foreign-keys&gt;&lt;ref-type name="Journal Article"&gt;17&lt;/ref-type&gt;&lt;contributors&gt;&lt;authors&gt;&lt;author&gt;Dibi, Brou&lt;/author&gt;&lt;author&gt;Kouame, Kouassi Innocent&lt;/author&gt;&lt;author&gt;Konan-Waidhet, Arthur Brice&lt;/author&gt;&lt;author&gt;Savane, Issiaka&lt;/author&gt;&lt;author&gt;Biemi, Jean&lt;/author&gt;&lt;author&gt;Nedeff, Valentin&lt;/author&gt;&lt;author&gt;Lazar, Gabriel  &lt;/author&gt;&lt;/authors&gt;&lt;/contributors&gt;&lt;titles&gt;&lt;title&gt;Impact of agriculture on the quality of groundwater resources in peri-urban zone of Songon (Cote D’ivoire)&lt;/title&gt;&lt;secondary-title&gt;Environmental Engineering Management Journal&lt;/secondary-title&gt;&lt;/titles&gt;&lt;periodical&gt;&lt;full-title&gt;Environmental Engineering Management Journal&lt;/full-title&gt;&lt;/periodical&gt;&lt;pages&gt;2173-2182&lt;/pages&gt;&lt;volume&gt;11&lt;/volume&gt;&lt;number&gt;12&lt;/number&gt;&lt;dates&gt;&lt;year&gt;2012&lt;/year&gt;&lt;/dates&gt;&lt;urls&gt;&lt;/urls&gt;&lt;/record&gt;&lt;/Cite&gt;&lt;Cite&gt;&lt;Author&gt;Amadou&lt;/Author&gt;&lt;Year&gt;2020&lt;/Year&gt;&lt;RecNum&gt;10&lt;/RecNum&gt;&lt;record&gt;&lt;rec-number&gt;10&lt;/rec-number&gt;&lt;foreign-keys&gt;&lt;key app="EN" db-id="xdfp2de5c5erx9etstlvwfs5xd95fzddrpws" timestamp="1766351270"&gt;10&lt;/key&gt;&lt;/foreign-keys&gt;&lt;ref-type name="Journal Article"&gt;17&lt;/ref-type&gt;&lt;contributors&gt;&lt;authors&gt;&lt;author&gt;Amadou, Assouman&lt;/author&gt;&lt;author&gt;Gautier, Kpan Oulai Jean&lt;/author&gt;&lt;author&gt;Maxime, Gnamba Franck&lt;/author&gt;&lt;author&gt;Solange, Oga Yéï Marie&lt;/author&gt;&lt;author&gt;Jean, Biémi &lt;/author&gt;&lt;/authors&gt;&lt;/contributors&gt;&lt;titles&gt;&lt;title&gt;Impacts of Agrochemicals on Water Quality Parameters in Aboisso Region (South-East of Cote d’Ivoire)&lt;/title&gt;&lt;secondary-title&gt;Current Journal of Applied Science Technology&lt;/secondary-title&gt;&lt;/titles&gt;&lt;periodical&gt;&lt;full-title&gt;Current Journal of Applied Science Technology&lt;/full-title&gt;&lt;/periodical&gt;&lt;pages&gt;1-19&lt;/pages&gt;&lt;volume&gt;39&lt;/volume&gt;&lt;number&gt;46&lt;/number&gt;&lt;dates&gt;&lt;year&gt;2020&lt;/year&gt;&lt;/dates&gt;&lt;urls&gt;&lt;/urls&gt;&lt;/record&gt;&lt;/Cite&gt;&lt;/EndNote&gt;</w:instrText>
      </w:r>
      <w:r w:rsidRPr="002D44DF">
        <w:rPr>
          <w:rFonts w:ascii="Arial" w:hAnsi="Arial" w:cs="Arial"/>
          <w:lang w:val="en"/>
        </w:rPr>
        <w:fldChar w:fldCharType="separate"/>
      </w:r>
      <w:r w:rsidRPr="002D44DF">
        <w:rPr>
          <w:rFonts w:ascii="Arial" w:hAnsi="Arial" w:cs="Arial"/>
          <w:lang w:val="en"/>
        </w:rPr>
        <w:t>(Dibi</w:t>
      </w:r>
      <w:r w:rsidRPr="002D44DF">
        <w:rPr>
          <w:rFonts w:ascii="Arial" w:hAnsi="Arial" w:cs="Arial"/>
          <w:i/>
          <w:lang w:val="en"/>
        </w:rPr>
        <w:t xml:space="preserve"> et al.</w:t>
      </w:r>
      <w:r w:rsidRPr="002D44DF">
        <w:rPr>
          <w:rFonts w:ascii="Arial" w:hAnsi="Arial" w:cs="Arial"/>
          <w:lang w:val="en"/>
        </w:rPr>
        <w:t xml:space="preserve"> 2012, Amadou</w:t>
      </w:r>
      <w:r w:rsidRPr="002D44DF">
        <w:rPr>
          <w:rFonts w:ascii="Arial" w:hAnsi="Arial" w:cs="Arial"/>
          <w:i/>
          <w:lang w:val="en"/>
        </w:rPr>
        <w:t xml:space="preserve"> et al.</w:t>
      </w:r>
      <w:r w:rsidRPr="002D44DF">
        <w:rPr>
          <w:rFonts w:ascii="Arial" w:hAnsi="Arial" w:cs="Arial"/>
          <w:lang w:val="en"/>
        </w:rPr>
        <w:t xml:space="preserve"> 2020)</w:t>
      </w:r>
      <w:r w:rsidRPr="002D44DF">
        <w:rPr>
          <w:rFonts w:ascii="Arial" w:hAnsi="Arial" w:cs="Arial"/>
          <w:lang w:val="en-GB"/>
        </w:rPr>
        <w:fldChar w:fldCharType="end"/>
      </w:r>
      <w:r w:rsidRPr="002D44DF">
        <w:rPr>
          <w:rFonts w:ascii="Arial" w:hAnsi="Arial" w:cs="Arial"/>
          <w:lang w:val="en"/>
        </w:rPr>
        <w:t>.</w:t>
      </w:r>
    </w:p>
    <w:p w14:paraId="74D7C21E"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In surface waters, several concentrations far exceed the WHO thresholds (0.1 µg/L per pesticide) and the European limits (0.5 µg/L for the total sum) </w:t>
      </w:r>
      <w:r w:rsidRPr="002D44DF">
        <w:rPr>
          <w:rFonts w:ascii="Arial" w:hAnsi="Arial" w:cs="Arial"/>
          <w:lang w:val="en"/>
        </w:rPr>
        <w:fldChar w:fldCharType="begin"/>
      </w:r>
      <w:r w:rsidRPr="002D44DF">
        <w:rPr>
          <w:rFonts w:ascii="Arial" w:hAnsi="Arial" w:cs="Arial"/>
          <w:lang w:val="en"/>
        </w:rPr>
        <w:instrText xml:space="preserve"> ADDIN EN.CITE &lt;EndNote&gt;&lt;Cite&gt;&lt;Author&gt;WHO&lt;/Author&gt;&lt;Year&gt;2024&lt;/Year&gt;&lt;RecNum&gt;1&lt;/RecNum&gt;&lt;DisplayText&gt;(WHO 2024)&lt;/DisplayText&gt;&lt;record&gt;&lt;rec-number&gt;1&lt;/rec-number&gt;&lt;foreign-keys&gt;&lt;key app="EN" db-id="e5vee2s5eededqe9ft3xrftxwasr55xptx0f" timestamp="1766351556"&gt;1&lt;/key&gt;&lt;/foreign-keys&gt;&lt;ref-type name="Book"&gt;6&lt;/ref-type&gt;&lt;contributors&gt;&lt;authors&gt;&lt;author&gt;WHO&lt;/author&gt;&lt;/authors&gt;&lt;/contributors&gt;&lt;titles&gt;&lt;title&gt;Guidelines for drinking-water quality: small water supplies&lt;/title&gt;&lt;/titles&gt;&lt;section&gt;220&lt;/section&gt;&lt;dates&gt;&lt;year&gt;2024&lt;/year&gt;&lt;/dates&gt;&lt;publisher&gt;World Health Organization&lt;/publisher&gt;&lt;isbn&gt;9789240088740&lt;/isbn&gt;&lt;urls&gt;&lt;related-urls&gt;&lt;url&gt;https://books.google.ci/books?id=uHcOEQAAQBAJ&lt;/url&gt;&lt;/related-urls&gt;&lt;/urls&gt;&lt;/record&gt;&lt;/Cite&gt;&lt;/EndNote&gt;</w:instrText>
      </w:r>
      <w:r w:rsidRPr="002D44DF">
        <w:rPr>
          <w:rFonts w:ascii="Arial" w:hAnsi="Arial" w:cs="Arial"/>
          <w:lang w:val="en"/>
        </w:rPr>
        <w:fldChar w:fldCharType="separate"/>
      </w:r>
      <w:r w:rsidRPr="002D44DF">
        <w:rPr>
          <w:rFonts w:ascii="Arial" w:hAnsi="Arial" w:cs="Arial"/>
          <w:lang w:val="en"/>
        </w:rPr>
        <w:t>(WHO 2024)</w:t>
      </w:r>
      <w:r w:rsidRPr="002D44DF">
        <w:rPr>
          <w:rFonts w:ascii="Arial" w:hAnsi="Arial" w:cs="Arial"/>
          <w:lang w:val="en-GB"/>
        </w:rPr>
        <w:fldChar w:fldCharType="end"/>
      </w:r>
      <w:r w:rsidRPr="002D44DF">
        <w:rPr>
          <w:rFonts w:ascii="Arial" w:hAnsi="Arial" w:cs="Arial"/>
          <w:lang w:val="en"/>
        </w:rPr>
        <w:t xml:space="preserve">. Chlorpyrifos-ethyl (3.45 µg/L) and </w:t>
      </w:r>
      <w:proofErr w:type="spellStart"/>
      <w:r w:rsidRPr="002D44DF">
        <w:rPr>
          <w:rFonts w:ascii="Arial" w:hAnsi="Arial" w:cs="Arial"/>
          <w:lang w:val="en"/>
        </w:rPr>
        <w:t>terbutryne</w:t>
      </w:r>
      <w:proofErr w:type="spellEnd"/>
      <w:r w:rsidRPr="002D44DF">
        <w:rPr>
          <w:rFonts w:ascii="Arial" w:hAnsi="Arial" w:cs="Arial"/>
          <w:lang w:val="en"/>
        </w:rPr>
        <w:t xml:space="preserve"> (2.23 µg/L) illustrate local but intense inputs linked to local market gardening practices </w:t>
      </w:r>
      <w:r w:rsidRPr="002D44DF">
        <w:rPr>
          <w:rFonts w:ascii="Arial" w:hAnsi="Arial" w:cs="Arial"/>
          <w:lang w:val="en"/>
        </w:rPr>
        <w:fldChar w:fldCharType="begin"/>
      </w:r>
      <w:r w:rsidRPr="002D44DF">
        <w:rPr>
          <w:rFonts w:ascii="Arial" w:hAnsi="Arial" w:cs="Arial"/>
          <w:lang w:val="en"/>
        </w:rPr>
        <w:instrText xml:space="preserve"> ADDIN EN.CITE &lt;EndNote&gt;&lt;Cite&gt;&lt;Author&gt;Doumbia&lt;/Author&gt;&lt;Year&gt;2009&lt;/Year&gt;&lt;RecNum&gt;7&lt;/RecNum&gt;&lt;DisplayText&gt;(Doumbia and Kwadjo 2009)&lt;/DisplayText&gt;&lt;record&gt;&lt;rec-number&gt;7&lt;/rec-number&gt;&lt;foreign-keys&gt;&lt;key app="EN" db-id="xdfp2de5c5erx9etstlvwfs5xd95fzddrpws" timestamp="1766349526"&gt;7&lt;/key&gt;&lt;/foreign-keys&gt;&lt;ref-type name="Journal Article"&gt;17&lt;/ref-type&gt;&lt;contributors&gt;&lt;authors&gt;&lt;author&gt;Doumbia, Mamadou&lt;/author&gt;&lt;author&gt;Kwadjo, KE &lt;/author&gt;&lt;/authors&gt;&lt;/contributors&gt;&lt;titles&gt;&lt;title&gt;Pratiques d’utilisation et de gestion des pesticides par les maraîchers en Côte d’Ivoire: Cas de la ville d’Abidjan et deux de ses banlieues (Dabou et Anyama)&lt;/title&gt;&lt;secondary-title&gt;Journal of Applied Biosciences&lt;/secondary-title&gt;&lt;/titles&gt;&lt;periodical&gt;&lt;full-title&gt;Journal of Applied Biosciences&lt;/full-title&gt;&lt;/periodical&gt;&lt;pages&gt;992-1002&lt;/pages&gt;&lt;volume&gt;18&lt;/volume&gt;&lt;dates&gt;&lt;year&gt;2009&lt;/year&gt;&lt;/dates&gt;&lt;urls&gt;&lt;/urls&gt;&lt;/record&gt;&lt;/Cite&gt;&lt;/EndNote&gt;</w:instrText>
      </w:r>
      <w:r w:rsidRPr="002D44DF">
        <w:rPr>
          <w:rFonts w:ascii="Arial" w:hAnsi="Arial" w:cs="Arial"/>
          <w:lang w:val="en"/>
        </w:rPr>
        <w:fldChar w:fldCharType="separate"/>
      </w:r>
      <w:r w:rsidRPr="002D44DF">
        <w:rPr>
          <w:rFonts w:ascii="Arial" w:hAnsi="Arial" w:cs="Arial"/>
          <w:lang w:val="en"/>
        </w:rPr>
        <w:t>(Doumbia and Kwadjo 2009)</w:t>
      </w:r>
      <w:r w:rsidRPr="002D44DF">
        <w:rPr>
          <w:rFonts w:ascii="Arial" w:hAnsi="Arial" w:cs="Arial"/>
          <w:lang w:val="en-GB"/>
        </w:rPr>
        <w:fldChar w:fldCharType="end"/>
      </w:r>
      <w:r w:rsidRPr="002D44DF">
        <w:rPr>
          <w:rFonts w:ascii="Arial" w:hAnsi="Arial" w:cs="Arial"/>
          <w:lang w:val="en"/>
        </w:rPr>
        <w:t xml:space="preserve">. Factors contributing to this contamination include the excessive and empirical use of pesticides, the absence of vegetated buffer zones, and intense runoff during the rainy season (Kouadio et al., 2021; </w:t>
      </w:r>
      <w:proofErr w:type="spellStart"/>
      <w:r w:rsidRPr="002D44DF">
        <w:rPr>
          <w:rFonts w:ascii="Arial" w:hAnsi="Arial" w:cs="Arial"/>
          <w:lang w:val="en"/>
        </w:rPr>
        <w:t>Ahouangninou</w:t>
      </w:r>
      <w:proofErr w:type="spellEnd"/>
      <w:r w:rsidRPr="002D44DF">
        <w:rPr>
          <w:rFonts w:ascii="Arial" w:hAnsi="Arial" w:cs="Arial"/>
          <w:lang w:val="en"/>
        </w:rPr>
        <w:t xml:space="preserve"> et al., 2011).</w:t>
      </w:r>
    </w:p>
    <w:p w14:paraId="143EE506" w14:textId="77777777" w:rsidR="002D44DF" w:rsidRDefault="002D44DF" w:rsidP="00BB7413">
      <w:pPr>
        <w:pStyle w:val="Body"/>
        <w:spacing w:after="0"/>
        <w:rPr>
          <w:rFonts w:ascii="Arial" w:hAnsi="Arial" w:cs="Arial"/>
          <w:lang w:val="en"/>
        </w:rPr>
      </w:pPr>
      <w:r w:rsidRPr="002D44DF">
        <w:rPr>
          <w:rFonts w:ascii="Arial" w:hAnsi="Arial" w:cs="Arial"/>
          <w:lang w:val="en"/>
        </w:rPr>
        <w:t xml:space="preserve">In groundwater, concentrations are generally lower, but some substances such as dimethoate (1.022 µg/L) and </w:t>
      </w:r>
      <w:proofErr w:type="spellStart"/>
      <w:r w:rsidRPr="002D44DF">
        <w:rPr>
          <w:rFonts w:ascii="Arial" w:hAnsi="Arial" w:cs="Arial"/>
          <w:lang w:val="en"/>
        </w:rPr>
        <w:t>profenofos</w:t>
      </w:r>
      <w:proofErr w:type="spellEnd"/>
      <w:r w:rsidRPr="002D44DF">
        <w:rPr>
          <w:rFonts w:ascii="Arial" w:hAnsi="Arial" w:cs="Arial"/>
          <w:lang w:val="en"/>
        </w:rPr>
        <w:t xml:space="preserve"> (1.04 µg/L) exceed the standards, indicating diffuse contamination through leaching and infiltration from agricultural areas </w:t>
      </w:r>
      <w:r w:rsidRPr="002D44DF">
        <w:rPr>
          <w:rFonts w:ascii="Arial" w:hAnsi="Arial" w:cs="Arial"/>
          <w:lang w:val="en"/>
        </w:rPr>
        <w:fldChar w:fldCharType="begin"/>
      </w:r>
      <w:r w:rsidRPr="002D44DF">
        <w:rPr>
          <w:rFonts w:ascii="Arial" w:hAnsi="Arial" w:cs="Arial"/>
          <w:lang w:val="en"/>
        </w:rPr>
        <w:instrText xml:space="preserve"> ADDIN EN.CITE &lt;EndNote&gt;&lt;Cite&gt;&lt;Author&gt;Kamenan&lt;/Author&gt;&lt;Year&gt;2020&lt;/Year&gt;&lt;RecNum&gt;2&lt;/RecNum&gt;&lt;DisplayText&gt;(Kamenan&lt;style face="italic"&gt; et al.&lt;/style&gt; 2020)&lt;/DisplayText&gt;&lt;record&gt;&lt;rec-number&gt;2&lt;/rec-number&gt;&lt;foreign-keys&gt;&lt;key app="EN" db-id="e5vee2s5eededqe9ft3xrftxwasr55xptx0f" timestamp="1766352642"&gt;2&lt;/key&gt;&lt;/foreign-keys&gt;&lt;ref-type name="Journal Article"&gt;17&lt;/ref-type&gt;&lt;contributors&gt;&lt;authors&gt;&lt;author&gt;Kamenan, Yiwa Monique&lt;/author&gt;&lt;author&gt;Mangoua, Oi Mangoua Jules&lt;/author&gt;&lt;author&gt;Dibi, Brou&lt;/author&gt;&lt;author&gt;Georges, Sampah Eblin&lt;/author&gt;&lt;author&gt;Kouassi, Kouakou Lazare&lt;/author&gt;&lt;author&gt;Kouassi, Kouamé Auguste  &lt;/author&gt;&lt;author&gt;protection&lt;/author&gt;&lt;/authors&gt;&lt;/contributors&gt;&lt;titles&gt;&lt;title&gt;Assessment of vulnerability to groundwater pollution in the Lobo Watershed at Nibéhibé (Central-West, côte d’Ivoire)&lt;/title&gt;&lt;secondary-title&gt;Journal of Water Resource&lt;/secondary-title&gt;&lt;/titles&gt;&lt;periodical&gt;&lt;full-title&gt;Journal of Water Resource&lt;/full-title&gt;&lt;/periodical&gt;&lt;pages&gt;657-671&lt;/pages&gt;&lt;volume&gt;12&lt;/volume&gt;&lt;number&gt;8&lt;/number&gt;&lt;dates&gt;&lt;year&gt;2020&lt;/year&gt;&lt;/dates&gt;&lt;urls&gt;&lt;/urls&gt;&lt;electronic-resource-num&gt;https://doi.org/10.4236/jwarp.2020.128040&lt;/electronic-resource-num&gt;&lt;/record&gt;&lt;/Cite&gt;&lt;/EndNote&gt;</w:instrText>
      </w:r>
      <w:r w:rsidRPr="002D44DF">
        <w:rPr>
          <w:rFonts w:ascii="Arial" w:hAnsi="Arial" w:cs="Arial"/>
          <w:lang w:val="en"/>
        </w:rPr>
        <w:fldChar w:fldCharType="separate"/>
      </w:r>
      <w:r w:rsidRPr="002D44DF">
        <w:rPr>
          <w:rFonts w:ascii="Arial" w:hAnsi="Arial" w:cs="Arial"/>
          <w:lang w:val="en"/>
        </w:rPr>
        <w:t>(Kamenan</w:t>
      </w:r>
      <w:r w:rsidRPr="002D44DF">
        <w:rPr>
          <w:rFonts w:ascii="Arial" w:hAnsi="Arial" w:cs="Arial"/>
          <w:i/>
          <w:lang w:val="en"/>
        </w:rPr>
        <w:t xml:space="preserve"> et al.</w:t>
      </w:r>
      <w:r w:rsidRPr="002D44DF">
        <w:rPr>
          <w:rFonts w:ascii="Arial" w:hAnsi="Arial" w:cs="Arial"/>
          <w:lang w:val="en"/>
        </w:rPr>
        <w:t xml:space="preserve"> 2020)</w:t>
      </w:r>
      <w:r w:rsidRPr="002D44DF">
        <w:rPr>
          <w:rFonts w:ascii="Arial" w:hAnsi="Arial" w:cs="Arial"/>
          <w:lang w:val="en-GB"/>
        </w:rPr>
        <w:fldChar w:fldCharType="end"/>
      </w:r>
      <w:r w:rsidRPr="002D44DF">
        <w:rPr>
          <w:rFonts w:ascii="Arial" w:hAnsi="Arial" w:cs="Arial"/>
          <w:lang w:val="en"/>
        </w:rPr>
        <w:t xml:space="preserve">. The total sum of residues in several wells also exceeds 0.5 µg/L, confirming high agricultural pressure on groundwater (Koné et al., 2018). Ecotoxicological effects include the loss of aquatic biodiversity and bioaccumulation in the food web, while health risks concern chronic exposure, which can lead to neurological, endocrine, and carcinogenic disorders </w:t>
      </w:r>
      <w:proofErr w:type="gramStart"/>
      <w:r w:rsidRPr="002D44DF">
        <w:rPr>
          <w:rFonts w:ascii="Arial" w:hAnsi="Arial" w:cs="Arial"/>
          <w:lang w:val="en"/>
        </w:rPr>
        <w:t xml:space="preserve">( </w:t>
      </w:r>
      <w:proofErr w:type="spellStart"/>
      <w:r w:rsidRPr="002D44DF">
        <w:rPr>
          <w:rFonts w:ascii="Arial" w:hAnsi="Arial" w:cs="Arial"/>
          <w:lang w:val="en"/>
        </w:rPr>
        <w:t>Mostafalou</w:t>
      </w:r>
      <w:proofErr w:type="spellEnd"/>
      <w:proofErr w:type="gramEnd"/>
      <w:r w:rsidRPr="002D44DF">
        <w:rPr>
          <w:rFonts w:ascii="Arial" w:hAnsi="Arial" w:cs="Arial"/>
          <w:lang w:val="en"/>
        </w:rPr>
        <w:t xml:space="preserve"> &amp; </w:t>
      </w:r>
      <w:proofErr w:type="spellStart"/>
      <w:r w:rsidRPr="002D44DF">
        <w:rPr>
          <w:rFonts w:ascii="Arial" w:hAnsi="Arial" w:cs="Arial"/>
          <w:lang w:val="en"/>
        </w:rPr>
        <w:t>Abdollahi</w:t>
      </w:r>
      <w:proofErr w:type="spellEnd"/>
      <w:r w:rsidRPr="002D44DF">
        <w:rPr>
          <w:rFonts w:ascii="Arial" w:hAnsi="Arial" w:cs="Arial"/>
          <w:lang w:val="en"/>
        </w:rPr>
        <w:t xml:space="preserve"> , 2017; </w:t>
      </w:r>
      <w:proofErr w:type="spellStart"/>
      <w:r w:rsidRPr="002D44DF">
        <w:rPr>
          <w:rFonts w:ascii="Arial" w:hAnsi="Arial" w:cs="Arial"/>
          <w:lang w:val="en"/>
        </w:rPr>
        <w:t>Mamy</w:t>
      </w:r>
      <w:proofErr w:type="spellEnd"/>
      <w:r w:rsidRPr="002D44DF">
        <w:rPr>
          <w:rFonts w:ascii="Arial" w:hAnsi="Arial" w:cs="Arial"/>
          <w:lang w:val="en"/>
        </w:rPr>
        <w:t xml:space="preserve"> &amp; </w:t>
      </w:r>
      <w:proofErr w:type="spellStart"/>
      <w:r w:rsidRPr="002D44DF">
        <w:rPr>
          <w:rFonts w:ascii="Arial" w:hAnsi="Arial" w:cs="Arial"/>
          <w:lang w:val="en"/>
        </w:rPr>
        <w:t>Barriuso</w:t>
      </w:r>
      <w:proofErr w:type="spellEnd"/>
      <w:r w:rsidRPr="002D44DF">
        <w:rPr>
          <w:rFonts w:ascii="Arial" w:hAnsi="Arial" w:cs="Arial"/>
          <w:lang w:val="en"/>
        </w:rPr>
        <w:t xml:space="preserve"> , 2018).</w:t>
      </w:r>
    </w:p>
    <w:p w14:paraId="4BE4CEDA" w14:textId="77777777" w:rsidR="00BB7413" w:rsidRPr="002D44DF" w:rsidRDefault="00BB7413" w:rsidP="00BB7413">
      <w:pPr>
        <w:pStyle w:val="Body"/>
        <w:spacing w:after="0"/>
        <w:rPr>
          <w:rFonts w:ascii="Arial" w:hAnsi="Arial" w:cs="Arial"/>
          <w:lang w:val="en"/>
        </w:rPr>
      </w:pPr>
    </w:p>
    <w:p w14:paraId="23E05976"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t>Distribution of pesticide families</w:t>
      </w:r>
    </w:p>
    <w:p w14:paraId="70D4DCA8" w14:textId="77777777" w:rsidR="002D44DF" w:rsidRDefault="002D44DF" w:rsidP="002D44DF">
      <w:pPr>
        <w:pStyle w:val="Body"/>
        <w:spacing w:after="0"/>
        <w:rPr>
          <w:rFonts w:ascii="Arial" w:hAnsi="Arial" w:cs="Arial"/>
          <w:lang w:val="en"/>
        </w:rPr>
      </w:pPr>
      <w:r w:rsidRPr="002D44DF">
        <w:rPr>
          <w:rFonts w:ascii="Arial" w:hAnsi="Arial" w:cs="Arial"/>
          <w:lang w:val="en"/>
        </w:rPr>
        <w:t xml:space="preserve">In surface waters, triazines and metabolites dominate (0.466 µg/L), followed by organophosphates (0.453 µg/L), substituted </w:t>
      </w:r>
      <w:proofErr w:type="spellStart"/>
      <w:r w:rsidRPr="002D44DF">
        <w:rPr>
          <w:rFonts w:ascii="Arial" w:hAnsi="Arial" w:cs="Arial"/>
          <w:lang w:val="en"/>
        </w:rPr>
        <w:t>ureas</w:t>
      </w:r>
      <w:proofErr w:type="spellEnd"/>
      <w:r w:rsidRPr="002D44DF">
        <w:rPr>
          <w:rFonts w:ascii="Arial" w:hAnsi="Arial" w:cs="Arial"/>
          <w:lang w:val="en"/>
        </w:rPr>
        <w:t xml:space="preserve"> (0.202 µg/L), organochlorines (0.175 µg/L), pyrethroids (0.077 µg/L) and carbamates (0.024 µg/L), reflecting the intensive use of triazine herbicides and their persistence in soils </w:t>
      </w:r>
      <w:r w:rsidRPr="002D44DF">
        <w:rPr>
          <w:rFonts w:ascii="Arial" w:hAnsi="Arial" w:cs="Arial"/>
          <w:lang w:val="en"/>
        </w:rPr>
        <w:fldChar w:fldCharType="begin">
          <w:fldData xml:space="preserve">PEVuZE5vdGU+PENpdGU+PEF1dGhvcj5HdTwvQXV0aG9yPjxZZWFyPjIwMjM8L1llYXI+PFJlY051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=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PEVuZE5vdGU+PENpdGU+PEF1dGhvcj5HdTwvQXV0aG9yPjxZZWFyPjIwMjM8L1llYXI+PFJlY051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=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(Fingler</w:t>
      </w:r>
      <w:r w:rsidRPr="002D44DF">
        <w:rPr>
          <w:rFonts w:ascii="Arial" w:hAnsi="Arial" w:cs="Arial"/>
          <w:i/>
          <w:lang w:val="en"/>
        </w:rPr>
        <w:t xml:space="preserve"> et al.</w:t>
      </w:r>
      <w:r w:rsidRPr="002D44DF">
        <w:rPr>
          <w:rFonts w:ascii="Arial" w:hAnsi="Arial" w:cs="Arial"/>
          <w:lang w:val="en"/>
        </w:rPr>
        <w:t xml:space="preserve"> 2021, Gu</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xml:space="preserve">. In groundwater, organophosphates predominate (0.232 µg/L), followed by organochlorines (0.069 µg/L), substituted </w:t>
      </w:r>
      <w:proofErr w:type="spellStart"/>
      <w:r w:rsidRPr="002D44DF">
        <w:rPr>
          <w:rFonts w:ascii="Arial" w:hAnsi="Arial" w:cs="Arial"/>
          <w:lang w:val="en"/>
        </w:rPr>
        <w:t>ureas</w:t>
      </w:r>
      <w:proofErr w:type="spellEnd"/>
      <w:r w:rsidRPr="002D44DF">
        <w:rPr>
          <w:rFonts w:ascii="Arial" w:hAnsi="Arial" w:cs="Arial"/>
          <w:lang w:val="en"/>
        </w:rPr>
        <w:t xml:space="preserve"> (0.065 µg/L), carbamates (0.056 µg/L), pyrethroids (0.035 µg/L), and triazines (0.015 µg/L), due to their solubility and frequent use, which promote leaching </w:t>
      </w:r>
      <w:r w:rsidRPr="002D44DF">
        <w:rPr>
          <w:rFonts w:ascii="Arial" w:hAnsi="Arial" w:cs="Arial"/>
          <w:lang w:val="en"/>
        </w:rPr>
        <w:fldChar w:fldCharType="begin"/>
      </w:r>
      <w:r w:rsidRPr="002D44DF">
        <w:rPr>
          <w:rFonts w:ascii="Arial" w:hAnsi="Arial" w:cs="Arial"/>
          <w:lang w:val="en"/>
        </w:rPr>
        <w:instrText xml:space="preserve"> ADDIN EN.CITE &lt;EndNote&gt;&lt;Cite&gt;&lt;Author&gt;Müller&lt;/Author&gt;&lt;Year&gt;2002&lt;/Year&gt;&lt;RecNum&gt;7&lt;/RecNum&gt;&lt;DisplayText&gt;(Müller&lt;style face="italic"&gt; et al.&lt;/style&gt; 2002)&lt;/DisplayText&gt;&lt;record&gt;&lt;rec-number&gt;7&lt;/rec-number&gt;&lt;foreign-keys&gt;&lt;key app="EN" db-id="e5vee2s5eededqe9ft3xrftxwasr55xptx0f" timestamp="1766398892"&gt;7&lt;/key&gt;&lt;/foreign-keys&gt;&lt;ref-type name="Journal Article"&gt;17&lt;/ref-type&gt;&lt;contributors&gt;&lt;authors&gt;&lt;author&gt;Müller, Karin&lt;/author&gt;&lt;author&gt;Bach, Martin&lt;/author&gt;&lt;author&gt;Hartmann, Holger&lt;/author&gt;&lt;author&gt;Spiteller, Michael&lt;/author&gt;&lt;author&gt;Frede, Hans</w:instrText>
      </w:r>
      <w:r w:rsidRPr="002D44DF">
        <w:rPr>
          <w:rFonts w:ascii="Cambria Math" w:hAnsi="Cambria Math" w:cs="Cambria Math"/>
          <w:lang w:val="en"/>
        </w:rPr>
        <w:instrText>‐</w:instrText>
      </w:r>
      <w:r w:rsidRPr="002D44DF">
        <w:rPr>
          <w:rFonts w:ascii="Arial" w:hAnsi="Arial" w:cs="Arial"/>
          <w:lang w:val="en"/>
        </w:rPr>
        <w:instrText>Georg  &lt;/author&gt;&lt;/authors&gt;&lt;/contributors&gt;&lt;titles&gt;&lt;title&gt;Point</w:instrText>
      </w:r>
      <w:r w:rsidRPr="002D44DF">
        <w:rPr>
          <w:rFonts w:ascii="Cambria Math" w:hAnsi="Cambria Math" w:cs="Cambria Math"/>
          <w:lang w:val="en"/>
        </w:rPr>
        <w:instrText>‐</w:instrText>
      </w:r>
      <w:r w:rsidRPr="002D44DF">
        <w:rPr>
          <w:rFonts w:ascii="Arial" w:hAnsi="Arial" w:cs="Arial"/>
          <w:lang w:val="en"/>
        </w:rPr>
        <w:instrText>and nonpoint</w:instrText>
      </w:r>
      <w:r w:rsidRPr="002D44DF">
        <w:rPr>
          <w:rFonts w:ascii="Cambria Math" w:hAnsi="Cambria Math" w:cs="Cambria Math"/>
          <w:lang w:val="en"/>
        </w:rPr>
        <w:instrText>‐</w:instrText>
      </w:r>
      <w:r w:rsidRPr="002D44DF">
        <w:rPr>
          <w:rFonts w:ascii="Arial" w:hAnsi="Arial" w:cs="Arial"/>
          <w:lang w:val="en"/>
        </w:rPr>
        <w:instrText>source pesticide contamination in the Zwester Ohm catchment, Germany&lt;/title&gt;&lt;secondary-title&gt;Journal of environmental quality&lt;/secondary-title&gt;&lt;/titles&gt;&lt;periodical&gt;&lt;full-title&gt;Journal of environmental quality&lt;/full-title&gt;&lt;/periodical&gt;&lt;pages&gt;309-318&lt;/pages&gt;&lt;volume&gt;31&lt;/volume&gt;&lt;number&gt;1&lt;/number&gt;&lt;dates&gt;&lt;year&gt;2002&lt;/year&gt;&lt;/dates&gt;&lt;isbn&gt;0047-2425&lt;/isbn&gt;&lt;urls&gt;&lt;/urls&gt;&lt;electronic-resource-num&gt;https://doi.org/10.2134/jeq2002.3090&lt;/electronic-resource-num&gt;&lt;/record&gt;&lt;/Cite&gt;&lt;/EndNote&gt;</w:instrText>
      </w:r>
      <w:r w:rsidRPr="002D44DF">
        <w:rPr>
          <w:rFonts w:ascii="Arial" w:hAnsi="Arial" w:cs="Arial"/>
          <w:lang w:val="en"/>
        </w:rPr>
        <w:fldChar w:fldCharType="separate"/>
      </w:r>
      <w:r w:rsidRPr="002D44DF">
        <w:rPr>
          <w:rFonts w:ascii="Arial" w:hAnsi="Arial" w:cs="Arial"/>
          <w:lang w:val="en"/>
        </w:rPr>
        <w:t>(Müller</w:t>
      </w:r>
      <w:r w:rsidRPr="002D44DF">
        <w:rPr>
          <w:rFonts w:ascii="Arial" w:hAnsi="Arial" w:cs="Arial"/>
          <w:i/>
          <w:lang w:val="en"/>
        </w:rPr>
        <w:t xml:space="preserve"> et al.</w:t>
      </w:r>
      <w:r w:rsidRPr="002D44DF">
        <w:rPr>
          <w:rFonts w:ascii="Arial" w:hAnsi="Arial" w:cs="Arial"/>
          <w:lang w:val="en"/>
        </w:rPr>
        <w:t xml:space="preserve"> 2002)</w:t>
      </w:r>
      <w:r w:rsidRPr="002D44DF">
        <w:rPr>
          <w:rFonts w:ascii="Arial" w:hAnsi="Arial" w:cs="Arial"/>
          <w:lang w:val="en-GB"/>
        </w:rPr>
        <w:fldChar w:fldCharType="end"/>
      </w:r>
      <w:r w:rsidRPr="002D44DF">
        <w:rPr>
          <w:rFonts w:ascii="Arial" w:hAnsi="Arial" w:cs="Arial"/>
          <w:lang w:val="en"/>
        </w:rPr>
        <w:t xml:space="preserve">. The persistence of organochlorines, despite the ban, reflects their chemical stability and historical or illicit contamination </w:t>
      </w:r>
      <w:r w:rsidRPr="002D44DF">
        <w:rPr>
          <w:rFonts w:ascii="Arial" w:hAnsi="Arial" w:cs="Arial"/>
          <w:lang w:val="en"/>
        </w:rPr>
        <w:fldChar w:fldCharType="begin"/>
      </w:r>
      <w:r w:rsidRPr="002D44DF">
        <w:rPr>
          <w:rFonts w:ascii="Arial" w:hAnsi="Arial" w:cs="Arial"/>
          <w:lang w:val="en"/>
        </w:rPr>
        <w:instrText xml:space="preserve"> ADDIN EN.CITE &lt;EndNote&gt;&lt;Cite&gt;&lt;Author&gt;Troiano&lt;/Author&gt;&lt;Year&gt;2001&lt;/Year&gt;&lt;RecNum&gt;8&lt;/RecNum&gt;&lt;DisplayText&gt;(Troiano&lt;style face="italic"&gt; et al.&lt;/style&gt; 2001)&lt;/DisplayText&gt;&lt;record&gt;&lt;rec-number&gt;8&lt;/rec-number&gt;&lt;foreign-keys&gt;&lt;key app="EN" db-id="e5vee2s5eededqe9ft3xrftxwasr55xptx0f" timestamp="1766399073"&gt;8&lt;/key&gt;&lt;/foreign-keys&gt;&lt;ref-type name="Journal Article"&gt;17&lt;/ref-type&gt;&lt;contributors&gt;&lt;authors&gt;&lt;author&gt;Troiano, John&lt;/author&gt;&lt;author&gt;Weaver, Don&lt;/author&gt;&lt;author&gt;Marade, Joe&lt;/author&gt;&lt;author&gt;Spurlock, Frank&lt;/author&gt;&lt;author&gt;Pepple, Mark&lt;/author&gt;&lt;author&gt;Nordmark, Craig&lt;/author&gt;&lt;author&gt;Bartkowiak, Donna &lt;/author&gt;&lt;/authors&gt;&lt;/contributors&gt;&lt;titles&gt;&lt;title&gt;Summary of well water sampling in California to detect pesticide residues resulting from nonpoint</w:instrText>
      </w:r>
      <w:r w:rsidRPr="002D44DF">
        <w:rPr>
          <w:rFonts w:ascii="Cambria Math" w:hAnsi="Cambria Math" w:cs="Cambria Math"/>
          <w:lang w:val="en"/>
        </w:rPr>
        <w:instrText>‐</w:instrText>
      </w:r>
      <w:r w:rsidRPr="002D44DF">
        <w:rPr>
          <w:rFonts w:ascii="Arial" w:hAnsi="Arial" w:cs="Arial"/>
          <w:lang w:val="en"/>
        </w:rPr>
        <w:instrText>source applications&lt;/title&gt;&lt;secondary-title&gt;Journal of Environmental Quality&lt;/secondary-title&gt;&lt;/titles&gt;&lt;periodical&gt;&lt;full-title&gt;Journal of environmental quality&lt;/full-title&gt;&lt;/periodical&gt;&lt;pages&gt;448-459&lt;/pages&gt;&lt;volume&gt;30&lt;/volume&gt;&lt;number&gt;2&lt;/number&gt;&lt;dates&gt;&lt;year&gt;2001&lt;/year&gt;&lt;/dates&gt;&lt;isbn&gt;0047-2425&lt;/isbn&gt;&lt;urls&gt;&lt;/urls&gt;&lt;electronic-resource-num&gt;https://doi.org/10.2134/jeq2001.302448x&lt;/electronic-resource-num&gt;&lt;/record&gt;&lt;/Cite&gt;&lt;/EndNote&gt;</w:instrText>
      </w:r>
      <w:r w:rsidRPr="002D44DF">
        <w:rPr>
          <w:rFonts w:ascii="Arial" w:hAnsi="Arial" w:cs="Arial"/>
          <w:lang w:val="en"/>
        </w:rPr>
        <w:fldChar w:fldCharType="separate"/>
      </w:r>
      <w:r w:rsidRPr="002D44DF">
        <w:rPr>
          <w:rFonts w:ascii="Arial" w:hAnsi="Arial" w:cs="Arial"/>
          <w:lang w:val="en"/>
        </w:rPr>
        <w:t>(Troiano</w:t>
      </w:r>
      <w:r w:rsidRPr="002D44DF">
        <w:rPr>
          <w:rFonts w:ascii="Arial" w:hAnsi="Arial" w:cs="Arial"/>
          <w:i/>
          <w:lang w:val="en"/>
        </w:rPr>
        <w:t xml:space="preserve"> et al.</w:t>
      </w:r>
      <w:r w:rsidRPr="002D44DF">
        <w:rPr>
          <w:rFonts w:ascii="Arial" w:hAnsi="Arial" w:cs="Arial"/>
          <w:lang w:val="en"/>
        </w:rPr>
        <w:t xml:space="preserve"> 2001)</w:t>
      </w:r>
      <w:r w:rsidRPr="002D44DF">
        <w:rPr>
          <w:rFonts w:ascii="Arial" w:hAnsi="Arial" w:cs="Arial"/>
          <w:lang w:val="en-GB"/>
        </w:rPr>
        <w:fldChar w:fldCharType="end"/>
      </w:r>
      <w:r w:rsidRPr="002D44DF">
        <w:rPr>
          <w:rFonts w:ascii="Arial" w:hAnsi="Arial" w:cs="Arial"/>
          <w:lang w:val="en"/>
        </w:rPr>
        <w:t xml:space="preserve">. Minor families, such as pyrethroids and carbamates, also present significant toxicological potential </w:t>
      </w:r>
      <w:r w:rsidRPr="002D44DF">
        <w:rPr>
          <w:rFonts w:ascii="Arial" w:hAnsi="Arial" w:cs="Arial"/>
          <w:lang w:val="en"/>
        </w:rPr>
        <w:fldChar w:fldCharType="begin">
          <w:fldData xml:space="preserve">PEVuZE5vdGU+PENpdGU+PEF1dGhvcj5EYWFtPC9BdXRob3I+PFllYXI+MjAxODwvWWVhcj48UmVj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PEVuZE5vdGU+PENpdGU+PEF1dGhvcj5EYWFtPC9BdXRob3I+PFllYXI+MjAxODwvWWVhcj48UmVj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(Daam and Rico 2018)</w:t>
      </w:r>
      <w:r w:rsidRPr="002D44DF">
        <w:rPr>
          <w:rFonts w:ascii="Arial" w:hAnsi="Arial" w:cs="Arial"/>
          <w:lang w:val="en-GB"/>
        </w:rPr>
        <w:fldChar w:fldCharType="end"/>
      </w:r>
      <w:r w:rsidRPr="002D44DF">
        <w:rPr>
          <w:rFonts w:ascii="Arial" w:hAnsi="Arial" w:cs="Arial"/>
          <w:lang w:val="en"/>
        </w:rPr>
        <w:t>. These observations are part of a global context of groundwater pollution by pesticides, exacerbated by intensive agricultural practices and limited regulatory oversight</w:t>
      </w:r>
      <w:r w:rsidRPr="002D44DF">
        <w:rPr>
          <w:rFonts w:ascii="Arial" w:hAnsi="Arial" w:cs="Arial"/>
          <w:lang w:val="en"/>
        </w:rPr>
        <w:fldChar w:fldCharType="begin">
          <w:fldData xml:space="preserve">PEVuZE5vdGU+PENpdGU+PEF1dGhvcj5NYWxsYTwvQXV0aG9yPjxZZWFyPjIwMjE8L1llYXI+PFJl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PEVuZE5vdGU+PENpdGU+PEF1dGhvcj5NYWxsYTwvQXV0aG9yPjxZZWFyPjIwMjE8L1llYXI+PFJl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(Malla</w:t>
      </w:r>
      <w:r w:rsidRPr="002D44DF">
        <w:rPr>
          <w:rFonts w:ascii="Arial" w:hAnsi="Arial" w:cs="Arial"/>
          <w:i/>
          <w:lang w:val="en"/>
        </w:rPr>
        <w:t xml:space="preserve"> et al.</w:t>
      </w:r>
      <w:r w:rsidRPr="002D44DF">
        <w:rPr>
          <w:rFonts w:ascii="Arial" w:hAnsi="Arial" w:cs="Arial"/>
          <w:lang w:val="en"/>
        </w:rPr>
        <w:t xml:space="preserve"> 2021, Acharya</w:t>
      </w:r>
      <w:r w:rsidRPr="002D44DF">
        <w:rPr>
          <w:rFonts w:ascii="Arial" w:hAnsi="Arial" w:cs="Arial"/>
          <w:i/>
          <w:lang w:val="en"/>
        </w:rPr>
        <w:t xml:space="preserve"> et al.</w:t>
      </w:r>
      <w:r w:rsidRPr="002D44DF">
        <w:rPr>
          <w:rFonts w:ascii="Arial" w:hAnsi="Arial" w:cs="Arial"/>
          <w:lang w:val="en"/>
        </w:rPr>
        <w:t xml:space="preserve"> 2025)</w:t>
      </w:r>
      <w:r w:rsidRPr="002D44DF">
        <w:rPr>
          <w:rFonts w:ascii="Arial" w:hAnsi="Arial" w:cs="Arial"/>
          <w:lang w:val="en-GB"/>
        </w:rPr>
        <w:fldChar w:fldCharType="end"/>
      </w:r>
      <w:r w:rsidRPr="002D44DF">
        <w:rPr>
          <w:rFonts w:ascii="Arial" w:hAnsi="Arial" w:cs="Arial"/>
          <w:lang w:val="en"/>
        </w:rPr>
        <w:t>.</w:t>
      </w:r>
    </w:p>
    <w:p w14:paraId="3121FC3D" w14:textId="77777777" w:rsidR="002D44DF" w:rsidRPr="002D44DF" w:rsidRDefault="002D44DF" w:rsidP="002D44DF">
      <w:pPr>
        <w:pStyle w:val="Body"/>
        <w:spacing w:after="0"/>
        <w:rPr>
          <w:rFonts w:ascii="Arial" w:hAnsi="Arial" w:cs="Arial"/>
          <w:lang w:val="en"/>
        </w:rPr>
      </w:pPr>
    </w:p>
    <w:p w14:paraId="7FD67684"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lastRenderedPageBreak/>
        <w:t>Water resource quality indices</w:t>
      </w:r>
    </w:p>
    <w:p w14:paraId="618D954B" w14:textId="77777777" w:rsidR="002D44DF" w:rsidRDefault="002D44DF" w:rsidP="002D44DF">
      <w:pPr>
        <w:pStyle w:val="Body"/>
        <w:spacing w:after="0"/>
        <w:rPr>
          <w:rFonts w:ascii="Arial" w:hAnsi="Arial" w:cs="Arial"/>
          <w:lang w:val="en"/>
        </w:rPr>
      </w:pPr>
      <w:r w:rsidRPr="002D44DF">
        <w:rPr>
          <w:rFonts w:ascii="Arial" w:hAnsi="Arial" w:cs="Arial"/>
          <w:lang w:val="en"/>
        </w:rPr>
        <w:t xml:space="preserve">The contamination index (CI) and alteration index (AI) confirm a significant deterioration in water quality. For surface waters, the CI ranges from 1.31 to 2.08 (mean 1.63), indicating a significant impact of pesticides </w:t>
      </w:r>
      <w:r w:rsidRPr="002D44DF">
        <w:rPr>
          <w:rFonts w:ascii="Arial" w:hAnsi="Arial" w:cs="Arial"/>
          <w:lang w:val="en"/>
        </w:rPr>
        <w:fldChar w:fldCharType="begin"/>
      </w:r>
      <w:r w:rsidRPr="002D44DF">
        <w:rPr>
          <w:rFonts w:ascii="Arial" w:hAnsi="Arial" w:cs="Arial"/>
          <w:lang w:val="en"/>
        </w:rPr>
        <w:instrText xml:space="preserve"> ADDIN EN.CITE &lt;EndNote&gt;&lt;Cite&gt;&lt;Author&gt;Ariza Restrepo&lt;/Author&gt;&lt;Year&gt;2023&lt;/Year&gt;&lt;RecNum&gt;3&lt;/RecNum&gt;&lt;DisplayText&gt;(Ariza Restrepo&lt;style face="italic"&gt; et al.&lt;/style&gt; 2023)&lt;/DisplayText&gt;&lt;record&gt;&lt;rec-number&gt;3&lt;/rec-number&gt;&lt;foreign-keys&gt;&lt;key app="EN" db-id="e5vee2s5eededqe9ft3xrftxwasr55xptx0f" timestamp="1766396186"&gt;3&lt;/key&gt;&lt;/foreign-keys&gt;&lt;ref-type name="Journal Article"&gt;17&lt;/ref-type&gt;&lt;contributors&gt;&lt;authors&gt;&lt;author&gt;Ariza Restrepo, Jaime Luis&lt;/author&gt;&lt;author&gt;Rodriguez Diaz, Yim James&lt;/author&gt;&lt;author&gt;Onate Barraza, Hernando Carlos &lt;/author&gt;&lt;/authors&gt;&lt;/contributors&gt;&lt;titles&gt;&lt;title&gt;Water quality indices (WQI) and contamination indices (WPI) a bibliographic review&lt;/title&gt;&lt;secondary-title&gt;Tecnura&lt;/secondary-title&gt;&lt;/titles&gt;&lt;periodical&gt;&lt;full-title&gt;Tecnura&lt;/full-title&gt;&lt;/periodical&gt;&lt;pages&gt;121-140&lt;/pages&gt;&lt;volume&gt;27&lt;/volume&gt;&lt;number&gt;77&lt;/number&gt;&lt;dates&gt;&lt;year&gt;2023&lt;/year&gt;&lt;/dates&gt;&lt;isbn&gt;0123-921X&lt;/isbn&gt;&lt;urls&gt;&lt;/urls&gt;&lt;/record&gt;&lt;/Cite&gt;&lt;/EndNote&gt;</w:instrText>
      </w:r>
      <w:r w:rsidRPr="002D44DF">
        <w:rPr>
          <w:rFonts w:ascii="Arial" w:hAnsi="Arial" w:cs="Arial"/>
          <w:lang w:val="en"/>
        </w:rPr>
        <w:fldChar w:fldCharType="separate"/>
      </w:r>
      <w:r w:rsidRPr="002D44DF">
        <w:rPr>
          <w:rFonts w:ascii="Arial" w:hAnsi="Arial" w:cs="Arial"/>
          <w:lang w:val="en"/>
        </w:rPr>
        <w:t>(Ariza Restrepo</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xml:space="preserve">. According to the AI, 70.3% of the samples exhibit very poor quality, with concentrations exceeding WHO and European thresholds (0.1 µg/L per pesticide and 0.5 µg/L for the total). In groundwater, the ICP is between 1 and 1.5 (mean = 1.28), indicating lower but persistent pollution, with 39.14% of samples of poor quality. However, the IAP reveals that 97.4% of wells exceed the limit of 0.5 µg/L, highlighting diffuse and chronic contamination of groundwater, aggravated by unregulated agricultural practices and the absence of integrated management </w:t>
      </w:r>
      <w:r w:rsidRPr="002D44DF">
        <w:rPr>
          <w:rFonts w:ascii="Arial" w:hAnsi="Arial" w:cs="Arial"/>
          <w:lang w:val="en"/>
        </w:rPr>
        <w:fldChar w:fldCharType="begin"/>
      </w:r>
      <w:r w:rsidRPr="002D44DF">
        <w:rPr>
          <w:rFonts w:ascii="Arial" w:hAnsi="Arial" w:cs="Arial"/>
          <w:lang w:val="en"/>
        </w:rPr>
        <w:instrText xml:space="preserve"> ADDIN EN.CITE &lt;EndNote&gt;&lt;Cite&gt;&lt;Author&gt;Soro&lt;/Author&gt;&lt;Year&gt;2022&lt;/Year&gt;&lt;RecNum&gt;4&lt;/RecNum&gt;&lt;DisplayText&gt;(Soro&lt;style face="italic"&gt; et al.&lt;/style&gt; 2022)&lt;/DisplayText&gt;&lt;record&gt;&lt;rec-number&gt;4&lt;/rec-number&gt;&lt;foreign-keys&gt;&lt;key app="EN" db-id="e5vee2s5eededqe9ft3xrftxwasr55xptx0f" timestamp="1766398238"&gt;4&lt;/key&gt;&lt;/foreign-keys&gt;&lt;ref-type name="Journal Article"&gt;17&lt;/ref-type&gt;&lt;contributors&gt;&lt;authors&gt;&lt;author&gt;Soro, Tanina Drissa&lt;/author&gt;&lt;author&gt;Fossou, Nguessan Marie Rosine&lt;/author&gt;&lt;author&gt;Kone, Gogbeu Yiba Magloire&lt;/author&gt;&lt;author&gt;Oga, Yéi Marie-Solange&lt;/author&gt;&lt;author&gt;Soro, Nagnin &lt;/author&gt;&lt;/authors&gt;&lt;/contributors&gt;&lt;titles&gt;&lt;title&gt;Evaluation de la qualité des eaux souterraines du département de Grand-Lahou (Sud-Ouest de la Côte d&amp;apos;Ivoire) à partir de l&amp;apos;indice WQI&lt;/title&gt;&lt;secondary-title&gt;International Journal of Innovation Applied Studies&lt;/secondary-title&gt;&lt;/titles&gt;&lt;periodical&gt;&lt;full-title&gt;International Journal of Innovation Applied Studies&lt;/full-title&gt;&lt;/periodical&gt;&lt;pages&gt;417-427&lt;/pages&gt;&lt;volume&gt;38&lt;/volume&gt;&lt;number&gt;2&lt;/number&gt;&lt;dates&gt;&lt;year&gt;2022&lt;/year&gt;&lt;/dates&gt;&lt;isbn&gt;2028-9324&lt;/isbn&gt;&lt;urls&gt;&lt;/urls&gt;&lt;/record&gt;&lt;/Cite&gt;&lt;/EndNote&gt;</w:instrText>
      </w:r>
      <w:r w:rsidRPr="002D44DF">
        <w:rPr>
          <w:rFonts w:ascii="Arial" w:hAnsi="Arial" w:cs="Arial"/>
          <w:lang w:val="en"/>
        </w:rPr>
        <w:fldChar w:fldCharType="separate"/>
      </w:r>
      <w:r w:rsidRPr="002D44DF">
        <w:rPr>
          <w:rFonts w:ascii="Arial" w:hAnsi="Arial" w:cs="Arial"/>
          <w:lang w:val="en"/>
        </w:rPr>
        <w:t>(Soro</w:t>
      </w:r>
      <w:r w:rsidRPr="002D44DF">
        <w:rPr>
          <w:rFonts w:ascii="Arial" w:hAnsi="Arial" w:cs="Arial"/>
          <w:i/>
          <w:lang w:val="en"/>
        </w:rPr>
        <w:t xml:space="preserve"> et al.</w:t>
      </w:r>
      <w:r w:rsidRPr="002D44DF">
        <w:rPr>
          <w:rFonts w:ascii="Arial" w:hAnsi="Arial" w:cs="Arial"/>
          <w:lang w:val="en"/>
        </w:rPr>
        <w:t xml:space="preserve"> 2022)</w:t>
      </w:r>
      <w:r w:rsidRPr="002D44DF">
        <w:rPr>
          <w:rFonts w:ascii="Arial" w:hAnsi="Arial" w:cs="Arial"/>
          <w:lang w:val="en-GB"/>
        </w:rPr>
        <w:fldChar w:fldCharType="end"/>
      </w:r>
      <w:r w:rsidRPr="002D44DF">
        <w:rPr>
          <w:rFonts w:ascii="Arial" w:hAnsi="Arial" w:cs="Arial"/>
          <w:lang w:val="en"/>
        </w:rPr>
        <w:t>. These results confirm the urgency of monitoring measures and sustainable agricultural strategies to protect local water resources.</w:t>
      </w:r>
    </w:p>
    <w:p w14:paraId="0FA55B74" w14:textId="77777777" w:rsidR="002D44DF" w:rsidRPr="002D44DF" w:rsidRDefault="002D44DF" w:rsidP="002D44DF">
      <w:pPr>
        <w:pStyle w:val="Body"/>
        <w:spacing w:after="0"/>
        <w:rPr>
          <w:rFonts w:ascii="Arial" w:hAnsi="Arial" w:cs="Arial"/>
          <w:lang w:val="en"/>
        </w:rPr>
      </w:pPr>
    </w:p>
    <w:p w14:paraId="55B2389F" w14:textId="77777777" w:rsidR="002D44DF" w:rsidRPr="002D44DF" w:rsidRDefault="002D44DF" w:rsidP="002D44DF">
      <w:pPr>
        <w:pStyle w:val="Body"/>
        <w:spacing w:after="0"/>
        <w:rPr>
          <w:rFonts w:ascii="Arial" w:hAnsi="Arial" w:cs="Arial"/>
          <w:b/>
          <w:bCs/>
          <w:lang w:val="en"/>
        </w:rPr>
      </w:pPr>
      <w:r w:rsidRPr="002D44DF">
        <w:rPr>
          <w:rFonts w:ascii="Arial" w:hAnsi="Arial" w:cs="Arial"/>
          <w:b/>
          <w:bCs/>
          <w:lang w:val="en"/>
        </w:rPr>
        <w:t>Multivariate analysis of site-contaminant relationships</w:t>
      </w:r>
    </w:p>
    <w:p w14:paraId="3133108B"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The spatial structuring of pesticide contamination revealed by PCA in this study aligns well with recent research using similar multivariate techniques. For instance, a 2025 investigation of organophosphorus pesticides in groundwater from the Campania Plain (Southern Italy) identified </w:t>
      </w:r>
      <w:r w:rsidRPr="002D44DF">
        <w:rPr>
          <w:rFonts w:ascii="Arial" w:hAnsi="Arial" w:cs="Arial"/>
          <w:bCs/>
          <w:lang w:val="en"/>
        </w:rPr>
        <w:t>Dimethoate, Chlorpyrifos, and Parathion</w:t>
      </w:r>
      <w:r w:rsidRPr="002D44DF">
        <w:rPr>
          <w:rFonts w:ascii="Arial" w:hAnsi="Arial" w:cs="Arial"/>
          <w:b/>
          <w:lang w:val="en"/>
        </w:rPr>
        <w:t xml:space="preserve"> </w:t>
      </w:r>
      <w:r w:rsidRPr="002D44DF">
        <w:rPr>
          <w:rFonts w:ascii="Arial" w:hAnsi="Arial" w:cs="Arial"/>
          <w:lang w:val="en"/>
        </w:rPr>
        <w:t xml:space="preserve">as the most prevalent contaminants and demonstrated strong correlations between pesticide distribution, land use, and agricultural intensity using PCA, highlighting contamination hotspots in intensively farmed areas </w:t>
      </w:r>
      <w:r w:rsidRPr="002D44DF">
        <w:rPr>
          <w:rFonts w:ascii="Arial" w:hAnsi="Arial" w:cs="Arial"/>
          <w:lang w:val="en"/>
        </w:rPr>
        <w:fldChar w:fldCharType="begin"/>
      </w:r>
      <w:r w:rsidRPr="002D44DF">
        <w:rPr>
          <w:rFonts w:ascii="Arial" w:hAnsi="Arial" w:cs="Arial"/>
          <w:lang w:val="en"/>
        </w:rPr>
        <w:instrText xml:space="preserve"> ADDIN EN.CITE &lt;EndNote&gt;&lt;Cite&gt;&lt;Author&gt;De Rosa&lt;/Author&gt;&lt;Year&gt;2025&lt;/Year&gt;&lt;RecNum&gt;1&lt;/RecNum&gt;&lt;DisplayText&gt;(De Rosa&lt;style face="italic"&gt; et al.&lt;/style&gt; 2025)&lt;/DisplayText&gt;&lt;record&gt;&lt;rec-number&gt;1&lt;/rec-number&gt;&lt;foreign-keys&gt;&lt;key app="EN" db-id="5arwtxpf3w0vfler5pzxa0v3z5t5etx0ratz" timestamp="1766257139"&gt;1&lt;/key&gt;&lt;/foreign-keys&gt;&lt;ref-type name="Journal Article"&gt;17&lt;/ref-type&gt;&lt;contributors&gt;&lt;authors&gt;&lt;author&gt;De Rosa, Elvira&lt;/author&gt;&lt;author&gt;Cerino, Pellegrino&lt;/author&gt;&lt;author&gt;Triassi, Maria&lt;/author&gt;&lt;author&gt;Di Duca, Fabiana&lt;/author&gt;&lt;author&gt;Porreca, Annamaria&lt;/author&gt;&lt;author&gt;Russo, Immacolata&lt;/author&gt;&lt;author&gt;Scippa, Stefano&lt;/author&gt;&lt;author&gt;Venuta, Alessandro&lt;/author&gt;&lt;author&gt;Coppola, Annachiara&lt;/author&gt;&lt;author&gt;Pizzolante, Antonio&lt;/author&gt;&lt;author&gt;Nicodemo, Federico&lt;/author&gt;&lt;author&gt;Trama, Ugo&lt;/author&gt;&lt;author&gt;Policino, Fabio&lt;/author&gt;&lt;author&gt;Montuori, Paolo&lt;/author&gt;&lt;/authors&gt;&lt;/contributors&gt;&lt;titles&gt;&lt;title&gt;Contamination assessment and risk evaluation of organophosphorus pesticides in groundwater: A study on contamination patterns and implications&lt;/title&gt;&lt;secondary-title&gt;Journal of Hazardous Materials Advances&lt;/secondary-title&gt;&lt;/titles&gt;&lt;periodical&gt;&lt;full-title&gt;Journal of Hazardous Materials Advances&lt;/full-title&gt;&lt;/periodical&gt;&lt;pages&gt;100701&lt;/pages&gt;&lt;volume&gt;18&lt;/volume&gt;&lt;dates&gt;&lt;year&gt;2025&lt;/year&gt;&lt;pub-dates&gt;&lt;date&gt;2025/05/01/&lt;/date&gt;&lt;/pub-dates&gt;&lt;/dates&gt;&lt;isbn&gt;2772-4166&lt;/isbn&gt;&lt;urls&gt;&lt;related-urls&gt;&lt;url&gt;https://www.sciencedirect.com/science/article/pii/S2772416625001135&lt;/url&gt;&lt;/related-urls&gt;&lt;/urls&gt;&lt;electronic-resource-num&gt;https://doi.org/10.1016/j.hazadv.2025.100701&lt;/electronic-resource-num&gt;&lt;/record&gt;&lt;/Cite&gt;&lt;/EndNote&gt;</w:instrText>
      </w:r>
      <w:r w:rsidRPr="002D44DF">
        <w:rPr>
          <w:rFonts w:ascii="Arial" w:hAnsi="Arial" w:cs="Arial"/>
          <w:lang w:val="en"/>
        </w:rPr>
        <w:fldChar w:fldCharType="separate"/>
      </w:r>
      <w:r w:rsidRPr="002D44DF">
        <w:rPr>
          <w:rFonts w:ascii="Arial" w:hAnsi="Arial" w:cs="Arial"/>
          <w:lang w:val="en"/>
        </w:rPr>
        <w:t>(De Rosa</w:t>
      </w:r>
      <w:r w:rsidRPr="002D44DF">
        <w:rPr>
          <w:rFonts w:ascii="Arial" w:hAnsi="Arial" w:cs="Arial"/>
          <w:i/>
          <w:lang w:val="en"/>
        </w:rPr>
        <w:t xml:space="preserve"> et al.</w:t>
      </w:r>
      <w:r w:rsidRPr="002D44DF">
        <w:rPr>
          <w:rFonts w:ascii="Arial" w:hAnsi="Arial" w:cs="Arial"/>
          <w:lang w:val="en"/>
        </w:rPr>
        <w:t xml:space="preserve"> 2025)</w:t>
      </w:r>
      <w:r w:rsidRPr="002D44DF">
        <w:rPr>
          <w:rFonts w:ascii="Arial" w:hAnsi="Arial" w:cs="Arial"/>
          <w:lang w:val="en-GB"/>
        </w:rPr>
        <w:fldChar w:fldCharType="end"/>
      </w:r>
      <w:r w:rsidRPr="002D44DF">
        <w:rPr>
          <w:rFonts w:ascii="Arial" w:hAnsi="Arial" w:cs="Arial"/>
          <w:lang w:val="en"/>
        </w:rPr>
        <w:t xml:space="preserve">. Studies in other agricultural regions, such as the </w:t>
      </w:r>
      <w:proofErr w:type="spellStart"/>
      <w:r w:rsidRPr="002D44DF">
        <w:rPr>
          <w:rFonts w:ascii="Arial" w:hAnsi="Arial" w:cs="Arial"/>
          <w:lang w:val="en"/>
        </w:rPr>
        <w:t>Júcar</w:t>
      </w:r>
      <w:proofErr w:type="spellEnd"/>
      <w:r w:rsidRPr="002D44DF">
        <w:rPr>
          <w:rFonts w:ascii="Arial" w:hAnsi="Arial" w:cs="Arial"/>
          <w:lang w:val="en"/>
        </w:rPr>
        <w:t xml:space="preserve"> River Basin in Spain, also report </w:t>
      </w:r>
      <w:r w:rsidRPr="002D44DF">
        <w:rPr>
          <w:rFonts w:ascii="Arial" w:hAnsi="Arial" w:cs="Arial"/>
          <w:bCs/>
          <w:lang w:val="en"/>
        </w:rPr>
        <w:t>marked spatial variability in pesticide contamination of groundwater</w:t>
      </w:r>
      <w:r w:rsidRPr="002D44DF">
        <w:rPr>
          <w:rFonts w:ascii="Arial" w:hAnsi="Arial" w:cs="Arial"/>
          <w:lang w:val="en"/>
        </w:rPr>
        <w:t xml:space="preserve">, where concentrations reflect the intensity of agricultural land use </w:t>
      </w:r>
      <w:r w:rsidRPr="002D44DF">
        <w:rPr>
          <w:rFonts w:ascii="Arial" w:hAnsi="Arial" w:cs="Arial"/>
          <w:lang w:val="en"/>
        </w:rPr>
        <w:fldChar w:fldCharType="begin"/>
      </w:r>
      <w:r w:rsidRPr="002D44DF">
        <w:rPr>
          <w:rFonts w:ascii="Arial" w:hAnsi="Arial" w:cs="Arial"/>
          <w:lang w:val="en"/>
        </w:rPr>
        <w:instrText xml:space="preserve"> ADDIN EN.CITE &lt;EndNote&gt;&lt;Cite&gt;&lt;Author&gt;Pérez-Indoval&lt;/Author&gt;&lt;Year&gt;2024&lt;/Year&gt;&lt;RecNum&gt;2&lt;/RecNum&gt;&lt;DisplayText&gt;(Pérez-Indoval and Romero-López 2024)&lt;/DisplayText&gt;&lt;record&gt;&lt;rec-number&gt;2&lt;/rec-number&gt;&lt;foreign-keys&gt;&lt;key app="EN" db-id="5arwtxpf3w0vfler5pzxa0v3z5t5etx0ratz" timestamp="1766258041"&gt;2&lt;/key&gt;&lt;/foreign-keys&gt;&lt;ref-type name="Journal Article"&gt;17&lt;/ref-type&gt;&lt;contributors&gt;&lt;authors&gt;&lt;author&gt;Pérez-Indoval, Ricardo&lt;/author&gt;&lt;author&gt;Romero-López, Rabindranarth&lt;/author&gt;&lt;/authors&gt;&lt;/contributors&gt;&lt;titles&gt;&lt;title&gt;Assessment of pesticide contamination in groundwater bodies in the Jucar River Basin (Spain) and its spatial distribution&lt;/title&gt;&lt;secondary-title&gt;Groundwater for Sustainable Development&lt;/secondary-title&gt;&lt;/titles&gt;&lt;periodical&gt;&lt;full-title&gt;Groundwater for Sustainable Development&lt;/full-title&gt;&lt;/periodical&gt;&lt;pages&gt;101118&lt;/pages&gt;&lt;volume&gt;25&lt;/volume&gt;&lt;dates&gt;&lt;year&gt;2024&lt;/year&gt;&lt;pub-dates&gt;&lt;date&gt;2024/05/01/&lt;/date&gt;&lt;/pub-dates&gt;&lt;/dates&gt;&lt;isbn&gt;2352-801X&lt;/isbn&gt;&lt;urls&gt;&lt;related-urls&gt;&lt;url&gt;https://www.sciencedirect.com/science/article/pii/S2352801X24000419&lt;/url&gt;&lt;/related-urls&gt;&lt;/urls&gt;&lt;electronic-resource-num&gt;https://doi.org/10.1016/j.gsd.2024.101118&lt;/electronic-resource-num&gt;&lt;/record&gt;&lt;/Cite&gt;&lt;/EndNote&gt;</w:instrText>
      </w:r>
      <w:r w:rsidRPr="002D44DF">
        <w:rPr>
          <w:rFonts w:ascii="Arial" w:hAnsi="Arial" w:cs="Arial"/>
          <w:lang w:val="en"/>
        </w:rPr>
        <w:fldChar w:fldCharType="separate"/>
      </w:r>
      <w:r w:rsidRPr="002D44DF">
        <w:rPr>
          <w:rFonts w:ascii="Arial" w:hAnsi="Arial" w:cs="Arial"/>
          <w:lang w:val="en"/>
        </w:rPr>
        <w:t>(Pérez-Indoval and Romero-López 2024)</w:t>
      </w:r>
      <w:r w:rsidRPr="002D44DF">
        <w:rPr>
          <w:rFonts w:ascii="Arial" w:hAnsi="Arial" w:cs="Arial"/>
          <w:lang w:val="en-GB"/>
        </w:rPr>
        <w:fldChar w:fldCharType="end"/>
      </w:r>
      <w:r w:rsidRPr="002D44DF">
        <w:rPr>
          <w:rFonts w:ascii="Arial" w:hAnsi="Arial" w:cs="Arial"/>
          <w:lang w:val="en"/>
        </w:rPr>
        <w:t xml:space="preserve">. These patterns support the interpretation that groups of sites with similar contamination profiles share common drivers related to agricultural practices and hydrological connectivity. In a broader context, global reviews of pesticide occurrence in rivers indicate that </w:t>
      </w:r>
      <w:r w:rsidRPr="002D44DF">
        <w:rPr>
          <w:rFonts w:ascii="Arial" w:hAnsi="Arial" w:cs="Arial"/>
          <w:bCs/>
          <w:lang w:val="en"/>
        </w:rPr>
        <w:t>organophosphorus compounds such as Chlorpyrifos and Malathion remain widespread in aquatic systems worldwide</w:t>
      </w:r>
      <w:r w:rsidRPr="002D44DF">
        <w:rPr>
          <w:rFonts w:ascii="Arial" w:hAnsi="Arial" w:cs="Arial"/>
          <w:lang w:val="en"/>
        </w:rPr>
        <w:t xml:space="preserve">, underscoring their frequent dominance in contamination profiles </w:t>
      </w:r>
      <w:r w:rsidRPr="002D44DF">
        <w:rPr>
          <w:rFonts w:ascii="Arial" w:hAnsi="Arial" w:cs="Arial"/>
          <w:lang w:val="en"/>
        </w:rPr>
        <w:fldChar w:fldCharType="begin"/>
      </w:r>
      <w:r w:rsidRPr="002D44DF">
        <w:rPr>
          <w:rFonts w:ascii="Arial" w:hAnsi="Arial" w:cs="Arial"/>
          <w:lang w:val="en"/>
        </w:rPr>
        <w:instrText xml:space="preserve"> ADDIN EN.CITE &lt;EndNote&gt;&lt;Cite&gt;&lt;Author&gt;López-Benítez&lt;/Author&gt;&lt;Year&gt;2024&lt;/Year&gt;&lt;RecNum&gt;3&lt;/RecNum&gt;&lt;DisplayText&gt;(López-Benítez&lt;style face="italic"&gt; et al.&lt;/style&gt; 2024)&lt;/DisplayText&gt;&lt;record&gt;&lt;rec-number&gt;3&lt;/rec-number&gt;&lt;foreign-keys&gt;&lt;key app="EN" db-id="5arwtxpf3w0vfler5pzxa0v3z5t5etx0ratz" timestamp="1766258155"&gt;3&lt;/key&gt;&lt;/foreign-keys&gt;&lt;ref-type name="Journal Article"&gt;17&lt;/ref-type&gt;&lt;contributors&gt;&lt;authors&gt;&lt;author&gt;López-Benítez, Acela&lt;/author&gt;&lt;author&gt;Guevara-Lara, Alfredo&lt;/author&gt;&lt;author&gt;Domínguez-Crespo, Miguel A.&lt;/author&gt;&lt;author&gt;Andraca-Adame, José A.&lt;/author&gt;&lt;author&gt;Torres-Huerta, Aidé M.&lt;/author&gt;&lt;/authors&gt;&lt;/contributors&gt;&lt;titles&gt;&lt;title&gt;Concentrations of Organochlorine, Organophosphorus, and Pyrethroid Pesticides in Rivers Worldwide (2014–2024): A Review&lt;/title&gt;&lt;/titles&gt;&lt;pages&gt;8066&lt;/pages&gt;&lt;volume&gt;16&lt;/volume&gt;&lt;number&gt;18&lt;/number&gt;&lt;dates&gt;&lt;year&gt;2024&lt;/year&gt;&lt;/dates&gt;&lt;isbn&gt;2071-1050&lt;/isbn&gt;&lt;accession-num&gt;doi:10.3390/su16188066&lt;/accession-num&gt;&lt;urls&gt;&lt;related-urls&gt;&lt;url&gt;https://www.mdpi.com/2071-1050/16/18/8066&lt;/url&gt;&lt;/related-urls&gt;&lt;/urls&gt;&lt;electronic-resource-num&gt;https://doi.org/10.3390/su16188066&lt;/electronic-resource-num&gt;&lt;/record&gt;&lt;/Cite&gt;&lt;/EndNote&gt;</w:instrText>
      </w:r>
      <w:r w:rsidRPr="002D44DF">
        <w:rPr>
          <w:rFonts w:ascii="Arial" w:hAnsi="Arial" w:cs="Arial"/>
          <w:lang w:val="en"/>
        </w:rPr>
        <w:fldChar w:fldCharType="separate"/>
      </w:r>
      <w:r w:rsidRPr="002D44DF">
        <w:rPr>
          <w:rFonts w:ascii="Arial" w:hAnsi="Arial" w:cs="Arial"/>
          <w:lang w:val="en"/>
        </w:rPr>
        <w:t>(López-Benítez</w:t>
      </w:r>
      <w:r w:rsidRPr="002D44DF">
        <w:rPr>
          <w:rFonts w:ascii="Arial" w:hAnsi="Arial" w:cs="Arial"/>
          <w:i/>
          <w:lang w:val="en"/>
        </w:rPr>
        <w:t xml:space="preserve"> et al.</w:t>
      </w:r>
      <w:r w:rsidRPr="002D44DF">
        <w:rPr>
          <w:rFonts w:ascii="Arial" w:hAnsi="Arial" w:cs="Arial"/>
          <w:lang w:val="en"/>
        </w:rPr>
        <w:t xml:space="preserve"> 2024)</w:t>
      </w:r>
      <w:r w:rsidRPr="002D44DF">
        <w:rPr>
          <w:rFonts w:ascii="Arial" w:hAnsi="Arial" w:cs="Arial"/>
          <w:lang w:val="en-GB"/>
        </w:rPr>
        <w:fldChar w:fldCharType="end"/>
      </w:r>
      <w:r w:rsidRPr="002D44DF">
        <w:rPr>
          <w:rFonts w:ascii="Arial" w:hAnsi="Arial" w:cs="Arial"/>
          <w:lang w:val="en"/>
        </w:rPr>
        <w:t xml:space="preserve">. </w:t>
      </w:r>
      <w:hyperlink r:id="rId19" w:tgtFrame="_blank" w:history="1"/>
      <w:r w:rsidRPr="002D44DF">
        <w:rPr>
          <w:rFonts w:ascii="Arial" w:hAnsi="Arial" w:cs="Arial"/>
          <w:lang w:val="en"/>
        </w:rPr>
        <w:t xml:space="preserve">Furthermore, regional monitoring data show that </w:t>
      </w:r>
      <w:r w:rsidRPr="002D44DF">
        <w:rPr>
          <w:rFonts w:ascii="Arial" w:hAnsi="Arial" w:cs="Arial"/>
          <w:bCs/>
          <w:lang w:val="en"/>
        </w:rPr>
        <w:t>pesticides continue to be detected above regulatory thresholds in both surface water and groundwater across Europe</w:t>
      </w:r>
      <w:r w:rsidRPr="002D44DF">
        <w:rPr>
          <w:rFonts w:ascii="Arial" w:hAnsi="Arial" w:cs="Arial"/>
          <w:lang w:val="en"/>
        </w:rPr>
        <w:t xml:space="preserve">, providing additional evidence of pervasive agricultural contamination </w:t>
      </w:r>
      <w:r w:rsidRPr="002D44DF">
        <w:rPr>
          <w:rFonts w:ascii="Arial" w:hAnsi="Arial" w:cs="Arial"/>
          <w:lang w:val="en"/>
        </w:rPr>
        <w:fldChar w:fldCharType="begin"/>
      </w:r>
      <w:r w:rsidRPr="002D44DF">
        <w:rPr>
          <w:rFonts w:ascii="Arial" w:hAnsi="Arial" w:cs="Arial"/>
          <w:lang w:val="en"/>
        </w:rPr>
        <w:instrText xml:space="preserve"> ADDIN EN.CITE &lt;EndNote&gt;&lt;Cite&gt;&lt;Author&gt;Baran&lt;/Author&gt;&lt;Year&gt;2022&lt;/Year&gt;&lt;RecNum&gt;7&lt;/RecNum&gt;&lt;DisplayText&gt;(Baran&lt;style face="italic"&gt; et al.&lt;/style&gt; 2022)&lt;/DisplayText&gt;&lt;record&gt;&lt;rec-number&gt;7&lt;/rec-number&gt;&lt;foreign-keys&gt;&lt;key app="EN" db-id="5arwtxpf3w0vfler5pzxa0v3z5t5etx0ratz" timestamp="1766258967"&gt;7&lt;/key&gt;&lt;/foreign-keys&gt;&lt;ref-type name="Journal Article"&gt;17&lt;/ref-type&gt;&lt;contributors&gt;&lt;authors&gt;&lt;author&gt;Baran, Nicole&lt;/author&gt;&lt;author&gt;Rosenbom, Annette Elisabeth&lt;/author&gt;&lt;author&gt;Kozel, Ronald&lt;/author&gt;&lt;author&gt;Lapworth, Dan&lt;/author&gt;&lt;/authors&gt;&lt;/contributors&gt;&lt;titles&gt;&lt;title&gt;Pesticides and their metabolites in European groundwater: Comparing regulations and approaches to monitoring in France, Denmark, England and Switzerland&lt;/title&gt;&lt;secondary-title&gt;Science of The Total Environment&lt;/secondary-title&gt;&lt;/titles&gt;&lt;periodical&gt;&lt;full-title&gt;Science of The Total Environment&lt;/full-title&gt;&lt;/periodical&gt;&lt;pages&gt;156696&lt;/pages&gt;&lt;volume&gt;842&lt;/volume&gt;&lt;dates&gt;&lt;year&gt;2022&lt;/year&gt;&lt;pub-dates&gt;&lt;date&gt;2022/10/10/&lt;/date&gt;&lt;/pub-dates&gt;&lt;/dates&gt;&lt;isbn&gt;0048-9697&lt;/isbn&gt;&lt;urls&gt;&lt;related-urls&gt;&lt;url&gt;https://www.sciencedirect.com/science/article/pii/S0048969722037937&lt;/url&gt;&lt;/related-urls&gt;&lt;/urls&gt;&lt;electronic-resource-num&gt;https://doi.org/10.1016/j.scitotenv.2022.156696&lt;/electronic-resource-num&gt;&lt;/record&gt;&lt;/Cite&gt;&lt;/EndNote&gt;</w:instrText>
      </w:r>
      <w:r w:rsidRPr="002D44DF">
        <w:rPr>
          <w:rFonts w:ascii="Arial" w:hAnsi="Arial" w:cs="Arial"/>
          <w:lang w:val="en"/>
        </w:rPr>
        <w:fldChar w:fldCharType="separate"/>
      </w:r>
      <w:r w:rsidRPr="002D44DF">
        <w:rPr>
          <w:rFonts w:ascii="Arial" w:hAnsi="Arial" w:cs="Arial"/>
          <w:lang w:val="en"/>
        </w:rPr>
        <w:t>(Baran</w:t>
      </w:r>
      <w:r w:rsidRPr="002D44DF">
        <w:rPr>
          <w:rFonts w:ascii="Arial" w:hAnsi="Arial" w:cs="Arial"/>
          <w:i/>
          <w:lang w:val="en"/>
        </w:rPr>
        <w:t xml:space="preserve"> et al.</w:t>
      </w:r>
      <w:r w:rsidRPr="002D44DF">
        <w:rPr>
          <w:rFonts w:ascii="Arial" w:hAnsi="Arial" w:cs="Arial"/>
          <w:lang w:val="en"/>
        </w:rPr>
        <w:t xml:space="preserve"> 2022)</w:t>
      </w:r>
      <w:r w:rsidRPr="002D44DF">
        <w:rPr>
          <w:rFonts w:ascii="Arial" w:hAnsi="Arial" w:cs="Arial"/>
          <w:lang w:val="en-GB"/>
        </w:rPr>
        <w:fldChar w:fldCharType="end"/>
      </w:r>
      <w:r w:rsidRPr="002D44DF">
        <w:rPr>
          <w:rFonts w:ascii="Arial" w:hAnsi="Arial" w:cs="Arial"/>
          <w:lang w:val="en"/>
        </w:rPr>
        <w:t>. Collectively, these findings confirm that pesticide distribution is influenced by land use, hydrology, and contaminant properties, and that multivariate statistical methods like PCA are effective tools for discriminating sources and interpreting complex contamination patterns.</w:t>
      </w:r>
    </w:p>
    <w:p w14:paraId="0F0E63BD" w14:textId="77777777" w:rsidR="002D44DF" w:rsidRPr="00DE62A3" w:rsidRDefault="002D44DF" w:rsidP="00441B6F">
      <w:pPr>
        <w:pStyle w:val="Body"/>
        <w:spacing w:after="0"/>
        <w:rPr>
          <w:rFonts w:ascii="Arial" w:hAnsi="Arial" w:cs="Arial"/>
          <w:lang w:val="en-GB"/>
        </w:rPr>
      </w:pPr>
    </w:p>
    <w:p w14:paraId="361508D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0006536" w14:textId="77777777" w:rsidR="00790ADA" w:rsidRPr="00FB3A86" w:rsidRDefault="00790ADA" w:rsidP="00441B6F">
      <w:pPr>
        <w:pStyle w:val="ConcHead"/>
        <w:spacing w:after="0"/>
        <w:jc w:val="both"/>
        <w:rPr>
          <w:rFonts w:ascii="Arial" w:hAnsi="Arial" w:cs="Arial"/>
        </w:rPr>
      </w:pPr>
    </w:p>
    <w:p w14:paraId="0A37AB4D" w14:textId="77777777" w:rsidR="00790ADA" w:rsidRDefault="00BB7413" w:rsidP="00441B6F">
      <w:pPr>
        <w:pStyle w:val="Body"/>
        <w:spacing w:after="0"/>
        <w:rPr>
          <w:rFonts w:ascii="Arial" w:hAnsi="Arial" w:cs="Arial"/>
          <w:lang w:val="en"/>
        </w:rPr>
      </w:pPr>
      <w:r w:rsidRPr="00BB7413">
        <w:rPr>
          <w:rFonts w:ascii="Arial" w:hAnsi="Arial" w:cs="Arial"/>
          <w:lang w:val="en"/>
        </w:rPr>
        <w:t xml:space="preserve">This study highlights the growing vulnerability of urban and peri-urban water resources in </w:t>
      </w:r>
      <w:proofErr w:type="spellStart"/>
      <w:r w:rsidRPr="00BB7413">
        <w:rPr>
          <w:rFonts w:ascii="Arial" w:hAnsi="Arial" w:cs="Arial"/>
          <w:lang w:val="en"/>
        </w:rPr>
        <w:t>Korhogo</w:t>
      </w:r>
      <w:proofErr w:type="spellEnd"/>
      <w:r w:rsidRPr="00BB7413">
        <w:rPr>
          <w:rFonts w:ascii="Arial" w:hAnsi="Arial" w:cs="Arial"/>
          <w:lang w:val="en"/>
        </w:rPr>
        <w:t>, northern Côte d’Ivoire, under the combined pressures of rapid urbanization and intensive peri-urban agriculture. The results demonstrate that both surface water and groundwater are affected by pesticide contamination, with several compounds exceeding World Health Organization guideline values, posing potential risks to human health and ecosystem integrity. The detection of multiple pesticide families across interconnected water compartments underscores the importance of considering surface–groundwater interactions in urban water assessments. Water quality indices and multivariate analysis reveal that agricultural practices represent a dominant pressure on water resources, while local hydrogeological conditions modulate contamination pathways. These findings emphasize the need to integrate peri-urban agriculture into urban water governance frameworks. Strengthening pesticide regulation, improving monitoring programs, and promoting safer agricultural practices are essential to support sustainable urban water management and protect drinking water supplies in rapidly growing secondary cities of sub-Saharan Africa.</w:t>
      </w:r>
    </w:p>
    <w:p w14:paraId="14B364EB" w14:textId="146DAC19" w:rsidR="007614E9" w:rsidRDefault="007614E9" w:rsidP="00441B6F">
      <w:pPr>
        <w:pStyle w:val="Body"/>
        <w:spacing w:after="0"/>
        <w:rPr>
          <w:rFonts w:ascii="Arial" w:hAnsi="Arial" w:cs="Arial"/>
          <w:b/>
          <w:lang w:val="en"/>
        </w:rPr>
      </w:pPr>
    </w:p>
    <w:p w14:paraId="4E6FF0E1" w14:textId="3778D19D" w:rsidR="00196194" w:rsidRDefault="00196194" w:rsidP="00441B6F">
      <w:pPr>
        <w:pStyle w:val="Body"/>
        <w:spacing w:after="0"/>
        <w:rPr>
          <w:rFonts w:ascii="Arial" w:hAnsi="Arial" w:cs="Arial"/>
          <w:b/>
          <w:lang w:val="en"/>
        </w:rPr>
      </w:pPr>
    </w:p>
    <w:p w14:paraId="310E40C3" w14:textId="0AD752AF" w:rsidR="00196194" w:rsidRDefault="00196194" w:rsidP="00441B6F">
      <w:pPr>
        <w:pStyle w:val="Body"/>
        <w:spacing w:after="0"/>
        <w:rPr>
          <w:rFonts w:ascii="Arial" w:hAnsi="Arial" w:cs="Arial"/>
          <w:b/>
          <w:lang w:val="en"/>
        </w:rPr>
      </w:pPr>
    </w:p>
    <w:p w14:paraId="23111976" w14:textId="77777777" w:rsidR="00B17C16" w:rsidRPr="00B17C16" w:rsidRDefault="00B17C16" w:rsidP="00B17C16">
      <w:pPr>
        <w:pStyle w:val="Body"/>
        <w:rPr>
          <w:rFonts w:ascii="Arial" w:hAnsi="Arial" w:cs="Arial"/>
          <w:b/>
          <w:lang w:val="en"/>
        </w:rPr>
      </w:pPr>
      <w:r w:rsidRPr="00B17C16">
        <w:rPr>
          <w:rFonts w:ascii="Arial" w:hAnsi="Arial" w:cs="Arial"/>
          <w:b/>
          <w:lang w:val="en"/>
        </w:rPr>
        <w:t>Disclaimer (Artificial intelligence)</w:t>
      </w:r>
    </w:p>
    <w:p w14:paraId="018BAEE3" w14:textId="620A8C2C" w:rsidR="00196194" w:rsidRPr="00B17C16" w:rsidRDefault="00B17C16" w:rsidP="00B17C16">
      <w:pPr>
        <w:pStyle w:val="Body"/>
        <w:spacing w:after="0"/>
        <w:rPr>
          <w:rFonts w:ascii="Arial" w:hAnsi="Arial" w:cs="Arial"/>
          <w:lang w:val="en"/>
        </w:rPr>
      </w:pPr>
      <w:r w:rsidRPr="00B17C16">
        <w:rPr>
          <w:rFonts w:ascii="Arial" w:hAnsi="Arial" w:cs="Arial"/>
          <w:lang w:val="en"/>
        </w:rPr>
        <w:t>Author(s) hereby declare that NO generative AI technologies such as Large Language Models (</w:t>
      </w:r>
      <w:proofErr w:type="spellStart"/>
      <w:r w:rsidRPr="00B17C16">
        <w:rPr>
          <w:rFonts w:ascii="Arial" w:hAnsi="Arial" w:cs="Arial"/>
          <w:lang w:val="en"/>
        </w:rPr>
        <w:t>ChatGPT</w:t>
      </w:r>
      <w:proofErr w:type="spellEnd"/>
      <w:r w:rsidRPr="00B17C16">
        <w:rPr>
          <w:rFonts w:ascii="Arial" w:hAnsi="Arial" w:cs="Arial"/>
          <w:lang w:val="en"/>
        </w:rPr>
        <w:t>, COPILOT, etc.) and text-to-image generators have been used during the writing or editing of this manuscript.</w:t>
      </w:r>
    </w:p>
    <w:p w14:paraId="328BFE07" w14:textId="114FD397" w:rsidR="00860000" w:rsidRDefault="00860000" w:rsidP="00441B6F">
      <w:pPr>
        <w:pStyle w:val="ReferHead"/>
        <w:spacing w:after="0"/>
        <w:jc w:val="both"/>
        <w:rPr>
          <w:rFonts w:ascii="Arial" w:hAnsi="Arial" w:cs="Arial"/>
        </w:rPr>
      </w:pPr>
    </w:p>
    <w:p w14:paraId="3E74F56A" w14:textId="77777777" w:rsidR="00B17C16" w:rsidRDefault="00B17C16" w:rsidP="00441B6F">
      <w:pPr>
        <w:pStyle w:val="ReferHead"/>
        <w:spacing w:after="0"/>
        <w:jc w:val="both"/>
        <w:rPr>
          <w:rFonts w:ascii="Arial" w:hAnsi="Arial" w:cs="Arial"/>
        </w:rPr>
      </w:pPr>
      <w:bookmarkStart w:id="0" w:name="_GoBack"/>
      <w:bookmarkEnd w:id="0"/>
    </w:p>
    <w:p w14:paraId="3F9D1DF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94961C" w14:textId="77777777" w:rsidR="00790ADA" w:rsidRPr="00FB3A86" w:rsidRDefault="00790ADA" w:rsidP="00441B6F">
      <w:pPr>
        <w:pStyle w:val="ReferHead"/>
        <w:spacing w:after="0"/>
        <w:jc w:val="both"/>
        <w:rPr>
          <w:rFonts w:ascii="Arial" w:hAnsi="Arial" w:cs="Arial"/>
        </w:rPr>
      </w:pPr>
    </w:p>
    <w:p w14:paraId="0DBF2DFC" w14:textId="7BE53C9B" w:rsidR="009D1C54" w:rsidRPr="009D1C54" w:rsidRDefault="007C762D" w:rsidP="009D1C54">
      <w:pPr>
        <w:pStyle w:val="Body"/>
        <w:rPr>
          <w:lang w:val="en"/>
        </w:rPr>
      </w:pPr>
      <w:r w:rsidRPr="007C762D">
        <w:rPr>
          <w:lang w:val="en-GB"/>
        </w:rPr>
        <w:fldChar w:fldCharType="begin"/>
      </w:r>
      <w:r w:rsidRPr="007C762D">
        <w:rPr>
          <w:lang w:val="en-GB"/>
        </w:rPr>
        <w:instrText xml:space="preserve"> ADDIN EN.REFLIST </w:instrText>
      </w:r>
      <w:r w:rsidRPr="007C762D">
        <w:rPr>
          <w:lang w:val="en-GB"/>
        </w:rPr>
        <w:fldChar w:fldCharType="separate"/>
      </w:r>
      <w:r w:rsidR="009D1C54" w:rsidRPr="009D1C54">
        <w:rPr>
          <w:lang w:val="en"/>
        </w:rPr>
        <w:t>Acharya, L.K., Paramaguru, P.K., Tripathi, K., Bhoi, T.K., Seth, P. &amp; Birah, A., 2025. Pesticide contamination in groundwater: Processes, risks, and mitigation strategies. Discover Agriculture, 3 (1), 152 Available from: https://doi.org/10.1007/s44279-025-00337-x.</w:t>
      </w:r>
    </w:p>
    <w:p w14:paraId="7A53D869" w14:textId="77777777" w:rsidR="009D1C54" w:rsidRPr="009D1C54" w:rsidRDefault="009D1C54" w:rsidP="009D1C54">
      <w:pPr>
        <w:pStyle w:val="Body"/>
        <w:rPr>
          <w:lang w:val="en"/>
        </w:rPr>
      </w:pPr>
      <w:r w:rsidRPr="009D1C54">
        <w:rPr>
          <w:lang w:val="en"/>
        </w:rPr>
        <w:t>Adjiri, O.A., Kone, B., Aka, N., Djabakate, I. &amp; Dibi, B., 2019. Physico-chemical characterization and source of mineralization of groundwater in the Daloa and Zoukougbeu departments, Côte d'Ivoire. International Journal of Biological Chemical Sciences, 13 (4), 2388-2401.</w:t>
      </w:r>
    </w:p>
    <w:p w14:paraId="7DA2395D" w14:textId="77777777" w:rsidR="009D1C54" w:rsidRPr="00DE0D72" w:rsidRDefault="009D1C54" w:rsidP="009D1C54">
      <w:pPr>
        <w:pStyle w:val="Body"/>
        <w:rPr>
          <w:lang w:val="fr-CI"/>
        </w:rPr>
      </w:pPr>
      <w:r w:rsidRPr="009D1C54">
        <w:rPr>
          <w:lang w:val="en"/>
        </w:rPr>
        <w:t xml:space="preserve">Akognongbe, A.J., Mama, D., Vissin, E.W. &amp; Boko, M., 2014. Seasonal dynamics of the physico-chemical quality of surface waters in the Ouémé basin at the Beterou outlet. </w:t>
      </w:r>
      <w:r w:rsidRPr="00DE0D72">
        <w:rPr>
          <w:lang w:val="fr-CI"/>
        </w:rPr>
        <w:t>Rev. Ivoir. Sci. Technol, 24, 278-298.</w:t>
      </w:r>
    </w:p>
    <w:p w14:paraId="537FA37D" w14:textId="77777777" w:rsidR="009D1C54" w:rsidRPr="009D1C54" w:rsidRDefault="009D1C54" w:rsidP="009D1C54">
      <w:pPr>
        <w:pStyle w:val="Body"/>
        <w:rPr>
          <w:lang w:val="en"/>
        </w:rPr>
      </w:pPr>
      <w:r w:rsidRPr="00DE0D72">
        <w:rPr>
          <w:lang w:val="fr-CI"/>
        </w:rPr>
        <w:t xml:space="preserve">Amadou, A., Gautier, K.O.J., Maxime, G.F., Solange, O.Y.M. &amp; Jean, B., 2020. </w:t>
      </w:r>
      <w:r w:rsidRPr="009D1C54">
        <w:rPr>
          <w:lang w:val="en"/>
        </w:rPr>
        <w:t>Impacts of agrochemicals on water quality parameters in Aboisso region (south-east of Côte d'Ivoire). Current Journal of Applied Science Technology, 39 (46), 1-19.</w:t>
      </w:r>
    </w:p>
    <w:p w14:paraId="62AFD23E" w14:textId="77777777" w:rsidR="009D1C54" w:rsidRPr="009D1C54" w:rsidRDefault="009D1C54" w:rsidP="009D1C54">
      <w:pPr>
        <w:pStyle w:val="Body"/>
        <w:rPr>
          <w:lang w:val="en"/>
        </w:rPr>
      </w:pPr>
      <w:r w:rsidRPr="009D1C54">
        <w:rPr>
          <w:lang w:val="en"/>
        </w:rPr>
        <w:t>Ariza Restrepo, J.L., Rodriguez Diaz, Y.J. &amp; Onate Barraza, H.C., 2023. Water quality indices (WQI) and contamination indices (WPI): a bibliographic review. Tecnura, 27 (77), 121-140. Atto, Y. &amp; Monde, S.J., 2020. Assessment of the level of contamination of Lake Adaou (eastern Côte d'Ivoire) by phytosanitary products. Environmental Dynamics. International Journal of Geosciences and Environment, (45), 56-60.</w:t>
      </w:r>
    </w:p>
    <w:p w14:paraId="0E217A94" w14:textId="77777777" w:rsidR="009D1C54" w:rsidRPr="009D1C54" w:rsidRDefault="009D1C54" w:rsidP="009D1C54">
      <w:pPr>
        <w:pStyle w:val="Body"/>
        <w:rPr>
          <w:lang w:val="en"/>
        </w:rPr>
      </w:pPr>
      <w:r w:rsidRPr="009D1C54">
        <w:rPr>
          <w:lang w:val="en"/>
        </w:rPr>
        <w:t>Aydin Uncumusaoğlu, A. &amp; Akkan, T., 2017. Assessment of water quality of Yağlıdere stream (Turkey) using multivariate statistical techniques. Polish Journal of Environmental Studies, 26 (4), 1715-1723.</w:t>
      </w:r>
    </w:p>
    <w:p w14:paraId="35684261" w14:textId="77777777" w:rsidR="009D1C54" w:rsidRPr="009D1C54" w:rsidRDefault="009D1C54" w:rsidP="009D1C54">
      <w:pPr>
        <w:pStyle w:val="Body"/>
        <w:rPr>
          <w:lang w:val="en"/>
        </w:rPr>
      </w:pPr>
      <w:r w:rsidRPr="009D1C54">
        <w:rPr>
          <w:lang w:val="en"/>
        </w:rPr>
        <w:t>Ballé, G.R.S., 2024. Urban and peri-urban market gardening in the face of the scarcity of production factors in the city of Korhogo (Côte d'Ivoire). African Journal of Environment and Agriculture, 7 (4), 56-66.</w:t>
      </w:r>
    </w:p>
    <w:p w14:paraId="7BC74911" w14:textId="77777777" w:rsidR="009D1C54" w:rsidRPr="009D1C54" w:rsidRDefault="009D1C54" w:rsidP="009D1C54">
      <w:pPr>
        <w:pStyle w:val="Body"/>
        <w:rPr>
          <w:lang w:val="en"/>
        </w:rPr>
      </w:pPr>
      <w:r w:rsidRPr="009D1C54">
        <w:rPr>
          <w:lang w:val="en"/>
        </w:rPr>
        <w:t>Baran, N., Rosenbom, A.E., Kozel, R. &amp; Lapworth, D., 2022. Pesticides and their metabolites in European groundwater: Comparing regulations and approaches to monitoring in France, Denmark, England and Switzerland. Science of The Total Environment, 842, 156696 Available from: https://www.sciencedirect.com/science/article/pii/S0048969722037937.</w:t>
      </w:r>
    </w:p>
    <w:p w14:paraId="274B1C78" w14:textId="77777777" w:rsidR="009D1C54" w:rsidRPr="009D1C54" w:rsidRDefault="009D1C54" w:rsidP="009D1C54">
      <w:pPr>
        <w:pStyle w:val="Body"/>
        <w:rPr>
          <w:lang w:val="en"/>
        </w:rPr>
      </w:pPr>
      <w:r w:rsidRPr="009D1C54">
        <w:rPr>
          <w:lang w:val="en"/>
        </w:rPr>
        <w:t>Carvalho, F.P.J., 2017. Pesticides, environment, and food safety. Food Energy Security, 6 (2), 48-60.</w:t>
      </w:r>
    </w:p>
    <w:p w14:paraId="2D79A1BE" w14:textId="77777777" w:rsidR="00BB49E8" w:rsidRDefault="009D1C54" w:rsidP="009D1C54">
      <w:pPr>
        <w:pStyle w:val="Body"/>
        <w:rPr>
          <w:lang w:val="en"/>
        </w:rPr>
      </w:pPr>
      <w:r w:rsidRPr="009D1C54">
        <w:rPr>
          <w:lang w:val="en"/>
        </w:rPr>
        <w:t xml:space="preserve">Casado, J., Santillo, D. &amp; Johnston, P., 2018. Multi-residue analysis of pesticides in surface water by liquid chromatography quadrupole-Orbitrap high resolution tandem mass </w:t>
      </w:r>
      <w:r w:rsidRPr="009D1C54">
        <w:rPr>
          <w:lang w:val="en"/>
        </w:rPr>
        <w:lastRenderedPageBreak/>
        <w:t xml:space="preserve">spectrometry. Anal Chim Acta, 1024, 1-17. Chow, R., Scheidegger, R., Doppler, T., Dietzel, A., Fenicia, F. &amp; Stamm, C.J.X., 2020. </w:t>
      </w:r>
    </w:p>
    <w:p w14:paraId="078FF4D9" w14:textId="709F61D8" w:rsidR="009D1C54" w:rsidRPr="009D1C54" w:rsidRDefault="009D1C54" w:rsidP="009D1C54">
      <w:pPr>
        <w:pStyle w:val="Body"/>
        <w:rPr>
          <w:lang w:val="en"/>
        </w:rPr>
      </w:pPr>
      <w:r w:rsidRPr="009D1C54">
        <w:rPr>
          <w:lang w:val="en"/>
        </w:rPr>
        <w:t>A review of long-term pesticide monitoring studies to assess surface water quality trends. Water research x, 9, 100064.</w:t>
      </w:r>
    </w:p>
    <w:p w14:paraId="38B0E6B9" w14:textId="77777777" w:rsidR="009D1C54" w:rsidRPr="009D1C54" w:rsidRDefault="009D1C54" w:rsidP="009D1C54">
      <w:pPr>
        <w:pStyle w:val="Body"/>
        <w:rPr>
          <w:lang w:val="en"/>
        </w:rPr>
      </w:pPr>
      <w:r w:rsidRPr="009D1C54">
        <w:rPr>
          <w:lang w:val="en"/>
        </w:rPr>
        <w:t>Coulibaly, T.H., 2024. Urban agriculture and supply of markets in the city of Korhogo (northern Ivory Coast). International Journal of Researchers, 5 (1), 438-454.</w:t>
      </w:r>
    </w:p>
    <w:p w14:paraId="75902264" w14:textId="77777777" w:rsidR="009D1C54" w:rsidRPr="00DE0D72" w:rsidRDefault="009D1C54" w:rsidP="009D1C54">
      <w:pPr>
        <w:pStyle w:val="Body"/>
        <w:rPr>
          <w:lang w:val="fr-CI"/>
        </w:rPr>
      </w:pPr>
      <w:r w:rsidRPr="009D1C54">
        <w:rPr>
          <w:lang w:val="en"/>
        </w:rPr>
        <w:t xml:space="preserve">Daam, M.A. &amp; Rico, A., 2018. Freshwater shrimps as sensitive test species for the risk assessment of pesticides in the tropics. </w:t>
      </w:r>
      <w:r w:rsidRPr="00DE0D72">
        <w:rPr>
          <w:lang w:val="fr-CI"/>
        </w:rPr>
        <w:t>Environ Sci Pollut Res Int, 25 (14), 13235-13243.</w:t>
      </w:r>
    </w:p>
    <w:p w14:paraId="43F65FF9" w14:textId="77777777" w:rsidR="00BB49E8" w:rsidRPr="00DE0D72" w:rsidRDefault="009D1C54" w:rsidP="009D1C54">
      <w:pPr>
        <w:pStyle w:val="Body"/>
        <w:rPr>
          <w:lang w:val="fr-CI"/>
        </w:rPr>
      </w:pPr>
      <w:r w:rsidRPr="00DE0D72">
        <w:rPr>
          <w:lang w:val="fr-CI"/>
        </w:rPr>
        <w:t>De Rosa, E., Cerino, P., Triassi, M., Di Duca, F., Porreca, A., Russo, I., Scippa, S., Venuta, A., Coppola, A., Pizzolante, A., Nicodemo, F., Trama, U., Policino, F. &amp; Montuori, P., 2025.</w:t>
      </w:r>
    </w:p>
    <w:p w14:paraId="358458B4" w14:textId="78251C11" w:rsidR="009D1C54" w:rsidRPr="009D1C54" w:rsidRDefault="009D1C54" w:rsidP="009D1C54">
      <w:pPr>
        <w:pStyle w:val="Body"/>
        <w:rPr>
          <w:lang w:val="en"/>
        </w:rPr>
      </w:pPr>
      <w:r w:rsidRPr="009D1C54">
        <w:rPr>
          <w:lang w:val="en"/>
        </w:rPr>
        <w:t>Contamination assessment and risk evaluation of organophosphorus pesticides in groundwater: A study on contamination patterns and implications. Journal of Hazardous Materials Advances, 18, 100701 Available from: https://www.sciencedirect.com/science/article/pii/S2772416625001135.</w:t>
      </w:r>
    </w:p>
    <w:p w14:paraId="5EAC6DAE" w14:textId="77777777" w:rsidR="009D1C54" w:rsidRDefault="009D1C54" w:rsidP="009D1C54">
      <w:pPr>
        <w:pStyle w:val="Body"/>
        <w:rPr>
          <w:lang w:val="en"/>
        </w:rPr>
      </w:pPr>
      <w:r w:rsidRPr="009D1C54">
        <w:rPr>
          <w:lang w:val="en"/>
        </w:rPr>
        <w:t>Dibi, B., Kouame, K.I., Konan-Waidhet, A.B., Savane, I., Biemi, J., Nedeff, V. &amp; Lazar, G., 2012. Impact of agriculture on the quality of groundwater resources in peri-urban zone of Songon (Ivory Coast). Environmental Engineering Management Journal, 11 (12), 2173-2182.</w:t>
      </w:r>
    </w:p>
    <w:p w14:paraId="3277494F" w14:textId="77777777" w:rsidR="009D1C54" w:rsidRPr="009D1C54" w:rsidRDefault="009D1C54" w:rsidP="009D1C54">
      <w:pPr>
        <w:pStyle w:val="Body"/>
        <w:rPr>
          <w:lang w:val="en"/>
        </w:rPr>
      </w:pPr>
      <w:r w:rsidRPr="009D1C54">
        <w:rPr>
          <w:lang w:val="en"/>
        </w:rPr>
        <w:t>Djahadi, S.D., Sandao, I., Ahmed, Y., Harouna, M. &amp; Ousmane, B., 2021. Physico-chemical characteristics of groundwater in the bedrock of the Goroubi watershed in the commune of Torodi/Liptako, Niger. International Journal of Biological Chemical Sciences, 15 (6), 2715-2729.</w:t>
      </w:r>
    </w:p>
    <w:p w14:paraId="25443AC9" w14:textId="77777777" w:rsidR="009D1C54" w:rsidRPr="009D1C54" w:rsidRDefault="009D1C54" w:rsidP="009D1C54">
      <w:pPr>
        <w:pStyle w:val="Body"/>
        <w:rPr>
          <w:lang w:val="en"/>
        </w:rPr>
      </w:pPr>
      <w:r w:rsidRPr="009D1C54">
        <w:rPr>
          <w:lang w:val="en"/>
        </w:rPr>
        <w:t>Dosso, M., Martin, T., Ouedraogo, R., Bancal, V., Deletre, E., Angbo-Kouakou, E., Masse, D. &amp; Avadi, A., 2025. Functional analysis of the peri-urban market gardening sector in Côte d'Ivoire (2021-2025).</w:t>
      </w:r>
    </w:p>
    <w:p w14:paraId="458FF7C0" w14:textId="77777777" w:rsidR="009D1C54" w:rsidRPr="009D1C54" w:rsidRDefault="009D1C54" w:rsidP="009D1C54">
      <w:pPr>
        <w:pStyle w:val="Body"/>
        <w:rPr>
          <w:lang w:val="en"/>
        </w:rPr>
      </w:pPr>
      <w:r w:rsidRPr="009D1C54">
        <w:rPr>
          <w:lang w:val="en"/>
        </w:rPr>
        <w:t>Doumbia, M. &amp; Kwadjo, K., 2009. Practices of pesticide use and management by market gardeners in Côte d'Ivoire: Case of the city of Abidjan and two of its suburbs (Dabou and Anyama). Journal of Applied Biosciences, 18, 992-1002.</w:t>
      </w:r>
    </w:p>
    <w:p w14:paraId="3F206C92" w14:textId="77777777" w:rsidR="009D1C54" w:rsidRPr="009D1C54" w:rsidRDefault="009D1C54" w:rsidP="009D1C54">
      <w:pPr>
        <w:pStyle w:val="Body"/>
        <w:rPr>
          <w:lang w:val="en"/>
        </w:rPr>
      </w:pPr>
      <w:r w:rsidRPr="009D1C54">
        <w:rPr>
          <w:lang w:val="en"/>
        </w:rPr>
        <w:t>Ducroquet, H., Tillie, P., Elouhichi, K. &amp; Gomez, Y., 2017. Agriculture in Côte d'Ivoire under the microscope: State of play of plant and animal production sectors and review of agricultural policies, 9279731793.</w:t>
      </w:r>
    </w:p>
    <w:p w14:paraId="59F2057D" w14:textId="77777777" w:rsidR="009D1C54" w:rsidRPr="009D1C54" w:rsidRDefault="009D1C54" w:rsidP="009D1C54">
      <w:pPr>
        <w:pStyle w:val="Body"/>
        <w:rPr>
          <w:lang w:val="en"/>
        </w:rPr>
      </w:pPr>
      <w:r w:rsidRPr="009D1C54">
        <w:rPr>
          <w:lang w:val="en"/>
        </w:rPr>
        <w:t>Ebé, A.E.D., Yao, K.S.A. &amp; Ahoussi, K.E., 2023. Determination of the physico-chemical quality of water resources in the Loka watershed in Bouaké, central Côte d'Ivoire. International Journal of Innovation Applied Studies, 41 (1), 105-114.</w:t>
      </w:r>
    </w:p>
    <w:p w14:paraId="34C96E31" w14:textId="77777777" w:rsidR="009D1C54" w:rsidRPr="009D1C54" w:rsidRDefault="009D1C54" w:rsidP="009D1C54">
      <w:pPr>
        <w:pStyle w:val="Body"/>
        <w:rPr>
          <w:lang w:val="en"/>
        </w:rPr>
      </w:pPr>
      <w:r w:rsidRPr="009D1C54">
        <w:rPr>
          <w:lang w:val="en"/>
        </w:rPr>
        <w:t>Fingler, S., Mendaš, G., Dvoršćak, M., Stipičević, S., Vasilić, Ž. &amp; Drevenkar, V., 2021. Seasonal distribution of multiclass pesticide residues in the surface waters of northwest croatia. Arh Hig Rada Toksikol, 72 (4), 280-288.</w:t>
      </w:r>
    </w:p>
    <w:p w14:paraId="2E952937" w14:textId="77777777" w:rsidR="009D1C54" w:rsidRPr="009D1C54" w:rsidRDefault="009D1C54" w:rsidP="009D1C54">
      <w:pPr>
        <w:pStyle w:val="Body"/>
        <w:rPr>
          <w:lang w:val="en"/>
        </w:rPr>
      </w:pPr>
      <w:r w:rsidRPr="009D1C54">
        <w:rPr>
          <w:lang w:val="en"/>
        </w:rPr>
        <w:t>Fletcher, T.D., Andrieu, H. &amp; Hamel, P.J.a.I.W.R., 2013. Understanding, management and modeling of urban hydrology and its consequences for receiving waters: A state of the art. 51, 261-279.</w:t>
      </w:r>
    </w:p>
    <w:p w14:paraId="2B5AED89" w14:textId="77777777" w:rsidR="009D1C54" w:rsidRPr="009D1C54" w:rsidRDefault="009D1C54" w:rsidP="009D1C54">
      <w:pPr>
        <w:pStyle w:val="Body"/>
        <w:rPr>
          <w:lang w:val="en"/>
        </w:rPr>
      </w:pPr>
      <w:r w:rsidRPr="009D1C54">
        <w:rPr>
          <w:lang w:val="en"/>
        </w:rPr>
        <w:lastRenderedPageBreak/>
        <w:t>Garud, A., Pawar, S., Patil, M.S., Kale, S.R. &amp; Patil, S., 2024. A scientific review of pesticides: Classification, toxicity, health effects, sustainability, and environmental impact. Cureus, 16 (8), e67945.</w:t>
      </w:r>
    </w:p>
    <w:p w14:paraId="5A577058" w14:textId="77777777" w:rsidR="009D1C54" w:rsidRPr="009D1C54" w:rsidRDefault="009D1C54" w:rsidP="009D1C54">
      <w:pPr>
        <w:pStyle w:val="Body"/>
        <w:rPr>
          <w:lang w:val="en"/>
        </w:rPr>
      </w:pPr>
      <w:r w:rsidRPr="009D1C54">
        <w:rPr>
          <w:lang w:val="en"/>
        </w:rPr>
        <w:t>Goula, B., Kouassi, V. &amp; Savane, L., 2006. Impacts of climate change on water resources in humid tropical zones: Case of the Bandama watershed in Ivory Coast. African Agronomy, 18 (1), 1-11.</w:t>
      </w:r>
    </w:p>
    <w:p w14:paraId="677DB60F" w14:textId="77777777" w:rsidR="009D1C54" w:rsidRPr="00DE0D72" w:rsidRDefault="009D1C54" w:rsidP="009D1C54">
      <w:pPr>
        <w:pStyle w:val="Body"/>
        <w:rPr>
          <w:lang w:val="fr-CI"/>
        </w:rPr>
      </w:pPr>
      <w:r w:rsidRPr="009D1C54">
        <w:rPr>
          <w:lang w:val="en"/>
        </w:rPr>
        <w:t xml:space="preserve">Gu, W., Xing, W., Liang, M., Wang, Z., Zhang, B., Sun, S., Fan, D. &amp; Wang, L., 2023. Occurrence, distribution, and risk assessment of pesticides in surface water and sediment in jiangsu province, china. </w:t>
      </w:r>
      <w:r w:rsidRPr="00DE0D72">
        <w:rPr>
          <w:lang w:val="fr-CI"/>
        </w:rPr>
        <w:t>Environ Sci Pollut Res Int, 30 (56), 118418-118429.</w:t>
      </w:r>
    </w:p>
    <w:p w14:paraId="5CBE5256" w14:textId="77777777" w:rsidR="009D1C54" w:rsidRPr="009D1C54" w:rsidRDefault="009D1C54" w:rsidP="009D1C54">
      <w:pPr>
        <w:pStyle w:val="Body"/>
        <w:rPr>
          <w:lang w:val="en"/>
        </w:rPr>
      </w:pPr>
      <w:r w:rsidRPr="00DE0D72">
        <w:rPr>
          <w:lang w:val="fr-CI"/>
        </w:rPr>
        <w:t xml:space="preserve">Helena, B., Pardo, R., Vega, M., Barrado, E., Fernandez, J.M. &amp; Fernandez, L., 2000. </w:t>
      </w:r>
      <w:r w:rsidRPr="009D1C54">
        <w:rPr>
          <w:lang w:val="en"/>
        </w:rPr>
        <w:t>Temporal evolution of groundwater composition in an alluvial aquifer (Pisuerga river, Spain) by principal component analysis. Water Research, 34 (3), 807-816 Available from: https://www.sciencedirect.com/science/article/pii/S0043135499002250.</w:t>
      </w:r>
    </w:p>
    <w:p w14:paraId="0C6994DF" w14:textId="77777777" w:rsidR="009D1C54" w:rsidRPr="009D1C54" w:rsidRDefault="009D1C54" w:rsidP="009D1C54">
      <w:pPr>
        <w:pStyle w:val="Body"/>
        <w:rPr>
          <w:lang w:val="en"/>
        </w:rPr>
      </w:pPr>
      <w:r w:rsidRPr="009D1C54">
        <w:rPr>
          <w:lang w:val="en"/>
        </w:rPr>
        <w:t>Hussain, F., Ahmed, S., Muhammad Zaigham Abbas Naqvi, S., Awais, M., Zhang, Y., Zhang, H., Raghavan, V., Zang, Y., Zhao, G. &amp; Hu, J., 2025. Agricultural non-point source pollution: Comprehensive analysis of sources and assessment methods. Agriculture, 15 (5), 531.</w:t>
      </w:r>
    </w:p>
    <w:p w14:paraId="4980EA81" w14:textId="77777777" w:rsidR="009D1C54" w:rsidRPr="009D1C54" w:rsidRDefault="009D1C54" w:rsidP="009D1C54">
      <w:pPr>
        <w:pStyle w:val="Body"/>
        <w:rPr>
          <w:lang w:val="en"/>
        </w:rPr>
      </w:pPr>
      <w:r w:rsidRPr="009D1C54">
        <w:rPr>
          <w:lang w:val="en"/>
        </w:rPr>
        <w:t>Jolliffe, I.T. &amp; Cadima, J., 2016. Principal component analysis: A review and recent developments. Philosophical Transactions of the Royal Society A: Mathematical, Physical and Engineering Sciences, 374 (2065), 20150202 Available from: https://doi.org/10.1098/rsta.2015.0202 [Accessed 12/21/2025].</w:t>
      </w:r>
    </w:p>
    <w:p w14:paraId="71B1393E" w14:textId="77777777" w:rsidR="009D1C54" w:rsidRPr="009D1C54" w:rsidRDefault="009D1C54" w:rsidP="009D1C54">
      <w:pPr>
        <w:pStyle w:val="Body"/>
        <w:rPr>
          <w:lang w:val="en"/>
        </w:rPr>
      </w:pPr>
      <w:r w:rsidRPr="009D1C54">
        <w:rPr>
          <w:lang w:val="en"/>
        </w:rPr>
        <w:t>Kamenan, Y.M., Mangoua, O.M.J., Dibi, B., Georges, S.E., Kouassi, K.L., Kouassi, K.A. &amp; Protection, 2020. Assessment of vulnerability to groundwater pollution in the Lobo watershed at Nibéhibé (central-west, Côte d'Ivoire). Journal of Water Resource, 12 (8), 657-671.</w:t>
      </w:r>
    </w:p>
    <w:p w14:paraId="36EDEC52" w14:textId="77777777" w:rsidR="009D1C54" w:rsidRPr="009D1C54" w:rsidRDefault="009D1C54" w:rsidP="009D1C54">
      <w:pPr>
        <w:pStyle w:val="Body"/>
        <w:rPr>
          <w:lang w:val="en"/>
        </w:rPr>
      </w:pPr>
      <w:r w:rsidRPr="009D1C54">
        <w:rPr>
          <w:lang w:val="en"/>
        </w:rPr>
        <w:t>Kaushal, S.S., Likens, G.E., Pace, M.L., Utz, R.M., Haq, S., Gorman, J. &amp; Grese, M., 2018. Freshwater salinization syndrome on a continental scale. Proceedings of the National Academy of Sciences, 115 (4), E574-E583.</w:t>
      </w:r>
    </w:p>
    <w:p w14:paraId="633742FB" w14:textId="77777777" w:rsidR="00BB49E8" w:rsidRDefault="009D1C54" w:rsidP="009D1C54">
      <w:pPr>
        <w:pStyle w:val="Body"/>
        <w:rPr>
          <w:lang w:val="en"/>
        </w:rPr>
      </w:pPr>
      <w:r w:rsidRPr="009D1C54">
        <w:rPr>
          <w:lang w:val="en"/>
        </w:rPr>
        <w:t xml:space="preserve">Konan, K.J.-P., Yao, K.T. &amp; Adiaffi, B., 2023. Evaluation of water resource pollution by agricultural activities in the Loka watershed in the Sakassou department, Côte d'Ivoire. Afrique Science, 22 (3), 34-43. Koparan, C., Koc, A.B., Privette, C.V. &amp; Sawyer, C.B., 2019. </w:t>
      </w:r>
    </w:p>
    <w:p w14:paraId="608FD5BC" w14:textId="79F265C5" w:rsidR="009D1C54" w:rsidRPr="009D1C54" w:rsidRDefault="009D1C54" w:rsidP="009D1C54">
      <w:pPr>
        <w:pStyle w:val="Body"/>
        <w:rPr>
          <w:lang w:val="en"/>
        </w:rPr>
      </w:pPr>
      <w:r w:rsidRPr="009D1C54">
        <w:rPr>
          <w:lang w:val="en"/>
        </w:rPr>
        <w:t>Autonomous in situ measurements of noncontaminant water quality indicators and sample collection with a UAV. Water Research X, 11 (3), 604.</w:t>
      </w:r>
    </w:p>
    <w:p w14:paraId="0907863C" w14:textId="77777777" w:rsidR="009D1C54" w:rsidRPr="009D1C54" w:rsidRDefault="009D1C54" w:rsidP="009D1C54">
      <w:pPr>
        <w:pStyle w:val="Body"/>
        <w:rPr>
          <w:lang w:val="en"/>
        </w:rPr>
      </w:pPr>
      <w:r w:rsidRPr="009D1C54">
        <w:rPr>
          <w:lang w:val="en"/>
        </w:rPr>
        <w:t>Kouamé, K.A., Éba, A.E.L., Serge Kouakou, D., Déabo, B.F. &amp; Dongo, K., 2022. Induced effect of pesticide use in market gardening on the environment and human health in Daloa, Côte d'Ivoire. Rev. Ivoir. Sci. Technol., 88-105.</w:t>
      </w:r>
    </w:p>
    <w:p w14:paraId="2A87B1BB" w14:textId="77777777" w:rsidR="009D1C54" w:rsidRDefault="009D1C54" w:rsidP="009D1C54">
      <w:pPr>
        <w:pStyle w:val="Body"/>
        <w:rPr>
          <w:lang w:val="en"/>
        </w:rPr>
      </w:pPr>
      <w:r w:rsidRPr="009D1C54">
        <w:rPr>
          <w:lang w:val="en"/>
        </w:rPr>
        <w:t>Kpan, K., Yao, B., Diemeleou, C., N’guettia, R., Traore, S. &amp; Dembele, A., 2019. Phytosanitary practices in peri-urban agriculture and food contamination by pesticides: The case of market gardeners in Port-Bouët (Abidjan). Anim Plant Sci, 41, 6847-63.</w:t>
      </w:r>
    </w:p>
    <w:p w14:paraId="61FCE681" w14:textId="77777777" w:rsidR="009D1C54" w:rsidRDefault="009D1C54" w:rsidP="009D1C54">
      <w:pPr>
        <w:pStyle w:val="Body"/>
        <w:rPr>
          <w:lang w:val="en"/>
        </w:rPr>
      </w:pPr>
    </w:p>
    <w:p w14:paraId="6753DEAD" w14:textId="77777777" w:rsidR="009D1C54" w:rsidRPr="009D1C54" w:rsidRDefault="009D1C54" w:rsidP="009D1C54">
      <w:pPr>
        <w:pStyle w:val="Body"/>
        <w:rPr>
          <w:lang w:val="en"/>
        </w:rPr>
      </w:pPr>
      <w:r w:rsidRPr="009D1C54">
        <w:rPr>
          <w:lang w:val="en"/>
        </w:rPr>
        <w:lastRenderedPageBreak/>
        <w:t>Lawani, R., Kelome, N., Agassounon Djikpo Tchibozo, M., Hounkpe, J. &amp; Adjagodo, A., 2017. Effects of agricultural practices on surface water pollution in the Republic of Benin. Larhyss Journal, 14 (2), 173-190.</w:t>
      </w:r>
    </w:p>
    <w:p w14:paraId="179281BF" w14:textId="77777777" w:rsidR="009D1C54" w:rsidRPr="009D1C54" w:rsidRDefault="009D1C54" w:rsidP="009D1C54">
      <w:pPr>
        <w:pStyle w:val="Body"/>
        <w:rPr>
          <w:lang w:val="en"/>
        </w:rPr>
      </w:pPr>
      <w:r w:rsidRPr="009D1C54">
        <w:rPr>
          <w:lang w:val="en"/>
        </w:rPr>
        <w:t>Lipps, W.C., Braun-Howland, E.B. &amp; Baxter, T.E., 2023. Standard methods for the examination of water and wastewater. 24th edition. American public health association, american water works association: washington dc.</w:t>
      </w:r>
    </w:p>
    <w:p w14:paraId="6A884045" w14:textId="77777777" w:rsidR="009D1C54" w:rsidRPr="009D1C54" w:rsidRDefault="009D1C54" w:rsidP="009D1C54">
      <w:pPr>
        <w:pStyle w:val="Body"/>
        <w:rPr>
          <w:lang w:val="en"/>
        </w:rPr>
      </w:pPr>
      <w:r w:rsidRPr="009D1C54">
        <w:rPr>
          <w:lang w:val="en"/>
        </w:rPr>
        <w:t>López-Benítez, A., Guevara-Lara, A., Domínguez-Crespo, M.A., Andraca-Adame, J.A. &amp; Torres-Huerta, A.M., 2024. Concentrations of organochlorine, organophosphorus, and pyrethroid pesticides in rivers worldwide (2014–2024): A review. 16 (18), 8066 Available from: https://www.mdpi.com/2071-1050/16/18/8066.</w:t>
      </w:r>
    </w:p>
    <w:p w14:paraId="081686A3" w14:textId="77777777" w:rsidR="009D1C54" w:rsidRPr="009D1C54" w:rsidRDefault="009D1C54" w:rsidP="009D1C54">
      <w:pPr>
        <w:pStyle w:val="Body"/>
        <w:rPr>
          <w:lang w:val="en"/>
        </w:rPr>
      </w:pPr>
      <w:r w:rsidRPr="009D1C54">
        <w:rPr>
          <w:lang w:val="en"/>
        </w:rPr>
        <w:t>Malla, M.A., Gupta, S., Dubey, A., Kumar, A. &amp; Yadav, S., 2021. Chapter 7 - contamination of groundwater resources by pesticides. In Ahamad, A., Siddiqui, S.I. &amp; Singh, P. eds. Contamination of water. Academic Press, 99-107.</w:t>
      </w:r>
    </w:p>
    <w:p w14:paraId="6337E072" w14:textId="77777777" w:rsidR="009D1C54" w:rsidRPr="009D1C54" w:rsidRDefault="009D1C54" w:rsidP="009D1C54">
      <w:pPr>
        <w:pStyle w:val="Body"/>
        <w:rPr>
          <w:lang w:val="en"/>
        </w:rPr>
      </w:pPr>
      <w:r w:rsidRPr="009D1C54">
        <w:rPr>
          <w:lang w:val="en"/>
        </w:rPr>
        <w:t>Mambe-Ani, P., Ouattara, K.N., Elleingand, F.E. &amp; Kadjo, V., 2019. Assessment of the impact of pesticide use in urban and periurban agriculture in Abidjan, Ivory Coast. International Journal of Biological Chemical Sciences, 13 (6), 2824-2837.</w:t>
      </w:r>
    </w:p>
    <w:p w14:paraId="71AA6F52" w14:textId="77777777" w:rsidR="009D1C54" w:rsidRPr="009D1C54" w:rsidRDefault="009D1C54" w:rsidP="009D1C54">
      <w:pPr>
        <w:pStyle w:val="Body"/>
        <w:rPr>
          <w:lang w:val="en"/>
        </w:rPr>
      </w:pPr>
      <w:r w:rsidRPr="009D1C54">
        <w:rPr>
          <w:lang w:val="en"/>
        </w:rPr>
        <w:t>Mark, D.M., Robert, J.G., Patrick, W.M. &amp; Lisa, H.N., 2006. Pesticide toxicity index for freshwater aquatic organisms, 2nd edition. 87.</w:t>
      </w:r>
    </w:p>
    <w:p w14:paraId="327D8AEF" w14:textId="77777777" w:rsidR="009D1C54" w:rsidRPr="009D1C54" w:rsidRDefault="009D1C54" w:rsidP="009D1C54">
      <w:pPr>
        <w:pStyle w:val="Body"/>
        <w:rPr>
          <w:lang w:val="en"/>
        </w:rPr>
      </w:pPr>
      <w:r w:rsidRPr="009D1C54">
        <w:rPr>
          <w:lang w:val="en"/>
        </w:rPr>
        <w:t>Mcdonald, R.I., Mansur, A.V., Ascensão, F., Colbert, M.L., Crossman, K., Elmqvist, T., Gonzalez, A., Güneralp, B., Haase, D. &amp; Hamann, M., 2020. Research gaps in knowledge of the impact of urban growth on biodiversity. Nature Sustainability, 3 (1), 16-24.</w:t>
      </w:r>
    </w:p>
    <w:p w14:paraId="1547CD44" w14:textId="77777777" w:rsidR="009D1C54" w:rsidRPr="009D1C54" w:rsidRDefault="009D1C54" w:rsidP="009D1C54">
      <w:pPr>
        <w:pStyle w:val="Body"/>
        <w:rPr>
          <w:lang w:val="en"/>
        </w:rPr>
      </w:pPr>
      <w:r w:rsidRPr="009D1C54">
        <w:rPr>
          <w:lang w:val="en"/>
        </w:rPr>
        <w:t>Mcgrane, S.J., 2016. Impacts of urbanization on hydrological and water quality dynamics, and urban water management: A review. Hydrological Sciences Journal, 61 (13), 2295-2311.</w:t>
      </w:r>
    </w:p>
    <w:p w14:paraId="7E9A6664" w14:textId="77777777" w:rsidR="009D1C54" w:rsidRPr="009D1C54" w:rsidRDefault="009D1C54" w:rsidP="009D1C54">
      <w:pPr>
        <w:pStyle w:val="Body"/>
        <w:rPr>
          <w:lang w:val="en"/>
        </w:rPr>
      </w:pPr>
      <w:r w:rsidRPr="009D1C54">
        <w:rPr>
          <w:lang w:val="en"/>
        </w:rPr>
        <w:t>Meng, L., Yao, W., Wen, L., Fu, X., Qi, Y. &amp; Volmer, D.A., 2024. Optimized liquid chromatography-tandem mass spectrometry protocol for enhanced detection of 45 pesticides in water and soil samples. Rapid Commun Mass Spectrom, 38 (21), e9904.</w:t>
      </w:r>
    </w:p>
    <w:p w14:paraId="04570F7B" w14:textId="77777777" w:rsidR="009D1C54" w:rsidRPr="009D1C54" w:rsidRDefault="009D1C54" w:rsidP="009D1C54">
      <w:pPr>
        <w:pStyle w:val="Body"/>
        <w:rPr>
          <w:lang w:val="en"/>
        </w:rPr>
      </w:pPr>
      <w:r w:rsidRPr="009D1C54">
        <w:rPr>
          <w:lang w:val="en"/>
        </w:rPr>
        <w:t>Müller, K., Bach, M., Hartmann, H., Spiteller, M. &amp; Frede, H.G., 2002. Point</w:t>
      </w:r>
      <w:r w:rsidRPr="009D1C54">
        <w:rPr>
          <w:rFonts w:ascii="Cambria Math" w:hAnsi="Cambria Math" w:cs="Cambria Math"/>
          <w:lang w:val="en"/>
        </w:rPr>
        <w:t>‐</w:t>
      </w:r>
      <w:r w:rsidRPr="009D1C54">
        <w:rPr>
          <w:lang w:val="en"/>
        </w:rPr>
        <w:t>and nonpoint</w:t>
      </w:r>
      <w:r w:rsidRPr="009D1C54">
        <w:rPr>
          <w:rFonts w:ascii="Cambria Math" w:hAnsi="Cambria Math" w:cs="Cambria Math"/>
          <w:lang w:val="en"/>
        </w:rPr>
        <w:t>‐</w:t>
      </w:r>
      <w:r w:rsidRPr="009D1C54">
        <w:rPr>
          <w:lang w:val="en"/>
        </w:rPr>
        <w:t>source pesticide contamination in the zwester ohm catchment, germany. Journal of environmental quality, 31 (1), 309-318.</w:t>
      </w:r>
    </w:p>
    <w:p w14:paraId="1AF98C9F" w14:textId="77777777" w:rsidR="009D1C54" w:rsidRPr="009D1C54" w:rsidRDefault="009D1C54" w:rsidP="009D1C54">
      <w:pPr>
        <w:pStyle w:val="Body"/>
        <w:rPr>
          <w:lang w:val="en"/>
        </w:rPr>
      </w:pPr>
      <w:r w:rsidRPr="009D1C54">
        <w:rPr>
          <w:lang w:val="en"/>
        </w:rPr>
        <w:t>Nakhjavan, B., Bland, J. &amp; Khosravifard, M., 2021. Optimization of a multiresidue analysis of 65 pesticides in surface water using solid-phase extraction by lc-ms/ms. Molecules, 26 (21).</w:t>
      </w:r>
    </w:p>
    <w:p w14:paraId="7294664F" w14:textId="77777777" w:rsidR="009D1C54" w:rsidRPr="009D1C54" w:rsidRDefault="009D1C54" w:rsidP="009D1C54">
      <w:pPr>
        <w:pStyle w:val="Body"/>
        <w:rPr>
          <w:lang w:val="en"/>
        </w:rPr>
      </w:pPr>
      <w:r w:rsidRPr="009D1C54">
        <w:rPr>
          <w:lang w:val="en"/>
        </w:rPr>
        <w:t>Nyenje, P., Foppen, J., Uhlenbrook, S., Kulabako, R. &amp; Muwanga, A., 2010. Eutrophication and nutrient release in urban areas of sub-Saharan Africa—a review. Science of the total environment, 408 (3), 447-455.</w:t>
      </w:r>
    </w:p>
    <w:p w14:paraId="4225C788" w14:textId="77777777" w:rsidR="009D1C54" w:rsidRPr="009D1C54" w:rsidRDefault="009D1C54" w:rsidP="009D1C54">
      <w:pPr>
        <w:pStyle w:val="Body"/>
        <w:rPr>
          <w:lang w:val="en"/>
        </w:rPr>
      </w:pPr>
      <w:r w:rsidRPr="009D1C54">
        <w:rPr>
          <w:lang w:val="en"/>
        </w:rPr>
        <w:t>Obuobie, E., Keraita, B., Danso, G., Amoah, P., Cofie, O.O., Raschid-Sally, L. &amp; Drechsel, P., 2006. Irrigated urban vegetable production in Ghana: Characteristics, benefits and risks.</w:t>
      </w:r>
    </w:p>
    <w:p w14:paraId="6AC93487" w14:textId="77777777" w:rsidR="009D1C54" w:rsidRDefault="009D1C54" w:rsidP="009D1C54">
      <w:pPr>
        <w:pStyle w:val="Body"/>
        <w:rPr>
          <w:lang w:val="en"/>
        </w:rPr>
      </w:pPr>
      <w:r w:rsidRPr="009D1C54">
        <w:rPr>
          <w:lang w:val="en"/>
        </w:rPr>
        <w:t>Ossey, B.Y., Mambo, V., Abiba, S.T. &amp; Houenou, P.V., 2008. Analytical study of the chemical characteristics of a eutrophic lake in a tropical environment: Conductivity as an indicator of trophic status of Lake Buyo (Côte d'Ivoire). Journal of the West African Chemical Society, 25, 87-108.</w:t>
      </w:r>
    </w:p>
    <w:p w14:paraId="0C0F2FB2" w14:textId="77777777" w:rsidR="009D1C54" w:rsidRDefault="009D1C54" w:rsidP="009D1C54">
      <w:pPr>
        <w:pStyle w:val="Body"/>
        <w:rPr>
          <w:lang w:val="en"/>
        </w:rPr>
      </w:pPr>
    </w:p>
    <w:p w14:paraId="5643144D" w14:textId="77777777" w:rsidR="009D1C54" w:rsidRPr="00DE0D72" w:rsidRDefault="009D1C54" w:rsidP="009D1C54">
      <w:pPr>
        <w:pStyle w:val="Body"/>
      </w:pPr>
      <w:r w:rsidRPr="00DE0D72">
        <w:t>Ouattara, I., Kamagaté, B., Dao, A., Noufé, D. &amp; Savané, I., 2016. Groundwater mineralization process and flow transfer in a fissured basement environment: Case of the Comoé cross-border watershed (Ivory Coast, Burkina Faso, Ghana, Mali)[groundwaters mineralization process and transfer of flow within fissured aquifers: Case of transboundary basin of Comoé (Ivory Coast, Burkina Faso, Ghana, Mali)]. International Journal of Innovation Applied Studies, 17 (1), 57.</w:t>
      </w:r>
    </w:p>
    <w:p w14:paraId="666EB11A" w14:textId="77777777" w:rsidR="009D1C54" w:rsidRPr="00DE0D72" w:rsidRDefault="009D1C54" w:rsidP="009D1C54">
      <w:pPr>
        <w:pStyle w:val="Body"/>
      </w:pPr>
      <w:r w:rsidRPr="00DE0D72">
        <w:t>Paul, M.J. &amp; Meyer, J.L., 2001. Streams in the urban landscape. Annual review of Ecology Systematics, 32 (1), 333-365.</w:t>
      </w:r>
    </w:p>
    <w:p w14:paraId="3F8D1833" w14:textId="77777777" w:rsidR="009D1C54" w:rsidRPr="00DE0D72" w:rsidRDefault="009D1C54" w:rsidP="009D1C54">
      <w:pPr>
        <w:pStyle w:val="Body"/>
      </w:pPr>
      <w:r w:rsidRPr="00DE0D72">
        <w:t>Pérez-Indoval, R. &amp; Romero-López, R., 2024. Assessment of pesticide contamination in groundwater bodies in the jucar river basin (spain) and its spatial distribution. Groundwater for Sustainable Development, 25, 101118 Available from: https://www.sciencedirect.com/science/article/pii/S2352801X24000419.</w:t>
      </w:r>
    </w:p>
    <w:p w14:paraId="22E629A1" w14:textId="77777777" w:rsidR="009D1C54" w:rsidRPr="00DE0D72" w:rsidRDefault="009D1C54" w:rsidP="009D1C54">
      <w:pPr>
        <w:pStyle w:val="Body"/>
      </w:pPr>
      <w:r w:rsidRPr="00DE0D72">
        <w:t>Reimann, C., Filzmoser, P., Garrett, R. &amp; Dutter, R., 2011. Statistical data analysis explained: Applied environmental statistics with r: John Wiley &amp; Sons.</w:t>
      </w:r>
    </w:p>
    <w:p w14:paraId="72D7DBCE" w14:textId="77777777" w:rsidR="009D1C54" w:rsidRPr="00DE0D72" w:rsidRDefault="009D1C54" w:rsidP="009D1C54">
      <w:pPr>
        <w:pStyle w:val="Body"/>
      </w:pPr>
      <w:r w:rsidRPr="00DE0D72">
        <w:t>Rocha, F.C., Andrade, E.M. &amp; Lopes, F.B., 2015. Water quality index calculated from biological, physical and chemical attributes. Environ Monit Assess, 187 (1), 4163.</w:t>
      </w:r>
    </w:p>
    <w:p w14:paraId="5E185144" w14:textId="77777777" w:rsidR="009D1C54" w:rsidRPr="00DE0D72" w:rsidRDefault="009D1C54" w:rsidP="009D1C54">
      <w:pPr>
        <w:pStyle w:val="Body"/>
      </w:pPr>
      <w:r w:rsidRPr="00DE0D72">
        <w:t>Roy, A.H., Wenger, S.J., Fletcher, T.D., Walsh, C.J., Ladson, A.R., Shuster, W.D., Thurston, H.W. &amp; Brown, R.R., 2008. Impediments and solutions to sustainable, watershed-scale urban stormwater management: Lessons from Australia and the United States. Environmental management, 42 (2), 344-359.</w:t>
      </w:r>
    </w:p>
    <w:p w14:paraId="65F2790A" w14:textId="77777777" w:rsidR="009D1C54" w:rsidRPr="00DE0D72" w:rsidRDefault="009D1C54" w:rsidP="009D1C54">
      <w:pPr>
        <w:pStyle w:val="Body"/>
      </w:pPr>
      <w:r w:rsidRPr="00DE0D72">
        <w:t>Ruiz-Gil, L., Romero-González, R., Garrido Frenich, A. &amp; Martínez Vidal, J.L., 2008. Determination of pesticides in water samples by solid phase extraction and gas chromatography tandem mass spectrometry. J Sep Sci, 31 (1), 151-61.</w:t>
      </w:r>
    </w:p>
    <w:p w14:paraId="221A5E95" w14:textId="77777777" w:rsidR="009D1C54" w:rsidRPr="00DE0D72" w:rsidRDefault="009D1C54" w:rsidP="009D1C54">
      <w:pPr>
        <w:pStyle w:val="Body"/>
      </w:pPr>
      <w:r w:rsidRPr="00DE0D72">
        <w:t>Shelton, L.R., 1994. Field guide for collecting and processing stream-water samples for the national water-quality assessment program: US Geological Survey.</w:t>
      </w:r>
    </w:p>
    <w:p w14:paraId="68AB4DD2" w14:textId="77777777" w:rsidR="009D1C54" w:rsidRPr="00DE0D72" w:rsidRDefault="009D1C54" w:rsidP="009D1C54">
      <w:pPr>
        <w:pStyle w:val="Body"/>
      </w:pPr>
      <w:r w:rsidRPr="00DE0D72">
        <w:t>Shrestha, S. &amp; Kazama, F., 2007. Assessment of surface water quality using multivariate statistical techniques: A case study of the fuji river basin, japan. Environmental Modeling &amp; Software, 22 (4), 464-475 Available from: https://www.sciencedirect.com/science/article/pii/S136481520600048X.</w:t>
      </w:r>
    </w:p>
    <w:p w14:paraId="0ED56D60" w14:textId="77777777" w:rsidR="009D1C54" w:rsidRPr="00DE0D72" w:rsidRDefault="009D1C54" w:rsidP="009D1C54">
      <w:pPr>
        <w:pStyle w:val="Body"/>
      </w:pPr>
      <w:r w:rsidRPr="00DE0D72">
        <w:t>Soro, T.D., Fossou, N.M.R., Kone, G.Y.M., Oga, Y.M.-S. &amp; Soro, N., 2022. Assessment of groundwater quality in the Grand-Lahou department (southwest of Ivory Coast) based on the wqi index. International Journal of Innovation Applied Studies, 38 (2), 417-427.</w:t>
      </w:r>
    </w:p>
    <w:p w14:paraId="2CD1A78F" w14:textId="77777777" w:rsidR="009D1C54" w:rsidRPr="00DE0D72" w:rsidRDefault="009D1C54" w:rsidP="009D1C54">
      <w:pPr>
        <w:pStyle w:val="Body"/>
      </w:pPr>
      <w:r w:rsidRPr="00DE0D72">
        <w:t>Stehle, S. &amp; Schulz, R., 2015. Agricultural insecticides threaten surface waters at the global scale. Proceedings of the National Academy of Sciences, 112 (18), 5750-5755.</w:t>
      </w:r>
    </w:p>
    <w:p w14:paraId="0215EED2" w14:textId="77777777" w:rsidR="009D1C54" w:rsidRPr="00DE0D72" w:rsidRDefault="009D1C54" w:rsidP="009D1C54">
      <w:pPr>
        <w:pStyle w:val="Body"/>
      </w:pPr>
      <w:r w:rsidRPr="00DE0D72">
        <w:t>Traoré, M., 2025. Land artificialization and urban heat island development in Korhogo, northern Ivory Coast. Urban Art BioO, 4 (01), 1-16.</w:t>
      </w:r>
    </w:p>
    <w:p w14:paraId="1E77A7E9" w14:textId="77777777" w:rsidR="009D1C54" w:rsidRPr="00DE0D72" w:rsidRDefault="009D1C54" w:rsidP="009D1C54">
      <w:pPr>
        <w:pStyle w:val="Body"/>
      </w:pPr>
      <w:r w:rsidRPr="00DE0D72">
        <w:t>Troiano, J., Weaver, D., Marade, J., Spurlock, F., Pepple, M., Nordmark, C. &amp; Bartkowiak, D., 2001. Summary of well water sampling in California to detect pesticide residues resulting from nonpoint-source applications. Journal of Environmental Quality, 30 (2), 448-459.</w:t>
      </w:r>
    </w:p>
    <w:p w14:paraId="6F716345" w14:textId="77777777" w:rsidR="009D1C54" w:rsidRPr="00DE0D72" w:rsidRDefault="009D1C54" w:rsidP="009D1C54">
      <w:pPr>
        <w:pStyle w:val="Body"/>
      </w:pPr>
      <w:r w:rsidRPr="00DE0D72">
        <w:lastRenderedPageBreak/>
        <w:t>UN-Habitat, 2016. Urbanization and development: Emerging futures. 3 (4), 4-51.</w:t>
      </w:r>
    </w:p>
    <w:p w14:paraId="6BFA45CD" w14:textId="77777777" w:rsidR="009D1C54" w:rsidRPr="00DE0D72" w:rsidRDefault="009D1C54" w:rsidP="009D1C54">
      <w:pPr>
        <w:pStyle w:val="Body"/>
      </w:pPr>
      <w:r w:rsidRPr="00DE0D72">
        <w:t>Von Ameln Lovison, O., Jank, L., De Souza, W.M., Ramalho Guerra, R., Lamas, A.E., Da Costa Ballestrin, R.A., Da Silva Morais Hein, C., Da Silva, T.C.B., Corção, G. &amp; Martins, A.F., 2021. Identification of pesticides in water samples by solid-phase extraction and liquid chromatography-electrospray ionization mass spectrometry. Water Environ Res, 93 (11), 2670-2680.</w:t>
      </w:r>
    </w:p>
    <w:p w14:paraId="7B54AD80" w14:textId="77777777" w:rsidR="009D1C54" w:rsidRPr="00DE0D72" w:rsidRDefault="009D1C54" w:rsidP="009D1C54">
      <w:pPr>
        <w:pStyle w:val="Body"/>
      </w:pPr>
      <w:r w:rsidRPr="00DE0D72">
        <w:t>WHO, 2022. Guidelines for drinking-water quality: Incorporating the first and second addenda: World Health Organization.</w:t>
      </w:r>
    </w:p>
    <w:p w14:paraId="7A90F438" w14:textId="77777777" w:rsidR="009D1C54" w:rsidRPr="00DE0D72" w:rsidRDefault="009D1C54" w:rsidP="009D1C54">
      <w:pPr>
        <w:pStyle w:val="Body"/>
      </w:pPr>
      <w:r w:rsidRPr="00DE0D72">
        <w:t>WHO, 2024. Guidelines for drinking-water quality: Small water supplies: World Health Organization.</w:t>
      </w:r>
    </w:p>
    <w:p w14:paraId="25F5F7C4" w14:textId="77777777" w:rsidR="009D1C54" w:rsidRPr="00DE0D72" w:rsidRDefault="009D1C54" w:rsidP="009D1C54">
      <w:pPr>
        <w:pStyle w:val="Body"/>
      </w:pPr>
      <w:r w:rsidRPr="00DE0D72">
        <w:t>Yao, K.a.F., Ahoussi, K.E., Koffi, Y.B., Tivoli, L.M.S., Salze, D. &amp; Lopez-Ferber, M.J.E.S.J., 2023. Hydrochemical characterization and evaluation of groundwater quality in the mining environment of the Afema canton (southeast Côte d'Ivoire). European Scientific Journal, 19 (6), 248002E</w:t>
      </w:r>
    </w:p>
    <w:p w14:paraId="682ED193" w14:textId="77777777" w:rsidR="009D1C54" w:rsidRPr="00DE0D72" w:rsidRDefault="009D1C54" w:rsidP="009D1C54">
      <w:pPr>
        <w:pStyle w:val="Body"/>
      </w:pPr>
      <w:r w:rsidRPr="00DE0D72">
        <w:t>Yao, K.S.A. &amp; Ahoussi, K., 2020. Physicochemical characterization of surface waters in a mining environment in central-western Côte d'Ivoire: Case of the Divo department. European Scientific Journal, 16, 12.</w:t>
      </w:r>
    </w:p>
    <w:p w14:paraId="5D4923A0" w14:textId="672AD728" w:rsidR="007C762D" w:rsidRDefault="009D1C54" w:rsidP="009D1C54">
      <w:pPr>
        <w:pStyle w:val="Body"/>
        <w:spacing w:after="0"/>
        <w:rPr>
          <w:lang w:val="fr-FR"/>
        </w:rPr>
      </w:pPr>
      <w:r w:rsidRPr="00DE0D72">
        <w:t xml:space="preserve">Yapo, R.I., Mambo, V., Alder, A.C., Ohou-Yao, M.J., Ligban, R., Dao, D., Stamm, C. &amp; Bonfoh, B., 2016. Seasonal characterization of well water used for market gardening and domestic purposes in Korhogo (Côte d'Ivoire). </w:t>
      </w:r>
      <w:r w:rsidRPr="009D1C54">
        <w:rPr>
          <w:lang w:val="fr-FR"/>
        </w:rPr>
        <w:t>International Journal of Biological and Chemical Sciences, 10 (3), 1433-1449.</w:t>
      </w:r>
    </w:p>
    <w:p w14:paraId="3195C59E" w14:textId="77777777" w:rsidR="009D1C54" w:rsidRPr="007C762D" w:rsidRDefault="009D1C54" w:rsidP="009D1C54">
      <w:pPr>
        <w:pStyle w:val="Body"/>
        <w:spacing w:after="0"/>
        <w:rPr>
          <w:lang w:val="fr-CI"/>
        </w:rPr>
      </w:pPr>
    </w:p>
    <w:p w14:paraId="59E8A51D" w14:textId="77777777" w:rsidR="007C762D" w:rsidRPr="007C762D" w:rsidRDefault="007C762D" w:rsidP="007C762D">
      <w:pPr>
        <w:pStyle w:val="Body"/>
        <w:spacing w:after="0"/>
        <w:rPr>
          <w:lang w:val="fr-CI"/>
        </w:rPr>
      </w:pPr>
    </w:p>
    <w:p w14:paraId="4D132A44" w14:textId="77777777" w:rsidR="004D4277" w:rsidRPr="00FB3A86" w:rsidRDefault="007C762D" w:rsidP="00821A86">
      <w:pPr>
        <w:pStyle w:val="Body"/>
        <w:spacing w:after="0"/>
        <w:rPr>
          <w:rFonts w:ascii="Arial" w:hAnsi="Arial" w:cs="Arial"/>
          <w:b/>
        </w:rPr>
        <w:sectPr w:rsidR="004D4277" w:rsidRPr="00FB3A86" w:rsidSect="008861AD">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7C762D">
        <w:fldChar w:fldCharType="end"/>
      </w:r>
    </w:p>
    <w:p w14:paraId="73495FA5" w14:textId="77777777" w:rsidR="00B01FCD" w:rsidRPr="00FB3A86" w:rsidRDefault="00B01FCD" w:rsidP="00821A86">
      <w:pPr>
        <w:pStyle w:val="Appendix"/>
        <w:spacing w:after="0"/>
        <w:jc w:val="both"/>
        <w:rPr>
          <w:rFonts w:ascii="Arial" w:hAnsi="Arial" w:cs="Arial"/>
          <w:b w:val="0"/>
        </w:rPr>
      </w:pPr>
    </w:p>
    <w:sectPr w:rsidR="00B01FCD" w:rsidRPr="00FB3A86" w:rsidSect="00886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F4D92" w14:textId="77777777" w:rsidR="00722536" w:rsidRDefault="00722536" w:rsidP="00C37E61">
      <w:r>
        <w:separator/>
      </w:r>
    </w:p>
  </w:endnote>
  <w:endnote w:type="continuationSeparator" w:id="0">
    <w:p w14:paraId="2735DA0A" w14:textId="77777777" w:rsidR="00722536" w:rsidRDefault="0072253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19891" w14:textId="77777777" w:rsidR="008861AD" w:rsidRDefault="00886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79DE2" w14:textId="77777777" w:rsidR="008861AD" w:rsidRDefault="00886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6AB9" w14:textId="77777777" w:rsidR="002D44DF" w:rsidRDefault="002D44DF">
    <w:pPr>
      <w:pStyle w:val="Footer"/>
      <w:rPr>
        <w:rFonts w:ascii="Arial" w:hAnsi="Arial" w:cs="Arial"/>
        <w:sz w:val="16"/>
      </w:rPr>
    </w:pPr>
  </w:p>
  <w:p w14:paraId="60A83051" w14:textId="77777777" w:rsidR="002D44DF" w:rsidRDefault="002D44D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F528FF5" w14:textId="77777777" w:rsidR="002D44DF" w:rsidRDefault="002D44DF">
    <w:pPr>
      <w:pStyle w:val="Footer"/>
      <w:rPr>
        <w:rFonts w:ascii="Arial" w:hAnsi="Arial" w:cs="Arial"/>
        <w:sz w:val="16"/>
      </w:rPr>
    </w:pPr>
  </w:p>
  <w:p w14:paraId="0D697F80" w14:textId="77777777" w:rsidR="002D44DF" w:rsidRPr="009E048A" w:rsidRDefault="002D44D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78BCF" w14:textId="77777777" w:rsidR="002D44DF" w:rsidRPr="00C37E61" w:rsidRDefault="002D44D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1A974" w14:textId="77777777" w:rsidR="00722536" w:rsidRDefault="00722536" w:rsidP="00C37E61">
      <w:r>
        <w:separator/>
      </w:r>
    </w:p>
  </w:footnote>
  <w:footnote w:type="continuationSeparator" w:id="0">
    <w:p w14:paraId="4B0A6B9F" w14:textId="77777777" w:rsidR="00722536" w:rsidRDefault="0072253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C5F2E" w14:textId="47F99A6A" w:rsidR="008861AD" w:rsidRDefault="00722536">
    <w:pPr>
      <w:pStyle w:val="Header"/>
    </w:pPr>
    <w:r>
      <w:rPr>
        <w:noProof/>
      </w:rPr>
      <w:pict w14:anchorId="239C8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D8350" w14:textId="06DF3AF0" w:rsidR="008861AD" w:rsidRDefault="00722536">
    <w:pPr>
      <w:pStyle w:val="Header"/>
    </w:pPr>
    <w:r>
      <w:rPr>
        <w:noProof/>
      </w:rPr>
      <w:pict w14:anchorId="6D559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BC8CE" w14:textId="0F97D22F" w:rsidR="002D44DF" w:rsidRPr="00296529" w:rsidRDefault="00722536" w:rsidP="00296529">
    <w:pPr>
      <w:ind w:left="2160"/>
      <w:jc w:val="center"/>
      <w:rPr>
        <w:rFonts w:ascii="Times New Roman" w:eastAsia="Calibri" w:hAnsi="Times New Roman"/>
        <w:i/>
        <w:sz w:val="18"/>
        <w:szCs w:val="22"/>
      </w:rPr>
    </w:pPr>
    <w:r>
      <w:rPr>
        <w:noProof/>
      </w:rPr>
      <w:pict w14:anchorId="722BA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73471F" w14:textId="77777777" w:rsidR="002D44DF" w:rsidRPr="00296529" w:rsidRDefault="002D44D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7C6A9F" w14:textId="77777777" w:rsidR="002D44DF" w:rsidRPr="00296529" w:rsidRDefault="002D44D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132111" w14:textId="77777777" w:rsidR="002D44DF" w:rsidRPr="00296529" w:rsidRDefault="002D44D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E851B5" w14:textId="77777777" w:rsidR="002D44DF" w:rsidRDefault="002D44D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936000" w14:textId="77777777" w:rsidR="002D44DF" w:rsidRDefault="002D44D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AD6B246" w14:textId="77777777" w:rsidR="002D44DF" w:rsidRDefault="002D44D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E528D" w14:textId="703B3855" w:rsidR="008861AD" w:rsidRDefault="00722536">
    <w:pPr>
      <w:pStyle w:val="Header"/>
    </w:pPr>
    <w:r>
      <w:rPr>
        <w:noProof/>
      </w:rPr>
      <w:pict w14:anchorId="571F8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AD060" w14:textId="173C6FC8" w:rsidR="008861AD" w:rsidRDefault="00722536">
    <w:pPr>
      <w:pStyle w:val="Header"/>
    </w:pPr>
    <w:r>
      <w:rPr>
        <w:noProof/>
      </w:rPr>
      <w:pict w14:anchorId="3F7F7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37B7F" w14:textId="76B6C1BD" w:rsidR="008861AD" w:rsidRDefault="00722536">
    <w:pPr>
      <w:pStyle w:val="Header"/>
    </w:pPr>
    <w:r>
      <w:rPr>
        <w:noProof/>
      </w:rPr>
      <w:pict w14:anchorId="77DD0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0175"/>
    <w:rsid w:val="000A47FA"/>
    <w:rsid w:val="000A65D3"/>
    <w:rsid w:val="000B1E33"/>
    <w:rsid w:val="000D58A3"/>
    <w:rsid w:val="000D689F"/>
    <w:rsid w:val="000E7B7B"/>
    <w:rsid w:val="000E7D62"/>
    <w:rsid w:val="00103357"/>
    <w:rsid w:val="00123C9F"/>
    <w:rsid w:val="00126190"/>
    <w:rsid w:val="00130F17"/>
    <w:rsid w:val="001320BF"/>
    <w:rsid w:val="00163BC4"/>
    <w:rsid w:val="00191062"/>
    <w:rsid w:val="00191304"/>
    <w:rsid w:val="00192B72"/>
    <w:rsid w:val="00196194"/>
    <w:rsid w:val="001A29D8"/>
    <w:rsid w:val="001A5CAA"/>
    <w:rsid w:val="001A65C7"/>
    <w:rsid w:val="001B0427"/>
    <w:rsid w:val="001C13FC"/>
    <w:rsid w:val="001D2DC5"/>
    <w:rsid w:val="001D3A51"/>
    <w:rsid w:val="001E10D2"/>
    <w:rsid w:val="001E25B4"/>
    <w:rsid w:val="001E44FE"/>
    <w:rsid w:val="00200595"/>
    <w:rsid w:val="00204835"/>
    <w:rsid w:val="00216F63"/>
    <w:rsid w:val="00231920"/>
    <w:rsid w:val="0023195C"/>
    <w:rsid w:val="0024282C"/>
    <w:rsid w:val="002460DC"/>
    <w:rsid w:val="00250985"/>
    <w:rsid w:val="002556F6"/>
    <w:rsid w:val="002752FA"/>
    <w:rsid w:val="00283105"/>
    <w:rsid w:val="00284C4C"/>
    <w:rsid w:val="00287E68"/>
    <w:rsid w:val="00296529"/>
    <w:rsid w:val="002A1BDA"/>
    <w:rsid w:val="002B27FB"/>
    <w:rsid w:val="002B685A"/>
    <w:rsid w:val="002C57D2"/>
    <w:rsid w:val="002D44DF"/>
    <w:rsid w:val="002E0D56"/>
    <w:rsid w:val="00315186"/>
    <w:rsid w:val="0033343E"/>
    <w:rsid w:val="003512C2"/>
    <w:rsid w:val="00371FB6"/>
    <w:rsid w:val="003763C1"/>
    <w:rsid w:val="00376BBE"/>
    <w:rsid w:val="0039224F"/>
    <w:rsid w:val="003A43A4"/>
    <w:rsid w:val="003A7E18"/>
    <w:rsid w:val="003B2ECF"/>
    <w:rsid w:val="003C2DE3"/>
    <w:rsid w:val="003C4C86"/>
    <w:rsid w:val="003C6258"/>
    <w:rsid w:val="003E2904"/>
    <w:rsid w:val="00401927"/>
    <w:rsid w:val="0041027F"/>
    <w:rsid w:val="00412475"/>
    <w:rsid w:val="00423789"/>
    <w:rsid w:val="00440F43"/>
    <w:rsid w:val="00441B6F"/>
    <w:rsid w:val="00446221"/>
    <w:rsid w:val="00450E62"/>
    <w:rsid w:val="00452C01"/>
    <w:rsid w:val="004539DB"/>
    <w:rsid w:val="00471A80"/>
    <w:rsid w:val="004D0AE6"/>
    <w:rsid w:val="004D305E"/>
    <w:rsid w:val="004D4277"/>
    <w:rsid w:val="00502516"/>
    <w:rsid w:val="00505F06"/>
    <w:rsid w:val="00506828"/>
    <w:rsid w:val="0053056E"/>
    <w:rsid w:val="00554FDA"/>
    <w:rsid w:val="0058479E"/>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454C"/>
    <w:rsid w:val="006967F7"/>
    <w:rsid w:val="006A250C"/>
    <w:rsid w:val="006B21D3"/>
    <w:rsid w:val="006B57D0"/>
    <w:rsid w:val="006D07F0"/>
    <w:rsid w:val="006D30FF"/>
    <w:rsid w:val="006D6940"/>
    <w:rsid w:val="006F11EC"/>
    <w:rsid w:val="0070082C"/>
    <w:rsid w:val="007173AE"/>
    <w:rsid w:val="00722536"/>
    <w:rsid w:val="007369E6"/>
    <w:rsid w:val="00746E59"/>
    <w:rsid w:val="00754C9A"/>
    <w:rsid w:val="0075599A"/>
    <w:rsid w:val="007614E9"/>
    <w:rsid w:val="00761D52"/>
    <w:rsid w:val="0077749E"/>
    <w:rsid w:val="00790ADA"/>
    <w:rsid w:val="007C762D"/>
    <w:rsid w:val="007D2288"/>
    <w:rsid w:val="007E088F"/>
    <w:rsid w:val="007F7B32"/>
    <w:rsid w:val="00804BC2"/>
    <w:rsid w:val="0081431A"/>
    <w:rsid w:val="00821A86"/>
    <w:rsid w:val="0083216F"/>
    <w:rsid w:val="00853C66"/>
    <w:rsid w:val="00860000"/>
    <w:rsid w:val="00860D5C"/>
    <w:rsid w:val="00863BD3"/>
    <w:rsid w:val="008641ED"/>
    <w:rsid w:val="00866D66"/>
    <w:rsid w:val="008671C6"/>
    <w:rsid w:val="00875803"/>
    <w:rsid w:val="008861AD"/>
    <w:rsid w:val="008B459E"/>
    <w:rsid w:val="008C0A81"/>
    <w:rsid w:val="008E13AE"/>
    <w:rsid w:val="008E1506"/>
    <w:rsid w:val="008E710C"/>
    <w:rsid w:val="008F69D6"/>
    <w:rsid w:val="00902823"/>
    <w:rsid w:val="009030C6"/>
    <w:rsid w:val="00915CA6"/>
    <w:rsid w:val="00927834"/>
    <w:rsid w:val="009453A4"/>
    <w:rsid w:val="009500A6"/>
    <w:rsid w:val="00954BC1"/>
    <w:rsid w:val="00957C18"/>
    <w:rsid w:val="009659BA"/>
    <w:rsid w:val="00983040"/>
    <w:rsid w:val="009957A7"/>
    <w:rsid w:val="00995C8B"/>
    <w:rsid w:val="009A54C2"/>
    <w:rsid w:val="009B3FB9"/>
    <w:rsid w:val="009B5E57"/>
    <w:rsid w:val="009C2465"/>
    <w:rsid w:val="009D1C54"/>
    <w:rsid w:val="009D35A0"/>
    <w:rsid w:val="009D7EB7"/>
    <w:rsid w:val="009E048A"/>
    <w:rsid w:val="009E08E9"/>
    <w:rsid w:val="009E3DB9"/>
    <w:rsid w:val="009E6E35"/>
    <w:rsid w:val="009F0EDA"/>
    <w:rsid w:val="00A03B96"/>
    <w:rsid w:val="00A05B19"/>
    <w:rsid w:val="00A1134E"/>
    <w:rsid w:val="00A24E7E"/>
    <w:rsid w:val="00A258C3"/>
    <w:rsid w:val="00A347C0"/>
    <w:rsid w:val="00A42871"/>
    <w:rsid w:val="00A465DC"/>
    <w:rsid w:val="00A51431"/>
    <w:rsid w:val="00A539AD"/>
    <w:rsid w:val="00A55C06"/>
    <w:rsid w:val="00A94063"/>
    <w:rsid w:val="00AA6219"/>
    <w:rsid w:val="00AA74E0"/>
    <w:rsid w:val="00AB703F"/>
    <w:rsid w:val="00AC6BB8"/>
    <w:rsid w:val="00AE008F"/>
    <w:rsid w:val="00B01FCD"/>
    <w:rsid w:val="00B1776C"/>
    <w:rsid w:val="00B17C16"/>
    <w:rsid w:val="00B52583"/>
    <w:rsid w:val="00B52896"/>
    <w:rsid w:val="00B95236"/>
    <w:rsid w:val="00B96BD9"/>
    <w:rsid w:val="00BA1B01"/>
    <w:rsid w:val="00BA2641"/>
    <w:rsid w:val="00BA2CF1"/>
    <w:rsid w:val="00BB37AA"/>
    <w:rsid w:val="00BB49E8"/>
    <w:rsid w:val="00BB7413"/>
    <w:rsid w:val="00BC53A0"/>
    <w:rsid w:val="00BE62AD"/>
    <w:rsid w:val="00BF121F"/>
    <w:rsid w:val="00BF1F80"/>
    <w:rsid w:val="00C166EF"/>
    <w:rsid w:val="00C17EB0"/>
    <w:rsid w:val="00C27F5F"/>
    <w:rsid w:val="00C30A0F"/>
    <w:rsid w:val="00C37E61"/>
    <w:rsid w:val="00C70A13"/>
    <w:rsid w:val="00C70F1B"/>
    <w:rsid w:val="00C71A47"/>
    <w:rsid w:val="00C7451E"/>
    <w:rsid w:val="00C7464C"/>
    <w:rsid w:val="00C85588"/>
    <w:rsid w:val="00CD6755"/>
    <w:rsid w:val="00CD6856"/>
    <w:rsid w:val="00CE0089"/>
    <w:rsid w:val="00CE3C27"/>
    <w:rsid w:val="00CE793C"/>
    <w:rsid w:val="00CF193C"/>
    <w:rsid w:val="00D173F1"/>
    <w:rsid w:val="00D2582A"/>
    <w:rsid w:val="00D61C35"/>
    <w:rsid w:val="00D74CB0"/>
    <w:rsid w:val="00D8295D"/>
    <w:rsid w:val="00D860F7"/>
    <w:rsid w:val="00DB262A"/>
    <w:rsid w:val="00DC2A65"/>
    <w:rsid w:val="00DD006A"/>
    <w:rsid w:val="00DE0D72"/>
    <w:rsid w:val="00DE15F0"/>
    <w:rsid w:val="00DE5663"/>
    <w:rsid w:val="00DE62A3"/>
    <w:rsid w:val="00DE78AA"/>
    <w:rsid w:val="00DF3629"/>
    <w:rsid w:val="00E053D0"/>
    <w:rsid w:val="00E15994"/>
    <w:rsid w:val="00E3114E"/>
    <w:rsid w:val="00E31A70"/>
    <w:rsid w:val="00E35B02"/>
    <w:rsid w:val="00E66496"/>
    <w:rsid w:val="00E66B35"/>
    <w:rsid w:val="00E66E10"/>
    <w:rsid w:val="00E769F6"/>
    <w:rsid w:val="00E8407C"/>
    <w:rsid w:val="00E84F3C"/>
    <w:rsid w:val="00E9424C"/>
    <w:rsid w:val="00EA012C"/>
    <w:rsid w:val="00EC6A55"/>
    <w:rsid w:val="00ED0288"/>
    <w:rsid w:val="00EE52CB"/>
    <w:rsid w:val="00EF581D"/>
    <w:rsid w:val="00EF7FD8"/>
    <w:rsid w:val="00F06F59"/>
    <w:rsid w:val="00F17988"/>
    <w:rsid w:val="00F469F0"/>
    <w:rsid w:val="00F50615"/>
    <w:rsid w:val="00F53273"/>
    <w:rsid w:val="00F755E4"/>
    <w:rsid w:val="00F77D02"/>
    <w:rsid w:val="00FA3DA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5"/>
      </o:rules>
    </o:shapelayout>
  </w:shapeDefaults>
  <w:decimalSymbol w:val="."/>
  <w:listSeparator w:val=","/>
  <w14:docId w14:val="7343F5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C76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stTable6Colorful-Accent5">
    <w:name w:val="List Table 6 Colorful Accent 5"/>
    <w:basedOn w:val="TableNormal"/>
    <w:uiPriority w:val="51"/>
    <w:rsid w:val="00DE62A3"/>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Caption">
    <w:name w:val="caption"/>
    <w:basedOn w:val="Normal"/>
    <w:next w:val="Normal"/>
    <w:uiPriority w:val="35"/>
    <w:unhideWhenUsed/>
    <w:qFormat/>
    <w:rsid w:val="00DE62A3"/>
    <w:pPr>
      <w:spacing w:after="200"/>
      <w:jc w:val="both"/>
    </w:pPr>
    <w:rPr>
      <w:rFonts w:ascii="Arial" w:eastAsiaTheme="minorHAnsi" w:hAnsi="Arial" w:cstheme="minorBidi"/>
      <w:i/>
      <w:iCs/>
      <w:color w:val="1F497D" w:themeColor="text2"/>
      <w:sz w:val="18"/>
      <w:szCs w:val="18"/>
      <w:lang w:val="en"/>
    </w:rPr>
  </w:style>
  <w:style w:type="character" w:customStyle="1" w:styleId="Heading3Char">
    <w:name w:val="Heading 3 Char"/>
    <w:basedOn w:val="DefaultParagraphFont"/>
    <w:link w:val="Heading3"/>
    <w:semiHidden/>
    <w:rsid w:val="007C762D"/>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3C2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mdpi.com/2071-1050/16/18/8066?utm_source=chatgpt.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latin typeface="Arial"/>
                <a:ea typeface="Arial"/>
                <a:cs typeface="Arial"/>
              </a:defRPr>
            </a:pPr>
            <a:r>
              <a:rPr lang="en"/>
              <a:t>Biplot (axes F1 and F2: 63.18%)</a:t>
            </a:r>
          </a:p>
        </c:rich>
      </c:tx>
      <c:overlay val="0"/>
    </c:title>
    <c:autoTitleDeleted val="0"/>
    <c:plotArea>
      <c:layout/>
      <c:scatterChart>
        <c:scatterStyle val="lineMarker"/>
        <c:varyColors val="0"/>
        <c:ser>
          <c:idx val="0"/>
          <c:order val="0"/>
          <c:tx>
            <c:v>Variables actives</c:v>
          </c:tx>
          <c:spPr>
            <a:ln w="19050">
              <a:noFill/>
            </a:ln>
            <a:effectLst/>
          </c:spPr>
          <c:marker>
            <c:symbol val="circle"/>
            <c:size val="3"/>
            <c:spPr>
              <a:solidFill>
                <a:srgbClr val="FF4A46"/>
              </a:solidFill>
              <a:ln>
                <a:solidFill>
                  <a:srgbClr val="FF4A46"/>
                </a:solidFill>
                <a:prstDash val="solid"/>
              </a:ln>
            </c:spPr>
          </c:marker>
          <c:dLbls>
            <c:dLbl>
              <c:idx val="0"/>
              <c:layout>
                <c:manualLayout>
                  <c:x val="-1.7361111111111143E-2"/>
                  <c:y val="1.7241379310344827E-2"/>
                </c:manualLayout>
              </c:layout>
              <c:tx>
                <c:rich>
                  <a:bodyPr/>
                  <a:lstStyle/>
                  <a:p>
                    <a:r>
                      <a:rPr lang="en-US"/>
                      <a:t>River 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C6-49A5-ACA5-2C75FE241395}"/>
                </c:ext>
              </c:extLst>
            </c:dLbl>
            <c:dLbl>
              <c:idx val="1"/>
              <c:layout>
                <c:manualLayout>
                  <c:x val="-1.7361111111111112E-2"/>
                  <c:y val="-3.0651340996168581E-2"/>
                </c:manualLayout>
              </c:layout>
              <c:tx>
                <c:rich>
                  <a:bodyPr/>
                  <a:lstStyle/>
                  <a:p>
                    <a:r>
                      <a:rPr lang="en-US"/>
                      <a:t>River 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6-49A5-ACA5-2C75FE241395}"/>
                </c:ext>
              </c:extLst>
            </c:dLbl>
            <c:dLbl>
              <c:idx val="2"/>
              <c:layout>
                <c:manualLayout>
                  <c:x val="-1.7361111111111112E-2"/>
                  <c:y val="1.7241379310344689E-2"/>
                </c:manualLayout>
              </c:layout>
              <c:tx>
                <c:rich>
                  <a:bodyPr/>
                  <a:lstStyle/>
                  <a:p>
                    <a:r>
                      <a:rPr lang="en-US"/>
                      <a:t>River 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C6-49A5-ACA5-2C75FE241395}"/>
                </c:ext>
              </c:extLst>
            </c:dLbl>
            <c:dLbl>
              <c:idx val="3"/>
              <c:layout>
                <c:manualLayout>
                  <c:x val="-1.7361111111111112E-2"/>
                  <c:y val="-3.0651340996168654E-2"/>
                </c:manualLayout>
              </c:layout>
              <c:tx>
                <c:rich>
                  <a:bodyPr/>
                  <a:lstStyle/>
                  <a:p>
                    <a:r>
                      <a:rPr lang="en-US"/>
                      <a:t>River 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6-49A5-ACA5-2C75FE241395}"/>
                </c:ext>
              </c:extLst>
            </c:dLbl>
            <c:dLbl>
              <c:idx val="4"/>
              <c:layout>
                <c:manualLayout>
                  <c:x val="-1.7361111111111112E-2"/>
                  <c:y val="1.7241379310344827E-2"/>
                </c:manualLayout>
              </c:layout>
              <c:tx>
                <c:rich>
                  <a:bodyPr/>
                  <a:lstStyle/>
                  <a:p>
                    <a:r>
                      <a:rPr lang="en-US"/>
                      <a:t>Well 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C6-49A5-ACA5-2C75FE241395}"/>
                </c:ext>
              </c:extLst>
            </c:dLbl>
            <c:dLbl>
              <c:idx val="5"/>
              <c:layout>
                <c:manualLayout>
                  <c:x val="-1.7361111111111112E-2"/>
                  <c:y val="-3.0651340996168654E-2"/>
                </c:manualLayout>
              </c:layout>
              <c:tx>
                <c:rich>
                  <a:bodyPr/>
                  <a:lstStyle/>
                  <a:p>
                    <a:r>
                      <a:rPr lang="en-US"/>
                      <a:t>Well 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6-49A5-ACA5-2C75FE241395}"/>
                </c:ext>
              </c:extLst>
            </c:dLbl>
            <c:dLbl>
              <c:idx val="6"/>
              <c:layout>
                <c:manualLayout>
                  <c:x val="-1.7361111111111174E-2"/>
                  <c:y val="1.7241379310344689E-2"/>
                </c:manualLayout>
              </c:layout>
              <c:tx>
                <c:rich>
                  <a:bodyPr/>
                  <a:lstStyle/>
                  <a:p>
                    <a:r>
                      <a:rPr lang="en-US"/>
                      <a:t>Well 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C6-49A5-ACA5-2C75FE241395}"/>
                </c:ext>
              </c:extLst>
            </c:dLbl>
            <c:dLbl>
              <c:idx val="7"/>
              <c:layout>
                <c:manualLayout>
                  <c:x val="-1.7361111111111112E-2"/>
                  <c:y val="1.7241379310344827E-2"/>
                </c:manualLayout>
              </c:layout>
              <c:tx>
                <c:rich>
                  <a:bodyPr/>
                  <a:lstStyle/>
                  <a:p>
                    <a:r>
                      <a:rPr lang="en-US"/>
                      <a:t>Well 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C6-49A5-ACA5-2C75FE241395}"/>
                </c:ext>
              </c:extLst>
            </c:dLbl>
            <c:dLbl>
              <c:idx val="8"/>
              <c:layout>
                <c:manualLayout>
                  <c:x val="-1.7361111111111112E-2"/>
                  <c:y val="-3.0651340996168581E-2"/>
                </c:manualLayout>
              </c:layout>
              <c:tx>
                <c:rich>
                  <a:bodyPr/>
                  <a:lstStyle/>
                  <a:p>
                    <a:r>
                      <a:rPr lang="en-US"/>
                      <a:t>Well 5</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C6-49A5-ACA5-2C75FE241395}"/>
                </c:ext>
              </c:extLst>
            </c:dLbl>
            <c:dLbl>
              <c:idx val="9"/>
              <c:layout>
                <c:manualLayout>
                  <c:x val="-1.7361111111111237E-2"/>
                  <c:y val="-3.0651340996168654E-2"/>
                </c:manualLayout>
              </c:layout>
              <c:tx>
                <c:rich>
                  <a:bodyPr/>
                  <a:lstStyle/>
                  <a:p>
                    <a:r>
                      <a:rPr lang="en-US"/>
                      <a:t>Well 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C6-49A5-ACA5-2C75FE241395}"/>
                </c:ext>
              </c:extLst>
            </c:dLbl>
            <c:spPr>
              <a:noFill/>
              <a:ln>
                <a:noFill/>
              </a:ln>
              <a:effectLst/>
            </c:spPr>
            <c:txPr>
              <a:bodyPr rot="0" vert="horz" wrap="square" lIns="38100" tIns="19050" rIns="38100" bIns="19050" anchor="ctr">
                <a:spAutoFit/>
              </a:bodyPr>
              <a:lstStyle/>
              <a:p>
                <a:pPr>
                  <a:defRPr sz="700">
                    <a:solidFill>
                      <a:srgbClr val="FF4A46"/>
                    </a:solidFill>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XLSTAT_20251219_102841_1_HID3!$A$1:$A$10</c:f>
              <c:numCache>
                <c:formatCode>General</c:formatCode>
                <c:ptCount val="10"/>
                <c:pt idx="0">
                  <c:v>0.74246537080702868</c:v>
                </c:pt>
                <c:pt idx="1">
                  <c:v>2.2252486257681525</c:v>
                </c:pt>
                <c:pt idx="2">
                  <c:v>1.1349162786020257</c:v>
                </c:pt>
                <c:pt idx="3">
                  <c:v>4.9382929275369607</c:v>
                </c:pt>
                <c:pt idx="4">
                  <c:v>5.4710472527747065</c:v>
                </c:pt>
                <c:pt idx="5">
                  <c:v>5.3102882911035065</c:v>
                </c:pt>
                <c:pt idx="6">
                  <c:v>3.5877220796369333</c:v>
                </c:pt>
                <c:pt idx="7">
                  <c:v>5.4396219435796658</c:v>
                </c:pt>
                <c:pt idx="8">
                  <c:v>0.56931788530315253</c:v>
                </c:pt>
                <c:pt idx="9">
                  <c:v>5.1438148562480821</c:v>
                </c:pt>
              </c:numCache>
            </c:numRef>
          </c:xVal>
          <c:yVal>
            <c:numRef>
              <c:f>XLSTAT_20251219_102841_1_HID3!$B$1:$B$10</c:f>
              <c:numCache>
                <c:formatCode>General</c:formatCode>
                <c:ptCount val="10"/>
                <c:pt idx="0">
                  <c:v>-4.7432657418176234</c:v>
                </c:pt>
                <c:pt idx="1">
                  <c:v>7.0941801340342359</c:v>
                </c:pt>
                <c:pt idx="2">
                  <c:v>-0.64391355598849065</c:v>
                </c:pt>
                <c:pt idx="3">
                  <c:v>0.30862278501131912</c:v>
                </c:pt>
                <c:pt idx="4">
                  <c:v>-1.188180927918149</c:v>
                </c:pt>
                <c:pt idx="5">
                  <c:v>1.838708424764272</c:v>
                </c:pt>
                <c:pt idx="6">
                  <c:v>-4.2009175165351129</c:v>
                </c:pt>
                <c:pt idx="7">
                  <c:v>-1.8233787145998848</c:v>
                </c:pt>
                <c:pt idx="8">
                  <c:v>7.6649941551900982</c:v>
                </c:pt>
                <c:pt idx="9">
                  <c:v>0.83693399932796941</c:v>
                </c:pt>
              </c:numCache>
            </c:numRef>
          </c:yVal>
          <c:smooth val="0"/>
          <c:extLst>
            <c:ext xmlns:c16="http://schemas.microsoft.com/office/drawing/2014/chart" uri="{C3380CC4-5D6E-409C-BE32-E72D297353CC}">
              <c16:uniqueId val="{0000000A-61C6-49A5-ACA5-2C75FE241395}"/>
            </c:ext>
          </c:extLst>
        </c:ser>
        <c:ser>
          <c:idx val="1"/>
          <c:order val="1"/>
          <c:tx>
            <c:v>Observations actives</c:v>
          </c:tx>
          <c:spPr>
            <a:ln w="19050">
              <a:noFill/>
            </a:ln>
            <a:effectLst/>
          </c:spPr>
          <c:marker>
            <c:symbol val="circle"/>
            <c:size val="3"/>
            <c:spPr>
              <a:solidFill>
                <a:srgbClr val="2A7498"/>
              </a:solidFill>
              <a:ln>
                <a:solidFill>
                  <a:srgbClr val="2A7498"/>
                </a:solidFill>
                <a:prstDash val="solid"/>
              </a:ln>
            </c:spPr>
          </c:marker>
          <c:dLbls>
            <c:dLbl>
              <c:idx val="0"/>
              <c:layout>
                <c:manualLayout>
                  <c:x val="-0.1831635498687664"/>
                  <c:y val="1.7241379310344827E-2"/>
                </c:manualLayout>
              </c:layout>
              <c:tx>
                <c:rich>
                  <a:bodyPr/>
                  <a:lstStyle/>
                  <a:p>
                    <a:r>
                      <a:rPr lang="en-US"/>
                      <a:t>Parathion-methyl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C6-49A5-ACA5-2C75FE241395}"/>
                </c:ext>
              </c:extLst>
            </c:dLbl>
            <c:dLbl>
              <c:idx val="1"/>
              <c:layout>
                <c:manualLayout>
                  <c:x val="-1.7361111111111112E-2"/>
                  <c:y val="1.7241379310344827E-2"/>
                </c:manualLayout>
              </c:layout>
              <c:tx>
                <c:rich>
                  <a:bodyPr/>
                  <a:lstStyle/>
                  <a:p>
                    <a:r>
                      <a:rPr lang="en-US"/>
                      <a:t>Chlorfenvinphos</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C6-49A5-ACA5-2C75FE241395}"/>
                </c:ext>
              </c:extLst>
            </c:dLbl>
            <c:dLbl>
              <c:idx val="2"/>
              <c:layout>
                <c:manualLayout>
                  <c:x val="-0.14185777559055118"/>
                  <c:y val="-3.0651340996168581E-2"/>
                </c:manualLayout>
              </c:layout>
              <c:tx>
                <c:rich>
                  <a:bodyPr/>
                  <a:lstStyle/>
                  <a:p>
                    <a:r>
                      <a:rPr lang="en-US"/>
                      <a:t>Vinclozolin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C6-49A5-ACA5-2C75FE241395}"/>
                </c:ext>
              </c:extLst>
            </c:dLbl>
            <c:dLbl>
              <c:idx val="3"/>
              <c:layout>
                <c:manualLayout>
                  <c:x val="-0.18470499781277341"/>
                  <c:y val="5.1724137931034343E-2"/>
                </c:manualLayout>
              </c:layout>
              <c:tx>
                <c:rich>
                  <a:bodyPr/>
                  <a:lstStyle/>
                  <a:p>
                    <a:r>
                      <a:rPr lang="en-US"/>
                      <a:t>Parathion-ethyl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C6-49A5-ACA5-2C75FE241395}"/>
                </c:ext>
              </c:extLst>
            </c:dLbl>
            <c:dLbl>
              <c:idx val="4"/>
              <c:layout>
                <c:manualLayout>
                  <c:x val="-1.7361111111111112E-2"/>
                  <c:y val="-3.0651340996168654E-2"/>
                </c:manualLayout>
              </c:layout>
              <c:tx>
                <c:rich>
                  <a:bodyPr/>
                  <a:lstStyle/>
                  <a:p>
                    <a:r>
                      <a:rPr lang="en-US"/>
                      <a:t>Profenofos</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C6-49A5-ACA5-2C75FE241395}"/>
                </c:ext>
              </c:extLst>
            </c:dLbl>
            <c:dLbl>
              <c:idx val="5"/>
              <c:layout>
                <c:manualLayout>
                  <c:x val="-1.7361111111111174E-2"/>
                  <c:y val="1.7241379310344827E-2"/>
                </c:manualLayout>
              </c:layout>
              <c:tx>
                <c:rich>
                  <a:bodyPr/>
                  <a:lstStyle/>
                  <a:p>
                    <a:r>
                      <a:rPr lang="en-US"/>
                      <a:t>Dimethoate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C6-49A5-ACA5-2C75FE241395}"/>
                </c:ext>
              </c:extLst>
            </c:dLbl>
            <c:dLbl>
              <c:idx val="6"/>
              <c:layout>
                <c:manualLayout>
                  <c:x val="-1.7361111111111112E-2"/>
                  <c:y val="-3.0651340996168654E-2"/>
                </c:manualLayout>
              </c:layout>
              <c:tx>
                <c:rich>
                  <a:bodyPr/>
                  <a:lstStyle/>
                  <a:p>
                    <a:r>
                      <a:rPr lang="en-US"/>
                      <a:t>Chlorpyrifos-ethyl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C6-49A5-ACA5-2C75FE241395}"/>
                </c:ext>
              </c:extLst>
            </c:dLbl>
            <c:dLbl>
              <c:idx val="7"/>
              <c:layout>
                <c:manualLayout>
                  <c:x val="-1.7361111111111112E-2"/>
                  <c:y val="-3.0651340996168654E-2"/>
                </c:manualLayout>
              </c:layout>
              <c:tx>
                <c:rich>
                  <a:bodyPr/>
                  <a:lstStyle/>
                  <a:p>
                    <a:r>
                      <a:rPr lang="en-US"/>
                      <a:t>Metolachlor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C6-49A5-ACA5-2C75FE241395}"/>
                </c:ext>
              </c:extLst>
            </c:dLbl>
            <c:dLbl>
              <c:idx val="8"/>
              <c:layout>
                <c:manualLayout>
                  <c:x val="-9.3697779965004391E-2"/>
                  <c:y val="-5.3639846743295021E-2"/>
                </c:manualLayout>
              </c:layout>
              <c:tx>
                <c:rich>
                  <a:bodyPr/>
                  <a:lstStyle/>
                  <a:p>
                    <a:r>
                      <a:rPr lang="en-US"/>
                      <a:t>Metazaclor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C6-49A5-ACA5-2C75FE241395}"/>
                </c:ext>
              </c:extLst>
            </c:dLbl>
            <c:dLbl>
              <c:idx val="9"/>
              <c:layout>
                <c:manualLayout>
                  <c:x val="-8.9322779965004373E-2"/>
                  <c:y val="-0.10727969348659004"/>
                </c:manualLayout>
              </c:layout>
              <c:tx>
                <c:rich>
                  <a:bodyPr/>
                  <a:lstStyle/>
                  <a:p>
                    <a:r>
                      <a:rPr lang="en-US"/>
                      <a:t>Atrazine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1C6-49A5-ACA5-2C75FE241395}"/>
                </c:ext>
              </c:extLst>
            </c:dLbl>
            <c:dLbl>
              <c:idx val="10"/>
              <c:layout>
                <c:manualLayout>
                  <c:x val="-0.21685777559055119"/>
                  <c:y val="5.7471264367815389E-3"/>
                </c:manualLayout>
              </c:layout>
              <c:tx>
                <c:rich>
                  <a:bodyPr/>
                  <a:lstStyle/>
                  <a:p>
                    <a:r>
                      <a:rPr lang="en-US"/>
                      <a:t>Prometryn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C6-49A5-ACA5-2C75FE241395}"/>
                </c:ext>
              </c:extLst>
            </c:dLbl>
            <c:dLbl>
              <c:idx val="11"/>
              <c:layout>
                <c:manualLayout>
                  <c:x val="-7.4062500000000017E-2"/>
                  <c:y val="6.3218390804597707E-2"/>
                </c:manualLayout>
              </c:layout>
              <c:tx>
                <c:rich>
                  <a:bodyPr/>
                  <a:lstStyle/>
                  <a:p>
                    <a:r>
                      <a:rPr lang="en-US"/>
                      <a:t>Terbutryn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C6-49A5-ACA5-2C75FE241395}"/>
                </c:ext>
              </c:extLst>
            </c:dLbl>
            <c:dLbl>
              <c:idx val="12"/>
              <c:layout>
                <c:manualLayout>
                  <c:x val="-0.18086805555555555"/>
                  <c:y val="-1.1494252873563218E-2"/>
                </c:manualLayout>
              </c:layout>
              <c:tx>
                <c:rich>
                  <a:bodyPr/>
                  <a:lstStyle/>
                  <a:p>
                    <a:r>
                      <a:rPr lang="en-US"/>
                      <a:t>Carbosulfan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C6-49A5-ACA5-2C75FE241395}"/>
                </c:ext>
              </c:extLst>
            </c:dLbl>
            <c:dLbl>
              <c:idx val="13"/>
              <c:layout>
                <c:manualLayout>
                  <c:x val="-0.10208333333333333"/>
                  <c:y val="1.7241379310344758E-2"/>
                </c:manualLayout>
              </c:layout>
              <c:tx>
                <c:rich>
                  <a:bodyPr/>
                  <a:lstStyle/>
                  <a:p>
                    <a:r>
                      <a:rPr lang="en-US"/>
                      <a:t>Diuron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C6-49A5-ACA5-2C75FE241395}"/>
                </c:ext>
              </c:extLst>
            </c:dLbl>
            <c:dLbl>
              <c:idx val="14"/>
              <c:layout>
                <c:manualLayout>
                  <c:x val="-0.15092000218722659"/>
                  <c:y val="-0.12452107279693486"/>
                </c:manualLayout>
              </c:layout>
              <c:tx>
                <c:rich>
                  <a:bodyPr/>
                  <a:lstStyle/>
                  <a:p>
                    <a:r>
                      <a:rPr lang="en-US"/>
                      <a:t>Lambda Cyhalothrin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C6-49A5-ACA5-2C75FE241395}"/>
                </c:ext>
              </c:extLst>
            </c:dLbl>
            <c:dLbl>
              <c:idx val="15"/>
              <c:layout>
                <c:manualLayout>
                  <c:x val="-0.18196166885389325"/>
                  <c:y val="9.0038314176245138E-2"/>
                </c:manualLayout>
              </c:layout>
              <c:tx>
                <c:rich>
                  <a:bodyPr/>
                  <a:lstStyle/>
                  <a:p>
                    <a:r>
                      <a:rPr lang="en-US"/>
                      <a:t>Deltamethrin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1C6-49A5-ACA5-2C75FE241395}"/>
                </c:ext>
              </c:extLst>
            </c:dLbl>
            <c:spPr>
              <a:noFill/>
              <a:ln>
                <a:noFill/>
              </a:ln>
              <a:effectLst/>
            </c:spPr>
            <c:txPr>
              <a:bodyPr rot="0" vert="horz" wrap="square" lIns="38100" tIns="19050" rIns="38100" bIns="19050" anchor="ctr">
                <a:spAutoFit/>
              </a:bodyPr>
              <a:lstStyle/>
              <a:p>
                <a:pPr>
                  <a:defRPr sz="700">
                    <a:solidFill>
                      <a:srgbClr val="2A7498"/>
                    </a:solidFill>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XLSTAT_20251219_102841_1_HID3!$C$1:$C$16</c:f>
              <c:numCache>
                <c:formatCode>General</c:formatCode>
                <c:ptCount val="16"/>
                <c:pt idx="0">
                  <c:v>-1.551215007059368</c:v>
                </c:pt>
                <c:pt idx="1">
                  <c:v>0.68710152507119837</c:v>
                </c:pt>
                <c:pt idx="2">
                  <c:v>-1.5023802403965285</c:v>
                </c:pt>
                <c:pt idx="3">
                  <c:v>-0.37791549126272739</c:v>
                </c:pt>
                <c:pt idx="4">
                  <c:v>2.7208053951183016</c:v>
                </c:pt>
                <c:pt idx="5">
                  <c:v>6.8388090659683822</c:v>
                </c:pt>
                <c:pt idx="6">
                  <c:v>0.62387249835446157</c:v>
                </c:pt>
                <c:pt idx="7">
                  <c:v>0.72490701106954625</c:v>
                </c:pt>
                <c:pt idx="8">
                  <c:v>-1.0177143910882895</c:v>
                </c:pt>
                <c:pt idx="9">
                  <c:v>-0.71722163292812935</c:v>
                </c:pt>
                <c:pt idx="10">
                  <c:v>-0.98446698819714196</c:v>
                </c:pt>
                <c:pt idx="11">
                  <c:v>-1.2556692274344086</c:v>
                </c:pt>
                <c:pt idx="12">
                  <c:v>-1.1036038917650097</c:v>
                </c:pt>
                <c:pt idx="13">
                  <c:v>-0.23085933443907611</c:v>
                </c:pt>
                <c:pt idx="14">
                  <c:v>-1.2993961731888155</c:v>
                </c:pt>
                <c:pt idx="15">
                  <c:v>-1.5550531178223914</c:v>
                </c:pt>
              </c:numCache>
            </c:numRef>
          </c:xVal>
          <c:yVal>
            <c:numRef>
              <c:f>XLSTAT_20251219_102841_1_HID3!$D$1:$D$16</c:f>
              <c:numCache>
                <c:formatCode>General</c:formatCode>
                <c:ptCount val="16"/>
                <c:pt idx="0">
                  <c:v>-0.19140410610332628</c:v>
                </c:pt>
                <c:pt idx="1">
                  <c:v>-1.4735914922712798</c:v>
                </c:pt>
                <c:pt idx="2">
                  <c:v>0.27210788317914975</c:v>
                </c:pt>
                <c:pt idx="3">
                  <c:v>-2.1642314998390031</c:v>
                </c:pt>
                <c:pt idx="4">
                  <c:v>0.41855588252659509</c:v>
                </c:pt>
                <c:pt idx="5">
                  <c:v>-0.87546994711970438</c:v>
                </c:pt>
                <c:pt idx="6">
                  <c:v>4.4143249079570364</c:v>
                </c:pt>
                <c:pt idx="7">
                  <c:v>0.97768958726113053</c:v>
                </c:pt>
                <c:pt idx="8">
                  <c:v>0.42290764891637866</c:v>
                </c:pt>
                <c:pt idx="9">
                  <c:v>0.74935766687159533</c:v>
                </c:pt>
                <c:pt idx="10">
                  <c:v>-1.1731992954631068</c:v>
                </c:pt>
                <c:pt idx="11">
                  <c:v>-0.30318861892281795</c:v>
                </c:pt>
                <c:pt idx="12">
                  <c:v>0.11977655188064325</c:v>
                </c:pt>
                <c:pt idx="13">
                  <c:v>-0.30736951433549303</c:v>
                </c:pt>
                <c:pt idx="14">
                  <c:v>-0.75345337961504499</c:v>
                </c:pt>
                <c:pt idx="15">
                  <c:v>-0.13281227492275385</c:v>
                </c:pt>
              </c:numCache>
            </c:numRef>
          </c:yVal>
          <c:smooth val="0"/>
          <c:extLst>
            <c:ext xmlns:c16="http://schemas.microsoft.com/office/drawing/2014/chart" uri="{C3380CC4-5D6E-409C-BE32-E72D297353CC}">
              <c16:uniqueId val="{0000001B-61C6-49A5-ACA5-2C75FE241395}"/>
            </c:ext>
          </c:extLst>
        </c:ser>
        <c:ser>
          <c:idx val="2"/>
          <c:order val="2"/>
          <c:tx>
            <c:v/>
          </c:tx>
          <c:spPr>
            <a:ln w="6350">
              <a:solidFill>
                <a:srgbClr val="FF4A46"/>
              </a:solidFill>
              <a:prstDash val="solid"/>
            </a:ln>
            <a:effectLst/>
          </c:spPr>
          <c:marker>
            <c:symbol val="none"/>
          </c:marker>
          <c:xVal>
            <c:numLit>
              <c:formatCode>General</c:formatCode>
              <c:ptCount val="2"/>
              <c:pt idx="0">
                <c:v>0</c:v>
              </c:pt>
              <c:pt idx="1">
                <c:v>0.74246537080702868</c:v>
              </c:pt>
            </c:numLit>
          </c:xVal>
          <c:yVal>
            <c:numLit>
              <c:formatCode>General</c:formatCode>
              <c:ptCount val="2"/>
              <c:pt idx="0">
                <c:v>0</c:v>
              </c:pt>
              <c:pt idx="1">
                <c:v>-4.7432657418176234</c:v>
              </c:pt>
            </c:numLit>
          </c:yVal>
          <c:smooth val="0"/>
          <c:extLst>
            <c:ext xmlns:c16="http://schemas.microsoft.com/office/drawing/2014/chart" uri="{C3380CC4-5D6E-409C-BE32-E72D297353CC}">
              <c16:uniqueId val="{0000001C-61C6-49A5-ACA5-2C75FE241395}"/>
            </c:ext>
          </c:extLst>
        </c:ser>
        <c:ser>
          <c:idx val="3"/>
          <c:order val="3"/>
          <c:tx>
            <c:v/>
          </c:tx>
          <c:spPr>
            <a:ln w="6350">
              <a:solidFill>
                <a:srgbClr val="FF4A46"/>
              </a:solidFill>
              <a:prstDash val="solid"/>
            </a:ln>
            <a:effectLst/>
          </c:spPr>
          <c:marker>
            <c:symbol val="none"/>
          </c:marker>
          <c:xVal>
            <c:numLit>
              <c:formatCode>General</c:formatCode>
              <c:ptCount val="2"/>
              <c:pt idx="0">
                <c:v>0</c:v>
              </c:pt>
              <c:pt idx="1">
                <c:v>2.2252486257681525</c:v>
              </c:pt>
            </c:numLit>
          </c:xVal>
          <c:yVal>
            <c:numLit>
              <c:formatCode>General</c:formatCode>
              <c:ptCount val="2"/>
              <c:pt idx="0">
                <c:v>0</c:v>
              </c:pt>
              <c:pt idx="1">
                <c:v>7.0941801340342359</c:v>
              </c:pt>
            </c:numLit>
          </c:yVal>
          <c:smooth val="0"/>
          <c:extLst>
            <c:ext xmlns:c16="http://schemas.microsoft.com/office/drawing/2014/chart" uri="{C3380CC4-5D6E-409C-BE32-E72D297353CC}">
              <c16:uniqueId val="{0000001D-61C6-49A5-ACA5-2C75FE241395}"/>
            </c:ext>
          </c:extLst>
        </c:ser>
        <c:ser>
          <c:idx val="4"/>
          <c:order val="4"/>
          <c:tx>
            <c:v/>
          </c:tx>
          <c:spPr>
            <a:ln w="6350">
              <a:solidFill>
                <a:srgbClr val="FF4A46"/>
              </a:solidFill>
              <a:prstDash val="solid"/>
            </a:ln>
            <a:effectLst/>
          </c:spPr>
          <c:marker>
            <c:symbol val="none"/>
          </c:marker>
          <c:xVal>
            <c:numLit>
              <c:formatCode>General</c:formatCode>
              <c:ptCount val="2"/>
              <c:pt idx="0">
                <c:v>0</c:v>
              </c:pt>
              <c:pt idx="1">
                <c:v>1.1349162786020257</c:v>
              </c:pt>
            </c:numLit>
          </c:xVal>
          <c:yVal>
            <c:numLit>
              <c:formatCode>General</c:formatCode>
              <c:ptCount val="2"/>
              <c:pt idx="0">
                <c:v>0</c:v>
              </c:pt>
              <c:pt idx="1">
                <c:v>-0.64391355598849065</c:v>
              </c:pt>
            </c:numLit>
          </c:yVal>
          <c:smooth val="0"/>
          <c:extLst>
            <c:ext xmlns:c16="http://schemas.microsoft.com/office/drawing/2014/chart" uri="{C3380CC4-5D6E-409C-BE32-E72D297353CC}">
              <c16:uniqueId val="{0000001E-61C6-49A5-ACA5-2C75FE241395}"/>
            </c:ext>
          </c:extLst>
        </c:ser>
        <c:ser>
          <c:idx val="5"/>
          <c:order val="5"/>
          <c:tx>
            <c:v/>
          </c:tx>
          <c:spPr>
            <a:ln w="6350">
              <a:solidFill>
                <a:srgbClr val="FF4A46"/>
              </a:solidFill>
              <a:prstDash val="solid"/>
            </a:ln>
            <a:effectLst/>
          </c:spPr>
          <c:marker>
            <c:symbol val="none"/>
          </c:marker>
          <c:xVal>
            <c:numLit>
              <c:formatCode>General</c:formatCode>
              <c:ptCount val="2"/>
              <c:pt idx="0">
                <c:v>0</c:v>
              </c:pt>
              <c:pt idx="1">
                <c:v>4.9382929275369607</c:v>
              </c:pt>
            </c:numLit>
          </c:xVal>
          <c:yVal>
            <c:numLit>
              <c:formatCode>General</c:formatCode>
              <c:ptCount val="2"/>
              <c:pt idx="0">
                <c:v>0</c:v>
              </c:pt>
              <c:pt idx="1">
                <c:v>0.30862278501131912</c:v>
              </c:pt>
            </c:numLit>
          </c:yVal>
          <c:smooth val="0"/>
          <c:extLst>
            <c:ext xmlns:c16="http://schemas.microsoft.com/office/drawing/2014/chart" uri="{C3380CC4-5D6E-409C-BE32-E72D297353CC}">
              <c16:uniqueId val="{0000001F-61C6-49A5-ACA5-2C75FE241395}"/>
            </c:ext>
          </c:extLst>
        </c:ser>
        <c:ser>
          <c:idx val="6"/>
          <c:order val="6"/>
          <c:tx>
            <c:v/>
          </c:tx>
          <c:spPr>
            <a:ln w="6350">
              <a:solidFill>
                <a:srgbClr val="FF4A46"/>
              </a:solidFill>
              <a:prstDash val="solid"/>
            </a:ln>
            <a:effectLst/>
          </c:spPr>
          <c:marker>
            <c:symbol val="none"/>
          </c:marker>
          <c:xVal>
            <c:numLit>
              <c:formatCode>General</c:formatCode>
              <c:ptCount val="2"/>
              <c:pt idx="0">
                <c:v>0</c:v>
              </c:pt>
              <c:pt idx="1">
                <c:v>5.4710472527747065</c:v>
              </c:pt>
            </c:numLit>
          </c:xVal>
          <c:yVal>
            <c:numLit>
              <c:formatCode>General</c:formatCode>
              <c:ptCount val="2"/>
              <c:pt idx="0">
                <c:v>0</c:v>
              </c:pt>
              <c:pt idx="1">
                <c:v>-1.188180927918149</c:v>
              </c:pt>
            </c:numLit>
          </c:yVal>
          <c:smooth val="0"/>
          <c:extLst>
            <c:ext xmlns:c16="http://schemas.microsoft.com/office/drawing/2014/chart" uri="{C3380CC4-5D6E-409C-BE32-E72D297353CC}">
              <c16:uniqueId val="{00000020-61C6-49A5-ACA5-2C75FE241395}"/>
            </c:ext>
          </c:extLst>
        </c:ser>
        <c:ser>
          <c:idx val="7"/>
          <c:order val="7"/>
          <c:tx>
            <c:v/>
          </c:tx>
          <c:spPr>
            <a:ln w="6350">
              <a:solidFill>
                <a:srgbClr val="FF4A46"/>
              </a:solidFill>
              <a:prstDash val="solid"/>
            </a:ln>
            <a:effectLst/>
          </c:spPr>
          <c:marker>
            <c:symbol val="none"/>
          </c:marker>
          <c:xVal>
            <c:numLit>
              <c:formatCode>General</c:formatCode>
              <c:ptCount val="2"/>
              <c:pt idx="0">
                <c:v>0</c:v>
              </c:pt>
              <c:pt idx="1">
                <c:v>5.3102882911035065</c:v>
              </c:pt>
            </c:numLit>
          </c:xVal>
          <c:yVal>
            <c:numLit>
              <c:formatCode>General</c:formatCode>
              <c:ptCount val="2"/>
              <c:pt idx="0">
                <c:v>0</c:v>
              </c:pt>
              <c:pt idx="1">
                <c:v>1.838708424764272</c:v>
              </c:pt>
            </c:numLit>
          </c:yVal>
          <c:smooth val="0"/>
          <c:extLst>
            <c:ext xmlns:c16="http://schemas.microsoft.com/office/drawing/2014/chart" uri="{C3380CC4-5D6E-409C-BE32-E72D297353CC}">
              <c16:uniqueId val="{00000021-61C6-49A5-ACA5-2C75FE241395}"/>
            </c:ext>
          </c:extLst>
        </c:ser>
        <c:ser>
          <c:idx val="8"/>
          <c:order val="8"/>
          <c:tx>
            <c:v/>
          </c:tx>
          <c:spPr>
            <a:ln w="6350">
              <a:solidFill>
                <a:srgbClr val="FF4A46"/>
              </a:solidFill>
              <a:prstDash val="solid"/>
            </a:ln>
            <a:effectLst/>
          </c:spPr>
          <c:marker>
            <c:symbol val="none"/>
          </c:marker>
          <c:xVal>
            <c:numLit>
              <c:formatCode>General</c:formatCode>
              <c:ptCount val="2"/>
              <c:pt idx="0">
                <c:v>0</c:v>
              </c:pt>
              <c:pt idx="1">
                <c:v>3.5877220796369333</c:v>
              </c:pt>
            </c:numLit>
          </c:xVal>
          <c:yVal>
            <c:numLit>
              <c:formatCode>General</c:formatCode>
              <c:ptCount val="2"/>
              <c:pt idx="0">
                <c:v>0</c:v>
              </c:pt>
              <c:pt idx="1">
                <c:v>-4.2009175165351129</c:v>
              </c:pt>
            </c:numLit>
          </c:yVal>
          <c:smooth val="0"/>
          <c:extLst>
            <c:ext xmlns:c16="http://schemas.microsoft.com/office/drawing/2014/chart" uri="{C3380CC4-5D6E-409C-BE32-E72D297353CC}">
              <c16:uniqueId val="{00000022-61C6-49A5-ACA5-2C75FE241395}"/>
            </c:ext>
          </c:extLst>
        </c:ser>
        <c:ser>
          <c:idx val="9"/>
          <c:order val="9"/>
          <c:tx>
            <c:v/>
          </c:tx>
          <c:spPr>
            <a:ln w="6350">
              <a:solidFill>
                <a:srgbClr val="FF4A46"/>
              </a:solidFill>
              <a:prstDash val="solid"/>
            </a:ln>
            <a:effectLst/>
          </c:spPr>
          <c:marker>
            <c:symbol val="none"/>
          </c:marker>
          <c:xVal>
            <c:numLit>
              <c:formatCode>General</c:formatCode>
              <c:ptCount val="2"/>
              <c:pt idx="0">
                <c:v>0</c:v>
              </c:pt>
              <c:pt idx="1">
                <c:v>5.4396219435796658</c:v>
              </c:pt>
            </c:numLit>
          </c:xVal>
          <c:yVal>
            <c:numLit>
              <c:formatCode>General</c:formatCode>
              <c:ptCount val="2"/>
              <c:pt idx="0">
                <c:v>0</c:v>
              </c:pt>
              <c:pt idx="1">
                <c:v>-1.8233787145998848</c:v>
              </c:pt>
            </c:numLit>
          </c:yVal>
          <c:smooth val="0"/>
          <c:extLst>
            <c:ext xmlns:c16="http://schemas.microsoft.com/office/drawing/2014/chart" uri="{C3380CC4-5D6E-409C-BE32-E72D297353CC}">
              <c16:uniqueId val="{00000023-61C6-49A5-ACA5-2C75FE241395}"/>
            </c:ext>
          </c:extLst>
        </c:ser>
        <c:ser>
          <c:idx val="10"/>
          <c:order val="10"/>
          <c:tx>
            <c:v/>
          </c:tx>
          <c:spPr>
            <a:ln w="6350">
              <a:solidFill>
                <a:srgbClr val="FF4A46"/>
              </a:solidFill>
              <a:prstDash val="solid"/>
            </a:ln>
            <a:effectLst/>
          </c:spPr>
          <c:marker>
            <c:symbol val="none"/>
          </c:marker>
          <c:xVal>
            <c:numLit>
              <c:formatCode>General</c:formatCode>
              <c:ptCount val="2"/>
              <c:pt idx="0">
                <c:v>0</c:v>
              </c:pt>
              <c:pt idx="1">
                <c:v>0.56931788530315253</c:v>
              </c:pt>
            </c:numLit>
          </c:xVal>
          <c:yVal>
            <c:numLit>
              <c:formatCode>General</c:formatCode>
              <c:ptCount val="2"/>
              <c:pt idx="0">
                <c:v>0</c:v>
              </c:pt>
              <c:pt idx="1">
                <c:v>7.6649941551900982</c:v>
              </c:pt>
            </c:numLit>
          </c:yVal>
          <c:smooth val="0"/>
          <c:extLst>
            <c:ext xmlns:c16="http://schemas.microsoft.com/office/drawing/2014/chart" uri="{C3380CC4-5D6E-409C-BE32-E72D297353CC}">
              <c16:uniqueId val="{00000024-61C6-49A5-ACA5-2C75FE241395}"/>
            </c:ext>
          </c:extLst>
        </c:ser>
        <c:ser>
          <c:idx val="11"/>
          <c:order val="11"/>
          <c:tx>
            <c:v/>
          </c:tx>
          <c:spPr>
            <a:ln w="6350">
              <a:solidFill>
                <a:srgbClr val="FF4A46"/>
              </a:solidFill>
              <a:prstDash val="solid"/>
            </a:ln>
            <a:effectLst/>
          </c:spPr>
          <c:marker>
            <c:symbol val="none"/>
          </c:marker>
          <c:xVal>
            <c:numLit>
              <c:formatCode>General</c:formatCode>
              <c:ptCount val="2"/>
              <c:pt idx="0">
                <c:v>0</c:v>
              </c:pt>
              <c:pt idx="1">
                <c:v>5.1438148562480821</c:v>
              </c:pt>
            </c:numLit>
          </c:xVal>
          <c:yVal>
            <c:numLit>
              <c:formatCode>General</c:formatCode>
              <c:ptCount val="2"/>
              <c:pt idx="0">
                <c:v>0</c:v>
              </c:pt>
              <c:pt idx="1">
                <c:v>0.83693399932796941</c:v>
              </c:pt>
            </c:numLit>
          </c:yVal>
          <c:smooth val="0"/>
          <c:extLst>
            <c:ext xmlns:c16="http://schemas.microsoft.com/office/drawing/2014/chart" uri="{C3380CC4-5D6E-409C-BE32-E72D297353CC}">
              <c16:uniqueId val="{00000025-61C6-49A5-ACA5-2C75FE241395}"/>
            </c:ext>
          </c:extLst>
        </c:ser>
        <c:dLbls>
          <c:showLegendKey val="0"/>
          <c:showVal val="0"/>
          <c:showCatName val="0"/>
          <c:showSerName val="0"/>
          <c:showPercent val="0"/>
          <c:showBubbleSize val="0"/>
        </c:dLbls>
        <c:axId val="866467336"/>
        <c:axId val="866465040"/>
      </c:scatterChart>
      <c:valAx>
        <c:axId val="866467336"/>
        <c:scaling>
          <c:orientation val="minMax"/>
        </c:scaling>
        <c:delete val="0"/>
        <c:axPos val="b"/>
        <c:title>
          <c:tx>
            <c:rich>
              <a:bodyPr/>
              <a:lstStyle/>
              <a:p>
                <a:pPr>
                  <a:defRPr sz="800" b="0">
                    <a:latin typeface="Arial"/>
                    <a:ea typeface="Arial"/>
                    <a:cs typeface="Arial"/>
                  </a:defRPr>
                </a:pPr>
                <a:r>
                  <a:rPr lang="en"/>
                  <a:t>F1 (43.65%)</a:t>
                </a:r>
              </a:p>
            </c:rich>
          </c:tx>
          <c:overlay val="0"/>
        </c:title>
        <c:numFmt formatCode="General" sourceLinked="0"/>
        <c:majorTickMark val="none"/>
        <c:minorTickMark val="none"/>
        <c:tickLblPos val="low"/>
        <c:txPr>
          <a:bodyPr rot="0" vert="horz"/>
          <a:lstStyle/>
          <a:p>
            <a:pPr>
              <a:defRPr sz="700"/>
            </a:pPr>
            <a:endParaRPr lang="en-US"/>
          </a:p>
        </c:txPr>
        <c:crossAx val="866465040"/>
        <c:crosses val="autoZero"/>
        <c:crossBetween val="midCat"/>
      </c:valAx>
      <c:valAx>
        <c:axId val="866465040"/>
        <c:scaling>
          <c:orientation val="minMax"/>
        </c:scaling>
        <c:delete val="0"/>
        <c:axPos val="l"/>
        <c:title>
          <c:tx>
            <c:rich>
              <a:bodyPr/>
              <a:lstStyle/>
              <a:p>
                <a:pPr>
                  <a:defRPr sz="800" b="0">
                    <a:latin typeface="Arial"/>
                    <a:ea typeface="Arial"/>
                    <a:cs typeface="Arial"/>
                  </a:defRPr>
                </a:pPr>
                <a:r>
                  <a:rPr lang="en"/>
                  <a:t>F2 (19.53%)</a:t>
                </a:r>
              </a:p>
            </c:rich>
          </c:tx>
          <c:overlay val="0"/>
        </c:title>
        <c:numFmt formatCode="General" sourceLinked="0"/>
        <c:majorTickMark val="cross"/>
        <c:minorTickMark val="none"/>
        <c:tickLblPos val="low"/>
        <c:txPr>
          <a:bodyPr/>
          <a:lstStyle/>
          <a:p>
            <a:pPr>
              <a:defRPr sz="700"/>
            </a:pPr>
            <a:endParaRPr lang="en-US"/>
          </a:p>
        </c:txPr>
        <c:crossAx val="866467336"/>
        <c:crosses val="autoZero"/>
        <c:crossBetween val="midCat"/>
      </c:valAx>
      <c:spPr>
        <a:ln>
          <a:solidFill>
            <a:srgbClr val="C0C0C0"/>
          </a:solidFill>
          <a:prstDash val="solid"/>
        </a:ln>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overlay val="0"/>
      <c:spPr>
        <a:ln w="6350">
          <a:solidFill>
            <a:srgbClr val="000000"/>
          </a:solidFill>
          <a:prstDash val="solid"/>
        </a:ln>
      </c:spPr>
      <c:txPr>
        <a:bodyPr/>
        <a:lstStyle/>
        <a:p>
          <a:pPr>
            <a:defRPr sz="900" b="0"/>
          </a:pPr>
          <a:endParaRPr lang="en-US"/>
        </a:p>
      </c:txPr>
    </c:legend>
    <c:plotVisOnly val="1"/>
    <c:dispBlanksAs val="gap"/>
    <c:showDLblsOverMax val="0"/>
  </c:chart>
  <c:spPr>
    <a:blipFill>
      <a:blip xmlns:r="http://schemas.openxmlformats.org/officeDocument/2006/relationships" r:embed="rId1"/>
      <a:stretch>
        <a:fillRect/>
      </a:stretch>
    </a:blip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2708-8914-473C-AE23-9557E5360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2033</TotalTime>
  <Pages>19</Pages>
  <Words>17276</Words>
  <Characters>98476</Characters>
  <Application>Microsoft Office Word</Application>
  <DocSecurity>0</DocSecurity>
  <Lines>820</Lines>
  <Paragraphs>231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115521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35</cp:revision>
  <cp:lastPrinted>1999-07-06T11:00:00Z</cp:lastPrinted>
  <dcterms:created xsi:type="dcterms:W3CDTF">2014-10-25T14:34:00Z</dcterms:created>
  <dcterms:modified xsi:type="dcterms:W3CDTF">2026-01-19T06:35:00Z</dcterms:modified>
</cp:coreProperties>
</file>