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CDD2D" w14:textId="4447C5C5" w:rsidR="00F3063C" w:rsidRDefault="00F3063C" w:rsidP="00F3063C">
      <w:pPr>
        <w:pStyle w:val="Author"/>
        <w:spacing w:line="240" w:lineRule="auto"/>
        <w:jc w:val="left"/>
        <w:rPr>
          <w:rFonts w:ascii="Arial" w:hAnsi="Arial" w:cs="Arial"/>
          <w:bCs/>
          <w:iCs/>
          <w:kern w:val="28"/>
          <w:sz w:val="36"/>
          <w:u w:val="single"/>
        </w:rPr>
      </w:pPr>
      <w:r w:rsidRPr="00F3063C">
        <w:rPr>
          <w:rFonts w:ascii="Arial" w:hAnsi="Arial" w:cs="Arial"/>
          <w:bCs/>
          <w:iCs/>
          <w:kern w:val="28"/>
          <w:sz w:val="36"/>
          <w:u w:val="single"/>
        </w:rPr>
        <w:t>Original Research Article</w:t>
      </w:r>
    </w:p>
    <w:p w14:paraId="2DC52F73" w14:textId="77777777" w:rsidR="00F3063C" w:rsidRPr="00F3063C" w:rsidRDefault="00F3063C" w:rsidP="00F3063C">
      <w:pPr>
        <w:pStyle w:val="Author"/>
        <w:spacing w:line="240" w:lineRule="auto"/>
        <w:jc w:val="left"/>
        <w:rPr>
          <w:rFonts w:ascii="Arial" w:hAnsi="Arial" w:cs="Arial"/>
          <w:bCs/>
          <w:iCs/>
          <w:kern w:val="28"/>
          <w:sz w:val="36"/>
          <w:u w:val="single"/>
        </w:rPr>
      </w:pPr>
    </w:p>
    <w:p w14:paraId="76EFABAB" w14:textId="5BBA360E" w:rsidR="00814539" w:rsidRPr="00790ADA" w:rsidRDefault="00D74035" w:rsidP="00814539">
      <w:pPr>
        <w:pStyle w:val="Author"/>
        <w:spacing w:line="240" w:lineRule="auto"/>
        <w:rPr>
          <w:rFonts w:ascii="Arial" w:hAnsi="Arial" w:cs="Arial"/>
          <w:sz w:val="36"/>
        </w:rPr>
      </w:pPr>
      <w:r w:rsidRPr="00D74035">
        <w:rPr>
          <w:rFonts w:ascii="Arial" w:hAnsi="Arial" w:cs="Arial"/>
          <w:bCs/>
          <w:iCs/>
          <w:kern w:val="28"/>
          <w:sz w:val="36"/>
        </w:rPr>
        <w:t>Impact of Cladding Material and Air Cavity on Ventilated Facades in Warm</w:t>
      </w:r>
      <w:r>
        <w:rPr>
          <w:rFonts w:ascii="Arial" w:hAnsi="Arial" w:cs="Arial"/>
          <w:bCs/>
          <w:iCs/>
          <w:kern w:val="28"/>
          <w:sz w:val="36"/>
        </w:rPr>
        <w:t xml:space="preserve"> </w:t>
      </w:r>
      <w:r w:rsidRPr="00D74035">
        <w:rPr>
          <w:rFonts w:ascii="Arial" w:hAnsi="Arial" w:cs="Arial"/>
          <w:bCs/>
          <w:iCs/>
          <w:kern w:val="28"/>
          <w:sz w:val="36"/>
        </w:rPr>
        <w:t>Semi-Arid Climates</w:t>
      </w:r>
    </w:p>
    <w:p w14:paraId="1BB68CBB" w14:textId="77777777" w:rsidR="002C57D2" w:rsidRPr="00FB3A86" w:rsidRDefault="002C57D2" w:rsidP="00441B6F">
      <w:pPr>
        <w:pStyle w:val="Affiliation"/>
        <w:spacing w:after="0" w:line="240" w:lineRule="auto"/>
        <w:jc w:val="both"/>
        <w:rPr>
          <w:rFonts w:ascii="Arial" w:hAnsi="Arial" w:cs="Arial"/>
        </w:rPr>
      </w:pPr>
    </w:p>
    <w:p w14:paraId="5542A8BC" w14:textId="77777777" w:rsidR="00B01FCD" w:rsidRPr="00FB3A86" w:rsidRDefault="00585141" w:rsidP="00441B6F">
      <w:pPr>
        <w:pStyle w:val="Copyright"/>
        <w:spacing w:after="0" w:line="240" w:lineRule="auto"/>
        <w:jc w:val="both"/>
        <w:rPr>
          <w:rFonts w:ascii="Arial" w:hAnsi="Arial" w:cs="Arial"/>
        </w:rPr>
        <w:sectPr w:rsidR="00B01FCD" w:rsidRPr="00FB3A86" w:rsidSect="00C633B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9501A6C">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78AFB48" w14:textId="5753FAC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9D6BA9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E88F6F1" w14:textId="77777777" w:rsidTr="001E44FE">
        <w:tc>
          <w:tcPr>
            <w:tcW w:w="9576" w:type="dxa"/>
            <w:shd w:val="clear" w:color="auto" w:fill="F2F2F2"/>
          </w:tcPr>
          <w:p w14:paraId="6F464E9D" w14:textId="144F6E01" w:rsidR="00A607F1" w:rsidRPr="00A607F1" w:rsidRDefault="00A607F1" w:rsidP="00A607F1">
            <w:pPr>
              <w:pStyle w:val="Body"/>
              <w:rPr>
                <w:rFonts w:ascii="Arial" w:eastAsia="Calibri" w:hAnsi="Arial" w:cs="Arial"/>
                <w:szCs w:val="22"/>
              </w:rPr>
            </w:pPr>
            <w:r w:rsidRPr="00A607F1">
              <w:rPr>
                <w:rFonts w:ascii="Arial" w:eastAsia="Calibri" w:hAnsi="Arial" w:cs="Arial"/>
                <w:szCs w:val="22"/>
              </w:rPr>
              <w:t>This study examines the high cooling-energy demand characteristic of buildings located in warm</w:t>
            </w:r>
            <w:r w:rsidR="00445E04">
              <w:rPr>
                <w:rFonts w:ascii="Arial" w:eastAsia="Calibri" w:hAnsi="Arial" w:cs="Arial"/>
                <w:szCs w:val="22"/>
              </w:rPr>
              <w:t xml:space="preserve"> </w:t>
            </w:r>
            <w:r w:rsidRPr="00A607F1">
              <w:rPr>
                <w:rFonts w:ascii="Arial" w:eastAsia="Calibri" w:hAnsi="Arial" w:cs="Arial"/>
                <w:szCs w:val="22"/>
              </w:rPr>
              <w:t>semi-arid climates, where intense solar radiation, low humidity, and pronounced diurnal temperature swings significantly increase thermal loads on the building envelope. In this context, ventilated fa</w:t>
            </w:r>
            <w:r>
              <w:rPr>
                <w:rFonts w:ascii="Arial" w:eastAsia="Calibri" w:hAnsi="Arial" w:cs="Arial"/>
                <w:szCs w:val="22"/>
              </w:rPr>
              <w:t>c</w:t>
            </w:r>
            <w:r w:rsidRPr="00A607F1">
              <w:rPr>
                <w:rFonts w:ascii="Arial" w:eastAsia="Calibri" w:hAnsi="Arial" w:cs="Arial"/>
                <w:szCs w:val="22"/>
              </w:rPr>
              <w:t>ades have emerged as a promising passive strategy capable of reducing heat gain by combining external cladding with a ventilated air cavity. Despite the proven potential of these systems, the literature shows methodological fragmentation and limited evidence specifically focused on warm</w:t>
            </w:r>
            <w:r w:rsidR="00445E04">
              <w:rPr>
                <w:rFonts w:ascii="Arial" w:eastAsia="Calibri" w:hAnsi="Arial" w:cs="Arial"/>
                <w:szCs w:val="22"/>
              </w:rPr>
              <w:t xml:space="preserve"> </w:t>
            </w:r>
            <w:r w:rsidRPr="00A607F1">
              <w:rPr>
                <w:rFonts w:ascii="Arial" w:eastAsia="Calibri" w:hAnsi="Arial" w:cs="Arial"/>
                <w:szCs w:val="22"/>
              </w:rPr>
              <w:t>semi-arid regions, where thermal behavior is strongly driven by transient conditions.</w:t>
            </w:r>
          </w:p>
          <w:p w14:paraId="56F56F88" w14:textId="37F69D92" w:rsidR="00A607F1" w:rsidRPr="00A607F1" w:rsidRDefault="00A607F1" w:rsidP="00A607F1">
            <w:pPr>
              <w:pStyle w:val="Body"/>
              <w:rPr>
                <w:rFonts w:ascii="Arial" w:eastAsia="Calibri" w:hAnsi="Arial" w:cs="Arial"/>
                <w:szCs w:val="22"/>
              </w:rPr>
            </w:pPr>
            <w:r w:rsidRPr="00A607F1">
              <w:rPr>
                <w:rFonts w:ascii="Arial" w:eastAsia="Calibri" w:hAnsi="Arial" w:cs="Arial"/>
                <w:szCs w:val="22"/>
              </w:rPr>
              <w:t>The main objective of this research is to perform a comparative thermal assessment of six ventilated fa</w:t>
            </w:r>
            <w:r w:rsidR="0004123B">
              <w:rPr>
                <w:rFonts w:ascii="Arial" w:eastAsia="Calibri" w:hAnsi="Arial" w:cs="Arial"/>
                <w:szCs w:val="22"/>
              </w:rPr>
              <w:t>c</w:t>
            </w:r>
            <w:r w:rsidRPr="00A607F1">
              <w:rPr>
                <w:rFonts w:ascii="Arial" w:eastAsia="Calibri" w:hAnsi="Arial" w:cs="Arial"/>
                <w:szCs w:val="22"/>
              </w:rPr>
              <w:t>ade configurations generated from the combination of three cladding materials (Dekton, porcelain ceramic, and fiber-cement) and two cavity depths (6 cm and 10 cm). The goal is to identify the relative influence of material properties and cavity geometry under extreme climatic conditions and to establish preliminary design criteria applicable to architectural practice.</w:t>
            </w:r>
          </w:p>
          <w:p w14:paraId="32CDB350" w14:textId="294F7904" w:rsidR="00A607F1" w:rsidRPr="00A607F1" w:rsidRDefault="00A607F1" w:rsidP="00A607F1">
            <w:pPr>
              <w:pStyle w:val="Body"/>
              <w:rPr>
                <w:rFonts w:ascii="Arial" w:eastAsia="Calibri" w:hAnsi="Arial" w:cs="Arial"/>
                <w:szCs w:val="22"/>
              </w:rPr>
            </w:pPr>
            <w:r w:rsidRPr="00A607F1">
              <w:rPr>
                <w:rFonts w:ascii="Arial" w:eastAsia="Calibri" w:hAnsi="Arial" w:cs="Arial"/>
                <w:szCs w:val="22"/>
              </w:rPr>
              <w:t>The methodological approach integrates three components: (</w:t>
            </w:r>
            <w:r w:rsidR="0004123B">
              <w:rPr>
                <w:rFonts w:ascii="Arial" w:eastAsia="Calibri" w:hAnsi="Arial" w:cs="Arial"/>
                <w:szCs w:val="22"/>
              </w:rPr>
              <w:t>1</w:t>
            </w:r>
            <w:r w:rsidRPr="00A607F1">
              <w:rPr>
                <w:rFonts w:ascii="Arial" w:eastAsia="Calibri" w:hAnsi="Arial" w:cs="Arial"/>
                <w:szCs w:val="22"/>
              </w:rPr>
              <w:t>) a selective review of the scientific literature to identify dominant parameters affecting ventilated fa</w:t>
            </w:r>
            <w:r w:rsidR="008B26F5">
              <w:rPr>
                <w:rFonts w:ascii="Arial" w:eastAsia="Calibri" w:hAnsi="Arial" w:cs="Arial"/>
                <w:szCs w:val="22"/>
              </w:rPr>
              <w:t>c</w:t>
            </w:r>
            <w:r w:rsidRPr="00A607F1">
              <w:rPr>
                <w:rFonts w:ascii="Arial" w:eastAsia="Calibri" w:hAnsi="Arial" w:cs="Arial"/>
                <w:szCs w:val="22"/>
              </w:rPr>
              <w:t>ade performance; (</w:t>
            </w:r>
            <w:r w:rsidR="0004123B">
              <w:rPr>
                <w:rFonts w:ascii="Arial" w:eastAsia="Calibri" w:hAnsi="Arial" w:cs="Arial"/>
                <w:szCs w:val="22"/>
              </w:rPr>
              <w:t>2</w:t>
            </w:r>
            <w:r w:rsidRPr="00A607F1">
              <w:rPr>
                <w:rFonts w:ascii="Arial" w:eastAsia="Calibri" w:hAnsi="Arial" w:cs="Arial"/>
                <w:szCs w:val="22"/>
              </w:rPr>
              <w:t>) the construction of an analytical matrix to systematize and prioritize these variables; and (</w:t>
            </w:r>
            <w:r w:rsidR="0004123B">
              <w:rPr>
                <w:rFonts w:ascii="Arial" w:eastAsia="Calibri" w:hAnsi="Arial" w:cs="Arial"/>
                <w:szCs w:val="22"/>
              </w:rPr>
              <w:t>3</w:t>
            </w:r>
            <w:r w:rsidRPr="00A607F1">
              <w:rPr>
                <w:rFonts w:ascii="Arial" w:eastAsia="Calibri" w:hAnsi="Arial" w:cs="Arial"/>
                <w:szCs w:val="22"/>
              </w:rPr>
              <w:t xml:space="preserve">) a simplified thermal modeling procedure based on a one-dimensional series-resistance formulation applied to a southwest-oriented classroom of the Biotechnology Building at the </w:t>
            </w:r>
            <w:r w:rsidR="0004123B">
              <w:rPr>
                <w:rFonts w:ascii="Arial" w:eastAsia="Calibri" w:hAnsi="Arial" w:cs="Arial"/>
                <w:szCs w:val="22"/>
              </w:rPr>
              <w:t>Universidad Aut</w:t>
            </w:r>
            <w:r w:rsidR="00BF2B3D">
              <w:rPr>
                <w:rFonts w:ascii="Arial" w:eastAsia="Calibri" w:hAnsi="Arial" w:cs="Arial"/>
                <w:szCs w:val="22"/>
              </w:rPr>
              <w:t>ó</w:t>
            </w:r>
            <w:r w:rsidR="0004123B">
              <w:rPr>
                <w:rFonts w:ascii="Arial" w:eastAsia="Calibri" w:hAnsi="Arial" w:cs="Arial"/>
                <w:szCs w:val="22"/>
              </w:rPr>
              <w:t>noma de Querétaro</w:t>
            </w:r>
            <w:r w:rsidRPr="00A607F1">
              <w:rPr>
                <w:rFonts w:ascii="Arial" w:eastAsia="Calibri" w:hAnsi="Arial" w:cs="Arial"/>
                <w:szCs w:val="22"/>
              </w:rPr>
              <w:t>. Representative boundary conditions were adopted (T</w:t>
            </w:r>
            <w:r w:rsidRPr="00E95005">
              <w:rPr>
                <w:rFonts w:ascii="Arial" w:eastAsia="Calibri" w:hAnsi="Arial" w:cs="Arial"/>
                <w:i/>
                <w:iCs/>
                <w:szCs w:val="22"/>
              </w:rPr>
              <w:t>ext</w:t>
            </w:r>
            <w:r w:rsidRPr="00A607F1">
              <w:rPr>
                <w:rFonts w:ascii="Arial" w:eastAsia="Calibri" w:hAnsi="Arial" w:cs="Arial"/>
                <w:szCs w:val="22"/>
              </w:rPr>
              <w:t xml:space="preserve"> = 40 °C, T</w:t>
            </w:r>
            <w:r w:rsidRPr="00E95005">
              <w:rPr>
                <w:rFonts w:ascii="Arial" w:eastAsia="Calibri" w:hAnsi="Arial" w:cs="Arial"/>
                <w:i/>
                <w:iCs/>
                <w:szCs w:val="22"/>
              </w:rPr>
              <w:t>int</w:t>
            </w:r>
            <w:r w:rsidRPr="00A607F1">
              <w:rPr>
                <w:rFonts w:ascii="Arial" w:eastAsia="Calibri" w:hAnsi="Arial" w:cs="Arial"/>
                <w:szCs w:val="22"/>
              </w:rPr>
              <w:t xml:space="preserve"> = 26 °C) along with standard convection coefficients for external, internal, and cavity interfaces.</w:t>
            </w:r>
          </w:p>
          <w:p w14:paraId="68F588AB" w14:textId="0119D757" w:rsidR="00814539" w:rsidRPr="00BA1B01" w:rsidRDefault="00A607F1" w:rsidP="00A607F1">
            <w:pPr>
              <w:pStyle w:val="Body"/>
              <w:spacing w:after="0"/>
              <w:rPr>
                <w:rFonts w:ascii="Arial" w:eastAsia="Calibri" w:hAnsi="Arial" w:cs="Arial"/>
                <w:szCs w:val="22"/>
              </w:rPr>
            </w:pPr>
            <w:r w:rsidRPr="00A607F1">
              <w:rPr>
                <w:rFonts w:ascii="Arial" w:eastAsia="Calibri" w:hAnsi="Arial" w:cs="Arial"/>
                <w:szCs w:val="22"/>
              </w:rPr>
              <w:t>Results show that the steady-state heat flux transmitted to the interior remains within a narrow range (≈ 7.9–8.3 W/m²), indicating that cavity ventilation exerts a more dominant effect than cladding conductivity under the adopted assumptions. These findings provide a quantitative foundation for early-stage design decisions in warm</w:t>
            </w:r>
            <w:r w:rsidR="00445E04">
              <w:rPr>
                <w:rFonts w:ascii="Arial" w:eastAsia="Calibri" w:hAnsi="Arial" w:cs="Arial"/>
                <w:szCs w:val="22"/>
              </w:rPr>
              <w:t xml:space="preserve"> </w:t>
            </w:r>
            <w:r w:rsidRPr="00A607F1">
              <w:rPr>
                <w:rFonts w:ascii="Arial" w:eastAsia="Calibri" w:hAnsi="Arial" w:cs="Arial"/>
                <w:szCs w:val="22"/>
              </w:rPr>
              <w:t>semi-arid climates and underline the relevance of cavity depth and insulation in optimizing passive cooling performance.</w:t>
            </w:r>
          </w:p>
        </w:tc>
      </w:tr>
    </w:tbl>
    <w:p w14:paraId="577647D4" w14:textId="77777777" w:rsidR="00636EB2" w:rsidRDefault="00636EB2" w:rsidP="00441B6F">
      <w:pPr>
        <w:pStyle w:val="Body"/>
        <w:spacing w:after="0"/>
        <w:rPr>
          <w:rFonts w:ascii="Arial" w:hAnsi="Arial" w:cs="Arial"/>
          <w:i/>
        </w:rPr>
      </w:pPr>
    </w:p>
    <w:p w14:paraId="6FAE6668" w14:textId="1AE46DF7" w:rsidR="00A24E7E" w:rsidRDefault="00A24E7E" w:rsidP="00441B6F">
      <w:pPr>
        <w:pStyle w:val="Body"/>
        <w:spacing w:after="0"/>
        <w:rPr>
          <w:rFonts w:ascii="Arial" w:hAnsi="Arial" w:cs="Arial"/>
          <w:i/>
        </w:rPr>
      </w:pPr>
      <w:r>
        <w:rPr>
          <w:rFonts w:ascii="Arial" w:hAnsi="Arial" w:cs="Arial"/>
          <w:i/>
        </w:rPr>
        <w:t xml:space="preserve">Keywords: </w:t>
      </w:r>
      <w:r w:rsidR="00814539" w:rsidRPr="00814539">
        <w:rPr>
          <w:rFonts w:ascii="Arial" w:hAnsi="Arial" w:cs="Arial"/>
          <w:i/>
        </w:rPr>
        <w:t>Thermal analysis</w:t>
      </w:r>
      <w:r w:rsidR="00814539">
        <w:rPr>
          <w:rFonts w:ascii="Arial" w:hAnsi="Arial" w:cs="Arial"/>
          <w:i/>
        </w:rPr>
        <w:t>, p</w:t>
      </w:r>
      <w:r w:rsidR="00814539" w:rsidRPr="00814539">
        <w:rPr>
          <w:rFonts w:ascii="Arial" w:hAnsi="Arial" w:cs="Arial"/>
          <w:i/>
        </w:rPr>
        <w:t>arametric design</w:t>
      </w:r>
      <w:r w:rsidR="00814539">
        <w:rPr>
          <w:rFonts w:ascii="Arial" w:hAnsi="Arial" w:cs="Arial"/>
          <w:i/>
        </w:rPr>
        <w:t>, p</w:t>
      </w:r>
      <w:r w:rsidR="00814539" w:rsidRPr="00814539">
        <w:rPr>
          <w:rFonts w:ascii="Arial" w:hAnsi="Arial" w:cs="Arial"/>
          <w:i/>
        </w:rPr>
        <w:t>assive strategies</w:t>
      </w:r>
      <w:r w:rsidR="00814539">
        <w:rPr>
          <w:rFonts w:ascii="Arial" w:hAnsi="Arial" w:cs="Arial"/>
          <w:i/>
        </w:rPr>
        <w:t xml:space="preserve">, </w:t>
      </w:r>
      <w:r w:rsidR="00814539" w:rsidRPr="00814539">
        <w:rPr>
          <w:rFonts w:ascii="Arial" w:hAnsi="Arial" w:cs="Arial"/>
          <w:i/>
        </w:rPr>
        <w:t>energy efficiency</w:t>
      </w:r>
    </w:p>
    <w:p w14:paraId="630AC30D" w14:textId="77777777" w:rsidR="0024282C" w:rsidRDefault="0024282C" w:rsidP="00441B6F">
      <w:pPr>
        <w:pStyle w:val="Body"/>
        <w:spacing w:after="0"/>
        <w:rPr>
          <w:rFonts w:ascii="Arial" w:hAnsi="Arial" w:cs="Arial"/>
          <w:i/>
          <w:sz w:val="18"/>
        </w:rPr>
      </w:pPr>
    </w:p>
    <w:p w14:paraId="630098F1" w14:textId="77777777" w:rsidR="00365D43" w:rsidRDefault="00365D43" w:rsidP="00441B6F">
      <w:pPr>
        <w:pStyle w:val="AbstHead"/>
        <w:spacing w:after="0"/>
        <w:jc w:val="both"/>
        <w:rPr>
          <w:rFonts w:ascii="Arial" w:hAnsi="Arial" w:cs="Arial"/>
        </w:rPr>
      </w:pPr>
    </w:p>
    <w:p w14:paraId="38104B4F" w14:textId="5FB75A6C" w:rsidR="00365D43" w:rsidRDefault="00365D43" w:rsidP="00441B6F">
      <w:pPr>
        <w:pStyle w:val="AbstHead"/>
        <w:spacing w:after="0"/>
        <w:jc w:val="both"/>
        <w:rPr>
          <w:rFonts w:ascii="Arial" w:hAnsi="Arial" w:cs="Arial"/>
        </w:rPr>
      </w:pPr>
      <w:r>
        <w:rPr>
          <w:rFonts w:ascii="Arial" w:hAnsi="Arial" w:cs="Arial"/>
        </w:rPr>
        <w:t>F</w:t>
      </w:r>
      <w:r w:rsidRPr="00365D43">
        <w:rPr>
          <w:rFonts w:ascii="Arial" w:hAnsi="Arial" w:cs="Arial"/>
          <w:caps w:val="0"/>
        </w:rPr>
        <w:t>ig. 1. Effect of external factors on facade behavio</w:t>
      </w:r>
      <w:r>
        <w:rPr>
          <w:rFonts w:ascii="Arial" w:hAnsi="Arial" w:cs="Arial"/>
          <w:caps w:val="0"/>
        </w:rPr>
        <w:t>r</w:t>
      </w:r>
    </w:p>
    <w:p w14:paraId="3AE4732A" w14:textId="77777777" w:rsidR="00365D43" w:rsidRDefault="00365D43" w:rsidP="00441B6F">
      <w:pPr>
        <w:pStyle w:val="AbstHead"/>
        <w:spacing w:after="0"/>
        <w:jc w:val="both"/>
        <w:rPr>
          <w:rFonts w:ascii="Arial" w:hAnsi="Arial" w:cs="Arial"/>
        </w:rPr>
      </w:pPr>
    </w:p>
    <w:p w14:paraId="46647D1C" w14:textId="77777777" w:rsidR="00365D43" w:rsidRDefault="00365D43" w:rsidP="00441B6F">
      <w:pPr>
        <w:pStyle w:val="AbstHead"/>
        <w:spacing w:after="0"/>
        <w:jc w:val="both"/>
        <w:rPr>
          <w:rFonts w:ascii="Arial" w:hAnsi="Arial" w:cs="Arial"/>
        </w:rPr>
      </w:pPr>
    </w:p>
    <w:p w14:paraId="12B92519" w14:textId="77777777" w:rsidR="00365D43" w:rsidRDefault="00365D43" w:rsidP="00441B6F">
      <w:pPr>
        <w:pStyle w:val="AbstHead"/>
        <w:spacing w:after="0"/>
        <w:jc w:val="both"/>
        <w:rPr>
          <w:rFonts w:ascii="Arial" w:hAnsi="Arial" w:cs="Arial"/>
        </w:rPr>
      </w:pPr>
    </w:p>
    <w:p w14:paraId="59985EE8" w14:textId="7A89C78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57DD474" w14:textId="77777777" w:rsidR="00790ADA" w:rsidRPr="00FB3A86" w:rsidRDefault="00790ADA" w:rsidP="00441B6F">
      <w:pPr>
        <w:pStyle w:val="AbstHead"/>
        <w:spacing w:after="0"/>
        <w:jc w:val="both"/>
        <w:rPr>
          <w:rFonts w:ascii="Arial" w:hAnsi="Arial" w:cs="Arial"/>
        </w:rPr>
      </w:pPr>
    </w:p>
    <w:p w14:paraId="7FEAFB21" w14:textId="0F6BAEE8" w:rsidR="008A3BDC" w:rsidRDefault="00DA2556" w:rsidP="0030438A">
      <w:pPr>
        <w:pStyle w:val="Body"/>
        <w:spacing w:after="0"/>
        <w:rPr>
          <w:rFonts w:ascii="Arial" w:hAnsi="Arial" w:cs="Arial"/>
        </w:rPr>
      </w:pPr>
      <w:r w:rsidRPr="00DA2556">
        <w:rPr>
          <w:rFonts w:ascii="Arial" w:hAnsi="Arial" w:cs="Arial"/>
        </w:rPr>
        <w:t xml:space="preserve">The building sector is one of the largest energy consumers worldwide, accounting for nearly 40% of total global demand, primarily driven by cooling and air-conditioning requirements in warm regions </w:t>
      </w:r>
      <w:r w:rsidR="002247DA" w:rsidRPr="002247DA">
        <w:rPr>
          <w:rFonts w:ascii="Arial" w:hAnsi="Arial" w:cs="Arial"/>
        </w:rPr>
        <w:t>(De Gracia et al., 2013).</w:t>
      </w:r>
    </w:p>
    <w:p w14:paraId="4ABBC31C" w14:textId="77777777" w:rsidR="002247DA" w:rsidRDefault="002247DA" w:rsidP="0030438A">
      <w:pPr>
        <w:pStyle w:val="Body"/>
        <w:spacing w:after="0"/>
        <w:rPr>
          <w:rFonts w:ascii="Arial" w:hAnsi="Arial" w:cs="Arial"/>
        </w:rPr>
      </w:pPr>
    </w:p>
    <w:p w14:paraId="1AB92386" w14:textId="172A2088" w:rsidR="002247DA" w:rsidRDefault="00A432FA" w:rsidP="0030438A">
      <w:pPr>
        <w:pStyle w:val="Body"/>
        <w:spacing w:after="0"/>
        <w:rPr>
          <w:rFonts w:ascii="Arial" w:hAnsi="Arial" w:cs="Arial"/>
        </w:rPr>
      </w:pPr>
      <w:r>
        <w:rPr>
          <w:rFonts w:ascii="Arial" w:hAnsi="Arial" w:cs="Arial"/>
          <w:noProof/>
        </w:rPr>
        <w:drawing>
          <wp:anchor distT="0" distB="0" distL="114300" distR="114300" simplePos="0" relativeHeight="251681792" behindDoc="0" locked="0" layoutInCell="1" allowOverlap="1" wp14:anchorId="43998D09" wp14:editId="77DEAFE0">
            <wp:simplePos x="1276709" y="2622430"/>
            <wp:positionH relativeFrom="margin">
              <wp:align>center</wp:align>
            </wp:positionH>
            <wp:positionV relativeFrom="margin">
              <wp:align>center</wp:align>
            </wp:positionV>
            <wp:extent cx="2855961" cy="2665563"/>
            <wp:effectExtent l="0" t="0" r="0" b="0"/>
            <wp:wrapTopAndBottom/>
            <wp:docPr id="9503470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347006" name="Imagen 950347006"/>
                    <pic:cNvPicPr/>
                  </pic:nvPicPr>
                  <pic:blipFill rotWithShape="1">
                    <a:blip r:embed="rId14" cstate="print">
                      <a:extLst>
                        <a:ext uri="{28A0092B-C50C-407E-A947-70E740481C1C}">
                          <a14:useLocalDpi xmlns:a14="http://schemas.microsoft.com/office/drawing/2010/main" val="0"/>
                        </a:ext>
                      </a:extLst>
                    </a:blip>
                    <a:srcRect l="11390" t="5930" r="21837" b="5859"/>
                    <a:stretch>
                      <a:fillRect/>
                    </a:stretch>
                  </pic:blipFill>
                  <pic:spPr bwMode="auto">
                    <a:xfrm>
                      <a:off x="0" y="0"/>
                      <a:ext cx="2855961" cy="2665563"/>
                    </a:xfrm>
                    <a:prstGeom prst="rect">
                      <a:avLst/>
                    </a:prstGeom>
                    <a:ln>
                      <a:noFill/>
                    </a:ln>
                    <a:extLst>
                      <a:ext uri="{53640926-AAD7-44D8-BBD7-CCE9431645EC}">
                        <a14:shadowObscured xmlns:a14="http://schemas.microsoft.com/office/drawing/2010/main"/>
                      </a:ext>
                    </a:extLst>
                  </pic:spPr>
                </pic:pic>
              </a:graphicData>
            </a:graphic>
          </wp:anchor>
        </w:drawing>
      </w:r>
      <w:r w:rsidR="00A5334D" w:rsidRPr="00A5334D">
        <w:rPr>
          <w:rFonts w:ascii="Arial" w:hAnsi="Arial" w:cs="Arial"/>
          <w:noProof/>
        </w:rPr>
        <w:t>This challenge becomes more pronounced in warm</w:t>
      </w:r>
      <w:r w:rsidR="002D411F">
        <w:rPr>
          <w:rFonts w:ascii="Arial" w:hAnsi="Arial" w:cs="Arial"/>
          <w:noProof/>
        </w:rPr>
        <w:t xml:space="preserve"> </w:t>
      </w:r>
      <w:r w:rsidR="00A5334D" w:rsidRPr="00A5334D">
        <w:rPr>
          <w:rFonts w:ascii="Arial" w:hAnsi="Arial" w:cs="Arial"/>
          <w:noProof/>
        </w:rPr>
        <w:t>semi-arid climates, where the combination of high solar radiation, low humidity, and significant diurnal temperature fluctuations substantially increases cooling loads. As illustrated in Fig. 1, these environmental conditions highlight the need for passive systems capable of mitigating external thermal stresses on conventional fa</w:t>
      </w:r>
      <w:r w:rsidR="00A5334D">
        <w:rPr>
          <w:rFonts w:ascii="Arial" w:hAnsi="Arial" w:cs="Arial"/>
          <w:noProof/>
        </w:rPr>
        <w:t>c</w:t>
      </w:r>
      <w:r w:rsidR="00A5334D" w:rsidRPr="00A5334D">
        <w:rPr>
          <w:rFonts w:ascii="Arial" w:hAnsi="Arial" w:cs="Arial"/>
          <w:noProof/>
        </w:rPr>
        <w:t>ade assemblies.</w:t>
      </w:r>
    </w:p>
    <w:p w14:paraId="76F3D00A" w14:textId="29B4B942" w:rsidR="00814539" w:rsidRDefault="00805741" w:rsidP="00814539">
      <w:pPr>
        <w:pStyle w:val="Descripcin"/>
        <w:jc w:val="center"/>
        <w:rPr>
          <w:rFonts w:ascii="Arial" w:hAnsi="Arial" w:cs="Arial"/>
          <w:b/>
          <w:bCs/>
          <w:color w:val="000000" w:themeColor="text1"/>
          <w:sz w:val="20"/>
          <w:szCs w:val="20"/>
        </w:rPr>
      </w:pPr>
      <w:r w:rsidRPr="00805741">
        <w:rPr>
          <w:rFonts w:ascii="Arial" w:hAnsi="Arial" w:cs="Arial"/>
          <w:b/>
          <w:bCs/>
          <w:color w:val="000000" w:themeColor="text1"/>
          <w:sz w:val="20"/>
          <w:szCs w:val="20"/>
        </w:rPr>
        <w:t>Fig. 1. Effect of external factors on facade behavior</w:t>
      </w:r>
    </w:p>
    <w:p w14:paraId="7CB38E55" w14:textId="3B832640" w:rsidR="00651E72" w:rsidRDefault="00A5334D" w:rsidP="00814539">
      <w:pPr>
        <w:pStyle w:val="Descripcin"/>
        <w:jc w:val="both"/>
        <w:rPr>
          <w:rFonts w:ascii="Arial" w:hAnsi="Arial" w:cs="Arial"/>
          <w:i w:val="0"/>
          <w:iCs w:val="0"/>
          <w:color w:val="auto"/>
          <w:sz w:val="20"/>
          <w:szCs w:val="20"/>
        </w:rPr>
      </w:pPr>
      <w:r w:rsidRPr="00A5334D">
        <w:rPr>
          <w:rFonts w:ascii="Arial" w:hAnsi="Arial" w:cs="Arial"/>
          <w:i w:val="0"/>
          <w:iCs w:val="0"/>
          <w:color w:val="auto"/>
          <w:sz w:val="20"/>
          <w:szCs w:val="20"/>
        </w:rPr>
        <w:t xml:space="preserve">In such contexts, the building envelope plays a decisive role in controlling heat gains, and the appropriate selection of materials and passive strategies can significantly reduce energy consumption. In response to these challenges, architecture and engineering have promoted the development of passive systems aimed at improving the thermal performance of building envelopes. Among these strategies, ventilated facades have demonstrated strong potential to reduce heat transfer toward the interior and to harness the stack effect within the air cavity </w:t>
      </w:r>
      <w:r w:rsidR="00651E72" w:rsidRPr="00651E72">
        <w:rPr>
          <w:rFonts w:ascii="Arial" w:hAnsi="Arial" w:cs="Arial"/>
          <w:i w:val="0"/>
          <w:iCs w:val="0"/>
          <w:color w:val="auto"/>
          <w:sz w:val="20"/>
          <w:szCs w:val="20"/>
        </w:rPr>
        <w:t>(Schabowicz &amp; Zawiślak, 2020).</w:t>
      </w:r>
    </w:p>
    <w:p w14:paraId="7B25F372" w14:textId="31B5B3F9" w:rsidR="00651E72" w:rsidRDefault="003E4FD7" w:rsidP="00814539">
      <w:pPr>
        <w:pStyle w:val="Descripcin"/>
        <w:jc w:val="both"/>
        <w:rPr>
          <w:rFonts w:ascii="Arial" w:hAnsi="Arial" w:cs="Arial"/>
          <w:i w:val="0"/>
          <w:iCs w:val="0"/>
          <w:color w:val="auto"/>
          <w:sz w:val="20"/>
          <w:szCs w:val="20"/>
        </w:rPr>
      </w:pPr>
      <w:r w:rsidRPr="003E4FD7">
        <w:rPr>
          <w:rFonts w:ascii="Arial" w:hAnsi="Arial" w:cs="Arial"/>
          <w:i w:val="0"/>
          <w:iCs w:val="0"/>
          <w:color w:val="auto"/>
          <w:sz w:val="20"/>
          <w:szCs w:val="20"/>
        </w:rPr>
        <w:t xml:space="preserve">This multilayer system incorporates an exterior cladding, a structural support, and an air cavity positioned in front of the traditional wall assembly, as shown in Fig. 2. This configuration facilitates the upward movement of heated air within the cavity, promoting its evacuation and allowing the entry of cooler air, which helps buffer solar loads and stabilize the interior surface temperature </w:t>
      </w:r>
      <w:r w:rsidR="00651E72" w:rsidRPr="00651E72">
        <w:rPr>
          <w:rFonts w:ascii="Arial" w:hAnsi="Arial" w:cs="Arial"/>
          <w:i w:val="0"/>
          <w:iCs w:val="0"/>
          <w:color w:val="auto"/>
          <w:sz w:val="20"/>
          <w:szCs w:val="20"/>
        </w:rPr>
        <w:t>(Pizzatto et al., 2025).</w:t>
      </w:r>
    </w:p>
    <w:p w14:paraId="441304F8" w14:textId="77777777" w:rsidR="001812CE" w:rsidRDefault="001812CE" w:rsidP="001812CE">
      <w:pPr>
        <w:pStyle w:val="Descripcin"/>
        <w:jc w:val="center"/>
        <w:rPr>
          <w:rFonts w:ascii="Arial" w:hAnsi="Arial" w:cs="Arial"/>
          <w:b/>
          <w:bCs/>
          <w:color w:val="000000" w:themeColor="text1"/>
          <w:sz w:val="20"/>
          <w:szCs w:val="20"/>
        </w:rPr>
      </w:pPr>
    </w:p>
    <w:p w14:paraId="66B5B83B" w14:textId="1C473FA5" w:rsidR="001812CE" w:rsidRDefault="00A432FA" w:rsidP="001812CE">
      <w:pPr>
        <w:pStyle w:val="Descripcin"/>
        <w:jc w:val="center"/>
        <w:rPr>
          <w:rFonts w:ascii="Arial" w:hAnsi="Arial" w:cs="Arial"/>
          <w:i w:val="0"/>
          <w:iCs w:val="0"/>
          <w:color w:val="auto"/>
          <w:sz w:val="20"/>
          <w:szCs w:val="20"/>
        </w:rPr>
      </w:pPr>
      <w:r>
        <w:rPr>
          <w:rFonts w:ascii="Arial" w:hAnsi="Arial" w:cs="Arial"/>
          <w:noProof/>
          <w:sz w:val="24"/>
          <w:szCs w:val="24"/>
        </w:rPr>
        <w:lastRenderedPageBreak/>
        <w:drawing>
          <wp:anchor distT="0" distB="0" distL="114300" distR="114300" simplePos="0" relativeHeight="251682816" behindDoc="0" locked="0" layoutInCell="1" allowOverlap="1" wp14:anchorId="492CBA8E" wp14:editId="6C89A729">
            <wp:simplePos x="1543792" y="1460665"/>
            <wp:positionH relativeFrom="margin">
              <wp:align>center</wp:align>
            </wp:positionH>
            <wp:positionV relativeFrom="margin">
              <wp:align>top</wp:align>
            </wp:positionV>
            <wp:extent cx="3243944" cy="2220686"/>
            <wp:effectExtent l="0" t="0" r="0" b="0"/>
            <wp:wrapTopAndBottom/>
            <wp:docPr id="20761336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33663" name="Imagen 2076133663"/>
                    <pic:cNvPicPr/>
                  </pic:nvPicPr>
                  <pic:blipFill rotWithShape="1">
                    <a:blip r:embed="rId15" cstate="print">
                      <a:extLst>
                        <a:ext uri="{28A0092B-C50C-407E-A947-70E740481C1C}">
                          <a14:useLocalDpi xmlns:a14="http://schemas.microsoft.com/office/drawing/2010/main" val="0"/>
                        </a:ext>
                      </a:extLst>
                    </a:blip>
                    <a:srcRect l="8929" t="13559" r="10874" b="8735"/>
                    <a:stretch>
                      <a:fillRect/>
                    </a:stretch>
                  </pic:blipFill>
                  <pic:spPr bwMode="auto">
                    <a:xfrm>
                      <a:off x="0" y="0"/>
                      <a:ext cx="3243944" cy="2220686"/>
                    </a:xfrm>
                    <a:prstGeom prst="rect">
                      <a:avLst/>
                    </a:prstGeom>
                    <a:ln>
                      <a:noFill/>
                    </a:ln>
                    <a:extLst>
                      <a:ext uri="{53640926-AAD7-44D8-BBD7-CCE9431645EC}">
                        <a14:shadowObscured xmlns:a14="http://schemas.microsoft.com/office/drawing/2010/main"/>
                      </a:ext>
                    </a:extLst>
                  </pic:spPr>
                </pic:pic>
              </a:graphicData>
            </a:graphic>
          </wp:anchor>
        </w:drawing>
      </w:r>
      <w:r w:rsidR="001812CE">
        <w:rPr>
          <w:rFonts w:ascii="Arial" w:hAnsi="Arial" w:cs="Arial"/>
          <w:b/>
          <w:bCs/>
          <w:color w:val="000000" w:themeColor="text1"/>
          <w:sz w:val="20"/>
          <w:szCs w:val="20"/>
        </w:rPr>
        <w:t xml:space="preserve">Fig. 2. </w:t>
      </w:r>
      <w:r w:rsidR="001812CE" w:rsidRPr="00077E3A">
        <w:rPr>
          <w:rFonts w:ascii="Arial" w:hAnsi="Arial" w:cs="Arial"/>
          <w:b/>
          <w:bCs/>
          <w:color w:val="000000" w:themeColor="text1"/>
          <w:sz w:val="20"/>
          <w:szCs w:val="20"/>
        </w:rPr>
        <w:t>Components and configuration of a ventilated facade system</w:t>
      </w:r>
    </w:p>
    <w:p w14:paraId="461F0FB4" w14:textId="487B068D" w:rsidR="008A3BDC" w:rsidRDefault="003E4FD7" w:rsidP="0030438A">
      <w:pPr>
        <w:pStyle w:val="Body"/>
        <w:spacing w:after="0"/>
        <w:rPr>
          <w:rFonts w:ascii="Arial" w:hAnsi="Arial" w:cs="Arial"/>
        </w:rPr>
      </w:pPr>
      <w:r w:rsidRPr="003E4FD7">
        <w:rPr>
          <w:rFonts w:ascii="Arial" w:hAnsi="Arial" w:cs="Arial"/>
        </w:rPr>
        <w:t xml:space="preserve">Ventilated facades have proven to be a high-performance strategy for both new construction and retrofitting, increasing the thermal resistance of the envelope and reducing overheating risks (Colinart et al., 2019). Their effectiveness depends on the interaction of several factors, including the thermo-optical properties of the cladding, the geometry of the air cavity, the natural ventilation regime, and the prevailing climatic conditions </w:t>
      </w:r>
      <w:r w:rsidR="00651E72" w:rsidRPr="008153E9">
        <w:rPr>
          <w:rFonts w:ascii="Arial" w:hAnsi="Arial" w:cs="Arial"/>
        </w:rPr>
        <w:t>(El Dallal et al., 2024).</w:t>
      </w:r>
    </w:p>
    <w:p w14:paraId="120B7727" w14:textId="77777777" w:rsidR="00175B78" w:rsidRDefault="00175B78" w:rsidP="0030438A">
      <w:pPr>
        <w:pStyle w:val="Body"/>
        <w:spacing w:after="0"/>
        <w:rPr>
          <w:rFonts w:ascii="Arial" w:hAnsi="Arial" w:cs="Arial"/>
        </w:rPr>
      </w:pPr>
    </w:p>
    <w:p w14:paraId="24007735" w14:textId="5DD0F75C" w:rsidR="00651E72" w:rsidRDefault="003E4FD7" w:rsidP="0030438A">
      <w:pPr>
        <w:pStyle w:val="Body"/>
        <w:spacing w:after="0"/>
        <w:rPr>
          <w:rFonts w:ascii="Arial" w:hAnsi="Arial" w:cs="Arial"/>
        </w:rPr>
      </w:pPr>
      <w:r w:rsidRPr="003E4FD7">
        <w:rPr>
          <w:rFonts w:ascii="Arial" w:hAnsi="Arial" w:cs="Arial"/>
        </w:rPr>
        <w:t>Recent studies from diverse climatic regions confirm that a well-designed ventilated fa</w:t>
      </w:r>
      <w:r w:rsidR="00A432FA">
        <w:rPr>
          <w:rFonts w:ascii="Arial" w:hAnsi="Arial" w:cs="Arial"/>
        </w:rPr>
        <w:t>c</w:t>
      </w:r>
      <w:r w:rsidRPr="003E4FD7">
        <w:rPr>
          <w:rFonts w:ascii="Arial" w:hAnsi="Arial" w:cs="Arial"/>
        </w:rPr>
        <w:t>ade can reduce thermal loads by approximately 20% to 55%, depending on orientation, cavity depth, and the material used (Hosseini et al., 2025; Farzaneh et al., 2024).</w:t>
      </w:r>
    </w:p>
    <w:p w14:paraId="18E409E8" w14:textId="77777777" w:rsidR="003E4FD7" w:rsidRDefault="003E4FD7" w:rsidP="0030438A">
      <w:pPr>
        <w:pStyle w:val="Body"/>
        <w:spacing w:after="0"/>
        <w:rPr>
          <w:rFonts w:ascii="Arial" w:hAnsi="Arial" w:cs="Arial"/>
        </w:rPr>
      </w:pPr>
    </w:p>
    <w:p w14:paraId="6444F1D0" w14:textId="67DF037B" w:rsidR="00195B76" w:rsidRDefault="004B0D4D" w:rsidP="008A3BDC">
      <w:pPr>
        <w:pStyle w:val="Body"/>
        <w:spacing w:after="0"/>
        <w:rPr>
          <w:rFonts w:ascii="Arial" w:hAnsi="Arial" w:cs="Arial"/>
        </w:rPr>
      </w:pPr>
      <w:r w:rsidRPr="004B0D4D">
        <w:rPr>
          <w:rFonts w:ascii="Arial" w:hAnsi="Arial" w:cs="Arial"/>
        </w:rPr>
        <w:t xml:space="preserve">Despite these advances, </w:t>
      </w:r>
      <w:r w:rsidR="00A432FA" w:rsidRPr="004B0D4D">
        <w:rPr>
          <w:rFonts w:ascii="Arial" w:hAnsi="Arial" w:cs="Arial"/>
        </w:rPr>
        <w:t>specialized</w:t>
      </w:r>
      <w:r w:rsidRPr="004B0D4D">
        <w:rPr>
          <w:rFonts w:ascii="Arial" w:hAnsi="Arial" w:cs="Arial"/>
        </w:rPr>
        <w:t xml:space="preserve"> literature reveals important gaps. First, most studies focus on temperate, Mediterranean, or humid climates, while evidence for warm</w:t>
      </w:r>
      <w:r w:rsidR="00445E04">
        <w:rPr>
          <w:rFonts w:ascii="Arial" w:hAnsi="Arial" w:cs="Arial"/>
        </w:rPr>
        <w:t xml:space="preserve"> </w:t>
      </w:r>
      <w:r w:rsidRPr="004B0D4D">
        <w:rPr>
          <w:rFonts w:ascii="Arial" w:hAnsi="Arial" w:cs="Arial"/>
        </w:rPr>
        <w:t xml:space="preserve">semi-arid regions </w:t>
      </w:r>
      <w:r w:rsidR="00A432FA" w:rsidRPr="004B0D4D">
        <w:rPr>
          <w:rFonts w:ascii="Arial" w:hAnsi="Arial" w:cs="Arial"/>
        </w:rPr>
        <w:t>remain</w:t>
      </w:r>
      <w:r w:rsidRPr="004B0D4D">
        <w:rPr>
          <w:rFonts w:ascii="Arial" w:hAnsi="Arial" w:cs="Arial"/>
        </w:rPr>
        <w:t xml:space="preserve"> limited (Chatbi &amp; Zouaoui, 2022), hindering the development of reliable design guidelines for areas with high solar radiation.</w:t>
      </w:r>
    </w:p>
    <w:p w14:paraId="5E4B19FA" w14:textId="77777777" w:rsidR="004B0D4D" w:rsidRPr="00DC2990" w:rsidRDefault="004B0D4D" w:rsidP="008A3BDC">
      <w:pPr>
        <w:pStyle w:val="Body"/>
        <w:spacing w:after="0"/>
        <w:rPr>
          <w:rFonts w:ascii="Arial" w:hAnsi="Arial" w:cs="Arial"/>
        </w:rPr>
      </w:pPr>
    </w:p>
    <w:p w14:paraId="75F96140" w14:textId="34065CFC" w:rsidR="00651E72" w:rsidRDefault="004B0D4D" w:rsidP="008A3BDC">
      <w:pPr>
        <w:pStyle w:val="Body"/>
        <w:spacing w:after="0"/>
        <w:rPr>
          <w:rFonts w:ascii="Arial" w:hAnsi="Arial" w:cs="Arial"/>
        </w:rPr>
      </w:pPr>
      <w:r w:rsidRPr="004B0D4D">
        <w:rPr>
          <w:rFonts w:ascii="Arial" w:hAnsi="Arial" w:cs="Arial"/>
        </w:rPr>
        <w:t>Second, there is substantial methodological fragmentation: some works rely exclusively on three-dimensional CFD models, while others use dynamic simulations or experimental testing, making cross-comparison difficult</w:t>
      </w:r>
      <w:r>
        <w:rPr>
          <w:rFonts w:ascii="Arial" w:hAnsi="Arial" w:cs="Arial"/>
        </w:rPr>
        <w:t xml:space="preserve">. </w:t>
      </w:r>
      <w:r w:rsidRPr="004B0D4D">
        <w:rPr>
          <w:rFonts w:ascii="Arial" w:hAnsi="Arial" w:cs="Arial"/>
        </w:rPr>
        <w:t>This methodological inconsistency underscores the lack of evidence-based guidelines that clearly identify which ventilated fa</w:t>
      </w:r>
      <w:r w:rsidR="008B26F5">
        <w:rPr>
          <w:rFonts w:ascii="Arial" w:hAnsi="Arial" w:cs="Arial"/>
        </w:rPr>
        <w:t>c</w:t>
      </w:r>
      <w:r w:rsidRPr="004B0D4D">
        <w:rPr>
          <w:rFonts w:ascii="Arial" w:hAnsi="Arial" w:cs="Arial"/>
        </w:rPr>
        <w:t>ade configurations are most effective under warm</w:t>
      </w:r>
      <w:r w:rsidR="00445E04">
        <w:rPr>
          <w:rFonts w:ascii="Arial" w:hAnsi="Arial" w:cs="Arial"/>
        </w:rPr>
        <w:t xml:space="preserve"> </w:t>
      </w:r>
      <w:r w:rsidRPr="004B0D4D">
        <w:rPr>
          <w:rFonts w:ascii="Arial" w:hAnsi="Arial" w:cs="Arial"/>
        </w:rPr>
        <w:t>semi-arid conditions.</w:t>
      </w:r>
    </w:p>
    <w:p w14:paraId="5544DBE7" w14:textId="77777777" w:rsidR="004B0D4D" w:rsidRPr="008A3BDC" w:rsidRDefault="004B0D4D" w:rsidP="008A3BDC">
      <w:pPr>
        <w:pStyle w:val="Body"/>
        <w:spacing w:after="0"/>
        <w:rPr>
          <w:rFonts w:ascii="Arial" w:hAnsi="Arial" w:cs="Arial"/>
        </w:rPr>
      </w:pPr>
    </w:p>
    <w:p w14:paraId="35444CB3" w14:textId="2C3E8917" w:rsidR="008F51DB" w:rsidRDefault="009A78FC" w:rsidP="008A3BDC">
      <w:pPr>
        <w:pStyle w:val="Body"/>
        <w:spacing w:after="0"/>
        <w:rPr>
          <w:rFonts w:ascii="Arial" w:hAnsi="Arial" w:cs="Arial"/>
        </w:rPr>
      </w:pPr>
      <w:r w:rsidRPr="009A78FC">
        <w:rPr>
          <w:rFonts w:ascii="Arial" w:hAnsi="Arial" w:cs="Arial"/>
        </w:rPr>
        <w:t>Additionally, there is a notable disconnect between academic findings and practical design criteria, generating uncertainty among architects, engineers, and builders. The sector requires simple, comparative, and evidence-based tools to support the selection of cladding materials, cavity depths, and fa</w:t>
      </w:r>
      <w:r>
        <w:rPr>
          <w:rFonts w:ascii="Arial" w:hAnsi="Arial" w:cs="Arial"/>
        </w:rPr>
        <w:t>c</w:t>
      </w:r>
      <w:r w:rsidRPr="009A78FC">
        <w:rPr>
          <w:rFonts w:ascii="Arial" w:hAnsi="Arial" w:cs="Arial"/>
        </w:rPr>
        <w:t>ade configurations according to building type (residential, institutional, or industrial) and local climatic conditions. The absence of synthetic, decision-oriented methodologies limits the effective adoption of ventilated fa</w:t>
      </w:r>
      <w:r w:rsidR="008B26F5">
        <w:rPr>
          <w:rFonts w:ascii="Arial" w:hAnsi="Arial" w:cs="Arial"/>
        </w:rPr>
        <w:t>c</w:t>
      </w:r>
      <w:r w:rsidRPr="009A78FC">
        <w:rPr>
          <w:rFonts w:ascii="Arial" w:hAnsi="Arial" w:cs="Arial"/>
        </w:rPr>
        <w:t>ade systems and often results in design choices driven more by intuition than by quantitative evidence.</w:t>
      </w:r>
    </w:p>
    <w:p w14:paraId="067F98ED" w14:textId="77777777" w:rsidR="009205AB" w:rsidRDefault="009205AB" w:rsidP="008A3BDC">
      <w:pPr>
        <w:pStyle w:val="Body"/>
        <w:spacing w:after="0"/>
        <w:rPr>
          <w:rFonts w:ascii="Arial" w:hAnsi="Arial" w:cs="Arial"/>
        </w:rPr>
      </w:pPr>
    </w:p>
    <w:p w14:paraId="5690CA98" w14:textId="59566932" w:rsidR="009205AB" w:rsidRDefault="009205AB" w:rsidP="008A3BDC">
      <w:pPr>
        <w:pStyle w:val="Body"/>
        <w:spacing w:after="0"/>
        <w:rPr>
          <w:rFonts w:ascii="Arial" w:hAnsi="Arial" w:cs="Arial"/>
        </w:rPr>
      </w:pPr>
      <w:r w:rsidRPr="009205AB">
        <w:rPr>
          <w:rFonts w:ascii="Arial" w:hAnsi="Arial" w:cs="Arial"/>
        </w:rPr>
        <w:t>Parallel to these gaps, recent research on multigeneration systems has emphasized the importance of thermal management as a key strategy for improving overall energy efficiency in buildings. Eyvazi (2025) demonstrated that integrating heat-recovery mechanisms within multienergy systems can achieve efficiencies above 21%, highlighting the value of utilizing residual heat to reduce electrical cooling demand.</w:t>
      </w:r>
      <w:r>
        <w:rPr>
          <w:rFonts w:ascii="Arial" w:hAnsi="Arial" w:cs="Arial"/>
        </w:rPr>
        <w:t xml:space="preserve"> </w:t>
      </w:r>
      <w:r w:rsidRPr="009205AB">
        <w:rPr>
          <w:rFonts w:ascii="Arial" w:hAnsi="Arial" w:cs="Arial"/>
        </w:rPr>
        <w:t>Likewise, Eyvazi et al. (2025) presented a geothermal-based multigeneration system achieving exergy efficiencies of 53% and significantly reduced energy costs through advanced pre-cooling techniques.</w:t>
      </w:r>
    </w:p>
    <w:p w14:paraId="3CEFCBC5" w14:textId="3CCEED06" w:rsidR="009205AB" w:rsidRDefault="009205AB" w:rsidP="008A3BDC">
      <w:pPr>
        <w:pStyle w:val="Body"/>
        <w:spacing w:after="0"/>
        <w:rPr>
          <w:rFonts w:ascii="Arial" w:hAnsi="Arial" w:cs="Arial"/>
        </w:rPr>
      </w:pPr>
    </w:p>
    <w:p w14:paraId="193373CB" w14:textId="754FEACD" w:rsidR="009205AB" w:rsidRDefault="009205AB" w:rsidP="008A3BDC">
      <w:pPr>
        <w:pStyle w:val="Body"/>
        <w:spacing w:after="0"/>
        <w:rPr>
          <w:rFonts w:ascii="Arial" w:hAnsi="Arial" w:cs="Arial"/>
        </w:rPr>
      </w:pPr>
      <w:r w:rsidRPr="009205AB">
        <w:rPr>
          <w:rFonts w:ascii="Arial" w:hAnsi="Arial" w:cs="Arial"/>
        </w:rPr>
        <w:t>Although these studies belong to the domain of energy conversion, their conclusions reinforce a principle directly applicable to ventilated facades: optimizing heat flow—whether through active recovery or passive strategies such as ventilated cavities—is essential to enhancing energy performance in warm</w:t>
      </w:r>
      <w:r w:rsidR="00445E04">
        <w:rPr>
          <w:rFonts w:ascii="Arial" w:hAnsi="Arial" w:cs="Arial"/>
        </w:rPr>
        <w:t xml:space="preserve"> </w:t>
      </w:r>
      <w:r w:rsidRPr="009205AB">
        <w:rPr>
          <w:rFonts w:ascii="Arial" w:hAnsi="Arial" w:cs="Arial"/>
        </w:rPr>
        <w:t>semi-arid climates. In this sense, ventilated facades can be viewed as the passive counterpart of this broader thermal-management paradigm.</w:t>
      </w:r>
    </w:p>
    <w:p w14:paraId="5BCC7856" w14:textId="17A69430" w:rsidR="009A78FC" w:rsidRDefault="009A78FC" w:rsidP="008A3BDC">
      <w:pPr>
        <w:pStyle w:val="Body"/>
        <w:spacing w:after="0"/>
        <w:rPr>
          <w:rFonts w:ascii="Arial" w:hAnsi="Arial" w:cs="Arial"/>
        </w:rPr>
      </w:pPr>
    </w:p>
    <w:p w14:paraId="2DDF7503" w14:textId="66A91EC7" w:rsidR="008F51DB" w:rsidRDefault="00651E72" w:rsidP="008F51DB">
      <w:pPr>
        <w:pStyle w:val="Body"/>
        <w:spacing w:after="0"/>
        <w:rPr>
          <w:rFonts w:ascii="Arial" w:hAnsi="Arial" w:cs="Arial"/>
        </w:rPr>
      </w:pPr>
      <w:r w:rsidRPr="00651E72">
        <w:rPr>
          <w:rFonts w:ascii="Arial" w:hAnsi="Arial" w:cs="Arial"/>
        </w:rPr>
        <w:t xml:space="preserve">To address these limitations, this article proposes the development of a conceptual framework—namely, a methodology that integrates modeling and the creation of a synthesis tool. </w:t>
      </w:r>
      <w:r w:rsidR="00B7663E" w:rsidRPr="00B7663E">
        <w:rPr>
          <w:rFonts w:ascii="Arial" w:hAnsi="Arial" w:cs="Arial"/>
        </w:rPr>
        <w:t>The sector requires simple, comparative, and evidence-based tools that support the selection of cladding materials, cavity depths, and fa</w:t>
      </w:r>
      <w:r w:rsidR="001A4DB4">
        <w:rPr>
          <w:rFonts w:ascii="Arial" w:hAnsi="Arial" w:cs="Arial"/>
        </w:rPr>
        <w:t>c</w:t>
      </w:r>
      <w:r w:rsidR="00B7663E" w:rsidRPr="00B7663E">
        <w:rPr>
          <w:rFonts w:ascii="Arial" w:hAnsi="Arial" w:cs="Arial"/>
        </w:rPr>
        <w:t>ade configurations according to the building type (residential, institutional, or industrial) and the specific climatic context. The absence of synthetic, decision-oriented methodologies limits the effective adoption of ventilated fa</w:t>
      </w:r>
      <w:r w:rsidR="00B7663E">
        <w:rPr>
          <w:rFonts w:ascii="Arial" w:hAnsi="Arial" w:cs="Arial"/>
        </w:rPr>
        <w:t>c</w:t>
      </w:r>
      <w:r w:rsidR="00B7663E" w:rsidRPr="00B7663E">
        <w:rPr>
          <w:rFonts w:ascii="Arial" w:hAnsi="Arial" w:cs="Arial"/>
        </w:rPr>
        <w:t>ades and often results in design choices driven by intuition rather than quantitative evidence.</w:t>
      </w:r>
    </w:p>
    <w:p w14:paraId="44BC0939" w14:textId="0FDFB63C" w:rsidR="00D27C87" w:rsidRDefault="00D27C87" w:rsidP="008F51DB">
      <w:pPr>
        <w:pStyle w:val="Body"/>
        <w:spacing w:after="0"/>
        <w:rPr>
          <w:rFonts w:ascii="Arial" w:hAnsi="Arial" w:cs="Arial"/>
        </w:rPr>
      </w:pPr>
    </w:p>
    <w:p w14:paraId="1A4787D3" w14:textId="145EE24F" w:rsidR="00844252" w:rsidRDefault="00A432FA" w:rsidP="00844252">
      <w:pPr>
        <w:pStyle w:val="Body"/>
        <w:spacing w:after="0"/>
        <w:rPr>
          <w:rFonts w:ascii="Arial" w:hAnsi="Arial" w:cs="Arial"/>
        </w:rPr>
      </w:pPr>
      <w:r>
        <w:rPr>
          <w:rFonts w:ascii="Arial" w:hAnsi="Arial" w:cs="Arial"/>
          <w:noProof/>
          <w:sz w:val="24"/>
          <w:szCs w:val="24"/>
        </w:rPr>
        <w:drawing>
          <wp:anchor distT="0" distB="0" distL="114300" distR="114300" simplePos="0" relativeHeight="251666432" behindDoc="0" locked="0" layoutInCell="1" allowOverlap="1" wp14:anchorId="1203D4FE" wp14:editId="010D0BC8">
            <wp:simplePos x="0" y="0"/>
            <wp:positionH relativeFrom="margin">
              <wp:posOffset>1653424</wp:posOffset>
            </wp:positionH>
            <wp:positionV relativeFrom="margin">
              <wp:posOffset>3277589</wp:posOffset>
            </wp:positionV>
            <wp:extent cx="2238375" cy="2976880"/>
            <wp:effectExtent l="0" t="0" r="0" b="0"/>
            <wp:wrapTopAndBottom/>
            <wp:docPr id="131217515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75155" name="Imagen 1312175155"/>
                    <pic:cNvPicPr/>
                  </pic:nvPicPr>
                  <pic:blipFill rotWithShape="1">
                    <a:blip r:embed="rId16" cstate="print">
                      <a:extLst>
                        <a:ext uri="{28A0092B-C50C-407E-A947-70E740481C1C}">
                          <a14:useLocalDpi xmlns:a14="http://schemas.microsoft.com/office/drawing/2010/main" val="0"/>
                        </a:ext>
                      </a:extLst>
                    </a:blip>
                    <a:srcRect l="24421" t="9138" r="32628" b="10002"/>
                    <a:stretch>
                      <a:fillRect/>
                    </a:stretch>
                  </pic:blipFill>
                  <pic:spPr bwMode="auto">
                    <a:xfrm>
                      <a:off x="0" y="0"/>
                      <a:ext cx="2238375" cy="2976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4252" w:rsidRPr="00844252">
        <w:rPr>
          <w:rFonts w:ascii="Arial" w:hAnsi="Arial" w:cs="Arial"/>
        </w:rPr>
        <w:t>The physical principle underlying their effectiveness is summarized in Fig. 3: solar radiation strikes the exterior cladding, heating the air confined within the cavity; as its temperature rises, the air becomes less dense and ascends due to the stack effect, generating a continuous upward flow that expels heat outdoors. This representation highlights the need for quantitative tools—such as the modeling procedures adopted in this study—to translate these principles into practical and reproducible design criteria.</w:t>
      </w:r>
    </w:p>
    <w:p w14:paraId="3AE8ED1B" w14:textId="76069017" w:rsidR="00844252" w:rsidRDefault="00844252" w:rsidP="00B31C19">
      <w:pPr>
        <w:pStyle w:val="Body"/>
        <w:spacing w:after="0"/>
        <w:jc w:val="center"/>
        <w:rPr>
          <w:rFonts w:ascii="Arial" w:hAnsi="Arial" w:cs="Arial"/>
        </w:rPr>
      </w:pPr>
    </w:p>
    <w:p w14:paraId="1E388BF0" w14:textId="19144D9C" w:rsidR="00B31C19" w:rsidRDefault="00B31C19" w:rsidP="00B31C19">
      <w:pPr>
        <w:pStyle w:val="Body"/>
        <w:spacing w:after="0"/>
        <w:jc w:val="center"/>
        <w:rPr>
          <w:rFonts w:ascii="Arial" w:hAnsi="Arial" w:cs="Arial"/>
          <w:b/>
          <w:bCs/>
          <w:i/>
          <w:iCs/>
          <w:color w:val="000000" w:themeColor="text1"/>
        </w:rPr>
      </w:pPr>
      <w:r w:rsidRPr="005907FC">
        <w:rPr>
          <w:rFonts w:ascii="Arial" w:hAnsi="Arial" w:cs="Arial"/>
          <w:b/>
          <w:bCs/>
          <w:i/>
          <w:iCs/>
          <w:color w:val="000000" w:themeColor="text1"/>
        </w:rPr>
        <w:t xml:space="preserve">Fig. </w:t>
      </w:r>
      <w:r>
        <w:rPr>
          <w:rFonts w:ascii="Arial" w:hAnsi="Arial" w:cs="Arial"/>
          <w:b/>
          <w:bCs/>
          <w:i/>
          <w:iCs/>
          <w:color w:val="000000" w:themeColor="text1"/>
        </w:rPr>
        <w:t>3</w:t>
      </w:r>
      <w:r w:rsidRPr="005907FC">
        <w:rPr>
          <w:rFonts w:ascii="Arial" w:hAnsi="Arial" w:cs="Arial"/>
          <w:b/>
          <w:bCs/>
          <w:i/>
          <w:iCs/>
          <w:color w:val="000000" w:themeColor="text1"/>
        </w:rPr>
        <w:t xml:space="preserve">. </w:t>
      </w:r>
      <w:r w:rsidRPr="00077E3A">
        <w:rPr>
          <w:rFonts w:ascii="Arial" w:hAnsi="Arial" w:cs="Arial"/>
          <w:b/>
          <w:bCs/>
          <w:i/>
          <w:iCs/>
          <w:color w:val="000000" w:themeColor="text1"/>
        </w:rPr>
        <w:t>Ventilation mechanism and heat transfer in a ventilated facade</w:t>
      </w:r>
    </w:p>
    <w:p w14:paraId="314EF311" w14:textId="2B48B47F" w:rsidR="008F51DB" w:rsidRDefault="008F51DB" w:rsidP="008F51DB">
      <w:pPr>
        <w:pStyle w:val="Body"/>
        <w:spacing w:after="0"/>
        <w:rPr>
          <w:rFonts w:ascii="Arial" w:hAnsi="Arial" w:cs="Arial"/>
        </w:rPr>
      </w:pPr>
    </w:p>
    <w:p w14:paraId="2CE3B96E" w14:textId="785E95AA" w:rsidR="00DD251A" w:rsidRDefault="00E433EA" w:rsidP="008F51DB">
      <w:pPr>
        <w:pStyle w:val="Body"/>
        <w:spacing w:after="0"/>
        <w:rPr>
          <w:rFonts w:ascii="Arial" w:hAnsi="Arial" w:cs="Arial"/>
        </w:rPr>
      </w:pPr>
      <w:r w:rsidRPr="00E433EA">
        <w:rPr>
          <w:rFonts w:ascii="Arial" w:hAnsi="Arial" w:cs="Arial"/>
        </w:rPr>
        <w:t>In this context, the present study aims to contribute to existing literature through a comparative evaluation of six ventilated fa</w:t>
      </w:r>
      <w:r w:rsidR="008B26F5">
        <w:rPr>
          <w:rFonts w:ascii="Arial" w:hAnsi="Arial" w:cs="Arial"/>
        </w:rPr>
        <w:t>c</w:t>
      </w:r>
      <w:r w:rsidRPr="00E433EA">
        <w:rPr>
          <w:rFonts w:ascii="Arial" w:hAnsi="Arial" w:cs="Arial"/>
        </w:rPr>
        <w:t>ade configurations, derived from the combination of three cladding materials and two cavity depths. The methodological framework integrates: (1) an analytical matrix grounded in recent findings; (2) a one-dimensional thermal model using a series-resistance formulation; and (3) representative boundary conditions for a warm</w:t>
      </w:r>
      <w:r w:rsidR="00445E04">
        <w:rPr>
          <w:rFonts w:ascii="Arial" w:hAnsi="Arial" w:cs="Arial"/>
        </w:rPr>
        <w:t xml:space="preserve"> </w:t>
      </w:r>
      <w:r w:rsidRPr="00E433EA">
        <w:rPr>
          <w:rFonts w:ascii="Arial" w:hAnsi="Arial" w:cs="Arial"/>
        </w:rPr>
        <w:t>semi-arid climate.</w:t>
      </w:r>
    </w:p>
    <w:p w14:paraId="20844F1D" w14:textId="77777777" w:rsidR="00E433EA" w:rsidRDefault="00E433EA" w:rsidP="008F51DB">
      <w:pPr>
        <w:pStyle w:val="Body"/>
        <w:spacing w:after="0"/>
        <w:rPr>
          <w:rFonts w:ascii="Arial" w:hAnsi="Arial" w:cs="Arial"/>
        </w:rPr>
      </w:pPr>
    </w:p>
    <w:p w14:paraId="6AE3691D" w14:textId="6642FC1E" w:rsidR="008C6679" w:rsidRPr="00DC2990" w:rsidRDefault="00E433EA" w:rsidP="00DC2990">
      <w:pPr>
        <w:pStyle w:val="Body"/>
        <w:spacing w:after="0"/>
        <w:rPr>
          <w:rFonts w:ascii="Arial" w:hAnsi="Arial" w:cs="Arial"/>
        </w:rPr>
      </w:pPr>
      <w:r w:rsidRPr="00E433EA">
        <w:rPr>
          <w:rFonts w:ascii="Arial" w:hAnsi="Arial" w:cs="Arial"/>
        </w:rPr>
        <w:lastRenderedPageBreak/>
        <w:t>This integrated approach enables the identification of the relative influence of each variable on heat transfer toward the interior and offers preliminary design criteria applicable during early project stages—particularly for buildings exposed to intense solar radiation, such as classrooms, laboratories, offices, and industrial spaces.</w:t>
      </w:r>
      <w:r w:rsidR="00A30B59">
        <w:rPr>
          <w:rFonts w:ascii="Arial" w:hAnsi="Arial" w:cs="Arial"/>
        </w:rPr>
        <w:br w:type="page"/>
      </w:r>
    </w:p>
    <w:p w14:paraId="61F8434E" w14:textId="12F86BC3"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0C3B00F3" w14:textId="77777777" w:rsidR="00790ADA" w:rsidRPr="00FB3A86" w:rsidRDefault="00790ADA" w:rsidP="00441B6F">
      <w:pPr>
        <w:pStyle w:val="AbstHead"/>
        <w:spacing w:after="0"/>
        <w:jc w:val="both"/>
        <w:rPr>
          <w:rFonts w:ascii="Arial" w:hAnsi="Arial" w:cs="Arial"/>
        </w:rPr>
      </w:pPr>
    </w:p>
    <w:p w14:paraId="6C26A887" w14:textId="77777777" w:rsidR="009A670B" w:rsidRDefault="009A670B" w:rsidP="001B2725">
      <w:pPr>
        <w:pStyle w:val="Body"/>
        <w:rPr>
          <w:rFonts w:ascii="Arial" w:hAnsi="Arial" w:cs="Arial"/>
          <w:b/>
          <w:sz w:val="22"/>
        </w:rPr>
      </w:pPr>
      <w:r w:rsidRPr="009A670B">
        <w:rPr>
          <w:rFonts w:ascii="Arial" w:hAnsi="Arial" w:cs="Arial"/>
          <w:b/>
          <w:sz w:val="22"/>
        </w:rPr>
        <w:t>2.1 General Approach and Methodological Strategy</w:t>
      </w:r>
    </w:p>
    <w:p w14:paraId="192BA547" w14:textId="2F2567AF" w:rsidR="009A670B" w:rsidRDefault="009A670B" w:rsidP="001B2725">
      <w:pPr>
        <w:pStyle w:val="Body"/>
        <w:spacing w:after="0"/>
        <w:rPr>
          <w:rFonts w:ascii="Arial" w:hAnsi="Arial" w:cs="Arial"/>
        </w:rPr>
      </w:pPr>
      <w:r w:rsidRPr="009A670B">
        <w:rPr>
          <w:rFonts w:ascii="Arial" w:hAnsi="Arial" w:cs="Arial"/>
        </w:rPr>
        <w:t>The methodology employed in this study was structured into three complementary stages. First, a review of specialized literature was conducted to identify the thermal variables that significantly influence the performance of ventilated fa</w:t>
      </w:r>
      <w:r>
        <w:rPr>
          <w:rFonts w:ascii="Arial" w:hAnsi="Arial" w:cs="Arial"/>
        </w:rPr>
        <w:t>c</w:t>
      </w:r>
      <w:r w:rsidRPr="009A670B">
        <w:rPr>
          <w:rFonts w:ascii="Arial" w:hAnsi="Arial" w:cs="Arial"/>
        </w:rPr>
        <w:t>ades. Based on this review, an analytical matrix was developed to organize the parameters reported in previous studies—thermal properties, geometric characteristics, and environmental conditions—thereby allowing the refinement and prioritization of the variables with the greatest impact on the system’s thermal behavior.</w:t>
      </w:r>
    </w:p>
    <w:p w14:paraId="0E7658E8" w14:textId="77777777" w:rsidR="009A670B" w:rsidRDefault="009A670B" w:rsidP="001B2725">
      <w:pPr>
        <w:pStyle w:val="Body"/>
        <w:spacing w:after="0"/>
        <w:rPr>
          <w:rFonts w:ascii="Arial" w:hAnsi="Arial" w:cs="Arial"/>
        </w:rPr>
      </w:pPr>
    </w:p>
    <w:p w14:paraId="234BD03F" w14:textId="236E2110" w:rsidR="001B2725" w:rsidRDefault="009A670B" w:rsidP="001B2725">
      <w:pPr>
        <w:pStyle w:val="Body"/>
        <w:spacing w:after="0"/>
        <w:rPr>
          <w:rFonts w:ascii="Arial" w:hAnsi="Arial" w:cs="Arial"/>
        </w:rPr>
      </w:pPr>
      <w:r w:rsidRPr="009A670B">
        <w:rPr>
          <w:rFonts w:ascii="Arial" w:hAnsi="Arial" w:cs="Arial"/>
        </w:rPr>
        <w:t>Finally, a comparative mathematical model was developed to evaluate the performance of different ventilated fa</w:t>
      </w:r>
      <w:r w:rsidR="00A30B59">
        <w:rPr>
          <w:rFonts w:ascii="Arial" w:hAnsi="Arial" w:cs="Arial"/>
        </w:rPr>
        <w:t>c</w:t>
      </w:r>
      <w:r w:rsidRPr="009A670B">
        <w:rPr>
          <w:rFonts w:ascii="Arial" w:hAnsi="Arial" w:cs="Arial"/>
        </w:rPr>
        <w:t>ade configurations under representative warm semi-arid conditions. This final stage enabled the analysis of both the individual and combined effects of the selected variables, providing a robust methodological foundation for assessing the thermal behavior of the system.</w:t>
      </w:r>
    </w:p>
    <w:p w14:paraId="476D0D6E" w14:textId="77777777" w:rsidR="009A670B" w:rsidRDefault="009A670B" w:rsidP="001B2725">
      <w:pPr>
        <w:pStyle w:val="Body"/>
        <w:spacing w:after="0"/>
        <w:rPr>
          <w:rFonts w:ascii="Arial" w:hAnsi="Arial" w:cs="Arial"/>
        </w:rPr>
      </w:pPr>
    </w:p>
    <w:p w14:paraId="797A0E77" w14:textId="77777777" w:rsidR="009A670B" w:rsidRDefault="009A670B" w:rsidP="00592BF6">
      <w:pPr>
        <w:pStyle w:val="Body"/>
        <w:rPr>
          <w:rFonts w:ascii="Arial" w:hAnsi="Arial" w:cs="Arial"/>
          <w:b/>
          <w:sz w:val="22"/>
        </w:rPr>
      </w:pPr>
      <w:r w:rsidRPr="009A670B">
        <w:rPr>
          <w:rFonts w:ascii="Arial" w:hAnsi="Arial" w:cs="Arial"/>
          <w:b/>
          <w:sz w:val="22"/>
        </w:rPr>
        <w:t>2.2 Selection Criteria and Matrix Development</w:t>
      </w:r>
    </w:p>
    <w:p w14:paraId="521AED9F" w14:textId="32CD2ACC" w:rsidR="009A670B" w:rsidRDefault="009A670B" w:rsidP="00592BF6">
      <w:pPr>
        <w:pStyle w:val="Body"/>
        <w:rPr>
          <w:rFonts w:ascii="Arial" w:hAnsi="Arial" w:cs="Arial"/>
        </w:rPr>
      </w:pPr>
      <w:r w:rsidRPr="009A670B">
        <w:rPr>
          <w:rFonts w:ascii="Arial" w:hAnsi="Arial" w:cs="Arial"/>
        </w:rPr>
        <w:t>The identification of the variables that govern the thermal behavior of ventilated fa</w:t>
      </w:r>
      <w:r>
        <w:rPr>
          <w:rFonts w:ascii="Arial" w:hAnsi="Arial" w:cs="Arial"/>
        </w:rPr>
        <w:t>c</w:t>
      </w:r>
      <w:r w:rsidRPr="009A670B">
        <w:rPr>
          <w:rFonts w:ascii="Arial" w:hAnsi="Arial" w:cs="Arial"/>
        </w:rPr>
        <w:t>ades was carried out through a literature review published between 2015 and 2025, with an emphasis on studies featuring experimental validation or highly rigorous dynamic thermal modeling.</w:t>
      </w:r>
    </w:p>
    <w:p w14:paraId="51BC9381" w14:textId="77777777" w:rsidR="009A670B" w:rsidRDefault="009A670B" w:rsidP="00592BF6">
      <w:pPr>
        <w:pStyle w:val="Body"/>
        <w:rPr>
          <w:rFonts w:ascii="Arial" w:hAnsi="Arial" w:cs="Arial"/>
        </w:rPr>
      </w:pPr>
      <w:r w:rsidRPr="009A670B">
        <w:rPr>
          <w:rFonts w:ascii="Arial" w:hAnsi="Arial" w:cs="Arial"/>
        </w:rPr>
        <w:t>This process enabled the systematic extraction of the most influential parameters, including air cavity depth, thermo-optical properties of the exterior cladding, the induced ventilation regime, and the system’s response under high solar radiation conditions.</w:t>
      </w:r>
    </w:p>
    <w:p w14:paraId="664D56C9" w14:textId="3DA7A6CD" w:rsidR="009A670B" w:rsidRDefault="009A670B" w:rsidP="00592BF6">
      <w:pPr>
        <w:pStyle w:val="Body"/>
        <w:spacing w:after="0"/>
        <w:rPr>
          <w:rFonts w:ascii="Arial" w:hAnsi="Arial" w:cs="Arial"/>
        </w:rPr>
      </w:pPr>
      <w:r w:rsidRPr="009A670B">
        <w:rPr>
          <w:rFonts w:ascii="Arial" w:hAnsi="Arial" w:cs="Arial"/>
        </w:rPr>
        <w:t xml:space="preserve">A comparative analysis of these sources supported the development of </w:t>
      </w:r>
      <w:r w:rsidR="00077E3A">
        <w:rPr>
          <w:rFonts w:ascii="Arial" w:hAnsi="Arial" w:cs="Arial"/>
        </w:rPr>
        <w:t>t</w:t>
      </w:r>
      <w:r w:rsidRPr="009A670B">
        <w:rPr>
          <w:rFonts w:ascii="Arial" w:hAnsi="Arial" w:cs="Arial"/>
        </w:rPr>
        <w:t>able 1, which synthesizes the dominant variables reported across the literature. The findings reveal a consistent agreement that air cavities between 5 and 10 cm enhance natural ventilation potential in warm climates, while materials such as ceramic and fiber cement exhibit favorable performance due to their thermal stability and low emissivity.</w:t>
      </w:r>
    </w:p>
    <w:p w14:paraId="641A21DF" w14:textId="77777777" w:rsidR="00D27EDC" w:rsidRDefault="00D27EDC" w:rsidP="00592BF6">
      <w:pPr>
        <w:pStyle w:val="Body"/>
        <w:spacing w:after="0"/>
        <w:rPr>
          <w:rFonts w:ascii="Arial" w:hAnsi="Arial" w:cs="Arial"/>
        </w:rPr>
      </w:pPr>
    </w:p>
    <w:p w14:paraId="3927ABE1" w14:textId="6EA38931" w:rsidR="00A03B96" w:rsidRDefault="009A670B" w:rsidP="00441B6F">
      <w:pPr>
        <w:pStyle w:val="Body"/>
        <w:spacing w:after="0"/>
        <w:rPr>
          <w:rFonts w:ascii="Arial" w:hAnsi="Arial" w:cs="Arial"/>
        </w:rPr>
      </w:pPr>
      <w:r w:rsidRPr="009A670B">
        <w:rPr>
          <w:rFonts w:ascii="Arial" w:hAnsi="Arial" w:cs="Arial"/>
        </w:rPr>
        <w:t>Moreover, the review identified that next-generation ultracompact materials—such as Dekton—have been scarcely examined despite their potentially advantageous surface properties for ventilated fa</w:t>
      </w:r>
      <w:r w:rsidR="003D128C">
        <w:rPr>
          <w:rFonts w:ascii="Arial" w:hAnsi="Arial" w:cs="Arial"/>
        </w:rPr>
        <w:t>c</w:t>
      </w:r>
      <w:r w:rsidRPr="009A670B">
        <w:rPr>
          <w:rFonts w:ascii="Arial" w:hAnsi="Arial" w:cs="Arial"/>
        </w:rPr>
        <w:t>ade applications, thus justifying their inclusion in the present study.</w:t>
      </w:r>
    </w:p>
    <w:p w14:paraId="39F12A10" w14:textId="77777777" w:rsidR="00A30B59" w:rsidRDefault="00A30B59" w:rsidP="00441B6F">
      <w:pPr>
        <w:pStyle w:val="Body"/>
        <w:spacing w:after="0"/>
        <w:rPr>
          <w:rFonts w:ascii="Arial" w:hAnsi="Arial" w:cs="Arial"/>
        </w:rPr>
      </w:pPr>
    </w:p>
    <w:p w14:paraId="3C731135" w14:textId="77777777" w:rsidR="00DD6BD3" w:rsidRDefault="00DD6BD3" w:rsidP="00441B6F">
      <w:pPr>
        <w:pStyle w:val="Body"/>
        <w:spacing w:after="0"/>
        <w:rPr>
          <w:rFonts w:ascii="Arial" w:hAnsi="Arial" w:cs="Arial"/>
        </w:rPr>
      </w:pPr>
    </w:p>
    <w:p w14:paraId="2012E8FD" w14:textId="77777777" w:rsidR="00DD6BD3" w:rsidRDefault="00DD6BD3" w:rsidP="00441B6F">
      <w:pPr>
        <w:pStyle w:val="Body"/>
        <w:spacing w:after="0"/>
        <w:rPr>
          <w:rFonts w:ascii="Arial" w:hAnsi="Arial" w:cs="Arial"/>
        </w:rPr>
      </w:pPr>
    </w:p>
    <w:p w14:paraId="3E9BD9BA" w14:textId="77777777" w:rsidR="00DD6BD3" w:rsidRDefault="00DD6BD3" w:rsidP="00441B6F">
      <w:pPr>
        <w:pStyle w:val="Body"/>
        <w:spacing w:after="0"/>
        <w:rPr>
          <w:rFonts w:ascii="Arial" w:hAnsi="Arial" w:cs="Arial"/>
        </w:rPr>
      </w:pPr>
    </w:p>
    <w:p w14:paraId="24BEEEFF" w14:textId="77777777" w:rsidR="00DD6BD3" w:rsidRDefault="00DD6BD3" w:rsidP="00441B6F">
      <w:pPr>
        <w:pStyle w:val="Body"/>
        <w:spacing w:after="0"/>
        <w:rPr>
          <w:rFonts w:ascii="Arial" w:hAnsi="Arial" w:cs="Arial"/>
        </w:rPr>
      </w:pPr>
    </w:p>
    <w:p w14:paraId="70EA5C2A" w14:textId="77777777" w:rsidR="00DD6BD3" w:rsidRDefault="00DD6BD3" w:rsidP="00441B6F">
      <w:pPr>
        <w:pStyle w:val="Body"/>
        <w:spacing w:after="0"/>
        <w:rPr>
          <w:rFonts w:ascii="Arial" w:hAnsi="Arial" w:cs="Arial"/>
        </w:rPr>
      </w:pPr>
    </w:p>
    <w:p w14:paraId="1EBB4C6E" w14:textId="77777777" w:rsidR="00DD6BD3" w:rsidRDefault="00DD6BD3" w:rsidP="00441B6F">
      <w:pPr>
        <w:pStyle w:val="Body"/>
        <w:spacing w:after="0"/>
        <w:rPr>
          <w:rFonts w:ascii="Arial" w:hAnsi="Arial" w:cs="Arial"/>
        </w:rPr>
      </w:pPr>
    </w:p>
    <w:p w14:paraId="66A2B06F" w14:textId="77777777" w:rsidR="00DD6BD3" w:rsidRDefault="00DD6BD3" w:rsidP="00441B6F">
      <w:pPr>
        <w:pStyle w:val="Body"/>
        <w:spacing w:after="0"/>
        <w:rPr>
          <w:rFonts w:ascii="Arial" w:hAnsi="Arial" w:cs="Arial"/>
        </w:rPr>
      </w:pPr>
    </w:p>
    <w:p w14:paraId="5A2D52C7" w14:textId="77777777" w:rsidR="00DD6BD3" w:rsidRDefault="00DD6BD3" w:rsidP="00441B6F">
      <w:pPr>
        <w:pStyle w:val="Body"/>
        <w:spacing w:after="0"/>
        <w:rPr>
          <w:rFonts w:ascii="Arial" w:hAnsi="Arial" w:cs="Arial"/>
        </w:rPr>
      </w:pPr>
    </w:p>
    <w:p w14:paraId="41F1943D" w14:textId="77777777" w:rsidR="00DD6BD3" w:rsidRDefault="00DD6BD3" w:rsidP="00441B6F">
      <w:pPr>
        <w:pStyle w:val="Body"/>
        <w:spacing w:after="0"/>
        <w:rPr>
          <w:rFonts w:ascii="Arial" w:hAnsi="Arial" w:cs="Arial"/>
        </w:rPr>
      </w:pPr>
    </w:p>
    <w:p w14:paraId="401D094A" w14:textId="77777777" w:rsidR="00DD6BD3" w:rsidRDefault="00DD6BD3" w:rsidP="00441B6F">
      <w:pPr>
        <w:pStyle w:val="Body"/>
        <w:spacing w:after="0"/>
        <w:rPr>
          <w:rFonts w:ascii="Arial" w:hAnsi="Arial" w:cs="Arial"/>
        </w:rPr>
      </w:pPr>
    </w:p>
    <w:p w14:paraId="7B902709" w14:textId="77777777" w:rsidR="00DD6BD3" w:rsidRDefault="00DD6BD3" w:rsidP="00441B6F">
      <w:pPr>
        <w:pStyle w:val="Body"/>
        <w:spacing w:after="0"/>
        <w:rPr>
          <w:rFonts w:ascii="Arial" w:hAnsi="Arial" w:cs="Arial"/>
        </w:rPr>
      </w:pPr>
    </w:p>
    <w:p w14:paraId="17EA05B6" w14:textId="77777777" w:rsidR="00DD6BD3" w:rsidRDefault="00DD6BD3" w:rsidP="00441B6F">
      <w:pPr>
        <w:pStyle w:val="Body"/>
        <w:spacing w:after="0"/>
        <w:rPr>
          <w:rFonts w:ascii="Arial" w:hAnsi="Arial" w:cs="Arial"/>
        </w:rPr>
      </w:pPr>
    </w:p>
    <w:p w14:paraId="2F9514D0" w14:textId="77777777" w:rsidR="00DD6BD3" w:rsidRDefault="00DD6BD3" w:rsidP="00441B6F">
      <w:pPr>
        <w:pStyle w:val="Body"/>
        <w:spacing w:after="0"/>
        <w:rPr>
          <w:rFonts w:ascii="Arial" w:hAnsi="Arial" w:cs="Arial"/>
        </w:rPr>
      </w:pPr>
    </w:p>
    <w:p w14:paraId="5A4FAA19" w14:textId="77777777" w:rsidR="00DD6BD3" w:rsidRDefault="00DD6BD3" w:rsidP="00441B6F">
      <w:pPr>
        <w:pStyle w:val="Body"/>
        <w:spacing w:after="0"/>
        <w:rPr>
          <w:rFonts w:ascii="Arial" w:hAnsi="Arial" w:cs="Arial"/>
        </w:rPr>
      </w:pPr>
    </w:p>
    <w:p w14:paraId="6C8E1FDA" w14:textId="77777777" w:rsidR="009A670B" w:rsidRDefault="009A670B" w:rsidP="00441B6F">
      <w:pPr>
        <w:pStyle w:val="Body"/>
        <w:spacing w:after="0"/>
        <w:rPr>
          <w:rFonts w:ascii="Arial" w:hAnsi="Arial" w:cs="Arial"/>
        </w:rPr>
      </w:pPr>
    </w:p>
    <w:p w14:paraId="41F99BBF" w14:textId="63FF4509" w:rsidR="00E66E10" w:rsidRDefault="003275DA" w:rsidP="009A670B">
      <w:pPr>
        <w:pStyle w:val="Body"/>
        <w:spacing w:after="0"/>
        <w:jc w:val="center"/>
        <w:rPr>
          <w:rFonts w:ascii="Arial" w:hAnsi="Arial"/>
          <w:b/>
        </w:rPr>
      </w:pPr>
      <w:r w:rsidRPr="003275DA">
        <w:rPr>
          <w:rFonts w:ascii="Arial" w:hAnsi="Arial"/>
          <w:b/>
        </w:rPr>
        <w:t>Table 1.</w:t>
      </w:r>
      <w:r w:rsidRPr="003275DA">
        <w:rPr>
          <w:rFonts w:ascii="Arial" w:hAnsi="Arial"/>
          <w:b/>
        </w:rPr>
        <w:tab/>
      </w:r>
      <w:r w:rsidR="009A670B" w:rsidRPr="009A670B">
        <w:rPr>
          <w:rFonts w:ascii="Arial" w:hAnsi="Arial"/>
          <w:b/>
        </w:rPr>
        <w:t>Justification of the Parameters Selected for the Simulation Stage</w:t>
      </w:r>
    </w:p>
    <w:p w14:paraId="15BD02D1" w14:textId="77777777" w:rsidR="009A670B" w:rsidRPr="003275DA" w:rsidRDefault="009A670B" w:rsidP="00441B6F">
      <w:pPr>
        <w:pStyle w:val="Body"/>
        <w:spacing w:after="0"/>
        <w:rPr>
          <w:rFonts w:ascii="Arial" w:hAnsi="Arial"/>
          <w:b/>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384"/>
        <w:gridCol w:w="1276"/>
        <w:gridCol w:w="3270"/>
        <w:gridCol w:w="2494"/>
      </w:tblGrid>
      <w:tr w:rsidR="009A670B" w:rsidRPr="00DC3180" w14:paraId="6AC802F8" w14:textId="77777777" w:rsidTr="009A670B">
        <w:trPr>
          <w:jc w:val="center"/>
        </w:trPr>
        <w:tc>
          <w:tcPr>
            <w:tcW w:w="1384" w:type="dxa"/>
            <w:tcBorders>
              <w:bottom w:val="single" w:sz="4" w:space="0" w:color="auto"/>
            </w:tcBorders>
            <w:vAlign w:val="center"/>
          </w:tcPr>
          <w:p w14:paraId="27D0F311" w14:textId="0EBAAA56" w:rsidR="009A670B" w:rsidRPr="00DC3180" w:rsidRDefault="009A670B" w:rsidP="009A670B">
            <w:pPr>
              <w:jc w:val="center"/>
              <w:rPr>
                <w:rFonts w:ascii="Arial" w:hAnsi="Arial"/>
                <w:b/>
                <w:bCs/>
              </w:rPr>
            </w:pPr>
            <w:r>
              <w:rPr>
                <w:rFonts w:ascii="Arial" w:hAnsi="Arial"/>
                <w:b/>
                <w:bCs/>
              </w:rPr>
              <w:t>Variable</w:t>
            </w:r>
          </w:p>
        </w:tc>
        <w:tc>
          <w:tcPr>
            <w:tcW w:w="1276" w:type="dxa"/>
            <w:tcBorders>
              <w:bottom w:val="single" w:sz="4" w:space="0" w:color="auto"/>
            </w:tcBorders>
            <w:vAlign w:val="center"/>
          </w:tcPr>
          <w:p w14:paraId="1609987D" w14:textId="50B3A5DB" w:rsidR="009A670B" w:rsidRPr="00DC3180" w:rsidRDefault="009A670B" w:rsidP="009A670B">
            <w:pPr>
              <w:jc w:val="center"/>
              <w:rPr>
                <w:rFonts w:ascii="Arial" w:hAnsi="Arial"/>
                <w:b/>
                <w:bCs/>
              </w:rPr>
            </w:pPr>
            <w:r>
              <w:rPr>
                <w:rFonts w:ascii="Arial" w:hAnsi="Arial"/>
                <w:b/>
                <w:bCs/>
              </w:rPr>
              <w:t>Selected Values</w:t>
            </w:r>
          </w:p>
        </w:tc>
        <w:tc>
          <w:tcPr>
            <w:tcW w:w="3270" w:type="dxa"/>
            <w:vAlign w:val="center"/>
          </w:tcPr>
          <w:p w14:paraId="6C52FCDC" w14:textId="03489F7C" w:rsidR="009A670B" w:rsidRPr="00DC3180" w:rsidRDefault="009A670B" w:rsidP="009A670B">
            <w:pPr>
              <w:jc w:val="center"/>
              <w:rPr>
                <w:rFonts w:ascii="Arial" w:hAnsi="Arial"/>
                <w:b/>
                <w:bCs/>
              </w:rPr>
            </w:pPr>
            <w:r w:rsidRPr="009A670B">
              <w:rPr>
                <w:rFonts w:ascii="Arial" w:hAnsi="Arial"/>
                <w:b/>
                <w:bCs/>
              </w:rPr>
              <w:t>Justification Based on Literature Review</w:t>
            </w:r>
          </w:p>
        </w:tc>
        <w:tc>
          <w:tcPr>
            <w:tcW w:w="2494" w:type="dxa"/>
            <w:tcBorders>
              <w:bottom w:val="single" w:sz="4" w:space="0" w:color="auto"/>
            </w:tcBorders>
            <w:vAlign w:val="center"/>
          </w:tcPr>
          <w:p w14:paraId="092BA790" w14:textId="71293BED" w:rsidR="009A670B" w:rsidRPr="00DC3180" w:rsidRDefault="009A670B" w:rsidP="009A670B">
            <w:pPr>
              <w:jc w:val="center"/>
              <w:rPr>
                <w:rFonts w:ascii="Arial" w:hAnsi="Arial"/>
                <w:b/>
                <w:bCs/>
              </w:rPr>
            </w:pPr>
            <w:r>
              <w:rPr>
                <w:rFonts w:ascii="Arial" w:hAnsi="Arial"/>
                <w:b/>
                <w:bCs/>
              </w:rPr>
              <w:t>References</w:t>
            </w:r>
          </w:p>
        </w:tc>
      </w:tr>
      <w:tr w:rsidR="009A670B" w:rsidRPr="00DC3180" w14:paraId="7987501E" w14:textId="77777777" w:rsidTr="00D44158">
        <w:trPr>
          <w:trHeight w:val="773"/>
          <w:jc w:val="center"/>
          <w:hidden/>
        </w:trPr>
        <w:tc>
          <w:tcPr>
            <w:tcW w:w="1384" w:type="dxa"/>
            <w:tcBorders>
              <w:bottom w:val="nil"/>
            </w:tcBorders>
            <w:vAlign w:val="center"/>
          </w:tcPr>
          <w:p w14:paraId="1626E520" w14:textId="77777777" w:rsidR="009A670B" w:rsidRPr="00DC3180" w:rsidRDefault="009A670B" w:rsidP="009A670B">
            <w:pPr>
              <w:rPr>
                <w:rFonts w:ascii="Arial" w:hAnsi="Arial"/>
                <w:vanish/>
              </w:rPr>
            </w:pPr>
          </w:p>
          <w:p w14:paraId="6D30A802" w14:textId="09FBE39A" w:rsidR="009A670B" w:rsidRPr="00DC3180" w:rsidRDefault="009A670B" w:rsidP="009A670B">
            <w:pPr>
              <w:rPr>
                <w:rFonts w:ascii="Arial" w:hAnsi="Arial"/>
              </w:rPr>
            </w:pPr>
            <w:r>
              <w:rPr>
                <w:rFonts w:ascii="Arial" w:hAnsi="Arial"/>
              </w:rPr>
              <w:t>Air cavity depth</w:t>
            </w:r>
          </w:p>
          <w:p w14:paraId="7EAA3515" w14:textId="77777777" w:rsidR="009A670B" w:rsidRPr="00DC3180" w:rsidRDefault="009A670B" w:rsidP="009A670B">
            <w:pPr>
              <w:rPr>
                <w:rFonts w:ascii="Arial" w:hAnsi="Arial"/>
                <w:vanish/>
              </w:rPr>
            </w:pPr>
          </w:p>
          <w:p w14:paraId="7AF6E606" w14:textId="76D45B1B" w:rsidR="009A670B" w:rsidRPr="00DC3180" w:rsidRDefault="009A670B" w:rsidP="009A670B">
            <w:pPr>
              <w:rPr>
                <w:rFonts w:ascii="Arial" w:hAnsi="Arial"/>
                <w:b/>
                <w:bCs/>
              </w:rPr>
            </w:pPr>
          </w:p>
        </w:tc>
        <w:tc>
          <w:tcPr>
            <w:tcW w:w="1276" w:type="dxa"/>
            <w:tcBorders>
              <w:bottom w:val="nil"/>
            </w:tcBorders>
            <w:vAlign w:val="center"/>
          </w:tcPr>
          <w:p w14:paraId="6A28E5A0" w14:textId="01F6DEF7" w:rsidR="009A670B" w:rsidRPr="00DC3180" w:rsidRDefault="009A670B" w:rsidP="009A670B">
            <w:pPr>
              <w:rPr>
                <w:rFonts w:ascii="Arial" w:hAnsi="Arial"/>
                <w:b/>
                <w:bCs/>
              </w:rPr>
            </w:pPr>
            <w:r w:rsidRPr="009A670B">
              <w:rPr>
                <w:rFonts w:ascii="Arial" w:hAnsi="Arial"/>
              </w:rPr>
              <w:t>6 cm and 10 cm</w:t>
            </w:r>
          </w:p>
          <w:p w14:paraId="3DFE08DC" w14:textId="3223702D" w:rsidR="009A670B" w:rsidRPr="00DC3180" w:rsidRDefault="009A670B" w:rsidP="009A670B">
            <w:pPr>
              <w:rPr>
                <w:rFonts w:ascii="Arial" w:hAnsi="Arial"/>
                <w:b/>
                <w:bCs/>
              </w:rPr>
            </w:pPr>
          </w:p>
        </w:tc>
        <w:tc>
          <w:tcPr>
            <w:tcW w:w="3270" w:type="dxa"/>
            <w:tcBorders>
              <w:bottom w:val="nil"/>
            </w:tcBorders>
            <w:vAlign w:val="center"/>
          </w:tcPr>
          <w:p w14:paraId="22FC5A96" w14:textId="35C7C5FA" w:rsidR="009A670B" w:rsidRPr="00DC3180" w:rsidRDefault="009A670B" w:rsidP="009A670B">
            <w:pPr>
              <w:rPr>
                <w:rFonts w:ascii="Arial" w:hAnsi="Arial" w:cs="Arial"/>
              </w:rPr>
            </w:pPr>
            <w:r w:rsidRPr="009A670B">
              <w:rPr>
                <w:rFonts w:ascii="Arial" w:hAnsi="Arial" w:cs="Arial"/>
              </w:rPr>
              <w:t>Most frequently reported and efficient range for natural ventilation in warm climates (5–20 cm). The selection of 6 to 10 cm allows the evaluation of the transition zone where convective benefits stabilize and marginal returns decrease.</w:t>
            </w:r>
          </w:p>
        </w:tc>
        <w:tc>
          <w:tcPr>
            <w:tcW w:w="2494" w:type="dxa"/>
            <w:tcBorders>
              <w:bottom w:val="nil"/>
            </w:tcBorders>
            <w:vAlign w:val="center"/>
          </w:tcPr>
          <w:p w14:paraId="55A6C2AD" w14:textId="39CF109C" w:rsidR="009A670B" w:rsidRPr="00DC3180" w:rsidRDefault="009A670B" w:rsidP="009A670B">
            <w:pPr>
              <w:rPr>
                <w:rFonts w:ascii="Arial" w:hAnsi="Arial"/>
                <w:b/>
                <w:bCs/>
              </w:rPr>
            </w:pPr>
            <w:r w:rsidRPr="009A670B">
              <w:rPr>
                <w:rFonts w:ascii="Arial" w:hAnsi="Arial" w:cs="Arial"/>
              </w:rPr>
              <w:t xml:space="preserve">Andreeva et al., 2022; Cuce &amp; Cuce, 2025; </w:t>
            </w:r>
            <w:r w:rsidR="00D0577A">
              <w:rPr>
                <w:rFonts w:ascii="Arial" w:hAnsi="Arial" w:cs="Arial"/>
              </w:rPr>
              <w:t>Pizzatto et al</w:t>
            </w:r>
            <w:r w:rsidRPr="009A670B">
              <w:rPr>
                <w:rFonts w:ascii="Arial" w:hAnsi="Arial" w:cs="Arial"/>
              </w:rPr>
              <w:t>., 2025; Schabowicz &amp; Zawiślak, 2020</w:t>
            </w:r>
          </w:p>
        </w:tc>
      </w:tr>
      <w:tr w:rsidR="00A30B59" w:rsidRPr="00DC3180" w14:paraId="629FDD76" w14:textId="77777777" w:rsidTr="00D44158">
        <w:trPr>
          <w:jc w:val="center"/>
        </w:trPr>
        <w:tc>
          <w:tcPr>
            <w:tcW w:w="1384" w:type="dxa"/>
            <w:vMerge w:val="restart"/>
            <w:tcBorders>
              <w:top w:val="nil"/>
              <w:bottom w:val="nil"/>
            </w:tcBorders>
            <w:vAlign w:val="center"/>
          </w:tcPr>
          <w:p w14:paraId="0BC17C8B" w14:textId="4FA6E384" w:rsidR="00A30B59" w:rsidRPr="00DC3180" w:rsidRDefault="00A30B59" w:rsidP="009A670B">
            <w:pPr>
              <w:rPr>
                <w:rFonts w:ascii="Arial" w:hAnsi="Arial" w:cs="Arial"/>
                <w:vanish/>
              </w:rPr>
            </w:pPr>
            <w:r w:rsidRPr="009A670B">
              <w:rPr>
                <w:rFonts w:ascii="Arial" w:hAnsi="Arial" w:cs="Arial"/>
              </w:rPr>
              <w:t>Exterior cladding material</w:t>
            </w:r>
          </w:p>
          <w:p w14:paraId="18D388CF" w14:textId="77777777" w:rsidR="00A30B59" w:rsidRPr="00DC3180" w:rsidRDefault="00A30B59" w:rsidP="009A670B">
            <w:pPr>
              <w:rPr>
                <w:rFonts w:ascii="Arial" w:hAnsi="Arial" w:cs="Arial"/>
              </w:rPr>
            </w:pPr>
          </w:p>
        </w:tc>
        <w:tc>
          <w:tcPr>
            <w:tcW w:w="1276" w:type="dxa"/>
            <w:tcBorders>
              <w:top w:val="nil"/>
              <w:bottom w:val="nil"/>
            </w:tcBorders>
            <w:vAlign w:val="center"/>
          </w:tcPr>
          <w:p w14:paraId="06343C67" w14:textId="624D1C5B" w:rsidR="00A30B59" w:rsidRPr="00DC3180" w:rsidRDefault="004E0C7F" w:rsidP="009A670B">
            <w:pPr>
              <w:rPr>
                <w:rFonts w:ascii="Arial" w:hAnsi="Arial" w:cs="Arial"/>
              </w:rPr>
            </w:pPr>
            <w:r>
              <w:rPr>
                <w:rFonts w:ascii="Arial" w:hAnsi="Arial" w:cs="Arial"/>
              </w:rPr>
              <w:t>Dekton</w:t>
            </w:r>
          </w:p>
        </w:tc>
        <w:tc>
          <w:tcPr>
            <w:tcW w:w="3270" w:type="dxa"/>
            <w:tcBorders>
              <w:top w:val="nil"/>
              <w:bottom w:val="nil"/>
            </w:tcBorders>
            <w:vAlign w:val="center"/>
          </w:tcPr>
          <w:p w14:paraId="1D6F90EE" w14:textId="3100E705" w:rsidR="00A30B59" w:rsidRPr="00DC3180" w:rsidRDefault="00A30B59" w:rsidP="009A670B">
            <w:pPr>
              <w:rPr>
                <w:rFonts w:ascii="Arial" w:hAnsi="Arial" w:cs="Arial"/>
              </w:rPr>
            </w:pPr>
            <w:r w:rsidRPr="009A670B">
              <w:rPr>
                <w:rFonts w:ascii="Arial" w:hAnsi="Arial" w:cs="Arial"/>
              </w:rPr>
              <w:t>Very low emissivity (0.1–0.2), high thermal inertia, and minimal solar absorption. Represents next-generation materials virtually absent from existing ventilated fa</w:t>
            </w:r>
            <w:r w:rsidR="003D128C">
              <w:rPr>
                <w:rFonts w:ascii="Arial" w:hAnsi="Arial" w:cs="Arial"/>
              </w:rPr>
              <w:t>c</w:t>
            </w:r>
            <w:r w:rsidRPr="009A670B">
              <w:rPr>
                <w:rFonts w:ascii="Arial" w:hAnsi="Arial" w:cs="Arial"/>
              </w:rPr>
              <w:t>ade literature.</w:t>
            </w:r>
          </w:p>
        </w:tc>
        <w:tc>
          <w:tcPr>
            <w:tcW w:w="2494" w:type="dxa"/>
            <w:tcBorders>
              <w:top w:val="nil"/>
              <w:bottom w:val="nil"/>
            </w:tcBorders>
            <w:vAlign w:val="center"/>
          </w:tcPr>
          <w:p w14:paraId="54B9F940" w14:textId="39767CB2" w:rsidR="00A30B59" w:rsidRPr="00DC3180" w:rsidRDefault="00A30B59" w:rsidP="009A670B">
            <w:pPr>
              <w:rPr>
                <w:rFonts w:ascii="Arial" w:hAnsi="Arial" w:cs="Arial"/>
                <w:vanish/>
              </w:rPr>
            </w:pPr>
            <w:r w:rsidRPr="009A670B">
              <w:rPr>
                <w:rFonts w:ascii="Arial" w:hAnsi="Arial" w:cs="Arial"/>
              </w:rPr>
              <w:t>Cuce &amp; Cuce, 2025; Fathi &amp; Fakhriaemmanesh, 2025; Gelesz &amp; Reith, 2015</w:t>
            </w:r>
          </w:p>
          <w:p w14:paraId="7D9BF200" w14:textId="77777777" w:rsidR="00A30B59" w:rsidRPr="00DC3180" w:rsidRDefault="00A30B59" w:rsidP="009A670B">
            <w:pPr>
              <w:rPr>
                <w:rFonts w:ascii="Arial" w:hAnsi="Arial"/>
              </w:rPr>
            </w:pPr>
          </w:p>
        </w:tc>
      </w:tr>
      <w:tr w:rsidR="00A30B59" w:rsidRPr="00DC3180" w14:paraId="655DCFF8" w14:textId="77777777" w:rsidTr="00D44158">
        <w:trPr>
          <w:jc w:val="center"/>
        </w:trPr>
        <w:tc>
          <w:tcPr>
            <w:tcW w:w="1384" w:type="dxa"/>
            <w:vMerge/>
            <w:tcBorders>
              <w:top w:val="nil"/>
            </w:tcBorders>
            <w:vAlign w:val="center"/>
          </w:tcPr>
          <w:p w14:paraId="5B586229" w14:textId="77777777" w:rsidR="00A30B59" w:rsidRPr="00DC3180" w:rsidRDefault="00A30B59" w:rsidP="009A670B">
            <w:pPr>
              <w:rPr>
                <w:rFonts w:ascii="Arial" w:hAnsi="Arial"/>
              </w:rPr>
            </w:pPr>
          </w:p>
        </w:tc>
        <w:tc>
          <w:tcPr>
            <w:tcW w:w="1276" w:type="dxa"/>
            <w:tcBorders>
              <w:top w:val="nil"/>
              <w:bottom w:val="nil"/>
            </w:tcBorders>
            <w:vAlign w:val="center"/>
          </w:tcPr>
          <w:p w14:paraId="68BA9609" w14:textId="34943CD6" w:rsidR="00A30B59" w:rsidRPr="00DC3180" w:rsidRDefault="00A30B59" w:rsidP="009A670B">
            <w:pPr>
              <w:rPr>
                <w:rFonts w:ascii="Arial" w:hAnsi="Arial"/>
              </w:rPr>
            </w:pPr>
            <w:r w:rsidRPr="009A670B">
              <w:rPr>
                <w:rFonts w:ascii="Arial" w:hAnsi="Arial"/>
              </w:rPr>
              <w:t>Ceramic</w:t>
            </w:r>
          </w:p>
        </w:tc>
        <w:tc>
          <w:tcPr>
            <w:tcW w:w="3270" w:type="dxa"/>
            <w:tcBorders>
              <w:top w:val="nil"/>
              <w:bottom w:val="nil"/>
            </w:tcBorders>
            <w:vAlign w:val="center"/>
          </w:tcPr>
          <w:p w14:paraId="164FE125" w14:textId="240F4208" w:rsidR="00A30B59" w:rsidRPr="00DC3180" w:rsidRDefault="00A30B59" w:rsidP="009A670B">
            <w:pPr>
              <w:rPr>
                <w:rFonts w:ascii="Arial" w:hAnsi="Arial" w:cs="Arial"/>
              </w:rPr>
            </w:pPr>
            <w:r w:rsidRPr="009A670B">
              <w:rPr>
                <w:rFonts w:ascii="Arial" w:hAnsi="Arial" w:cs="Arial"/>
              </w:rPr>
              <w:t>Widely studied and with well-documented thermal behavior in warm and warm-humid climates. Excellent durability, low maintenance, and high reflectance.</w:t>
            </w:r>
          </w:p>
        </w:tc>
        <w:tc>
          <w:tcPr>
            <w:tcW w:w="2494" w:type="dxa"/>
            <w:tcBorders>
              <w:top w:val="nil"/>
              <w:bottom w:val="nil"/>
            </w:tcBorders>
            <w:vAlign w:val="center"/>
          </w:tcPr>
          <w:p w14:paraId="7176606B" w14:textId="2038CDB6" w:rsidR="00A30B59" w:rsidRPr="00DC3180" w:rsidRDefault="00D0577A" w:rsidP="009A670B">
            <w:pPr>
              <w:rPr>
                <w:rFonts w:ascii="Arial" w:hAnsi="Arial" w:cs="Arial"/>
              </w:rPr>
            </w:pPr>
            <w:r>
              <w:rPr>
                <w:rFonts w:ascii="Arial" w:hAnsi="Arial" w:cs="Arial"/>
              </w:rPr>
              <w:t>Pizzatto</w:t>
            </w:r>
            <w:r w:rsidR="00A30B59" w:rsidRPr="009A670B">
              <w:rPr>
                <w:rFonts w:ascii="Arial" w:hAnsi="Arial" w:cs="Arial"/>
              </w:rPr>
              <w:t xml:space="preserve"> et al., 2025; El Dallal et al., 2024; Luciani-Mejía et al., 2018; Ibañez-Puy et al., 2017</w:t>
            </w:r>
          </w:p>
        </w:tc>
      </w:tr>
      <w:tr w:rsidR="00A30B59" w:rsidRPr="00DC3180" w14:paraId="2C8F21F0" w14:textId="77777777" w:rsidTr="00D2007B">
        <w:trPr>
          <w:jc w:val="center"/>
        </w:trPr>
        <w:tc>
          <w:tcPr>
            <w:tcW w:w="1384" w:type="dxa"/>
            <w:vMerge/>
            <w:tcBorders>
              <w:bottom w:val="nil"/>
            </w:tcBorders>
            <w:vAlign w:val="center"/>
          </w:tcPr>
          <w:p w14:paraId="5B005AE6" w14:textId="19652672" w:rsidR="00A30B59" w:rsidRPr="00DC3180" w:rsidRDefault="00A30B59" w:rsidP="009A670B">
            <w:pPr>
              <w:rPr>
                <w:rFonts w:ascii="Arial" w:hAnsi="Arial"/>
              </w:rPr>
            </w:pPr>
          </w:p>
        </w:tc>
        <w:tc>
          <w:tcPr>
            <w:tcW w:w="1276" w:type="dxa"/>
            <w:tcBorders>
              <w:top w:val="nil"/>
              <w:bottom w:val="nil"/>
            </w:tcBorders>
            <w:vAlign w:val="center"/>
          </w:tcPr>
          <w:p w14:paraId="37AC026C" w14:textId="0379807B" w:rsidR="00A30B59" w:rsidRPr="00DC3180" w:rsidRDefault="00A30B59" w:rsidP="009A670B">
            <w:pPr>
              <w:rPr>
                <w:rFonts w:ascii="Arial" w:hAnsi="Arial"/>
              </w:rPr>
            </w:pPr>
            <w:r w:rsidRPr="009A670B">
              <w:rPr>
                <w:rFonts w:ascii="Arial" w:hAnsi="Arial"/>
              </w:rPr>
              <w:t>Fiber cement</w:t>
            </w:r>
          </w:p>
        </w:tc>
        <w:tc>
          <w:tcPr>
            <w:tcW w:w="3270" w:type="dxa"/>
            <w:tcBorders>
              <w:top w:val="nil"/>
              <w:bottom w:val="nil"/>
            </w:tcBorders>
            <w:vAlign w:val="center"/>
          </w:tcPr>
          <w:p w14:paraId="01C26497" w14:textId="276B8192" w:rsidR="00A30B59" w:rsidRPr="00DC3180" w:rsidRDefault="00A30B59" w:rsidP="009A670B">
            <w:pPr>
              <w:rPr>
                <w:rFonts w:ascii="Arial" w:hAnsi="Arial" w:cs="Arial"/>
              </w:rPr>
            </w:pPr>
            <w:r w:rsidRPr="009A670B">
              <w:rPr>
                <w:rFonts w:ascii="Arial" w:hAnsi="Arial" w:cs="Arial"/>
              </w:rPr>
              <w:t>High reflectance, low cost, and reduced environmental impact. Commonly used in construction yet scarcely examined in combination with ventilated cavities in warm semi-arid climates.</w:t>
            </w:r>
          </w:p>
        </w:tc>
        <w:tc>
          <w:tcPr>
            <w:tcW w:w="2494" w:type="dxa"/>
            <w:tcBorders>
              <w:top w:val="nil"/>
              <w:bottom w:val="nil"/>
            </w:tcBorders>
            <w:vAlign w:val="center"/>
          </w:tcPr>
          <w:p w14:paraId="722C6798" w14:textId="7873CCC9" w:rsidR="00A30B59" w:rsidRPr="00DC3180" w:rsidRDefault="00A30B59" w:rsidP="009A670B">
            <w:pPr>
              <w:rPr>
                <w:rFonts w:ascii="Arial" w:hAnsi="Arial" w:cs="Arial"/>
              </w:rPr>
            </w:pPr>
            <w:r w:rsidRPr="009A670B">
              <w:rPr>
                <w:rFonts w:ascii="Arial" w:hAnsi="Arial" w:cs="Arial"/>
              </w:rPr>
              <w:t>Cuce &amp; Cuce, 2025; Azkorra-Larrinaga et al., 2023; Piasecki et al., 2019</w:t>
            </w:r>
          </w:p>
        </w:tc>
      </w:tr>
    </w:tbl>
    <w:p w14:paraId="1FD8D364" w14:textId="77777777" w:rsidR="00790ADA" w:rsidRDefault="00790ADA" w:rsidP="00441B6F">
      <w:pPr>
        <w:pStyle w:val="Body"/>
        <w:spacing w:after="0"/>
        <w:rPr>
          <w:rFonts w:ascii="Arial" w:hAnsi="Arial" w:cs="Arial"/>
        </w:rPr>
      </w:pPr>
    </w:p>
    <w:p w14:paraId="505F1874" w14:textId="77777777" w:rsidR="00A30B59" w:rsidRDefault="00A30B59" w:rsidP="00A874EA">
      <w:pPr>
        <w:pStyle w:val="Body"/>
        <w:spacing w:after="0"/>
        <w:rPr>
          <w:rFonts w:ascii="Arial" w:hAnsi="Arial" w:cs="Arial"/>
        </w:rPr>
      </w:pPr>
      <w:r w:rsidRPr="00A30B59">
        <w:rPr>
          <w:rFonts w:ascii="Arial" w:hAnsi="Arial" w:cs="Arial"/>
        </w:rPr>
        <w:t>The matrix enabled the refinement of the broad set of parameters identified in the literature and allowed the selection of a reduced number of configurations suitable for analysis. As a result, three cladding materials—Dekton, ceramic porcelain, and fiber cement—and two cavity depths—6 cm and 10 cm—were selected, criteria supported both by their recurrent use in previous studies and by their relevance in hot and hot–semiarid climates.</w:t>
      </w:r>
    </w:p>
    <w:p w14:paraId="58040BA5" w14:textId="77777777" w:rsidR="00A30B59" w:rsidRDefault="00A30B59" w:rsidP="00A874EA">
      <w:pPr>
        <w:pStyle w:val="Body"/>
        <w:spacing w:after="0"/>
        <w:rPr>
          <w:rFonts w:ascii="Arial" w:hAnsi="Arial" w:cs="Arial"/>
        </w:rPr>
      </w:pPr>
    </w:p>
    <w:p w14:paraId="34565798" w14:textId="4503AE21" w:rsidR="00A30B59" w:rsidRDefault="00A30B59" w:rsidP="00A874EA">
      <w:pPr>
        <w:pStyle w:val="Body"/>
        <w:spacing w:after="0"/>
        <w:rPr>
          <w:rFonts w:ascii="Arial" w:hAnsi="Arial" w:cs="Arial"/>
        </w:rPr>
      </w:pPr>
      <w:r w:rsidRPr="00A30B59">
        <w:rPr>
          <w:rFonts w:ascii="Arial" w:hAnsi="Arial" w:cs="Arial"/>
        </w:rPr>
        <w:t>Furthermore, the matrix facilitated the definition of the indicators guiding the mathematical analysis: the thermal conductivity of the exterior cladding, the transient response of the ventilated cavity, and the system’s capacity to reduce the inward thermal load. These parameters enable consistent comparison across configurations and provide an integrated evaluation of the thermal performance of each alternative.</w:t>
      </w:r>
    </w:p>
    <w:p w14:paraId="393BF158" w14:textId="77777777" w:rsidR="00A30B59" w:rsidRDefault="00A30B59">
      <w:pPr>
        <w:rPr>
          <w:rFonts w:ascii="Arial" w:hAnsi="Arial" w:cs="Arial"/>
        </w:rPr>
      </w:pPr>
      <w:r>
        <w:rPr>
          <w:rFonts w:ascii="Arial" w:hAnsi="Arial" w:cs="Arial"/>
        </w:rPr>
        <w:br w:type="page"/>
      </w:r>
    </w:p>
    <w:p w14:paraId="60E7CA8B" w14:textId="60554C60" w:rsidR="001C1E5F" w:rsidRPr="001C1E5F" w:rsidRDefault="001C1E5F" w:rsidP="001C1E5F">
      <w:pPr>
        <w:pStyle w:val="Body"/>
        <w:rPr>
          <w:rFonts w:ascii="Arial" w:hAnsi="Arial" w:cs="Arial"/>
          <w:b/>
          <w:sz w:val="22"/>
        </w:rPr>
      </w:pPr>
      <w:r w:rsidRPr="001C1E5F">
        <w:rPr>
          <w:rFonts w:ascii="Arial" w:hAnsi="Arial" w:cs="Arial"/>
          <w:b/>
          <w:sz w:val="22"/>
        </w:rPr>
        <w:lastRenderedPageBreak/>
        <w:t xml:space="preserve">2.3 </w:t>
      </w:r>
      <w:r w:rsidR="00A30B59" w:rsidRPr="00A30B59">
        <w:rPr>
          <w:rFonts w:ascii="Arial" w:hAnsi="Arial" w:cs="Arial"/>
          <w:b/>
          <w:sz w:val="22"/>
        </w:rPr>
        <w:t>Case Study</w:t>
      </w:r>
    </w:p>
    <w:p w14:paraId="76A1C3A1" w14:textId="463A585C" w:rsidR="00A30B59" w:rsidRDefault="00A30B59" w:rsidP="001C1E5F">
      <w:pPr>
        <w:pStyle w:val="Body"/>
        <w:spacing w:after="0"/>
        <w:rPr>
          <w:rFonts w:ascii="Arial" w:hAnsi="Arial" w:cs="Arial"/>
        </w:rPr>
      </w:pPr>
      <w:r w:rsidRPr="00A30B59">
        <w:rPr>
          <w:rFonts w:ascii="Arial" w:hAnsi="Arial" w:cs="Arial"/>
        </w:rPr>
        <w:t xml:space="preserve">The case study was developed based on a real space located in the </w:t>
      </w:r>
      <w:r>
        <w:rPr>
          <w:rFonts w:ascii="Arial" w:hAnsi="Arial" w:cs="Arial"/>
        </w:rPr>
        <w:t>“</w:t>
      </w:r>
      <w:r w:rsidRPr="00A30B59">
        <w:rPr>
          <w:rFonts w:ascii="Arial" w:hAnsi="Arial" w:cs="Arial"/>
        </w:rPr>
        <w:t>Biotechnology Building</w:t>
      </w:r>
      <w:r>
        <w:rPr>
          <w:rFonts w:ascii="Arial" w:hAnsi="Arial" w:cs="Arial"/>
        </w:rPr>
        <w:t xml:space="preserve">” </w:t>
      </w:r>
      <w:r w:rsidRPr="00A30B59">
        <w:rPr>
          <w:rFonts w:ascii="Arial" w:hAnsi="Arial" w:cs="Arial"/>
        </w:rPr>
        <w:t xml:space="preserve">of the </w:t>
      </w:r>
      <w:r>
        <w:rPr>
          <w:rFonts w:ascii="Arial" w:hAnsi="Arial" w:cs="Arial"/>
        </w:rPr>
        <w:t>Facultad de Ingenieria</w:t>
      </w:r>
      <w:r w:rsidRPr="00A30B59">
        <w:rPr>
          <w:rFonts w:ascii="Arial" w:hAnsi="Arial" w:cs="Arial"/>
        </w:rPr>
        <w:t xml:space="preserve"> at the Universidad Autónoma de Querétaro (UAQ). The southwest fa</w:t>
      </w:r>
      <w:r>
        <w:rPr>
          <w:rFonts w:ascii="Arial" w:hAnsi="Arial" w:cs="Arial"/>
        </w:rPr>
        <w:t>c</w:t>
      </w:r>
      <w:r w:rsidRPr="00A30B59">
        <w:rPr>
          <w:rFonts w:ascii="Arial" w:hAnsi="Arial" w:cs="Arial"/>
        </w:rPr>
        <w:t>ade segment of the envelope was selected, as it represents the most critical orientation under hot–semiarid conditions: it receives direct solar radiation for most of the afternoon, concentrating the highest thermal loads and therefore maximizing the demand on the fa</w:t>
      </w:r>
      <w:r>
        <w:rPr>
          <w:rFonts w:ascii="Arial" w:hAnsi="Arial" w:cs="Arial"/>
        </w:rPr>
        <w:t>c</w:t>
      </w:r>
      <w:r w:rsidRPr="00A30B59">
        <w:rPr>
          <w:rFonts w:ascii="Arial" w:hAnsi="Arial" w:cs="Arial"/>
        </w:rPr>
        <w:t>ade system.</w:t>
      </w:r>
    </w:p>
    <w:p w14:paraId="0CC7C654" w14:textId="77777777" w:rsidR="00A30B59" w:rsidRDefault="00A30B59" w:rsidP="001C1E5F">
      <w:pPr>
        <w:pStyle w:val="Body"/>
        <w:spacing w:after="0"/>
        <w:rPr>
          <w:rFonts w:ascii="Arial" w:hAnsi="Arial" w:cs="Arial"/>
        </w:rPr>
      </w:pPr>
    </w:p>
    <w:p w14:paraId="4CD34BD7" w14:textId="5B7E6139" w:rsidR="00A30B59" w:rsidRDefault="00A30B59" w:rsidP="001C1E5F">
      <w:pPr>
        <w:pStyle w:val="Body"/>
        <w:spacing w:after="0"/>
        <w:rPr>
          <w:rFonts w:ascii="Arial" w:hAnsi="Arial" w:cs="Arial"/>
        </w:rPr>
      </w:pPr>
      <w:r>
        <w:rPr>
          <w:rFonts w:ascii="Arial" w:hAnsi="Arial" w:cs="Arial"/>
          <w:noProof/>
        </w:rPr>
        <w:drawing>
          <wp:anchor distT="0" distB="0" distL="114300" distR="114300" simplePos="0" relativeHeight="251654656" behindDoc="0" locked="0" layoutInCell="1" allowOverlap="1" wp14:anchorId="73C4B519" wp14:editId="7E274F0B">
            <wp:simplePos x="0" y="0"/>
            <wp:positionH relativeFrom="margin">
              <wp:posOffset>1205865</wp:posOffset>
            </wp:positionH>
            <wp:positionV relativeFrom="margin">
              <wp:posOffset>2199640</wp:posOffset>
            </wp:positionV>
            <wp:extent cx="3228975" cy="2421255"/>
            <wp:effectExtent l="0" t="0" r="0" b="0"/>
            <wp:wrapTopAndBottom/>
            <wp:docPr id="14819765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76591" name="Imagen 148197659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28975" cy="2421255"/>
                    </a:xfrm>
                    <a:prstGeom prst="rect">
                      <a:avLst/>
                    </a:prstGeom>
                  </pic:spPr>
                </pic:pic>
              </a:graphicData>
            </a:graphic>
            <wp14:sizeRelH relativeFrom="margin">
              <wp14:pctWidth>0</wp14:pctWidth>
            </wp14:sizeRelH>
            <wp14:sizeRelV relativeFrom="margin">
              <wp14:pctHeight>0</wp14:pctHeight>
            </wp14:sizeRelV>
          </wp:anchor>
        </w:drawing>
      </w:r>
      <w:r w:rsidRPr="00A30B59">
        <w:rPr>
          <w:rFonts w:ascii="Arial" w:hAnsi="Arial" w:cs="Arial"/>
        </w:rPr>
        <w:t>The analyzed classroom measures 8.00 m in length and 4.95 m in width, resulting in a floor area of approximately 39.6 m². With an interior height of 5.00 m, the total volume is 198.00 m³. This geometry, together with its orientation and local climatic conditions, makes it a representative case for evaluating the thermal behavior of different ventilated fa</w:t>
      </w:r>
      <w:r w:rsidR="003D128C">
        <w:rPr>
          <w:rFonts w:ascii="Arial" w:hAnsi="Arial" w:cs="Arial"/>
        </w:rPr>
        <w:t>c</w:t>
      </w:r>
      <w:r w:rsidRPr="00A30B59">
        <w:rPr>
          <w:rFonts w:ascii="Arial" w:hAnsi="Arial" w:cs="Arial"/>
        </w:rPr>
        <w:t>ade configurations in hot–semiarid regions (Fig</w:t>
      </w:r>
      <w:r w:rsidR="00077E3A">
        <w:rPr>
          <w:rFonts w:ascii="Arial" w:hAnsi="Arial" w:cs="Arial"/>
        </w:rPr>
        <w:t>.</w:t>
      </w:r>
      <w:r w:rsidRPr="00A30B59">
        <w:rPr>
          <w:rFonts w:ascii="Arial" w:hAnsi="Arial" w:cs="Arial"/>
        </w:rPr>
        <w:t xml:space="preserve"> 4).</w:t>
      </w:r>
    </w:p>
    <w:p w14:paraId="293B03A6" w14:textId="6CC0BB9F" w:rsidR="00A30B59" w:rsidRDefault="00A30B59" w:rsidP="001C1E5F">
      <w:pPr>
        <w:pStyle w:val="Body"/>
        <w:spacing w:after="0"/>
        <w:rPr>
          <w:rFonts w:ascii="Arial" w:hAnsi="Arial" w:cs="Arial"/>
        </w:rPr>
      </w:pPr>
    </w:p>
    <w:p w14:paraId="5FE5AE4D" w14:textId="4A766CFA" w:rsidR="00A30B59" w:rsidRDefault="00A30B59" w:rsidP="00A30B59">
      <w:pPr>
        <w:pStyle w:val="Body"/>
        <w:spacing w:after="0"/>
        <w:jc w:val="center"/>
        <w:rPr>
          <w:rFonts w:ascii="Arial" w:hAnsi="Arial" w:cs="Arial"/>
        </w:rPr>
      </w:pPr>
      <w:r w:rsidRPr="005907FC">
        <w:rPr>
          <w:rFonts w:ascii="Arial" w:hAnsi="Arial" w:cs="Arial"/>
          <w:b/>
          <w:bCs/>
          <w:i/>
          <w:iCs/>
          <w:color w:val="000000" w:themeColor="text1"/>
        </w:rPr>
        <w:t xml:space="preserve">Fig. </w:t>
      </w:r>
      <w:r>
        <w:rPr>
          <w:rFonts w:ascii="Arial" w:hAnsi="Arial" w:cs="Arial"/>
          <w:b/>
          <w:bCs/>
          <w:i/>
          <w:iCs/>
          <w:color w:val="000000" w:themeColor="text1"/>
        </w:rPr>
        <w:t>4</w:t>
      </w:r>
      <w:r w:rsidRPr="005907FC">
        <w:rPr>
          <w:rFonts w:ascii="Arial" w:hAnsi="Arial" w:cs="Arial"/>
          <w:b/>
          <w:bCs/>
          <w:i/>
          <w:iCs/>
          <w:color w:val="000000" w:themeColor="text1"/>
        </w:rPr>
        <w:t xml:space="preserve">. </w:t>
      </w:r>
      <w:r w:rsidR="003D128C" w:rsidRPr="003D128C">
        <w:rPr>
          <w:rFonts w:ascii="Arial" w:hAnsi="Arial" w:cs="Arial"/>
          <w:b/>
          <w:bCs/>
          <w:i/>
          <w:iCs/>
          <w:color w:val="000000" w:themeColor="text1"/>
        </w:rPr>
        <w:t>Interior view of the reference classroom</w:t>
      </w:r>
      <w:r w:rsidR="003D128C">
        <w:rPr>
          <w:rFonts w:ascii="Arial" w:hAnsi="Arial" w:cs="Arial"/>
          <w:b/>
          <w:bCs/>
          <w:i/>
          <w:iCs/>
          <w:color w:val="000000" w:themeColor="text1"/>
        </w:rPr>
        <w:t xml:space="preserve"> </w:t>
      </w:r>
      <w:r w:rsidR="003D128C" w:rsidRPr="003D128C">
        <w:rPr>
          <w:rFonts w:ascii="Arial" w:hAnsi="Arial" w:cs="Arial"/>
          <w:b/>
          <w:bCs/>
          <w:i/>
          <w:iCs/>
          <w:color w:val="000000" w:themeColor="text1"/>
        </w:rPr>
        <w:t>used as case study</w:t>
      </w:r>
    </w:p>
    <w:p w14:paraId="09729D23" w14:textId="5A6A433C" w:rsidR="004A5DD1" w:rsidRDefault="004A5DD1" w:rsidP="00441B6F">
      <w:pPr>
        <w:pStyle w:val="Body"/>
        <w:spacing w:after="0"/>
        <w:rPr>
          <w:rFonts w:ascii="Arial" w:hAnsi="Arial" w:cs="Arial"/>
        </w:rPr>
      </w:pPr>
    </w:p>
    <w:p w14:paraId="33EBB431" w14:textId="2FB29604" w:rsidR="00A30B59" w:rsidRDefault="00A30B59" w:rsidP="00441B6F">
      <w:pPr>
        <w:pStyle w:val="Body"/>
        <w:spacing w:after="0"/>
        <w:rPr>
          <w:rFonts w:ascii="Arial" w:hAnsi="Arial" w:cs="Arial"/>
        </w:rPr>
      </w:pPr>
      <w:r w:rsidRPr="00A30B59">
        <w:rPr>
          <w:rFonts w:ascii="Arial" w:hAnsi="Arial" w:cs="Arial"/>
        </w:rPr>
        <w:t>The three-dimensional model was developed in Revit 2024.2, incorporating the exact location of the fa</w:t>
      </w:r>
      <w:r w:rsidR="003D128C">
        <w:rPr>
          <w:rFonts w:ascii="Arial" w:hAnsi="Arial" w:cs="Arial"/>
        </w:rPr>
        <w:t>c</w:t>
      </w:r>
      <w:r w:rsidRPr="00A30B59">
        <w:rPr>
          <w:rFonts w:ascii="Arial" w:hAnsi="Arial" w:cs="Arial"/>
        </w:rPr>
        <w:t>ade segment under study and accurately reproducing the physical composition of the wall. Each component—the exterior cladding, the air cavity, and the base wall—was defined using multilayer configurations to ensure proper geometric and material representation.</w:t>
      </w:r>
    </w:p>
    <w:p w14:paraId="1D6B4888" w14:textId="77777777" w:rsidR="004E3861" w:rsidRDefault="004E3861" w:rsidP="00441B6F">
      <w:pPr>
        <w:pStyle w:val="Body"/>
        <w:spacing w:after="0"/>
        <w:rPr>
          <w:rFonts w:ascii="Arial" w:hAnsi="Arial" w:cs="Arial"/>
        </w:rPr>
      </w:pPr>
    </w:p>
    <w:p w14:paraId="66C15D62" w14:textId="77777777" w:rsidR="001D7865" w:rsidRDefault="001D7865" w:rsidP="00441B6F">
      <w:pPr>
        <w:pStyle w:val="Body"/>
        <w:spacing w:after="0"/>
        <w:rPr>
          <w:rFonts w:ascii="Arial" w:hAnsi="Arial" w:cs="Arial"/>
        </w:rPr>
      </w:pPr>
    </w:p>
    <w:p w14:paraId="5A025B36" w14:textId="7E567AD3" w:rsidR="001D7865" w:rsidRPr="001D7865" w:rsidRDefault="0055519B" w:rsidP="001D7865">
      <w:pPr>
        <w:pStyle w:val="Body"/>
        <w:rPr>
          <w:rFonts w:ascii="Arial" w:hAnsi="Arial" w:cs="Arial"/>
          <w:b/>
          <w:sz w:val="22"/>
        </w:rPr>
      </w:pPr>
      <w:r>
        <w:rPr>
          <w:rFonts w:ascii="Arial" w:hAnsi="Arial" w:cs="Arial"/>
          <w:b/>
          <w:sz w:val="22"/>
        </w:rPr>
        <w:t xml:space="preserve">2.6 </w:t>
      </w:r>
      <w:r w:rsidR="001D7865" w:rsidRPr="001D7865">
        <w:rPr>
          <w:rFonts w:ascii="Arial" w:hAnsi="Arial" w:cs="Arial"/>
          <w:b/>
          <w:sz w:val="22"/>
        </w:rPr>
        <w:t>Ventilated Fa</w:t>
      </w:r>
      <w:r w:rsidR="00253FEB">
        <w:rPr>
          <w:rFonts w:ascii="Arial" w:hAnsi="Arial" w:cs="Arial"/>
          <w:b/>
          <w:sz w:val="22"/>
        </w:rPr>
        <w:t>c</w:t>
      </w:r>
      <w:r w:rsidR="001D7865" w:rsidRPr="001D7865">
        <w:rPr>
          <w:rFonts w:ascii="Arial" w:hAnsi="Arial" w:cs="Arial"/>
          <w:b/>
          <w:sz w:val="22"/>
        </w:rPr>
        <w:t>ade System Configuration</w:t>
      </w:r>
    </w:p>
    <w:p w14:paraId="36514C42" w14:textId="31EF23DA" w:rsidR="001D7865" w:rsidRDefault="001D7865" w:rsidP="00441B6F">
      <w:pPr>
        <w:pStyle w:val="Body"/>
        <w:spacing w:after="0"/>
        <w:rPr>
          <w:rFonts w:ascii="Arial" w:hAnsi="Arial" w:cs="Arial"/>
        </w:rPr>
      </w:pPr>
      <w:r w:rsidRPr="001D7865">
        <w:rPr>
          <w:rFonts w:ascii="Arial" w:hAnsi="Arial" w:cs="Arial"/>
        </w:rPr>
        <w:t>The geometric configuration of the ventilated fa</w:t>
      </w:r>
      <w:r w:rsidR="00D0577A">
        <w:rPr>
          <w:rFonts w:ascii="Arial" w:hAnsi="Arial" w:cs="Arial"/>
        </w:rPr>
        <w:t>c</w:t>
      </w:r>
      <w:r w:rsidRPr="001D7865">
        <w:rPr>
          <w:rFonts w:ascii="Arial" w:hAnsi="Arial" w:cs="Arial"/>
        </w:rPr>
        <w:t xml:space="preserve">ade included the explicit representation of the air cavity in two thicknesses—6 cm and 10 cm—as well as an interchangeable exterior cladding layer depending on the material analyzed: Dekton, porcelain ceramic, or fiber cement. These elements are described in </w:t>
      </w:r>
      <w:r w:rsidR="003D128C">
        <w:rPr>
          <w:rFonts w:ascii="Arial" w:hAnsi="Arial" w:cs="Arial"/>
        </w:rPr>
        <w:t>t</w:t>
      </w:r>
      <w:r w:rsidRPr="001D7865">
        <w:rPr>
          <w:rFonts w:ascii="Arial" w:hAnsi="Arial" w:cs="Arial"/>
        </w:rPr>
        <w:t>able 2.</w:t>
      </w:r>
    </w:p>
    <w:p w14:paraId="59C40F4B" w14:textId="77777777" w:rsidR="00080F6C" w:rsidRDefault="00080F6C" w:rsidP="00441B6F">
      <w:pPr>
        <w:pStyle w:val="Body"/>
        <w:spacing w:after="0"/>
        <w:rPr>
          <w:rFonts w:ascii="Arial" w:hAnsi="Arial" w:cs="Arial"/>
        </w:rPr>
      </w:pPr>
    </w:p>
    <w:p w14:paraId="155A97F1" w14:textId="1C4941BA" w:rsidR="001D7865" w:rsidRDefault="00080F6C" w:rsidP="006B7B54">
      <w:pPr>
        <w:pStyle w:val="Body"/>
        <w:spacing w:after="0"/>
        <w:rPr>
          <w:rFonts w:ascii="Arial" w:hAnsi="Arial" w:cs="Arial"/>
        </w:rPr>
      </w:pPr>
      <w:r w:rsidRPr="001D7865">
        <w:rPr>
          <w:rFonts w:ascii="Arial" w:hAnsi="Arial" w:cs="Arial"/>
        </w:rPr>
        <w:t xml:space="preserve">The objective of the modeling process was to enable a standardized comparison of the six resulting configurations (three materials × two cavity thicknesses). Figures </w:t>
      </w:r>
      <w:r w:rsidR="00253FEB">
        <w:rPr>
          <w:rFonts w:ascii="Arial" w:hAnsi="Arial" w:cs="Arial"/>
        </w:rPr>
        <w:t>5</w:t>
      </w:r>
      <w:r w:rsidRPr="001D7865">
        <w:rPr>
          <w:rFonts w:ascii="Arial" w:hAnsi="Arial" w:cs="Arial"/>
        </w:rPr>
        <w:t xml:space="preserve">, </w:t>
      </w:r>
      <w:r w:rsidR="00253FEB">
        <w:rPr>
          <w:rFonts w:ascii="Arial" w:hAnsi="Arial" w:cs="Arial"/>
        </w:rPr>
        <w:t>6</w:t>
      </w:r>
      <w:r w:rsidRPr="001D7865">
        <w:rPr>
          <w:rFonts w:ascii="Arial" w:hAnsi="Arial" w:cs="Arial"/>
        </w:rPr>
        <w:t xml:space="preserve">, and </w:t>
      </w:r>
      <w:r w:rsidR="00253FEB">
        <w:rPr>
          <w:rFonts w:ascii="Arial" w:hAnsi="Arial" w:cs="Arial"/>
        </w:rPr>
        <w:t>7</w:t>
      </w:r>
      <w:r w:rsidRPr="001D7865">
        <w:rPr>
          <w:rFonts w:ascii="Arial" w:hAnsi="Arial" w:cs="Arial"/>
        </w:rPr>
        <w:t xml:space="preserve"> illustrate the generated variants, which allowed for a consistent evaluation of the relative differences associated with each cladding material and air cavity geometry.</w:t>
      </w:r>
    </w:p>
    <w:p w14:paraId="49BA1B8A" w14:textId="77777777" w:rsidR="006B7B54" w:rsidRDefault="006B7B54" w:rsidP="006B7B54">
      <w:pPr>
        <w:pStyle w:val="Body"/>
        <w:spacing w:after="0"/>
        <w:rPr>
          <w:rFonts w:ascii="Arial" w:hAnsi="Arial" w:cs="Arial"/>
        </w:rPr>
      </w:pPr>
    </w:p>
    <w:p w14:paraId="2BFDE666" w14:textId="1A30368E" w:rsidR="001D7865" w:rsidRDefault="001D7865" w:rsidP="001D7865">
      <w:pPr>
        <w:tabs>
          <w:tab w:val="left" w:pos="1080"/>
        </w:tabs>
        <w:jc w:val="center"/>
        <w:rPr>
          <w:rFonts w:ascii="Arial" w:hAnsi="Arial"/>
          <w:b/>
        </w:rPr>
      </w:pPr>
      <w:r>
        <w:rPr>
          <w:rFonts w:ascii="Arial" w:hAnsi="Arial"/>
          <w:b/>
        </w:rPr>
        <w:lastRenderedPageBreak/>
        <w:t>Table 2.</w:t>
      </w:r>
      <w:r w:rsidRPr="00DC3180">
        <w:rPr>
          <w:rFonts w:ascii="Arial" w:hAnsi="Arial"/>
          <w:b/>
        </w:rPr>
        <w:tab/>
      </w:r>
      <w:r w:rsidRPr="001D7865">
        <w:rPr>
          <w:rFonts w:ascii="Arial" w:hAnsi="Arial"/>
          <w:b/>
        </w:rPr>
        <w:t>Configurations of the ventilated fa</w:t>
      </w:r>
      <w:r>
        <w:rPr>
          <w:rFonts w:ascii="Arial" w:hAnsi="Arial"/>
          <w:b/>
        </w:rPr>
        <w:t>c</w:t>
      </w:r>
      <w:r w:rsidRPr="001D7865">
        <w:rPr>
          <w:rFonts w:ascii="Arial" w:hAnsi="Arial"/>
          <w:b/>
        </w:rPr>
        <w:t>ade system evaluated</w:t>
      </w:r>
    </w:p>
    <w:p w14:paraId="467CA31B" w14:textId="77777777" w:rsidR="001D7865" w:rsidRPr="00DC3180" w:rsidRDefault="001D7865" w:rsidP="001D7865">
      <w:pPr>
        <w:tabs>
          <w:tab w:val="left" w:pos="1080"/>
        </w:tabs>
        <w:jc w:val="both"/>
        <w:rPr>
          <w:rFonts w:ascii="Arial" w:hAnsi="Arial"/>
          <w:b/>
        </w:rPr>
      </w:pPr>
    </w:p>
    <w:tbl>
      <w:tblPr>
        <w:tblW w:w="564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843"/>
        <w:gridCol w:w="1570"/>
        <w:gridCol w:w="2235"/>
      </w:tblGrid>
      <w:tr w:rsidR="009F1F77" w:rsidRPr="00DC3180" w14:paraId="1AD210C3" w14:textId="77777777" w:rsidTr="009F1F77">
        <w:trPr>
          <w:jc w:val="center"/>
        </w:trPr>
        <w:tc>
          <w:tcPr>
            <w:tcW w:w="1843" w:type="dxa"/>
            <w:tcBorders>
              <w:bottom w:val="single" w:sz="4" w:space="0" w:color="auto"/>
            </w:tcBorders>
            <w:vAlign w:val="center"/>
          </w:tcPr>
          <w:p w14:paraId="368A2AA9" w14:textId="470BDBCD" w:rsidR="001D7865" w:rsidRPr="00DC3180" w:rsidRDefault="001D7865" w:rsidP="009F1F77">
            <w:pPr>
              <w:rPr>
                <w:rFonts w:ascii="Arial" w:hAnsi="Arial"/>
                <w:b/>
                <w:bCs/>
              </w:rPr>
            </w:pPr>
            <w:r>
              <w:rPr>
                <w:rFonts w:ascii="Arial" w:hAnsi="Arial"/>
                <w:b/>
                <w:bCs/>
              </w:rPr>
              <w:t>Case</w:t>
            </w:r>
          </w:p>
        </w:tc>
        <w:tc>
          <w:tcPr>
            <w:tcW w:w="1570" w:type="dxa"/>
            <w:tcBorders>
              <w:bottom w:val="single" w:sz="4" w:space="0" w:color="auto"/>
            </w:tcBorders>
            <w:vAlign w:val="center"/>
          </w:tcPr>
          <w:p w14:paraId="6D9365CA" w14:textId="32BD3F34" w:rsidR="001D7865" w:rsidRPr="00DC3180" w:rsidRDefault="001D7865" w:rsidP="009F1F77">
            <w:pPr>
              <w:rPr>
                <w:rFonts w:ascii="Arial" w:hAnsi="Arial"/>
                <w:b/>
                <w:bCs/>
              </w:rPr>
            </w:pPr>
            <w:r>
              <w:rPr>
                <w:rFonts w:ascii="Arial" w:hAnsi="Arial"/>
                <w:b/>
                <w:bCs/>
              </w:rPr>
              <w:t>Cladding Material</w:t>
            </w:r>
          </w:p>
        </w:tc>
        <w:tc>
          <w:tcPr>
            <w:tcW w:w="2235" w:type="dxa"/>
            <w:tcBorders>
              <w:bottom w:val="single" w:sz="4" w:space="0" w:color="auto"/>
            </w:tcBorders>
            <w:vAlign w:val="center"/>
          </w:tcPr>
          <w:p w14:paraId="4AB4F2C3" w14:textId="50F689DF" w:rsidR="001D7865" w:rsidRPr="00DC3180" w:rsidRDefault="001D7865" w:rsidP="009F1F77">
            <w:pPr>
              <w:rPr>
                <w:rFonts w:ascii="Arial" w:hAnsi="Arial"/>
                <w:b/>
                <w:bCs/>
              </w:rPr>
            </w:pPr>
            <w:r w:rsidRPr="001D7865">
              <w:rPr>
                <w:rFonts w:ascii="Arial" w:hAnsi="Arial"/>
                <w:b/>
                <w:bCs/>
              </w:rPr>
              <w:t>Air Cavity Thickness</w:t>
            </w:r>
          </w:p>
        </w:tc>
      </w:tr>
      <w:tr w:rsidR="00F27A6B" w:rsidRPr="00DC3180" w14:paraId="22AE45DA" w14:textId="77777777" w:rsidTr="009F1F77">
        <w:trPr>
          <w:trHeight w:val="203"/>
          <w:jc w:val="center"/>
          <w:hidden/>
        </w:trPr>
        <w:tc>
          <w:tcPr>
            <w:tcW w:w="1843" w:type="dxa"/>
            <w:vMerge w:val="restart"/>
            <w:vAlign w:val="center"/>
          </w:tcPr>
          <w:p w14:paraId="07D9CE3A" w14:textId="77777777" w:rsidR="00F27A6B" w:rsidRPr="00DC3180" w:rsidRDefault="00F27A6B" w:rsidP="009F1F77">
            <w:pPr>
              <w:rPr>
                <w:rFonts w:ascii="Arial" w:hAnsi="Arial"/>
                <w:vanish/>
              </w:rPr>
            </w:pPr>
          </w:p>
          <w:p w14:paraId="1EA4B505" w14:textId="7B15D0E3" w:rsidR="00F27A6B" w:rsidRPr="00DC3180" w:rsidRDefault="00F27A6B" w:rsidP="009F1F77">
            <w:pPr>
              <w:rPr>
                <w:rFonts w:ascii="Arial" w:hAnsi="Arial"/>
                <w:b/>
                <w:bCs/>
              </w:rPr>
            </w:pPr>
            <w:r>
              <w:rPr>
                <w:rFonts w:ascii="Arial" w:hAnsi="Arial"/>
              </w:rPr>
              <w:t>Case 1</w:t>
            </w:r>
          </w:p>
        </w:tc>
        <w:tc>
          <w:tcPr>
            <w:tcW w:w="1570" w:type="dxa"/>
            <w:vMerge w:val="restart"/>
            <w:vAlign w:val="center"/>
          </w:tcPr>
          <w:p w14:paraId="650C0FAC" w14:textId="68BD1F9B" w:rsidR="00F27A6B" w:rsidRPr="009F1F77" w:rsidRDefault="00F27A6B" w:rsidP="00F27A6B">
            <w:pPr>
              <w:rPr>
                <w:rFonts w:ascii="Arial" w:hAnsi="Arial"/>
              </w:rPr>
            </w:pPr>
            <w:r>
              <w:rPr>
                <w:rFonts w:ascii="Arial" w:hAnsi="Arial"/>
              </w:rPr>
              <w:t>Dekton</w:t>
            </w:r>
          </w:p>
        </w:tc>
        <w:tc>
          <w:tcPr>
            <w:tcW w:w="2235" w:type="dxa"/>
            <w:tcBorders>
              <w:bottom w:val="nil"/>
            </w:tcBorders>
          </w:tcPr>
          <w:p w14:paraId="1AC2150D" w14:textId="6648C5D6" w:rsidR="00F27A6B" w:rsidRPr="00DC3180" w:rsidRDefault="00F27A6B" w:rsidP="00B42ED2">
            <w:pPr>
              <w:jc w:val="both"/>
              <w:rPr>
                <w:rFonts w:ascii="Arial" w:hAnsi="Arial"/>
                <w:b/>
                <w:bCs/>
              </w:rPr>
            </w:pPr>
            <w:r>
              <w:rPr>
                <w:rFonts w:ascii="Arial" w:hAnsi="Arial" w:cs="Arial"/>
              </w:rPr>
              <w:t xml:space="preserve">6 cm </w:t>
            </w:r>
          </w:p>
        </w:tc>
      </w:tr>
      <w:tr w:rsidR="00F27A6B" w:rsidRPr="00DC3180" w14:paraId="3F5C6792" w14:textId="77777777" w:rsidTr="009F1F77">
        <w:trPr>
          <w:jc w:val="center"/>
        </w:trPr>
        <w:tc>
          <w:tcPr>
            <w:tcW w:w="1843" w:type="dxa"/>
            <w:vMerge/>
            <w:tcBorders>
              <w:bottom w:val="nil"/>
            </w:tcBorders>
          </w:tcPr>
          <w:p w14:paraId="02DFD3F3" w14:textId="77777777" w:rsidR="00F27A6B" w:rsidRPr="00DC3180" w:rsidRDefault="00F27A6B" w:rsidP="00B42ED2">
            <w:pPr>
              <w:jc w:val="both"/>
              <w:rPr>
                <w:rFonts w:ascii="Arial" w:hAnsi="Arial" w:cs="Arial"/>
              </w:rPr>
            </w:pPr>
          </w:p>
        </w:tc>
        <w:tc>
          <w:tcPr>
            <w:tcW w:w="1570" w:type="dxa"/>
            <w:vMerge/>
            <w:tcBorders>
              <w:bottom w:val="nil"/>
            </w:tcBorders>
          </w:tcPr>
          <w:p w14:paraId="5FD2CFB1" w14:textId="7616C9D5" w:rsidR="00F27A6B" w:rsidRPr="00DC3180" w:rsidRDefault="00F27A6B" w:rsidP="00B42ED2">
            <w:pPr>
              <w:jc w:val="both"/>
              <w:rPr>
                <w:rFonts w:ascii="Arial" w:hAnsi="Arial" w:cs="Arial"/>
              </w:rPr>
            </w:pPr>
          </w:p>
        </w:tc>
        <w:tc>
          <w:tcPr>
            <w:tcW w:w="2235" w:type="dxa"/>
            <w:tcBorders>
              <w:top w:val="nil"/>
              <w:bottom w:val="nil"/>
            </w:tcBorders>
          </w:tcPr>
          <w:p w14:paraId="7B0D1144" w14:textId="62664D3B" w:rsidR="00F27A6B" w:rsidRPr="00DC3180" w:rsidRDefault="00F27A6B" w:rsidP="009F1F77">
            <w:pPr>
              <w:jc w:val="both"/>
              <w:rPr>
                <w:rFonts w:ascii="Arial" w:hAnsi="Arial"/>
              </w:rPr>
            </w:pPr>
            <w:r>
              <w:rPr>
                <w:rFonts w:ascii="Arial" w:hAnsi="Arial" w:cs="Arial"/>
              </w:rPr>
              <w:t>10 cm</w:t>
            </w:r>
          </w:p>
        </w:tc>
      </w:tr>
      <w:tr w:rsidR="009F1F77" w:rsidRPr="00DC3180" w14:paraId="0567F1B9" w14:textId="77777777" w:rsidTr="009F1F77">
        <w:trPr>
          <w:jc w:val="center"/>
        </w:trPr>
        <w:tc>
          <w:tcPr>
            <w:tcW w:w="1843" w:type="dxa"/>
            <w:vMerge w:val="restart"/>
            <w:tcBorders>
              <w:top w:val="nil"/>
            </w:tcBorders>
            <w:vAlign w:val="center"/>
          </w:tcPr>
          <w:p w14:paraId="56FE2E45" w14:textId="2594D32A" w:rsidR="009F1F77" w:rsidRPr="00DC3180" w:rsidRDefault="009F1F77" w:rsidP="009F1F77">
            <w:pPr>
              <w:rPr>
                <w:rFonts w:ascii="Arial" w:hAnsi="Arial"/>
                <w:vanish/>
              </w:rPr>
            </w:pPr>
            <w:r>
              <w:rPr>
                <w:rFonts w:ascii="Arial" w:hAnsi="Arial"/>
              </w:rPr>
              <w:t>Case 2</w:t>
            </w:r>
          </w:p>
          <w:p w14:paraId="7041EBEC" w14:textId="77777777" w:rsidR="009F1F77" w:rsidRPr="00DC3180" w:rsidRDefault="009F1F77" w:rsidP="009F1F77">
            <w:pPr>
              <w:rPr>
                <w:rFonts w:ascii="Arial" w:hAnsi="Arial"/>
              </w:rPr>
            </w:pPr>
          </w:p>
        </w:tc>
        <w:tc>
          <w:tcPr>
            <w:tcW w:w="1570" w:type="dxa"/>
            <w:vMerge w:val="restart"/>
            <w:tcBorders>
              <w:top w:val="nil"/>
            </w:tcBorders>
            <w:vAlign w:val="center"/>
          </w:tcPr>
          <w:p w14:paraId="2C04BB4A" w14:textId="7CD50153" w:rsidR="009F1F77" w:rsidRPr="00DC3180" w:rsidRDefault="009F1F77" w:rsidP="009F1F77">
            <w:pPr>
              <w:rPr>
                <w:rFonts w:ascii="Arial" w:hAnsi="Arial"/>
              </w:rPr>
            </w:pPr>
            <w:r>
              <w:rPr>
                <w:rFonts w:ascii="Arial" w:hAnsi="Arial"/>
              </w:rPr>
              <w:t>Ceramic</w:t>
            </w:r>
          </w:p>
        </w:tc>
        <w:tc>
          <w:tcPr>
            <w:tcW w:w="2235" w:type="dxa"/>
            <w:tcBorders>
              <w:top w:val="nil"/>
              <w:bottom w:val="nil"/>
            </w:tcBorders>
          </w:tcPr>
          <w:p w14:paraId="120FDB97" w14:textId="2C2D3ABA" w:rsidR="009F1F77" w:rsidRPr="00DC3180" w:rsidRDefault="009F1F77" w:rsidP="009F1F77">
            <w:pPr>
              <w:jc w:val="both"/>
              <w:rPr>
                <w:rFonts w:ascii="Arial" w:hAnsi="Arial" w:cs="Arial"/>
              </w:rPr>
            </w:pPr>
            <w:r>
              <w:rPr>
                <w:rFonts w:ascii="Arial" w:hAnsi="Arial" w:cs="Arial"/>
              </w:rPr>
              <w:t xml:space="preserve">6 cm </w:t>
            </w:r>
          </w:p>
        </w:tc>
      </w:tr>
      <w:tr w:rsidR="009F1F77" w:rsidRPr="00DC3180" w14:paraId="7D3A6E9F" w14:textId="77777777" w:rsidTr="009F1F77">
        <w:trPr>
          <w:jc w:val="center"/>
        </w:trPr>
        <w:tc>
          <w:tcPr>
            <w:tcW w:w="1843" w:type="dxa"/>
            <w:vMerge/>
            <w:tcBorders>
              <w:bottom w:val="nil"/>
            </w:tcBorders>
          </w:tcPr>
          <w:p w14:paraId="7FB0ECB7" w14:textId="6C7FE6E6" w:rsidR="009F1F77" w:rsidRPr="00DC3180" w:rsidRDefault="009F1F77" w:rsidP="009F1F77">
            <w:pPr>
              <w:jc w:val="both"/>
              <w:rPr>
                <w:rFonts w:ascii="Arial" w:hAnsi="Arial"/>
              </w:rPr>
            </w:pPr>
          </w:p>
        </w:tc>
        <w:tc>
          <w:tcPr>
            <w:tcW w:w="1570" w:type="dxa"/>
            <w:vMerge/>
            <w:tcBorders>
              <w:bottom w:val="nil"/>
            </w:tcBorders>
          </w:tcPr>
          <w:p w14:paraId="4176369F" w14:textId="01CA072F" w:rsidR="009F1F77" w:rsidRPr="00DC3180" w:rsidRDefault="009F1F77" w:rsidP="009F1F77">
            <w:pPr>
              <w:jc w:val="both"/>
              <w:rPr>
                <w:rFonts w:ascii="Arial" w:hAnsi="Arial"/>
              </w:rPr>
            </w:pPr>
          </w:p>
        </w:tc>
        <w:tc>
          <w:tcPr>
            <w:tcW w:w="2235" w:type="dxa"/>
            <w:tcBorders>
              <w:top w:val="nil"/>
              <w:bottom w:val="nil"/>
            </w:tcBorders>
          </w:tcPr>
          <w:p w14:paraId="5C6080CF" w14:textId="5B5F4796" w:rsidR="009F1F77" w:rsidRPr="00DC3180" w:rsidRDefault="009F1F77" w:rsidP="009F1F77">
            <w:pPr>
              <w:jc w:val="both"/>
              <w:rPr>
                <w:rFonts w:ascii="Arial" w:hAnsi="Arial" w:cs="Arial"/>
              </w:rPr>
            </w:pPr>
            <w:r>
              <w:rPr>
                <w:rFonts w:ascii="Arial" w:hAnsi="Arial" w:cs="Arial"/>
              </w:rPr>
              <w:t>10 cm</w:t>
            </w:r>
          </w:p>
        </w:tc>
      </w:tr>
      <w:tr w:rsidR="009F1F77" w:rsidRPr="00DC3180" w14:paraId="26B205F3" w14:textId="77777777" w:rsidTr="009F1F77">
        <w:trPr>
          <w:jc w:val="center"/>
        </w:trPr>
        <w:tc>
          <w:tcPr>
            <w:tcW w:w="1843" w:type="dxa"/>
            <w:vMerge w:val="restart"/>
            <w:tcBorders>
              <w:top w:val="nil"/>
            </w:tcBorders>
            <w:vAlign w:val="center"/>
          </w:tcPr>
          <w:p w14:paraId="45B2B968" w14:textId="7C83E38F" w:rsidR="009F1F77" w:rsidRPr="00DC3180" w:rsidRDefault="009F1F77" w:rsidP="009F1F77">
            <w:pPr>
              <w:rPr>
                <w:rFonts w:ascii="Arial" w:hAnsi="Arial"/>
              </w:rPr>
            </w:pPr>
            <w:r>
              <w:rPr>
                <w:rFonts w:ascii="Arial" w:hAnsi="Arial"/>
              </w:rPr>
              <w:t>Case 3</w:t>
            </w:r>
          </w:p>
        </w:tc>
        <w:tc>
          <w:tcPr>
            <w:tcW w:w="1570" w:type="dxa"/>
            <w:vMerge w:val="restart"/>
            <w:tcBorders>
              <w:top w:val="nil"/>
            </w:tcBorders>
            <w:vAlign w:val="center"/>
          </w:tcPr>
          <w:p w14:paraId="747F9721" w14:textId="2009E714" w:rsidR="009F1F77" w:rsidRPr="00DC3180" w:rsidRDefault="009F1F77" w:rsidP="009F1F77">
            <w:pPr>
              <w:rPr>
                <w:rFonts w:ascii="Arial" w:hAnsi="Arial"/>
              </w:rPr>
            </w:pPr>
            <w:r>
              <w:rPr>
                <w:rFonts w:ascii="Arial" w:hAnsi="Arial"/>
              </w:rPr>
              <w:t>Fiber-cement</w:t>
            </w:r>
          </w:p>
        </w:tc>
        <w:tc>
          <w:tcPr>
            <w:tcW w:w="2235" w:type="dxa"/>
            <w:tcBorders>
              <w:top w:val="nil"/>
              <w:bottom w:val="nil"/>
            </w:tcBorders>
          </w:tcPr>
          <w:p w14:paraId="6EB4BC8B" w14:textId="19D3BD47" w:rsidR="009F1F77" w:rsidRPr="00DC3180" w:rsidRDefault="009F1F77" w:rsidP="009F1F77">
            <w:pPr>
              <w:jc w:val="both"/>
              <w:rPr>
                <w:rFonts w:ascii="Arial" w:hAnsi="Arial" w:cs="Arial"/>
              </w:rPr>
            </w:pPr>
            <w:r>
              <w:rPr>
                <w:rFonts w:ascii="Arial" w:hAnsi="Arial" w:cs="Arial"/>
              </w:rPr>
              <w:t xml:space="preserve">6 cm </w:t>
            </w:r>
          </w:p>
        </w:tc>
      </w:tr>
      <w:tr w:rsidR="009F1F77" w:rsidRPr="00DC3180" w14:paraId="3A0AC556" w14:textId="77777777" w:rsidTr="004F65BB">
        <w:trPr>
          <w:jc w:val="center"/>
        </w:trPr>
        <w:tc>
          <w:tcPr>
            <w:tcW w:w="1843" w:type="dxa"/>
            <w:vMerge/>
            <w:tcBorders>
              <w:bottom w:val="single" w:sz="4" w:space="0" w:color="auto"/>
            </w:tcBorders>
          </w:tcPr>
          <w:p w14:paraId="6A84687C" w14:textId="77777777" w:rsidR="009F1F77" w:rsidRDefault="009F1F77" w:rsidP="009F1F77">
            <w:pPr>
              <w:jc w:val="both"/>
              <w:rPr>
                <w:rFonts w:ascii="Arial" w:hAnsi="Arial"/>
              </w:rPr>
            </w:pPr>
          </w:p>
        </w:tc>
        <w:tc>
          <w:tcPr>
            <w:tcW w:w="1570" w:type="dxa"/>
            <w:vMerge/>
            <w:tcBorders>
              <w:bottom w:val="single" w:sz="4" w:space="0" w:color="auto"/>
            </w:tcBorders>
          </w:tcPr>
          <w:p w14:paraId="74A94EB6" w14:textId="77777777" w:rsidR="009F1F77" w:rsidRPr="00DC3180" w:rsidRDefault="009F1F77" w:rsidP="009F1F77">
            <w:pPr>
              <w:jc w:val="both"/>
              <w:rPr>
                <w:rFonts w:ascii="Arial" w:hAnsi="Arial"/>
              </w:rPr>
            </w:pPr>
          </w:p>
        </w:tc>
        <w:tc>
          <w:tcPr>
            <w:tcW w:w="2235" w:type="dxa"/>
            <w:tcBorders>
              <w:top w:val="nil"/>
              <w:bottom w:val="single" w:sz="4" w:space="0" w:color="auto"/>
            </w:tcBorders>
          </w:tcPr>
          <w:p w14:paraId="1E3D8B03" w14:textId="4A414683" w:rsidR="009F1F77" w:rsidRDefault="009F1F77" w:rsidP="009F1F77">
            <w:pPr>
              <w:jc w:val="both"/>
              <w:rPr>
                <w:rFonts w:ascii="Arial" w:hAnsi="Arial" w:cs="Arial"/>
              </w:rPr>
            </w:pPr>
            <w:r>
              <w:rPr>
                <w:rFonts w:ascii="Arial" w:hAnsi="Arial" w:cs="Arial"/>
              </w:rPr>
              <w:t>10 cm</w:t>
            </w:r>
          </w:p>
        </w:tc>
      </w:tr>
    </w:tbl>
    <w:p w14:paraId="257B11E3" w14:textId="77777777" w:rsidR="001D7865" w:rsidRDefault="001D7865" w:rsidP="00441B6F">
      <w:pPr>
        <w:pStyle w:val="Body"/>
        <w:spacing w:after="0"/>
        <w:rPr>
          <w:rFonts w:ascii="Arial" w:hAnsi="Arial" w:cs="Arial"/>
        </w:rPr>
      </w:pPr>
    </w:p>
    <w:p w14:paraId="5D13A69B" w14:textId="7D1D754B" w:rsidR="001D7865" w:rsidRDefault="00253FEB" w:rsidP="00441B6F">
      <w:pPr>
        <w:pStyle w:val="Body"/>
        <w:spacing w:after="0"/>
        <w:rPr>
          <w:rFonts w:ascii="Arial" w:hAnsi="Arial" w:cs="Arial"/>
        </w:rPr>
      </w:pPr>
      <w:r>
        <w:rPr>
          <w:rFonts w:ascii="Arial" w:hAnsi="Arial" w:cs="Arial"/>
          <w:noProof/>
        </w:rPr>
        <w:drawing>
          <wp:anchor distT="0" distB="0" distL="114300" distR="114300" simplePos="0" relativeHeight="251636736" behindDoc="0" locked="0" layoutInCell="1" allowOverlap="1" wp14:anchorId="3D3DE1F3" wp14:editId="4FAA93E9">
            <wp:simplePos x="0" y="0"/>
            <wp:positionH relativeFrom="column">
              <wp:posOffset>14605</wp:posOffset>
            </wp:positionH>
            <wp:positionV relativeFrom="paragraph">
              <wp:posOffset>899160</wp:posOffset>
            </wp:positionV>
            <wp:extent cx="5208905" cy="3084830"/>
            <wp:effectExtent l="0" t="0" r="0" b="0"/>
            <wp:wrapTopAndBottom/>
            <wp:docPr id="16057442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744271" name="Imagen 1605744271"/>
                    <pic:cNvPicPr/>
                  </pic:nvPicPr>
                  <pic:blipFill rotWithShape="1">
                    <a:blip r:embed="rId18" cstate="print">
                      <a:extLst>
                        <a:ext uri="{28A0092B-C50C-407E-A947-70E740481C1C}">
                          <a14:useLocalDpi xmlns:a14="http://schemas.microsoft.com/office/drawing/2010/main" val="0"/>
                        </a:ext>
                      </a:extLst>
                    </a:blip>
                    <a:srcRect l="2848" t="6935" r="3264" b="14350"/>
                    <a:stretch>
                      <a:fillRect/>
                    </a:stretch>
                  </pic:blipFill>
                  <pic:spPr bwMode="auto">
                    <a:xfrm>
                      <a:off x="0" y="0"/>
                      <a:ext cx="5208905" cy="3084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53FEB">
        <w:rPr>
          <w:rFonts w:ascii="Arial" w:hAnsi="Arial" w:cs="Arial"/>
        </w:rPr>
        <w:t>Each configuration was modeled as a multilayer system consisting of a tempered-glass base wall, a ventilated air cavity with variable thickness (6 cm or 10 cm), and an interchangeable exterior cladding layer depending on the material under analysis (Dekton, ceramic, or fiber-cement). This structure enabled a consistent comparison of the expected thermal behavior among the different ventilated fa</w:t>
      </w:r>
      <w:r w:rsidR="003D128C">
        <w:rPr>
          <w:rFonts w:ascii="Arial" w:hAnsi="Arial" w:cs="Arial"/>
        </w:rPr>
        <w:t>c</w:t>
      </w:r>
      <w:r w:rsidRPr="00253FEB">
        <w:rPr>
          <w:rFonts w:ascii="Arial" w:hAnsi="Arial" w:cs="Arial"/>
        </w:rPr>
        <w:t>ade variants, while keeping the geometric and construction parameters of the model constant.</w:t>
      </w:r>
    </w:p>
    <w:p w14:paraId="63E0E01F" w14:textId="147C7F7F" w:rsidR="00592D15" w:rsidRDefault="00253FEB" w:rsidP="003D128C">
      <w:pPr>
        <w:pStyle w:val="Body"/>
        <w:jc w:val="center"/>
        <w:rPr>
          <w:rFonts w:ascii="Arial" w:hAnsi="Arial" w:cs="Arial"/>
          <w:b/>
          <w:bCs/>
          <w:i/>
          <w:iCs/>
          <w:color w:val="000000" w:themeColor="text1"/>
        </w:rPr>
        <w:sectPr w:rsidR="00592D15" w:rsidSect="00C633BB">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sidRPr="005907FC">
        <w:rPr>
          <w:rFonts w:ascii="Arial" w:hAnsi="Arial" w:cs="Arial"/>
          <w:b/>
          <w:bCs/>
          <w:i/>
          <w:iCs/>
          <w:color w:val="000000" w:themeColor="text1"/>
        </w:rPr>
        <w:t xml:space="preserve">Fig. </w:t>
      </w:r>
      <w:r>
        <w:rPr>
          <w:rFonts w:ascii="Arial" w:hAnsi="Arial" w:cs="Arial"/>
          <w:b/>
          <w:bCs/>
          <w:i/>
          <w:iCs/>
          <w:color w:val="000000" w:themeColor="text1"/>
        </w:rPr>
        <w:t>5</w:t>
      </w:r>
      <w:r w:rsidRPr="005907FC">
        <w:rPr>
          <w:rFonts w:ascii="Arial" w:hAnsi="Arial" w:cs="Arial"/>
          <w:b/>
          <w:bCs/>
          <w:i/>
          <w:iCs/>
          <w:color w:val="000000" w:themeColor="text1"/>
        </w:rPr>
        <w:t xml:space="preserve">. </w:t>
      </w:r>
      <w:r w:rsidR="003D128C">
        <w:rPr>
          <w:rFonts w:ascii="Arial" w:hAnsi="Arial" w:cs="Arial"/>
          <w:b/>
          <w:bCs/>
          <w:i/>
          <w:iCs/>
          <w:color w:val="000000" w:themeColor="text1"/>
        </w:rPr>
        <w:t>F</w:t>
      </w:r>
      <w:r w:rsidR="003D128C" w:rsidRPr="003D128C">
        <w:rPr>
          <w:rFonts w:ascii="Arial" w:hAnsi="Arial" w:cs="Arial"/>
          <w:b/>
          <w:bCs/>
          <w:i/>
          <w:iCs/>
          <w:color w:val="000000" w:themeColor="text1"/>
        </w:rPr>
        <w:t>a</w:t>
      </w:r>
      <w:r w:rsidR="003D128C">
        <w:rPr>
          <w:rFonts w:ascii="Arial" w:hAnsi="Arial" w:cs="Arial"/>
          <w:b/>
          <w:bCs/>
          <w:i/>
          <w:iCs/>
          <w:color w:val="000000" w:themeColor="text1"/>
        </w:rPr>
        <w:t>c</w:t>
      </w:r>
      <w:r w:rsidR="003D128C" w:rsidRPr="003D128C">
        <w:rPr>
          <w:rFonts w:ascii="Arial" w:hAnsi="Arial" w:cs="Arial"/>
          <w:b/>
          <w:bCs/>
          <w:i/>
          <w:iCs/>
          <w:color w:val="000000" w:themeColor="text1"/>
        </w:rPr>
        <w:t>ade configurations analyzed:(1) existing single-glazed fa</w:t>
      </w:r>
      <w:r w:rsidR="00592D15">
        <w:rPr>
          <w:rFonts w:ascii="Arial" w:hAnsi="Arial" w:cs="Arial"/>
          <w:b/>
          <w:bCs/>
          <w:i/>
          <w:iCs/>
          <w:color w:val="000000" w:themeColor="text1"/>
        </w:rPr>
        <w:t>c</w:t>
      </w:r>
      <w:r w:rsidR="003D128C" w:rsidRPr="003D128C">
        <w:rPr>
          <w:rFonts w:ascii="Arial" w:hAnsi="Arial" w:cs="Arial"/>
          <w:b/>
          <w:bCs/>
          <w:i/>
          <w:iCs/>
          <w:color w:val="000000" w:themeColor="text1"/>
        </w:rPr>
        <w:t>ade (reference case),</w:t>
      </w:r>
      <w:r w:rsidR="003D128C">
        <w:rPr>
          <w:rFonts w:ascii="Arial" w:hAnsi="Arial" w:cs="Arial"/>
          <w:b/>
          <w:bCs/>
          <w:i/>
          <w:iCs/>
          <w:color w:val="000000" w:themeColor="text1"/>
        </w:rPr>
        <w:t xml:space="preserve"> </w:t>
      </w:r>
      <w:r w:rsidR="003D128C" w:rsidRPr="003D128C">
        <w:rPr>
          <w:rFonts w:ascii="Arial" w:hAnsi="Arial" w:cs="Arial"/>
          <w:b/>
          <w:bCs/>
          <w:i/>
          <w:iCs/>
          <w:color w:val="000000" w:themeColor="text1"/>
        </w:rPr>
        <w:t>(2) ventilated fa</w:t>
      </w:r>
      <w:r w:rsidR="003D128C">
        <w:rPr>
          <w:rFonts w:ascii="Arial" w:hAnsi="Arial" w:cs="Arial"/>
          <w:b/>
          <w:bCs/>
          <w:i/>
          <w:iCs/>
          <w:color w:val="000000" w:themeColor="text1"/>
        </w:rPr>
        <w:t>c</w:t>
      </w:r>
      <w:r w:rsidR="003D128C" w:rsidRPr="003D128C">
        <w:rPr>
          <w:rFonts w:ascii="Arial" w:hAnsi="Arial" w:cs="Arial"/>
          <w:b/>
          <w:bCs/>
          <w:i/>
          <w:iCs/>
          <w:color w:val="000000" w:themeColor="text1"/>
        </w:rPr>
        <w:t>ade with 6 cm air cavity and Dekton outer layer,(3) ventilated fa</w:t>
      </w:r>
      <w:r w:rsidR="003D128C">
        <w:rPr>
          <w:rFonts w:ascii="Arial" w:hAnsi="Arial" w:cs="Arial"/>
          <w:b/>
          <w:bCs/>
          <w:i/>
          <w:iCs/>
          <w:color w:val="000000" w:themeColor="text1"/>
        </w:rPr>
        <w:t>c</w:t>
      </w:r>
      <w:r w:rsidR="003D128C" w:rsidRPr="003D128C">
        <w:rPr>
          <w:rFonts w:ascii="Arial" w:hAnsi="Arial" w:cs="Arial"/>
          <w:b/>
          <w:bCs/>
          <w:i/>
          <w:iCs/>
          <w:color w:val="000000" w:themeColor="text1"/>
        </w:rPr>
        <w:t>ade with 10 cm air cavity and Dekton outer layer, and</w:t>
      </w:r>
      <w:r w:rsidR="003D128C">
        <w:rPr>
          <w:rFonts w:ascii="Arial" w:hAnsi="Arial" w:cs="Arial"/>
          <w:b/>
          <w:bCs/>
          <w:i/>
          <w:iCs/>
          <w:color w:val="000000" w:themeColor="text1"/>
        </w:rPr>
        <w:t xml:space="preserve"> </w:t>
      </w:r>
      <w:r w:rsidR="003D128C" w:rsidRPr="003D128C">
        <w:rPr>
          <w:rFonts w:ascii="Arial" w:hAnsi="Arial" w:cs="Arial"/>
          <w:b/>
          <w:bCs/>
          <w:i/>
          <w:iCs/>
          <w:color w:val="000000" w:themeColor="text1"/>
        </w:rPr>
        <w:t>(4) perspective view of the proposed ventilated fa</w:t>
      </w:r>
      <w:r w:rsidR="003D128C">
        <w:rPr>
          <w:rFonts w:ascii="Arial" w:hAnsi="Arial" w:cs="Arial"/>
          <w:b/>
          <w:bCs/>
          <w:i/>
          <w:iCs/>
          <w:color w:val="000000" w:themeColor="text1"/>
        </w:rPr>
        <w:t>c</w:t>
      </w:r>
      <w:r w:rsidR="003D128C" w:rsidRPr="003D128C">
        <w:rPr>
          <w:rFonts w:ascii="Arial" w:hAnsi="Arial" w:cs="Arial"/>
          <w:b/>
          <w:bCs/>
          <w:i/>
          <w:iCs/>
          <w:color w:val="000000" w:themeColor="text1"/>
        </w:rPr>
        <w:t>ade with Dekton cladding</w:t>
      </w:r>
    </w:p>
    <w:p w14:paraId="08082962" w14:textId="7DDF7989" w:rsidR="00592D15" w:rsidRDefault="00592D15" w:rsidP="00592D15">
      <w:pPr>
        <w:pStyle w:val="Body"/>
        <w:jc w:val="center"/>
        <w:rPr>
          <w:rFonts w:ascii="Arial" w:hAnsi="Arial" w:cs="Arial"/>
          <w:b/>
          <w:bCs/>
          <w:i/>
          <w:iCs/>
          <w:color w:val="000000" w:themeColor="text1"/>
        </w:rPr>
      </w:pPr>
      <w:r>
        <w:rPr>
          <w:rFonts w:ascii="Arial" w:hAnsi="Arial" w:cs="Arial"/>
          <w:noProof/>
        </w:rPr>
        <w:lastRenderedPageBreak/>
        <w:drawing>
          <wp:anchor distT="0" distB="0" distL="114300" distR="114300" simplePos="0" relativeHeight="251680768" behindDoc="0" locked="0" layoutInCell="1" allowOverlap="1" wp14:anchorId="03BF6661" wp14:editId="5A9A15C9">
            <wp:simplePos x="0" y="0"/>
            <wp:positionH relativeFrom="margin">
              <wp:posOffset>-121285</wp:posOffset>
            </wp:positionH>
            <wp:positionV relativeFrom="margin">
              <wp:posOffset>3667760</wp:posOffset>
            </wp:positionV>
            <wp:extent cx="5434965" cy="2976880"/>
            <wp:effectExtent l="0" t="0" r="0" b="0"/>
            <wp:wrapTopAndBottom/>
            <wp:docPr id="99619872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198725" name="Imagen 996198725"/>
                    <pic:cNvPicPr/>
                  </pic:nvPicPr>
                  <pic:blipFill rotWithShape="1">
                    <a:blip r:embed="rId23" cstate="print">
                      <a:extLst>
                        <a:ext uri="{28A0092B-C50C-407E-A947-70E740481C1C}">
                          <a14:useLocalDpi xmlns:a14="http://schemas.microsoft.com/office/drawing/2010/main" val="0"/>
                        </a:ext>
                      </a:extLst>
                    </a:blip>
                    <a:srcRect l="3509" t="11525" r="2721" b="15743"/>
                    <a:stretch>
                      <a:fillRect/>
                    </a:stretch>
                  </pic:blipFill>
                  <pic:spPr bwMode="auto">
                    <a:xfrm>
                      <a:off x="0" y="0"/>
                      <a:ext cx="5434965" cy="2976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60288" behindDoc="0" locked="0" layoutInCell="1" allowOverlap="1" wp14:anchorId="35280D5B" wp14:editId="4A21672B">
            <wp:simplePos x="0" y="0"/>
            <wp:positionH relativeFrom="margin">
              <wp:posOffset>-121285</wp:posOffset>
            </wp:positionH>
            <wp:positionV relativeFrom="margin">
              <wp:posOffset>-78105</wp:posOffset>
            </wp:positionV>
            <wp:extent cx="5315585" cy="3002915"/>
            <wp:effectExtent l="0" t="0" r="0" b="0"/>
            <wp:wrapSquare wrapText="bothSides"/>
            <wp:docPr id="153051588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568237" name="Imagen 1689568237"/>
                    <pic:cNvPicPr/>
                  </pic:nvPicPr>
                  <pic:blipFill rotWithShape="1">
                    <a:blip r:embed="rId24" cstate="print">
                      <a:extLst>
                        <a:ext uri="{28A0092B-C50C-407E-A947-70E740481C1C}">
                          <a14:useLocalDpi xmlns:a14="http://schemas.microsoft.com/office/drawing/2010/main" val="0"/>
                        </a:ext>
                      </a:extLst>
                    </a:blip>
                    <a:srcRect l="4119" t="11231" r="3265" b="14681"/>
                    <a:stretch>
                      <a:fillRect/>
                    </a:stretch>
                  </pic:blipFill>
                  <pic:spPr bwMode="auto">
                    <a:xfrm>
                      <a:off x="0" y="0"/>
                      <a:ext cx="5315585" cy="3002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Hlk215811960"/>
      <w:r w:rsidR="00253FEB" w:rsidRPr="005907FC">
        <w:rPr>
          <w:rFonts w:ascii="Arial" w:hAnsi="Arial" w:cs="Arial"/>
          <w:b/>
          <w:bCs/>
          <w:i/>
          <w:iCs/>
          <w:color w:val="000000" w:themeColor="text1"/>
        </w:rPr>
        <w:t xml:space="preserve">Fig. </w:t>
      </w:r>
      <w:r w:rsidR="00253FEB">
        <w:rPr>
          <w:rFonts w:ascii="Arial" w:hAnsi="Arial" w:cs="Arial"/>
          <w:b/>
          <w:bCs/>
          <w:i/>
          <w:iCs/>
          <w:color w:val="000000" w:themeColor="text1"/>
        </w:rPr>
        <w:t>6</w:t>
      </w:r>
      <w:r w:rsidR="00253FEB" w:rsidRPr="005907FC">
        <w:rPr>
          <w:rFonts w:ascii="Arial" w:hAnsi="Arial" w:cs="Arial"/>
          <w:b/>
          <w:bCs/>
          <w:i/>
          <w:iCs/>
          <w:color w:val="000000" w:themeColor="text1"/>
        </w:rPr>
        <w:t xml:space="preserve">. </w:t>
      </w:r>
      <w:r w:rsidRPr="00592D15">
        <w:rPr>
          <w:rFonts w:ascii="Arial" w:hAnsi="Arial" w:cs="Arial"/>
          <w:b/>
          <w:bCs/>
          <w:i/>
          <w:iCs/>
          <w:color w:val="000000" w:themeColor="text1"/>
        </w:rPr>
        <w:t>Facade configurations analyzed:(1) existing single-glazed fa</w:t>
      </w:r>
      <w:r>
        <w:rPr>
          <w:rFonts w:ascii="Arial" w:hAnsi="Arial" w:cs="Arial"/>
          <w:b/>
          <w:bCs/>
          <w:i/>
          <w:iCs/>
          <w:color w:val="000000" w:themeColor="text1"/>
        </w:rPr>
        <w:t>c</w:t>
      </w:r>
      <w:r w:rsidRPr="00592D15">
        <w:rPr>
          <w:rFonts w:ascii="Arial" w:hAnsi="Arial" w:cs="Arial"/>
          <w:b/>
          <w:bCs/>
          <w:i/>
          <w:iCs/>
          <w:color w:val="000000" w:themeColor="text1"/>
        </w:rPr>
        <w:t xml:space="preserve">ade (reference case), (2) ventilated facade with 6 cm air cavity and </w:t>
      </w:r>
      <w:r>
        <w:rPr>
          <w:rFonts w:ascii="Arial" w:hAnsi="Arial" w:cs="Arial"/>
          <w:b/>
          <w:bCs/>
          <w:i/>
          <w:iCs/>
          <w:color w:val="000000" w:themeColor="text1"/>
        </w:rPr>
        <w:t>Ceramic</w:t>
      </w:r>
      <w:r w:rsidRPr="00592D15">
        <w:rPr>
          <w:rFonts w:ascii="Arial" w:hAnsi="Arial" w:cs="Arial"/>
          <w:b/>
          <w:bCs/>
          <w:i/>
          <w:iCs/>
          <w:color w:val="000000" w:themeColor="text1"/>
        </w:rPr>
        <w:t xml:space="preserve"> outer </w:t>
      </w:r>
      <w:r w:rsidR="0055519B" w:rsidRPr="00592D15">
        <w:rPr>
          <w:rFonts w:ascii="Arial" w:hAnsi="Arial" w:cs="Arial"/>
          <w:b/>
          <w:bCs/>
          <w:i/>
          <w:iCs/>
          <w:color w:val="000000" w:themeColor="text1"/>
        </w:rPr>
        <w:t>layer, (</w:t>
      </w:r>
      <w:r w:rsidRPr="00592D15">
        <w:rPr>
          <w:rFonts w:ascii="Arial" w:hAnsi="Arial" w:cs="Arial"/>
          <w:b/>
          <w:bCs/>
          <w:i/>
          <w:iCs/>
          <w:color w:val="000000" w:themeColor="text1"/>
        </w:rPr>
        <w:t xml:space="preserve">3) ventilated facade with 10 cm air cavity and </w:t>
      </w:r>
      <w:r>
        <w:rPr>
          <w:rFonts w:ascii="Arial" w:hAnsi="Arial" w:cs="Arial"/>
          <w:b/>
          <w:bCs/>
          <w:i/>
          <w:iCs/>
          <w:color w:val="000000" w:themeColor="text1"/>
        </w:rPr>
        <w:t>ceramic</w:t>
      </w:r>
      <w:r w:rsidRPr="00592D15">
        <w:rPr>
          <w:rFonts w:ascii="Arial" w:hAnsi="Arial" w:cs="Arial"/>
          <w:b/>
          <w:bCs/>
          <w:i/>
          <w:iCs/>
          <w:color w:val="000000" w:themeColor="text1"/>
        </w:rPr>
        <w:t xml:space="preserve"> outer layer, and (4) perspective view of the proposed ventilated facade with </w:t>
      </w:r>
      <w:r>
        <w:rPr>
          <w:rFonts w:ascii="Arial" w:hAnsi="Arial" w:cs="Arial"/>
          <w:b/>
          <w:bCs/>
          <w:i/>
          <w:iCs/>
          <w:color w:val="000000" w:themeColor="text1"/>
        </w:rPr>
        <w:t>ceramic</w:t>
      </w:r>
      <w:r w:rsidRPr="00592D15">
        <w:rPr>
          <w:rFonts w:ascii="Arial" w:hAnsi="Arial" w:cs="Arial"/>
          <w:b/>
          <w:bCs/>
          <w:i/>
          <w:iCs/>
          <w:color w:val="000000" w:themeColor="text1"/>
        </w:rPr>
        <w:t xml:space="preserve"> cladding</w:t>
      </w:r>
      <w:bookmarkEnd w:id="0"/>
      <w:r w:rsidRPr="00592D15">
        <w:rPr>
          <w:rFonts w:ascii="Arial" w:hAnsi="Arial" w:cs="Arial"/>
          <w:b/>
          <w:bCs/>
          <w:i/>
          <w:iCs/>
          <w:color w:val="000000" w:themeColor="text1"/>
        </w:rPr>
        <w:t xml:space="preserve">. </w:t>
      </w:r>
    </w:p>
    <w:p w14:paraId="43AFC938" w14:textId="2DCFADB0" w:rsidR="00592D15" w:rsidRDefault="00253FEB" w:rsidP="00592D15">
      <w:pPr>
        <w:pStyle w:val="Body"/>
        <w:jc w:val="center"/>
        <w:rPr>
          <w:rFonts w:ascii="Arial" w:hAnsi="Arial" w:cs="Arial"/>
          <w:b/>
          <w:bCs/>
          <w:i/>
          <w:iCs/>
          <w:color w:val="000000" w:themeColor="text1"/>
        </w:rPr>
        <w:sectPr w:rsidR="00592D15" w:rsidSect="00C633BB">
          <w:pgSz w:w="12240" w:h="15840"/>
          <w:pgMar w:top="1440" w:right="2016" w:bottom="2016" w:left="2016" w:header="720" w:footer="1123" w:gutter="0"/>
          <w:cols w:space="720"/>
          <w:docGrid w:linePitch="272"/>
        </w:sectPr>
      </w:pPr>
      <w:r w:rsidRPr="005907FC">
        <w:rPr>
          <w:rFonts w:ascii="Arial" w:hAnsi="Arial" w:cs="Arial"/>
          <w:b/>
          <w:bCs/>
          <w:i/>
          <w:iCs/>
          <w:color w:val="000000" w:themeColor="text1"/>
        </w:rPr>
        <w:t xml:space="preserve">Fig. </w:t>
      </w:r>
      <w:r>
        <w:rPr>
          <w:rFonts w:ascii="Arial" w:hAnsi="Arial" w:cs="Arial"/>
          <w:b/>
          <w:bCs/>
          <w:i/>
          <w:iCs/>
          <w:color w:val="000000" w:themeColor="text1"/>
        </w:rPr>
        <w:t>7</w:t>
      </w:r>
      <w:r w:rsidRPr="005907FC">
        <w:rPr>
          <w:rFonts w:ascii="Arial" w:hAnsi="Arial" w:cs="Arial"/>
          <w:b/>
          <w:bCs/>
          <w:i/>
          <w:iCs/>
          <w:color w:val="000000" w:themeColor="text1"/>
        </w:rPr>
        <w:t xml:space="preserve">. </w:t>
      </w:r>
      <w:r w:rsidR="00592D15" w:rsidRPr="00592D15">
        <w:rPr>
          <w:rFonts w:ascii="Arial" w:hAnsi="Arial" w:cs="Arial"/>
          <w:b/>
          <w:bCs/>
          <w:i/>
          <w:iCs/>
          <w:color w:val="000000" w:themeColor="text1"/>
        </w:rPr>
        <w:t xml:space="preserve">Facade configurations analyzed:(1) existing single-glazed facade (reference case), (2) ventilated facade with 6 cm air cavity and </w:t>
      </w:r>
      <w:r w:rsidR="00592D15">
        <w:rPr>
          <w:rFonts w:ascii="Arial" w:hAnsi="Arial" w:cs="Arial"/>
          <w:b/>
          <w:bCs/>
          <w:i/>
          <w:iCs/>
          <w:color w:val="000000" w:themeColor="text1"/>
        </w:rPr>
        <w:t>fiber-cement</w:t>
      </w:r>
      <w:r w:rsidR="00592D15" w:rsidRPr="00592D15">
        <w:rPr>
          <w:rFonts w:ascii="Arial" w:hAnsi="Arial" w:cs="Arial"/>
          <w:b/>
          <w:bCs/>
          <w:i/>
          <w:iCs/>
          <w:color w:val="000000" w:themeColor="text1"/>
        </w:rPr>
        <w:t xml:space="preserve"> outer layer,(3) ventilated facade with 10 cm air cavity and </w:t>
      </w:r>
      <w:r w:rsidR="00592D15">
        <w:rPr>
          <w:rFonts w:ascii="Arial" w:hAnsi="Arial" w:cs="Arial"/>
          <w:b/>
          <w:bCs/>
          <w:i/>
          <w:iCs/>
          <w:color w:val="000000" w:themeColor="text1"/>
        </w:rPr>
        <w:t>fiber-cement</w:t>
      </w:r>
      <w:r w:rsidR="00592D15" w:rsidRPr="00592D15">
        <w:rPr>
          <w:rFonts w:ascii="Arial" w:hAnsi="Arial" w:cs="Arial"/>
          <w:b/>
          <w:bCs/>
          <w:i/>
          <w:iCs/>
          <w:color w:val="000000" w:themeColor="text1"/>
        </w:rPr>
        <w:t xml:space="preserve"> outer layer, and (4) perspective view of the proposed ventilated facade with </w:t>
      </w:r>
      <w:r w:rsidR="00592D15">
        <w:rPr>
          <w:rFonts w:ascii="Arial" w:hAnsi="Arial" w:cs="Arial"/>
          <w:b/>
          <w:bCs/>
          <w:i/>
          <w:iCs/>
          <w:color w:val="000000" w:themeColor="text1"/>
        </w:rPr>
        <w:t>fiber-cement</w:t>
      </w:r>
      <w:r w:rsidR="00592D15" w:rsidRPr="00592D15">
        <w:rPr>
          <w:rFonts w:ascii="Arial" w:hAnsi="Arial" w:cs="Arial"/>
          <w:b/>
          <w:bCs/>
          <w:i/>
          <w:iCs/>
          <w:color w:val="000000" w:themeColor="text1"/>
        </w:rPr>
        <w:t xml:space="preserve"> claddi</w:t>
      </w:r>
      <w:r w:rsidR="00592D15">
        <w:rPr>
          <w:rFonts w:ascii="Arial" w:hAnsi="Arial" w:cs="Arial"/>
          <w:b/>
          <w:bCs/>
          <w:i/>
          <w:iCs/>
          <w:color w:val="000000" w:themeColor="text1"/>
        </w:rPr>
        <w:t>g.</w:t>
      </w:r>
    </w:p>
    <w:p w14:paraId="6DDD7398" w14:textId="2EAC1E7F" w:rsidR="00080F6C" w:rsidRPr="00253FEB" w:rsidRDefault="00253FEB" w:rsidP="00253FEB">
      <w:pPr>
        <w:pStyle w:val="Body"/>
        <w:rPr>
          <w:rFonts w:ascii="Arial" w:hAnsi="Arial" w:cs="Arial"/>
          <w:b/>
          <w:sz w:val="22"/>
        </w:rPr>
      </w:pPr>
      <w:r w:rsidRPr="00253FEB">
        <w:rPr>
          <w:rFonts w:ascii="Arial" w:hAnsi="Arial" w:cs="Arial"/>
          <w:b/>
          <w:sz w:val="22"/>
        </w:rPr>
        <w:lastRenderedPageBreak/>
        <w:t>2.</w:t>
      </w:r>
      <w:r w:rsidR="0055519B">
        <w:rPr>
          <w:rFonts w:ascii="Arial" w:hAnsi="Arial" w:cs="Arial"/>
          <w:b/>
          <w:sz w:val="22"/>
        </w:rPr>
        <w:t>7</w:t>
      </w:r>
      <w:r w:rsidRPr="00253FEB">
        <w:rPr>
          <w:rFonts w:ascii="Arial" w:hAnsi="Arial" w:cs="Arial"/>
          <w:b/>
          <w:sz w:val="22"/>
        </w:rPr>
        <w:t xml:space="preserve"> </w:t>
      </w:r>
      <w:r w:rsidR="00A61C6A" w:rsidRPr="00A61C6A">
        <w:rPr>
          <w:rFonts w:ascii="Arial" w:hAnsi="Arial" w:cs="Arial"/>
          <w:b/>
          <w:sz w:val="22"/>
        </w:rPr>
        <w:t>Thermal calculation using a model</w:t>
      </w:r>
    </w:p>
    <w:p w14:paraId="1FA9573C" w14:textId="5D054234" w:rsidR="00344E1E" w:rsidRDefault="009745AC" w:rsidP="00441B6F">
      <w:pPr>
        <w:pStyle w:val="Body"/>
        <w:spacing w:after="0"/>
        <w:rPr>
          <w:rFonts w:ascii="Arial" w:hAnsi="Arial" w:cs="Arial"/>
        </w:rPr>
      </w:pPr>
      <w:r w:rsidRPr="009745AC">
        <w:rPr>
          <w:rFonts w:ascii="Arial" w:hAnsi="Arial" w:cs="Arial"/>
        </w:rPr>
        <w:t>A simplified thermal modeling approach was adopted based on a one-dimensional series-resistance scheme, with the purpose of estimating the heat flux through the evaluated ventilated fa</w:t>
      </w:r>
      <w:r>
        <w:rPr>
          <w:rFonts w:ascii="Arial" w:hAnsi="Arial" w:cs="Arial"/>
        </w:rPr>
        <w:t>c</w:t>
      </w:r>
      <w:r w:rsidRPr="009745AC">
        <w:rPr>
          <w:rFonts w:ascii="Arial" w:hAnsi="Arial" w:cs="Arial"/>
        </w:rPr>
        <w:t>ade configurations. Unlike more complex approaches</w:t>
      </w:r>
      <w:r>
        <w:rPr>
          <w:rFonts w:ascii="Arial" w:hAnsi="Arial" w:cs="Arial"/>
        </w:rPr>
        <w:t xml:space="preserve"> </w:t>
      </w:r>
      <w:r w:rsidRPr="009745AC">
        <w:rPr>
          <w:rFonts w:ascii="Arial" w:hAnsi="Arial" w:cs="Arial"/>
        </w:rPr>
        <w:t>this formulation allows the explicit decomposition of each layer’s contribution to heat transfer, ensuring methodological transparency and facilitating reproducibility across studies. The central objective was to quantify the isolated effects of cladding material and cavity depth under extreme boundary conditions representative of a warm</w:t>
      </w:r>
      <w:r w:rsidR="00445E04">
        <w:rPr>
          <w:rFonts w:ascii="Arial" w:hAnsi="Arial" w:cs="Arial"/>
        </w:rPr>
        <w:t xml:space="preserve"> </w:t>
      </w:r>
      <w:r w:rsidRPr="009745AC">
        <w:rPr>
          <w:rFonts w:ascii="Arial" w:hAnsi="Arial" w:cs="Arial"/>
        </w:rPr>
        <w:t>semi-arid climate.</w:t>
      </w:r>
    </w:p>
    <w:p w14:paraId="462B9FB3" w14:textId="77777777" w:rsidR="009745AC" w:rsidRDefault="009745AC" w:rsidP="00441B6F">
      <w:pPr>
        <w:pStyle w:val="Body"/>
        <w:spacing w:after="0"/>
        <w:rPr>
          <w:rFonts w:ascii="Arial" w:hAnsi="Arial" w:cs="Arial"/>
        </w:rPr>
      </w:pPr>
    </w:p>
    <w:p w14:paraId="58E71653" w14:textId="2EBAF0FD" w:rsidR="00AC0B37" w:rsidRPr="00AC0B37" w:rsidRDefault="00344E1E" w:rsidP="00AC0B37">
      <w:pPr>
        <w:pStyle w:val="Body"/>
        <w:spacing w:after="0"/>
        <w:rPr>
          <w:rFonts w:ascii="Arial" w:hAnsi="Arial" w:cs="Arial"/>
        </w:rPr>
      </w:pPr>
      <w:r w:rsidRPr="00344E1E">
        <w:rPr>
          <w:rFonts w:ascii="Arial" w:hAnsi="Arial" w:cs="Arial"/>
        </w:rPr>
        <w:t>To ensure the reproducibility of the procedure, the analysis was developed under a clearly defined set of assumptions: a unit area of</w:t>
      </w:r>
      <w:r>
        <w:rPr>
          <w:rFonts w:ascii="Arial" w:hAnsi="Arial" w:cs="Arial"/>
        </w:rPr>
        <w:t xml:space="preserve"> </w:t>
      </w:r>
      <w:r w:rsidR="00EF7C5A">
        <w:rPr>
          <w:rFonts w:ascii="Arial" w:hAnsi="Arial" w:cs="Arial"/>
        </w:rPr>
        <w:t xml:space="preserve">1.00 </w:t>
      </w:r>
      <w:r w:rsidR="00EF7C5A" w:rsidRPr="00A30B59">
        <w:rPr>
          <w:rFonts w:ascii="Arial" w:hAnsi="Arial" w:cs="Arial"/>
        </w:rPr>
        <w:t>m²</w:t>
      </w:r>
      <w:r w:rsidR="00EF7C5A">
        <w:rPr>
          <w:rFonts w:ascii="Arial" w:hAnsi="Arial" w:cs="Arial"/>
        </w:rPr>
        <w:t xml:space="preserve">, </w:t>
      </w:r>
      <w:r w:rsidRPr="00344E1E">
        <w:rPr>
          <w:rFonts w:ascii="Arial" w:hAnsi="Arial" w:cs="Arial"/>
        </w:rPr>
        <w:t>a temperature difference representative of a warm</w:t>
      </w:r>
      <w:r w:rsidR="00445E04">
        <w:rPr>
          <w:rFonts w:ascii="Arial" w:hAnsi="Arial" w:cs="Arial"/>
        </w:rPr>
        <w:t xml:space="preserve"> </w:t>
      </w:r>
      <w:r w:rsidRPr="00344E1E">
        <w:rPr>
          <w:rFonts w:ascii="Arial" w:hAnsi="Arial" w:cs="Arial"/>
        </w:rPr>
        <w:t xml:space="preserve">semi-arid climate </w:t>
      </w:r>
      <w:r w:rsidR="00EF7C5A">
        <w:rPr>
          <w:rFonts w:ascii="Arial" w:hAnsi="Arial" w:cs="Arial"/>
        </w:rPr>
        <w:t>(</w:t>
      </w:r>
      <m:oMath>
        <m:sSub>
          <m:sSubPr>
            <m:ctrlPr>
              <w:rPr>
                <w:rFonts w:ascii="Cambria Math" w:hAnsi="Cambria Math" w:cs="Arial"/>
              </w:rPr>
            </m:ctrlPr>
          </m:sSubPr>
          <m:e>
            <m:r>
              <w:rPr>
                <w:rFonts w:ascii="Cambria Math" w:hAnsi="Cambria Math" w:cs="Arial"/>
              </w:rPr>
              <m:t>T</m:t>
            </m:r>
          </m:e>
          <m:sub>
            <m:r>
              <w:rPr>
                <w:rFonts w:ascii="Cambria Math" w:hAnsi="Cambria Math" w:cs="Arial"/>
              </w:rPr>
              <m:t>ext</m:t>
            </m:r>
          </m:sub>
        </m:sSub>
        <m:r>
          <m:rPr>
            <m:sty m:val="p"/>
          </m:rPr>
          <w:rPr>
            <w:rFonts w:ascii="Cambria Math" w:hAnsi="Cambria Math" w:cs="Arial"/>
          </w:rPr>
          <m:t>:40°</m:t>
        </m:r>
        <m:r>
          <w:rPr>
            <w:rFonts w:ascii="Cambria Math" w:hAnsi="Cambria Math" w:cs="Arial"/>
          </w:rPr>
          <m:t>C</m:t>
        </m:r>
      </m:oMath>
      <w:r w:rsidR="00EF7C5A">
        <w:rPr>
          <w:rFonts w:ascii="Arial" w:hAnsi="Arial" w:cs="Arial"/>
        </w:rPr>
        <w:t xml:space="preserve"> , </w:t>
      </w:r>
      <m:oMath>
        <m:sSub>
          <m:sSubPr>
            <m:ctrlPr>
              <w:rPr>
                <w:rFonts w:ascii="Cambria Math" w:hAnsi="Cambria Math" w:cs="Arial"/>
              </w:rPr>
            </m:ctrlPr>
          </m:sSubPr>
          <m:e>
            <m:r>
              <w:rPr>
                <w:rFonts w:ascii="Cambria Math" w:hAnsi="Cambria Math" w:cs="Arial"/>
              </w:rPr>
              <m:t>T</m:t>
            </m:r>
          </m:e>
          <m:sub>
            <m:r>
              <w:rPr>
                <w:rFonts w:ascii="Cambria Math" w:hAnsi="Cambria Math" w:cs="Arial"/>
              </w:rPr>
              <m:t>int</m:t>
            </m:r>
          </m:sub>
        </m:sSub>
        <m:r>
          <m:rPr>
            <m:sty m:val="p"/>
          </m:rPr>
          <w:rPr>
            <w:rFonts w:ascii="Cambria Math" w:hAnsi="Cambria Math" w:cs="Arial"/>
          </w:rPr>
          <m:t>:26°</m:t>
        </m:r>
        <m:r>
          <w:rPr>
            <w:rFonts w:ascii="Cambria Math" w:hAnsi="Cambria Math" w:cs="Arial"/>
          </w:rPr>
          <m:t>C</m:t>
        </m:r>
      </m:oMath>
      <w:r w:rsidR="00EF7C5A">
        <w:rPr>
          <w:rFonts w:ascii="Arial" w:hAnsi="Arial" w:cs="Arial"/>
        </w:rPr>
        <w:t>)</w:t>
      </w:r>
      <w:r w:rsidR="00EF7C5A" w:rsidRPr="00B67183">
        <w:rPr>
          <w:rFonts w:ascii="Arial" w:hAnsi="Arial" w:cs="Arial"/>
        </w:rPr>
        <w:t xml:space="preserve">, </w:t>
      </w:r>
      <w:r w:rsidRPr="00344E1E">
        <w:rPr>
          <w:rFonts w:ascii="Arial" w:hAnsi="Arial" w:cs="Arial"/>
        </w:rPr>
        <w:t>typical convective coefficients for exterior</w:t>
      </w:r>
      <w:r w:rsidR="00AC0B37">
        <w:rPr>
          <w:rFonts w:ascii="Arial" w:hAnsi="Arial" w:cs="Arial"/>
        </w:rPr>
        <w:t xml:space="preserve"> </w:t>
      </w:r>
      <m:oMath>
        <m:sSub>
          <m:sSubPr>
            <m:ctrlPr>
              <w:rPr>
                <w:rFonts w:ascii="Cambria Math" w:hAnsi="Cambria Math" w:cs="Arial"/>
              </w:rPr>
            </m:ctrlPr>
          </m:sSubPr>
          <m:e>
            <m:r>
              <w:rPr>
                <w:rFonts w:ascii="Cambria Math" w:hAnsi="Cambria Math" w:cs="Arial"/>
              </w:rPr>
              <m:t>h</m:t>
            </m:r>
          </m:e>
          <m:sub>
            <m:r>
              <w:rPr>
                <w:rFonts w:ascii="Cambria Math" w:hAnsi="Cambria Math" w:cs="Arial"/>
              </w:rPr>
              <m:t>ext</m:t>
            </m:r>
          </m:sub>
        </m:sSub>
        <m:r>
          <m:rPr>
            <m:sty m:val="p"/>
          </m:rPr>
          <w:rPr>
            <w:rFonts w:ascii="Cambria Math" w:hAnsi="Cambria Math" w:cs="Arial"/>
          </w:rPr>
          <m:t xml:space="preserve">:15 </m:t>
        </m:r>
        <m:r>
          <w:rPr>
            <w:rFonts w:ascii="Cambria Math" w:hAnsi="Cambria Math" w:cs="Arial"/>
          </w:rPr>
          <m:t>W</m:t>
        </m:r>
        <m:r>
          <m:rPr>
            <m:sty m:val="p"/>
          </m:rPr>
          <w:rPr>
            <w:rFonts w:ascii="Cambria Math" w:hAnsi="Cambria Math" w:cs="Arial"/>
          </w:rPr>
          <m:t>/</m:t>
        </m:r>
        <m:sSup>
          <m:sSupPr>
            <m:ctrlPr>
              <w:rPr>
                <w:rFonts w:ascii="Cambria Math" w:hAnsi="Cambria Math" w:cs="Arial"/>
              </w:rPr>
            </m:ctrlPr>
          </m:sSupPr>
          <m:e>
            <m:r>
              <w:rPr>
                <w:rFonts w:ascii="Cambria Math" w:hAnsi="Cambria Math" w:cs="Arial"/>
              </w:rPr>
              <m:t>m</m:t>
            </m:r>
          </m:e>
          <m:sup>
            <m:r>
              <m:rPr>
                <m:sty m:val="p"/>
              </m:rPr>
              <w:rPr>
                <w:rFonts w:ascii="Cambria Math" w:hAnsi="Cambria Math" w:cs="Arial"/>
              </w:rPr>
              <m:t>2</m:t>
            </m:r>
          </m:sup>
        </m:sSup>
        <m:r>
          <w:rPr>
            <w:rFonts w:ascii="Cambria Math" w:hAnsi="Cambria Math" w:cs="Arial"/>
          </w:rPr>
          <m:t>K</m:t>
        </m:r>
      </m:oMath>
      <w:r w:rsidR="00AC0B37">
        <w:rPr>
          <w:rFonts w:ascii="Arial" w:hAnsi="Arial" w:cs="Arial"/>
          <w:iCs/>
        </w:rPr>
        <w:t xml:space="preserve"> </w:t>
      </w:r>
      <w:r w:rsidR="00AC0B37" w:rsidRPr="00AC0B37">
        <w:rPr>
          <w:rFonts w:ascii="Arial" w:hAnsi="Arial" w:cs="Arial"/>
          <w:iCs/>
        </w:rPr>
        <w:t>and interior surfaces</w:t>
      </w:r>
      <w:r w:rsidR="00AC0B37">
        <w:rPr>
          <w:rFonts w:ascii="Arial" w:hAnsi="Arial" w:cs="Arial"/>
          <w:iCs/>
        </w:rPr>
        <w:t xml:space="preserve"> </w:t>
      </w:r>
      <m:oMath>
        <m:sSub>
          <m:sSubPr>
            <m:ctrlPr>
              <w:rPr>
                <w:rFonts w:ascii="Cambria Math" w:hAnsi="Cambria Math" w:cs="Arial"/>
              </w:rPr>
            </m:ctrlPr>
          </m:sSubPr>
          <m:e>
            <m:r>
              <w:rPr>
                <w:rFonts w:ascii="Cambria Math" w:hAnsi="Cambria Math" w:cs="Arial"/>
              </w:rPr>
              <m:t>h</m:t>
            </m:r>
          </m:e>
          <m:sub>
            <m:r>
              <w:rPr>
                <w:rFonts w:ascii="Cambria Math" w:hAnsi="Cambria Math" w:cs="Arial"/>
              </w:rPr>
              <m:t>int</m:t>
            </m:r>
          </m:sub>
        </m:sSub>
        <m:r>
          <m:rPr>
            <m:sty m:val="p"/>
          </m:rPr>
          <w:rPr>
            <w:rFonts w:ascii="Cambria Math" w:hAnsi="Cambria Math" w:cs="Arial"/>
          </w:rPr>
          <m:t xml:space="preserve">:8 </m:t>
        </m:r>
        <m:r>
          <w:rPr>
            <w:rFonts w:ascii="Cambria Math" w:hAnsi="Cambria Math" w:cs="Arial"/>
          </w:rPr>
          <m:t>W</m:t>
        </m:r>
        <m:r>
          <m:rPr>
            <m:sty m:val="p"/>
          </m:rPr>
          <w:rPr>
            <w:rFonts w:ascii="Cambria Math" w:hAnsi="Cambria Math" w:cs="Arial"/>
          </w:rPr>
          <m:t>/</m:t>
        </m:r>
        <m:sSup>
          <m:sSupPr>
            <m:ctrlPr>
              <w:rPr>
                <w:rFonts w:ascii="Cambria Math" w:hAnsi="Cambria Math" w:cs="Arial"/>
              </w:rPr>
            </m:ctrlPr>
          </m:sSupPr>
          <m:e>
            <m:r>
              <w:rPr>
                <w:rFonts w:ascii="Cambria Math" w:hAnsi="Cambria Math" w:cs="Arial"/>
              </w:rPr>
              <m:t>m</m:t>
            </m:r>
          </m:e>
          <m:sup>
            <m:r>
              <m:rPr>
                <m:sty m:val="p"/>
              </m:rPr>
              <w:rPr>
                <w:rFonts w:ascii="Cambria Math" w:hAnsi="Cambria Math" w:cs="Arial"/>
              </w:rPr>
              <m:t>2</m:t>
            </m:r>
          </m:sup>
        </m:sSup>
        <m:r>
          <w:rPr>
            <w:rFonts w:ascii="Cambria Math" w:hAnsi="Cambria Math" w:cs="Arial"/>
          </w:rPr>
          <m:t>K</m:t>
        </m:r>
      </m:oMath>
      <w:r w:rsidR="00AC0B37">
        <w:rPr>
          <w:rFonts w:ascii="Arial" w:hAnsi="Arial" w:cs="Arial"/>
          <w:iCs/>
        </w:rPr>
        <w:t xml:space="preserve">, </w:t>
      </w:r>
      <w:r w:rsidR="00AC0B37" w:rsidRPr="00AC0B37">
        <w:rPr>
          <w:rFonts w:ascii="Arial" w:hAnsi="Arial" w:cs="Arial"/>
          <w:iCs/>
        </w:rPr>
        <w:t>a 6-mm tempered-glass base wall, a 50-mm mineral wool insulation layer</w:t>
      </w:r>
      <w:r w:rsidR="00AC0B37">
        <w:rPr>
          <w:rFonts w:ascii="Arial" w:hAnsi="Arial" w:cs="Arial"/>
          <w:iCs/>
        </w:rPr>
        <w:t xml:space="preserve"> </w:t>
      </w:r>
      <w:r w:rsidR="00AC0B37" w:rsidRPr="00B67183">
        <w:rPr>
          <w:rFonts w:ascii="Arial" w:hAnsi="Arial" w:cs="Arial"/>
        </w:rPr>
        <w:t xml:space="preserve">(λ: 0.037 </w:t>
      </w:r>
      <m:oMath>
        <m:r>
          <w:rPr>
            <w:rFonts w:ascii="Cambria Math" w:hAnsi="Cambria Math" w:cs="Arial"/>
          </w:rPr>
          <m:t>W</m:t>
        </m:r>
        <m:r>
          <m:rPr>
            <m:sty m:val="p"/>
          </m:rPr>
          <w:rPr>
            <w:rFonts w:ascii="Cambria Math" w:hAnsi="Cambria Math" w:cs="Arial"/>
          </w:rPr>
          <m:t>/</m:t>
        </m:r>
        <m:r>
          <w:rPr>
            <w:rFonts w:ascii="Cambria Math" w:hAnsi="Cambria Math" w:cs="Arial"/>
          </w:rPr>
          <m:t>mK</m:t>
        </m:r>
      </m:oMath>
      <w:r w:rsidR="00AC0B37" w:rsidRPr="00B67183">
        <w:rPr>
          <w:rFonts w:ascii="Arial" w:hAnsi="Arial" w:cs="Arial"/>
        </w:rPr>
        <w:t>),</w:t>
      </w:r>
      <w:r w:rsidR="00AC0B37">
        <w:rPr>
          <w:rFonts w:ascii="Arial" w:hAnsi="Arial" w:cs="Arial"/>
        </w:rPr>
        <w:t xml:space="preserve"> </w:t>
      </w:r>
      <w:r w:rsidR="00AC0B37" w:rsidRPr="00AC0B37">
        <w:rPr>
          <w:rFonts w:ascii="Arial" w:hAnsi="Arial" w:cs="Arial"/>
        </w:rPr>
        <w:t>and ventilated cavities of 6 cm and 10 cm, with assigned convective coefficients of</w:t>
      </w:r>
      <w:r w:rsidR="00AC0B37">
        <w:rPr>
          <w:rFonts w:ascii="Arial" w:hAnsi="Arial" w:cs="Arial"/>
        </w:rPr>
        <w:t xml:space="preserve"> </w:t>
      </w:r>
      <m:oMath>
        <m:sSub>
          <m:sSubPr>
            <m:ctrlPr>
              <w:rPr>
                <w:rFonts w:ascii="Cambria Math" w:hAnsi="Cambria Math" w:cs="Arial"/>
              </w:rPr>
            </m:ctrlPr>
          </m:sSubPr>
          <m:e>
            <m:r>
              <w:rPr>
                <w:rFonts w:ascii="Cambria Math" w:hAnsi="Cambria Math" w:cs="Arial"/>
              </w:rPr>
              <m:t>h</m:t>
            </m:r>
          </m:e>
          <m:sub>
            <m:r>
              <w:rPr>
                <w:rFonts w:ascii="Cambria Math" w:hAnsi="Cambria Math" w:cs="Arial"/>
              </w:rPr>
              <m:t>cav</m:t>
            </m:r>
          </m:sub>
        </m:sSub>
        <m:r>
          <m:rPr>
            <m:sty m:val="p"/>
          </m:rPr>
          <w:rPr>
            <w:rFonts w:ascii="Cambria Math" w:hAnsi="Cambria Math" w:cs="Arial"/>
          </w:rPr>
          <m:t xml:space="preserve">:5 </m:t>
        </m:r>
        <m:r>
          <w:rPr>
            <w:rFonts w:ascii="Cambria Math" w:hAnsi="Cambria Math" w:cs="Arial"/>
          </w:rPr>
          <m:t>W</m:t>
        </m:r>
        <m:r>
          <m:rPr>
            <m:sty m:val="p"/>
          </m:rPr>
          <w:rPr>
            <w:rFonts w:ascii="Cambria Math" w:hAnsi="Cambria Math" w:cs="Arial"/>
          </w:rPr>
          <m:t>/</m:t>
        </m:r>
        <m:sSup>
          <m:sSupPr>
            <m:ctrlPr>
              <w:rPr>
                <w:rFonts w:ascii="Cambria Math" w:hAnsi="Cambria Math" w:cs="Arial"/>
              </w:rPr>
            </m:ctrlPr>
          </m:sSupPr>
          <m:e>
            <m:r>
              <w:rPr>
                <w:rFonts w:ascii="Cambria Math" w:hAnsi="Cambria Math" w:cs="Arial"/>
              </w:rPr>
              <m:t>m</m:t>
            </m:r>
          </m:e>
          <m:sup>
            <m:r>
              <m:rPr>
                <m:sty m:val="p"/>
              </m:rPr>
              <w:rPr>
                <w:rFonts w:ascii="Cambria Math" w:hAnsi="Cambria Math" w:cs="Arial"/>
              </w:rPr>
              <m:t>2</m:t>
            </m:r>
          </m:sup>
        </m:sSup>
        <m:r>
          <w:rPr>
            <w:rFonts w:ascii="Cambria Math" w:hAnsi="Cambria Math" w:cs="Arial"/>
          </w:rPr>
          <m:t>K</m:t>
        </m:r>
      </m:oMath>
      <w:r w:rsidR="00AC0B37">
        <w:rPr>
          <w:rFonts w:ascii="Arial" w:hAnsi="Arial" w:cs="Arial"/>
          <w:iCs/>
        </w:rPr>
        <w:t xml:space="preserve"> and </w:t>
      </w:r>
      <m:oMath>
        <m:sSub>
          <m:sSubPr>
            <m:ctrlPr>
              <w:rPr>
                <w:rFonts w:ascii="Cambria Math" w:hAnsi="Cambria Math" w:cs="Arial"/>
              </w:rPr>
            </m:ctrlPr>
          </m:sSubPr>
          <m:e>
            <m:r>
              <w:rPr>
                <w:rFonts w:ascii="Cambria Math" w:hAnsi="Cambria Math" w:cs="Arial"/>
              </w:rPr>
              <m:t>h</m:t>
            </m:r>
          </m:e>
          <m:sub>
            <m:r>
              <w:rPr>
                <w:rFonts w:ascii="Cambria Math" w:hAnsi="Cambria Math" w:cs="Arial"/>
              </w:rPr>
              <m:t>cav</m:t>
            </m:r>
          </m:sub>
        </m:sSub>
        <m:r>
          <m:rPr>
            <m:sty m:val="p"/>
          </m:rPr>
          <w:rPr>
            <w:rFonts w:ascii="Cambria Math" w:hAnsi="Cambria Math" w:cs="Arial"/>
          </w:rPr>
          <m:t xml:space="preserve">:8 </m:t>
        </m:r>
        <m:r>
          <w:rPr>
            <w:rFonts w:ascii="Cambria Math" w:hAnsi="Cambria Math" w:cs="Arial"/>
          </w:rPr>
          <m:t>W</m:t>
        </m:r>
        <m:r>
          <m:rPr>
            <m:sty m:val="p"/>
          </m:rPr>
          <w:rPr>
            <w:rFonts w:ascii="Cambria Math" w:hAnsi="Cambria Math" w:cs="Arial"/>
          </w:rPr>
          <m:t>/</m:t>
        </m:r>
        <m:sSup>
          <m:sSupPr>
            <m:ctrlPr>
              <w:rPr>
                <w:rFonts w:ascii="Cambria Math" w:hAnsi="Cambria Math" w:cs="Arial"/>
              </w:rPr>
            </m:ctrlPr>
          </m:sSupPr>
          <m:e>
            <m:r>
              <w:rPr>
                <w:rFonts w:ascii="Cambria Math" w:hAnsi="Cambria Math" w:cs="Arial"/>
              </w:rPr>
              <m:t>m</m:t>
            </m:r>
          </m:e>
          <m:sup>
            <m:r>
              <m:rPr>
                <m:sty m:val="p"/>
              </m:rPr>
              <w:rPr>
                <w:rFonts w:ascii="Cambria Math" w:hAnsi="Cambria Math" w:cs="Arial"/>
              </w:rPr>
              <m:t>2</m:t>
            </m:r>
          </m:sup>
        </m:sSup>
        <m:r>
          <w:rPr>
            <w:rFonts w:ascii="Cambria Math" w:hAnsi="Cambria Math" w:cs="Arial"/>
          </w:rPr>
          <m:t>K</m:t>
        </m:r>
      </m:oMath>
      <w:r w:rsidR="00AC0B37" w:rsidRPr="00AC0B37">
        <w:t xml:space="preserve"> </w:t>
      </w:r>
      <w:r w:rsidR="00AC0B37">
        <w:t xml:space="preserve">, respectively. These assumptions represent consistent extreme heat-gain conditions for the </w:t>
      </w:r>
      <w:r w:rsidR="00AC0B37" w:rsidRPr="00AC0B37">
        <w:rPr>
          <w:rFonts w:ascii="Arial" w:hAnsi="Arial" w:cs="Arial"/>
        </w:rPr>
        <w:t xml:space="preserve">southwest facade of the building under study. </w:t>
      </w:r>
    </w:p>
    <w:p w14:paraId="718591DD" w14:textId="77777777" w:rsidR="00AC0B37" w:rsidRPr="00AC0B37" w:rsidRDefault="00AC0B37" w:rsidP="00AC0B37">
      <w:pPr>
        <w:pStyle w:val="Body"/>
        <w:spacing w:after="0"/>
        <w:rPr>
          <w:rFonts w:ascii="Arial" w:hAnsi="Arial" w:cs="Arial"/>
        </w:rPr>
      </w:pPr>
    </w:p>
    <w:p w14:paraId="583CEB42" w14:textId="0B09F192" w:rsidR="00F25298" w:rsidRDefault="00F25298" w:rsidP="00F25298">
      <w:pPr>
        <w:jc w:val="both"/>
        <w:rPr>
          <w:rFonts w:ascii="Arial" w:hAnsi="Arial" w:cs="Arial"/>
        </w:rPr>
      </w:pPr>
      <w:r w:rsidRPr="00F25298">
        <w:rPr>
          <w:rFonts w:ascii="Arial" w:hAnsi="Arial" w:cs="Arial"/>
        </w:rPr>
        <w:t>Conduction through the exterior cladding</w:t>
      </w:r>
      <w:r>
        <w:rPr>
          <w:rFonts w:ascii="Arial" w:hAnsi="Arial" w:cs="Arial"/>
        </w:rPr>
        <w:t>: It´s the t</w:t>
      </w:r>
      <w:r w:rsidRPr="00F25298">
        <w:rPr>
          <w:rFonts w:ascii="Arial" w:hAnsi="Arial" w:cs="Arial"/>
        </w:rPr>
        <w:t xml:space="preserve">hermal resistance due to conduction in the cladding layer was calculated using the classical </w:t>
      </w:r>
      <w:r w:rsidR="00E2366C">
        <w:rPr>
          <w:rFonts w:ascii="Arial" w:hAnsi="Arial" w:cs="Arial"/>
        </w:rPr>
        <w:t>f</w:t>
      </w:r>
      <w:r w:rsidRPr="00F25298">
        <w:rPr>
          <w:rFonts w:ascii="Arial" w:hAnsi="Arial" w:cs="Arial"/>
        </w:rPr>
        <w:t>ourier formulation</w:t>
      </w:r>
    </w:p>
    <w:p w14:paraId="08A06300" w14:textId="160851F5" w:rsidR="00B67183" w:rsidRDefault="00585141" w:rsidP="00F25298">
      <w:pPr>
        <w:jc w:val="center"/>
      </w:pPr>
      <m:oMath>
        <m:sSub>
          <m:sSubPr>
            <m:ctrlPr>
              <w:rPr>
                <w:rFonts w:ascii="Cambria Math" w:hAnsi="Cambria Math"/>
              </w:rPr>
            </m:ctrlPr>
          </m:sSubPr>
          <m:e>
            <m:r>
              <w:rPr>
                <w:rFonts w:ascii="Cambria Math" w:hAnsi="Cambria Math"/>
              </w:rPr>
              <m:t>R</m:t>
            </m:r>
          </m:e>
          <m:sub>
            <m:r>
              <w:rPr>
                <w:rFonts w:ascii="Cambria Math" w:hAnsi="Cambria Math"/>
              </w:rPr>
              <m:t>cond</m:t>
            </m:r>
            <m:r>
              <m:rPr>
                <m:sty m:val="p"/>
              </m:rPr>
              <w:rPr>
                <w:rFonts w:ascii="Cambria Math" w:hAnsi="Cambria Math"/>
              </w:rPr>
              <m:t xml:space="preserve">: </m:t>
            </m:r>
          </m:sub>
        </m:sSub>
        <m:f>
          <m:fPr>
            <m:ctrlPr>
              <w:rPr>
                <w:rFonts w:ascii="Cambria Math" w:hAnsi="Cambria Math"/>
              </w:rPr>
            </m:ctrlPr>
          </m:fPr>
          <m:num>
            <m:r>
              <w:rPr>
                <w:rFonts w:ascii="Cambria Math" w:hAnsi="Cambria Math"/>
              </w:rPr>
              <m:t>d</m:t>
            </m:r>
          </m:num>
          <m:den>
            <m:r>
              <w:rPr>
                <w:rFonts w:ascii="Cambria Math" w:hAnsi="Cambria Math"/>
              </w:rPr>
              <m:t>k</m:t>
            </m:r>
          </m:den>
        </m:f>
      </m:oMath>
      <w:r w:rsidR="00B67183">
        <w:t xml:space="preserve">    (1)</w:t>
      </w:r>
    </w:p>
    <w:p w14:paraId="473DC097" w14:textId="77777777" w:rsidR="00B67183" w:rsidRPr="00B67183" w:rsidRDefault="00B67183" w:rsidP="00B67183">
      <w:pPr>
        <w:jc w:val="center"/>
      </w:pPr>
    </w:p>
    <w:p w14:paraId="64CE07CC" w14:textId="19D88EF2" w:rsidR="00EE6DF5" w:rsidRDefault="00AC0B37" w:rsidP="00AC0B37">
      <w:pPr>
        <w:jc w:val="both"/>
        <w:rPr>
          <w:rFonts w:ascii="Arial" w:hAnsi="Arial" w:cs="Arial"/>
        </w:rPr>
      </w:pPr>
      <w:r>
        <w:rPr>
          <w:rFonts w:ascii="Arial" w:hAnsi="Arial" w:cs="Arial"/>
        </w:rPr>
        <w:t>W</w:t>
      </w:r>
      <w:r w:rsidRPr="00AC0B37">
        <w:rPr>
          <w:rFonts w:ascii="Arial" w:hAnsi="Arial" w:cs="Arial"/>
        </w:rPr>
        <w:t xml:space="preserve">here </w:t>
      </w:r>
      <w:r w:rsidRPr="00AC0B37">
        <w:rPr>
          <w:rFonts w:ascii="Cambria Math" w:hAnsi="Cambria Math" w:cs="Cambria Math"/>
        </w:rPr>
        <w:t>𝑑</w:t>
      </w:r>
      <w:r w:rsidRPr="00AC0B37">
        <w:rPr>
          <w:rFonts w:ascii="Arial" w:hAnsi="Arial" w:cs="Arial"/>
        </w:rPr>
        <w:t xml:space="preserve"> is the material thickness and </w:t>
      </w:r>
      <w:r w:rsidRPr="00AC0B37">
        <w:rPr>
          <w:rFonts w:ascii="Cambria Math" w:hAnsi="Cambria Math" w:cs="Cambria Math"/>
        </w:rPr>
        <w:t>𝑘</w:t>
      </w:r>
      <w:r w:rsidRPr="00AC0B37">
        <w:rPr>
          <w:rFonts w:ascii="Arial" w:hAnsi="Arial" w:cs="Arial"/>
        </w:rPr>
        <w:t xml:space="preserve"> its thermal conductivity</w:t>
      </w:r>
      <w:r w:rsidR="001C30FB">
        <w:rPr>
          <w:rFonts w:ascii="Arial" w:hAnsi="Arial" w:cs="Arial"/>
        </w:rPr>
        <w:t xml:space="preserve">. </w:t>
      </w:r>
      <w:r w:rsidR="00EE6DF5" w:rsidRPr="00EE6DF5">
        <w:rPr>
          <w:rFonts w:ascii="Arial" w:hAnsi="Arial" w:cs="Arial"/>
        </w:rPr>
        <w:t>This equation was applied separately to each cladding material, enabling comparison of their thermo-optical performance as the fa</w:t>
      </w:r>
      <w:r w:rsidR="00411F25">
        <w:rPr>
          <w:rFonts w:ascii="Arial" w:hAnsi="Arial" w:cs="Arial"/>
        </w:rPr>
        <w:t>c</w:t>
      </w:r>
      <w:r w:rsidR="00EE6DF5" w:rsidRPr="00EE6DF5">
        <w:rPr>
          <w:rFonts w:ascii="Arial" w:hAnsi="Arial" w:cs="Arial"/>
        </w:rPr>
        <w:t>ade’s first barrier against heat gain.</w:t>
      </w:r>
    </w:p>
    <w:p w14:paraId="23A2C606" w14:textId="77777777" w:rsidR="00EE6DF5" w:rsidRDefault="00EE6DF5" w:rsidP="00AC0B37">
      <w:pPr>
        <w:jc w:val="both"/>
        <w:rPr>
          <w:rFonts w:ascii="Arial" w:hAnsi="Arial" w:cs="Arial"/>
        </w:rPr>
      </w:pPr>
    </w:p>
    <w:p w14:paraId="0946601D" w14:textId="00EA6A3F" w:rsidR="000846C9" w:rsidRDefault="000846C9" w:rsidP="000846C9">
      <w:pPr>
        <w:jc w:val="both"/>
        <w:rPr>
          <w:rFonts w:ascii="Arial" w:hAnsi="Arial" w:cs="Arial"/>
        </w:rPr>
      </w:pPr>
      <w:r w:rsidRPr="000846C9">
        <w:rPr>
          <w:rFonts w:ascii="Arial" w:hAnsi="Arial" w:cs="Arial"/>
        </w:rPr>
        <w:t>Convection in the ventilated cavity and boundary surfaces</w:t>
      </w:r>
      <w:r w:rsidR="00A4762D">
        <w:rPr>
          <w:rFonts w:ascii="Arial" w:hAnsi="Arial" w:cs="Arial"/>
        </w:rPr>
        <w:t xml:space="preserve">: </w:t>
      </w:r>
      <w:r w:rsidRPr="000846C9">
        <w:rPr>
          <w:rFonts w:ascii="Arial" w:hAnsi="Arial" w:cs="Arial"/>
        </w:rPr>
        <w:t>Convective resistance was modeled using</w:t>
      </w:r>
      <w:r w:rsidR="00411F25">
        <w:rPr>
          <w:rFonts w:ascii="Arial" w:hAnsi="Arial" w:cs="Arial"/>
        </w:rPr>
        <w:t xml:space="preserve"> the following formulation</w:t>
      </w:r>
    </w:p>
    <w:p w14:paraId="7B807F37" w14:textId="5BF2B63E" w:rsidR="00B67183" w:rsidRDefault="00AC0B37" w:rsidP="000846C9">
      <w:pPr>
        <w:jc w:val="center"/>
      </w:pPr>
      <w:r>
        <w:t xml:space="preserve"> </w:t>
      </w:r>
      <m:oMath>
        <m:sSub>
          <m:sSubPr>
            <m:ctrlPr>
              <w:rPr>
                <w:rFonts w:ascii="Cambria Math" w:hAnsi="Cambria Math"/>
              </w:rPr>
            </m:ctrlPr>
          </m:sSubPr>
          <m:e>
            <m:r>
              <w:rPr>
                <w:rFonts w:ascii="Cambria Math" w:hAnsi="Cambria Math"/>
              </w:rPr>
              <m:t>R</m:t>
            </m:r>
          </m:e>
          <m:sub>
            <m:r>
              <w:rPr>
                <w:rFonts w:ascii="Cambria Math" w:hAnsi="Cambria Math"/>
              </w:rPr>
              <m:t>conv</m:t>
            </m:r>
            <m:r>
              <m:rPr>
                <m:sty m:val="p"/>
              </m:rPr>
              <w:rPr>
                <w:rFonts w:ascii="Cambria Math" w:hAnsi="Cambria Math"/>
              </w:rPr>
              <m:t xml:space="preserve">: </m:t>
            </m:r>
          </m:sub>
        </m:sSub>
        <m:f>
          <m:fPr>
            <m:ctrlPr>
              <w:rPr>
                <w:rFonts w:ascii="Cambria Math" w:hAnsi="Cambria Math"/>
              </w:rPr>
            </m:ctrlPr>
          </m:fPr>
          <m:num>
            <m:r>
              <w:rPr>
                <w:rFonts w:ascii="Cambria Math" w:hAnsi="Cambria Math"/>
              </w:rPr>
              <m:t>1</m:t>
            </m:r>
          </m:num>
          <m:den>
            <m:r>
              <w:rPr>
                <w:rFonts w:ascii="Cambria Math" w:hAnsi="Cambria Math"/>
              </w:rPr>
              <m:t>h</m:t>
            </m:r>
          </m:den>
        </m:f>
      </m:oMath>
      <w:r w:rsidR="00B67183">
        <w:t xml:space="preserve">    (2)</w:t>
      </w:r>
    </w:p>
    <w:p w14:paraId="5A9A8B30" w14:textId="77777777" w:rsidR="00B67183" w:rsidRDefault="00B67183" w:rsidP="00441B6F">
      <w:pPr>
        <w:pStyle w:val="Body"/>
        <w:spacing w:after="0"/>
      </w:pPr>
    </w:p>
    <w:p w14:paraId="17FCB77C" w14:textId="1C3F234A" w:rsidR="00A0687F" w:rsidRDefault="00AC0B37" w:rsidP="00AC0B37">
      <w:pPr>
        <w:pStyle w:val="Body"/>
      </w:pPr>
      <w:r>
        <w:t xml:space="preserve">where </w:t>
      </w:r>
      <w:r>
        <w:rPr>
          <w:rFonts w:ascii="Cambria Math" w:hAnsi="Cambria Math" w:cs="Cambria Math"/>
        </w:rPr>
        <w:t>ℎ</w:t>
      </w:r>
      <w:r>
        <w:t xml:space="preserve"> </w:t>
      </w:r>
      <w:r w:rsidR="00A0687F" w:rsidRPr="00A0687F">
        <w:t>is the convective heat-transfer coefficient associated with each boundary condition.</w:t>
      </w:r>
      <w:r w:rsidR="00D90BAC">
        <w:t xml:space="preserve"> </w:t>
      </w:r>
      <w:r w:rsidR="00D90BAC" w:rsidRPr="00D90BAC">
        <w:t>This formulation is essential for isolating the influence of cavity depth, as the change from 6 cm to 10 cm alters natural ventilation and therefore the effective h</w:t>
      </w:r>
      <w:r w:rsidR="00D90BAC" w:rsidRPr="00D90BAC">
        <w:rPr>
          <w:i/>
          <w:iCs/>
        </w:rPr>
        <w:t>cav</w:t>
      </w:r>
      <w:r w:rsidR="00D90BAC" w:rsidRPr="00D90BAC">
        <w:t xml:space="preserve"> value.</w:t>
      </w:r>
    </w:p>
    <w:p w14:paraId="0D4CEAFE" w14:textId="3EEEA26E" w:rsidR="00A0687F" w:rsidRDefault="00D90BAC" w:rsidP="00D90BAC">
      <w:pPr>
        <w:pStyle w:val="Body"/>
      </w:pPr>
      <w:r>
        <w:t>Total thermal resistance of the facade assembly: The entire multilayer facade was represented as a series of linear thermal resistances:</w:t>
      </w:r>
    </w:p>
    <w:p w14:paraId="08549B53" w14:textId="3E66056B" w:rsidR="00B67183" w:rsidRDefault="00585141" w:rsidP="00B67183">
      <w:pPr>
        <w:jc w:val="center"/>
      </w:pPr>
      <m:oMath>
        <m:sSub>
          <m:sSubPr>
            <m:ctrlPr>
              <w:rPr>
                <w:rFonts w:ascii="Cambria Math" w:hAnsi="Cambria Math"/>
              </w:rPr>
            </m:ctrlPr>
          </m:sSubPr>
          <m:e>
            <m:r>
              <w:rPr>
                <w:rFonts w:ascii="Cambria Math" w:hAnsi="Cambria Math"/>
              </w:rPr>
              <m:t>R</m:t>
            </m:r>
          </m:e>
          <m:sub>
            <m:r>
              <w:rPr>
                <w:rFonts w:ascii="Cambria Math" w:hAnsi="Cambria Math"/>
              </w:rPr>
              <m:t>total</m:t>
            </m:r>
            <m:r>
              <m:rPr>
                <m:sty m:val="p"/>
              </m:rPr>
              <w:rPr>
                <w:rFonts w:ascii="Cambria Math" w:hAnsi="Cambria Math"/>
              </w:rPr>
              <m:t xml:space="preserve">: </m:t>
            </m:r>
          </m:sub>
        </m:sSub>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R</m:t>
                </m:r>
              </m:e>
              <m:sub>
                <m:r>
                  <w:rPr>
                    <w:rFonts w:ascii="Cambria Math" w:hAnsi="Cambria Math"/>
                  </w:rPr>
                  <m:t>i</m:t>
                </m:r>
              </m:sub>
            </m:sSub>
          </m:e>
        </m:nary>
      </m:oMath>
      <w:r w:rsidR="00B67183">
        <w:t xml:space="preserve">   (3)</w:t>
      </w:r>
    </w:p>
    <w:p w14:paraId="00AB4ED4" w14:textId="77777777" w:rsidR="004F365D" w:rsidRDefault="004F365D" w:rsidP="00B67183">
      <w:pPr>
        <w:jc w:val="center"/>
      </w:pPr>
    </w:p>
    <w:p w14:paraId="477DAECE" w14:textId="3B42F88F" w:rsidR="004F365D" w:rsidRDefault="004F365D" w:rsidP="004F365D">
      <w:pPr>
        <w:jc w:val="both"/>
      </w:pPr>
      <w:r w:rsidRPr="004F365D">
        <w:t>This step makes it possible to identify which element dominates thermal behavior and how conduction and convection interact across layers.</w:t>
      </w:r>
    </w:p>
    <w:p w14:paraId="7F8810FD" w14:textId="77777777" w:rsidR="00B67183" w:rsidRDefault="00B67183" w:rsidP="00B67183">
      <w:pPr>
        <w:jc w:val="center"/>
      </w:pPr>
    </w:p>
    <w:p w14:paraId="42F61F8B" w14:textId="77777777" w:rsidR="004F365D" w:rsidRDefault="004F365D" w:rsidP="004F365D">
      <w:pPr>
        <w:pStyle w:val="Body"/>
        <w:rPr>
          <w:rFonts w:ascii="Arial" w:hAnsi="Arial" w:cs="Arial"/>
        </w:rPr>
      </w:pPr>
      <w:r w:rsidRPr="004F365D">
        <w:rPr>
          <w:rFonts w:ascii="Arial" w:hAnsi="Arial" w:cs="Arial"/>
        </w:rPr>
        <w:t>Heat flux entering the interior</w:t>
      </w:r>
      <w:r>
        <w:rPr>
          <w:rFonts w:ascii="Arial" w:hAnsi="Arial" w:cs="Arial"/>
        </w:rPr>
        <w:t xml:space="preserve">: </w:t>
      </w:r>
      <w:r w:rsidRPr="004F365D">
        <w:rPr>
          <w:rFonts w:ascii="Arial" w:hAnsi="Arial" w:cs="Arial"/>
        </w:rPr>
        <w:t>Finally, the total heat flux transmitted toward the interior was calculated through the one-dimensional expression:</w:t>
      </w:r>
    </w:p>
    <w:p w14:paraId="4EF83380" w14:textId="59AC52EC" w:rsidR="00B67183" w:rsidRDefault="00B67183" w:rsidP="004F365D">
      <w:pPr>
        <w:pStyle w:val="Body"/>
        <w:jc w:val="center"/>
        <w:rPr>
          <w:rFonts w:ascii="Arial" w:hAnsi="Arial" w:cs="Arial"/>
        </w:rPr>
      </w:pPr>
      <m:oMath>
        <m:r>
          <w:rPr>
            <w:rFonts w:ascii="Cambria Math" w:hAnsi="Cambria Math" w:cs="Arial"/>
          </w:rPr>
          <m:t>q=</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ext</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int</m:t>
                </m:r>
              </m:sub>
            </m:sSub>
          </m:num>
          <m:den>
            <m:sSub>
              <m:sSubPr>
                <m:ctrlPr>
                  <w:rPr>
                    <w:rFonts w:ascii="Cambria Math" w:hAnsi="Cambria Math" w:cs="Arial"/>
                    <w:i/>
                  </w:rPr>
                </m:ctrlPr>
              </m:sSubPr>
              <m:e>
                <m:r>
                  <w:rPr>
                    <w:rFonts w:ascii="Cambria Math" w:hAnsi="Cambria Math" w:cs="Arial"/>
                  </w:rPr>
                  <m:t>R</m:t>
                </m:r>
              </m:e>
              <m:sub>
                <m:r>
                  <w:rPr>
                    <w:rFonts w:ascii="Cambria Math" w:hAnsi="Cambria Math" w:cs="Arial"/>
                  </w:rPr>
                  <m:t>total</m:t>
                </m:r>
              </m:sub>
            </m:sSub>
          </m:den>
        </m:f>
      </m:oMath>
      <w:r>
        <w:rPr>
          <w:rFonts w:ascii="Arial" w:hAnsi="Arial" w:cs="Arial"/>
        </w:rPr>
        <w:t xml:space="preserve"> (4)</w:t>
      </w:r>
    </w:p>
    <w:p w14:paraId="443103DF" w14:textId="77777777" w:rsidR="00B67183" w:rsidRDefault="00B67183" w:rsidP="00B67183">
      <w:pPr>
        <w:pStyle w:val="Body"/>
        <w:spacing w:after="0"/>
        <w:jc w:val="center"/>
        <w:rPr>
          <w:rFonts w:ascii="Arial" w:hAnsi="Arial" w:cs="Arial"/>
        </w:rPr>
      </w:pPr>
    </w:p>
    <w:p w14:paraId="776DE988" w14:textId="11CC8851" w:rsidR="00B67183" w:rsidRPr="00FB3A86" w:rsidRDefault="0007110C" w:rsidP="0007110C">
      <w:pPr>
        <w:pStyle w:val="Body"/>
        <w:rPr>
          <w:rFonts w:ascii="Arial" w:hAnsi="Arial" w:cs="Arial"/>
        </w:rPr>
      </w:pPr>
      <w:r w:rsidRPr="0007110C">
        <w:rPr>
          <w:rFonts w:ascii="Arial" w:hAnsi="Arial" w:cs="Arial"/>
        </w:rPr>
        <w:t>This value becomes the main comparative indicator in the study:</w:t>
      </w:r>
      <w:r>
        <w:rPr>
          <w:rFonts w:ascii="Arial" w:hAnsi="Arial" w:cs="Arial"/>
        </w:rPr>
        <w:t xml:space="preserve"> </w:t>
      </w:r>
      <w:r w:rsidRPr="0007110C">
        <w:rPr>
          <w:rFonts w:ascii="Arial" w:hAnsi="Arial" w:cs="Arial"/>
        </w:rPr>
        <w:t>configurations with lower heat flux are considered more thermally efficient.</w:t>
      </w:r>
    </w:p>
    <w:p w14:paraId="5FA7FA95" w14:textId="77777777" w:rsidR="00F019C0" w:rsidRDefault="00F019C0" w:rsidP="00441B6F">
      <w:pPr>
        <w:pStyle w:val="Head1"/>
        <w:spacing w:after="0"/>
        <w:jc w:val="both"/>
        <w:rPr>
          <w:rFonts w:ascii="Arial" w:hAnsi="Arial" w:cs="Arial"/>
        </w:rPr>
      </w:pPr>
    </w:p>
    <w:p w14:paraId="44F4469A" w14:textId="77777777" w:rsidR="0055519B" w:rsidRDefault="0055519B" w:rsidP="0055519B">
      <w:pPr>
        <w:pStyle w:val="Head1"/>
        <w:spacing w:after="0"/>
        <w:jc w:val="both"/>
        <w:rPr>
          <w:rFonts w:ascii="Arial" w:hAnsi="Arial" w:cs="Arial"/>
        </w:rPr>
      </w:pPr>
      <w:r>
        <w:rPr>
          <w:rFonts w:ascii="Arial" w:hAnsi="Arial" w:cs="Arial"/>
        </w:rPr>
        <w:t>3. results and discussion</w:t>
      </w:r>
    </w:p>
    <w:p w14:paraId="747B9AF3" w14:textId="77777777" w:rsidR="0055519B" w:rsidRDefault="0055519B" w:rsidP="00441B6F">
      <w:pPr>
        <w:pStyle w:val="Head1"/>
        <w:spacing w:after="0"/>
        <w:jc w:val="both"/>
        <w:rPr>
          <w:rFonts w:ascii="Arial" w:hAnsi="Arial" w:cs="Arial"/>
          <w:b w:val="0"/>
          <w:caps w:val="0"/>
          <w:sz w:val="20"/>
        </w:rPr>
      </w:pPr>
    </w:p>
    <w:p w14:paraId="11ED6F9C" w14:textId="77777777" w:rsidR="00AC0B37" w:rsidRDefault="00FB48E4" w:rsidP="00441B6F">
      <w:pPr>
        <w:pStyle w:val="Head1"/>
        <w:spacing w:after="0"/>
        <w:jc w:val="both"/>
        <w:rPr>
          <w:rFonts w:ascii="Arial" w:hAnsi="Arial" w:cs="Arial"/>
          <w:b w:val="0"/>
          <w:caps w:val="0"/>
          <w:sz w:val="20"/>
        </w:rPr>
      </w:pPr>
      <w:r w:rsidRPr="00FB48E4">
        <w:rPr>
          <w:rFonts w:ascii="Arial" w:hAnsi="Arial" w:cs="Arial"/>
          <w:b w:val="0"/>
          <w:caps w:val="0"/>
          <w:sz w:val="20"/>
        </w:rPr>
        <w:t>Based on the calculations performed, Tables 3 and 4 present a consolidated summary of the thermal parameters obtained for each configuration, including conductive and convective resistances, total heat flux, and intermediate temperatures. This organization enables a clear evaluation of the influence of cladding material and air-cavity depth on thermal behavior, providing a consistent comparative basis among the six analyzed alternatives.</w:t>
      </w:r>
    </w:p>
    <w:p w14:paraId="4DC61039" w14:textId="77777777" w:rsidR="00966128" w:rsidRDefault="00966128" w:rsidP="00441B6F">
      <w:pPr>
        <w:pStyle w:val="Head1"/>
        <w:spacing w:after="0"/>
        <w:jc w:val="both"/>
        <w:rPr>
          <w:rFonts w:ascii="Arial" w:hAnsi="Arial" w:cs="Arial"/>
          <w:b w:val="0"/>
          <w:caps w:val="0"/>
          <w:sz w:val="20"/>
        </w:rPr>
      </w:pPr>
    </w:p>
    <w:p w14:paraId="570E26AC" w14:textId="49188335" w:rsidR="00966128" w:rsidRDefault="00966128" w:rsidP="00441B6F">
      <w:pPr>
        <w:pStyle w:val="Head1"/>
        <w:spacing w:after="0"/>
        <w:jc w:val="both"/>
        <w:rPr>
          <w:rFonts w:ascii="Arial" w:hAnsi="Arial" w:cs="Arial"/>
          <w:b w:val="0"/>
          <w:caps w:val="0"/>
          <w:sz w:val="20"/>
        </w:rPr>
      </w:pPr>
      <w:r w:rsidRPr="00966128">
        <w:rPr>
          <w:rFonts w:ascii="Arial" w:hAnsi="Arial" w:cs="Arial"/>
          <w:b w:val="0"/>
          <w:caps w:val="0"/>
          <w:sz w:val="20"/>
        </w:rPr>
        <w:t>The results show that the heat flux transmitted to the interior ranges between 7.91 and 8.313 W/m², values that are notably low and confirm the effectiveness of the ventilated fa</w:t>
      </w:r>
      <w:r>
        <w:rPr>
          <w:rFonts w:ascii="Arial" w:hAnsi="Arial" w:cs="Arial"/>
          <w:b w:val="0"/>
          <w:caps w:val="0"/>
          <w:sz w:val="20"/>
        </w:rPr>
        <w:t>c</w:t>
      </w:r>
      <w:r w:rsidRPr="00966128">
        <w:rPr>
          <w:rFonts w:ascii="Arial" w:hAnsi="Arial" w:cs="Arial"/>
          <w:b w:val="0"/>
          <w:caps w:val="0"/>
          <w:sz w:val="20"/>
        </w:rPr>
        <w:t>ade as a passive strategy in warm</w:t>
      </w:r>
      <w:r w:rsidR="00445E04">
        <w:rPr>
          <w:rFonts w:ascii="Arial" w:hAnsi="Arial" w:cs="Arial"/>
          <w:b w:val="0"/>
          <w:caps w:val="0"/>
          <w:sz w:val="20"/>
        </w:rPr>
        <w:t xml:space="preserve"> </w:t>
      </w:r>
      <w:r w:rsidRPr="00966128">
        <w:rPr>
          <w:rFonts w:ascii="Arial" w:hAnsi="Arial" w:cs="Arial"/>
          <w:b w:val="0"/>
          <w:caps w:val="0"/>
          <w:sz w:val="20"/>
        </w:rPr>
        <w:t>semi-arid climates. The air cavity emerges as the dominant element in thermal moderation, contributing the largest portion of the system’s total resistance (R</w:t>
      </w:r>
      <w:r w:rsidRPr="00966128">
        <w:rPr>
          <w:rFonts w:ascii="Arial" w:hAnsi="Arial" w:cs="Arial"/>
          <w:b w:val="0"/>
          <w:i/>
          <w:iCs/>
          <w:caps w:val="0"/>
          <w:sz w:val="20"/>
        </w:rPr>
        <w:t>tot</w:t>
      </w:r>
      <w:r w:rsidRPr="00966128">
        <w:rPr>
          <w:rFonts w:ascii="Arial" w:hAnsi="Arial" w:cs="Arial"/>
          <w:b w:val="0"/>
          <w:caps w:val="0"/>
          <w:sz w:val="20"/>
        </w:rPr>
        <w:t xml:space="preserve"> between 1.758 and 1.694 m²·K/W). </w:t>
      </w:r>
    </w:p>
    <w:p w14:paraId="5D21B442" w14:textId="77777777" w:rsidR="00966128" w:rsidRDefault="00966128" w:rsidP="00441B6F">
      <w:pPr>
        <w:pStyle w:val="Head1"/>
        <w:spacing w:after="0"/>
        <w:jc w:val="both"/>
        <w:rPr>
          <w:rFonts w:ascii="Arial" w:hAnsi="Arial" w:cs="Arial"/>
          <w:b w:val="0"/>
          <w:caps w:val="0"/>
          <w:sz w:val="20"/>
        </w:rPr>
      </w:pPr>
    </w:p>
    <w:p w14:paraId="59BE28C5" w14:textId="6784B660" w:rsidR="00966128" w:rsidRDefault="00966128" w:rsidP="00441B6F">
      <w:pPr>
        <w:pStyle w:val="Head1"/>
        <w:spacing w:after="0"/>
        <w:jc w:val="both"/>
        <w:rPr>
          <w:rFonts w:ascii="Arial" w:hAnsi="Arial" w:cs="Arial"/>
          <w:b w:val="0"/>
          <w:caps w:val="0"/>
          <w:sz w:val="20"/>
        </w:rPr>
      </w:pPr>
      <w:r w:rsidRPr="00966128">
        <w:rPr>
          <w:rFonts w:ascii="Arial" w:hAnsi="Arial" w:cs="Arial"/>
          <w:b w:val="0"/>
          <w:caps w:val="0"/>
          <w:sz w:val="20"/>
        </w:rPr>
        <w:t>Increasing the cavity depth from 6 to 10 cm reduces the heat flux, a trend consistent with findings reported in the literature: beyond approximately 10–12 cm, the marginal benefits associated with natural convection decline rapidly (Andreeva et al., 2022</w:t>
      </w:r>
      <w:r w:rsidR="00E03EFB">
        <w:rPr>
          <w:rFonts w:ascii="Arial" w:hAnsi="Arial" w:cs="Arial"/>
          <w:b w:val="0"/>
          <w:caps w:val="0"/>
          <w:sz w:val="20"/>
        </w:rPr>
        <w:t xml:space="preserve">). </w:t>
      </w:r>
      <w:r w:rsidRPr="00966128">
        <w:rPr>
          <w:rFonts w:ascii="Arial" w:hAnsi="Arial" w:cs="Arial"/>
          <w:b w:val="0"/>
          <w:caps w:val="0"/>
          <w:sz w:val="20"/>
        </w:rPr>
        <w:t>This inflection point suggests that a 10-cm cavity represents a technical–economic optimum in climates characterized by high daytime solar radiation and pronounced nocturnal temperature swings, as it supports efficient evacuation of heated air without requiring additional structural loads or significant extra costs.</w:t>
      </w:r>
    </w:p>
    <w:p w14:paraId="76D94DCE" w14:textId="77777777" w:rsidR="00966128" w:rsidRDefault="00966128" w:rsidP="00441B6F">
      <w:pPr>
        <w:pStyle w:val="Head1"/>
        <w:spacing w:after="0"/>
        <w:jc w:val="both"/>
        <w:rPr>
          <w:rFonts w:ascii="Arial" w:hAnsi="Arial" w:cs="Arial"/>
          <w:b w:val="0"/>
          <w:caps w:val="0"/>
          <w:sz w:val="20"/>
        </w:rPr>
      </w:pPr>
    </w:p>
    <w:p w14:paraId="2B0DF1BB" w14:textId="69556307" w:rsidR="00D86952" w:rsidRDefault="00D86952" w:rsidP="00441B6F">
      <w:pPr>
        <w:pStyle w:val="Head1"/>
        <w:spacing w:after="0"/>
        <w:jc w:val="both"/>
        <w:rPr>
          <w:rFonts w:ascii="Arial" w:hAnsi="Arial" w:cs="Arial"/>
          <w:b w:val="0"/>
          <w:caps w:val="0"/>
          <w:sz w:val="20"/>
        </w:rPr>
      </w:pPr>
      <w:r w:rsidRPr="00D86952">
        <w:rPr>
          <w:rFonts w:ascii="Arial" w:hAnsi="Arial" w:cs="Arial"/>
          <w:b w:val="0"/>
          <w:caps w:val="0"/>
          <w:sz w:val="20"/>
        </w:rPr>
        <w:t>Regarding the cladding material, its influence is comparatively minor (&lt; 3% variation in total heat flux). Among the evaluated options, Dekton exhibits the lowest heat-flux values (7.91 W/m² at 10 cm), followed by fiber-cement (7.91–8.26 W/m²) and ceramic (7.95–8.31 W/m²).</w:t>
      </w:r>
    </w:p>
    <w:p w14:paraId="4B8222E4" w14:textId="48F79906" w:rsidR="00D86952" w:rsidRDefault="00D86952" w:rsidP="00441B6F">
      <w:pPr>
        <w:pStyle w:val="Head1"/>
        <w:spacing w:after="0"/>
        <w:jc w:val="both"/>
        <w:rPr>
          <w:rFonts w:ascii="Arial" w:hAnsi="Arial" w:cs="Arial"/>
          <w:b w:val="0"/>
          <w:caps w:val="0"/>
          <w:sz w:val="20"/>
        </w:rPr>
        <w:sectPr w:rsidR="00D86952" w:rsidSect="00C633BB">
          <w:pgSz w:w="12240" w:h="15840"/>
          <w:pgMar w:top="1440" w:right="2016" w:bottom="2016" w:left="2016" w:header="720" w:footer="1123" w:gutter="0"/>
          <w:cols w:space="720"/>
          <w:docGrid w:linePitch="272"/>
        </w:sectPr>
      </w:pPr>
    </w:p>
    <w:p w14:paraId="790C3801" w14:textId="09FD48B5" w:rsidR="00863BD3" w:rsidRDefault="009500A6" w:rsidP="00592D15">
      <w:pPr>
        <w:tabs>
          <w:tab w:val="left" w:pos="1080"/>
        </w:tabs>
        <w:jc w:val="center"/>
        <w:rPr>
          <w:rFonts w:ascii="Arial" w:hAnsi="Arial"/>
          <w:b/>
        </w:rPr>
      </w:pPr>
      <w:r>
        <w:rPr>
          <w:rFonts w:ascii="Arial" w:hAnsi="Arial"/>
          <w:b/>
        </w:rPr>
        <w:lastRenderedPageBreak/>
        <w:t xml:space="preserve">Table </w:t>
      </w:r>
      <w:r w:rsidR="00F019C0">
        <w:rPr>
          <w:rFonts w:ascii="Arial" w:hAnsi="Arial"/>
          <w:b/>
        </w:rPr>
        <w:t>3</w:t>
      </w:r>
      <w:r>
        <w:rPr>
          <w:rFonts w:ascii="Arial" w:hAnsi="Arial"/>
          <w:b/>
        </w:rPr>
        <w:t>.</w:t>
      </w:r>
      <w:r w:rsidR="00863BD3" w:rsidRPr="00DC3180">
        <w:rPr>
          <w:rFonts w:ascii="Arial" w:hAnsi="Arial"/>
          <w:b/>
        </w:rPr>
        <w:tab/>
      </w:r>
      <w:r w:rsidR="00592D15" w:rsidRPr="00592D15">
        <w:rPr>
          <w:rFonts w:ascii="Arial" w:hAnsi="Arial"/>
          <w:b/>
        </w:rPr>
        <w:t>Thermal performance of the ventilated fa</w:t>
      </w:r>
      <w:r w:rsidR="00592D15">
        <w:rPr>
          <w:rFonts w:ascii="Arial" w:hAnsi="Arial"/>
          <w:b/>
        </w:rPr>
        <w:t>c</w:t>
      </w:r>
      <w:r w:rsidR="00592D15" w:rsidRPr="00592D15">
        <w:rPr>
          <w:rFonts w:ascii="Arial" w:hAnsi="Arial"/>
          <w:b/>
        </w:rPr>
        <w:t>ade configurations evaluated</w:t>
      </w:r>
    </w:p>
    <w:p w14:paraId="64CD82E9" w14:textId="6C4AAE2F" w:rsidR="00863BD3" w:rsidRPr="00DC3180" w:rsidRDefault="00863BD3" w:rsidP="00441B6F">
      <w:pPr>
        <w:tabs>
          <w:tab w:val="left" w:pos="1080"/>
        </w:tabs>
        <w:jc w:val="both"/>
        <w:rPr>
          <w:rFonts w:ascii="Arial" w:hAnsi="Arial"/>
          <w:b/>
        </w:rPr>
      </w:pPr>
    </w:p>
    <w:tbl>
      <w:tblPr>
        <w:tblStyle w:val="Tablaconcuadrcula"/>
        <w:tblW w:w="12299" w:type="dxa"/>
        <w:tblLayout w:type="fixed"/>
        <w:tblLook w:val="01E0" w:firstRow="1" w:lastRow="1" w:firstColumn="1" w:lastColumn="1" w:noHBand="0" w:noVBand="0"/>
      </w:tblPr>
      <w:tblGrid>
        <w:gridCol w:w="959"/>
        <w:gridCol w:w="1701"/>
        <w:gridCol w:w="1417"/>
        <w:gridCol w:w="1134"/>
        <w:gridCol w:w="851"/>
        <w:gridCol w:w="1134"/>
        <w:gridCol w:w="992"/>
        <w:gridCol w:w="992"/>
        <w:gridCol w:w="993"/>
        <w:gridCol w:w="992"/>
        <w:gridCol w:w="1134"/>
      </w:tblGrid>
      <w:tr w:rsidR="00B055A7" w:rsidRPr="00DC3180" w14:paraId="506215C1" w14:textId="2CE93FB9" w:rsidTr="00B055A7">
        <w:tc>
          <w:tcPr>
            <w:tcW w:w="959" w:type="dxa"/>
          </w:tcPr>
          <w:p w14:paraId="3B240AEC" w14:textId="0CD5E209" w:rsidR="00B055A7" w:rsidRPr="00DC3180" w:rsidRDefault="00B055A7" w:rsidP="00FE57D5">
            <w:pPr>
              <w:jc w:val="center"/>
              <w:rPr>
                <w:rFonts w:ascii="Arial" w:hAnsi="Arial"/>
                <w:b/>
                <w:bCs/>
              </w:rPr>
            </w:pPr>
            <w:bookmarkStart w:id="1" w:name="_Hlk215806942"/>
            <w:bookmarkStart w:id="2" w:name="_Hlk215786577"/>
            <w:r>
              <w:rPr>
                <w:rFonts w:ascii="Arial" w:hAnsi="Arial"/>
                <w:b/>
                <w:bCs/>
              </w:rPr>
              <w:t>Case</w:t>
            </w:r>
          </w:p>
        </w:tc>
        <w:tc>
          <w:tcPr>
            <w:tcW w:w="1701" w:type="dxa"/>
          </w:tcPr>
          <w:p w14:paraId="70C3D73F" w14:textId="169801F2" w:rsidR="00B055A7" w:rsidRPr="00DC3180" w:rsidRDefault="00B055A7" w:rsidP="00FE57D5">
            <w:pPr>
              <w:jc w:val="center"/>
              <w:rPr>
                <w:rFonts w:ascii="Arial" w:hAnsi="Arial"/>
                <w:b/>
                <w:bCs/>
              </w:rPr>
            </w:pPr>
            <w:r w:rsidRPr="00F019C0">
              <w:rPr>
                <w:rFonts w:ascii="Arial" w:hAnsi="Arial"/>
                <w:b/>
                <w:bCs/>
              </w:rPr>
              <w:t>Cladding Material</w:t>
            </w:r>
          </w:p>
        </w:tc>
        <w:tc>
          <w:tcPr>
            <w:tcW w:w="1417" w:type="dxa"/>
          </w:tcPr>
          <w:p w14:paraId="24259216" w14:textId="75BF30D5" w:rsidR="00B055A7" w:rsidRPr="00DC3180" w:rsidRDefault="00B055A7" w:rsidP="00FE57D5">
            <w:pPr>
              <w:jc w:val="center"/>
              <w:rPr>
                <w:rFonts w:ascii="Arial" w:hAnsi="Arial"/>
                <w:b/>
                <w:bCs/>
              </w:rPr>
            </w:pPr>
            <w:r w:rsidRPr="00F019C0">
              <w:rPr>
                <w:rFonts w:ascii="Arial" w:hAnsi="Arial"/>
                <w:b/>
                <w:bCs/>
              </w:rPr>
              <w:t>Air Cavity Thickness</w:t>
            </w:r>
          </w:p>
        </w:tc>
        <w:tc>
          <w:tcPr>
            <w:tcW w:w="1134" w:type="dxa"/>
          </w:tcPr>
          <w:p w14:paraId="266489A1" w14:textId="77777777" w:rsidR="00B055A7" w:rsidRPr="00F019C0" w:rsidRDefault="00585141" w:rsidP="00FE57D5">
            <w:pPr>
              <w:jc w:val="center"/>
              <w:rPr>
                <w:rFonts w:ascii="Arial" w:hAnsi="Arial"/>
                <w:b/>
                <w:bCs/>
              </w:rPr>
            </w:pPr>
            <m:oMathPara>
              <m:oMath>
                <m:sSub>
                  <m:sSubPr>
                    <m:ctrlPr>
                      <w:rPr>
                        <w:rFonts w:ascii="Cambria Math" w:eastAsia="Times New Roman" w:hAnsi="Cambria Math"/>
                        <w:b/>
                        <w:bCs/>
                        <w:i/>
                        <w:sz w:val="20"/>
                        <w:szCs w:val="20"/>
                      </w:rPr>
                    </m:ctrlPr>
                  </m:sSubPr>
                  <m:e>
                    <m:r>
                      <m:rPr>
                        <m:sty m:val="bi"/>
                      </m:rPr>
                      <w:rPr>
                        <w:rFonts w:ascii="Cambria Math" w:hAnsi="Cambria Math"/>
                      </w:rPr>
                      <m:t>R</m:t>
                    </m:r>
                  </m:e>
                  <m:sub>
                    <m:r>
                      <m:rPr>
                        <m:sty m:val="bi"/>
                      </m:rPr>
                      <w:rPr>
                        <w:rFonts w:ascii="Cambria Math" w:hAnsi="Cambria Math"/>
                      </w:rPr>
                      <m:t>clad</m:t>
                    </m:r>
                  </m:sub>
                </m:sSub>
              </m:oMath>
            </m:oMathPara>
          </w:p>
          <w:p w14:paraId="7E66F38E" w14:textId="3AF34005" w:rsidR="00B055A7" w:rsidRPr="00F019C0" w:rsidRDefault="00B055A7" w:rsidP="00FE57D5">
            <w:pPr>
              <w:jc w:val="center"/>
              <w:rPr>
                <w:rFonts w:ascii="Arial" w:hAnsi="Arial"/>
                <w:b/>
                <w:bCs/>
              </w:rPr>
            </w:pPr>
            <w:r>
              <w:rPr>
                <w:rFonts w:ascii="Arial" w:hAnsi="Arial"/>
                <w:b/>
                <w:bCs/>
              </w:rPr>
              <w:t>(K/W)</w:t>
            </w:r>
          </w:p>
        </w:tc>
        <w:tc>
          <w:tcPr>
            <w:tcW w:w="851" w:type="dxa"/>
          </w:tcPr>
          <w:p w14:paraId="0FC6C086" w14:textId="423646AF" w:rsidR="00B055A7" w:rsidRPr="00F019C0" w:rsidRDefault="00585141" w:rsidP="00FE57D5">
            <w:pPr>
              <w:jc w:val="center"/>
              <w:rPr>
                <w:rFonts w:ascii="Arial" w:hAnsi="Arial"/>
                <w:b/>
                <w:bCs/>
              </w:rPr>
            </w:pPr>
            <m:oMathPara>
              <m:oMath>
                <m:sSub>
                  <m:sSubPr>
                    <m:ctrlPr>
                      <w:rPr>
                        <w:rFonts w:ascii="Cambria Math" w:eastAsia="Times New Roman" w:hAnsi="Cambria Math"/>
                        <w:b/>
                        <w:bCs/>
                        <w:i/>
                        <w:sz w:val="20"/>
                        <w:szCs w:val="20"/>
                      </w:rPr>
                    </m:ctrlPr>
                  </m:sSubPr>
                  <m:e>
                    <m:r>
                      <m:rPr>
                        <m:sty m:val="bi"/>
                      </m:rPr>
                      <w:rPr>
                        <w:rFonts w:ascii="Cambria Math" w:hAnsi="Cambria Math"/>
                      </w:rPr>
                      <m:t>R</m:t>
                    </m:r>
                  </m:e>
                  <m:sub>
                    <m:r>
                      <m:rPr>
                        <m:sty m:val="bi"/>
                      </m:rPr>
                      <w:rPr>
                        <w:rFonts w:ascii="Cambria Math" w:hAnsi="Cambria Math"/>
                      </w:rPr>
                      <m:t>cav</m:t>
                    </m:r>
                  </m:sub>
                </m:sSub>
              </m:oMath>
            </m:oMathPara>
          </w:p>
          <w:p w14:paraId="2BA5752A" w14:textId="56D483A9" w:rsidR="00B055A7" w:rsidRPr="00F019C0" w:rsidRDefault="00B055A7" w:rsidP="00FE57D5">
            <w:pPr>
              <w:jc w:val="center"/>
              <w:rPr>
                <w:rFonts w:ascii="Arial" w:hAnsi="Arial"/>
                <w:b/>
                <w:bCs/>
              </w:rPr>
            </w:pPr>
            <w:r>
              <w:rPr>
                <w:rFonts w:ascii="Arial" w:hAnsi="Arial"/>
                <w:b/>
                <w:bCs/>
              </w:rPr>
              <w:t>(K/W)</w:t>
            </w:r>
          </w:p>
        </w:tc>
        <w:tc>
          <w:tcPr>
            <w:tcW w:w="1134" w:type="dxa"/>
          </w:tcPr>
          <w:p w14:paraId="56D87302" w14:textId="1A1BA835" w:rsidR="00B055A7" w:rsidRPr="00F019C0" w:rsidRDefault="00585141" w:rsidP="00FE57D5">
            <w:pPr>
              <w:jc w:val="center"/>
              <w:rPr>
                <w:rFonts w:ascii="Arial" w:hAnsi="Arial"/>
                <w:b/>
                <w:bCs/>
              </w:rPr>
            </w:pPr>
            <m:oMathPara>
              <m:oMath>
                <m:sSub>
                  <m:sSubPr>
                    <m:ctrlPr>
                      <w:rPr>
                        <w:rFonts w:ascii="Cambria Math" w:eastAsia="Times New Roman" w:hAnsi="Cambria Math"/>
                        <w:b/>
                        <w:bCs/>
                        <w:i/>
                        <w:sz w:val="20"/>
                        <w:szCs w:val="20"/>
                      </w:rPr>
                    </m:ctrlPr>
                  </m:sSubPr>
                  <m:e>
                    <m:r>
                      <m:rPr>
                        <m:sty m:val="bi"/>
                      </m:rPr>
                      <w:rPr>
                        <w:rFonts w:ascii="Cambria Math" w:hAnsi="Cambria Math"/>
                      </w:rPr>
                      <m:t>R</m:t>
                    </m:r>
                  </m:e>
                  <m:sub>
                    <m:r>
                      <m:rPr>
                        <m:sty m:val="bi"/>
                      </m:rPr>
                      <w:rPr>
                        <w:rFonts w:ascii="Cambria Math" w:hAnsi="Cambria Math"/>
                      </w:rPr>
                      <m:t>tot</m:t>
                    </m:r>
                  </m:sub>
                </m:sSub>
              </m:oMath>
            </m:oMathPara>
          </w:p>
          <w:p w14:paraId="64A6443C" w14:textId="48C0E6AC" w:rsidR="00B055A7" w:rsidRPr="00F019C0" w:rsidRDefault="00B055A7" w:rsidP="00FE57D5">
            <w:pPr>
              <w:jc w:val="center"/>
              <w:rPr>
                <w:rFonts w:ascii="Arial" w:hAnsi="Arial"/>
                <w:b/>
                <w:bCs/>
              </w:rPr>
            </w:pPr>
            <w:r>
              <w:rPr>
                <w:rFonts w:ascii="Arial" w:hAnsi="Arial"/>
                <w:b/>
                <w:bCs/>
              </w:rPr>
              <w:t>(K/W)</w:t>
            </w:r>
          </w:p>
        </w:tc>
        <w:bookmarkStart w:id="3" w:name="_Hlk215806836"/>
        <w:tc>
          <w:tcPr>
            <w:tcW w:w="992" w:type="dxa"/>
          </w:tcPr>
          <w:p w14:paraId="632E168C" w14:textId="77777777" w:rsidR="00B055A7" w:rsidRPr="00805CE5" w:rsidRDefault="00585141" w:rsidP="00FE57D5">
            <w:pPr>
              <w:jc w:val="center"/>
              <w:rPr>
                <w:rFonts w:ascii="Arial" w:hAnsi="Arial"/>
                <w:b/>
                <w:bCs/>
              </w:rPr>
            </w:pPr>
            <m:oMathPara>
              <m:oMath>
                <m:sSub>
                  <m:sSubPr>
                    <m:ctrlPr>
                      <w:rPr>
                        <w:rFonts w:ascii="Cambria Math" w:hAnsi="Cambria Math"/>
                        <w:b/>
                        <w:bCs/>
                        <w:i/>
                      </w:rPr>
                    </m:ctrlPr>
                  </m:sSubPr>
                  <m:e>
                    <m:r>
                      <m:rPr>
                        <m:sty m:val="p"/>
                      </m:rPr>
                      <w:rPr>
                        <w:rFonts w:ascii="Cambria Math" w:hAnsi="Cambria Math"/>
                      </w:rPr>
                      <m:t>ΔT</m:t>
                    </m:r>
                  </m:e>
                  <m:sub>
                    <m:r>
                      <m:rPr>
                        <m:sty m:val="bi"/>
                      </m:rPr>
                      <w:rPr>
                        <w:rFonts w:ascii="Cambria Math" w:hAnsi="Cambria Math"/>
                      </w:rPr>
                      <m:t>clad</m:t>
                    </m:r>
                  </m:sub>
                </m:sSub>
              </m:oMath>
            </m:oMathPara>
          </w:p>
          <w:p w14:paraId="02B0375B" w14:textId="73A9F47B" w:rsidR="00B055A7" w:rsidRPr="00F019C0" w:rsidRDefault="00B055A7" w:rsidP="00FE57D5">
            <w:pPr>
              <w:jc w:val="center"/>
              <w:rPr>
                <w:rFonts w:ascii="Arial" w:hAnsi="Arial"/>
                <w:b/>
                <w:bCs/>
              </w:rPr>
            </w:pPr>
            <w:r>
              <w:rPr>
                <w:rFonts w:ascii="Arial" w:hAnsi="Arial"/>
                <w:b/>
                <w:bCs/>
              </w:rPr>
              <w:t>(K)</w:t>
            </w:r>
            <w:bookmarkEnd w:id="3"/>
          </w:p>
        </w:tc>
        <w:tc>
          <w:tcPr>
            <w:tcW w:w="992" w:type="dxa"/>
          </w:tcPr>
          <w:p w14:paraId="6CB6980F" w14:textId="29632289" w:rsidR="00B055A7" w:rsidRPr="00805CE5" w:rsidRDefault="00585141" w:rsidP="00805CE5">
            <w:pPr>
              <w:jc w:val="center"/>
              <w:rPr>
                <w:rFonts w:ascii="Arial" w:hAnsi="Arial"/>
                <w:b/>
                <w:bCs/>
              </w:rPr>
            </w:pPr>
            <m:oMathPara>
              <m:oMath>
                <m:sSub>
                  <m:sSubPr>
                    <m:ctrlPr>
                      <w:rPr>
                        <w:rFonts w:ascii="Cambria Math" w:hAnsi="Cambria Math"/>
                        <w:b/>
                        <w:bCs/>
                        <w:i/>
                      </w:rPr>
                    </m:ctrlPr>
                  </m:sSubPr>
                  <m:e>
                    <m:r>
                      <m:rPr>
                        <m:sty m:val="p"/>
                      </m:rPr>
                      <w:rPr>
                        <w:rFonts w:ascii="Cambria Math" w:hAnsi="Cambria Math"/>
                      </w:rPr>
                      <m:t>ΔT</m:t>
                    </m:r>
                  </m:e>
                  <m:sub>
                    <m:r>
                      <m:rPr>
                        <m:sty m:val="bi"/>
                      </m:rPr>
                      <w:rPr>
                        <w:rFonts w:ascii="Cambria Math" w:hAnsi="Cambria Math"/>
                      </w:rPr>
                      <m:t>cav</m:t>
                    </m:r>
                  </m:sub>
                </m:sSub>
              </m:oMath>
            </m:oMathPara>
          </w:p>
          <w:p w14:paraId="1942134F" w14:textId="33F46705" w:rsidR="00B055A7" w:rsidRPr="00F019C0" w:rsidRDefault="00B055A7" w:rsidP="00805CE5">
            <w:pPr>
              <w:jc w:val="center"/>
              <w:rPr>
                <w:rFonts w:ascii="Arial" w:hAnsi="Arial"/>
                <w:b/>
                <w:bCs/>
              </w:rPr>
            </w:pPr>
            <w:r>
              <w:rPr>
                <w:rFonts w:ascii="Arial" w:hAnsi="Arial"/>
                <w:b/>
                <w:bCs/>
              </w:rPr>
              <w:t>(K)</w:t>
            </w:r>
          </w:p>
        </w:tc>
        <w:tc>
          <w:tcPr>
            <w:tcW w:w="993" w:type="dxa"/>
          </w:tcPr>
          <w:p w14:paraId="0D247E89" w14:textId="65BA215E" w:rsidR="00B055A7" w:rsidRPr="00805CE5" w:rsidRDefault="00585141" w:rsidP="00805CE5">
            <w:pPr>
              <w:jc w:val="center"/>
              <w:rPr>
                <w:rFonts w:ascii="Arial" w:hAnsi="Arial"/>
                <w:b/>
                <w:bCs/>
              </w:rPr>
            </w:pPr>
            <m:oMathPara>
              <m:oMath>
                <m:sSub>
                  <m:sSubPr>
                    <m:ctrlPr>
                      <w:rPr>
                        <w:rFonts w:ascii="Cambria Math" w:hAnsi="Cambria Math"/>
                        <w:b/>
                        <w:bCs/>
                        <w:i/>
                      </w:rPr>
                    </m:ctrlPr>
                  </m:sSubPr>
                  <m:e>
                    <m:r>
                      <m:rPr>
                        <m:sty m:val="p"/>
                      </m:rPr>
                      <w:rPr>
                        <w:rFonts w:ascii="Cambria Math" w:hAnsi="Cambria Math"/>
                      </w:rPr>
                      <m:t>ΔT</m:t>
                    </m:r>
                  </m:e>
                  <m:sub>
                    <m:r>
                      <m:rPr>
                        <m:sty m:val="bi"/>
                      </m:rPr>
                      <w:rPr>
                        <w:rFonts w:ascii="Cambria Math" w:hAnsi="Cambria Math"/>
                      </w:rPr>
                      <m:t>suf</m:t>
                    </m:r>
                    <m:r>
                      <m:rPr>
                        <m:sty m:val="bi"/>
                      </m:rPr>
                      <w:rPr>
                        <w:rFonts w:ascii="Cambria Math" w:hAnsi="Cambria Math"/>
                      </w:rPr>
                      <m:t>-</m:t>
                    </m:r>
                    <m:r>
                      <m:rPr>
                        <m:sty m:val="bi"/>
                      </m:rPr>
                      <w:rPr>
                        <w:rFonts w:ascii="Cambria Math" w:hAnsi="Cambria Math"/>
                      </w:rPr>
                      <m:t>Out</m:t>
                    </m:r>
                  </m:sub>
                </m:sSub>
              </m:oMath>
            </m:oMathPara>
          </w:p>
          <w:p w14:paraId="7E4E6882" w14:textId="20330ABE" w:rsidR="00B055A7" w:rsidRPr="00F019C0" w:rsidRDefault="00B055A7" w:rsidP="00805CE5">
            <w:pPr>
              <w:jc w:val="center"/>
              <w:rPr>
                <w:rFonts w:ascii="Arial" w:hAnsi="Arial"/>
                <w:b/>
                <w:bCs/>
              </w:rPr>
            </w:pPr>
            <w:r>
              <w:rPr>
                <w:rFonts w:ascii="Arial" w:hAnsi="Arial"/>
                <w:b/>
                <w:bCs/>
              </w:rPr>
              <w:t>(°C)</w:t>
            </w:r>
          </w:p>
        </w:tc>
        <w:tc>
          <w:tcPr>
            <w:tcW w:w="992" w:type="dxa"/>
          </w:tcPr>
          <w:p w14:paraId="6B3137D1" w14:textId="7601169B" w:rsidR="00B055A7" w:rsidRPr="00805CE5" w:rsidRDefault="00585141" w:rsidP="001F4176">
            <w:pPr>
              <w:jc w:val="center"/>
              <w:rPr>
                <w:rFonts w:ascii="Arial" w:hAnsi="Arial"/>
                <w:b/>
                <w:bCs/>
              </w:rPr>
            </w:pPr>
            <m:oMathPara>
              <m:oMath>
                <m:sSub>
                  <m:sSubPr>
                    <m:ctrlPr>
                      <w:rPr>
                        <w:rFonts w:ascii="Cambria Math" w:hAnsi="Cambria Math"/>
                        <w:b/>
                        <w:bCs/>
                        <w:i/>
                      </w:rPr>
                    </m:ctrlPr>
                  </m:sSubPr>
                  <m:e>
                    <m:r>
                      <m:rPr>
                        <m:sty m:val="p"/>
                      </m:rPr>
                      <w:rPr>
                        <w:rFonts w:ascii="Cambria Math" w:hAnsi="Cambria Math"/>
                      </w:rPr>
                      <m:t>ΔT</m:t>
                    </m:r>
                  </m:e>
                  <m:sub>
                    <m:r>
                      <m:rPr>
                        <m:sty m:val="bi"/>
                      </m:rPr>
                      <w:rPr>
                        <w:rFonts w:ascii="Cambria Math" w:hAnsi="Cambria Math"/>
                      </w:rPr>
                      <m:t>aft</m:t>
                    </m:r>
                    <m:r>
                      <m:rPr>
                        <m:sty m:val="bi"/>
                      </m:rPr>
                      <w:rPr>
                        <w:rFonts w:ascii="Cambria Math" w:hAnsi="Cambria Math"/>
                      </w:rPr>
                      <m:t>-</m:t>
                    </m:r>
                    <m:r>
                      <m:rPr>
                        <m:sty m:val="bi"/>
                      </m:rPr>
                      <w:rPr>
                        <w:rFonts w:ascii="Cambria Math" w:hAnsi="Cambria Math"/>
                      </w:rPr>
                      <m:t>clad</m:t>
                    </m:r>
                  </m:sub>
                </m:sSub>
              </m:oMath>
            </m:oMathPara>
          </w:p>
          <w:p w14:paraId="317A2871" w14:textId="39DE4DEC" w:rsidR="00B055A7" w:rsidRPr="00F019C0" w:rsidRDefault="00B055A7" w:rsidP="001F4176">
            <w:pPr>
              <w:jc w:val="center"/>
              <w:rPr>
                <w:rFonts w:ascii="Arial" w:hAnsi="Arial"/>
                <w:b/>
                <w:bCs/>
              </w:rPr>
            </w:pPr>
            <w:r>
              <w:rPr>
                <w:rFonts w:ascii="Arial" w:hAnsi="Arial"/>
                <w:b/>
                <w:bCs/>
              </w:rPr>
              <w:t>(°C)</w:t>
            </w:r>
          </w:p>
        </w:tc>
        <w:tc>
          <w:tcPr>
            <w:tcW w:w="1134" w:type="dxa"/>
          </w:tcPr>
          <w:p w14:paraId="7872E435" w14:textId="1E87902E" w:rsidR="00B055A7" w:rsidRPr="00805CE5" w:rsidRDefault="00585141" w:rsidP="001F4176">
            <w:pPr>
              <w:jc w:val="center"/>
              <w:rPr>
                <w:rFonts w:ascii="Arial" w:hAnsi="Arial"/>
                <w:b/>
                <w:bCs/>
              </w:rPr>
            </w:pPr>
            <m:oMathPara>
              <m:oMath>
                <m:sSub>
                  <m:sSubPr>
                    <m:ctrlPr>
                      <w:rPr>
                        <w:rFonts w:ascii="Cambria Math" w:hAnsi="Cambria Math"/>
                        <w:b/>
                        <w:bCs/>
                        <w:i/>
                      </w:rPr>
                    </m:ctrlPr>
                  </m:sSubPr>
                  <m:e>
                    <m:r>
                      <m:rPr>
                        <m:sty m:val="p"/>
                      </m:rPr>
                      <w:rPr>
                        <w:rFonts w:ascii="Cambria Math" w:hAnsi="Cambria Math"/>
                      </w:rPr>
                      <m:t>ΔT</m:t>
                    </m:r>
                  </m:e>
                  <m:sub>
                    <m:r>
                      <m:rPr>
                        <m:sty m:val="bi"/>
                      </m:rPr>
                      <w:rPr>
                        <w:rFonts w:ascii="Cambria Math" w:hAnsi="Cambria Math"/>
                      </w:rPr>
                      <m:t>aft</m:t>
                    </m:r>
                    <m:r>
                      <m:rPr>
                        <m:sty m:val="bi"/>
                      </m:rPr>
                      <w:rPr>
                        <w:rFonts w:ascii="Cambria Math" w:hAnsi="Cambria Math"/>
                      </w:rPr>
                      <m:t>-</m:t>
                    </m:r>
                    <m:r>
                      <m:rPr>
                        <m:sty m:val="bi"/>
                      </m:rPr>
                      <w:rPr>
                        <w:rFonts w:ascii="Cambria Math" w:hAnsi="Cambria Math"/>
                      </w:rPr>
                      <m:t>cav</m:t>
                    </m:r>
                  </m:sub>
                </m:sSub>
              </m:oMath>
            </m:oMathPara>
          </w:p>
          <w:p w14:paraId="0B3E6EB5" w14:textId="6AA9C800" w:rsidR="00B055A7" w:rsidRPr="00F019C0" w:rsidRDefault="00B055A7" w:rsidP="001F4176">
            <w:pPr>
              <w:jc w:val="center"/>
              <w:rPr>
                <w:rFonts w:ascii="Arial" w:hAnsi="Arial"/>
                <w:b/>
                <w:bCs/>
              </w:rPr>
            </w:pPr>
            <w:r>
              <w:rPr>
                <w:rFonts w:ascii="Arial" w:hAnsi="Arial"/>
                <w:b/>
                <w:bCs/>
              </w:rPr>
              <w:t>(°C)</w:t>
            </w:r>
          </w:p>
        </w:tc>
      </w:tr>
      <w:bookmarkEnd w:id="1"/>
      <w:tr w:rsidR="00B055A7" w:rsidRPr="00DC3180" w14:paraId="67FB1A0F" w14:textId="7529C8B4" w:rsidTr="00B055A7">
        <w:trPr>
          <w:trHeight w:val="245"/>
        </w:trPr>
        <w:tc>
          <w:tcPr>
            <w:tcW w:w="959" w:type="dxa"/>
            <w:vMerge w:val="restart"/>
          </w:tcPr>
          <w:p w14:paraId="1025B5C2" w14:textId="42ACF892" w:rsidR="00B055A7" w:rsidRPr="00F019C0" w:rsidRDefault="00B055A7" w:rsidP="001F4176">
            <w:pPr>
              <w:jc w:val="center"/>
              <w:rPr>
                <w:rFonts w:ascii="Arial" w:hAnsi="Arial" w:cs="Arial"/>
              </w:rPr>
            </w:pPr>
            <w:r w:rsidRPr="00F019C0">
              <w:rPr>
                <w:rFonts w:ascii="Arial" w:hAnsi="Arial" w:cs="Arial"/>
              </w:rPr>
              <w:t>Case</w:t>
            </w:r>
            <w:r>
              <w:rPr>
                <w:rFonts w:ascii="Arial" w:hAnsi="Arial" w:cs="Arial"/>
              </w:rPr>
              <w:t xml:space="preserve"> 1</w:t>
            </w:r>
          </w:p>
        </w:tc>
        <w:tc>
          <w:tcPr>
            <w:tcW w:w="1701" w:type="dxa"/>
            <w:vMerge w:val="restart"/>
            <w:vAlign w:val="center"/>
          </w:tcPr>
          <w:p w14:paraId="21EB2FBD" w14:textId="79FB7F58" w:rsidR="00B055A7" w:rsidRPr="00F019C0" w:rsidRDefault="00B055A7" w:rsidP="001F4176">
            <w:pPr>
              <w:jc w:val="center"/>
              <w:rPr>
                <w:rFonts w:ascii="Arial" w:hAnsi="Arial" w:cs="Arial"/>
              </w:rPr>
            </w:pPr>
            <w:r w:rsidRPr="00F019C0">
              <w:rPr>
                <w:rFonts w:ascii="Arial" w:hAnsi="Arial" w:cs="Arial"/>
              </w:rPr>
              <w:t>Dekton</w:t>
            </w:r>
          </w:p>
        </w:tc>
        <w:tc>
          <w:tcPr>
            <w:tcW w:w="1417" w:type="dxa"/>
          </w:tcPr>
          <w:p w14:paraId="5693323C" w14:textId="6CB11F51" w:rsidR="00B055A7" w:rsidRPr="00EE50D4" w:rsidRDefault="00B055A7" w:rsidP="001F4176">
            <w:pPr>
              <w:jc w:val="center"/>
              <w:rPr>
                <w:rFonts w:ascii="Arial" w:hAnsi="Arial" w:cs="Arial"/>
              </w:rPr>
            </w:pPr>
            <w:r w:rsidRPr="00EE50D4">
              <w:rPr>
                <w:rFonts w:ascii="Arial" w:hAnsi="Arial" w:cs="Arial"/>
              </w:rPr>
              <w:t>6 cm</w:t>
            </w:r>
          </w:p>
        </w:tc>
        <w:tc>
          <w:tcPr>
            <w:tcW w:w="1134" w:type="dxa"/>
          </w:tcPr>
          <w:p w14:paraId="196C085B" w14:textId="6EDF4129" w:rsidR="00B055A7" w:rsidRPr="00DC3180" w:rsidRDefault="00B055A7" w:rsidP="001F4176">
            <w:pPr>
              <w:jc w:val="center"/>
              <w:rPr>
                <w:rFonts w:ascii="Arial" w:hAnsi="Arial" w:cs="Arial"/>
              </w:rPr>
            </w:pPr>
            <w:r w:rsidRPr="00FB0C39">
              <w:t>0.00909</w:t>
            </w:r>
          </w:p>
        </w:tc>
        <w:tc>
          <w:tcPr>
            <w:tcW w:w="851" w:type="dxa"/>
          </w:tcPr>
          <w:p w14:paraId="7EC46AA6" w14:textId="069C50BC" w:rsidR="00B055A7" w:rsidRPr="00DC3180" w:rsidRDefault="00B055A7" w:rsidP="001F4176">
            <w:pPr>
              <w:jc w:val="center"/>
              <w:rPr>
                <w:rFonts w:ascii="Arial" w:hAnsi="Arial" w:cs="Arial"/>
              </w:rPr>
            </w:pPr>
            <w:r w:rsidRPr="009C2217">
              <w:t>0.2</w:t>
            </w:r>
            <w:r>
              <w:t>00</w:t>
            </w:r>
          </w:p>
        </w:tc>
        <w:tc>
          <w:tcPr>
            <w:tcW w:w="1134" w:type="dxa"/>
          </w:tcPr>
          <w:p w14:paraId="38639CD6" w14:textId="6F0B1E08" w:rsidR="00B055A7" w:rsidRPr="00DC3180" w:rsidRDefault="00B055A7" w:rsidP="001F4176">
            <w:pPr>
              <w:jc w:val="center"/>
              <w:rPr>
                <w:rFonts w:ascii="Arial" w:hAnsi="Arial" w:cs="Arial"/>
              </w:rPr>
            </w:pPr>
            <w:r w:rsidRPr="00003922">
              <w:t>1.75811</w:t>
            </w:r>
          </w:p>
        </w:tc>
        <w:tc>
          <w:tcPr>
            <w:tcW w:w="992" w:type="dxa"/>
          </w:tcPr>
          <w:p w14:paraId="195BB2BB" w14:textId="15ADD484" w:rsidR="00B055A7" w:rsidRPr="00DC3180" w:rsidRDefault="00B055A7" w:rsidP="001F4176">
            <w:pPr>
              <w:jc w:val="center"/>
              <w:rPr>
                <w:rFonts w:ascii="Arial" w:hAnsi="Arial" w:cs="Arial"/>
              </w:rPr>
            </w:pPr>
            <w:r w:rsidRPr="00B951A8">
              <w:t>0.0724</w:t>
            </w:r>
          </w:p>
        </w:tc>
        <w:tc>
          <w:tcPr>
            <w:tcW w:w="992" w:type="dxa"/>
          </w:tcPr>
          <w:p w14:paraId="63026A44" w14:textId="0996D3D3" w:rsidR="00B055A7" w:rsidRPr="00DC3180" w:rsidRDefault="00B055A7" w:rsidP="001F4176">
            <w:pPr>
              <w:jc w:val="center"/>
              <w:rPr>
                <w:rFonts w:ascii="Arial" w:hAnsi="Arial" w:cs="Arial"/>
              </w:rPr>
            </w:pPr>
            <w:r w:rsidRPr="0021674D">
              <w:t>1.5926</w:t>
            </w:r>
          </w:p>
        </w:tc>
        <w:tc>
          <w:tcPr>
            <w:tcW w:w="993" w:type="dxa"/>
          </w:tcPr>
          <w:p w14:paraId="6C8C9B43" w14:textId="536B30FE" w:rsidR="00B055A7" w:rsidRPr="00DC3180" w:rsidRDefault="00B055A7" w:rsidP="001F4176">
            <w:pPr>
              <w:jc w:val="center"/>
              <w:rPr>
                <w:rFonts w:ascii="Arial" w:hAnsi="Arial" w:cs="Arial"/>
              </w:rPr>
            </w:pPr>
            <w:r w:rsidRPr="00D820CD">
              <w:t>39.469</w:t>
            </w:r>
          </w:p>
        </w:tc>
        <w:tc>
          <w:tcPr>
            <w:tcW w:w="992" w:type="dxa"/>
          </w:tcPr>
          <w:p w14:paraId="40E88F16" w14:textId="1AAD30D2" w:rsidR="00B055A7" w:rsidRPr="00DC3180" w:rsidRDefault="00B055A7" w:rsidP="001F4176">
            <w:pPr>
              <w:jc w:val="center"/>
              <w:rPr>
                <w:rFonts w:ascii="Arial" w:hAnsi="Arial" w:cs="Arial"/>
              </w:rPr>
            </w:pPr>
            <w:r w:rsidRPr="00FF7984">
              <w:t>39.397</w:t>
            </w:r>
          </w:p>
        </w:tc>
        <w:tc>
          <w:tcPr>
            <w:tcW w:w="1134" w:type="dxa"/>
          </w:tcPr>
          <w:p w14:paraId="5F058F02" w14:textId="1E2B12A8" w:rsidR="00B055A7" w:rsidRPr="00DC3180" w:rsidRDefault="00B055A7" w:rsidP="001F4176">
            <w:pPr>
              <w:jc w:val="center"/>
              <w:rPr>
                <w:rFonts w:ascii="Arial" w:hAnsi="Arial" w:cs="Arial"/>
              </w:rPr>
            </w:pPr>
            <w:r w:rsidRPr="00F376E1">
              <w:t>37.804</w:t>
            </w:r>
          </w:p>
        </w:tc>
      </w:tr>
      <w:tr w:rsidR="00B055A7" w:rsidRPr="00DC3180" w14:paraId="713FF607" w14:textId="734C3609" w:rsidTr="00B055A7">
        <w:tc>
          <w:tcPr>
            <w:tcW w:w="959" w:type="dxa"/>
            <w:vMerge/>
          </w:tcPr>
          <w:p w14:paraId="27E2BDE3" w14:textId="77777777" w:rsidR="00B055A7" w:rsidRPr="00DC3180" w:rsidRDefault="00B055A7" w:rsidP="001F4176">
            <w:pPr>
              <w:jc w:val="center"/>
              <w:rPr>
                <w:rFonts w:ascii="Arial" w:hAnsi="Arial" w:cs="Arial"/>
              </w:rPr>
            </w:pPr>
          </w:p>
        </w:tc>
        <w:tc>
          <w:tcPr>
            <w:tcW w:w="1701" w:type="dxa"/>
            <w:vMerge/>
            <w:vAlign w:val="center"/>
          </w:tcPr>
          <w:p w14:paraId="409B7C11" w14:textId="5D1E9228" w:rsidR="00B055A7" w:rsidRPr="00DC3180" w:rsidRDefault="00B055A7" w:rsidP="001F4176">
            <w:pPr>
              <w:jc w:val="center"/>
              <w:rPr>
                <w:rFonts w:ascii="Arial" w:hAnsi="Arial" w:cs="Arial"/>
              </w:rPr>
            </w:pPr>
          </w:p>
        </w:tc>
        <w:tc>
          <w:tcPr>
            <w:tcW w:w="1417" w:type="dxa"/>
          </w:tcPr>
          <w:p w14:paraId="597ED1B5" w14:textId="3DB88221" w:rsidR="00B055A7" w:rsidRPr="00EE50D4" w:rsidRDefault="00B055A7" w:rsidP="001F4176">
            <w:pPr>
              <w:jc w:val="center"/>
              <w:rPr>
                <w:rFonts w:ascii="Arial" w:hAnsi="Arial" w:cs="Arial"/>
              </w:rPr>
            </w:pPr>
            <w:r w:rsidRPr="00EE50D4">
              <w:rPr>
                <w:rFonts w:ascii="Arial" w:hAnsi="Arial" w:cs="Arial"/>
              </w:rPr>
              <w:t>10 cm</w:t>
            </w:r>
          </w:p>
        </w:tc>
        <w:tc>
          <w:tcPr>
            <w:tcW w:w="1134" w:type="dxa"/>
          </w:tcPr>
          <w:p w14:paraId="0F5E5AD8" w14:textId="05D3BC2E" w:rsidR="00B055A7" w:rsidRPr="00DC3180" w:rsidRDefault="00B055A7" w:rsidP="001F4176">
            <w:pPr>
              <w:jc w:val="center"/>
              <w:rPr>
                <w:rFonts w:ascii="Arial" w:hAnsi="Arial" w:cs="Arial"/>
              </w:rPr>
            </w:pPr>
            <w:r w:rsidRPr="00FB0C39">
              <w:t>0.00909</w:t>
            </w:r>
          </w:p>
        </w:tc>
        <w:tc>
          <w:tcPr>
            <w:tcW w:w="851" w:type="dxa"/>
          </w:tcPr>
          <w:p w14:paraId="36DE2F82" w14:textId="74067DF4" w:rsidR="00B055A7" w:rsidRPr="00DC3180" w:rsidRDefault="00B055A7" w:rsidP="001F4176">
            <w:pPr>
              <w:jc w:val="center"/>
              <w:rPr>
                <w:rFonts w:ascii="Arial" w:hAnsi="Arial" w:cs="Arial"/>
              </w:rPr>
            </w:pPr>
            <w:r w:rsidRPr="009C2217">
              <w:t>0.125</w:t>
            </w:r>
          </w:p>
        </w:tc>
        <w:tc>
          <w:tcPr>
            <w:tcW w:w="1134" w:type="dxa"/>
          </w:tcPr>
          <w:p w14:paraId="5975E3C6" w14:textId="188C08C7" w:rsidR="00B055A7" w:rsidRPr="00DC3180" w:rsidRDefault="00B055A7" w:rsidP="001F4176">
            <w:pPr>
              <w:jc w:val="center"/>
              <w:rPr>
                <w:rFonts w:ascii="Arial" w:hAnsi="Arial" w:cs="Arial"/>
              </w:rPr>
            </w:pPr>
            <w:r w:rsidRPr="00003922">
              <w:t>1.68311</w:t>
            </w:r>
          </w:p>
        </w:tc>
        <w:tc>
          <w:tcPr>
            <w:tcW w:w="992" w:type="dxa"/>
          </w:tcPr>
          <w:p w14:paraId="7255904F" w14:textId="48BE8546" w:rsidR="00B055A7" w:rsidRPr="00DC3180" w:rsidRDefault="00B055A7" w:rsidP="001F4176">
            <w:pPr>
              <w:jc w:val="center"/>
              <w:rPr>
                <w:rFonts w:ascii="Arial" w:hAnsi="Arial" w:cs="Arial"/>
              </w:rPr>
            </w:pPr>
            <w:r w:rsidRPr="00B951A8">
              <w:t>0.0756</w:t>
            </w:r>
          </w:p>
        </w:tc>
        <w:tc>
          <w:tcPr>
            <w:tcW w:w="992" w:type="dxa"/>
          </w:tcPr>
          <w:p w14:paraId="7B8206E0" w14:textId="7A48F9B9" w:rsidR="00B055A7" w:rsidRPr="00DC3180" w:rsidRDefault="00B055A7" w:rsidP="001F4176">
            <w:pPr>
              <w:jc w:val="center"/>
              <w:rPr>
                <w:rFonts w:ascii="Arial" w:hAnsi="Arial" w:cs="Arial"/>
              </w:rPr>
            </w:pPr>
            <w:r w:rsidRPr="0021674D">
              <w:t>1.0397</w:t>
            </w:r>
          </w:p>
        </w:tc>
        <w:tc>
          <w:tcPr>
            <w:tcW w:w="993" w:type="dxa"/>
          </w:tcPr>
          <w:p w14:paraId="0A97A96B" w14:textId="52436FFE" w:rsidR="00B055A7" w:rsidRPr="00DC3180" w:rsidRDefault="00B055A7" w:rsidP="001F4176">
            <w:pPr>
              <w:jc w:val="center"/>
              <w:rPr>
                <w:rFonts w:ascii="Arial" w:hAnsi="Arial" w:cs="Arial"/>
              </w:rPr>
            </w:pPr>
            <w:r w:rsidRPr="00D820CD">
              <w:t>39.445</w:t>
            </w:r>
          </w:p>
        </w:tc>
        <w:tc>
          <w:tcPr>
            <w:tcW w:w="992" w:type="dxa"/>
          </w:tcPr>
          <w:p w14:paraId="2F7CAC00" w14:textId="01369EB1" w:rsidR="00B055A7" w:rsidRPr="00DC3180" w:rsidRDefault="00B055A7" w:rsidP="001F4176">
            <w:pPr>
              <w:jc w:val="center"/>
              <w:rPr>
                <w:rFonts w:ascii="Arial" w:hAnsi="Arial" w:cs="Arial"/>
              </w:rPr>
            </w:pPr>
            <w:r w:rsidRPr="00FF7984">
              <w:t>39.37</w:t>
            </w:r>
          </w:p>
        </w:tc>
        <w:tc>
          <w:tcPr>
            <w:tcW w:w="1134" w:type="dxa"/>
          </w:tcPr>
          <w:p w14:paraId="4DC1F034" w14:textId="75778C12" w:rsidR="00B055A7" w:rsidRPr="00DC3180" w:rsidRDefault="00B055A7" w:rsidP="001F4176">
            <w:pPr>
              <w:jc w:val="center"/>
              <w:rPr>
                <w:rFonts w:ascii="Arial" w:hAnsi="Arial" w:cs="Arial"/>
              </w:rPr>
            </w:pPr>
            <w:r w:rsidRPr="00F376E1">
              <w:t>38.33</w:t>
            </w:r>
          </w:p>
        </w:tc>
      </w:tr>
      <w:tr w:rsidR="00B055A7" w:rsidRPr="00DC3180" w14:paraId="1E16ACE9" w14:textId="2428DB53" w:rsidTr="00B055A7">
        <w:tc>
          <w:tcPr>
            <w:tcW w:w="959" w:type="dxa"/>
            <w:vMerge w:val="restart"/>
          </w:tcPr>
          <w:p w14:paraId="2E5007B2" w14:textId="2E927F38" w:rsidR="00B055A7" w:rsidRPr="00DC3180" w:rsidRDefault="00B055A7" w:rsidP="001F4176">
            <w:pPr>
              <w:jc w:val="center"/>
              <w:rPr>
                <w:rFonts w:ascii="Arial" w:hAnsi="Arial"/>
              </w:rPr>
            </w:pPr>
            <w:r>
              <w:rPr>
                <w:rFonts w:ascii="Arial" w:hAnsi="Arial"/>
              </w:rPr>
              <w:t>Case 2</w:t>
            </w:r>
          </w:p>
        </w:tc>
        <w:tc>
          <w:tcPr>
            <w:tcW w:w="1701" w:type="dxa"/>
            <w:vMerge w:val="restart"/>
            <w:vAlign w:val="center"/>
          </w:tcPr>
          <w:p w14:paraId="4F440657" w14:textId="65228F99" w:rsidR="00B055A7" w:rsidRPr="00DC3180" w:rsidRDefault="00B055A7" w:rsidP="001F4176">
            <w:pPr>
              <w:jc w:val="center"/>
              <w:rPr>
                <w:rFonts w:ascii="Arial" w:hAnsi="Arial"/>
              </w:rPr>
            </w:pPr>
            <w:r>
              <w:rPr>
                <w:rFonts w:ascii="Arial" w:hAnsi="Arial"/>
              </w:rPr>
              <w:t>Ceramic</w:t>
            </w:r>
          </w:p>
        </w:tc>
        <w:tc>
          <w:tcPr>
            <w:tcW w:w="1417" w:type="dxa"/>
          </w:tcPr>
          <w:p w14:paraId="3875E673" w14:textId="2A1A4D8E" w:rsidR="00B055A7" w:rsidRPr="00DC3180" w:rsidRDefault="00B055A7" w:rsidP="001F4176">
            <w:pPr>
              <w:jc w:val="center"/>
              <w:rPr>
                <w:rFonts w:ascii="Arial" w:hAnsi="Arial" w:cs="Arial"/>
              </w:rPr>
            </w:pPr>
            <w:r>
              <w:rPr>
                <w:rFonts w:ascii="Arial" w:hAnsi="Arial" w:cs="Arial"/>
              </w:rPr>
              <w:t>6 cm</w:t>
            </w:r>
          </w:p>
        </w:tc>
        <w:tc>
          <w:tcPr>
            <w:tcW w:w="1134" w:type="dxa"/>
          </w:tcPr>
          <w:p w14:paraId="0DFE25AA" w14:textId="26E6F4F9" w:rsidR="00B055A7" w:rsidRPr="00DC3180" w:rsidRDefault="00B055A7" w:rsidP="001F4176">
            <w:pPr>
              <w:jc w:val="center"/>
              <w:rPr>
                <w:rFonts w:ascii="Arial" w:hAnsi="Arial" w:cs="Arial"/>
              </w:rPr>
            </w:pPr>
            <w:r w:rsidRPr="00FB0C39">
              <w:t>0.01</w:t>
            </w:r>
          </w:p>
        </w:tc>
        <w:tc>
          <w:tcPr>
            <w:tcW w:w="851" w:type="dxa"/>
          </w:tcPr>
          <w:p w14:paraId="721074A5" w14:textId="53697F45" w:rsidR="00B055A7" w:rsidRPr="00DC3180" w:rsidRDefault="00B055A7" w:rsidP="001F4176">
            <w:pPr>
              <w:jc w:val="center"/>
              <w:rPr>
                <w:rFonts w:ascii="Arial" w:hAnsi="Arial" w:cs="Arial"/>
              </w:rPr>
            </w:pPr>
            <w:r w:rsidRPr="009C2217">
              <w:t>0.2</w:t>
            </w:r>
            <w:r>
              <w:t>00</w:t>
            </w:r>
          </w:p>
        </w:tc>
        <w:tc>
          <w:tcPr>
            <w:tcW w:w="1134" w:type="dxa"/>
          </w:tcPr>
          <w:p w14:paraId="6F2464D8" w14:textId="4F39751C" w:rsidR="00B055A7" w:rsidRPr="00DC3180" w:rsidRDefault="00B055A7" w:rsidP="001F4176">
            <w:pPr>
              <w:jc w:val="center"/>
              <w:rPr>
                <w:rFonts w:ascii="Arial" w:hAnsi="Arial" w:cs="Arial"/>
              </w:rPr>
            </w:pPr>
            <w:r w:rsidRPr="00003922">
              <w:t>1.75902</w:t>
            </w:r>
          </w:p>
        </w:tc>
        <w:tc>
          <w:tcPr>
            <w:tcW w:w="992" w:type="dxa"/>
          </w:tcPr>
          <w:p w14:paraId="7FDF670C" w14:textId="500BA68B" w:rsidR="00B055A7" w:rsidRPr="00DC3180" w:rsidRDefault="00B055A7" w:rsidP="001F4176">
            <w:pPr>
              <w:jc w:val="center"/>
              <w:rPr>
                <w:rFonts w:ascii="Arial" w:hAnsi="Arial" w:cs="Arial"/>
              </w:rPr>
            </w:pPr>
            <w:r w:rsidRPr="00B951A8">
              <w:t>0.0796</w:t>
            </w:r>
          </w:p>
        </w:tc>
        <w:tc>
          <w:tcPr>
            <w:tcW w:w="992" w:type="dxa"/>
          </w:tcPr>
          <w:p w14:paraId="57F58D0B" w14:textId="5CA137A0" w:rsidR="00B055A7" w:rsidRPr="00DC3180" w:rsidRDefault="00B055A7" w:rsidP="001F4176">
            <w:pPr>
              <w:jc w:val="center"/>
              <w:rPr>
                <w:rFonts w:ascii="Arial" w:hAnsi="Arial" w:cs="Arial"/>
              </w:rPr>
            </w:pPr>
            <w:r w:rsidRPr="0021674D">
              <w:t>1.5918</w:t>
            </w:r>
          </w:p>
        </w:tc>
        <w:tc>
          <w:tcPr>
            <w:tcW w:w="993" w:type="dxa"/>
          </w:tcPr>
          <w:p w14:paraId="18A440FF" w14:textId="002C3673" w:rsidR="00B055A7" w:rsidRPr="00DC3180" w:rsidRDefault="00B055A7" w:rsidP="001F4176">
            <w:pPr>
              <w:jc w:val="center"/>
              <w:rPr>
                <w:rFonts w:ascii="Arial" w:hAnsi="Arial" w:cs="Arial"/>
              </w:rPr>
            </w:pPr>
            <w:r w:rsidRPr="00D820CD">
              <w:t>39.469</w:t>
            </w:r>
          </w:p>
        </w:tc>
        <w:tc>
          <w:tcPr>
            <w:tcW w:w="992" w:type="dxa"/>
          </w:tcPr>
          <w:p w14:paraId="7BDF0DF3" w14:textId="27729AD5" w:rsidR="00B055A7" w:rsidRPr="00DC3180" w:rsidRDefault="00B055A7" w:rsidP="001F4176">
            <w:pPr>
              <w:jc w:val="center"/>
              <w:rPr>
                <w:rFonts w:ascii="Arial" w:hAnsi="Arial" w:cs="Arial"/>
              </w:rPr>
            </w:pPr>
            <w:r w:rsidRPr="00FF7984">
              <w:t>39.39</w:t>
            </w:r>
          </w:p>
        </w:tc>
        <w:tc>
          <w:tcPr>
            <w:tcW w:w="1134" w:type="dxa"/>
          </w:tcPr>
          <w:p w14:paraId="4E72D039" w14:textId="064594F7" w:rsidR="00B055A7" w:rsidRPr="00DC3180" w:rsidRDefault="00B055A7" w:rsidP="001F4176">
            <w:pPr>
              <w:jc w:val="center"/>
              <w:rPr>
                <w:rFonts w:ascii="Arial" w:hAnsi="Arial" w:cs="Arial"/>
              </w:rPr>
            </w:pPr>
            <w:r w:rsidRPr="00F376E1">
              <w:t>37.798</w:t>
            </w:r>
          </w:p>
        </w:tc>
      </w:tr>
      <w:tr w:rsidR="00B055A7" w:rsidRPr="00DC3180" w14:paraId="3D65DEC1" w14:textId="25AB0914" w:rsidTr="00B055A7">
        <w:tc>
          <w:tcPr>
            <w:tcW w:w="959" w:type="dxa"/>
            <w:vMerge/>
          </w:tcPr>
          <w:p w14:paraId="66F42608" w14:textId="16F32045" w:rsidR="00B055A7" w:rsidRPr="00DC3180" w:rsidRDefault="00B055A7" w:rsidP="001F4176">
            <w:pPr>
              <w:jc w:val="center"/>
              <w:rPr>
                <w:rFonts w:ascii="Arial" w:hAnsi="Arial"/>
              </w:rPr>
            </w:pPr>
          </w:p>
        </w:tc>
        <w:tc>
          <w:tcPr>
            <w:tcW w:w="1701" w:type="dxa"/>
            <w:vMerge/>
            <w:vAlign w:val="center"/>
          </w:tcPr>
          <w:p w14:paraId="3F63F45F" w14:textId="13823F4E" w:rsidR="00B055A7" w:rsidRPr="00DC3180" w:rsidRDefault="00B055A7" w:rsidP="001F4176">
            <w:pPr>
              <w:jc w:val="center"/>
              <w:rPr>
                <w:rFonts w:ascii="Arial" w:hAnsi="Arial"/>
              </w:rPr>
            </w:pPr>
          </w:p>
        </w:tc>
        <w:tc>
          <w:tcPr>
            <w:tcW w:w="1417" w:type="dxa"/>
          </w:tcPr>
          <w:p w14:paraId="154CC673" w14:textId="2C87B83C" w:rsidR="00B055A7" w:rsidRPr="00DC3180" w:rsidRDefault="00B055A7" w:rsidP="001F4176">
            <w:pPr>
              <w:jc w:val="center"/>
              <w:rPr>
                <w:rFonts w:ascii="Arial" w:hAnsi="Arial" w:cs="Arial"/>
              </w:rPr>
            </w:pPr>
            <w:r>
              <w:rPr>
                <w:rFonts w:ascii="Arial" w:hAnsi="Arial" w:cs="Arial"/>
              </w:rPr>
              <w:t>10 cm</w:t>
            </w:r>
          </w:p>
        </w:tc>
        <w:tc>
          <w:tcPr>
            <w:tcW w:w="1134" w:type="dxa"/>
          </w:tcPr>
          <w:p w14:paraId="59816C5C" w14:textId="0550BA25" w:rsidR="00B055A7" w:rsidRPr="00DC3180" w:rsidRDefault="00B055A7" w:rsidP="001F4176">
            <w:pPr>
              <w:jc w:val="center"/>
              <w:rPr>
                <w:rFonts w:ascii="Arial" w:hAnsi="Arial" w:cs="Arial"/>
              </w:rPr>
            </w:pPr>
            <w:r w:rsidRPr="00FB0C39">
              <w:t>0.01</w:t>
            </w:r>
          </w:p>
        </w:tc>
        <w:tc>
          <w:tcPr>
            <w:tcW w:w="851" w:type="dxa"/>
          </w:tcPr>
          <w:p w14:paraId="503A370D" w14:textId="7C90F4FD" w:rsidR="00B055A7" w:rsidRPr="00DC3180" w:rsidRDefault="00B055A7" w:rsidP="001F4176">
            <w:pPr>
              <w:jc w:val="center"/>
              <w:rPr>
                <w:rFonts w:ascii="Arial" w:hAnsi="Arial" w:cs="Arial"/>
              </w:rPr>
            </w:pPr>
            <w:r w:rsidRPr="009C2217">
              <w:t>0.125</w:t>
            </w:r>
          </w:p>
        </w:tc>
        <w:tc>
          <w:tcPr>
            <w:tcW w:w="1134" w:type="dxa"/>
          </w:tcPr>
          <w:p w14:paraId="7283B318" w14:textId="6A4EA390" w:rsidR="00B055A7" w:rsidRPr="00DC3180" w:rsidRDefault="00B055A7" w:rsidP="001F4176">
            <w:pPr>
              <w:jc w:val="center"/>
              <w:rPr>
                <w:rFonts w:ascii="Arial" w:hAnsi="Arial" w:cs="Arial"/>
              </w:rPr>
            </w:pPr>
            <w:r w:rsidRPr="00003922">
              <w:t>1.68402</w:t>
            </w:r>
          </w:p>
        </w:tc>
        <w:tc>
          <w:tcPr>
            <w:tcW w:w="992" w:type="dxa"/>
          </w:tcPr>
          <w:p w14:paraId="4D9F9F44" w14:textId="6A0113B6" w:rsidR="00B055A7" w:rsidRPr="00DC3180" w:rsidRDefault="00B055A7" w:rsidP="001F4176">
            <w:pPr>
              <w:jc w:val="center"/>
              <w:rPr>
                <w:rFonts w:ascii="Arial" w:hAnsi="Arial" w:cs="Arial"/>
              </w:rPr>
            </w:pPr>
            <w:r w:rsidRPr="00B951A8">
              <w:t>0.0831</w:t>
            </w:r>
          </w:p>
        </w:tc>
        <w:tc>
          <w:tcPr>
            <w:tcW w:w="992" w:type="dxa"/>
          </w:tcPr>
          <w:p w14:paraId="2421050B" w14:textId="2FDFD40F" w:rsidR="00B055A7" w:rsidRPr="00DC3180" w:rsidRDefault="00B055A7" w:rsidP="001F4176">
            <w:pPr>
              <w:jc w:val="center"/>
              <w:rPr>
                <w:rFonts w:ascii="Arial" w:hAnsi="Arial" w:cs="Arial"/>
              </w:rPr>
            </w:pPr>
            <w:r w:rsidRPr="0021674D">
              <w:t>1.0392</w:t>
            </w:r>
          </w:p>
        </w:tc>
        <w:tc>
          <w:tcPr>
            <w:tcW w:w="993" w:type="dxa"/>
          </w:tcPr>
          <w:p w14:paraId="6B4E007E" w14:textId="3B317EB8" w:rsidR="00B055A7" w:rsidRPr="00DC3180" w:rsidRDefault="00B055A7" w:rsidP="001F4176">
            <w:pPr>
              <w:jc w:val="center"/>
              <w:rPr>
                <w:rFonts w:ascii="Arial" w:hAnsi="Arial" w:cs="Arial"/>
              </w:rPr>
            </w:pPr>
            <w:r w:rsidRPr="00D820CD">
              <w:t>39.446</w:t>
            </w:r>
          </w:p>
        </w:tc>
        <w:tc>
          <w:tcPr>
            <w:tcW w:w="992" w:type="dxa"/>
          </w:tcPr>
          <w:p w14:paraId="74B9A9B8" w14:textId="72AAAF80" w:rsidR="00B055A7" w:rsidRPr="00DC3180" w:rsidRDefault="00B055A7" w:rsidP="001F4176">
            <w:pPr>
              <w:jc w:val="center"/>
              <w:rPr>
                <w:rFonts w:ascii="Arial" w:hAnsi="Arial" w:cs="Arial"/>
              </w:rPr>
            </w:pPr>
            <w:r w:rsidRPr="00FF7984">
              <w:t>39.363</w:t>
            </w:r>
          </w:p>
        </w:tc>
        <w:tc>
          <w:tcPr>
            <w:tcW w:w="1134" w:type="dxa"/>
          </w:tcPr>
          <w:p w14:paraId="2D880D19" w14:textId="3670761D" w:rsidR="00B055A7" w:rsidRPr="00DC3180" w:rsidRDefault="00B055A7" w:rsidP="001F4176">
            <w:pPr>
              <w:jc w:val="center"/>
              <w:rPr>
                <w:rFonts w:ascii="Arial" w:hAnsi="Arial" w:cs="Arial"/>
              </w:rPr>
            </w:pPr>
            <w:r w:rsidRPr="00F376E1">
              <w:t>38.323</w:t>
            </w:r>
          </w:p>
        </w:tc>
      </w:tr>
      <w:tr w:rsidR="00B055A7" w:rsidRPr="00DC3180" w14:paraId="0E50C050" w14:textId="576B40D6" w:rsidTr="00B055A7">
        <w:tc>
          <w:tcPr>
            <w:tcW w:w="959" w:type="dxa"/>
            <w:vMerge w:val="restart"/>
          </w:tcPr>
          <w:p w14:paraId="081F55B4" w14:textId="1641A26C" w:rsidR="00B055A7" w:rsidRPr="00DC3180" w:rsidRDefault="00B055A7" w:rsidP="001F4176">
            <w:pPr>
              <w:jc w:val="center"/>
              <w:rPr>
                <w:rFonts w:ascii="Arial" w:hAnsi="Arial"/>
              </w:rPr>
            </w:pPr>
            <w:r>
              <w:rPr>
                <w:rFonts w:ascii="Arial" w:hAnsi="Arial"/>
              </w:rPr>
              <w:t>Case 3</w:t>
            </w:r>
          </w:p>
        </w:tc>
        <w:tc>
          <w:tcPr>
            <w:tcW w:w="1701" w:type="dxa"/>
            <w:vMerge w:val="restart"/>
            <w:vAlign w:val="center"/>
          </w:tcPr>
          <w:p w14:paraId="352787B9" w14:textId="321DC259" w:rsidR="00B055A7" w:rsidRPr="00DC3180" w:rsidRDefault="00B055A7" w:rsidP="001F4176">
            <w:pPr>
              <w:jc w:val="center"/>
              <w:rPr>
                <w:rFonts w:ascii="Arial" w:hAnsi="Arial"/>
              </w:rPr>
            </w:pPr>
            <w:r>
              <w:rPr>
                <w:rFonts w:ascii="Arial" w:hAnsi="Arial"/>
              </w:rPr>
              <w:t>Fiber-Cement</w:t>
            </w:r>
          </w:p>
        </w:tc>
        <w:tc>
          <w:tcPr>
            <w:tcW w:w="1417" w:type="dxa"/>
          </w:tcPr>
          <w:p w14:paraId="21B3EB25" w14:textId="5E8272CE" w:rsidR="00B055A7" w:rsidRPr="00DC3180" w:rsidRDefault="00B055A7" w:rsidP="001F4176">
            <w:pPr>
              <w:jc w:val="center"/>
              <w:rPr>
                <w:rFonts w:ascii="Arial" w:hAnsi="Arial" w:cs="Arial"/>
              </w:rPr>
            </w:pPr>
            <w:r>
              <w:rPr>
                <w:rFonts w:ascii="Arial" w:hAnsi="Arial" w:cs="Arial"/>
              </w:rPr>
              <w:t>6 cm</w:t>
            </w:r>
          </w:p>
        </w:tc>
        <w:tc>
          <w:tcPr>
            <w:tcW w:w="1134" w:type="dxa"/>
          </w:tcPr>
          <w:p w14:paraId="4F52BEE2" w14:textId="0501CE13" w:rsidR="00B055A7" w:rsidRPr="00DC3180" w:rsidRDefault="00B055A7" w:rsidP="001F4176">
            <w:pPr>
              <w:jc w:val="center"/>
              <w:rPr>
                <w:rFonts w:ascii="Arial" w:hAnsi="Arial" w:cs="Arial"/>
              </w:rPr>
            </w:pPr>
            <w:r w:rsidRPr="00FB0C39">
              <w:t>0.02</w:t>
            </w:r>
          </w:p>
        </w:tc>
        <w:tc>
          <w:tcPr>
            <w:tcW w:w="851" w:type="dxa"/>
          </w:tcPr>
          <w:p w14:paraId="21E43EF4" w14:textId="08BD95A4" w:rsidR="00B055A7" w:rsidRPr="00DC3180" w:rsidRDefault="00B055A7" w:rsidP="001F4176">
            <w:pPr>
              <w:jc w:val="center"/>
              <w:rPr>
                <w:rFonts w:ascii="Arial" w:hAnsi="Arial" w:cs="Arial"/>
              </w:rPr>
            </w:pPr>
            <w:r w:rsidRPr="009C2217">
              <w:t>0.2</w:t>
            </w:r>
            <w:r>
              <w:t>00</w:t>
            </w:r>
          </w:p>
        </w:tc>
        <w:tc>
          <w:tcPr>
            <w:tcW w:w="1134" w:type="dxa"/>
          </w:tcPr>
          <w:p w14:paraId="18AF0E8D" w14:textId="65E5B6D5" w:rsidR="00B055A7" w:rsidRPr="00DC3180" w:rsidRDefault="00B055A7" w:rsidP="001F4176">
            <w:pPr>
              <w:jc w:val="center"/>
              <w:rPr>
                <w:rFonts w:ascii="Arial" w:hAnsi="Arial" w:cs="Arial"/>
              </w:rPr>
            </w:pPr>
            <w:r w:rsidRPr="00003922">
              <w:t>1.76902</w:t>
            </w:r>
          </w:p>
        </w:tc>
        <w:tc>
          <w:tcPr>
            <w:tcW w:w="992" w:type="dxa"/>
          </w:tcPr>
          <w:p w14:paraId="4BE3A5F3" w14:textId="465E1890" w:rsidR="00B055A7" w:rsidRPr="00DC3180" w:rsidRDefault="00B055A7" w:rsidP="001F4176">
            <w:pPr>
              <w:jc w:val="center"/>
              <w:rPr>
                <w:rFonts w:ascii="Arial" w:hAnsi="Arial" w:cs="Arial"/>
              </w:rPr>
            </w:pPr>
            <w:r w:rsidRPr="00B951A8">
              <w:t>0.1583</w:t>
            </w:r>
          </w:p>
        </w:tc>
        <w:tc>
          <w:tcPr>
            <w:tcW w:w="992" w:type="dxa"/>
          </w:tcPr>
          <w:p w14:paraId="0C7C51DD" w14:textId="38D7229C" w:rsidR="00B055A7" w:rsidRPr="00DC3180" w:rsidRDefault="00B055A7" w:rsidP="001F4176">
            <w:pPr>
              <w:jc w:val="center"/>
              <w:rPr>
                <w:rFonts w:ascii="Arial" w:hAnsi="Arial" w:cs="Arial"/>
              </w:rPr>
            </w:pPr>
            <w:r w:rsidRPr="0021674D">
              <w:t>1.5828</w:t>
            </w:r>
          </w:p>
        </w:tc>
        <w:tc>
          <w:tcPr>
            <w:tcW w:w="993" w:type="dxa"/>
          </w:tcPr>
          <w:p w14:paraId="05939AC8" w14:textId="74D7215F" w:rsidR="00B055A7" w:rsidRPr="00DC3180" w:rsidRDefault="00B055A7" w:rsidP="001F4176">
            <w:pPr>
              <w:jc w:val="center"/>
              <w:rPr>
                <w:rFonts w:ascii="Arial" w:hAnsi="Arial" w:cs="Arial"/>
              </w:rPr>
            </w:pPr>
            <w:r w:rsidRPr="00D820CD">
              <w:t>39.472</w:t>
            </w:r>
          </w:p>
        </w:tc>
        <w:tc>
          <w:tcPr>
            <w:tcW w:w="992" w:type="dxa"/>
          </w:tcPr>
          <w:p w14:paraId="4BE9A463" w14:textId="191BA9D7" w:rsidR="00B055A7" w:rsidRPr="00DC3180" w:rsidRDefault="00B055A7" w:rsidP="001F4176">
            <w:pPr>
              <w:jc w:val="center"/>
              <w:rPr>
                <w:rFonts w:ascii="Arial" w:hAnsi="Arial" w:cs="Arial"/>
              </w:rPr>
            </w:pPr>
            <w:r w:rsidRPr="00FF7984">
              <w:t>39.314</w:t>
            </w:r>
          </w:p>
        </w:tc>
        <w:tc>
          <w:tcPr>
            <w:tcW w:w="1134" w:type="dxa"/>
          </w:tcPr>
          <w:p w14:paraId="48A339E4" w14:textId="136FFAB9" w:rsidR="00B055A7" w:rsidRPr="00DC3180" w:rsidRDefault="00B055A7" w:rsidP="001F4176">
            <w:pPr>
              <w:jc w:val="center"/>
              <w:rPr>
                <w:rFonts w:ascii="Arial" w:hAnsi="Arial" w:cs="Arial"/>
              </w:rPr>
            </w:pPr>
            <w:r w:rsidRPr="00F376E1">
              <w:t>37.731</w:t>
            </w:r>
          </w:p>
        </w:tc>
      </w:tr>
      <w:tr w:rsidR="00B055A7" w:rsidRPr="00DC3180" w14:paraId="502DC178" w14:textId="38F0CC1A" w:rsidTr="00B055A7">
        <w:tc>
          <w:tcPr>
            <w:tcW w:w="959" w:type="dxa"/>
            <w:vMerge/>
          </w:tcPr>
          <w:p w14:paraId="6421C0BE" w14:textId="77777777" w:rsidR="00B055A7" w:rsidRPr="00DC3180" w:rsidRDefault="00B055A7" w:rsidP="001F4176">
            <w:pPr>
              <w:jc w:val="center"/>
              <w:rPr>
                <w:rFonts w:ascii="Arial" w:hAnsi="Arial"/>
              </w:rPr>
            </w:pPr>
          </w:p>
        </w:tc>
        <w:tc>
          <w:tcPr>
            <w:tcW w:w="1701" w:type="dxa"/>
            <w:vMerge/>
          </w:tcPr>
          <w:p w14:paraId="7DEC1E53" w14:textId="3DDA8C56" w:rsidR="00B055A7" w:rsidRPr="00DC3180" w:rsidRDefault="00B055A7" w:rsidP="001F4176">
            <w:pPr>
              <w:jc w:val="center"/>
              <w:rPr>
                <w:rFonts w:ascii="Arial" w:hAnsi="Arial"/>
              </w:rPr>
            </w:pPr>
          </w:p>
        </w:tc>
        <w:tc>
          <w:tcPr>
            <w:tcW w:w="1417" w:type="dxa"/>
          </w:tcPr>
          <w:p w14:paraId="6654462B" w14:textId="177B9FA0" w:rsidR="00B055A7" w:rsidRPr="00DC3180" w:rsidRDefault="00B055A7" w:rsidP="001F4176">
            <w:pPr>
              <w:jc w:val="center"/>
              <w:rPr>
                <w:rFonts w:ascii="Arial" w:hAnsi="Arial" w:cs="Arial"/>
              </w:rPr>
            </w:pPr>
            <w:r>
              <w:rPr>
                <w:rFonts w:ascii="Arial" w:hAnsi="Arial" w:cs="Arial"/>
              </w:rPr>
              <w:t>10 cm</w:t>
            </w:r>
          </w:p>
        </w:tc>
        <w:tc>
          <w:tcPr>
            <w:tcW w:w="1134" w:type="dxa"/>
          </w:tcPr>
          <w:p w14:paraId="4A14CEBD" w14:textId="314B5DF5" w:rsidR="00B055A7" w:rsidRPr="00DC3180" w:rsidRDefault="00B055A7" w:rsidP="001F4176">
            <w:pPr>
              <w:jc w:val="center"/>
              <w:rPr>
                <w:rFonts w:ascii="Arial" w:hAnsi="Arial" w:cs="Arial"/>
              </w:rPr>
            </w:pPr>
            <w:r w:rsidRPr="00FB0C39">
              <w:t>0.02</w:t>
            </w:r>
          </w:p>
        </w:tc>
        <w:tc>
          <w:tcPr>
            <w:tcW w:w="851" w:type="dxa"/>
          </w:tcPr>
          <w:p w14:paraId="1B4C10D0" w14:textId="6AD50DF8" w:rsidR="00B055A7" w:rsidRPr="00DC3180" w:rsidRDefault="00B055A7" w:rsidP="001F4176">
            <w:pPr>
              <w:jc w:val="center"/>
              <w:rPr>
                <w:rFonts w:ascii="Arial" w:hAnsi="Arial" w:cs="Arial"/>
              </w:rPr>
            </w:pPr>
            <w:r w:rsidRPr="009C2217">
              <w:t>0.125</w:t>
            </w:r>
          </w:p>
        </w:tc>
        <w:tc>
          <w:tcPr>
            <w:tcW w:w="1134" w:type="dxa"/>
          </w:tcPr>
          <w:p w14:paraId="0CD14548" w14:textId="38A3FC52" w:rsidR="00B055A7" w:rsidRPr="00DC3180" w:rsidRDefault="00B055A7" w:rsidP="001F4176">
            <w:pPr>
              <w:jc w:val="center"/>
              <w:rPr>
                <w:rFonts w:ascii="Arial" w:hAnsi="Arial" w:cs="Arial"/>
              </w:rPr>
            </w:pPr>
            <w:r w:rsidRPr="00003922">
              <w:t>1.69402</w:t>
            </w:r>
          </w:p>
        </w:tc>
        <w:tc>
          <w:tcPr>
            <w:tcW w:w="992" w:type="dxa"/>
          </w:tcPr>
          <w:p w14:paraId="0DDBCEBA" w14:textId="22E13849" w:rsidR="00B055A7" w:rsidRPr="00DC3180" w:rsidRDefault="00B055A7" w:rsidP="001F4176">
            <w:pPr>
              <w:jc w:val="center"/>
              <w:rPr>
                <w:rFonts w:ascii="Arial" w:hAnsi="Arial" w:cs="Arial"/>
              </w:rPr>
            </w:pPr>
            <w:r w:rsidRPr="00B951A8">
              <w:t>0.1653</w:t>
            </w:r>
          </w:p>
        </w:tc>
        <w:tc>
          <w:tcPr>
            <w:tcW w:w="992" w:type="dxa"/>
          </w:tcPr>
          <w:p w14:paraId="4F346E5E" w14:textId="30578860" w:rsidR="00B055A7" w:rsidRPr="00DC3180" w:rsidRDefault="00B055A7" w:rsidP="001F4176">
            <w:pPr>
              <w:jc w:val="center"/>
              <w:rPr>
                <w:rFonts w:ascii="Arial" w:hAnsi="Arial" w:cs="Arial"/>
              </w:rPr>
            </w:pPr>
            <w:r w:rsidRPr="0021674D">
              <w:t>1.033</w:t>
            </w:r>
          </w:p>
        </w:tc>
        <w:tc>
          <w:tcPr>
            <w:tcW w:w="993" w:type="dxa"/>
          </w:tcPr>
          <w:p w14:paraId="0D76FE20" w14:textId="7C284181" w:rsidR="00B055A7" w:rsidRPr="00DC3180" w:rsidRDefault="00B055A7" w:rsidP="001F4176">
            <w:pPr>
              <w:jc w:val="center"/>
              <w:rPr>
                <w:rFonts w:ascii="Arial" w:hAnsi="Arial" w:cs="Arial"/>
              </w:rPr>
            </w:pPr>
            <w:r w:rsidRPr="00D820CD">
              <w:t>39.449</w:t>
            </w:r>
          </w:p>
        </w:tc>
        <w:tc>
          <w:tcPr>
            <w:tcW w:w="992" w:type="dxa"/>
          </w:tcPr>
          <w:p w14:paraId="0438AD55" w14:textId="554F615D" w:rsidR="00B055A7" w:rsidRPr="00DC3180" w:rsidRDefault="00B055A7" w:rsidP="001F4176">
            <w:pPr>
              <w:jc w:val="center"/>
              <w:rPr>
                <w:rFonts w:ascii="Arial" w:hAnsi="Arial" w:cs="Arial"/>
              </w:rPr>
            </w:pPr>
            <w:r w:rsidRPr="00FF7984">
              <w:t>39.284</w:t>
            </w:r>
          </w:p>
        </w:tc>
        <w:tc>
          <w:tcPr>
            <w:tcW w:w="1134" w:type="dxa"/>
          </w:tcPr>
          <w:p w14:paraId="08D2C6FC" w14:textId="49F249EC" w:rsidR="00B055A7" w:rsidRPr="00DC3180" w:rsidRDefault="00B055A7" w:rsidP="001F4176">
            <w:pPr>
              <w:jc w:val="center"/>
              <w:rPr>
                <w:rFonts w:ascii="Arial" w:hAnsi="Arial" w:cs="Arial"/>
              </w:rPr>
            </w:pPr>
            <w:r w:rsidRPr="00F376E1">
              <w:t>38.251</w:t>
            </w:r>
          </w:p>
        </w:tc>
      </w:tr>
      <w:bookmarkEnd w:id="2"/>
    </w:tbl>
    <w:p w14:paraId="4AEE76AF" w14:textId="0BDADCF9" w:rsidR="00863BD3" w:rsidRDefault="00863BD3" w:rsidP="00441B6F">
      <w:pPr>
        <w:pStyle w:val="Textoindependiente3"/>
        <w:tabs>
          <w:tab w:val="left" w:pos="1080"/>
        </w:tabs>
        <w:spacing w:after="0"/>
        <w:ind w:left="1080" w:hanging="1080"/>
        <w:jc w:val="both"/>
        <w:rPr>
          <w:rFonts w:ascii="Arial" w:hAnsi="Arial"/>
          <w:b/>
          <w:sz w:val="20"/>
          <w:szCs w:val="20"/>
        </w:rPr>
      </w:pPr>
    </w:p>
    <w:p w14:paraId="5ED67CD2" w14:textId="1A50C2BA" w:rsidR="00B055A7" w:rsidRDefault="00B055A7" w:rsidP="00592D15">
      <w:pPr>
        <w:tabs>
          <w:tab w:val="left" w:pos="1080"/>
        </w:tabs>
        <w:jc w:val="center"/>
        <w:rPr>
          <w:rFonts w:ascii="Arial" w:hAnsi="Arial"/>
          <w:b/>
        </w:rPr>
      </w:pPr>
      <w:r>
        <w:rPr>
          <w:rFonts w:ascii="Arial" w:hAnsi="Arial"/>
          <w:b/>
        </w:rPr>
        <w:t xml:space="preserve">Table </w:t>
      </w:r>
      <w:r w:rsidR="00AC0B37">
        <w:rPr>
          <w:rFonts w:ascii="Arial" w:hAnsi="Arial"/>
          <w:b/>
        </w:rPr>
        <w:t>4</w:t>
      </w:r>
      <w:r>
        <w:rPr>
          <w:rFonts w:ascii="Arial" w:hAnsi="Arial"/>
          <w:b/>
        </w:rPr>
        <w:t>.</w:t>
      </w:r>
      <w:r w:rsidRPr="00DC3180">
        <w:rPr>
          <w:rFonts w:ascii="Arial" w:hAnsi="Arial"/>
          <w:b/>
        </w:rPr>
        <w:tab/>
      </w:r>
      <w:r w:rsidR="00592D15" w:rsidRPr="00592D15">
        <w:rPr>
          <w:rFonts w:ascii="Arial" w:hAnsi="Arial"/>
          <w:b/>
        </w:rPr>
        <w:t>Heat flux through the facade for each ventilated fa</w:t>
      </w:r>
      <w:r w:rsidR="00592D15">
        <w:rPr>
          <w:rFonts w:ascii="Arial" w:hAnsi="Arial"/>
          <w:b/>
        </w:rPr>
        <w:t>c</w:t>
      </w:r>
      <w:r w:rsidR="00592D15" w:rsidRPr="00592D15">
        <w:rPr>
          <w:rFonts w:ascii="Arial" w:hAnsi="Arial"/>
          <w:b/>
        </w:rPr>
        <w:t>ade configuration under design conditions.</w:t>
      </w:r>
    </w:p>
    <w:p w14:paraId="5705B9CA" w14:textId="77777777" w:rsidR="00592D15" w:rsidRDefault="00592D15" w:rsidP="00344E1E">
      <w:pPr>
        <w:tabs>
          <w:tab w:val="left" w:pos="1080"/>
        </w:tabs>
        <w:jc w:val="both"/>
        <w:rPr>
          <w:rFonts w:ascii="Arial" w:hAnsi="Arial"/>
          <w:b/>
        </w:rPr>
      </w:pPr>
    </w:p>
    <w:tbl>
      <w:tblPr>
        <w:tblStyle w:val="Tablaconcuadrcula"/>
        <w:tblW w:w="7796" w:type="dxa"/>
        <w:jc w:val="center"/>
        <w:tblLayout w:type="fixed"/>
        <w:tblLook w:val="01E0" w:firstRow="1" w:lastRow="1" w:firstColumn="1" w:lastColumn="1" w:noHBand="0" w:noVBand="0"/>
      </w:tblPr>
      <w:tblGrid>
        <w:gridCol w:w="988"/>
        <w:gridCol w:w="1988"/>
        <w:gridCol w:w="1843"/>
        <w:gridCol w:w="1276"/>
        <w:gridCol w:w="1701"/>
      </w:tblGrid>
      <w:tr w:rsidR="00B055A7" w:rsidRPr="00F019C0" w14:paraId="60E90B41" w14:textId="5E85AB84" w:rsidTr="00B055A7">
        <w:trPr>
          <w:jc w:val="center"/>
        </w:trPr>
        <w:tc>
          <w:tcPr>
            <w:tcW w:w="988" w:type="dxa"/>
          </w:tcPr>
          <w:p w14:paraId="60D1EA0A" w14:textId="77777777" w:rsidR="00B055A7" w:rsidRPr="00DC3180" w:rsidRDefault="00B055A7" w:rsidP="00B055A7">
            <w:pPr>
              <w:jc w:val="center"/>
              <w:rPr>
                <w:rFonts w:ascii="Arial" w:hAnsi="Arial"/>
                <w:b/>
                <w:bCs/>
              </w:rPr>
            </w:pPr>
            <w:r>
              <w:rPr>
                <w:rFonts w:ascii="Arial" w:hAnsi="Arial"/>
                <w:b/>
                <w:bCs/>
              </w:rPr>
              <w:t>Case</w:t>
            </w:r>
          </w:p>
        </w:tc>
        <w:tc>
          <w:tcPr>
            <w:tcW w:w="1988" w:type="dxa"/>
          </w:tcPr>
          <w:p w14:paraId="700C6104" w14:textId="77777777" w:rsidR="00B055A7" w:rsidRPr="00DC3180" w:rsidRDefault="00B055A7" w:rsidP="00B055A7">
            <w:pPr>
              <w:jc w:val="center"/>
              <w:rPr>
                <w:rFonts w:ascii="Arial" w:hAnsi="Arial"/>
                <w:b/>
                <w:bCs/>
              </w:rPr>
            </w:pPr>
            <w:r w:rsidRPr="00F019C0">
              <w:rPr>
                <w:rFonts w:ascii="Arial" w:hAnsi="Arial"/>
                <w:b/>
                <w:bCs/>
              </w:rPr>
              <w:t>Cladding Material</w:t>
            </w:r>
          </w:p>
        </w:tc>
        <w:tc>
          <w:tcPr>
            <w:tcW w:w="1843" w:type="dxa"/>
          </w:tcPr>
          <w:p w14:paraId="0E7C3377" w14:textId="64ED30FD" w:rsidR="00B055A7" w:rsidRDefault="00B055A7" w:rsidP="00B055A7">
            <w:pPr>
              <w:jc w:val="center"/>
              <w:rPr>
                <w:rFonts w:ascii="Arial" w:hAnsi="Arial"/>
                <w:b/>
                <w:bCs/>
              </w:rPr>
            </w:pPr>
            <w:r w:rsidRPr="00F019C0">
              <w:rPr>
                <w:rFonts w:ascii="Arial" w:hAnsi="Arial"/>
                <w:b/>
                <w:bCs/>
              </w:rPr>
              <w:t>Air Cavity Thickness</w:t>
            </w:r>
          </w:p>
        </w:tc>
        <w:tc>
          <w:tcPr>
            <w:tcW w:w="1276" w:type="dxa"/>
          </w:tcPr>
          <w:p w14:paraId="25F2B910" w14:textId="56DC1349" w:rsidR="00B055A7" w:rsidRPr="00DC3180" w:rsidRDefault="00B055A7" w:rsidP="00B055A7">
            <w:pPr>
              <w:jc w:val="center"/>
              <w:rPr>
                <w:rFonts w:ascii="Arial" w:hAnsi="Arial"/>
                <w:b/>
                <w:bCs/>
              </w:rPr>
            </w:pPr>
            <w:r>
              <w:rPr>
                <w:rFonts w:ascii="Arial" w:hAnsi="Arial"/>
                <w:b/>
                <w:bCs/>
              </w:rPr>
              <w:t>q (</w:t>
            </w:r>
            <m:oMath>
              <m:r>
                <m:rPr>
                  <m:sty m:val="bi"/>
                </m:rPr>
                <w:rPr>
                  <w:rFonts w:ascii="Cambria Math" w:hAnsi="Cambria Math"/>
                </w:rPr>
                <m:t>W/</m:t>
              </m:r>
              <m:sSup>
                <m:sSupPr>
                  <m:ctrlPr>
                    <w:rPr>
                      <w:rFonts w:ascii="Cambria Math" w:hAnsi="Cambria Math"/>
                      <w:b/>
                      <w:bCs/>
                      <w:i/>
                    </w:rPr>
                  </m:ctrlPr>
                </m:sSupPr>
                <m:e>
                  <m:r>
                    <m:rPr>
                      <m:sty m:val="bi"/>
                    </m:rPr>
                    <w:rPr>
                      <w:rFonts w:ascii="Cambria Math" w:hAnsi="Cambria Math"/>
                    </w:rPr>
                    <m:t>m</m:t>
                  </m:r>
                </m:e>
                <m:sup>
                  <m:r>
                    <m:rPr>
                      <m:sty m:val="bi"/>
                    </m:rPr>
                    <w:rPr>
                      <w:rFonts w:ascii="Cambria Math" w:hAnsi="Cambria Math"/>
                    </w:rPr>
                    <m:t>2</m:t>
                  </m:r>
                </m:sup>
              </m:sSup>
            </m:oMath>
            <w:r>
              <w:rPr>
                <w:rFonts w:ascii="Arial" w:hAnsi="Arial"/>
                <w:b/>
                <w:bCs/>
              </w:rPr>
              <w:t>)</w:t>
            </w:r>
          </w:p>
        </w:tc>
        <w:tc>
          <w:tcPr>
            <w:tcW w:w="1701" w:type="dxa"/>
            <w:vAlign w:val="center"/>
          </w:tcPr>
          <w:p w14:paraId="4C524FB5" w14:textId="77777777" w:rsidR="00B055A7" w:rsidRDefault="00B055A7" w:rsidP="00B055A7">
            <w:pPr>
              <w:jc w:val="center"/>
              <w:rPr>
                <w:rFonts w:ascii="Arial" w:hAnsi="Arial"/>
                <w:b/>
                <w:bCs/>
              </w:rPr>
            </w:pPr>
            <w:r w:rsidRPr="00FE57D5">
              <w:rPr>
                <w:rFonts w:ascii="Arial" w:hAnsi="Arial"/>
                <w:b/>
                <w:bCs/>
              </w:rPr>
              <w:t>Potencia</w:t>
            </w:r>
          </w:p>
          <w:p w14:paraId="4911CB22" w14:textId="0CC8B25E" w:rsidR="00B055A7" w:rsidRPr="00F019C0" w:rsidRDefault="00B055A7" w:rsidP="00B055A7">
            <w:pPr>
              <w:jc w:val="center"/>
              <w:rPr>
                <w:rFonts w:ascii="Arial" w:hAnsi="Arial"/>
                <w:b/>
                <w:bCs/>
              </w:rPr>
            </w:pPr>
            <w:r w:rsidRPr="00FE57D5">
              <w:rPr>
                <w:rFonts w:ascii="Arial" w:hAnsi="Arial"/>
                <w:b/>
                <w:bCs/>
              </w:rPr>
              <w:t>W</w:t>
            </w:r>
          </w:p>
        </w:tc>
      </w:tr>
      <w:tr w:rsidR="00B055A7" w:rsidRPr="00DC3180" w14:paraId="1514762E" w14:textId="4AAAAB92" w:rsidTr="00B055A7">
        <w:trPr>
          <w:trHeight w:val="245"/>
          <w:jc w:val="center"/>
        </w:trPr>
        <w:tc>
          <w:tcPr>
            <w:tcW w:w="988" w:type="dxa"/>
            <w:vMerge w:val="restart"/>
          </w:tcPr>
          <w:p w14:paraId="676194CD" w14:textId="77777777" w:rsidR="00B055A7" w:rsidRPr="00F019C0" w:rsidRDefault="00B055A7" w:rsidP="00B055A7">
            <w:pPr>
              <w:jc w:val="center"/>
              <w:rPr>
                <w:rFonts w:ascii="Arial" w:hAnsi="Arial" w:cs="Arial"/>
              </w:rPr>
            </w:pPr>
            <w:r w:rsidRPr="00F019C0">
              <w:rPr>
                <w:rFonts w:ascii="Arial" w:hAnsi="Arial" w:cs="Arial"/>
              </w:rPr>
              <w:t>Case</w:t>
            </w:r>
            <w:r>
              <w:rPr>
                <w:rFonts w:ascii="Arial" w:hAnsi="Arial" w:cs="Arial"/>
              </w:rPr>
              <w:t xml:space="preserve"> 1</w:t>
            </w:r>
          </w:p>
        </w:tc>
        <w:tc>
          <w:tcPr>
            <w:tcW w:w="1988" w:type="dxa"/>
            <w:vMerge w:val="restart"/>
            <w:vAlign w:val="center"/>
          </w:tcPr>
          <w:p w14:paraId="259674A9" w14:textId="77777777" w:rsidR="00B055A7" w:rsidRPr="00F019C0" w:rsidRDefault="00B055A7" w:rsidP="00B055A7">
            <w:pPr>
              <w:jc w:val="center"/>
              <w:rPr>
                <w:rFonts w:ascii="Arial" w:hAnsi="Arial" w:cs="Arial"/>
              </w:rPr>
            </w:pPr>
            <w:r w:rsidRPr="00F019C0">
              <w:rPr>
                <w:rFonts w:ascii="Arial" w:hAnsi="Arial" w:cs="Arial"/>
              </w:rPr>
              <w:t>Dekton</w:t>
            </w:r>
          </w:p>
        </w:tc>
        <w:tc>
          <w:tcPr>
            <w:tcW w:w="1843" w:type="dxa"/>
          </w:tcPr>
          <w:p w14:paraId="1F0FBC99" w14:textId="7A7D511E" w:rsidR="00B055A7" w:rsidRPr="00AD61A5" w:rsidRDefault="00B055A7" w:rsidP="00B055A7">
            <w:pPr>
              <w:jc w:val="center"/>
            </w:pPr>
            <w:r w:rsidRPr="00EE50D4">
              <w:rPr>
                <w:rFonts w:ascii="Arial" w:hAnsi="Arial" w:cs="Arial"/>
              </w:rPr>
              <w:t>6 cm</w:t>
            </w:r>
          </w:p>
        </w:tc>
        <w:tc>
          <w:tcPr>
            <w:tcW w:w="1276" w:type="dxa"/>
          </w:tcPr>
          <w:p w14:paraId="1806385C" w14:textId="541CCD23" w:rsidR="00B055A7" w:rsidRPr="00EE50D4" w:rsidRDefault="00B055A7" w:rsidP="00B055A7">
            <w:pPr>
              <w:jc w:val="center"/>
              <w:rPr>
                <w:rFonts w:ascii="Arial" w:hAnsi="Arial" w:cs="Arial"/>
              </w:rPr>
            </w:pPr>
            <w:r w:rsidRPr="00AD61A5">
              <w:t>7.963</w:t>
            </w:r>
          </w:p>
        </w:tc>
        <w:tc>
          <w:tcPr>
            <w:tcW w:w="1701" w:type="dxa"/>
          </w:tcPr>
          <w:p w14:paraId="1084E02D" w14:textId="0A6F6AF0" w:rsidR="00B055A7" w:rsidRPr="00EE50D4" w:rsidRDefault="00B055A7" w:rsidP="00B055A7">
            <w:pPr>
              <w:jc w:val="center"/>
              <w:rPr>
                <w:rFonts w:ascii="Arial" w:hAnsi="Arial" w:cs="Arial"/>
              </w:rPr>
            </w:pPr>
            <w:r w:rsidRPr="00070652">
              <w:t>315.34</w:t>
            </w:r>
          </w:p>
        </w:tc>
      </w:tr>
      <w:tr w:rsidR="00B055A7" w:rsidRPr="00DC3180" w14:paraId="7FB7CFC3" w14:textId="5498D38C" w:rsidTr="00B055A7">
        <w:trPr>
          <w:jc w:val="center"/>
        </w:trPr>
        <w:tc>
          <w:tcPr>
            <w:tcW w:w="988" w:type="dxa"/>
            <w:vMerge/>
          </w:tcPr>
          <w:p w14:paraId="4D06749D" w14:textId="77777777" w:rsidR="00B055A7" w:rsidRPr="00DC3180" w:rsidRDefault="00B055A7" w:rsidP="00B055A7">
            <w:pPr>
              <w:jc w:val="center"/>
              <w:rPr>
                <w:rFonts w:ascii="Arial" w:hAnsi="Arial" w:cs="Arial"/>
              </w:rPr>
            </w:pPr>
          </w:p>
        </w:tc>
        <w:tc>
          <w:tcPr>
            <w:tcW w:w="1988" w:type="dxa"/>
            <w:vMerge/>
            <w:vAlign w:val="center"/>
          </w:tcPr>
          <w:p w14:paraId="0BB483D4" w14:textId="77777777" w:rsidR="00B055A7" w:rsidRPr="00DC3180" w:rsidRDefault="00B055A7" w:rsidP="00B055A7">
            <w:pPr>
              <w:jc w:val="center"/>
              <w:rPr>
                <w:rFonts w:ascii="Arial" w:hAnsi="Arial" w:cs="Arial"/>
              </w:rPr>
            </w:pPr>
          </w:p>
        </w:tc>
        <w:tc>
          <w:tcPr>
            <w:tcW w:w="1843" w:type="dxa"/>
          </w:tcPr>
          <w:p w14:paraId="057D7097" w14:textId="349DEBBA" w:rsidR="00B055A7" w:rsidRPr="00AD61A5" w:rsidRDefault="00B055A7" w:rsidP="00B055A7">
            <w:pPr>
              <w:jc w:val="center"/>
            </w:pPr>
            <w:r w:rsidRPr="00EE50D4">
              <w:rPr>
                <w:rFonts w:ascii="Arial" w:hAnsi="Arial" w:cs="Arial"/>
              </w:rPr>
              <w:t>10 cm</w:t>
            </w:r>
          </w:p>
        </w:tc>
        <w:tc>
          <w:tcPr>
            <w:tcW w:w="1276" w:type="dxa"/>
          </w:tcPr>
          <w:p w14:paraId="273218DC" w14:textId="62405A7D" w:rsidR="00B055A7" w:rsidRPr="00EE50D4" w:rsidRDefault="00B055A7" w:rsidP="00B055A7">
            <w:pPr>
              <w:jc w:val="center"/>
              <w:rPr>
                <w:rFonts w:ascii="Arial" w:hAnsi="Arial" w:cs="Arial"/>
              </w:rPr>
            </w:pPr>
            <w:r w:rsidRPr="00AD61A5">
              <w:t>8.318</w:t>
            </w:r>
          </w:p>
        </w:tc>
        <w:tc>
          <w:tcPr>
            <w:tcW w:w="1701" w:type="dxa"/>
          </w:tcPr>
          <w:p w14:paraId="05F87A5B" w14:textId="6F6621CC" w:rsidR="00B055A7" w:rsidRPr="00EE50D4" w:rsidRDefault="00B055A7" w:rsidP="00B055A7">
            <w:pPr>
              <w:jc w:val="center"/>
              <w:rPr>
                <w:rFonts w:ascii="Arial" w:hAnsi="Arial" w:cs="Arial"/>
              </w:rPr>
            </w:pPr>
            <w:r w:rsidRPr="00070652">
              <w:t>329.39</w:t>
            </w:r>
          </w:p>
        </w:tc>
      </w:tr>
      <w:tr w:rsidR="00B055A7" w:rsidRPr="00DC3180" w14:paraId="203C2F35" w14:textId="287A9607" w:rsidTr="00B055A7">
        <w:trPr>
          <w:jc w:val="center"/>
        </w:trPr>
        <w:tc>
          <w:tcPr>
            <w:tcW w:w="988" w:type="dxa"/>
            <w:vMerge w:val="restart"/>
          </w:tcPr>
          <w:p w14:paraId="49AA5FE7" w14:textId="77777777" w:rsidR="00B055A7" w:rsidRPr="00DC3180" w:rsidRDefault="00B055A7" w:rsidP="00B055A7">
            <w:pPr>
              <w:jc w:val="center"/>
              <w:rPr>
                <w:rFonts w:ascii="Arial" w:hAnsi="Arial"/>
              </w:rPr>
            </w:pPr>
            <w:r>
              <w:rPr>
                <w:rFonts w:ascii="Arial" w:hAnsi="Arial"/>
              </w:rPr>
              <w:t>Case 2</w:t>
            </w:r>
          </w:p>
        </w:tc>
        <w:tc>
          <w:tcPr>
            <w:tcW w:w="1988" w:type="dxa"/>
            <w:vMerge w:val="restart"/>
            <w:vAlign w:val="center"/>
          </w:tcPr>
          <w:p w14:paraId="282E08B2" w14:textId="77777777" w:rsidR="00B055A7" w:rsidRPr="00DC3180" w:rsidRDefault="00B055A7" w:rsidP="00B055A7">
            <w:pPr>
              <w:jc w:val="center"/>
              <w:rPr>
                <w:rFonts w:ascii="Arial" w:hAnsi="Arial"/>
              </w:rPr>
            </w:pPr>
            <w:r>
              <w:rPr>
                <w:rFonts w:ascii="Arial" w:hAnsi="Arial"/>
              </w:rPr>
              <w:t>Ceramic</w:t>
            </w:r>
          </w:p>
        </w:tc>
        <w:tc>
          <w:tcPr>
            <w:tcW w:w="1843" w:type="dxa"/>
          </w:tcPr>
          <w:p w14:paraId="32A4EAC2" w14:textId="296913EA" w:rsidR="00B055A7" w:rsidRPr="00AD61A5" w:rsidRDefault="00B055A7" w:rsidP="00B055A7">
            <w:pPr>
              <w:jc w:val="center"/>
            </w:pPr>
            <w:r>
              <w:rPr>
                <w:rFonts w:ascii="Arial" w:hAnsi="Arial" w:cs="Arial"/>
              </w:rPr>
              <w:t>6 cm</w:t>
            </w:r>
          </w:p>
        </w:tc>
        <w:tc>
          <w:tcPr>
            <w:tcW w:w="1276" w:type="dxa"/>
          </w:tcPr>
          <w:p w14:paraId="09105E19" w14:textId="73E265B1" w:rsidR="00B055A7" w:rsidRPr="00DC3180" w:rsidRDefault="00B055A7" w:rsidP="00B055A7">
            <w:pPr>
              <w:jc w:val="center"/>
              <w:rPr>
                <w:rFonts w:ascii="Arial" w:hAnsi="Arial" w:cs="Arial"/>
              </w:rPr>
            </w:pPr>
            <w:r w:rsidRPr="00AD61A5">
              <w:t>7.959</w:t>
            </w:r>
          </w:p>
        </w:tc>
        <w:tc>
          <w:tcPr>
            <w:tcW w:w="1701" w:type="dxa"/>
          </w:tcPr>
          <w:p w14:paraId="01DA6164" w14:textId="3C2B7A2F" w:rsidR="00B055A7" w:rsidRDefault="00B055A7" w:rsidP="00B055A7">
            <w:pPr>
              <w:jc w:val="center"/>
              <w:rPr>
                <w:rFonts w:ascii="Arial" w:hAnsi="Arial" w:cs="Arial"/>
              </w:rPr>
            </w:pPr>
            <w:r w:rsidRPr="00070652">
              <w:t>315.18</w:t>
            </w:r>
          </w:p>
        </w:tc>
      </w:tr>
      <w:tr w:rsidR="00B055A7" w:rsidRPr="00DC3180" w14:paraId="4A4CFE83" w14:textId="31D6DA73" w:rsidTr="00B055A7">
        <w:trPr>
          <w:jc w:val="center"/>
        </w:trPr>
        <w:tc>
          <w:tcPr>
            <w:tcW w:w="988" w:type="dxa"/>
            <w:vMerge/>
          </w:tcPr>
          <w:p w14:paraId="3FEBC1EC" w14:textId="77777777" w:rsidR="00B055A7" w:rsidRPr="00DC3180" w:rsidRDefault="00B055A7" w:rsidP="00B055A7">
            <w:pPr>
              <w:jc w:val="center"/>
              <w:rPr>
                <w:rFonts w:ascii="Arial" w:hAnsi="Arial"/>
              </w:rPr>
            </w:pPr>
          </w:p>
        </w:tc>
        <w:tc>
          <w:tcPr>
            <w:tcW w:w="1988" w:type="dxa"/>
            <w:vMerge/>
            <w:vAlign w:val="center"/>
          </w:tcPr>
          <w:p w14:paraId="527B4104" w14:textId="77777777" w:rsidR="00B055A7" w:rsidRPr="00DC3180" w:rsidRDefault="00B055A7" w:rsidP="00B055A7">
            <w:pPr>
              <w:jc w:val="center"/>
              <w:rPr>
                <w:rFonts w:ascii="Arial" w:hAnsi="Arial"/>
              </w:rPr>
            </w:pPr>
          </w:p>
        </w:tc>
        <w:tc>
          <w:tcPr>
            <w:tcW w:w="1843" w:type="dxa"/>
          </w:tcPr>
          <w:p w14:paraId="48215E92" w14:textId="3F2DCD94" w:rsidR="00B055A7" w:rsidRPr="00AD61A5" w:rsidRDefault="00B055A7" w:rsidP="00B055A7">
            <w:pPr>
              <w:jc w:val="center"/>
            </w:pPr>
            <w:r>
              <w:rPr>
                <w:rFonts w:ascii="Arial" w:hAnsi="Arial" w:cs="Arial"/>
              </w:rPr>
              <w:t>10 cm</w:t>
            </w:r>
          </w:p>
        </w:tc>
        <w:tc>
          <w:tcPr>
            <w:tcW w:w="1276" w:type="dxa"/>
          </w:tcPr>
          <w:p w14:paraId="5D7A1ED4" w14:textId="53AF163A" w:rsidR="00B055A7" w:rsidRPr="00DC3180" w:rsidRDefault="00B055A7" w:rsidP="00B055A7">
            <w:pPr>
              <w:jc w:val="center"/>
              <w:rPr>
                <w:rFonts w:ascii="Arial" w:hAnsi="Arial" w:cs="Arial"/>
              </w:rPr>
            </w:pPr>
            <w:r w:rsidRPr="00AD61A5">
              <w:t>8.313</w:t>
            </w:r>
          </w:p>
        </w:tc>
        <w:tc>
          <w:tcPr>
            <w:tcW w:w="1701" w:type="dxa"/>
          </w:tcPr>
          <w:p w14:paraId="1A872C33" w14:textId="6AFB2647" w:rsidR="00B055A7" w:rsidRDefault="00B055A7" w:rsidP="00B055A7">
            <w:pPr>
              <w:jc w:val="center"/>
              <w:rPr>
                <w:rFonts w:ascii="Arial" w:hAnsi="Arial" w:cs="Arial"/>
              </w:rPr>
            </w:pPr>
            <w:r w:rsidRPr="00070652">
              <w:t>329.21</w:t>
            </w:r>
          </w:p>
        </w:tc>
      </w:tr>
      <w:tr w:rsidR="00B055A7" w:rsidRPr="00DC3180" w14:paraId="04C4FED8" w14:textId="4EB75068" w:rsidTr="00B055A7">
        <w:trPr>
          <w:jc w:val="center"/>
        </w:trPr>
        <w:tc>
          <w:tcPr>
            <w:tcW w:w="988" w:type="dxa"/>
            <w:vMerge w:val="restart"/>
          </w:tcPr>
          <w:p w14:paraId="06CCD25E" w14:textId="77777777" w:rsidR="00B055A7" w:rsidRPr="00DC3180" w:rsidRDefault="00B055A7" w:rsidP="00B055A7">
            <w:pPr>
              <w:jc w:val="center"/>
              <w:rPr>
                <w:rFonts w:ascii="Arial" w:hAnsi="Arial"/>
              </w:rPr>
            </w:pPr>
            <w:r>
              <w:rPr>
                <w:rFonts w:ascii="Arial" w:hAnsi="Arial"/>
              </w:rPr>
              <w:t>Case 3</w:t>
            </w:r>
          </w:p>
        </w:tc>
        <w:tc>
          <w:tcPr>
            <w:tcW w:w="1988" w:type="dxa"/>
            <w:vMerge w:val="restart"/>
            <w:vAlign w:val="center"/>
          </w:tcPr>
          <w:p w14:paraId="7AAF0D67" w14:textId="77777777" w:rsidR="00B055A7" w:rsidRPr="00DC3180" w:rsidRDefault="00B055A7" w:rsidP="00B055A7">
            <w:pPr>
              <w:jc w:val="center"/>
              <w:rPr>
                <w:rFonts w:ascii="Arial" w:hAnsi="Arial"/>
              </w:rPr>
            </w:pPr>
            <w:r>
              <w:rPr>
                <w:rFonts w:ascii="Arial" w:hAnsi="Arial"/>
              </w:rPr>
              <w:t>Fiber-Cement</w:t>
            </w:r>
          </w:p>
        </w:tc>
        <w:tc>
          <w:tcPr>
            <w:tcW w:w="1843" w:type="dxa"/>
          </w:tcPr>
          <w:p w14:paraId="03857A7C" w14:textId="5B346AE0" w:rsidR="00B055A7" w:rsidRPr="00AD61A5" w:rsidRDefault="00B055A7" w:rsidP="00B055A7">
            <w:pPr>
              <w:jc w:val="center"/>
            </w:pPr>
            <w:r>
              <w:rPr>
                <w:rFonts w:ascii="Arial" w:hAnsi="Arial" w:cs="Arial"/>
              </w:rPr>
              <w:t>6 cm</w:t>
            </w:r>
          </w:p>
        </w:tc>
        <w:tc>
          <w:tcPr>
            <w:tcW w:w="1276" w:type="dxa"/>
          </w:tcPr>
          <w:p w14:paraId="28A21D88" w14:textId="0A5414DB" w:rsidR="00B055A7" w:rsidRPr="00DC3180" w:rsidRDefault="00B055A7" w:rsidP="00B055A7">
            <w:pPr>
              <w:jc w:val="center"/>
              <w:rPr>
                <w:rFonts w:ascii="Arial" w:hAnsi="Arial" w:cs="Arial"/>
              </w:rPr>
            </w:pPr>
            <w:r w:rsidRPr="00AD61A5">
              <w:t>7.914</w:t>
            </w:r>
          </w:p>
        </w:tc>
        <w:tc>
          <w:tcPr>
            <w:tcW w:w="1701" w:type="dxa"/>
          </w:tcPr>
          <w:p w14:paraId="6994823E" w14:textId="3FF85D64" w:rsidR="00B055A7" w:rsidRDefault="00B055A7" w:rsidP="00B055A7">
            <w:pPr>
              <w:jc w:val="center"/>
              <w:rPr>
                <w:rFonts w:ascii="Arial" w:hAnsi="Arial" w:cs="Arial"/>
              </w:rPr>
            </w:pPr>
            <w:r w:rsidRPr="00070652">
              <w:t>313.39</w:t>
            </w:r>
          </w:p>
        </w:tc>
      </w:tr>
      <w:tr w:rsidR="00B055A7" w:rsidRPr="00DC3180" w14:paraId="05CA90DA" w14:textId="015563E9" w:rsidTr="00B055A7">
        <w:trPr>
          <w:jc w:val="center"/>
        </w:trPr>
        <w:tc>
          <w:tcPr>
            <w:tcW w:w="988" w:type="dxa"/>
            <w:vMerge/>
          </w:tcPr>
          <w:p w14:paraId="14715134" w14:textId="77777777" w:rsidR="00B055A7" w:rsidRPr="00DC3180" w:rsidRDefault="00B055A7" w:rsidP="00B055A7">
            <w:pPr>
              <w:jc w:val="center"/>
              <w:rPr>
                <w:rFonts w:ascii="Arial" w:hAnsi="Arial"/>
              </w:rPr>
            </w:pPr>
          </w:p>
        </w:tc>
        <w:tc>
          <w:tcPr>
            <w:tcW w:w="1988" w:type="dxa"/>
            <w:vMerge/>
          </w:tcPr>
          <w:p w14:paraId="5A44FC39" w14:textId="77777777" w:rsidR="00B055A7" w:rsidRPr="00DC3180" w:rsidRDefault="00B055A7" w:rsidP="00B055A7">
            <w:pPr>
              <w:jc w:val="center"/>
              <w:rPr>
                <w:rFonts w:ascii="Arial" w:hAnsi="Arial"/>
              </w:rPr>
            </w:pPr>
          </w:p>
        </w:tc>
        <w:tc>
          <w:tcPr>
            <w:tcW w:w="1843" w:type="dxa"/>
          </w:tcPr>
          <w:p w14:paraId="70040D3A" w14:textId="04F4F17D" w:rsidR="00B055A7" w:rsidRPr="00AD61A5" w:rsidRDefault="00B055A7" w:rsidP="00B055A7">
            <w:pPr>
              <w:jc w:val="center"/>
            </w:pPr>
            <w:r>
              <w:rPr>
                <w:rFonts w:ascii="Arial" w:hAnsi="Arial" w:cs="Arial"/>
              </w:rPr>
              <w:t>10 cm</w:t>
            </w:r>
          </w:p>
        </w:tc>
        <w:tc>
          <w:tcPr>
            <w:tcW w:w="1276" w:type="dxa"/>
          </w:tcPr>
          <w:p w14:paraId="238D09B9" w14:textId="5A5ECA70" w:rsidR="00B055A7" w:rsidRPr="00DC3180" w:rsidRDefault="00B055A7" w:rsidP="00B055A7">
            <w:pPr>
              <w:jc w:val="center"/>
              <w:rPr>
                <w:rFonts w:ascii="Arial" w:hAnsi="Arial" w:cs="Arial"/>
              </w:rPr>
            </w:pPr>
            <w:r w:rsidRPr="00AD61A5">
              <w:t>8.264</w:t>
            </w:r>
          </w:p>
        </w:tc>
        <w:tc>
          <w:tcPr>
            <w:tcW w:w="1701" w:type="dxa"/>
          </w:tcPr>
          <w:p w14:paraId="43E69DE3" w14:textId="362398E0" w:rsidR="00B055A7" w:rsidRDefault="00B055A7" w:rsidP="00B055A7">
            <w:pPr>
              <w:jc w:val="center"/>
              <w:rPr>
                <w:rFonts w:ascii="Arial" w:hAnsi="Arial" w:cs="Arial"/>
              </w:rPr>
            </w:pPr>
            <w:r w:rsidRPr="00070652">
              <w:t>327.27</w:t>
            </w:r>
          </w:p>
        </w:tc>
      </w:tr>
    </w:tbl>
    <w:p w14:paraId="581E192D" w14:textId="77777777" w:rsidR="00B055A7" w:rsidRDefault="00B055A7" w:rsidP="00441B6F">
      <w:pPr>
        <w:pStyle w:val="Textoindependiente3"/>
        <w:tabs>
          <w:tab w:val="left" w:pos="1080"/>
        </w:tabs>
        <w:spacing w:after="0"/>
        <w:ind w:left="1080" w:hanging="1080"/>
        <w:jc w:val="both"/>
        <w:rPr>
          <w:rFonts w:ascii="Arial" w:hAnsi="Arial"/>
          <w:b/>
          <w:sz w:val="20"/>
          <w:szCs w:val="20"/>
        </w:rPr>
      </w:pPr>
    </w:p>
    <w:p w14:paraId="63A45DCC" w14:textId="773E8FAA" w:rsidR="009A60A2" w:rsidRPr="00592D15" w:rsidRDefault="00592D15" w:rsidP="00592D15">
      <w:pPr>
        <w:pStyle w:val="Body"/>
        <w:spacing w:after="0"/>
        <w:rPr>
          <w:rFonts w:ascii="Arial" w:hAnsi="Arial" w:cs="Arial"/>
        </w:rPr>
      </w:pPr>
      <w:r>
        <w:rPr>
          <w:rFonts w:ascii="Arial" w:hAnsi="Arial" w:cs="Arial"/>
        </w:rPr>
        <w:t>Where</w:t>
      </w:r>
      <w:r w:rsidR="00F019C0">
        <w:rPr>
          <w:rFonts w:ascii="Arial" w:hAnsi="Arial" w:cs="Arial"/>
        </w:rPr>
        <w:t>:</w:t>
      </w:r>
    </w:p>
    <w:p w14:paraId="04DB1738" w14:textId="24963B28" w:rsidR="00AC0B37" w:rsidRPr="00AC0B37" w:rsidRDefault="00585141" w:rsidP="00950232">
      <w:pPr>
        <w:pStyle w:val="Body"/>
        <w:numPr>
          <w:ilvl w:val="0"/>
          <w:numId w:val="31"/>
        </w:numPr>
        <w:spacing w:after="0"/>
        <w:rPr>
          <w:rFonts w:ascii="Arial" w:hAnsi="Arial" w:cs="Arial"/>
        </w:rPr>
      </w:pPr>
      <m:oMath>
        <m:sSub>
          <m:sSubPr>
            <m:ctrlPr>
              <w:rPr>
                <w:rFonts w:ascii="Cambria Math" w:hAnsi="Cambria Math" w:cs="Arial"/>
              </w:rPr>
            </m:ctrlPr>
          </m:sSubPr>
          <m:e>
            <m:r>
              <w:rPr>
                <w:rFonts w:ascii="Cambria Math" w:hAnsi="Cambria Math" w:cs="Arial"/>
              </w:rPr>
              <m:t>R</m:t>
            </m:r>
          </m:e>
          <m:sub>
            <m:r>
              <w:rPr>
                <w:rFonts w:ascii="Cambria Math" w:hAnsi="Cambria Math" w:cs="Arial"/>
              </w:rPr>
              <m:t>clad</m:t>
            </m:r>
          </m:sub>
        </m:sSub>
      </m:oMath>
      <w:r w:rsidR="009A60A2" w:rsidRPr="00AC0B37">
        <w:rPr>
          <w:rFonts w:ascii="Arial" w:hAnsi="Arial" w:cs="Arial"/>
        </w:rPr>
        <w:t xml:space="preserve"> (K/W) : </w:t>
      </w:r>
      <w:r w:rsidR="00AC0B37" w:rsidRPr="00AC0B37">
        <w:rPr>
          <w:rFonts w:ascii="Arial" w:hAnsi="Arial" w:cs="Arial"/>
        </w:rPr>
        <w:t>Thermal resistance by conduction through the exterior cladding, calculated using Fourier’s law</w:t>
      </w:r>
    </w:p>
    <w:p w14:paraId="032333F8" w14:textId="2F147B67" w:rsidR="00AC0B37" w:rsidRPr="00AC0B37" w:rsidRDefault="00585141" w:rsidP="00CE1CF0">
      <w:pPr>
        <w:pStyle w:val="Body"/>
        <w:numPr>
          <w:ilvl w:val="0"/>
          <w:numId w:val="31"/>
        </w:numPr>
        <w:spacing w:after="0"/>
        <w:rPr>
          <w:rFonts w:ascii="Arial" w:hAnsi="Arial" w:cs="Arial"/>
        </w:rPr>
      </w:pPr>
      <m:oMath>
        <m:sSub>
          <m:sSubPr>
            <m:ctrlPr>
              <w:rPr>
                <w:rFonts w:ascii="Cambria Math" w:hAnsi="Cambria Math" w:cs="Arial"/>
              </w:rPr>
            </m:ctrlPr>
          </m:sSubPr>
          <m:e>
            <m:r>
              <w:rPr>
                <w:rFonts w:ascii="Cambria Math" w:hAnsi="Cambria Math" w:cs="Arial"/>
              </w:rPr>
              <m:t>R</m:t>
            </m:r>
          </m:e>
          <m:sub>
            <m:r>
              <w:rPr>
                <w:rFonts w:ascii="Cambria Math" w:hAnsi="Cambria Math" w:cs="Arial"/>
              </w:rPr>
              <m:t>cav</m:t>
            </m:r>
          </m:sub>
        </m:sSub>
      </m:oMath>
      <w:r w:rsidR="009A60A2" w:rsidRPr="00AC0B37">
        <w:rPr>
          <w:rFonts w:ascii="Arial" w:hAnsi="Arial" w:cs="Arial"/>
        </w:rPr>
        <w:t xml:space="preserve"> (K/W) : </w:t>
      </w:r>
      <w:r w:rsidR="00AC0B37" w:rsidRPr="00AC0B37">
        <w:rPr>
          <w:rFonts w:ascii="Arial" w:hAnsi="Arial" w:cs="Arial"/>
        </w:rPr>
        <w:t>Thermal resistance associated with convection within the ventilated cavity.</w:t>
      </w:r>
    </w:p>
    <w:p w14:paraId="6769C5DD" w14:textId="119ABB83" w:rsidR="009A60A2" w:rsidRPr="00AC0B37" w:rsidRDefault="00585141" w:rsidP="00CE1CF0">
      <w:pPr>
        <w:pStyle w:val="Body"/>
        <w:numPr>
          <w:ilvl w:val="0"/>
          <w:numId w:val="31"/>
        </w:numPr>
        <w:spacing w:after="0"/>
        <w:rPr>
          <w:rFonts w:ascii="Arial" w:hAnsi="Arial" w:cs="Arial"/>
        </w:rPr>
      </w:pPr>
      <m:oMath>
        <m:sSub>
          <m:sSubPr>
            <m:ctrlPr>
              <w:rPr>
                <w:rFonts w:ascii="Cambria Math" w:hAnsi="Cambria Math" w:cs="Arial"/>
              </w:rPr>
            </m:ctrlPr>
          </m:sSubPr>
          <m:e>
            <m:r>
              <w:rPr>
                <w:rFonts w:ascii="Cambria Math" w:hAnsi="Cambria Math" w:cs="Arial"/>
              </w:rPr>
              <m:t>R</m:t>
            </m:r>
          </m:e>
          <m:sub>
            <m:r>
              <w:rPr>
                <w:rFonts w:ascii="Cambria Math" w:hAnsi="Cambria Math" w:cs="Arial"/>
              </w:rPr>
              <m:t>tot</m:t>
            </m:r>
          </m:sub>
        </m:sSub>
      </m:oMath>
      <w:r w:rsidR="009A60A2" w:rsidRPr="00AC0B37">
        <w:rPr>
          <w:rFonts w:ascii="Arial" w:hAnsi="Arial" w:cs="Arial"/>
        </w:rPr>
        <w:t xml:space="preserve"> (K/W) : </w:t>
      </w:r>
      <w:r w:rsidR="00AC0B37" w:rsidRPr="00AC0B37">
        <w:rPr>
          <w:rFonts w:ascii="Arial" w:hAnsi="Arial" w:cs="Arial"/>
        </w:rPr>
        <w:t>Sum of all thermal resistances in the multilayer system.</w:t>
      </w:r>
    </w:p>
    <w:p w14:paraId="2756CB74" w14:textId="0735154B" w:rsidR="009A60A2" w:rsidRPr="00AC0B37" w:rsidRDefault="009A60A2" w:rsidP="009A60A2">
      <w:pPr>
        <w:pStyle w:val="Body"/>
        <w:numPr>
          <w:ilvl w:val="0"/>
          <w:numId w:val="31"/>
        </w:numPr>
        <w:spacing w:after="0"/>
        <w:rPr>
          <w:rFonts w:ascii="Arial" w:hAnsi="Arial" w:cs="Arial"/>
        </w:rPr>
      </w:pPr>
      <w:r w:rsidRPr="00AC0B37">
        <w:rPr>
          <w:rFonts w:ascii="Arial" w:hAnsi="Arial" w:cs="Arial"/>
        </w:rPr>
        <w:t xml:space="preserve">Potencia (W) : </w:t>
      </w:r>
      <w:r w:rsidR="00AC0B37" w:rsidRPr="00AC0B37">
        <w:rPr>
          <w:rFonts w:ascii="Arial" w:hAnsi="Arial" w:cs="Arial"/>
        </w:rPr>
        <w:t>Total heat transfer through the entire fa</w:t>
      </w:r>
      <w:r w:rsidR="003D128C">
        <w:rPr>
          <w:rFonts w:ascii="Arial" w:hAnsi="Arial" w:cs="Arial"/>
        </w:rPr>
        <w:t>c</w:t>
      </w:r>
      <w:r w:rsidR="00AC0B37" w:rsidRPr="00AC0B37">
        <w:rPr>
          <w:rFonts w:ascii="Arial" w:hAnsi="Arial" w:cs="Arial"/>
        </w:rPr>
        <w:t>ade panel under analysis.</w:t>
      </w:r>
    </w:p>
    <w:p w14:paraId="51160C8D" w14:textId="77777777" w:rsidR="004434C6" w:rsidRDefault="00585141" w:rsidP="00D03AD0">
      <w:pPr>
        <w:pStyle w:val="Body"/>
        <w:numPr>
          <w:ilvl w:val="0"/>
          <w:numId w:val="31"/>
        </w:numPr>
        <w:spacing w:after="0"/>
        <w:rPr>
          <w:rFonts w:ascii="Arial" w:hAnsi="Arial" w:cs="Arial"/>
        </w:rPr>
      </w:pPr>
      <m:oMath>
        <m:sSub>
          <m:sSubPr>
            <m:ctrlPr>
              <w:rPr>
                <w:rFonts w:ascii="Cambria Math" w:hAnsi="Cambria Math" w:cs="Arial"/>
              </w:rPr>
            </m:ctrlPr>
          </m:sSubPr>
          <m:e>
            <m:r>
              <m:rPr>
                <m:sty m:val="p"/>
              </m:rPr>
              <w:rPr>
                <w:rFonts w:ascii="Cambria Math" w:hAnsi="Cambria Math" w:cs="Arial"/>
              </w:rPr>
              <m:t>ΔT</m:t>
            </m:r>
          </m:e>
          <m:sub>
            <m:r>
              <w:rPr>
                <w:rFonts w:ascii="Cambria Math" w:hAnsi="Cambria Math" w:cs="Arial"/>
              </w:rPr>
              <m:t>clad</m:t>
            </m:r>
          </m:sub>
        </m:sSub>
      </m:oMath>
      <w:r w:rsidR="009A60A2" w:rsidRPr="004434C6">
        <w:rPr>
          <w:rFonts w:ascii="Arial" w:hAnsi="Arial" w:cs="Arial"/>
        </w:rPr>
        <w:t xml:space="preserve"> (K) : </w:t>
      </w:r>
      <w:r w:rsidR="004434C6" w:rsidRPr="004434C6">
        <w:rPr>
          <w:rFonts w:ascii="Arial" w:hAnsi="Arial" w:cs="Arial"/>
        </w:rPr>
        <w:t>Temperature drop occurring exclusively across the exterior cladding.</w:t>
      </w:r>
    </w:p>
    <w:p w14:paraId="79AAA04D" w14:textId="77777777" w:rsidR="004434C6" w:rsidRDefault="00585141" w:rsidP="00DF217C">
      <w:pPr>
        <w:pStyle w:val="Body"/>
        <w:numPr>
          <w:ilvl w:val="0"/>
          <w:numId w:val="31"/>
        </w:numPr>
        <w:spacing w:after="0"/>
        <w:rPr>
          <w:rFonts w:ascii="Arial" w:hAnsi="Arial" w:cs="Arial"/>
        </w:rPr>
      </w:pPr>
      <m:oMath>
        <m:sSub>
          <m:sSubPr>
            <m:ctrlPr>
              <w:rPr>
                <w:rFonts w:ascii="Cambria Math" w:hAnsi="Cambria Math" w:cs="Arial"/>
              </w:rPr>
            </m:ctrlPr>
          </m:sSubPr>
          <m:e>
            <m:r>
              <m:rPr>
                <m:sty m:val="p"/>
              </m:rPr>
              <w:rPr>
                <w:rFonts w:ascii="Cambria Math" w:hAnsi="Cambria Math" w:cs="Arial"/>
              </w:rPr>
              <m:t>ΔT</m:t>
            </m:r>
          </m:e>
          <m:sub>
            <m:r>
              <w:rPr>
                <w:rFonts w:ascii="Cambria Math" w:hAnsi="Cambria Math" w:cs="Arial"/>
              </w:rPr>
              <m:t>cav</m:t>
            </m:r>
          </m:sub>
        </m:sSub>
      </m:oMath>
      <w:r w:rsidR="009A60A2" w:rsidRPr="004434C6">
        <w:rPr>
          <w:rFonts w:ascii="Arial" w:hAnsi="Arial" w:cs="Arial"/>
        </w:rPr>
        <w:t xml:space="preserve"> (K) : </w:t>
      </w:r>
      <w:r w:rsidR="004434C6" w:rsidRPr="004434C6">
        <w:rPr>
          <w:rFonts w:ascii="Arial" w:hAnsi="Arial" w:cs="Arial"/>
        </w:rPr>
        <w:t>Temperature drop within the ventilated cavity.</w:t>
      </w:r>
    </w:p>
    <w:p w14:paraId="0971DB3E" w14:textId="668AE61C" w:rsidR="009A60A2" w:rsidRPr="004434C6" w:rsidRDefault="00585141" w:rsidP="00DF217C">
      <w:pPr>
        <w:pStyle w:val="Body"/>
        <w:numPr>
          <w:ilvl w:val="0"/>
          <w:numId w:val="31"/>
        </w:numPr>
        <w:spacing w:after="0"/>
        <w:rPr>
          <w:rFonts w:ascii="Arial" w:hAnsi="Arial" w:cs="Arial"/>
        </w:rPr>
      </w:pPr>
      <m:oMath>
        <m:sSub>
          <m:sSubPr>
            <m:ctrlPr>
              <w:rPr>
                <w:rFonts w:ascii="Cambria Math" w:hAnsi="Cambria Math" w:cs="Arial"/>
              </w:rPr>
            </m:ctrlPr>
          </m:sSubPr>
          <m:e>
            <m:r>
              <m:rPr>
                <m:sty m:val="p"/>
              </m:rPr>
              <w:rPr>
                <w:rFonts w:ascii="Cambria Math" w:hAnsi="Cambria Math" w:cs="Arial"/>
              </w:rPr>
              <m:t>ΔT</m:t>
            </m:r>
          </m:e>
          <m:sub>
            <m:r>
              <w:rPr>
                <w:rFonts w:ascii="Cambria Math" w:hAnsi="Cambria Math" w:cs="Arial"/>
              </w:rPr>
              <m:t>suf</m:t>
            </m:r>
            <m:r>
              <m:rPr>
                <m:sty m:val="p"/>
              </m:rPr>
              <w:rPr>
                <w:rFonts w:ascii="Cambria Math" w:hAnsi="Cambria Math" w:cs="Arial"/>
              </w:rPr>
              <m:t>-</m:t>
            </m:r>
            <m:r>
              <w:rPr>
                <w:rFonts w:ascii="Cambria Math" w:hAnsi="Cambria Math" w:cs="Arial"/>
              </w:rPr>
              <m:t>Out</m:t>
            </m:r>
          </m:sub>
        </m:sSub>
      </m:oMath>
      <w:r w:rsidR="009A60A2" w:rsidRPr="004434C6">
        <w:rPr>
          <w:rFonts w:ascii="Arial" w:hAnsi="Arial" w:cs="Arial"/>
        </w:rPr>
        <w:t xml:space="preserve"> (°C) : </w:t>
      </w:r>
      <w:r w:rsidR="00AC0B37" w:rsidRPr="004434C6">
        <w:rPr>
          <w:rFonts w:ascii="Arial" w:hAnsi="Arial" w:cs="Arial"/>
        </w:rPr>
        <w:t>Temperature of the exterior surface of the cladding after accounting for external convection.</w:t>
      </w:r>
    </w:p>
    <w:p w14:paraId="74334C25" w14:textId="5B624D18" w:rsidR="009A60A2" w:rsidRPr="00AC0B37" w:rsidRDefault="00585141" w:rsidP="00BA7872">
      <w:pPr>
        <w:pStyle w:val="Body"/>
        <w:numPr>
          <w:ilvl w:val="0"/>
          <w:numId w:val="31"/>
        </w:numPr>
        <w:spacing w:after="0"/>
        <w:rPr>
          <w:rFonts w:ascii="Arial" w:hAnsi="Arial" w:cs="Arial"/>
        </w:rPr>
      </w:pPr>
      <m:oMath>
        <m:sSub>
          <m:sSubPr>
            <m:ctrlPr>
              <w:rPr>
                <w:rFonts w:ascii="Cambria Math" w:hAnsi="Cambria Math" w:cs="Arial"/>
              </w:rPr>
            </m:ctrlPr>
          </m:sSubPr>
          <m:e>
            <m:r>
              <m:rPr>
                <m:sty m:val="p"/>
              </m:rPr>
              <w:rPr>
                <w:rFonts w:ascii="Cambria Math" w:hAnsi="Cambria Math" w:cs="Arial"/>
              </w:rPr>
              <m:t>ΔT</m:t>
            </m:r>
          </m:e>
          <m:sub>
            <m:r>
              <w:rPr>
                <w:rFonts w:ascii="Cambria Math" w:hAnsi="Cambria Math" w:cs="Arial"/>
              </w:rPr>
              <m:t>aft</m:t>
            </m:r>
            <m:r>
              <m:rPr>
                <m:sty m:val="p"/>
              </m:rPr>
              <w:rPr>
                <w:rFonts w:ascii="Cambria Math" w:hAnsi="Cambria Math" w:cs="Arial"/>
              </w:rPr>
              <m:t>-</m:t>
            </m:r>
            <m:r>
              <w:rPr>
                <w:rFonts w:ascii="Cambria Math" w:hAnsi="Cambria Math" w:cs="Arial"/>
              </w:rPr>
              <m:t>Clad</m:t>
            </m:r>
          </m:sub>
        </m:sSub>
        <m:r>
          <m:rPr>
            <m:sty m:val="p"/>
          </m:rPr>
          <w:rPr>
            <w:rFonts w:ascii="Cambria Math" w:hAnsi="Cambria Math" w:cs="Arial"/>
          </w:rPr>
          <m:t xml:space="preserve"> </m:t>
        </m:r>
      </m:oMath>
      <w:r w:rsidR="009A60A2" w:rsidRPr="00AC0B37">
        <w:rPr>
          <w:rFonts w:ascii="Arial" w:hAnsi="Arial" w:cs="Arial"/>
        </w:rPr>
        <w:t xml:space="preserve"> (°C) :</w:t>
      </w:r>
      <w:r w:rsidR="00B055A7" w:rsidRPr="00AC0B37">
        <w:rPr>
          <w:rFonts w:ascii="Arial" w:hAnsi="Arial" w:cs="Arial"/>
        </w:rPr>
        <w:t xml:space="preserve"> </w:t>
      </w:r>
      <w:r w:rsidR="00AC0B37" w:rsidRPr="00AC0B37">
        <w:rPr>
          <w:rFonts w:ascii="Arial" w:hAnsi="Arial" w:cs="Arial"/>
        </w:rPr>
        <w:t>Temperature after passing through the exterior cladding, before entering the cavity</w:t>
      </w:r>
      <w:r w:rsidR="00B055A7" w:rsidRPr="00AC0B37">
        <w:rPr>
          <w:rFonts w:ascii="Arial" w:hAnsi="Arial" w:cs="Arial"/>
        </w:rPr>
        <w:t>.</w:t>
      </w:r>
    </w:p>
    <w:p w14:paraId="465569DF" w14:textId="0C8C0FCF" w:rsidR="00B055A7" w:rsidRPr="009A60A2" w:rsidRDefault="00585141" w:rsidP="00BA7872">
      <w:pPr>
        <w:pStyle w:val="Body"/>
        <w:numPr>
          <w:ilvl w:val="0"/>
          <w:numId w:val="31"/>
        </w:numPr>
        <w:spacing w:after="0"/>
        <w:rPr>
          <w:rFonts w:ascii="Arial" w:hAnsi="Arial" w:cs="Arial"/>
        </w:rPr>
      </w:pPr>
      <m:oMath>
        <m:sSub>
          <m:sSubPr>
            <m:ctrlPr>
              <w:rPr>
                <w:rFonts w:ascii="Cambria Math" w:hAnsi="Cambria Math" w:cs="Arial"/>
              </w:rPr>
            </m:ctrlPr>
          </m:sSubPr>
          <m:e>
            <m:r>
              <m:rPr>
                <m:sty m:val="p"/>
              </m:rPr>
              <w:rPr>
                <w:rFonts w:ascii="Cambria Math" w:hAnsi="Cambria Math" w:cs="Arial"/>
              </w:rPr>
              <m:t>ΔT</m:t>
            </m:r>
          </m:e>
          <m:sub>
            <m:r>
              <w:rPr>
                <w:rFonts w:ascii="Cambria Math" w:hAnsi="Cambria Math" w:cs="Arial"/>
              </w:rPr>
              <m:t>aft</m:t>
            </m:r>
            <m:r>
              <m:rPr>
                <m:sty m:val="p"/>
              </m:rPr>
              <w:rPr>
                <w:rFonts w:ascii="Cambria Math" w:hAnsi="Cambria Math" w:cs="Arial"/>
              </w:rPr>
              <m:t>-</m:t>
            </m:r>
            <m:r>
              <w:rPr>
                <w:rFonts w:ascii="Cambria Math" w:hAnsi="Cambria Math" w:cs="Arial"/>
              </w:rPr>
              <m:t>Cav</m:t>
            </m:r>
          </m:sub>
        </m:sSub>
        <m:r>
          <m:rPr>
            <m:sty m:val="p"/>
          </m:rPr>
          <w:rPr>
            <w:rFonts w:ascii="Cambria Math" w:hAnsi="Cambria Math" w:cs="Arial"/>
          </w:rPr>
          <m:t xml:space="preserve"> </m:t>
        </m:r>
      </m:oMath>
      <w:r w:rsidR="00B055A7" w:rsidRPr="00AC0B37">
        <w:rPr>
          <w:rFonts w:ascii="Arial" w:hAnsi="Arial" w:cs="Arial"/>
        </w:rPr>
        <w:t xml:space="preserve"> (°C) : </w:t>
      </w:r>
      <w:r w:rsidR="00AC0B37" w:rsidRPr="00AC0B37">
        <w:rPr>
          <w:rFonts w:ascii="Arial" w:hAnsi="Arial" w:cs="Arial"/>
        </w:rPr>
        <w:t>Temperature after the ventilated cavity (before reaching the insulation and interior wall).</w:t>
      </w:r>
    </w:p>
    <w:p w14:paraId="5177CA44" w14:textId="77777777" w:rsidR="00F019C0" w:rsidRDefault="00F019C0" w:rsidP="00441B6F">
      <w:pPr>
        <w:pStyle w:val="Body"/>
        <w:spacing w:after="0"/>
        <w:rPr>
          <w:rFonts w:ascii="Arial" w:hAnsi="Arial" w:cs="Arial"/>
        </w:rPr>
        <w:sectPr w:rsidR="00F019C0" w:rsidSect="00C633BB">
          <w:pgSz w:w="15840" w:h="12240" w:orient="landscape"/>
          <w:pgMar w:top="2016" w:right="1440" w:bottom="2016" w:left="2016" w:header="720" w:footer="1123" w:gutter="0"/>
          <w:cols w:space="720"/>
          <w:docGrid w:linePitch="272"/>
        </w:sectPr>
      </w:pPr>
    </w:p>
    <w:p w14:paraId="58650C63"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3799291A" w14:textId="77777777" w:rsidR="00790ADA" w:rsidRPr="00FB3A86" w:rsidRDefault="00790ADA" w:rsidP="00441B6F">
      <w:pPr>
        <w:pStyle w:val="ConcHead"/>
        <w:spacing w:after="0"/>
        <w:jc w:val="both"/>
        <w:rPr>
          <w:rFonts w:ascii="Arial" w:hAnsi="Arial" w:cs="Arial"/>
        </w:rPr>
      </w:pPr>
    </w:p>
    <w:p w14:paraId="5CB8AC32" w14:textId="38649053" w:rsidR="00694AB5" w:rsidRDefault="00E41C78" w:rsidP="00344E1E">
      <w:pPr>
        <w:pStyle w:val="ReferHead"/>
        <w:jc w:val="both"/>
        <w:rPr>
          <w:rFonts w:ascii="Arial" w:hAnsi="Arial" w:cs="Arial"/>
          <w:b w:val="0"/>
          <w:caps w:val="0"/>
          <w:sz w:val="20"/>
        </w:rPr>
      </w:pPr>
      <w:r w:rsidRPr="00E41C78">
        <w:rPr>
          <w:rFonts w:ascii="Arial" w:hAnsi="Arial" w:cs="Arial"/>
          <w:b w:val="0"/>
          <w:caps w:val="0"/>
          <w:sz w:val="20"/>
        </w:rPr>
        <w:t>The simplified thermal analysis based on the series-resistance model enabled a consistent comparison of six ventilated fa</w:t>
      </w:r>
      <w:r w:rsidR="008B26F5">
        <w:rPr>
          <w:rFonts w:ascii="Arial" w:hAnsi="Arial" w:cs="Arial"/>
          <w:b w:val="0"/>
          <w:caps w:val="0"/>
          <w:sz w:val="20"/>
        </w:rPr>
        <w:t>c</w:t>
      </w:r>
      <w:r w:rsidRPr="00E41C78">
        <w:rPr>
          <w:rFonts w:ascii="Arial" w:hAnsi="Arial" w:cs="Arial"/>
          <w:b w:val="0"/>
          <w:caps w:val="0"/>
          <w:sz w:val="20"/>
        </w:rPr>
        <w:t>ade configurations, derived from the combination of three cladding materials (Dekton, ceramic, and fiber-cement) and two air-cavity depths (6 and 10 cm), under representative warm</w:t>
      </w:r>
      <w:r w:rsidR="00445E04">
        <w:rPr>
          <w:rFonts w:ascii="Arial" w:hAnsi="Arial" w:cs="Arial"/>
          <w:b w:val="0"/>
          <w:caps w:val="0"/>
          <w:sz w:val="20"/>
        </w:rPr>
        <w:t xml:space="preserve"> </w:t>
      </w:r>
      <w:r w:rsidRPr="00E41C78">
        <w:rPr>
          <w:rFonts w:ascii="Arial" w:hAnsi="Arial" w:cs="Arial"/>
          <w:b w:val="0"/>
          <w:caps w:val="0"/>
          <w:sz w:val="20"/>
        </w:rPr>
        <w:t>semi-arid conditions (T</w:t>
      </w:r>
      <w:r w:rsidRPr="003E1D64">
        <w:rPr>
          <w:rFonts w:ascii="Arial" w:hAnsi="Arial" w:cs="Arial"/>
          <w:b w:val="0"/>
          <w:i/>
          <w:iCs/>
          <w:caps w:val="0"/>
          <w:sz w:val="20"/>
        </w:rPr>
        <w:t>ext</w:t>
      </w:r>
      <w:r w:rsidRPr="00E41C78">
        <w:rPr>
          <w:rFonts w:ascii="Arial" w:hAnsi="Arial" w:cs="Arial"/>
          <w:b w:val="0"/>
          <w:caps w:val="0"/>
          <w:sz w:val="20"/>
        </w:rPr>
        <w:t xml:space="preserve"> = 40 °C, T</w:t>
      </w:r>
      <w:r w:rsidRPr="003B55DA">
        <w:rPr>
          <w:rFonts w:ascii="Arial" w:hAnsi="Arial" w:cs="Arial"/>
          <w:b w:val="0"/>
          <w:i/>
          <w:iCs/>
          <w:caps w:val="0"/>
          <w:sz w:val="20"/>
        </w:rPr>
        <w:t>int</w:t>
      </w:r>
      <w:r w:rsidRPr="00E41C78">
        <w:rPr>
          <w:rFonts w:ascii="Arial" w:hAnsi="Arial" w:cs="Arial"/>
          <w:b w:val="0"/>
          <w:caps w:val="0"/>
          <w:sz w:val="20"/>
        </w:rPr>
        <w:t xml:space="preserve"> = 26 °C, peak solar radiation). The results show that the heat flux transmitted to the interior remains within a narrow range of 7.91 to 8.31 W/m², representing a 66–68% reduction compared to a conventional single-glazed fa</w:t>
      </w:r>
      <w:r w:rsidR="003B55DA">
        <w:rPr>
          <w:rFonts w:ascii="Arial" w:hAnsi="Arial" w:cs="Arial"/>
          <w:b w:val="0"/>
          <w:caps w:val="0"/>
          <w:sz w:val="20"/>
        </w:rPr>
        <w:t>c</w:t>
      </w:r>
      <w:r w:rsidRPr="00E41C78">
        <w:rPr>
          <w:rFonts w:ascii="Arial" w:hAnsi="Arial" w:cs="Arial"/>
          <w:b w:val="0"/>
          <w:caps w:val="0"/>
          <w:sz w:val="20"/>
        </w:rPr>
        <w:t>ade (&gt; 25 W/m² under identical conditions). This significant decrease confirms the high effectiveness of the ventilated fa</w:t>
      </w:r>
      <w:r w:rsidR="003B55DA">
        <w:rPr>
          <w:rFonts w:ascii="Arial" w:hAnsi="Arial" w:cs="Arial"/>
          <w:b w:val="0"/>
          <w:caps w:val="0"/>
          <w:sz w:val="20"/>
        </w:rPr>
        <w:t>c</w:t>
      </w:r>
      <w:r w:rsidRPr="00E41C78">
        <w:rPr>
          <w:rFonts w:ascii="Arial" w:hAnsi="Arial" w:cs="Arial"/>
          <w:b w:val="0"/>
          <w:caps w:val="0"/>
          <w:sz w:val="20"/>
        </w:rPr>
        <w:t>ade as a passive thermal strategy.</w:t>
      </w:r>
    </w:p>
    <w:p w14:paraId="7DC3EE1F" w14:textId="12CD7452" w:rsidR="003E1D64" w:rsidRPr="003E1D64" w:rsidRDefault="003E1D64" w:rsidP="003E1D64">
      <w:pPr>
        <w:pStyle w:val="ReferHead"/>
        <w:jc w:val="both"/>
        <w:rPr>
          <w:rFonts w:ascii="Arial" w:hAnsi="Arial" w:cs="Arial"/>
          <w:b w:val="0"/>
          <w:caps w:val="0"/>
          <w:sz w:val="20"/>
        </w:rPr>
      </w:pPr>
      <w:r w:rsidRPr="003E1D64">
        <w:rPr>
          <w:rFonts w:ascii="Arial" w:hAnsi="Arial" w:cs="Arial"/>
          <w:b w:val="0"/>
          <w:caps w:val="0"/>
          <w:sz w:val="20"/>
        </w:rPr>
        <w:t>The air cavity consolidates itself as the dominant element in thermal moderation, contributing 70–80% of the total system resistance and generating the largest temperature drop (ΔT</w:t>
      </w:r>
      <w:r>
        <w:rPr>
          <w:rFonts w:ascii="Arial" w:hAnsi="Arial" w:cs="Arial"/>
          <w:b w:val="0"/>
          <w:caps w:val="0"/>
          <w:sz w:val="20"/>
        </w:rPr>
        <w:t xml:space="preserve"> </w:t>
      </w:r>
      <w:r w:rsidRPr="003E1D64">
        <w:rPr>
          <w:rFonts w:ascii="Arial" w:hAnsi="Arial" w:cs="Arial"/>
          <w:b w:val="0"/>
          <w:i/>
          <w:iCs/>
          <w:caps w:val="0"/>
          <w:sz w:val="20"/>
        </w:rPr>
        <w:t>cav</w:t>
      </w:r>
      <w:r w:rsidRPr="003E1D64">
        <w:rPr>
          <w:rFonts w:ascii="Arial" w:hAnsi="Arial" w:cs="Arial"/>
          <w:b w:val="0"/>
          <w:caps w:val="0"/>
          <w:sz w:val="20"/>
        </w:rPr>
        <w:t xml:space="preserve"> between 1.03 and 1.59 °C). Increasing the cavity depth from 6 to 10 cm reduces the heat flux by an average of 3.9%, approaching the transition point at which further convective benefits become marginal.</w:t>
      </w:r>
    </w:p>
    <w:p w14:paraId="7434E0D9" w14:textId="05B14012" w:rsidR="003E1D64" w:rsidRDefault="003E1D64" w:rsidP="003E1D64">
      <w:pPr>
        <w:pStyle w:val="ReferHead"/>
        <w:jc w:val="both"/>
        <w:rPr>
          <w:rFonts w:ascii="Arial" w:hAnsi="Arial" w:cs="Arial"/>
          <w:b w:val="0"/>
          <w:caps w:val="0"/>
          <w:sz w:val="20"/>
        </w:rPr>
      </w:pPr>
      <w:r w:rsidRPr="003E1D64">
        <w:rPr>
          <w:rFonts w:ascii="Arial" w:hAnsi="Arial" w:cs="Arial"/>
          <w:b w:val="0"/>
          <w:caps w:val="0"/>
          <w:sz w:val="20"/>
        </w:rPr>
        <w:t>This study addresses a documented gap in the literature by providing a simple, reproducible, and decision-oriented methodology that translates academic findings into practical design recommendations for architects and engineers. Future research should complement this steady-state approach with dynamic modeling (transient CFD) and in-situ testing to quantify real-world performance impacts.</w:t>
      </w:r>
    </w:p>
    <w:p w14:paraId="6AF345CC" w14:textId="77777777" w:rsidR="00E41C78" w:rsidRDefault="00E41C78" w:rsidP="00344E1E">
      <w:pPr>
        <w:pStyle w:val="ReferHead"/>
        <w:jc w:val="both"/>
        <w:rPr>
          <w:rFonts w:ascii="Arial" w:hAnsi="Arial" w:cs="Arial"/>
          <w:b w:val="0"/>
          <w:caps w:val="0"/>
          <w:sz w:val="20"/>
        </w:rPr>
      </w:pPr>
    </w:p>
    <w:p w14:paraId="7A6F2C1D" w14:textId="15FC4E85" w:rsidR="00E41C78" w:rsidRDefault="00E41C78">
      <w:pPr>
        <w:rPr>
          <w:rFonts w:ascii="Arial" w:hAnsi="Arial" w:cs="Arial"/>
        </w:rPr>
      </w:pPr>
      <w:r>
        <w:rPr>
          <w:rFonts w:ascii="Arial" w:hAnsi="Arial" w:cs="Arial"/>
          <w:b/>
          <w:caps/>
        </w:rPr>
        <w:br w:type="page"/>
      </w:r>
    </w:p>
    <w:p w14:paraId="0B5D1312" w14:textId="77777777" w:rsidR="00E41C78" w:rsidRDefault="00E41C78" w:rsidP="00344E1E">
      <w:pPr>
        <w:pStyle w:val="ReferHead"/>
        <w:jc w:val="both"/>
        <w:rPr>
          <w:rFonts w:ascii="Arial" w:hAnsi="Arial" w:cs="Arial"/>
          <w:b w:val="0"/>
          <w:caps w:val="0"/>
          <w:sz w:val="20"/>
        </w:rPr>
      </w:pPr>
    </w:p>
    <w:p w14:paraId="5054618A" w14:textId="77777777" w:rsidR="00694AB5" w:rsidRPr="00694AB5" w:rsidRDefault="00694AB5" w:rsidP="00694AB5">
      <w:pPr>
        <w:pStyle w:val="ReferHead"/>
        <w:jc w:val="both"/>
        <w:rPr>
          <w:rFonts w:ascii="Arial" w:hAnsi="Arial" w:cs="Arial"/>
          <w:b w:val="0"/>
          <w:caps w:val="0"/>
          <w:sz w:val="20"/>
        </w:rPr>
      </w:pPr>
      <w:r w:rsidRPr="00694AB5">
        <w:rPr>
          <w:rFonts w:ascii="Arial" w:hAnsi="Arial" w:cs="Arial"/>
          <w:b w:val="0"/>
          <w:caps w:val="0"/>
          <w:sz w:val="20"/>
        </w:rPr>
        <w:t>COMPETING INTERESTS DISCLAIMER:</w:t>
      </w:r>
    </w:p>
    <w:p w14:paraId="74AD996E" w14:textId="1054BBE5" w:rsidR="00694AB5" w:rsidRDefault="00694AB5" w:rsidP="00694AB5">
      <w:pPr>
        <w:pStyle w:val="ReferHead"/>
        <w:jc w:val="both"/>
        <w:rPr>
          <w:rFonts w:ascii="Arial" w:hAnsi="Arial" w:cs="Arial"/>
          <w:b w:val="0"/>
          <w:caps w:val="0"/>
          <w:sz w:val="20"/>
        </w:rPr>
      </w:pPr>
      <w:r w:rsidRPr="00694AB5">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3067C37" w14:textId="77777777" w:rsidR="00585141" w:rsidRDefault="00585141" w:rsidP="00395A81">
      <w:pPr>
        <w:pStyle w:val="ReferHead"/>
        <w:jc w:val="both"/>
        <w:rPr>
          <w:rFonts w:ascii="Arial" w:hAnsi="Arial" w:cs="Arial"/>
          <w:b w:val="0"/>
          <w:caps w:val="0"/>
          <w:sz w:val="20"/>
        </w:rPr>
      </w:pPr>
    </w:p>
    <w:p w14:paraId="1B8B2F66" w14:textId="12C5381D" w:rsidR="00395A81" w:rsidRPr="00395A81" w:rsidRDefault="00585141" w:rsidP="00395A81">
      <w:pPr>
        <w:pStyle w:val="ReferHead"/>
        <w:jc w:val="both"/>
        <w:rPr>
          <w:rFonts w:ascii="Arial" w:hAnsi="Arial" w:cs="Arial"/>
          <w:b w:val="0"/>
          <w:caps w:val="0"/>
          <w:sz w:val="20"/>
        </w:rPr>
      </w:pPr>
      <w:r w:rsidRPr="00395A81">
        <w:rPr>
          <w:rFonts w:ascii="Arial" w:hAnsi="Arial" w:cs="Arial"/>
          <w:b w:val="0"/>
          <w:caps w:val="0"/>
          <w:sz w:val="20"/>
        </w:rPr>
        <w:t>DISCLAIMER (ARTIFICIAL INTELLIGENCE)</w:t>
      </w:r>
    </w:p>
    <w:p w14:paraId="6B52C413" w14:textId="45A62C3A" w:rsidR="00395A81" w:rsidRDefault="00395A81" w:rsidP="00395A81">
      <w:pPr>
        <w:pStyle w:val="ReferHead"/>
        <w:jc w:val="both"/>
        <w:rPr>
          <w:rFonts w:ascii="Arial" w:hAnsi="Arial" w:cs="Arial"/>
          <w:b w:val="0"/>
          <w:caps w:val="0"/>
          <w:sz w:val="20"/>
        </w:rPr>
      </w:pPr>
      <w:r w:rsidRPr="00395A81">
        <w:rPr>
          <w:rFonts w:ascii="Arial" w:hAnsi="Arial" w:cs="Arial"/>
          <w:b w:val="0"/>
          <w:caps w:val="0"/>
          <w:sz w:val="20"/>
        </w:rPr>
        <w:t>Author(s) hereby declare that NO generative AI technologies such as Large Language Models (ChatGPT, COPILOT, etc.) and text-to-image generators have been used during the writing or editing of this manuscript.</w:t>
      </w:r>
    </w:p>
    <w:p w14:paraId="46F21287" w14:textId="0AD1C6EB" w:rsidR="00145693" w:rsidRDefault="00145693" w:rsidP="00694AB5">
      <w:pPr>
        <w:pStyle w:val="ReferHead"/>
        <w:jc w:val="both"/>
        <w:rPr>
          <w:rFonts w:ascii="Arial" w:hAnsi="Arial" w:cs="Arial"/>
          <w:b w:val="0"/>
          <w:caps w:val="0"/>
          <w:sz w:val="20"/>
        </w:rPr>
      </w:pPr>
    </w:p>
    <w:p w14:paraId="6D894F7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7BB410E" w14:textId="77777777" w:rsidR="00790ADA" w:rsidRPr="00FB3A86" w:rsidRDefault="00790ADA" w:rsidP="00441B6F">
      <w:pPr>
        <w:pStyle w:val="ReferHead"/>
        <w:spacing w:after="0"/>
        <w:jc w:val="both"/>
        <w:rPr>
          <w:rFonts w:ascii="Arial" w:hAnsi="Arial" w:cs="Arial"/>
        </w:rPr>
      </w:pPr>
    </w:p>
    <w:p w14:paraId="38FA5340" w14:textId="77777777" w:rsidR="00C856F8" w:rsidRDefault="00C856F8" w:rsidP="00875398">
      <w:pPr>
        <w:pStyle w:val="Body"/>
        <w:numPr>
          <w:ilvl w:val="0"/>
          <w:numId w:val="32"/>
        </w:numPr>
      </w:pPr>
      <w:r w:rsidRPr="00C856F8">
        <w:t xml:space="preserve">Andreeva, D., Nemova, D., &amp; Kotov, E. (2022). Multi-skin adaptive ventilated facade: A review. Energies, 15(9), Article 3447. </w:t>
      </w:r>
      <w:hyperlink r:id="rId25" w:history="1">
        <w:r w:rsidRPr="0076019A">
          <w:rPr>
            <w:rStyle w:val="Hipervnculo"/>
          </w:rPr>
          <w:t>https://doi.org/10.3390/en15093447</w:t>
        </w:r>
      </w:hyperlink>
      <w:r>
        <w:t xml:space="preserve"> </w:t>
      </w:r>
    </w:p>
    <w:p w14:paraId="0D414563" w14:textId="77777777" w:rsidR="00C856F8" w:rsidRDefault="00C856F8" w:rsidP="00875398">
      <w:pPr>
        <w:pStyle w:val="Body"/>
        <w:numPr>
          <w:ilvl w:val="0"/>
          <w:numId w:val="32"/>
        </w:numPr>
      </w:pPr>
      <w:r w:rsidRPr="00C856F8">
        <w:t xml:space="preserve">Aparicio-Fernández, C., Vivancos, J.-L., Ferrer-Gisbert, P., &amp; Royo-Pastor, R. (2014). Energy performance of a ventilated façade by simulation with experimental validation. Applied Thermal Engineering, 66(1–2), 563–570. </w:t>
      </w:r>
      <w:hyperlink r:id="rId26" w:history="1">
        <w:r w:rsidRPr="0076019A">
          <w:rPr>
            <w:rStyle w:val="Hipervnculo"/>
          </w:rPr>
          <w:t>https://doi.org/10.1016/j.applthermaleng.2014.02.041</w:t>
        </w:r>
      </w:hyperlink>
      <w:r>
        <w:t xml:space="preserve"> </w:t>
      </w:r>
    </w:p>
    <w:p w14:paraId="5651CE31" w14:textId="77777777" w:rsidR="00C856F8" w:rsidRDefault="00C856F8" w:rsidP="00875398">
      <w:pPr>
        <w:pStyle w:val="Body"/>
        <w:numPr>
          <w:ilvl w:val="0"/>
          <w:numId w:val="32"/>
        </w:numPr>
      </w:pPr>
      <w:r w:rsidRPr="00C856F8">
        <w:t xml:space="preserve">Azkorra-Larrinaga, Z., Romero-Antón, N., Martín-Escudero, K., Lopez-Ruiz, G., &amp; Giraldo-Soto, C. (2023). Evaluation of the thermal performance of two passive facade system solutions for sustainable development. Sustainability, 15(24), Article 16737. </w:t>
      </w:r>
      <w:hyperlink r:id="rId27" w:history="1">
        <w:r w:rsidRPr="0076019A">
          <w:rPr>
            <w:rStyle w:val="Hipervnculo"/>
          </w:rPr>
          <w:t>https://doi.org/10.3390/su152416737</w:t>
        </w:r>
      </w:hyperlink>
      <w:r>
        <w:t xml:space="preserve"> </w:t>
      </w:r>
    </w:p>
    <w:p w14:paraId="0E02E941" w14:textId="374B6CB5" w:rsidR="00B11354" w:rsidRDefault="00B11354" w:rsidP="00B11354">
      <w:pPr>
        <w:pStyle w:val="Body"/>
        <w:numPr>
          <w:ilvl w:val="0"/>
          <w:numId w:val="32"/>
        </w:numPr>
      </w:pPr>
      <w:r>
        <w:t xml:space="preserve">Chatbi, M., &amp; Zouaoui, H. (2022). Thermal performance analysis of ventilated facades in hot climates: Case study in North Africa. Energy and Buildings, 256, Article 111728. </w:t>
      </w:r>
      <w:hyperlink r:id="rId28" w:history="1">
        <w:r w:rsidRPr="00080A6C">
          <w:rPr>
            <w:rStyle w:val="Hipervnculo"/>
          </w:rPr>
          <w:t>https://doi.org/10.1016/j.enbuild.2021.111728</w:t>
        </w:r>
      </w:hyperlink>
      <w:r>
        <w:t xml:space="preserve"> </w:t>
      </w:r>
    </w:p>
    <w:p w14:paraId="0628904B" w14:textId="77777777" w:rsidR="00C856F8" w:rsidRDefault="00C856F8" w:rsidP="00875398">
      <w:pPr>
        <w:pStyle w:val="Body"/>
        <w:numPr>
          <w:ilvl w:val="0"/>
          <w:numId w:val="32"/>
        </w:numPr>
      </w:pPr>
      <w:r w:rsidRPr="00C856F8">
        <w:t xml:space="preserve">Colinart, T., Bendouma, M., &amp; Glouannec, P. (2019). Building renovation with prefabricated ventilated façade element: A case study. Energy and Buildings, 186, 221–235. </w:t>
      </w:r>
      <w:hyperlink r:id="rId29" w:history="1">
        <w:r w:rsidRPr="0076019A">
          <w:rPr>
            <w:rStyle w:val="Hipervnculo"/>
          </w:rPr>
          <w:t>https://doi.org/10.1016/j.enbuild.2019.01.033</w:t>
        </w:r>
      </w:hyperlink>
      <w:r>
        <w:t xml:space="preserve"> </w:t>
      </w:r>
    </w:p>
    <w:p w14:paraId="2D21C53F" w14:textId="77777777" w:rsidR="00C856F8" w:rsidRDefault="00C856F8" w:rsidP="00875398">
      <w:pPr>
        <w:pStyle w:val="Body"/>
        <w:numPr>
          <w:ilvl w:val="0"/>
          <w:numId w:val="32"/>
        </w:numPr>
      </w:pPr>
      <w:r w:rsidRPr="00C856F8">
        <w:t xml:space="preserve">Cuce, P. M., &amp; Cuce, E. (2025). Ventilated facades for low-carbon buildings: A review. Processes, 13(7), Article 2275. </w:t>
      </w:r>
      <w:hyperlink r:id="rId30" w:history="1">
        <w:r w:rsidRPr="0076019A">
          <w:rPr>
            <w:rStyle w:val="Hipervnculo"/>
          </w:rPr>
          <w:t>https://doi.org/10.3390/pr13072275</w:t>
        </w:r>
      </w:hyperlink>
      <w:r>
        <w:t xml:space="preserve"> </w:t>
      </w:r>
    </w:p>
    <w:p w14:paraId="6B08848A" w14:textId="77777777" w:rsidR="00C856F8" w:rsidRDefault="00C856F8" w:rsidP="00875398">
      <w:pPr>
        <w:pStyle w:val="Body"/>
        <w:numPr>
          <w:ilvl w:val="0"/>
          <w:numId w:val="32"/>
        </w:numPr>
      </w:pPr>
      <w:r w:rsidRPr="00C856F8">
        <w:t xml:space="preserve">De Gracia, A., Castell, A., Navarro, L., Oró, E., &amp; Cabeza, L. F. (2013). Numerical modelling of ventilated facades: A review. Renewable and Sustainable Energy Reviews, 22, 539–549. </w:t>
      </w:r>
      <w:hyperlink r:id="rId31" w:history="1">
        <w:r w:rsidRPr="0076019A">
          <w:rPr>
            <w:rStyle w:val="Hipervnculo"/>
          </w:rPr>
          <w:t>https://doi.org/10.1016/j.rser.2013.02.029</w:t>
        </w:r>
      </w:hyperlink>
      <w:r>
        <w:t xml:space="preserve"> </w:t>
      </w:r>
    </w:p>
    <w:p w14:paraId="15974F59" w14:textId="77777777" w:rsidR="00C856F8" w:rsidRDefault="00C856F8" w:rsidP="00875398">
      <w:pPr>
        <w:pStyle w:val="Body"/>
        <w:numPr>
          <w:ilvl w:val="0"/>
          <w:numId w:val="32"/>
        </w:numPr>
      </w:pPr>
      <w:r w:rsidRPr="00C856F8">
        <w:t xml:space="preserve">El Dallal, I. S., Abdel-Maksoud, R. A., &amp; Faragallah, R. N. (2024). Guidelines for Façade Techniques to Optimize Energy Efficiency in Educational Buildings. Port-Said Engineering Research Journal. </w:t>
      </w:r>
      <w:hyperlink r:id="rId32" w:history="1">
        <w:r w:rsidRPr="0076019A">
          <w:rPr>
            <w:rStyle w:val="Hipervnculo"/>
          </w:rPr>
          <w:t>https://doi.org/10.21608/pserj.2024.282378.1333</w:t>
        </w:r>
      </w:hyperlink>
      <w:r>
        <w:t xml:space="preserve"> </w:t>
      </w:r>
    </w:p>
    <w:p w14:paraId="28589557" w14:textId="21FD7B61" w:rsidR="00AE518F" w:rsidRDefault="00AE518F" w:rsidP="00AE518F">
      <w:pPr>
        <w:pStyle w:val="Body"/>
        <w:numPr>
          <w:ilvl w:val="0"/>
          <w:numId w:val="32"/>
        </w:numPr>
      </w:pPr>
      <w:r>
        <w:t xml:space="preserve">Eyvazi, A., Ameri, M., Shafiey Dehaj, M., &amp; Ghaebi, H. (2025). Energy, exergy, and economic analysis and optimization of a novel geothermal energy-based multigeneration system for liquid hydrogen, hot water, cooling, and power production. Process Integration and Optimization for Sustainability. Advance online publication. </w:t>
      </w:r>
      <w:hyperlink r:id="rId33" w:history="1">
        <w:r w:rsidRPr="00080A6C">
          <w:rPr>
            <w:rStyle w:val="Hipervnculo"/>
          </w:rPr>
          <w:t>https://doi.org/10.1007/s41660-025-00565-0</w:t>
        </w:r>
      </w:hyperlink>
      <w:r>
        <w:t xml:space="preserve">  </w:t>
      </w:r>
    </w:p>
    <w:p w14:paraId="6965E68C" w14:textId="7B921E02" w:rsidR="00AE518F" w:rsidRDefault="00AE518F" w:rsidP="00AE518F">
      <w:pPr>
        <w:pStyle w:val="Body"/>
        <w:numPr>
          <w:ilvl w:val="0"/>
          <w:numId w:val="32"/>
        </w:numPr>
      </w:pPr>
      <w:r>
        <w:t xml:space="preserve">Eyvazi, A. (2025). Energy, exergy, and economic analysis and optimization of novel multi-generation system with combination of heat recovery exchanger and absorption transformer. Renewable Energy and Renewable Agriculture, 6(2), 293–313. </w:t>
      </w:r>
      <w:hyperlink r:id="rId34" w:history="1">
        <w:r w:rsidRPr="00080A6C">
          <w:rPr>
            <w:rStyle w:val="Hipervnculo"/>
          </w:rPr>
          <w:t>https://doi.org/10.22044/rera.2025.14929.1339</w:t>
        </w:r>
      </w:hyperlink>
      <w:r>
        <w:t xml:space="preserve"> </w:t>
      </w:r>
    </w:p>
    <w:p w14:paraId="7B0EADDF" w14:textId="7F8CD072" w:rsidR="00AE518F" w:rsidRDefault="00AE518F" w:rsidP="00AE518F">
      <w:pPr>
        <w:pStyle w:val="Body"/>
        <w:numPr>
          <w:ilvl w:val="0"/>
          <w:numId w:val="32"/>
        </w:numPr>
      </w:pPr>
      <w:r>
        <w:t xml:space="preserve">Eyvazi, A., Ameri, M., Shafiey Dehaj, M., &amp; Ghaebi, H. (2025). Thermodynamic and economic analysis of a novel geothermal energy-based multigeneration system for power, cooling, heating and liquid hydrogen production. Heat Transfer. </w:t>
      </w:r>
      <w:r w:rsidR="0066593F">
        <w:t xml:space="preserve">Wiley </w:t>
      </w:r>
      <w:r w:rsidR="00157388">
        <w:t>Online Library</w:t>
      </w:r>
      <w:r>
        <w:t xml:space="preserve">. </w:t>
      </w:r>
      <w:hyperlink r:id="rId35" w:history="1">
        <w:r w:rsidRPr="00080A6C">
          <w:rPr>
            <w:rStyle w:val="Hipervnculo"/>
          </w:rPr>
          <w:t>https://doi.org/10.1002/htj.70124</w:t>
        </w:r>
      </w:hyperlink>
      <w:r>
        <w:t xml:space="preserve"> </w:t>
      </w:r>
    </w:p>
    <w:p w14:paraId="34122A6D" w14:textId="77777777" w:rsidR="00C856F8" w:rsidRDefault="00C856F8" w:rsidP="00875398">
      <w:pPr>
        <w:pStyle w:val="Body"/>
        <w:numPr>
          <w:ilvl w:val="0"/>
          <w:numId w:val="32"/>
        </w:numPr>
      </w:pPr>
      <w:r w:rsidRPr="00C856F8">
        <w:lastRenderedPageBreak/>
        <w:t xml:space="preserve">Fathi, S., &amp; Fakhraeimanesh, S. (2025). Smart materials in building façades: A systematic review of applications and impacts on energy efficiency. Energy Reports, 14, 2123–2140. </w:t>
      </w:r>
      <w:hyperlink r:id="rId36" w:history="1">
        <w:r w:rsidRPr="0076019A">
          <w:rPr>
            <w:rStyle w:val="Hipervnculo"/>
          </w:rPr>
          <w:t>https://doi.org/10.1016/j.egyr.2025.08.042</w:t>
        </w:r>
      </w:hyperlink>
      <w:r>
        <w:t xml:space="preserve"> </w:t>
      </w:r>
    </w:p>
    <w:p w14:paraId="60489476" w14:textId="77777777" w:rsidR="00C856F8" w:rsidRDefault="00C856F8" w:rsidP="00875398">
      <w:pPr>
        <w:pStyle w:val="Body"/>
        <w:numPr>
          <w:ilvl w:val="0"/>
          <w:numId w:val="32"/>
        </w:numPr>
      </w:pPr>
      <w:r w:rsidRPr="00C856F8">
        <w:t xml:space="preserve">Gelesz, A., &amp; Reith, A. (2015). Climate-based performance evaluation of double skin facades by building energy modelling in Central Europe. Energy Procedia, 78, 555–560. </w:t>
      </w:r>
      <w:hyperlink r:id="rId37" w:history="1">
        <w:r w:rsidRPr="0076019A">
          <w:rPr>
            <w:rStyle w:val="Hipervnculo"/>
          </w:rPr>
          <w:t>https://doi.org/10.1016/j.egypro.2015.11.735</w:t>
        </w:r>
      </w:hyperlink>
      <w:r>
        <w:t xml:space="preserve"> </w:t>
      </w:r>
    </w:p>
    <w:p w14:paraId="1FF50243" w14:textId="251E61E1" w:rsidR="00B11354" w:rsidRDefault="00B11354" w:rsidP="00B11354">
      <w:pPr>
        <w:pStyle w:val="Body"/>
        <w:numPr>
          <w:ilvl w:val="0"/>
          <w:numId w:val="32"/>
        </w:numPr>
      </w:pPr>
      <w:r>
        <w:t xml:space="preserve">Harrat, R., &amp; Rabie, H. (2021). Numerical investigation of double-skin facades for energy efficiency in arid regions. Renewable Energy, 178, 45–56. </w:t>
      </w:r>
      <w:hyperlink r:id="rId38" w:history="1">
        <w:r w:rsidRPr="00080A6C">
          <w:rPr>
            <w:rStyle w:val="Hipervnculo"/>
          </w:rPr>
          <w:t>https://doi.org/10.1016/j.renene.2021.06.012</w:t>
        </w:r>
      </w:hyperlink>
      <w:r>
        <w:t xml:space="preserve"> </w:t>
      </w:r>
    </w:p>
    <w:p w14:paraId="55D6EE7E" w14:textId="77777777" w:rsidR="00C856F8" w:rsidRDefault="00C856F8" w:rsidP="00875398">
      <w:pPr>
        <w:pStyle w:val="Body"/>
        <w:numPr>
          <w:ilvl w:val="0"/>
          <w:numId w:val="32"/>
        </w:numPr>
      </w:pPr>
      <w:r w:rsidRPr="00C856F8">
        <w:t xml:space="preserve">Ibañez-Puy, M., Vidaurre-Arbizu, M., Sacristán-Fernández, J. A., &amp; Martín-Gómez, C. (2017). Opaque ventilated façades: Thermal and energy performance review. Renewable and Sustainable Energy Reviews, 79, 180–191. </w:t>
      </w:r>
      <w:hyperlink r:id="rId39" w:history="1">
        <w:r w:rsidRPr="0076019A">
          <w:rPr>
            <w:rStyle w:val="Hipervnculo"/>
          </w:rPr>
          <w:t>https://doi.org/10.1016/j.rser.2017.05.059</w:t>
        </w:r>
      </w:hyperlink>
      <w:r>
        <w:t xml:space="preserve"> </w:t>
      </w:r>
    </w:p>
    <w:p w14:paraId="0E7E0A4B" w14:textId="77777777" w:rsidR="00C856F8" w:rsidRDefault="00C856F8" w:rsidP="00875398">
      <w:pPr>
        <w:pStyle w:val="Body"/>
        <w:numPr>
          <w:ilvl w:val="0"/>
          <w:numId w:val="32"/>
        </w:numPr>
      </w:pPr>
      <w:r w:rsidRPr="00C856F8">
        <w:t xml:space="preserve">Luciani-Mejía, S., Velasco-Gómez, R., &amp; Hudson, R. (2018). Ecoenvolventes: análisis del uso de fachadas ventiladas en clima cálido-húmedo. Revista de Arquitectura (Bogotá), 20(2), 62–77. </w:t>
      </w:r>
      <w:hyperlink r:id="rId40" w:history="1">
        <w:r w:rsidRPr="0076019A">
          <w:rPr>
            <w:rStyle w:val="Hipervnculo"/>
          </w:rPr>
          <w:t>https://doi.org/10.14718/RevArq.2018.20.2.1726</w:t>
        </w:r>
      </w:hyperlink>
      <w:r>
        <w:t xml:space="preserve"> </w:t>
      </w:r>
    </w:p>
    <w:p w14:paraId="1CF02018" w14:textId="77777777" w:rsidR="00875398" w:rsidRDefault="00C856F8" w:rsidP="00875398">
      <w:pPr>
        <w:pStyle w:val="Body"/>
        <w:numPr>
          <w:ilvl w:val="0"/>
          <w:numId w:val="32"/>
        </w:numPr>
      </w:pPr>
      <w:r w:rsidRPr="00C856F8">
        <w:t xml:space="preserve">Piasecki, M., Fedorczak-Cisak, M., Furtak, M., &amp; Biskupski, J. (2019). Experimental confirmation of the reliability of Fanger’s thermal comfort model—Case study of a near-zero energy building (NZEB) office building. Sustainability, 11(9), 2461. </w:t>
      </w:r>
      <w:hyperlink r:id="rId41" w:history="1">
        <w:r w:rsidRPr="0076019A">
          <w:rPr>
            <w:rStyle w:val="Hipervnculo"/>
          </w:rPr>
          <w:t>https://doi.org/10.3390/su11092461</w:t>
        </w:r>
      </w:hyperlink>
      <w:r>
        <w:t xml:space="preserve"> </w:t>
      </w:r>
    </w:p>
    <w:p w14:paraId="0354CAAF" w14:textId="6C83F237" w:rsidR="00C856F8" w:rsidRDefault="00C856F8" w:rsidP="00875398">
      <w:pPr>
        <w:pStyle w:val="Body"/>
        <w:numPr>
          <w:ilvl w:val="0"/>
          <w:numId w:val="32"/>
        </w:numPr>
      </w:pPr>
      <w:r w:rsidRPr="00C856F8">
        <w:t xml:space="preserve">Pizzatto, S. M. d. S., Pizzatto, F., Raupp-Pereira, F., Arcaro, S., Angioletto, E., &amp; Montedo, O. R. K. (2025). Ventilated facade system: A review. Boletín de la Sociedad Española de Cerámica y Vidrio, 64, Article 100443. </w:t>
      </w:r>
      <w:hyperlink r:id="rId42" w:history="1">
        <w:r w:rsidRPr="0076019A">
          <w:rPr>
            <w:rStyle w:val="Hipervnculo"/>
          </w:rPr>
          <w:t>https://doi.org/10.1016/j.bsecv.2025.100443</w:t>
        </w:r>
      </w:hyperlink>
      <w:r>
        <w:t xml:space="preserve"> </w:t>
      </w:r>
    </w:p>
    <w:p w14:paraId="59D67345" w14:textId="19A0B8A1" w:rsidR="00B01FCD" w:rsidRDefault="00C856F8" w:rsidP="00875398">
      <w:pPr>
        <w:pStyle w:val="Appendix"/>
        <w:numPr>
          <w:ilvl w:val="0"/>
          <w:numId w:val="32"/>
        </w:numPr>
        <w:spacing w:after="0"/>
        <w:jc w:val="both"/>
        <w:rPr>
          <w:b w:val="0"/>
          <w:caps w:val="0"/>
          <w:sz w:val="20"/>
        </w:rPr>
      </w:pPr>
      <w:r w:rsidRPr="00C856F8">
        <w:rPr>
          <w:b w:val="0"/>
          <w:caps w:val="0"/>
          <w:sz w:val="20"/>
        </w:rPr>
        <w:t xml:space="preserve">Schabowicz, K., &amp; Zawiślak, Ł. (2020). Numerical comparison of thermal behaviour between ventilated facades. Studia Geotechnica et Mechanica, 42(4), 297–305. </w:t>
      </w:r>
      <w:hyperlink r:id="rId43" w:history="1">
        <w:r w:rsidRPr="0076019A">
          <w:rPr>
            <w:rStyle w:val="Hipervnculo"/>
            <w:b w:val="0"/>
            <w:caps w:val="0"/>
            <w:sz w:val="20"/>
          </w:rPr>
          <w:t>https://doi.org/10.2478/sgem-2019-0044</w:t>
        </w:r>
      </w:hyperlink>
      <w:r>
        <w:rPr>
          <w:b w:val="0"/>
          <w:caps w:val="0"/>
          <w:sz w:val="20"/>
        </w:rPr>
        <w:t xml:space="preserve"> </w:t>
      </w:r>
    </w:p>
    <w:p w14:paraId="45D7A9B7" w14:textId="77777777" w:rsidR="00C856F8" w:rsidRPr="00FB3A86" w:rsidRDefault="00C856F8" w:rsidP="00441B6F">
      <w:pPr>
        <w:pStyle w:val="Appendix"/>
        <w:spacing w:after="0"/>
        <w:jc w:val="both"/>
        <w:rPr>
          <w:rFonts w:ascii="Arial" w:hAnsi="Arial" w:cs="Arial"/>
          <w:b w:val="0"/>
        </w:rPr>
      </w:pPr>
    </w:p>
    <w:sectPr w:rsidR="00C856F8" w:rsidRPr="00FB3A86" w:rsidSect="00C633B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0CAD0" w14:textId="77777777" w:rsidR="0089658F" w:rsidRDefault="0089658F" w:rsidP="00C37E61">
      <w:r>
        <w:separator/>
      </w:r>
    </w:p>
  </w:endnote>
  <w:endnote w:type="continuationSeparator" w:id="0">
    <w:p w14:paraId="1CAF34D4" w14:textId="77777777" w:rsidR="0089658F" w:rsidRDefault="0089658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E3F3" w14:textId="77777777" w:rsidR="00C633BB" w:rsidRDefault="00C633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85FC" w14:textId="77777777" w:rsidR="00C633BB" w:rsidRDefault="00C633B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D440" w14:textId="77777777" w:rsidR="009E048A" w:rsidRDefault="009E048A">
    <w:pPr>
      <w:pStyle w:val="Piedepgina"/>
      <w:rPr>
        <w:rFonts w:ascii="Arial" w:hAnsi="Arial" w:cs="Arial"/>
        <w:sz w:val="16"/>
      </w:rPr>
    </w:pPr>
  </w:p>
  <w:p w14:paraId="44E961C2" w14:textId="77777777" w:rsidR="009E048A" w:rsidRDefault="009E048A" w:rsidP="009E048A">
    <w:pPr>
      <w:pStyle w:val="Piedepgina"/>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8582665" w14:textId="77777777" w:rsidR="009E048A" w:rsidRDefault="009E048A">
    <w:pPr>
      <w:pStyle w:val="Piedepgina"/>
      <w:rPr>
        <w:rFonts w:ascii="Arial" w:hAnsi="Arial" w:cs="Arial"/>
        <w:sz w:val="16"/>
      </w:rPr>
    </w:pPr>
  </w:p>
  <w:p w14:paraId="78C5BF23" w14:textId="77777777" w:rsidR="00754C9A" w:rsidRPr="009E048A" w:rsidRDefault="00754C9A">
    <w:pPr>
      <w:pStyle w:val="Piedepgina"/>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C60D" w14:textId="77777777" w:rsidR="00C37E61" w:rsidRPr="00C37E61" w:rsidRDefault="00C37E61" w:rsidP="00C37E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E16EF" w14:textId="77777777" w:rsidR="0089658F" w:rsidRDefault="0089658F" w:rsidP="00C37E61">
      <w:r>
        <w:separator/>
      </w:r>
    </w:p>
  </w:footnote>
  <w:footnote w:type="continuationSeparator" w:id="0">
    <w:p w14:paraId="13CA1C8B" w14:textId="77777777" w:rsidR="0089658F" w:rsidRDefault="0089658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177E" w14:textId="09FA2D53" w:rsidR="00C633BB" w:rsidRDefault="00585141">
    <w:pPr>
      <w:pStyle w:val="Encabezado"/>
    </w:pPr>
    <w:r>
      <w:rPr>
        <w:noProof/>
      </w:rPr>
      <w:pict w14:anchorId="4072A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07797"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3465" w14:textId="078E2F76" w:rsidR="00C633BB" w:rsidRDefault="00585141">
    <w:pPr>
      <w:pStyle w:val="Encabezado"/>
    </w:pPr>
    <w:r>
      <w:rPr>
        <w:noProof/>
      </w:rPr>
      <w:pict w14:anchorId="08037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07798"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8126" w14:textId="49D044E1" w:rsidR="00296529" w:rsidRPr="00296529" w:rsidRDefault="00585141" w:rsidP="00296529">
    <w:pPr>
      <w:ind w:left="2160"/>
      <w:jc w:val="center"/>
      <w:rPr>
        <w:rFonts w:ascii="Times New Roman" w:eastAsia="Calibri" w:hAnsi="Times New Roman"/>
        <w:i/>
        <w:sz w:val="18"/>
        <w:szCs w:val="22"/>
      </w:rPr>
    </w:pPr>
    <w:r>
      <w:rPr>
        <w:noProof/>
      </w:rPr>
      <w:pict w14:anchorId="4CFE1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07796"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5C5323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925718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8051C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CF33E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07570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A251CE" w14:textId="77777777" w:rsidR="00296529" w:rsidRDefault="00754C9A">
    <w:pPr>
      <w:pStyle w:val="Encabezad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5B0B" w14:textId="77F4C977" w:rsidR="00C633BB" w:rsidRDefault="00585141">
    <w:pPr>
      <w:pStyle w:val="Encabezado"/>
    </w:pPr>
    <w:r>
      <w:rPr>
        <w:noProof/>
      </w:rPr>
      <w:pict w14:anchorId="4D8EB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07800"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AD2E" w14:textId="25F5E0D4" w:rsidR="00C633BB" w:rsidRDefault="00585141">
    <w:pPr>
      <w:pStyle w:val="Encabezado"/>
    </w:pPr>
    <w:r>
      <w:rPr>
        <w:noProof/>
      </w:rPr>
      <w:pict w14:anchorId="1C05C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07801"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4ECB" w14:textId="526E8C1C" w:rsidR="00C633BB" w:rsidRDefault="00585141">
    <w:pPr>
      <w:pStyle w:val="Encabezado"/>
    </w:pPr>
    <w:r>
      <w:rPr>
        <w:noProof/>
      </w:rPr>
      <w:pict w14:anchorId="2F57B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07799"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ED61AA"/>
    <w:multiLevelType w:val="hybridMultilevel"/>
    <w:tmpl w:val="2884C7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AC58AC"/>
    <w:multiLevelType w:val="hybridMultilevel"/>
    <w:tmpl w:val="29ECB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601397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90844053">
    <w:abstractNumId w:val="17"/>
  </w:num>
  <w:num w:numId="3" w16cid:durableId="188181848">
    <w:abstractNumId w:val="25"/>
  </w:num>
  <w:num w:numId="4" w16cid:durableId="43649134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41098057">
    <w:abstractNumId w:val="8"/>
  </w:num>
  <w:num w:numId="6" w16cid:durableId="2129007150">
    <w:abstractNumId w:val="7"/>
  </w:num>
  <w:num w:numId="7" w16cid:durableId="1970669924">
    <w:abstractNumId w:val="1"/>
  </w:num>
  <w:num w:numId="8" w16cid:durableId="1052576970">
    <w:abstractNumId w:val="14"/>
  </w:num>
  <w:num w:numId="9" w16cid:durableId="1802117341">
    <w:abstractNumId w:val="27"/>
  </w:num>
  <w:num w:numId="10" w16cid:durableId="1450197856">
    <w:abstractNumId w:val="2"/>
  </w:num>
  <w:num w:numId="11" w16cid:durableId="1001156741">
    <w:abstractNumId w:val="20"/>
  </w:num>
  <w:num w:numId="12" w16cid:durableId="1800106073">
    <w:abstractNumId w:val="3"/>
  </w:num>
  <w:num w:numId="13" w16cid:durableId="1344210012">
    <w:abstractNumId w:val="19"/>
  </w:num>
  <w:num w:numId="14" w16cid:durableId="1093207571">
    <w:abstractNumId w:val="9"/>
  </w:num>
  <w:num w:numId="15" w16cid:durableId="462774501">
    <w:abstractNumId w:val="23"/>
  </w:num>
  <w:num w:numId="16" w16cid:durableId="526522365">
    <w:abstractNumId w:val="5"/>
  </w:num>
  <w:num w:numId="17" w16cid:durableId="889264728">
    <w:abstractNumId w:val="24"/>
  </w:num>
  <w:num w:numId="18" w16cid:durableId="844707792">
    <w:abstractNumId w:val="16"/>
  </w:num>
  <w:num w:numId="19" w16cid:durableId="300232696">
    <w:abstractNumId w:val="30"/>
  </w:num>
  <w:num w:numId="20" w16cid:durableId="1464613488">
    <w:abstractNumId w:val="13"/>
  </w:num>
  <w:num w:numId="21" w16cid:durableId="1684162207">
    <w:abstractNumId w:val="10"/>
  </w:num>
  <w:num w:numId="22" w16cid:durableId="1142891747">
    <w:abstractNumId w:val="15"/>
  </w:num>
  <w:num w:numId="23" w16cid:durableId="1013268909">
    <w:abstractNumId w:val="21"/>
  </w:num>
  <w:num w:numId="24" w16cid:durableId="1096483869">
    <w:abstractNumId w:val="28"/>
  </w:num>
  <w:num w:numId="25" w16cid:durableId="668022309">
    <w:abstractNumId w:val="4"/>
  </w:num>
  <w:num w:numId="26" w16cid:durableId="1490291297">
    <w:abstractNumId w:val="18"/>
  </w:num>
  <w:num w:numId="27" w16cid:durableId="243607153">
    <w:abstractNumId w:val="22"/>
  </w:num>
  <w:num w:numId="28" w16cid:durableId="593127657">
    <w:abstractNumId w:val="29"/>
  </w:num>
  <w:num w:numId="29" w16cid:durableId="1131437438">
    <w:abstractNumId w:val="26"/>
  </w:num>
  <w:num w:numId="30" w16cid:durableId="245529906">
    <w:abstractNumId w:val="12"/>
  </w:num>
  <w:num w:numId="31" w16cid:durableId="1668167405">
    <w:abstractNumId w:val="11"/>
  </w:num>
  <w:num w:numId="32" w16cid:durableId="697438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123B"/>
    <w:rsid w:val="0004579C"/>
    <w:rsid w:val="0007110C"/>
    <w:rsid w:val="00077E3A"/>
    <w:rsid w:val="00080F6C"/>
    <w:rsid w:val="000846C9"/>
    <w:rsid w:val="000A47FA"/>
    <w:rsid w:val="000A5E0A"/>
    <w:rsid w:val="000A65D3"/>
    <w:rsid w:val="000B1E33"/>
    <w:rsid w:val="000D689F"/>
    <w:rsid w:val="000E7B7B"/>
    <w:rsid w:val="000E7D62"/>
    <w:rsid w:val="000F7858"/>
    <w:rsid w:val="00103357"/>
    <w:rsid w:val="00120AF5"/>
    <w:rsid w:val="00123C9F"/>
    <w:rsid w:val="00126190"/>
    <w:rsid w:val="00130F17"/>
    <w:rsid w:val="001320BF"/>
    <w:rsid w:val="00145693"/>
    <w:rsid w:val="00157388"/>
    <w:rsid w:val="001638A5"/>
    <w:rsid w:val="00163BC4"/>
    <w:rsid w:val="00165778"/>
    <w:rsid w:val="00175B78"/>
    <w:rsid w:val="001812CE"/>
    <w:rsid w:val="00191062"/>
    <w:rsid w:val="00192B72"/>
    <w:rsid w:val="00195B76"/>
    <w:rsid w:val="001A29D8"/>
    <w:rsid w:val="001A4DB4"/>
    <w:rsid w:val="001A5CAA"/>
    <w:rsid w:val="001B0427"/>
    <w:rsid w:val="001B2725"/>
    <w:rsid w:val="001C1E5F"/>
    <w:rsid w:val="001C30FB"/>
    <w:rsid w:val="001D3A51"/>
    <w:rsid w:val="001D7865"/>
    <w:rsid w:val="001E0706"/>
    <w:rsid w:val="001E10D2"/>
    <w:rsid w:val="001E25B4"/>
    <w:rsid w:val="001E3030"/>
    <w:rsid w:val="001E44FE"/>
    <w:rsid w:val="001F4176"/>
    <w:rsid w:val="001F5E68"/>
    <w:rsid w:val="00200595"/>
    <w:rsid w:val="00204835"/>
    <w:rsid w:val="002247DA"/>
    <w:rsid w:val="00231920"/>
    <w:rsid w:val="0023195C"/>
    <w:rsid w:val="0024282C"/>
    <w:rsid w:val="002460DC"/>
    <w:rsid w:val="00250985"/>
    <w:rsid w:val="00253FEB"/>
    <w:rsid w:val="002556F6"/>
    <w:rsid w:val="00272F36"/>
    <w:rsid w:val="002779B9"/>
    <w:rsid w:val="00283105"/>
    <w:rsid w:val="00284C4C"/>
    <w:rsid w:val="00287E68"/>
    <w:rsid w:val="00290F44"/>
    <w:rsid w:val="00296529"/>
    <w:rsid w:val="002A0270"/>
    <w:rsid w:val="002B27FB"/>
    <w:rsid w:val="002B685A"/>
    <w:rsid w:val="002C57D2"/>
    <w:rsid w:val="002D411F"/>
    <w:rsid w:val="002E0D56"/>
    <w:rsid w:val="002F2C8A"/>
    <w:rsid w:val="00301E5A"/>
    <w:rsid w:val="0030438A"/>
    <w:rsid w:val="00313478"/>
    <w:rsid w:val="00315186"/>
    <w:rsid w:val="003204F7"/>
    <w:rsid w:val="00321B2A"/>
    <w:rsid w:val="003275DA"/>
    <w:rsid w:val="003312EA"/>
    <w:rsid w:val="0033343E"/>
    <w:rsid w:val="00344E1E"/>
    <w:rsid w:val="003512C2"/>
    <w:rsid w:val="00365D43"/>
    <w:rsid w:val="00371FB6"/>
    <w:rsid w:val="003763C1"/>
    <w:rsid w:val="00376BBE"/>
    <w:rsid w:val="0039224F"/>
    <w:rsid w:val="00395A81"/>
    <w:rsid w:val="003A43A4"/>
    <w:rsid w:val="003A7E18"/>
    <w:rsid w:val="003B55DA"/>
    <w:rsid w:val="003C43FD"/>
    <w:rsid w:val="003C4C86"/>
    <w:rsid w:val="003C6258"/>
    <w:rsid w:val="003D128C"/>
    <w:rsid w:val="003E1D64"/>
    <w:rsid w:val="003E2904"/>
    <w:rsid w:val="003E4FD7"/>
    <w:rsid w:val="00401927"/>
    <w:rsid w:val="00401B3A"/>
    <w:rsid w:val="0041027F"/>
    <w:rsid w:val="00410845"/>
    <w:rsid w:val="00411F25"/>
    <w:rsid w:val="00412475"/>
    <w:rsid w:val="00423789"/>
    <w:rsid w:val="00440F43"/>
    <w:rsid w:val="00441B6F"/>
    <w:rsid w:val="004434C6"/>
    <w:rsid w:val="00445E04"/>
    <w:rsid w:val="00446221"/>
    <w:rsid w:val="00450E62"/>
    <w:rsid w:val="004539DB"/>
    <w:rsid w:val="00471A80"/>
    <w:rsid w:val="004A5DD1"/>
    <w:rsid w:val="004B0D4D"/>
    <w:rsid w:val="004D04CE"/>
    <w:rsid w:val="004D305E"/>
    <w:rsid w:val="004D4277"/>
    <w:rsid w:val="004E0C7F"/>
    <w:rsid w:val="004E3861"/>
    <w:rsid w:val="004F365D"/>
    <w:rsid w:val="00502516"/>
    <w:rsid w:val="00505F06"/>
    <w:rsid w:val="00506828"/>
    <w:rsid w:val="00511F47"/>
    <w:rsid w:val="0053056E"/>
    <w:rsid w:val="00546DD0"/>
    <w:rsid w:val="00554879"/>
    <w:rsid w:val="00554FDA"/>
    <w:rsid w:val="0055519B"/>
    <w:rsid w:val="005665A2"/>
    <w:rsid w:val="00585141"/>
    <w:rsid w:val="005907FC"/>
    <w:rsid w:val="005927EC"/>
    <w:rsid w:val="00592BF6"/>
    <w:rsid w:val="00592D15"/>
    <w:rsid w:val="005C784C"/>
    <w:rsid w:val="005D17F6"/>
    <w:rsid w:val="005E5539"/>
    <w:rsid w:val="00602BF5"/>
    <w:rsid w:val="00617FDD"/>
    <w:rsid w:val="00633614"/>
    <w:rsid w:val="00633F68"/>
    <w:rsid w:val="00636EB2"/>
    <w:rsid w:val="006375B8"/>
    <w:rsid w:val="00651E72"/>
    <w:rsid w:val="006521E6"/>
    <w:rsid w:val="0066510A"/>
    <w:rsid w:val="0066593F"/>
    <w:rsid w:val="00673F9F"/>
    <w:rsid w:val="0068351E"/>
    <w:rsid w:val="00686953"/>
    <w:rsid w:val="006872B3"/>
    <w:rsid w:val="00687DEA"/>
    <w:rsid w:val="00687E67"/>
    <w:rsid w:val="00693A73"/>
    <w:rsid w:val="00694AB5"/>
    <w:rsid w:val="006967F7"/>
    <w:rsid w:val="006A250C"/>
    <w:rsid w:val="006A687F"/>
    <w:rsid w:val="006B21D3"/>
    <w:rsid w:val="006B57D0"/>
    <w:rsid w:val="006B7B54"/>
    <w:rsid w:val="006C44E7"/>
    <w:rsid w:val="006D30FF"/>
    <w:rsid w:val="006D6940"/>
    <w:rsid w:val="006E7749"/>
    <w:rsid w:val="006F11EC"/>
    <w:rsid w:val="006F1C40"/>
    <w:rsid w:val="0070082C"/>
    <w:rsid w:val="007227E5"/>
    <w:rsid w:val="007369E6"/>
    <w:rsid w:val="00746E59"/>
    <w:rsid w:val="00754C9A"/>
    <w:rsid w:val="0075599A"/>
    <w:rsid w:val="00761D52"/>
    <w:rsid w:val="0077749E"/>
    <w:rsid w:val="00790ADA"/>
    <w:rsid w:val="007A34AE"/>
    <w:rsid w:val="007A4F5D"/>
    <w:rsid w:val="007A5B91"/>
    <w:rsid w:val="007B6A65"/>
    <w:rsid w:val="007C19C0"/>
    <w:rsid w:val="007D2288"/>
    <w:rsid w:val="007E088F"/>
    <w:rsid w:val="007F7B32"/>
    <w:rsid w:val="00804BC2"/>
    <w:rsid w:val="00805741"/>
    <w:rsid w:val="00805CE5"/>
    <w:rsid w:val="0081322C"/>
    <w:rsid w:val="0081431A"/>
    <w:rsid w:val="00814539"/>
    <w:rsid w:val="008153E9"/>
    <w:rsid w:val="0081712F"/>
    <w:rsid w:val="0083216F"/>
    <w:rsid w:val="00837557"/>
    <w:rsid w:val="00844252"/>
    <w:rsid w:val="00847790"/>
    <w:rsid w:val="00847DAC"/>
    <w:rsid w:val="00860000"/>
    <w:rsid w:val="00863BD3"/>
    <w:rsid w:val="008641ED"/>
    <w:rsid w:val="0086625D"/>
    <w:rsid w:val="00866D66"/>
    <w:rsid w:val="008671C6"/>
    <w:rsid w:val="00867DA5"/>
    <w:rsid w:val="008738B9"/>
    <w:rsid w:val="00875398"/>
    <w:rsid w:val="00875803"/>
    <w:rsid w:val="0089658F"/>
    <w:rsid w:val="008A3BDC"/>
    <w:rsid w:val="008B26F5"/>
    <w:rsid w:val="008B459E"/>
    <w:rsid w:val="008C6679"/>
    <w:rsid w:val="008E13AE"/>
    <w:rsid w:val="008E1506"/>
    <w:rsid w:val="008E7080"/>
    <w:rsid w:val="008E710C"/>
    <w:rsid w:val="008F51DB"/>
    <w:rsid w:val="008F69D6"/>
    <w:rsid w:val="00902823"/>
    <w:rsid w:val="00915CA6"/>
    <w:rsid w:val="009205AB"/>
    <w:rsid w:val="00927834"/>
    <w:rsid w:val="0094675D"/>
    <w:rsid w:val="009500A6"/>
    <w:rsid w:val="00957C18"/>
    <w:rsid w:val="0096090A"/>
    <w:rsid w:val="009659BA"/>
    <w:rsid w:val="00966128"/>
    <w:rsid w:val="009745AC"/>
    <w:rsid w:val="00983040"/>
    <w:rsid w:val="009911A9"/>
    <w:rsid w:val="009A60A2"/>
    <w:rsid w:val="009A670B"/>
    <w:rsid w:val="009A78FC"/>
    <w:rsid w:val="009B3FB9"/>
    <w:rsid w:val="009C2465"/>
    <w:rsid w:val="009C5117"/>
    <w:rsid w:val="009D35A0"/>
    <w:rsid w:val="009D7EB7"/>
    <w:rsid w:val="009E048A"/>
    <w:rsid w:val="009E08E9"/>
    <w:rsid w:val="009E3DB9"/>
    <w:rsid w:val="009E6E35"/>
    <w:rsid w:val="009F0EDA"/>
    <w:rsid w:val="009F1F77"/>
    <w:rsid w:val="00A03B96"/>
    <w:rsid w:val="00A05B19"/>
    <w:rsid w:val="00A0687F"/>
    <w:rsid w:val="00A1134E"/>
    <w:rsid w:val="00A24E7E"/>
    <w:rsid w:val="00A258C3"/>
    <w:rsid w:val="00A30B59"/>
    <w:rsid w:val="00A347C0"/>
    <w:rsid w:val="00A40551"/>
    <w:rsid w:val="00A432FA"/>
    <w:rsid w:val="00A46D7F"/>
    <w:rsid w:val="00A4762D"/>
    <w:rsid w:val="00A51431"/>
    <w:rsid w:val="00A5334D"/>
    <w:rsid w:val="00A539AD"/>
    <w:rsid w:val="00A607F1"/>
    <w:rsid w:val="00A61C6A"/>
    <w:rsid w:val="00A76ED4"/>
    <w:rsid w:val="00A874EA"/>
    <w:rsid w:val="00A94063"/>
    <w:rsid w:val="00AA6219"/>
    <w:rsid w:val="00AA74E0"/>
    <w:rsid w:val="00AB4ADE"/>
    <w:rsid w:val="00AB703F"/>
    <w:rsid w:val="00AC0B37"/>
    <w:rsid w:val="00AC6BB8"/>
    <w:rsid w:val="00AE008F"/>
    <w:rsid w:val="00AE518F"/>
    <w:rsid w:val="00B01FCD"/>
    <w:rsid w:val="00B055A7"/>
    <w:rsid w:val="00B11354"/>
    <w:rsid w:val="00B1776C"/>
    <w:rsid w:val="00B301A1"/>
    <w:rsid w:val="00B31C19"/>
    <w:rsid w:val="00B52583"/>
    <w:rsid w:val="00B52896"/>
    <w:rsid w:val="00B67183"/>
    <w:rsid w:val="00B7663E"/>
    <w:rsid w:val="00B82C0E"/>
    <w:rsid w:val="00B95236"/>
    <w:rsid w:val="00B96BD9"/>
    <w:rsid w:val="00BA00E0"/>
    <w:rsid w:val="00BA1B01"/>
    <w:rsid w:val="00BA2641"/>
    <w:rsid w:val="00BB37AA"/>
    <w:rsid w:val="00BC53A0"/>
    <w:rsid w:val="00BE62AD"/>
    <w:rsid w:val="00BF121F"/>
    <w:rsid w:val="00BF1F80"/>
    <w:rsid w:val="00BF2B3D"/>
    <w:rsid w:val="00BF6B6A"/>
    <w:rsid w:val="00C166EF"/>
    <w:rsid w:val="00C17EB0"/>
    <w:rsid w:val="00C27F5F"/>
    <w:rsid w:val="00C30A0F"/>
    <w:rsid w:val="00C37E61"/>
    <w:rsid w:val="00C633BB"/>
    <w:rsid w:val="00C70F1B"/>
    <w:rsid w:val="00C71A47"/>
    <w:rsid w:val="00C7464C"/>
    <w:rsid w:val="00C85588"/>
    <w:rsid w:val="00C856F8"/>
    <w:rsid w:val="00CB4277"/>
    <w:rsid w:val="00CD3C7E"/>
    <w:rsid w:val="00CD6755"/>
    <w:rsid w:val="00CD6856"/>
    <w:rsid w:val="00CE0089"/>
    <w:rsid w:val="00CE793C"/>
    <w:rsid w:val="00CF193C"/>
    <w:rsid w:val="00D0577A"/>
    <w:rsid w:val="00D173F1"/>
    <w:rsid w:val="00D27C87"/>
    <w:rsid w:val="00D27EDC"/>
    <w:rsid w:val="00D44158"/>
    <w:rsid w:val="00D56C97"/>
    <w:rsid w:val="00D714E9"/>
    <w:rsid w:val="00D74035"/>
    <w:rsid w:val="00D74CB0"/>
    <w:rsid w:val="00D8295D"/>
    <w:rsid w:val="00D86952"/>
    <w:rsid w:val="00D90BAC"/>
    <w:rsid w:val="00DA2556"/>
    <w:rsid w:val="00DB3105"/>
    <w:rsid w:val="00DC2990"/>
    <w:rsid w:val="00DC2A65"/>
    <w:rsid w:val="00DD251A"/>
    <w:rsid w:val="00DD6BD3"/>
    <w:rsid w:val="00DE15F0"/>
    <w:rsid w:val="00DE5663"/>
    <w:rsid w:val="00DE78AA"/>
    <w:rsid w:val="00E03EFB"/>
    <w:rsid w:val="00E053D0"/>
    <w:rsid w:val="00E13A16"/>
    <w:rsid w:val="00E15994"/>
    <w:rsid w:val="00E2366C"/>
    <w:rsid w:val="00E3114E"/>
    <w:rsid w:val="00E31A70"/>
    <w:rsid w:val="00E35B02"/>
    <w:rsid w:val="00E40DD0"/>
    <w:rsid w:val="00E41C78"/>
    <w:rsid w:val="00E433EA"/>
    <w:rsid w:val="00E66496"/>
    <w:rsid w:val="00E66B35"/>
    <w:rsid w:val="00E66E10"/>
    <w:rsid w:val="00E769F6"/>
    <w:rsid w:val="00E8407C"/>
    <w:rsid w:val="00E84F3C"/>
    <w:rsid w:val="00E95005"/>
    <w:rsid w:val="00EA012C"/>
    <w:rsid w:val="00EA257D"/>
    <w:rsid w:val="00EB2772"/>
    <w:rsid w:val="00EB2D21"/>
    <w:rsid w:val="00EB504E"/>
    <w:rsid w:val="00EB796E"/>
    <w:rsid w:val="00EC2F87"/>
    <w:rsid w:val="00EC6A55"/>
    <w:rsid w:val="00ED0288"/>
    <w:rsid w:val="00EE50D4"/>
    <w:rsid w:val="00EE52CB"/>
    <w:rsid w:val="00EE6DF5"/>
    <w:rsid w:val="00EF581D"/>
    <w:rsid w:val="00EF7C5A"/>
    <w:rsid w:val="00EF7FD8"/>
    <w:rsid w:val="00F019C0"/>
    <w:rsid w:val="00F06F59"/>
    <w:rsid w:val="00F17413"/>
    <w:rsid w:val="00F17988"/>
    <w:rsid w:val="00F25298"/>
    <w:rsid w:val="00F27A6B"/>
    <w:rsid w:val="00F3063C"/>
    <w:rsid w:val="00F45777"/>
    <w:rsid w:val="00F469F0"/>
    <w:rsid w:val="00F53273"/>
    <w:rsid w:val="00F66659"/>
    <w:rsid w:val="00F755E4"/>
    <w:rsid w:val="00F77D02"/>
    <w:rsid w:val="00FA003D"/>
    <w:rsid w:val="00FB1D30"/>
    <w:rsid w:val="00FB3A86"/>
    <w:rsid w:val="00FB48E4"/>
    <w:rsid w:val="00FD36C8"/>
    <w:rsid w:val="00FE57D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5A7"/>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paragraph" w:styleId="Ttulo4">
    <w:name w:val="heading 4"/>
    <w:basedOn w:val="Normal"/>
    <w:next w:val="Normal"/>
    <w:link w:val="Ttulo4Car"/>
    <w:semiHidden/>
    <w:unhideWhenUsed/>
    <w:qFormat/>
    <w:rsid w:val="00DA255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styleId="Mencinsinresolver">
    <w:name w:val="Unresolved Mention"/>
    <w:basedOn w:val="Fuentedeprrafopredeter"/>
    <w:uiPriority w:val="99"/>
    <w:semiHidden/>
    <w:unhideWhenUsed/>
    <w:rsid w:val="00287E68"/>
    <w:rPr>
      <w:color w:val="605E5C"/>
      <w:shd w:val="clear" w:color="auto" w:fill="E1DFDD"/>
    </w:rPr>
  </w:style>
  <w:style w:type="paragraph" w:styleId="Prrafodelista">
    <w:name w:val="List Paragraph"/>
    <w:basedOn w:val="Normal"/>
    <w:uiPriority w:val="34"/>
    <w:qFormat/>
    <w:rsid w:val="00EC2F87"/>
    <w:pPr>
      <w:ind w:left="720"/>
      <w:contextualSpacing/>
    </w:pPr>
  </w:style>
  <w:style w:type="paragraph" w:styleId="Descripcin">
    <w:name w:val="caption"/>
    <w:basedOn w:val="Normal"/>
    <w:next w:val="Normal"/>
    <w:unhideWhenUsed/>
    <w:qFormat/>
    <w:rsid w:val="00E13A16"/>
    <w:pPr>
      <w:spacing w:after="200"/>
    </w:pPr>
    <w:rPr>
      <w:i/>
      <w:iCs/>
      <w:color w:val="1F497D" w:themeColor="text2"/>
      <w:sz w:val="18"/>
      <w:szCs w:val="18"/>
    </w:rPr>
  </w:style>
  <w:style w:type="character" w:styleId="Textodelmarcadordeposicin">
    <w:name w:val="Placeholder Text"/>
    <w:basedOn w:val="Fuentedeprrafopredeter"/>
    <w:uiPriority w:val="99"/>
    <w:semiHidden/>
    <w:rsid w:val="00EF7C5A"/>
    <w:rPr>
      <w:color w:val="666666"/>
    </w:rPr>
  </w:style>
  <w:style w:type="table" w:customStyle="1" w:styleId="Estilo1">
    <w:name w:val="Estilo1"/>
    <w:basedOn w:val="Tablanormal"/>
    <w:uiPriority w:val="99"/>
    <w:rsid w:val="00EE50D4"/>
    <w:tblPr/>
  </w:style>
  <w:style w:type="character" w:styleId="Textoennegrita">
    <w:name w:val="Strong"/>
    <w:basedOn w:val="Fuentedeprrafopredeter"/>
    <w:uiPriority w:val="22"/>
    <w:qFormat/>
    <w:rsid w:val="009A60A2"/>
    <w:rPr>
      <w:b/>
      <w:bCs/>
    </w:rPr>
  </w:style>
  <w:style w:type="character" w:customStyle="1" w:styleId="Ttulo4Car">
    <w:name w:val="Título 4 Car"/>
    <w:basedOn w:val="Fuentedeprrafopredeter"/>
    <w:link w:val="Ttulo4"/>
    <w:semiHidden/>
    <w:rsid w:val="00DA255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s://doi.org/10.1016/j.applthermaleng.2014.02.041" TargetMode="External"/><Relationship Id="rId39" Type="http://schemas.openxmlformats.org/officeDocument/2006/relationships/hyperlink" Target="https://doi.org/10.1016/j.rser.2017.05.059" TargetMode="External"/><Relationship Id="rId21" Type="http://schemas.openxmlformats.org/officeDocument/2006/relationships/footer" Target="footer4.xml"/><Relationship Id="rId34" Type="http://schemas.openxmlformats.org/officeDocument/2006/relationships/hyperlink" Target="https://doi.org/10.22044/rera.2025.14929.1339" TargetMode="External"/><Relationship Id="rId42" Type="http://schemas.openxmlformats.org/officeDocument/2006/relationships/hyperlink" Target="https://doi.org/10.1016/j.bsecv.2025.10044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016/j.enbuild.2019.01.0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jpeg"/><Relationship Id="rId32" Type="http://schemas.openxmlformats.org/officeDocument/2006/relationships/hyperlink" Target="https://doi.org/10.21608/pserj.2024.282378.1333" TargetMode="External"/><Relationship Id="rId37" Type="http://schemas.openxmlformats.org/officeDocument/2006/relationships/hyperlink" Target="https://doi.org/10.1016/j.egypro.2015.11.735" TargetMode="External"/><Relationship Id="rId40" Type="http://schemas.openxmlformats.org/officeDocument/2006/relationships/hyperlink" Target="https://doi.org/10.14718/RevArq.2018.20.2.1726"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6.jpeg"/><Relationship Id="rId28" Type="http://schemas.openxmlformats.org/officeDocument/2006/relationships/hyperlink" Target="https://doi.org/10.1016/j.enbuild.2021.111728" TargetMode="External"/><Relationship Id="rId36" Type="http://schemas.openxmlformats.org/officeDocument/2006/relationships/hyperlink" Target="https://doi.org/10.1016/j.egyr.2025.08.042" TargetMode="Externa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yperlink" Target="https://doi.org/10.1016/j.rser.2013.02.02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 Id="rId27" Type="http://schemas.openxmlformats.org/officeDocument/2006/relationships/hyperlink" Target="https://doi.org/10.3390/su152416737" TargetMode="External"/><Relationship Id="rId30" Type="http://schemas.openxmlformats.org/officeDocument/2006/relationships/hyperlink" Target="https://doi.org/10.3390/pr13072275" TargetMode="External"/><Relationship Id="rId35" Type="http://schemas.openxmlformats.org/officeDocument/2006/relationships/hyperlink" Target="https://doi.org/10.1002/htj.70124" TargetMode="External"/><Relationship Id="rId43" Type="http://schemas.openxmlformats.org/officeDocument/2006/relationships/hyperlink" Target="https://doi.org/10.2478/sgem-2019-0044"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3390/en15093447" TargetMode="External"/><Relationship Id="rId33" Type="http://schemas.openxmlformats.org/officeDocument/2006/relationships/hyperlink" Target="https://doi.org/10.1007/s41660-025-00565-0" TargetMode="External"/><Relationship Id="rId38" Type="http://schemas.openxmlformats.org/officeDocument/2006/relationships/hyperlink" Target="https://doi.org/10.1016/j.renene.2021.06.012" TargetMode="External"/><Relationship Id="rId20" Type="http://schemas.openxmlformats.org/officeDocument/2006/relationships/header" Target="header5.xml"/><Relationship Id="rId41" Type="http://schemas.openxmlformats.org/officeDocument/2006/relationships/hyperlink" Target="https://doi.org/10.3390/su110924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24C62-8E75-41EE-8BB5-8D1B60FE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767</TotalTime>
  <Pages>16</Pages>
  <Words>4923</Words>
  <Characters>27080</Characters>
  <Application>Microsoft Office Word</Application>
  <DocSecurity>0</DocSecurity>
  <Lines>225</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31940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MARIA FERNANDA RAMIREZ TREJO</cp:lastModifiedBy>
  <cp:revision>163</cp:revision>
  <cp:lastPrinted>2025-12-12T22:49:00Z</cp:lastPrinted>
  <dcterms:created xsi:type="dcterms:W3CDTF">2014-10-25T14:34:00Z</dcterms:created>
  <dcterms:modified xsi:type="dcterms:W3CDTF">2025-12-13T00:12:00Z</dcterms:modified>
</cp:coreProperties>
</file>