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053EC" w14:textId="77777777" w:rsidR="00C606E3" w:rsidRDefault="00C606E3" w:rsidP="00C606E3">
      <w:pPr>
        <w:pStyle w:val="Title"/>
        <w:spacing w:after="0"/>
        <w:jc w:val="both"/>
        <w:rPr>
          <w:rFonts w:ascii="Arial" w:hAnsi="Arial" w:cs="Arial"/>
        </w:rPr>
      </w:pPr>
    </w:p>
    <w:p w14:paraId="14606099" w14:textId="77777777" w:rsidR="00C606E3" w:rsidRPr="00FC55D2" w:rsidRDefault="004C7CAF" w:rsidP="00C606E3">
      <w:pPr>
        <w:spacing w:line="360" w:lineRule="auto"/>
        <w:jc w:val="right"/>
        <w:rPr>
          <w:rFonts w:ascii="Arial" w:hAnsi="Arial" w:cs="Arial"/>
          <w:b/>
          <w:bCs/>
          <w:color w:val="0D0D0D" w:themeColor="text1" w:themeTint="F2"/>
          <w:sz w:val="36"/>
          <w:szCs w:val="36"/>
          <w:lang w:val="en-GB"/>
        </w:rPr>
      </w:pPr>
      <w:r w:rsidRPr="00FC55D2">
        <w:rPr>
          <w:rFonts w:ascii="Arial" w:hAnsi="Arial" w:cs="Arial"/>
          <w:b/>
          <w:bCs/>
          <w:color w:val="0D0D0D" w:themeColor="text1" w:themeTint="F2"/>
          <w:sz w:val="36"/>
          <w:szCs w:val="36"/>
          <w:lang w:val="en-GB"/>
        </w:rPr>
        <w:t xml:space="preserve">Bacterial Heterogeneity and Density of </w:t>
      </w:r>
      <w:proofErr w:type="spellStart"/>
      <w:r w:rsidRPr="00FC55D2">
        <w:rPr>
          <w:rFonts w:ascii="Arial" w:hAnsi="Arial" w:cs="Arial"/>
          <w:b/>
          <w:bCs/>
          <w:color w:val="0D0D0D" w:themeColor="text1" w:themeTint="F2"/>
          <w:sz w:val="36"/>
          <w:szCs w:val="36"/>
          <w:lang w:val="en-GB"/>
        </w:rPr>
        <w:t>Glufosinate</w:t>
      </w:r>
      <w:proofErr w:type="spellEnd"/>
      <w:r w:rsidRPr="00FC55D2">
        <w:rPr>
          <w:rFonts w:ascii="Arial" w:hAnsi="Arial" w:cs="Arial"/>
          <w:b/>
          <w:bCs/>
          <w:color w:val="0D0D0D" w:themeColor="text1" w:themeTint="F2"/>
          <w:sz w:val="36"/>
          <w:szCs w:val="36"/>
          <w:lang w:val="en-GB"/>
        </w:rPr>
        <w:t xml:space="preserve"> Ammonium Contaminated Soil: A Microcosm Study </w:t>
      </w:r>
    </w:p>
    <w:p w14:paraId="1FE560AD" w14:textId="09FE4B52" w:rsidR="00C606E3" w:rsidRDefault="00C606E3" w:rsidP="00F70C5E">
      <w:pPr>
        <w:pStyle w:val="Author"/>
        <w:spacing w:line="240" w:lineRule="auto"/>
        <w:rPr>
          <w:rFonts w:ascii="Arial" w:hAnsi="Arial" w:cs="Arial"/>
          <w:bCs/>
          <w:iCs/>
          <w:kern w:val="28"/>
          <w:sz w:val="36"/>
        </w:rPr>
      </w:pPr>
      <w:r w:rsidRPr="00FC55D2">
        <w:rPr>
          <w:rFonts w:ascii="Arial" w:hAnsi="Arial" w:cs="Arial"/>
          <w:bCs/>
          <w:iCs/>
          <w:kern w:val="28"/>
          <w:sz w:val="36"/>
        </w:rPr>
        <w:t xml:space="preserve"> </w:t>
      </w:r>
    </w:p>
    <w:p w14:paraId="7B9C4C99" w14:textId="3633722F" w:rsidR="00F70C5E" w:rsidRDefault="00F70C5E" w:rsidP="00F70C5E">
      <w:pPr>
        <w:pStyle w:val="Author"/>
        <w:spacing w:line="240" w:lineRule="auto"/>
        <w:rPr>
          <w:rFonts w:ascii="Times New Roman" w:hAnsi="Times New Roman"/>
          <w:b w:val="0"/>
          <w:szCs w:val="24"/>
        </w:rPr>
      </w:pPr>
    </w:p>
    <w:p w14:paraId="6EB03E6D" w14:textId="77777777" w:rsidR="00F70C5E" w:rsidRPr="00FC55D2" w:rsidRDefault="00F70C5E" w:rsidP="00F70C5E">
      <w:pPr>
        <w:pStyle w:val="Author"/>
        <w:spacing w:line="240" w:lineRule="auto"/>
        <w:rPr>
          <w:rFonts w:ascii="Times New Roman" w:hAnsi="Times New Roman"/>
          <w:b w:val="0"/>
          <w:szCs w:val="24"/>
        </w:rPr>
      </w:pPr>
    </w:p>
    <w:p w14:paraId="4E59836A" w14:textId="77777777" w:rsidR="00C606E3" w:rsidRPr="00FC55D2" w:rsidRDefault="00C606E3" w:rsidP="00C606E3">
      <w:pPr>
        <w:pStyle w:val="AbstHead"/>
        <w:spacing w:after="0"/>
        <w:jc w:val="both"/>
        <w:rPr>
          <w:rFonts w:ascii="Arial" w:hAnsi="Arial" w:cs="Arial"/>
        </w:rPr>
      </w:pPr>
      <w:r w:rsidRPr="00FC55D2">
        <w:rPr>
          <w:rFonts w:ascii="Arial" w:hAnsi="Arial" w:cs="Arial"/>
        </w:rPr>
        <w:t xml:space="preserve">ABSTRACT </w:t>
      </w:r>
    </w:p>
    <w:p w14:paraId="5B135B4A" w14:textId="77777777" w:rsidR="00C606E3" w:rsidRPr="00FC55D2" w:rsidRDefault="00C606E3" w:rsidP="00C606E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80"/>
      </w:tblGrid>
      <w:tr w:rsidR="00C606E3" w:rsidRPr="00FC55D2" w14:paraId="5EB9CD5C" w14:textId="77777777" w:rsidTr="00922FC5">
        <w:tc>
          <w:tcPr>
            <w:tcW w:w="9576" w:type="dxa"/>
            <w:shd w:val="clear" w:color="auto" w:fill="F2F2F2"/>
          </w:tcPr>
          <w:p w14:paraId="3D0F6663" w14:textId="34CF1390" w:rsidR="00922FC5" w:rsidRPr="00FC55D2" w:rsidRDefault="00922FC5" w:rsidP="00922FC5">
            <w:pPr>
              <w:pStyle w:val="Body"/>
              <w:spacing w:after="0"/>
              <w:rPr>
                <w:rFonts w:ascii="Arial" w:eastAsia="Calibri" w:hAnsi="Arial" w:cs="Arial"/>
              </w:rPr>
            </w:pPr>
            <w:r w:rsidRPr="00FC55D2">
              <w:rPr>
                <w:rFonts w:ascii="Arial" w:eastAsia="Calibri" w:hAnsi="Arial" w:cs="Arial"/>
                <w:b/>
              </w:rPr>
              <w:t xml:space="preserve">Introduction: </w:t>
            </w:r>
            <w:r w:rsidRPr="00FC55D2">
              <w:rPr>
                <w:rFonts w:ascii="Times New Roman" w:hAnsi="Times New Roman"/>
                <w:color w:val="0D0D0D" w:themeColor="text1" w:themeTint="F2"/>
                <w:sz w:val="24"/>
                <w:szCs w:val="24"/>
              </w:rPr>
              <w:t>Indiscriminate use of herbicides in agriculture poses significant threats to soil health, particularly by affecting the diversity and abundance of soil microorganisms</w:t>
            </w:r>
          </w:p>
          <w:p w14:paraId="10A2184D" w14:textId="058078C7" w:rsidR="00C606E3" w:rsidRPr="00FC55D2" w:rsidRDefault="00C606E3" w:rsidP="00922FC5">
            <w:pPr>
              <w:pStyle w:val="Body"/>
              <w:spacing w:after="0"/>
              <w:rPr>
                <w:rFonts w:ascii="Arial" w:eastAsia="Calibri" w:hAnsi="Arial" w:cs="Arial"/>
              </w:rPr>
            </w:pPr>
            <w:r w:rsidRPr="00FC55D2">
              <w:rPr>
                <w:rFonts w:ascii="Arial" w:eastAsia="Calibri" w:hAnsi="Arial" w:cs="Arial"/>
                <w:b/>
              </w:rPr>
              <w:t xml:space="preserve">Aim: </w:t>
            </w:r>
            <w:r w:rsidR="00161A0C" w:rsidRPr="00FC55D2">
              <w:rPr>
                <w:rFonts w:ascii="Arial" w:hAnsi="Arial" w:cs="Arial"/>
                <w:color w:val="0D0D0D" w:themeColor="text1" w:themeTint="F2"/>
              </w:rPr>
              <w:t>T</w:t>
            </w:r>
            <w:r w:rsidRPr="00FC55D2">
              <w:rPr>
                <w:rFonts w:ascii="Arial" w:hAnsi="Arial" w:cs="Arial"/>
                <w:color w:val="0D0D0D" w:themeColor="text1" w:themeTint="F2"/>
              </w:rPr>
              <w:t xml:space="preserve">his study investigated </w:t>
            </w:r>
            <w:r w:rsidR="00DE62FA">
              <w:rPr>
                <w:rFonts w:ascii="Arial" w:hAnsi="Arial" w:cs="Arial"/>
                <w:color w:val="0D0D0D" w:themeColor="text1" w:themeTint="F2"/>
              </w:rPr>
              <w:t xml:space="preserve">the </w:t>
            </w:r>
            <w:r w:rsidRPr="00FC55D2">
              <w:rPr>
                <w:rFonts w:ascii="Arial" w:hAnsi="Arial" w:cs="Arial"/>
                <w:color w:val="0D0D0D" w:themeColor="text1" w:themeTint="F2"/>
              </w:rPr>
              <w:t xml:space="preserve">effects of </w:t>
            </w:r>
            <w:proofErr w:type="spellStart"/>
            <w:r w:rsidRPr="00FC55D2">
              <w:rPr>
                <w:rFonts w:ascii="Arial" w:hAnsi="Arial" w:cs="Arial"/>
                <w:color w:val="0D0D0D" w:themeColor="text1" w:themeTint="F2"/>
              </w:rPr>
              <w:t>glufosinate</w:t>
            </w:r>
            <w:proofErr w:type="spellEnd"/>
            <w:r w:rsidRPr="00FC55D2">
              <w:rPr>
                <w:rFonts w:ascii="Arial" w:hAnsi="Arial" w:cs="Arial"/>
                <w:color w:val="0D0D0D" w:themeColor="text1" w:themeTint="F2"/>
              </w:rPr>
              <w:t xml:space="preserve"> ammonium on soil microbial communities and physicochemical properties.</w:t>
            </w:r>
          </w:p>
          <w:p w14:paraId="358B0376" w14:textId="7BE7DF33" w:rsidR="00C606E3" w:rsidRPr="00FC55D2" w:rsidRDefault="00C606E3" w:rsidP="00922FC5">
            <w:pPr>
              <w:pStyle w:val="Body"/>
              <w:spacing w:after="0"/>
              <w:rPr>
                <w:rFonts w:ascii="Arial" w:eastAsia="Calibri" w:hAnsi="Arial" w:cs="Arial"/>
              </w:rPr>
            </w:pPr>
            <w:r w:rsidRPr="00FC55D2">
              <w:rPr>
                <w:rFonts w:ascii="Arial" w:eastAsia="Calibri" w:hAnsi="Arial" w:cs="Arial"/>
                <w:b/>
              </w:rPr>
              <w:t>Study design:</w:t>
            </w:r>
            <w:r w:rsidRPr="00FC55D2">
              <w:rPr>
                <w:rFonts w:ascii="Arial" w:eastAsia="Calibri" w:hAnsi="Arial" w:cs="Arial"/>
              </w:rPr>
              <w:t xml:space="preserve"> </w:t>
            </w:r>
            <w:r w:rsidR="00DE62FA">
              <w:rPr>
                <w:rFonts w:ascii="Arial" w:eastAsia="Calibri" w:hAnsi="Arial" w:cs="Arial"/>
              </w:rPr>
              <w:t>A m</w:t>
            </w:r>
            <w:r w:rsidR="007F3F29" w:rsidRPr="00FC55D2">
              <w:rPr>
                <w:rFonts w:ascii="Arial" w:eastAsia="Calibri" w:hAnsi="Arial" w:cs="Arial"/>
              </w:rPr>
              <w:t>icrocosm</w:t>
            </w:r>
            <w:r w:rsidR="00161A0C" w:rsidRPr="00FC55D2">
              <w:rPr>
                <w:rFonts w:ascii="Arial" w:eastAsia="Calibri" w:hAnsi="Arial" w:cs="Arial"/>
              </w:rPr>
              <w:t xml:space="preserve"> experiment</w:t>
            </w:r>
            <w:r w:rsidRPr="00FC55D2">
              <w:rPr>
                <w:rFonts w:ascii="Arial" w:eastAsia="Calibri" w:hAnsi="Arial" w:cs="Arial"/>
              </w:rPr>
              <w:t xml:space="preserve"> w</w:t>
            </w:r>
            <w:r w:rsidR="00161A0C" w:rsidRPr="00FC55D2">
              <w:rPr>
                <w:rFonts w:ascii="Arial" w:eastAsia="Calibri" w:hAnsi="Arial" w:cs="Arial"/>
              </w:rPr>
              <w:t>as carri</w:t>
            </w:r>
            <w:r w:rsidRPr="00FC55D2">
              <w:rPr>
                <w:rFonts w:ascii="Arial" w:eastAsia="Calibri" w:hAnsi="Arial" w:cs="Arial"/>
              </w:rPr>
              <w:t xml:space="preserve">ed out in the laboratory to ascertain the </w:t>
            </w:r>
            <w:proofErr w:type="gramStart"/>
            <w:r w:rsidRPr="00FC55D2">
              <w:rPr>
                <w:rFonts w:ascii="Arial" w:eastAsia="Calibri" w:hAnsi="Arial" w:cs="Arial"/>
              </w:rPr>
              <w:t>short term</w:t>
            </w:r>
            <w:proofErr w:type="gramEnd"/>
            <w:r w:rsidR="00161A0C" w:rsidRPr="00FC55D2">
              <w:rPr>
                <w:rFonts w:ascii="Arial" w:eastAsia="Calibri" w:hAnsi="Arial" w:cs="Arial"/>
              </w:rPr>
              <w:t xml:space="preserve"> effect</w:t>
            </w:r>
            <w:r w:rsidR="007F3F29" w:rsidRPr="00FC55D2">
              <w:rPr>
                <w:rFonts w:ascii="Arial" w:eastAsia="Calibri" w:hAnsi="Arial" w:cs="Arial"/>
              </w:rPr>
              <w:t>s</w:t>
            </w:r>
            <w:r w:rsidR="00161A0C" w:rsidRPr="00FC55D2">
              <w:rPr>
                <w:rFonts w:ascii="Arial" w:eastAsia="Calibri" w:hAnsi="Arial" w:cs="Arial"/>
              </w:rPr>
              <w:t xml:space="preserve"> of </w:t>
            </w:r>
            <w:proofErr w:type="spellStart"/>
            <w:r w:rsidR="00161A0C" w:rsidRPr="00FC55D2">
              <w:rPr>
                <w:rFonts w:ascii="Arial" w:eastAsia="Calibri" w:hAnsi="Arial" w:cs="Arial"/>
              </w:rPr>
              <w:t>glufosinate</w:t>
            </w:r>
            <w:proofErr w:type="spellEnd"/>
            <w:r w:rsidR="00161A0C" w:rsidRPr="00FC55D2">
              <w:rPr>
                <w:rFonts w:ascii="Arial" w:eastAsia="Calibri" w:hAnsi="Arial" w:cs="Arial"/>
              </w:rPr>
              <w:t xml:space="preserve"> ammonium application</w:t>
            </w:r>
            <w:r w:rsidR="007F3F29" w:rsidRPr="00FC55D2">
              <w:rPr>
                <w:rFonts w:ascii="Arial" w:eastAsia="Calibri" w:hAnsi="Arial" w:cs="Arial"/>
              </w:rPr>
              <w:t xml:space="preserve"> on soil microorganisms</w:t>
            </w:r>
            <w:r w:rsidR="00161A0C" w:rsidRPr="00FC55D2">
              <w:rPr>
                <w:rFonts w:ascii="Arial" w:eastAsia="Calibri" w:hAnsi="Arial" w:cs="Arial"/>
              </w:rPr>
              <w:t>.</w:t>
            </w:r>
          </w:p>
          <w:p w14:paraId="31109644" w14:textId="77777777" w:rsidR="00C606E3" w:rsidRPr="00FC55D2" w:rsidRDefault="00C606E3" w:rsidP="00922FC5">
            <w:pPr>
              <w:pStyle w:val="Body"/>
              <w:spacing w:after="0"/>
              <w:rPr>
                <w:rFonts w:ascii="Arial" w:eastAsia="Calibri" w:hAnsi="Arial" w:cs="Arial"/>
              </w:rPr>
            </w:pPr>
            <w:r w:rsidRPr="00FC55D2">
              <w:rPr>
                <w:rFonts w:ascii="Arial" w:eastAsia="Calibri" w:hAnsi="Arial" w:cs="Arial"/>
                <w:b/>
              </w:rPr>
              <w:t>Place and Duration of Study:</w:t>
            </w:r>
            <w:r w:rsidRPr="00FC55D2">
              <w:rPr>
                <w:rFonts w:ascii="Arial" w:eastAsia="Calibri" w:hAnsi="Arial" w:cs="Arial"/>
              </w:rPr>
              <w:t xml:space="preserve"> Department of Environmental Management &amp;Toxicology, Federal University of Petroleum Resources, Effurun/ June-August, 2024.</w:t>
            </w:r>
          </w:p>
          <w:p w14:paraId="646184B8" w14:textId="32167A5B" w:rsidR="00C606E3" w:rsidRPr="00FC55D2" w:rsidRDefault="00C606E3" w:rsidP="00922FC5">
            <w:pPr>
              <w:pStyle w:val="Body"/>
              <w:spacing w:after="0"/>
              <w:rPr>
                <w:rFonts w:ascii="Arial" w:eastAsia="Calibri" w:hAnsi="Arial" w:cs="Arial"/>
              </w:rPr>
            </w:pPr>
            <w:r w:rsidRPr="00FC55D2">
              <w:rPr>
                <w:rFonts w:ascii="Arial" w:eastAsia="Calibri" w:hAnsi="Arial" w:cs="Arial"/>
                <w:b/>
                <w:bCs/>
              </w:rPr>
              <w:t>Methodology:</w:t>
            </w:r>
            <w:r w:rsidRPr="00FC55D2">
              <w:rPr>
                <w:rFonts w:ascii="Arial" w:hAnsi="Arial" w:cs="Arial"/>
                <w:color w:val="0D0D0D" w:themeColor="text1" w:themeTint="F2"/>
              </w:rPr>
              <w:t xml:space="preserve"> One kilogram of soil was contaminated with the herbicide (20mL and 60mL (v/w)) in triplicate. A control was set-up without the herbicide.  Soil samples were collected from herbicide-treated and untreated microcosms and </w:t>
            </w:r>
            <w:proofErr w:type="spellStart"/>
            <w:r w:rsidRPr="00FC55D2">
              <w:rPr>
                <w:rFonts w:ascii="Arial" w:hAnsi="Arial" w:cs="Arial"/>
                <w:color w:val="0D0D0D" w:themeColor="text1" w:themeTint="F2"/>
              </w:rPr>
              <w:t>analy</w:t>
            </w:r>
            <w:r w:rsidR="00DE62FA">
              <w:rPr>
                <w:rFonts w:ascii="Arial" w:hAnsi="Arial" w:cs="Arial"/>
                <w:color w:val="0D0D0D" w:themeColor="text1" w:themeTint="F2"/>
              </w:rPr>
              <w:t>s</w:t>
            </w:r>
            <w:r w:rsidRPr="00FC55D2">
              <w:rPr>
                <w:rFonts w:ascii="Arial" w:hAnsi="Arial" w:cs="Arial"/>
                <w:color w:val="0D0D0D" w:themeColor="text1" w:themeTint="F2"/>
              </w:rPr>
              <w:t>ed</w:t>
            </w:r>
            <w:proofErr w:type="spellEnd"/>
            <w:r w:rsidRPr="00FC55D2">
              <w:rPr>
                <w:rFonts w:ascii="Arial" w:hAnsi="Arial" w:cs="Arial"/>
                <w:color w:val="0D0D0D" w:themeColor="text1" w:themeTint="F2"/>
              </w:rPr>
              <w:t xml:space="preserve"> for </w:t>
            </w:r>
            <w:proofErr w:type="spellStart"/>
            <w:r w:rsidRPr="00FC55D2">
              <w:rPr>
                <w:rFonts w:ascii="Arial" w:hAnsi="Arial" w:cs="Arial"/>
                <w:color w:val="0D0D0D" w:themeColor="text1" w:themeTint="F2"/>
              </w:rPr>
              <w:t>physicochemicals</w:t>
            </w:r>
            <w:proofErr w:type="spellEnd"/>
            <w:r w:rsidRPr="00FC55D2">
              <w:rPr>
                <w:rFonts w:ascii="Arial" w:hAnsi="Arial" w:cs="Arial"/>
                <w:color w:val="0D0D0D" w:themeColor="text1" w:themeTint="F2"/>
              </w:rPr>
              <w:t xml:space="preserve"> and heterotrophic biota before and two weeks after contamination. </w:t>
            </w:r>
          </w:p>
          <w:p w14:paraId="0C2D74C4" w14:textId="77777777" w:rsidR="00C606E3" w:rsidRPr="00FC55D2" w:rsidRDefault="00C606E3" w:rsidP="00922FC5">
            <w:pPr>
              <w:pStyle w:val="Body"/>
              <w:spacing w:after="0"/>
              <w:rPr>
                <w:rFonts w:ascii="Arial" w:eastAsia="Calibri" w:hAnsi="Arial" w:cs="Arial"/>
                <w:b/>
                <w:bCs/>
              </w:rPr>
            </w:pPr>
            <w:r w:rsidRPr="00FC55D2">
              <w:rPr>
                <w:rFonts w:ascii="Arial" w:eastAsia="Calibri" w:hAnsi="Arial" w:cs="Arial"/>
                <w:b/>
                <w:bCs/>
              </w:rPr>
              <w:t>Results:</w:t>
            </w:r>
            <w:r w:rsidRPr="00FC55D2">
              <w:rPr>
                <w:rFonts w:ascii="Arial" w:eastAsia="Calibri" w:hAnsi="Arial" w:cs="Arial"/>
              </w:rPr>
              <w:t xml:space="preserve"> </w:t>
            </w:r>
            <w:r w:rsidRPr="00FC55D2">
              <w:rPr>
                <w:rFonts w:ascii="Arial" w:hAnsi="Arial" w:cs="Arial"/>
                <w:color w:val="0D0D0D" w:themeColor="text1" w:themeTint="F2"/>
              </w:rPr>
              <w:t>Baseline analysis revealed pH, organic carbon content, lead and cadmium values were 6.40, 1.46%, 6.42 mg/kg and 0.1 mg/kg, respectively. Total heterotrophic bacterial and fungal counts were 2 × 10</w:t>
            </w:r>
            <w:r w:rsidRPr="00FC55D2">
              <w:rPr>
                <w:rFonts w:ascii="Arial" w:hAnsi="Arial" w:cs="Arial"/>
                <w:color w:val="0D0D0D" w:themeColor="text1" w:themeTint="F2"/>
                <w:vertAlign w:val="superscript"/>
              </w:rPr>
              <w:t>4</w:t>
            </w:r>
            <w:r w:rsidRPr="00FC55D2">
              <w:rPr>
                <w:rFonts w:ascii="Arial" w:hAnsi="Arial" w:cs="Arial"/>
                <w:color w:val="0D0D0D" w:themeColor="text1" w:themeTint="F2"/>
              </w:rPr>
              <w:t xml:space="preserve"> CFU/g and 1.65 × 10</w:t>
            </w:r>
            <w:r w:rsidRPr="00FC55D2">
              <w:rPr>
                <w:rFonts w:ascii="Arial" w:hAnsi="Arial" w:cs="Arial"/>
                <w:color w:val="0D0D0D" w:themeColor="text1" w:themeTint="F2"/>
                <w:vertAlign w:val="superscript"/>
              </w:rPr>
              <w:t>4</w:t>
            </w:r>
            <w:r w:rsidRPr="00FC55D2">
              <w:rPr>
                <w:rFonts w:ascii="Arial" w:hAnsi="Arial" w:cs="Arial"/>
                <w:color w:val="0D0D0D" w:themeColor="text1" w:themeTint="F2"/>
              </w:rPr>
              <w:t xml:space="preserve"> CFU/g. Furthermore, values for pH, organic carbon, lead, cadmium were 7.40, 1.30%, 6.9mg/kg and 0.16mg/kg (control), 7.60, 1.64%, 6.22mg/kg, 0.10mg/kg (20mL), 7.7, 1.68%, 8.10mg/kg and 0.18mg/kg (60mL), respectively. Total heterotrophic bacterial counts were 5.0 × 10</w:t>
            </w:r>
            <w:r w:rsidRPr="00FC55D2">
              <w:rPr>
                <w:rFonts w:ascii="Arial" w:hAnsi="Arial" w:cs="Arial"/>
                <w:color w:val="0D0D0D" w:themeColor="text1" w:themeTint="F2"/>
                <w:vertAlign w:val="superscript"/>
              </w:rPr>
              <w:t>4</w:t>
            </w:r>
            <w:r w:rsidRPr="00FC55D2">
              <w:rPr>
                <w:rFonts w:ascii="Arial" w:hAnsi="Arial" w:cs="Arial"/>
                <w:color w:val="0D0D0D" w:themeColor="text1" w:themeTint="F2"/>
              </w:rPr>
              <w:t xml:space="preserve"> CFU/g (control), 3.30 × 10</w:t>
            </w:r>
            <w:r w:rsidRPr="00FC55D2">
              <w:rPr>
                <w:rFonts w:ascii="Arial" w:hAnsi="Arial" w:cs="Arial"/>
                <w:color w:val="0D0D0D" w:themeColor="text1" w:themeTint="F2"/>
                <w:vertAlign w:val="superscript"/>
              </w:rPr>
              <w:t>4</w:t>
            </w:r>
            <w:r w:rsidRPr="00FC55D2">
              <w:rPr>
                <w:rFonts w:ascii="Arial" w:hAnsi="Arial" w:cs="Arial"/>
                <w:color w:val="0D0D0D" w:themeColor="text1" w:themeTint="F2"/>
              </w:rPr>
              <w:t xml:space="preserve"> CFU/g (20mL) and 3.00 × 10</w:t>
            </w:r>
            <w:r w:rsidRPr="00FC55D2">
              <w:rPr>
                <w:rFonts w:ascii="Arial" w:hAnsi="Arial" w:cs="Arial"/>
                <w:color w:val="0D0D0D" w:themeColor="text1" w:themeTint="F2"/>
                <w:vertAlign w:val="superscript"/>
              </w:rPr>
              <w:t>4</w:t>
            </w:r>
            <w:r w:rsidRPr="00FC55D2">
              <w:rPr>
                <w:rFonts w:ascii="Arial" w:hAnsi="Arial" w:cs="Arial"/>
                <w:color w:val="0D0D0D" w:themeColor="text1" w:themeTint="F2"/>
              </w:rPr>
              <w:t xml:space="preserve"> CFU/g (60mL) while total heterotrophic fungal counts were 3.25 × 10</w:t>
            </w:r>
            <w:r w:rsidRPr="00FC55D2">
              <w:rPr>
                <w:rFonts w:ascii="Arial" w:hAnsi="Arial" w:cs="Arial"/>
                <w:color w:val="0D0D0D" w:themeColor="text1" w:themeTint="F2"/>
                <w:vertAlign w:val="superscript"/>
              </w:rPr>
              <w:t>4</w:t>
            </w:r>
            <w:r w:rsidRPr="00FC55D2">
              <w:rPr>
                <w:rFonts w:ascii="Arial" w:hAnsi="Arial" w:cs="Arial"/>
                <w:color w:val="0D0D0D" w:themeColor="text1" w:themeTint="F2"/>
              </w:rPr>
              <w:t xml:space="preserve"> CFU/g (control), 3.00 × 10</w:t>
            </w:r>
            <w:r w:rsidRPr="00FC55D2">
              <w:rPr>
                <w:rFonts w:ascii="Arial" w:hAnsi="Arial" w:cs="Arial"/>
                <w:color w:val="0D0D0D" w:themeColor="text1" w:themeTint="F2"/>
                <w:vertAlign w:val="superscript"/>
              </w:rPr>
              <w:t>4</w:t>
            </w:r>
            <w:r w:rsidRPr="00FC55D2">
              <w:rPr>
                <w:rFonts w:ascii="Arial" w:hAnsi="Arial" w:cs="Arial"/>
                <w:color w:val="0D0D0D" w:themeColor="text1" w:themeTint="F2"/>
              </w:rPr>
              <w:t xml:space="preserve"> CFU/g (20mL) and 2.50 × 10</w:t>
            </w:r>
            <w:r w:rsidRPr="00FC55D2">
              <w:rPr>
                <w:rFonts w:ascii="Arial" w:hAnsi="Arial" w:cs="Arial"/>
                <w:color w:val="0D0D0D" w:themeColor="text1" w:themeTint="F2"/>
                <w:vertAlign w:val="superscript"/>
              </w:rPr>
              <w:t>4</w:t>
            </w:r>
            <w:r w:rsidRPr="00FC55D2">
              <w:rPr>
                <w:rFonts w:ascii="Arial" w:hAnsi="Arial" w:cs="Arial"/>
                <w:color w:val="0D0D0D" w:themeColor="text1" w:themeTint="F2"/>
              </w:rPr>
              <w:t xml:space="preserve"> CFU/g (60mL) after contamination. Species of </w:t>
            </w:r>
            <w:r w:rsidRPr="00FC55D2">
              <w:rPr>
                <w:rFonts w:ascii="Arial" w:hAnsi="Arial" w:cs="Arial"/>
                <w:i/>
                <w:color w:val="0D0D0D" w:themeColor="text1" w:themeTint="F2"/>
              </w:rPr>
              <w:t xml:space="preserve">Bacillus, Enterobacter, </w:t>
            </w:r>
            <w:proofErr w:type="spellStart"/>
            <w:r w:rsidRPr="00FC55D2">
              <w:rPr>
                <w:rFonts w:ascii="Arial" w:hAnsi="Arial" w:cs="Arial"/>
                <w:i/>
                <w:color w:val="0D0D0D" w:themeColor="text1" w:themeTint="F2"/>
              </w:rPr>
              <w:t>Paenibacillus</w:t>
            </w:r>
            <w:proofErr w:type="spellEnd"/>
            <w:r w:rsidRPr="00FC55D2">
              <w:rPr>
                <w:rFonts w:ascii="Arial" w:hAnsi="Arial" w:cs="Arial"/>
                <w:i/>
                <w:color w:val="0D0D0D" w:themeColor="text1" w:themeTint="F2"/>
              </w:rPr>
              <w:t xml:space="preserve">, Corynebacterium, Enterococcus, Klebsiella, Proteus, Pseudomonas </w:t>
            </w:r>
            <w:r w:rsidRPr="00FC55D2">
              <w:rPr>
                <w:rFonts w:ascii="Arial" w:hAnsi="Arial" w:cs="Arial"/>
                <w:color w:val="0D0D0D" w:themeColor="text1" w:themeTint="F2"/>
              </w:rPr>
              <w:t>and</w:t>
            </w:r>
            <w:r w:rsidRPr="00FC55D2">
              <w:rPr>
                <w:rFonts w:ascii="Arial" w:hAnsi="Arial" w:cs="Arial"/>
                <w:i/>
                <w:color w:val="0D0D0D" w:themeColor="text1" w:themeTint="F2"/>
              </w:rPr>
              <w:t xml:space="preserve"> Staphylococcus </w:t>
            </w:r>
            <w:r w:rsidRPr="00FC55D2">
              <w:rPr>
                <w:rFonts w:ascii="Arial" w:hAnsi="Arial" w:cs="Arial"/>
                <w:color w:val="0D0D0D" w:themeColor="text1" w:themeTint="F2"/>
              </w:rPr>
              <w:t>were identified in this study.</w:t>
            </w:r>
          </w:p>
          <w:p w14:paraId="46E54896" w14:textId="77777777" w:rsidR="00C606E3" w:rsidRPr="00FC55D2" w:rsidRDefault="00C606E3" w:rsidP="00C606E3">
            <w:pPr>
              <w:pStyle w:val="Body"/>
              <w:spacing w:after="0"/>
              <w:rPr>
                <w:rFonts w:ascii="Arial" w:eastAsia="Calibri" w:hAnsi="Arial" w:cs="Arial"/>
              </w:rPr>
            </w:pPr>
            <w:r w:rsidRPr="00FC55D2">
              <w:rPr>
                <w:rFonts w:ascii="Arial" w:eastAsia="Calibri" w:hAnsi="Arial" w:cs="Arial"/>
                <w:b/>
                <w:bCs/>
              </w:rPr>
              <w:t>Conclusion:</w:t>
            </w:r>
            <w:r w:rsidRPr="00FC55D2">
              <w:rPr>
                <w:rFonts w:ascii="Arial" w:eastAsia="Calibri" w:hAnsi="Arial" w:cs="Arial"/>
              </w:rPr>
              <w:t xml:space="preserve"> </w:t>
            </w:r>
            <w:r w:rsidRPr="00FC55D2">
              <w:rPr>
                <w:rFonts w:ascii="Arial" w:hAnsi="Arial" w:cs="Arial"/>
                <w:color w:val="0D0D0D" w:themeColor="text1" w:themeTint="F2"/>
              </w:rPr>
              <w:t>The results revealed that herbicides significantly altered the microbial population, with heterotrophic fungi showing resilience. This study contributes to understanding the complex interactions between herbicides, soil microorganisms, and physicochemical properties, providing a foundation for sustainable agricultural practices in herbicide-treated environments.</w:t>
            </w:r>
          </w:p>
          <w:p w14:paraId="651E83F9" w14:textId="77777777" w:rsidR="00C606E3" w:rsidRPr="00FC55D2" w:rsidRDefault="00C606E3" w:rsidP="00922FC5">
            <w:pPr>
              <w:pStyle w:val="Body"/>
              <w:spacing w:after="0"/>
              <w:rPr>
                <w:rFonts w:ascii="Arial" w:eastAsia="Calibri" w:hAnsi="Arial" w:cs="Arial"/>
                <w:szCs w:val="22"/>
              </w:rPr>
            </w:pPr>
          </w:p>
        </w:tc>
      </w:tr>
    </w:tbl>
    <w:p w14:paraId="19081D76" w14:textId="77777777" w:rsidR="00C606E3" w:rsidRPr="00FC55D2" w:rsidRDefault="00C606E3" w:rsidP="00C606E3">
      <w:pPr>
        <w:pStyle w:val="Body"/>
        <w:spacing w:after="0"/>
        <w:rPr>
          <w:rFonts w:ascii="Arial" w:hAnsi="Arial" w:cs="Arial"/>
          <w:i/>
        </w:rPr>
      </w:pPr>
    </w:p>
    <w:p w14:paraId="675F05F1" w14:textId="77777777" w:rsidR="00161A0C" w:rsidRPr="00FC55D2" w:rsidRDefault="00161A0C" w:rsidP="00161A0C">
      <w:pPr>
        <w:rPr>
          <w:rFonts w:ascii="Arial" w:hAnsi="Arial" w:cs="Arial"/>
          <w:b/>
          <w:i/>
        </w:rPr>
      </w:pPr>
      <w:r w:rsidRPr="00FC55D2">
        <w:rPr>
          <w:rFonts w:ascii="Arial" w:hAnsi="Arial" w:cs="Arial"/>
          <w:i/>
        </w:rPr>
        <w:t>Keywords:</w:t>
      </w:r>
      <w:r w:rsidRPr="00FC55D2">
        <w:rPr>
          <w:rFonts w:ascii="Arial" w:hAnsi="Arial" w:cs="Arial"/>
          <w:b/>
          <w:i/>
        </w:rPr>
        <w:t xml:space="preserve"> </w:t>
      </w:r>
      <w:proofErr w:type="spellStart"/>
      <w:r w:rsidRPr="00FC55D2">
        <w:rPr>
          <w:rFonts w:ascii="Arial" w:hAnsi="Arial" w:cs="Arial"/>
          <w:i/>
        </w:rPr>
        <w:t>Glufosi</w:t>
      </w:r>
      <w:r w:rsidRPr="00FC55D2">
        <w:rPr>
          <w:rFonts w:ascii="Arial" w:hAnsi="Arial" w:cs="Arial"/>
          <w:i/>
          <w:color w:val="0D0D0D" w:themeColor="text1" w:themeTint="F2"/>
        </w:rPr>
        <w:t>n</w:t>
      </w:r>
      <w:r w:rsidRPr="00FC55D2">
        <w:rPr>
          <w:rFonts w:ascii="Arial" w:hAnsi="Arial" w:cs="Arial"/>
          <w:i/>
        </w:rPr>
        <w:t>ate</w:t>
      </w:r>
      <w:proofErr w:type="spellEnd"/>
      <w:r w:rsidRPr="00FC55D2">
        <w:rPr>
          <w:rFonts w:ascii="Arial" w:hAnsi="Arial" w:cs="Arial"/>
          <w:i/>
        </w:rPr>
        <w:t xml:space="preserve"> ammonium, sustainable agriculture, agrochemicals, microorganisms </w:t>
      </w:r>
    </w:p>
    <w:p w14:paraId="4373D2BB" w14:textId="77777777" w:rsidR="00161A0C" w:rsidRPr="00FC55D2" w:rsidRDefault="00161A0C" w:rsidP="00161A0C">
      <w:pPr>
        <w:rPr>
          <w:rFonts w:ascii="Times New Roman" w:hAnsi="Times New Roman"/>
          <w:b/>
          <w:sz w:val="24"/>
          <w:szCs w:val="24"/>
        </w:rPr>
      </w:pPr>
    </w:p>
    <w:p w14:paraId="4D682427" w14:textId="77777777" w:rsidR="00C606E3" w:rsidRPr="00FC55D2" w:rsidRDefault="00C606E3" w:rsidP="00C606E3">
      <w:pPr>
        <w:pStyle w:val="Body"/>
        <w:spacing w:after="0"/>
        <w:rPr>
          <w:rFonts w:ascii="Arial" w:hAnsi="Arial" w:cs="Arial"/>
          <w:i/>
        </w:rPr>
      </w:pPr>
    </w:p>
    <w:p w14:paraId="2F3FCC4D" w14:textId="77777777" w:rsidR="00C606E3" w:rsidRPr="00FC55D2" w:rsidRDefault="00C606E3" w:rsidP="00C606E3">
      <w:pPr>
        <w:pStyle w:val="Body"/>
        <w:spacing w:after="0"/>
        <w:rPr>
          <w:rFonts w:ascii="Arial" w:hAnsi="Arial" w:cs="Arial"/>
          <w:i/>
        </w:rPr>
      </w:pPr>
    </w:p>
    <w:p w14:paraId="3D8D8189" w14:textId="77777777" w:rsidR="00C606E3" w:rsidRPr="00FC55D2" w:rsidRDefault="00C606E3" w:rsidP="00C606E3">
      <w:pPr>
        <w:pStyle w:val="AbstHead"/>
        <w:spacing w:after="0"/>
        <w:jc w:val="both"/>
        <w:rPr>
          <w:rFonts w:ascii="Arial" w:hAnsi="Arial" w:cs="Arial"/>
        </w:rPr>
      </w:pPr>
      <w:r w:rsidRPr="00FC55D2">
        <w:rPr>
          <w:rFonts w:ascii="Arial" w:hAnsi="Arial" w:cs="Arial"/>
        </w:rPr>
        <w:t xml:space="preserve">1. INTRODUCTION </w:t>
      </w:r>
    </w:p>
    <w:p w14:paraId="78AF3D42" w14:textId="77777777" w:rsidR="004C7CAF" w:rsidRPr="00FC55D2" w:rsidRDefault="004C7CAF" w:rsidP="00161A0C">
      <w:pPr>
        <w:spacing w:line="480" w:lineRule="auto"/>
        <w:jc w:val="both"/>
        <w:rPr>
          <w:rFonts w:ascii="Arial" w:hAnsi="Arial" w:cs="Arial"/>
          <w:color w:val="0D0D0D" w:themeColor="text1" w:themeTint="F2"/>
        </w:rPr>
      </w:pPr>
    </w:p>
    <w:p w14:paraId="75CDFAAB" w14:textId="53ADA7FD" w:rsidR="00161A0C" w:rsidRPr="00FC55D2" w:rsidRDefault="00161A0C" w:rsidP="00161A0C">
      <w:pPr>
        <w:spacing w:line="480" w:lineRule="auto"/>
        <w:jc w:val="both"/>
        <w:rPr>
          <w:rFonts w:ascii="Arial" w:hAnsi="Arial" w:cs="Arial"/>
          <w:color w:val="0D0D0D" w:themeColor="text1" w:themeTint="F2"/>
        </w:rPr>
      </w:pPr>
      <w:r w:rsidRPr="00FC55D2">
        <w:rPr>
          <w:rFonts w:ascii="Arial" w:hAnsi="Arial" w:cs="Arial"/>
          <w:color w:val="0D0D0D" w:themeColor="text1" w:themeTint="F2"/>
        </w:rPr>
        <w:t xml:space="preserve">Sustainable agriculture involves </w:t>
      </w:r>
      <w:proofErr w:type="spellStart"/>
      <w:r w:rsidRPr="00FC55D2">
        <w:rPr>
          <w:rFonts w:ascii="Arial" w:hAnsi="Arial" w:cs="Arial"/>
          <w:color w:val="0D0D0D" w:themeColor="text1" w:themeTint="F2"/>
        </w:rPr>
        <w:t>optimi</w:t>
      </w:r>
      <w:r w:rsidR="00DE62FA">
        <w:rPr>
          <w:rFonts w:ascii="Arial" w:hAnsi="Arial" w:cs="Arial"/>
          <w:color w:val="0D0D0D" w:themeColor="text1" w:themeTint="F2"/>
        </w:rPr>
        <w:t>s</w:t>
      </w:r>
      <w:r w:rsidRPr="00FC55D2">
        <w:rPr>
          <w:rFonts w:ascii="Arial" w:hAnsi="Arial" w:cs="Arial"/>
          <w:color w:val="0D0D0D" w:themeColor="text1" w:themeTint="F2"/>
        </w:rPr>
        <w:t>ing</w:t>
      </w:r>
      <w:proofErr w:type="spellEnd"/>
      <w:r w:rsidRPr="00FC55D2">
        <w:rPr>
          <w:rFonts w:ascii="Arial" w:hAnsi="Arial" w:cs="Arial"/>
          <w:color w:val="0D0D0D" w:themeColor="text1" w:themeTint="F2"/>
        </w:rPr>
        <w:t xml:space="preserve"> agricultural resources and at the same time</w:t>
      </w:r>
      <w:r w:rsidR="00DE62FA">
        <w:rPr>
          <w:rFonts w:ascii="Arial" w:hAnsi="Arial" w:cs="Arial"/>
          <w:color w:val="0D0D0D" w:themeColor="text1" w:themeTint="F2"/>
        </w:rPr>
        <w:t>,</w:t>
      </w:r>
      <w:r w:rsidRPr="00FC55D2">
        <w:rPr>
          <w:rFonts w:ascii="Arial" w:hAnsi="Arial" w:cs="Arial"/>
          <w:color w:val="0D0D0D" w:themeColor="text1" w:themeTint="F2"/>
        </w:rPr>
        <w:t xml:space="preserve"> maintaining the quality of </w:t>
      </w:r>
      <w:r w:rsidR="00DE62FA">
        <w:rPr>
          <w:rFonts w:ascii="Arial" w:hAnsi="Arial" w:cs="Arial"/>
          <w:color w:val="0D0D0D" w:themeColor="text1" w:themeTint="F2"/>
        </w:rPr>
        <w:t xml:space="preserve">the </w:t>
      </w:r>
      <w:r w:rsidRPr="00FC55D2">
        <w:rPr>
          <w:rFonts w:ascii="Arial" w:hAnsi="Arial" w:cs="Arial"/>
          <w:color w:val="0D0D0D" w:themeColor="text1" w:themeTint="F2"/>
        </w:rPr>
        <w:t>environment and sustaining natural resources. In accomplishing this, soil microscopic community structure is fundamental as they play a vital role in carbon drift, nutrient cycling as well as litter decay, increasing soil</w:t>
      </w:r>
      <w:r w:rsidR="006A55A2" w:rsidRPr="00FC55D2">
        <w:rPr>
          <w:rFonts w:ascii="Arial" w:hAnsi="Arial" w:cs="Arial"/>
          <w:color w:val="0D0D0D" w:themeColor="text1" w:themeTint="F2"/>
        </w:rPr>
        <w:t xml:space="preserve"> richness and plant growth (Z</w:t>
      </w:r>
      <w:r w:rsidRPr="00FC55D2">
        <w:rPr>
          <w:rFonts w:ascii="Arial" w:hAnsi="Arial" w:cs="Arial"/>
          <w:color w:val="0D0D0D" w:themeColor="text1" w:themeTint="F2"/>
        </w:rPr>
        <w:t>han</w:t>
      </w:r>
      <w:r w:rsidR="00E42398" w:rsidRPr="00FC55D2">
        <w:rPr>
          <w:rFonts w:ascii="Arial" w:hAnsi="Arial" w:cs="Arial"/>
          <w:color w:val="0D0D0D" w:themeColor="text1" w:themeTint="F2"/>
        </w:rPr>
        <w:t>g</w:t>
      </w:r>
      <w:r w:rsidRPr="00FC55D2">
        <w:rPr>
          <w:rFonts w:ascii="Arial" w:hAnsi="Arial" w:cs="Arial"/>
          <w:color w:val="0D0D0D" w:themeColor="text1" w:themeTint="F2"/>
        </w:rPr>
        <w:t xml:space="preserve"> </w:t>
      </w:r>
      <w:r w:rsidRPr="00FC55D2">
        <w:rPr>
          <w:rFonts w:ascii="Arial" w:hAnsi="Arial" w:cs="Arial"/>
          <w:i/>
          <w:color w:val="0D0D0D" w:themeColor="text1" w:themeTint="F2"/>
        </w:rPr>
        <w:t>et al</w:t>
      </w:r>
      <w:r w:rsidR="00E42398" w:rsidRPr="00FC55D2">
        <w:rPr>
          <w:rFonts w:ascii="Arial" w:hAnsi="Arial" w:cs="Arial"/>
          <w:color w:val="0D0D0D" w:themeColor="text1" w:themeTint="F2"/>
        </w:rPr>
        <w:t xml:space="preserve">., 2020; </w:t>
      </w:r>
      <w:r w:rsidR="00FC0299" w:rsidRPr="00FC55D2">
        <w:rPr>
          <w:rFonts w:ascii="Arial" w:hAnsi="Arial" w:cs="Arial"/>
          <w:color w:val="0D0D0D" w:themeColor="text1" w:themeTint="F2"/>
        </w:rPr>
        <w:t xml:space="preserve">Tripathi </w:t>
      </w:r>
      <w:r w:rsidR="00FC0299" w:rsidRPr="00FC55D2">
        <w:rPr>
          <w:rFonts w:ascii="Arial" w:hAnsi="Arial" w:cs="Arial"/>
          <w:i/>
          <w:color w:val="0D0D0D" w:themeColor="text1" w:themeTint="F2"/>
        </w:rPr>
        <w:t>et al</w:t>
      </w:r>
      <w:r w:rsidR="00FC0299" w:rsidRPr="00FC55D2">
        <w:rPr>
          <w:rFonts w:ascii="Arial" w:hAnsi="Arial" w:cs="Arial"/>
          <w:color w:val="0D0D0D" w:themeColor="text1" w:themeTint="F2"/>
        </w:rPr>
        <w:t xml:space="preserve">., 2021; </w:t>
      </w:r>
      <w:proofErr w:type="spellStart"/>
      <w:r w:rsidR="00E42398" w:rsidRPr="00FC55D2">
        <w:rPr>
          <w:rFonts w:ascii="Arial" w:hAnsi="Arial" w:cs="Arial"/>
          <w:color w:val="0D0D0D" w:themeColor="text1" w:themeTint="F2"/>
        </w:rPr>
        <w:t>Douibi</w:t>
      </w:r>
      <w:proofErr w:type="spellEnd"/>
      <w:r w:rsidRPr="00FC55D2">
        <w:rPr>
          <w:rFonts w:ascii="Arial" w:hAnsi="Arial" w:cs="Arial"/>
          <w:color w:val="0D0D0D" w:themeColor="text1" w:themeTint="F2"/>
        </w:rPr>
        <w:t xml:space="preserve"> </w:t>
      </w:r>
      <w:r w:rsidRPr="00FC55D2">
        <w:rPr>
          <w:rFonts w:ascii="Arial" w:hAnsi="Arial" w:cs="Arial"/>
          <w:i/>
          <w:color w:val="0D0D0D" w:themeColor="text1" w:themeTint="F2"/>
        </w:rPr>
        <w:t>et al</w:t>
      </w:r>
      <w:r w:rsidR="00FC0299" w:rsidRPr="00FC55D2">
        <w:rPr>
          <w:rFonts w:ascii="Arial" w:hAnsi="Arial" w:cs="Arial"/>
          <w:color w:val="0D0D0D" w:themeColor="text1" w:themeTint="F2"/>
        </w:rPr>
        <w:t>., 2024</w:t>
      </w:r>
      <w:r w:rsidRPr="00FC55D2">
        <w:rPr>
          <w:rFonts w:ascii="Arial" w:hAnsi="Arial" w:cs="Arial"/>
          <w:color w:val="0D0D0D" w:themeColor="text1" w:themeTint="F2"/>
        </w:rPr>
        <w:t>), therefore, occupy an exceptional spot in biotic cycles in land-dwelling environment</w:t>
      </w:r>
      <w:r w:rsidR="00DE62FA">
        <w:rPr>
          <w:rFonts w:ascii="Arial" w:hAnsi="Arial" w:cs="Arial"/>
          <w:color w:val="0D0D0D" w:themeColor="text1" w:themeTint="F2"/>
        </w:rPr>
        <w:t>s</w:t>
      </w:r>
      <w:r w:rsidRPr="00FC55D2">
        <w:rPr>
          <w:rFonts w:ascii="Arial" w:hAnsi="Arial" w:cs="Arial"/>
          <w:color w:val="0D0D0D" w:themeColor="text1" w:themeTint="F2"/>
        </w:rPr>
        <w:t xml:space="preserve">. Soil </w:t>
      </w:r>
      <w:r w:rsidRPr="00FC55D2">
        <w:rPr>
          <w:rFonts w:ascii="Arial" w:hAnsi="Arial" w:cs="Arial"/>
          <w:color w:val="0D0D0D" w:themeColor="text1" w:themeTint="F2"/>
        </w:rPr>
        <w:lastRenderedPageBreak/>
        <w:t xml:space="preserve">microbial biomass is measured as </w:t>
      </w:r>
      <w:r w:rsidR="00DE62FA">
        <w:rPr>
          <w:rFonts w:ascii="Arial" w:hAnsi="Arial" w:cs="Arial"/>
          <w:color w:val="0D0D0D" w:themeColor="text1" w:themeTint="F2"/>
        </w:rPr>
        <w:t xml:space="preserve">a </w:t>
      </w:r>
      <w:r w:rsidRPr="00FC55D2">
        <w:rPr>
          <w:rFonts w:ascii="Arial" w:hAnsi="Arial" w:cs="Arial"/>
          <w:color w:val="0D0D0D" w:themeColor="text1" w:themeTint="F2"/>
        </w:rPr>
        <w:t>dynamic reservoir of nutrient</w:t>
      </w:r>
      <w:r w:rsidR="00DE62FA">
        <w:rPr>
          <w:rFonts w:ascii="Arial" w:hAnsi="Arial" w:cs="Arial"/>
          <w:color w:val="0D0D0D" w:themeColor="text1" w:themeTint="F2"/>
        </w:rPr>
        <w:t>s</w:t>
      </w:r>
      <w:r w:rsidRPr="00FC55D2">
        <w:rPr>
          <w:rFonts w:ascii="Arial" w:hAnsi="Arial" w:cs="Arial"/>
          <w:color w:val="0D0D0D" w:themeColor="text1" w:themeTint="F2"/>
        </w:rPr>
        <w:t xml:space="preserve"> to plants and </w:t>
      </w:r>
      <w:r w:rsidR="00DE62FA">
        <w:rPr>
          <w:rFonts w:ascii="Arial" w:hAnsi="Arial" w:cs="Arial"/>
          <w:color w:val="0D0D0D" w:themeColor="text1" w:themeTint="F2"/>
        </w:rPr>
        <w:t>is</w:t>
      </w:r>
      <w:r w:rsidRPr="00FC55D2">
        <w:rPr>
          <w:rFonts w:ascii="Arial" w:hAnsi="Arial" w:cs="Arial"/>
          <w:color w:val="0D0D0D" w:themeColor="text1" w:themeTint="F2"/>
        </w:rPr>
        <w:t xml:space="preserve"> essential in nutrient cycling beside</w:t>
      </w:r>
      <w:r w:rsidR="00FC0299" w:rsidRPr="00FC55D2">
        <w:rPr>
          <w:rFonts w:ascii="Arial" w:hAnsi="Arial" w:cs="Arial"/>
          <w:color w:val="0D0D0D" w:themeColor="text1" w:themeTint="F2"/>
        </w:rPr>
        <w:t xml:space="preserve">s breakdown in </w:t>
      </w:r>
      <w:r w:rsidR="00DE62FA">
        <w:rPr>
          <w:rFonts w:ascii="Arial" w:hAnsi="Arial" w:cs="Arial"/>
          <w:color w:val="0D0D0D" w:themeColor="text1" w:themeTint="F2"/>
        </w:rPr>
        <w:t xml:space="preserve">the </w:t>
      </w:r>
      <w:r w:rsidR="00FC0299" w:rsidRPr="00FC55D2">
        <w:rPr>
          <w:rFonts w:ascii="Arial" w:hAnsi="Arial" w:cs="Arial"/>
          <w:color w:val="0D0D0D" w:themeColor="text1" w:themeTint="F2"/>
        </w:rPr>
        <w:t>biome (Daunoras</w:t>
      </w:r>
      <w:r w:rsidRPr="00FC55D2">
        <w:rPr>
          <w:rFonts w:ascii="Arial" w:hAnsi="Arial" w:cs="Arial"/>
          <w:color w:val="0D0D0D" w:themeColor="text1" w:themeTint="F2"/>
        </w:rPr>
        <w:t xml:space="preserve"> </w:t>
      </w:r>
      <w:r w:rsidRPr="00FC55D2">
        <w:rPr>
          <w:rFonts w:ascii="Arial" w:hAnsi="Arial" w:cs="Arial"/>
          <w:i/>
          <w:color w:val="0D0D0D" w:themeColor="text1" w:themeTint="F2"/>
        </w:rPr>
        <w:t>et al</w:t>
      </w:r>
      <w:r w:rsidR="00FC0299" w:rsidRPr="00FC55D2">
        <w:rPr>
          <w:rFonts w:ascii="Arial" w:hAnsi="Arial" w:cs="Arial"/>
          <w:color w:val="0D0D0D" w:themeColor="text1" w:themeTint="F2"/>
        </w:rPr>
        <w:t>., 2024</w:t>
      </w:r>
      <w:r w:rsidRPr="00FC55D2">
        <w:rPr>
          <w:rFonts w:ascii="Arial" w:hAnsi="Arial" w:cs="Arial"/>
          <w:color w:val="0D0D0D" w:themeColor="text1" w:themeTint="F2"/>
        </w:rPr>
        <w:t xml:space="preserve">). </w:t>
      </w:r>
    </w:p>
    <w:p w14:paraId="7A166F53" w14:textId="360B635C" w:rsidR="00161A0C" w:rsidRPr="00FC55D2" w:rsidRDefault="00161A0C" w:rsidP="00161A0C">
      <w:pPr>
        <w:spacing w:line="480" w:lineRule="auto"/>
        <w:jc w:val="both"/>
        <w:rPr>
          <w:rFonts w:ascii="Arial" w:hAnsi="Arial" w:cs="Arial"/>
          <w:color w:val="0D0D0D" w:themeColor="text1" w:themeTint="F2"/>
        </w:rPr>
      </w:pPr>
      <w:r w:rsidRPr="00FC55D2">
        <w:rPr>
          <w:rFonts w:ascii="Arial" w:hAnsi="Arial" w:cs="Arial"/>
          <w:color w:val="0D0D0D" w:themeColor="text1" w:themeTint="F2"/>
        </w:rPr>
        <w:t xml:space="preserve">A vigorous soil microbial community can improve </w:t>
      </w:r>
      <w:r w:rsidR="00FC0299" w:rsidRPr="00FC55D2">
        <w:rPr>
          <w:rFonts w:ascii="Arial" w:hAnsi="Arial" w:cs="Arial"/>
          <w:color w:val="0D0D0D" w:themeColor="text1" w:themeTint="F2"/>
        </w:rPr>
        <w:t>the natural system in soil (Z</w:t>
      </w:r>
      <w:r w:rsidRPr="00FC55D2">
        <w:rPr>
          <w:rFonts w:ascii="Arial" w:hAnsi="Arial" w:cs="Arial"/>
          <w:color w:val="0D0D0D" w:themeColor="text1" w:themeTint="F2"/>
        </w:rPr>
        <w:t>han</w:t>
      </w:r>
      <w:r w:rsidR="00FC0299" w:rsidRPr="00FC55D2">
        <w:rPr>
          <w:rFonts w:ascii="Arial" w:hAnsi="Arial" w:cs="Arial"/>
          <w:color w:val="0D0D0D" w:themeColor="text1" w:themeTint="F2"/>
        </w:rPr>
        <w:t>g</w:t>
      </w:r>
      <w:r w:rsidRPr="00FC55D2">
        <w:rPr>
          <w:rFonts w:ascii="Arial" w:hAnsi="Arial" w:cs="Arial"/>
          <w:color w:val="0D0D0D" w:themeColor="text1" w:themeTint="F2"/>
        </w:rPr>
        <w:t xml:space="preserve"> </w:t>
      </w:r>
      <w:r w:rsidRPr="00FC55D2">
        <w:rPr>
          <w:rFonts w:ascii="Arial" w:hAnsi="Arial" w:cs="Arial"/>
          <w:i/>
          <w:color w:val="0D0D0D" w:themeColor="text1" w:themeTint="F2"/>
        </w:rPr>
        <w:t>et al</w:t>
      </w:r>
      <w:r w:rsidRPr="00FC55D2">
        <w:rPr>
          <w:rFonts w:ascii="Arial" w:hAnsi="Arial" w:cs="Arial"/>
          <w:color w:val="0D0D0D" w:themeColor="text1" w:themeTint="F2"/>
        </w:rPr>
        <w:t xml:space="preserve">., 2020) owing to their capability to rejuvenate nutrients for plant growth sustenance. Slight modifications in their numbers and functions may well upset nutrient cycling along with accessibility of nutrients, which indirectly alter productivity plus additional topsoil roles (Wang </w:t>
      </w:r>
      <w:r w:rsidRPr="00FC55D2">
        <w:rPr>
          <w:rFonts w:ascii="Arial" w:hAnsi="Arial" w:cs="Arial"/>
          <w:i/>
          <w:color w:val="0D0D0D" w:themeColor="text1" w:themeTint="F2"/>
        </w:rPr>
        <w:t>et al</w:t>
      </w:r>
      <w:r w:rsidRPr="00FC55D2">
        <w:rPr>
          <w:rFonts w:ascii="Arial" w:hAnsi="Arial" w:cs="Arial"/>
          <w:color w:val="0D0D0D" w:themeColor="text1" w:themeTint="F2"/>
        </w:rPr>
        <w:t>., 2021). Inherent and human-generated features may perhaps disturb the soil biochemical reaction rates immediately or circumstant</w:t>
      </w:r>
      <w:r w:rsidR="00FC0299" w:rsidRPr="00FC55D2">
        <w:rPr>
          <w:rFonts w:ascii="Arial" w:hAnsi="Arial" w:cs="Arial"/>
          <w:color w:val="0D0D0D" w:themeColor="text1" w:themeTint="F2"/>
        </w:rPr>
        <w:t>ially (</w:t>
      </w:r>
      <w:proofErr w:type="spellStart"/>
      <w:r w:rsidR="00FC0299" w:rsidRPr="00FC55D2">
        <w:rPr>
          <w:rFonts w:ascii="Arial" w:hAnsi="Arial" w:cs="Arial"/>
          <w:color w:val="0D0D0D" w:themeColor="text1" w:themeTint="F2"/>
        </w:rPr>
        <w:t>Ataikiru</w:t>
      </w:r>
      <w:proofErr w:type="spellEnd"/>
      <w:r w:rsidR="00FC0299" w:rsidRPr="00FC55D2">
        <w:rPr>
          <w:rFonts w:ascii="Arial" w:hAnsi="Arial" w:cs="Arial"/>
          <w:color w:val="0D0D0D" w:themeColor="text1" w:themeTint="F2"/>
        </w:rPr>
        <w:t xml:space="preserve"> </w:t>
      </w:r>
      <w:r w:rsidR="00FC0299" w:rsidRPr="00FC55D2">
        <w:rPr>
          <w:rFonts w:ascii="Arial" w:hAnsi="Arial" w:cs="Arial"/>
          <w:i/>
          <w:color w:val="0D0D0D" w:themeColor="text1" w:themeTint="F2"/>
        </w:rPr>
        <w:t>et al</w:t>
      </w:r>
      <w:r w:rsidR="00FC0299" w:rsidRPr="00FC55D2">
        <w:rPr>
          <w:rFonts w:ascii="Arial" w:hAnsi="Arial" w:cs="Arial"/>
          <w:color w:val="0D0D0D" w:themeColor="text1" w:themeTint="F2"/>
        </w:rPr>
        <w:t>., 20</w:t>
      </w:r>
      <w:r w:rsidRPr="00FC55D2">
        <w:rPr>
          <w:rFonts w:ascii="Arial" w:hAnsi="Arial" w:cs="Arial"/>
          <w:color w:val="0D0D0D" w:themeColor="text1" w:themeTint="F2"/>
        </w:rPr>
        <w:t>1</w:t>
      </w:r>
      <w:r w:rsidR="00FC0299" w:rsidRPr="00FC55D2">
        <w:rPr>
          <w:rFonts w:ascii="Arial" w:hAnsi="Arial" w:cs="Arial"/>
          <w:color w:val="0D0D0D" w:themeColor="text1" w:themeTint="F2"/>
        </w:rPr>
        <w:t>9</w:t>
      </w:r>
      <w:r w:rsidRPr="00FC55D2">
        <w:rPr>
          <w:rFonts w:ascii="Arial" w:hAnsi="Arial" w:cs="Arial"/>
          <w:color w:val="0D0D0D" w:themeColor="text1" w:themeTint="F2"/>
        </w:rPr>
        <w:t>). Amongst human-induced influences, agrochemicals are of principal significance because of their incessant access into the soil environ</w:t>
      </w:r>
      <w:r w:rsidR="00DE62FA">
        <w:rPr>
          <w:rFonts w:ascii="Arial" w:hAnsi="Arial" w:cs="Arial"/>
          <w:color w:val="0D0D0D" w:themeColor="text1" w:themeTint="F2"/>
        </w:rPr>
        <w:t>ment</w:t>
      </w:r>
      <w:r w:rsidRPr="00FC55D2">
        <w:rPr>
          <w:rFonts w:ascii="Arial" w:hAnsi="Arial" w:cs="Arial"/>
          <w:color w:val="0D0D0D" w:themeColor="text1" w:themeTint="F2"/>
        </w:rPr>
        <w:t>. Herbicides are a foremost group of agrochemicals, which consist of elements or grown organism</w:t>
      </w:r>
      <w:r w:rsidR="008920D4" w:rsidRPr="00FC55D2">
        <w:rPr>
          <w:rFonts w:ascii="Arial" w:hAnsi="Arial" w:cs="Arial"/>
          <w:color w:val="0D0D0D" w:themeColor="text1" w:themeTint="F2"/>
        </w:rPr>
        <w:t>s</w:t>
      </w:r>
      <w:r w:rsidRPr="00FC55D2">
        <w:rPr>
          <w:rFonts w:ascii="Arial" w:hAnsi="Arial" w:cs="Arial"/>
          <w:color w:val="0D0D0D" w:themeColor="text1" w:themeTint="F2"/>
        </w:rPr>
        <w:t xml:space="preserve"> used to eradicate or subdue the development of undesirable foliage and plant life </w:t>
      </w:r>
      <w:r w:rsidR="00FC0299" w:rsidRPr="00FC55D2">
        <w:rPr>
          <w:rFonts w:ascii="Arial" w:hAnsi="Arial" w:cs="Arial"/>
          <w:lang w:val="en-GB"/>
        </w:rPr>
        <w:t>(</w:t>
      </w:r>
      <w:proofErr w:type="spellStart"/>
      <w:r w:rsidR="00FC0299" w:rsidRPr="00FC55D2">
        <w:rPr>
          <w:rFonts w:ascii="Arial" w:hAnsi="Arial" w:cs="Arial"/>
          <w:lang w:val="en-GB"/>
        </w:rPr>
        <w:t>Lyu</w:t>
      </w:r>
      <w:proofErr w:type="spellEnd"/>
      <w:r w:rsidR="00FC0299" w:rsidRPr="00FC55D2">
        <w:rPr>
          <w:rFonts w:ascii="Arial" w:hAnsi="Arial" w:cs="Arial"/>
          <w:lang w:val="en-GB"/>
        </w:rPr>
        <w:t xml:space="preserve"> </w:t>
      </w:r>
      <w:r w:rsidR="00FC0299" w:rsidRPr="00FC55D2">
        <w:rPr>
          <w:rFonts w:ascii="Arial" w:hAnsi="Arial" w:cs="Arial"/>
          <w:i/>
          <w:lang w:val="en-GB"/>
        </w:rPr>
        <w:t>et al</w:t>
      </w:r>
      <w:r w:rsidR="00FC0299" w:rsidRPr="00FC55D2">
        <w:rPr>
          <w:rFonts w:ascii="Arial" w:hAnsi="Arial" w:cs="Arial"/>
          <w:lang w:val="en-GB"/>
        </w:rPr>
        <w:t>., 2023</w:t>
      </w:r>
      <w:r w:rsidRPr="00FC55D2">
        <w:rPr>
          <w:rFonts w:ascii="Arial" w:hAnsi="Arial" w:cs="Arial"/>
          <w:color w:val="0D0D0D" w:themeColor="text1" w:themeTint="F2"/>
        </w:rPr>
        <w:t>) to reduce the farming budget</w:t>
      </w:r>
      <w:r w:rsidR="00DE62FA">
        <w:rPr>
          <w:rFonts w:ascii="Arial" w:hAnsi="Arial" w:cs="Arial"/>
          <w:color w:val="0D0D0D" w:themeColor="text1" w:themeTint="F2"/>
        </w:rPr>
        <w:t>,</w:t>
      </w:r>
      <w:r w:rsidRPr="00FC55D2">
        <w:rPr>
          <w:rFonts w:ascii="Arial" w:hAnsi="Arial" w:cs="Arial"/>
          <w:color w:val="0D0D0D" w:themeColor="text1" w:themeTint="F2"/>
        </w:rPr>
        <w:t xml:space="preserve"> besides sustaining high yield. </w:t>
      </w:r>
    </w:p>
    <w:p w14:paraId="49B9B112" w14:textId="6DEF9D41" w:rsidR="00161A0C" w:rsidRPr="00FC55D2" w:rsidRDefault="00161A0C" w:rsidP="00161A0C">
      <w:pPr>
        <w:spacing w:line="480" w:lineRule="auto"/>
        <w:jc w:val="both"/>
        <w:rPr>
          <w:rFonts w:ascii="Arial" w:hAnsi="Arial" w:cs="Arial"/>
          <w:color w:val="0D0D0D" w:themeColor="text1" w:themeTint="F2"/>
        </w:rPr>
      </w:pPr>
      <w:r w:rsidRPr="00FC55D2">
        <w:rPr>
          <w:rFonts w:ascii="Arial" w:hAnsi="Arial" w:cs="Arial"/>
          <w:color w:val="0D0D0D" w:themeColor="text1" w:themeTint="F2"/>
        </w:rPr>
        <w:t>Several herbicides</w:t>
      </w:r>
      <w:r w:rsidR="00DE62FA">
        <w:rPr>
          <w:rFonts w:ascii="Arial" w:hAnsi="Arial" w:cs="Arial"/>
          <w:color w:val="0D0D0D" w:themeColor="text1" w:themeTint="F2"/>
        </w:rPr>
        <w:t>,</w:t>
      </w:r>
      <w:r w:rsidRPr="00FC55D2">
        <w:rPr>
          <w:rFonts w:ascii="Arial" w:hAnsi="Arial" w:cs="Arial"/>
          <w:color w:val="0D0D0D" w:themeColor="text1" w:themeTint="F2"/>
        </w:rPr>
        <w:t xml:space="preserve"> not only introduced as pre- or post-emergen</w:t>
      </w:r>
      <w:r w:rsidR="00FC0299" w:rsidRPr="00FC55D2">
        <w:rPr>
          <w:rFonts w:ascii="Arial" w:hAnsi="Arial" w:cs="Arial"/>
          <w:color w:val="0D0D0D" w:themeColor="text1" w:themeTint="F2"/>
        </w:rPr>
        <w:t xml:space="preserve">ce weed killer (Wen </w:t>
      </w:r>
      <w:r w:rsidR="00FC0299" w:rsidRPr="00FC55D2">
        <w:rPr>
          <w:rFonts w:ascii="Arial" w:hAnsi="Arial" w:cs="Arial"/>
          <w:i/>
          <w:color w:val="0D0D0D" w:themeColor="text1" w:themeTint="F2"/>
        </w:rPr>
        <w:t>et al</w:t>
      </w:r>
      <w:r w:rsidR="00FC0299" w:rsidRPr="00FC55D2">
        <w:rPr>
          <w:rFonts w:ascii="Arial" w:hAnsi="Arial" w:cs="Arial"/>
          <w:color w:val="0D0D0D" w:themeColor="text1" w:themeTint="F2"/>
        </w:rPr>
        <w:t>.</w:t>
      </w:r>
      <w:r w:rsidRPr="00FC55D2">
        <w:rPr>
          <w:rFonts w:ascii="Arial" w:hAnsi="Arial" w:cs="Arial"/>
          <w:color w:val="0D0D0D" w:themeColor="text1" w:themeTint="F2"/>
        </w:rPr>
        <w:t>, 2022) have left undesirable deposits which a</w:t>
      </w:r>
      <w:r w:rsidR="00FC0299" w:rsidRPr="00FC55D2">
        <w:rPr>
          <w:rFonts w:ascii="Arial" w:hAnsi="Arial" w:cs="Arial"/>
          <w:color w:val="0D0D0D" w:themeColor="text1" w:themeTint="F2"/>
        </w:rPr>
        <w:t>re environmentally unsafe (Dennis</w:t>
      </w:r>
      <w:r w:rsidRPr="00FC55D2">
        <w:rPr>
          <w:rFonts w:ascii="Arial" w:hAnsi="Arial" w:cs="Arial"/>
          <w:color w:val="0D0D0D" w:themeColor="text1" w:themeTint="F2"/>
        </w:rPr>
        <w:t xml:space="preserve"> </w:t>
      </w:r>
      <w:r w:rsidRPr="00FC55D2">
        <w:rPr>
          <w:rFonts w:ascii="Arial" w:hAnsi="Arial" w:cs="Arial"/>
          <w:i/>
          <w:color w:val="0D0D0D" w:themeColor="text1" w:themeTint="F2"/>
        </w:rPr>
        <w:t>et al</w:t>
      </w:r>
      <w:r w:rsidR="00FC0299" w:rsidRPr="00FC55D2">
        <w:rPr>
          <w:rFonts w:ascii="Arial" w:hAnsi="Arial" w:cs="Arial"/>
          <w:color w:val="0D0D0D" w:themeColor="text1" w:themeTint="F2"/>
        </w:rPr>
        <w:t xml:space="preserve">., 2018; </w:t>
      </w:r>
      <w:proofErr w:type="spellStart"/>
      <w:r w:rsidR="00FC0299" w:rsidRPr="00FC55D2">
        <w:rPr>
          <w:rFonts w:ascii="Arial" w:hAnsi="Arial" w:cs="Arial"/>
          <w:color w:val="0D0D0D" w:themeColor="text1" w:themeTint="F2"/>
        </w:rPr>
        <w:t>Ustuner</w:t>
      </w:r>
      <w:proofErr w:type="spellEnd"/>
      <w:r w:rsidR="00FC0299" w:rsidRPr="00FC55D2">
        <w:rPr>
          <w:rFonts w:ascii="Arial" w:hAnsi="Arial" w:cs="Arial"/>
          <w:color w:val="0D0D0D" w:themeColor="text1" w:themeTint="F2"/>
        </w:rPr>
        <w:t xml:space="preserve"> </w:t>
      </w:r>
      <w:r w:rsidR="00FC0299" w:rsidRPr="00FC55D2">
        <w:rPr>
          <w:rFonts w:ascii="Arial" w:hAnsi="Arial" w:cs="Arial"/>
          <w:i/>
          <w:color w:val="0D0D0D" w:themeColor="text1" w:themeTint="F2"/>
        </w:rPr>
        <w:t>et al</w:t>
      </w:r>
      <w:r w:rsidR="00FC0299" w:rsidRPr="00FC55D2">
        <w:rPr>
          <w:rFonts w:ascii="Arial" w:hAnsi="Arial" w:cs="Arial"/>
          <w:color w:val="0D0D0D" w:themeColor="text1" w:themeTint="F2"/>
        </w:rPr>
        <w:t>., 2020; Ch</w:t>
      </w:r>
      <w:r w:rsidRPr="00FC55D2">
        <w:rPr>
          <w:rFonts w:ascii="Arial" w:hAnsi="Arial" w:cs="Arial"/>
          <w:color w:val="0D0D0D" w:themeColor="text1" w:themeTint="F2"/>
        </w:rPr>
        <w:t xml:space="preserve">en </w:t>
      </w:r>
      <w:r w:rsidRPr="00FC55D2">
        <w:rPr>
          <w:rFonts w:ascii="Arial" w:hAnsi="Arial" w:cs="Arial"/>
          <w:i/>
          <w:color w:val="0D0D0D" w:themeColor="text1" w:themeTint="F2"/>
        </w:rPr>
        <w:t>et al</w:t>
      </w:r>
      <w:r w:rsidR="00FC0299" w:rsidRPr="00FC55D2">
        <w:rPr>
          <w:rFonts w:ascii="Arial" w:hAnsi="Arial" w:cs="Arial"/>
          <w:color w:val="0D0D0D" w:themeColor="text1" w:themeTint="F2"/>
        </w:rPr>
        <w:t>., 2022</w:t>
      </w:r>
      <w:r w:rsidRPr="00FC55D2">
        <w:rPr>
          <w:rFonts w:ascii="Arial" w:hAnsi="Arial" w:cs="Arial"/>
          <w:color w:val="0D0D0D" w:themeColor="text1" w:themeTint="F2"/>
        </w:rPr>
        <w:t>). Ideal herbicides ought not to merely have good efficiency as well as pose least antagonistic effects to plant produce, ecosystem/natural</w:t>
      </w:r>
      <w:r w:rsidR="00FC0299" w:rsidRPr="00FC55D2">
        <w:rPr>
          <w:rFonts w:ascii="Arial" w:hAnsi="Arial" w:cs="Arial"/>
          <w:color w:val="0D0D0D" w:themeColor="text1" w:themeTint="F2"/>
        </w:rPr>
        <w:t xml:space="preserve"> balance and environs (Quin </w:t>
      </w:r>
      <w:r w:rsidR="00FC0299" w:rsidRPr="00FC55D2">
        <w:rPr>
          <w:rFonts w:ascii="Arial" w:hAnsi="Arial" w:cs="Arial"/>
          <w:i/>
          <w:color w:val="0D0D0D" w:themeColor="text1" w:themeTint="F2"/>
        </w:rPr>
        <w:t>et al</w:t>
      </w:r>
      <w:r w:rsidR="00FC0299" w:rsidRPr="00FC55D2">
        <w:rPr>
          <w:rFonts w:ascii="Arial" w:hAnsi="Arial" w:cs="Arial"/>
          <w:color w:val="0D0D0D" w:themeColor="text1" w:themeTint="F2"/>
        </w:rPr>
        <w:t>., 2025; Yu</w:t>
      </w:r>
      <w:r w:rsidRPr="00FC55D2">
        <w:rPr>
          <w:rFonts w:ascii="Arial" w:hAnsi="Arial" w:cs="Arial"/>
          <w:color w:val="0D0D0D" w:themeColor="text1" w:themeTint="F2"/>
        </w:rPr>
        <w:t xml:space="preserve"> </w:t>
      </w:r>
      <w:r w:rsidRPr="00FC55D2">
        <w:rPr>
          <w:rFonts w:ascii="Arial" w:hAnsi="Arial" w:cs="Arial"/>
          <w:i/>
          <w:color w:val="0D0D0D" w:themeColor="text1" w:themeTint="F2"/>
        </w:rPr>
        <w:t>et al</w:t>
      </w:r>
      <w:r w:rsidRPr="00FC55D2">
        <w:rPr>
          <w:rFonts w:ascii="Arial" w:hAnsi="Arial" w:cs="Arial"/>
          <w:color w:val="0D0D0D" w:themeColor="text1" w:themeTint="F2"/>
        </w:rPr>
        <w:t>., 202</w:t>
      </w:r>
      <w:r w:rsidR="00FC0299" w:rsidRPr="00FC55D2">
        <w:rPr>
          <w:rFonts w:ascii="Arial" w:hAnsi="Arial" w:cs="Arial"/>
          <w:color w:val="0D0D0D" w:themeColor="text1" w:themeTint="F2"/>
        </w:rPr>
        <w:t>5</w:t>
      </w:r>
      <w:r w:rsidRPr="00FC55D2">
        <w:rPr>
          <w:rFonts w:ascii="Arial" w:hAnsi="Arial" w:cs="Arial"/>
          <w:color w:val="0D0D0D" w:themeColor="text1" w:themeTint="F2"/>
        </w:rPr>
        <w:t>).</w:t>
      </w:r>
    </w:p>
    <w:p w14:paraId="73CAEB5C" w14:textId="77777777" w:rsidR="00161A0C" w:rsidRPr="00FC55D2" w:rsidRDefault="00161A0C" w:rsidP="00161A0C">
      <w:pPr>
        <w:spacing w:after="160" w:line="480" w:lineRule="auto"/>
        <w:jc w:val="both"/>
        <w:rPr>
          <w:rFonts w:ascii="Arial" w:hAnsi="Arial" w:cs="Arial"/>
          <w:color w:val="0D0D0D" w:themeColor="text1" w:themeTint="F2"/>
        </w:rPr>
      </w:pPr>
      <w:r w:rsidRPr="00FC55D2">
        <w:rPr>
          <w:rFonts w:ascii="Arial" w:hAnsi="Arial" w:cs="Arial"/>
          <w:color w:val="0D0D0D" w:themeColor="text1" w:themeTint="F2"/>
        </w:rPr>
        <w:t xml:space="preserve">Dragon Super is a widely used non-selective herbicide in agriculture, with </w:t>
      </w:r>
      <w:proofErr w:type="spellStart"/>
      <w:r w:rsidRPr="00FC55D2">
        <w:rPr>
          <w:rFonts w:ascii="Arial" w:hAnsi="Arial" w:cs="Arial"/>
          <w:color w:val="0D0D0D" w:themeColor="text1" w:themeTint="F2"/>
        </w:rPr>
        <w:t>Glufosinate</w:t>
      </w:r>
      <w:proofErr w:type="spellEnd"/>
      <w:r w:rsidRPr="00FC55D2">
        <w:rPr>
          <w:rFonts w:ascii="Arial" w:hAnsi="Arial" w:cs="Arial"/>
          <w:color w:val="0D0D0D" w:themeColor="text1" w:themeTint="F2"/>
        </w:rPr>
        <w:t xml:space="preserve">-ammonium as its active ingredient. </w:t>
      </w:r>
      <w:proofErr w:type="spellStart"/>
      <w:r w:rsidRPr="00FC55D2">
        <w:rPr>
          <w:rFonts w:ascii="Arial" w:hAnsi="Arial" w:cs="Arial"/>
          <w:color w:val="0D0D0D" w:themeColor="text1" w:themeTint="F2"/>
        </w:rPr>
        <w:t>Glufosinate</w:t>
      </w:r>
      <w:proofErr w:type="spellEnd"/>
      <w:r w:rsidRPr="00FC55D2">
        <w:rPr>
          <w:rFonts w:ascii="Arial" w:hAnsi="Arial" w:cs="Arial"/>
          <w:color w:val="0D0D0D" w:themeColor="text1" w:themeTint="F2"/>
        </w:rPr>
        <w:t>-ammonium is chemically known as ammonium (2RS)-2-amino-4-(hydroxy(methyl)</w:t>
      </w:r>
      <w:proofErr w:type="gramStart"/>
      <w:r w:rsidRPr="00FC55D2">
        <w:rPr>
          <w:rFonts w:ascii="Arial" w:hAnsi="Arial" w:cs="Arial"/>
          <w:color w:val="0D0D0D" w:themeColor="text1" w:themeTint="F2"/>
        </w:rPr>
        <w:t>phosphoryl)butanoate</w:t>
      </w:r>
      <w:proofErr w:type="gramEnd"/>
      <w:r w:rsidRPr="00FC55D2">
        <w:rPr>
          <w:rFonts w:ascii="Arial" w:hAnsi="Arial" w:cs="Arial"/>
          <w:color w:val="0D0D0D" w:themeColor="text1" w:themeTint="F2"/>
        </w:rPr>
        <w:t xml:space="preserve">, It is an organophosphorus compound and a derivative of </w:t>
      </w:r>
      <w:proofErr w:type="spellStart"/>
      <w:r w:rsidRPr="00FC55D2">
        <w:rPr>
          <w:rFonts w:ascii="Arial" w:hAnsi="Arial" w:cs="Arial"/>
          <w:color w:val="0D0D0D" w:themeColor="text1" w:themeTint="F2"/>
        </w:rPr>
        <w:t>phosphinic</w:t>
      </w:r>
      <w:proofErr w:type="spellEnd"/>
      <w:r w:rsidRPr="00FC55D2">
        <w:rPr>
          <w:rFonts w:ascii="Arial" w:hAnsi="Arial" w:cs="Arial"/>
          <w:color w:val="0D0D0D" w:themeColor="text1" w:themeTint="F2"/>
        </w:rPr>
        <w:t xml:space="preserve"> acid. It has a high water solubility and effectiveness against a broad spectrum of plant species, including both monocots and dicots (Zhou </w:t>
      </w:r>
      <w:r w:rsidRPr="00FC55D2">
        <w:rPr>
          <w:rFonts w:ascii="Arial" w:hAnsi="Arial" w:cs="Arial"/>
          <w:i/>
          <w:color w:val="0D0D0D" w:themeColor="text1" w:themeTint="F2"/>
        </w:rPr>
        <w:t>et al</w:t>
      </w:r>
      <w:r w:rsidRPr="00FC55D2">
        <w:rPr>
          <w:rFonts w:ascii="Arial" w:hAnsi="Arial" w:cs="Arial"/>
          <w:color w:val="0D0D0D" w:themeColor="text1" w:themeTint="F2"/>
        </w:rPr>
        <w:t xml:space="preserve">., 2020). </w:t>
      </w:r>
    </w:p>
    <w:p w14:paraId="4AB410DF" w14:textId="798ADEC2" w:rsidR="00161A0C" w:rsidRPr="00FC55D2" w:rsidRDefault="00161A0C" w:rsidP="00161A0C">
      <w:pPr>
        <w:spacing w:after="160" w:line="480" w:lineRule="auto"/>
        <w:jc w:val="both"/>
        <w:rPr>
          <w:rFonts w:ascii="Arial" w:hAnsi="Arial" w:cs="Arial"/>
          <w:color w:val="0D0D0D" w:themeColor="text1" w:themeTint="F2"/>
        </w:rPr>
      </w:pPr>
      <w:proofErr w:type="spellStart"/>
      <w:r w:rsidRPr="00FC55D2">
        <w:rPr>
          <w:rFonts w:ascii="Arial" w:hAnsi="Arial" w:cs="Arial"/>
          <w:color w:val="0D0D0D" w:themeColor="text1" w:themeTint="F2"/>
        </w:rPr>
        <w:t>Glufosinate</w:t>
      </w:r>
      <w:proofErr w:type="spellEnd"/>
      <w:r w:rsidRPr="00FC55D2">
        <w:rPr>
          <w:rFonts w:ascii="Arial" w:hAnsi="Arial" w:cs="Arial"/>
          <w:color w:val="0D0D0D" w:themeColor="text1" w:themeTint="F2"/>
        </w:rPr>
        <w:t>-ammonium hinders glutamine synthetase accountable for ammonia decontamination in plants, resulting in the accumulation of ammonia, interruption of photosynthesis, then, death of the plants. It has been used in agronomic schemes</w:t>
      </w:r>
      <w:r w:rsidR="00DE62FA">
        <w:rPr>
          <w:rFonts w:ascii="Arial" w:hAnsi="Arial" w:cs="Arial"/>
          <w:color w:val="0D0D0D" w:themeColor="text1" w:themeTint="F2"/>
        </w:rPr>
        <w:t>,</w:t>
      </w:r>
      <w:r w:rsidRPr="00FC55D2">
        <w:rPr>
          <w:rFonts w:ascii="Arial" w:hAnsi="Arial" w:cs="Arial"/>
          <w:color w:val="0D0D0D" w:themeColor="text1" w:themeTint="F2"/>
        </w:rPr>
        <w:t xml:space="preserve"> including orchards, vineyards, </w:t>
      </w:r>
      <w:r w:rsidR="00DE62FA">
        <w:rPr>
          <w:rFonts w:ascii="Arial" w:hAnsi="Arial" w:cs="Arial"/>
          <w:color w:val="0D0D0D" w:themeColor="text1" w:themeTint="F2"/>
        </w:rPr>
        <w:t xml:space="preserve">and </w:t>
      </w:r>
      <w:r w:rsidRPr="00FC55D2">
        <w:rPr>
          <w:rFonts w:ascii="Arial" w:hAnsi="Arial" w:cs="Arial"/>
          <w:color w:val="0D0D0D" w:themeColor="text1" w:themeTint="F2"/>
        </w:rPr>
        <w:t>genetically modified resistant crops, providin</w:t>
      </w:r>
      <w:r w:rsidR="00B5779C" w:rsidRPr="00FC55D2">
        <w:rPr>
          <w:rFonts w:ascii="Arial" w:hAnsi="Arial" w:cs="Arial"/>
          <w:color w:val="0D0D0D" w:themeColor="text1" w:themeTint="F2"/>
        </w:rPr>
        <w:t>g effective weed control (Takano and Dayan, 2020</w:t>
      </w:r>
      <w:r w:rsidRPr="00FC55D2">
        <w:rPr>
          <w:rFonts w:ascii="Arial" w:hAnsi="Arial" w:cs="Arial"/>
          <w:color w:val="0D0D0D" w:themeColor="text1" w:themeTint="F2"/>
        </w:rPr>
        <w:t>).</w:t>
      </w:r>
    </w:p>
    <w:p w14:paraId="78F81CF1" w14:textId="5F90AEF0" w:rsidR="00161A0C" w:rsidRPr="00FC55D2" w:rsidRDefault="00161A0C" w:rsidP="00161A0C">
      <w:pPr>
        <w:spacing w:after="160" w:line="480" w:lineRule="auto"/>
        <w:jc w:val="both"/>
        <w:rPr>
          <w:rFonts w:ascii="Arial" w:hAnsi="Arial" w:cs="Arial"/>
          <w:color w:val="0D0D0D" w:themeColor="text1" w:themeTint="F2"/>
        </w:rPr>
      </w:pPr>
      <w:proofErr w:type="spellStart"/>
      <w:r w:rsidRPr="00FC55D2">
        <w:rPr>
          <w:rFonts w:ascii="Arial" w:hAnsi="Arial" w:cs="Arial"/>
          <w:color w:val="0D0D0D" w:themeColor="text1" w:themeTint="F2"/>
        </w:rPr>
        <w:t>Glufosinate</w:t>
      </w:r>
      <w:proofErr w:type="spellEnd"/>
      <w:r w:rsidRPr="00FC55D2">
        <w:rPr>
          <w:rFonts w:ascii="Arial" w:hAnsi="Arial" w:cs="Arial"/>
          <w:color w:val="0D0D0D" w:themeColor="text1" w:themeTint="F2"/>
        </w:rPr>
        <w:t xml:space="preserve">-ammonium mechanism of action is somewhat not the same as glyphosate since it does not hinder the </w:t>
      </w:r>
      <w:r w:rsidRPr="00FC55D2">
        <w:rPr>
          <w:rFonts w:ascii="Arial" w:hAnsi="Arial" w:cs="Arial"/>
        </w:rPr>
        <w:t>enzyme 5-enolpyruvylshikimic acid-3-phosphate synthase</w:t>
      </w:r>
      <w:r w:rsidRPr="00FC55D2">
        <w:rPr>
          <w:rFonts w:ascii="Arial" w:hAnsi="Arial" w:cs="Arial"/>
          <w:color w:val="0D0D0D" w:themeColor="text1" w:themeTint="F2"/>
        </w:rPr>
        <w:t xml:space="preserve"> (EPSPS), the key aim of glyphosate action/activity. Rather, its herbicidal activity depend</w:t>
      </w:r>
      <w:r w:rsidR="00DE62FA">
        <w:rPr>
          <w:rFonts w:ascii="Arial" w:hAnsi="Arial" w:cs="Arial"/>
          <w:color w:val="0D0D0D" w:themeColor="text1" w:themeTint="F2"/>
        </w:rPr>
        <w:t>s</w:t>
      </w:r>
      <w:r w:rsidRPr="00FC55D2">
        <w:rPr>
          <w:rFonts w:ascii="Arial" w:hAnsi="Arial" w:cs="Arial"/>
          <w:color w:val="0D0D0D" w:themeColor="text1" w:themeTint="F2"/>
        </w:rPr>
        <w:t xml:space="preserve"> on the inhibition of glutamine synthetase vital for ammonia absorption in plants. Since animals lack the glutamine synthetase system </w:t>
      </w:r>
      <w:r w:rsidRPr="00FC55D2">
        <w:rPr>
          <w:rFonts w:ascii="Arial" w:hAnsi="Arial" w:cs="Arial"/>
          <w:color w:val="0D0D0D" w:themeColor="text1" w:themeTint="F2"/>
        </w:rPr>
        <w:lastRenderedPageBreak/>
        <w:t xml:space="preserve">in plants, </w:t>
      </w:r>
      <w:proofErr w:type="spellStart"/>
      <w:r w:rsidRPr="00FC55D2">
        <w:rPr>
          <w:rFonts w:ascii="Arial" w:hAnsi="Arial" w:cs="Arial"/>
          <w:color w:val="0D0D0D" w:themeColor="text1" w:themeTint="F2"/>
        </w:rPr>
        <w:t>glufosinate</w:t>
      </w:r>
      <w:proofErr w:type="spellEnd"/>
      <w:r w:rsidRPr="00FC55D2">
        <w:rPr>
          <w:rFonts w:ascii="Arial" w:hAnsi="Arial" w:cs="Arial"/>
          <w:color w:val="0D0D0D" w:themeColor="text1" w:themeTint="F2"/>
        </w:rPr>
        <w:t>-ammonium is selectively toxic to plants, but displays somewhat little noxiousness to mammals when used follow</w:t>
      </w:r>
      <w:r w:rsidR="00B5779C" w:rsidRPr="00FC55D2">
        <w:rPr>
          <w:rFonts w:ascii="Arial" w:hAnsi="Arial" w:cs="Arial"/>
          <w:color w:val="0D0D0D" w:themeColor="text1" w:themeTint="F2"/>
        </w:rPr>
        <w:t>ing the guiding principle (Chen</w:t>
      </w:r>
      <w:r w:rsidRPr="00FC55D2">
        <w:rPr>
          <w:rFonts w:ascii="Arial" w:hAnsi="Arial" w:cs="Arial"/>
          <w:color w:val="0D0D0D" w:themeColor="text1" w:themeTint="F2"/>
        </w:rPr>
        <w:t xml:space="preserve"> </w:t>
      </w:r>
      <w:r w:rsidRPr="00FC55D2">
        <w:rPr>
          <w:rFonts w:ascii="Arial" w:hAnsi="Arial" w:cs="Arial"/>
          <w:i/>
          <w:color w:val="0D0D0D" w:themeColor="text1" w:themeTint="F2"/>
        </w:rPr>
        <w:t>et al</w:t>
      </w:r>
      <w:r w:rsidRPr="00FC55D2">
        <w:rPr>
          <w:rFonts w:ascii="Arial" w:hAnsi="Arial" w:cs="Arial"/>
          <w:color w:val="0D0D0D" w:themeColor="text1" w:themeTint="F2"/>
        </w:rPr>
        <w:t>., 2</w:t>
      </w:r>
      <w:r w:rsidR="00B5779C" w:rsidRPr="00FC55D2">
        <w:rPr>
          <w:rFonts w:ascii="Arial" w:hAnsi="Arial" w:cs="Arial"/>
          <w:color w:val="0D0D0D" w:themeColor="text1" w:themeTint="F2"/>
        </w:rPr>
        <w:t>024</w:t>
      </w:r>
      <w:r w:rsidRPr="00FC55D2">
        <w:rPr>
          <w:rFonts w:ascii="Arial" w:hAnsi="Arial" w:cs="Arial"/>
          <w:color w:val="0D0D0D" w:themeColor="text1" w:themeTint="F2"/>
        </w:rPr>
        <w:t>).</w:t>
      </w:r>
    </w:p>
    <w:p w14:paraId="617B32E6" w14:textId="66E11D93" w:rsidR="00161A0C" w:rsidRPr="00FC55D2" w:rsidRDefault="00161A0C" w:rsidP="00161A0C">
      <w:pPr>
        <w:spacing w:after="160" w:line="480" w:lineRule="auto"/>
        <w:jc w:val="both"/>
        <w:rPr>
          <w:rFonts w:ascii="Arial" w:hAnsi="Arial" w:cs="Arial"/>
          <w:color w:val="0D0D0D" w:themeColor="text1" w:themeTint="F2"/>
        </w:rPr>
      </w:pPr>
      <w:r w:rsidRPr="00FC55D2">
        <w:rPr>
          <w:rFonts w:ascii="Arial" w:hAnsi="Arial" w:cs="Arial"/>
          <w:color w:val="0D0D0D" w:themeColor="text1" w:themeTint="F2"/>
        </w:rPr>
        <w:t>The Dragon Super incorporates surfactants in its preparation that boost the herbicide's grip and permeation into vegetal tissues, optimizing its effectiveness. Conversely, there are noteworthy eco</w:t>
      </w:r>
      <w:r w:rsidR="00DE62FA">
        <w:rPr>
          <w:rFonts w:ascii="Arial" w:hAnsi="Arial" w:cs="Arial"/>
          <w:color w:val="0D0D0D" w:themeColor="text1" w:themeTint="F2"/>
        </w:rPr>
        <w:t>-</w:t>
      </w:r>
      <w:r w:rsidRPr="00FC55D2">
        <w:rPr>
          <w:rFonts w:ascii="Arial" w:hAnsi="Arial" w:cs="Arial"/>
          <w:color w:val="0D0D0D" w:themeColor="text1" w:themeTint="F2"/>
        </w:rPr>
        <w:t>friendly fears concerning its usage. Herbicides affect microbial communities in addition to the target organisms in soil. These unintended consequences may diminish the effectiveness of significant soil rol</w:t>
      </w:r>
      <w:r w:rsidR="00B5779C" w:rsidRPr="00FC55D2">
        <w:rPr>
          <w:rFonts w:ascii="Arial" w:hAnsi="Arial" w:cs="Arial"/>
          <w:color w:val="0D0D0D" w:themeColor="text1" w:themeTint="F2"/>
        </w:rPr>
        <w:t>es/purpose (</w:t>
      </w:r>
      <w:proofErr w:type="spellStart"/>
      <w:r w:rsidR="00B5779C" w:rsidRPr="00FC55D2">
        <w:rPr>
          <w:rFonts w:ascii="Arial" w:hAnsi="Arial" w:cs="Arial"/>
          <w:color w:val="0D0D0D" w:themeColor="text1" w:themeTint="F2"/>
        </w:rPr>
        <w:t>Thiour-Mauprives</w:t>
      </w:r>
      <w:proofErr w:type="spellEnd"/>
      <w:r w:rsidR="00B5779C" w:rsidRPr="00FC55D2">
        <w:rPr>
          <w:rFonts w:ascii="Arial" w:hAnsi="Arial" w:cs="Arial"/>
          <w:color w:val="0D0D0D" w:themeColor="text1" w:themeTint="F2"/>
        </w:rPr>
        <w:t xml:space="preserve"> </w:t>
      </w:r>
      <w:r w:rsidR="00B5779C" w:rsidRPr="00FC55D2">
        <w:rPr>
          <w:rFonts w:ascii="Arial" w:hAnsi="Arial" w:cs="Arial"/>
          <w:i/>
          <w:color w:val="0D0D0D" w:themeColor="text1" w:themeTint="F2"/>
        </w:rPr>
        <w:t>et al</w:t>
      </w:r>
      <w:r w:rsidR="00B5779C" w:rsidRPr="00FC55D2">
        <w:rPr>
          <w:rFonts w:ascii="Arial" w:hAnsi="Arial" w:cs="Arial"/>
          <w:color w:val="0D0D0D" w:themeColor="text1" w:themeTint="F2"/>
        </w:rPr>
        <w:t xml:space="preserve">., 2019; Wang </w:t>
      </w:r>
      <w:r w:rsidR="00B5779C" w:rsidRPr="00FC55D2">
        <w:rPr>
          <w:rFonts w:ascii="Arial" w:hAnsi="Arial" w:cs="Arial"/>
          <w:i/>
          <w:color w:val="0D0D0D" w:themeColor="text1" w:themeTint="F2"/>
        </w:rPr>
        <w:t>et al</w:t>
      </w:r>
      <w:r w:rsidR="00B5779C" w:rsidRPr="00FC55D2">
        <w:rPr>
          <w:rFonts w:ascii="Arial" w:hAnsi="Arial" w:cs="Arial"/>
          <w:color w:val="0D0D0D" w:themeColor="text1" w:themeTint="F2"/>
        </w:rPr>
        <w:t xml:space="preserve">., 2024; Chowdhury </w:t>
      </w:r>
      <w:r w:rsidR="00B5779C" w:rsidRPr="00FC55D2">
        <w:rPr>
          <w:rFonts w:ascii="Arial" w:hAnsi="Arial" w:cs="Arial"/>
          <w:i/>
          <w:color w:val="0D0D0D" w:themeColor="text1" w:themeTint="F2"/>
        </w:rPr>
        <w:t>et al</w:t>
      </w:r>
      <w:r w:rsidR="00B5779C" w:rsidRPr="00FC55D2">
        <w:rPr>
          <w:rFonts w:ascii="Arial" w:hAnsi="Arial" w:cs="Arial"/>
          <w:color w:val="0D0D0D" w:themeColor="text1" w:themeTint="F2"/>
        </w:rPr>
        <w:t>., 2025</w:t>
      </w:r>
      <w:r w:rsidRPr="00FC55D2">
        <w:rPr>
          <w:rFonts w:ascii="Arial" w:hAnsi="Arial" w:cs="Arial"/>
          <w:color w:val="0D0D0D" w:themeColor="text1" w:themeTint="F2"/>
        </w:rPr>
        <w:t>) and stance a threat to the all-inclusive na</w:t>
      </w:r>
      <w:r w:rsidR="00B5779C" w:rsidRPr="00FC55D2">
        <w:rPr>
          <w:rFonts w:ascii="Arial" w:hAnsi="Arial" w:cs="Arial"/>
          <w:color w:val="0D0D0D" w:themeColor="text1" w:themeTint="F2"/>
        </w:rPr>
        <w:t xml:space="preserve">tural structure (Kiprotich </w:t>
      </w:r>
      <w:r w:rsidR="00B5779C" w:rsidRPr="00FC55D2">
        <w:rPr>
          <w:rFonts w:ascii="Arial" w:hAnsi="Arial" w:cs="Arial"/>
          <w:i/>
          <w:color w:val="0D0D0D" w:themeColor="text1" w:themeTint="F2"/>
        </w:rPr>
        <w:t>et al</w:t>
      </w:r>
      <w:r w:rsidR="00B5779C" w:rsidRPr="00FC55D2">
        <w:rPr>
          <w:rFonts w:ascii="Arial" w:hAnsi="Arial" w:cs="Arial"/>
          <w:color w:val="0D0D0D" w:themeColor="text1" w:themeTint="F2"/>
        </w:rPr>
        <w:t>., 2025</w:t>
      </w:r>
      <w:r w:rsidRPr="00FC55D2">
        <w:rPr>
          <w:rFonts w:ascii="Arial" w:hAnsi="Arial" w:cs="Arial"/>
          <w:color w:val="0D0D0D" w:themeColor="text1" w:themeTint="F2"/>
        </w:rPr>
        <w:t>) by (a) shifting their biosynthetic pathways, (b) upsetting protein biosynthesis, (c) disrupting cell membrane</w:t>
      </w:r>
      <w:r w:rsidR="00DE62FA">
        <w:rPr>
          <w:rFonts w:ascii="Arial" w:hAnsi="Arial" w:cs="Arial"/>
          <w:color w:val="0D0D0D" w:themeColor="text1" w:themeTint="F2"/>
        </w:rPr>
        <w:t>s</w:t>
      </w:r>
      <w:r w:rsidRPr="00FC55D2">
        <w:rPr>
          <w:rFonts w:ascii="Arial" w:hAnsi="Arial" w:cs="Arial"/>
          <w:color w:val="0D0D0D" w:themeColor="text1" w:themeTint="F2"/>
        </w:rPr>
        <w:t>, and (d) altering plant signaling pathways.</w:t>
      </w:r>
    </w:p>
    <w:p w14:paraId="4E5C8A61" w14:textId="138E46E2" w:rsidR="00161A0C" w:rsidRPr="00FC55D2" w:rsidRDefault="00DE62FA" w:rsidP="00161A0C">
      <w:pPr>
        <w:pStyle w:val="ListParagraph"/>
        <w:spacing w:line="480" w:lineRule="auto"/>
        <w:ind w:left="0"/>
        <w:jc w:val="both"/>
        <w:rPr>
          <w:rFonts w:ascii="Arial" w:hAnsi="Arial" w:cs="Arial"/>
          <w:color w:val="0D0D0D" w:themeColor="text1" w:themeTint="F2"/>
        </w:rPr>
      </w:pPr>
      <w:r>
        <w:rPr>
          <w:rFonts w:ascii="Arial" w:hAnsi="Arial" w:cs="Arial"/>
          <w:color w:val="0D0D0D" w:themeColor="text1" w:themeTint="F2"/>
        </w:rPr>
        <w:t>The a</w:t>
      </w:r>
      <w:r w:rsidR="00161A0C" w:rsidRPr="00FC55D2">
        <w:rPr>
          <w:rFonts w:ascii="Arial" w:hAnsi="Arial" w:cs="Arial"/>
          <w:color w:val="0D0D0D" w:themeColor="text1" w:themeTint="F2"/>
        </w:rPr>
        <w:t xml:space="preserve">pplication of agrochemicals has </w:t>
      </w:r>
      <w:r>
        <w:rPr>
          <w:rFonts w:ascii="Arial" w:hAnsi="Arial" w:cs="Arial"/>
          <w:color w:val="0D0D0D" w:themeColor="text1" w:themeTint="F2"/>
        </w:rPr>
        <w:t>increa</w:t>
      </w:r>
      <w:r w:rsidR="00161A0C" w:rsidRPr="00FC55D2">
        <w:rPr>
          <w:rFonts w:ascii="Arial" w:hAnsi="Arial" w:cs="Arial"/>
          <w:color w:val="0D0D0D" w:themeColor="text1" w:themeTint="F2"/>
        </w:rPr>
        <w:t>sed constantly ever since World War II. Amongst these substances, the usage of weedicides has escalated rapidly o</w:t>
      </w:r>
      <w:r>
        <w:rPr>
          <w:rFonts w:ascii="Arial" w:hAnsi="Arial" w:cs="Arial"/>
          <w:color w:val="0D0D0D" w:themeColor="text1" w:themeTint="F2"/>
        </w:rPr>
        <w:t>ver</w:t>
      </w:r>
      <w:r w:rsidR="00161A0C" w:rsidRPr="00FC55D2">
        <w:rPr>
          <w:rFonts w:ascii="Arial" w:hAnsi="Arial" w:cs="Arial"/>
          <w:color w:val="0D0D0D" w:themeColor="text1" w:themeTint="F2"/>
        </w:rPr>
        <w:t xml:space="preserve"> other pesticides. Globally</w:t>
      </w:r>
      <w:r>
        <w:rPr>
          <w:rFonts w:ascii="Arial" w:hAnsi="Arial" w:cs="Arial"/>
          <w:color w:val="0D0D0D" w:themeColor="text1" w:themeTint="F2"/>
        </w:rPr>
        <w:t>,</w:t>
      </w:r>
      <w:r w:rsidR="00161A0C" w:rsidRPr="00FC55D2">
        <w:rPr>
          <w:rFonts w:ascii="Arial" w:hAnsi="Arial" w:cs="Arial"/>
          <w:color w:val="0D0D0D" w:themeColor="text1" w:themeTint="F2"/>
        </w:rPr>
        <w:t xml:space="preserve"> their sales ha</w:t>
      </w:r>
      <w:r>
        <w:rPr>
          <w:rFonts w:ascii="Arial" w:hAnsi="Arial" w:cs="Arial"/>
          <w:color w:val="0D0D0D" w:themeColor="text1" w:themeTint="F2"/>
        </w:rPr>
        <w:t>ve</w:t>
      </w:r>
      <w:r w:rsidR="00161A0C" w:rsidRPr="00FC55D2">
        <w:rPr>
          <w:rFonts w:ascii="Arial" w:hAnsi="Arial" w:cs="Arial"/>
          <w:color w:val="0D0D0D" w:themeColor="text1" w:themeTint="F2"/>
        </w:rPr>
        <w:t xml:space="preserve"> exceeded those of fungicides or insecticides. In the US, merchandizing herbicides </w:t>
      </w:r>
      <w:r>
        <w:rPr>
          <w:rFonts w:ascii="Arial" w:hAnsi="Arial" w:cs="Arial"/>
          <w:color w:val="0D0D0D" w:themeColor="text1" w:themeTint="F2"/>
        </w:rPr>
        <w:t>is</w:t>
      </w:r>
      <w:r w:rsidR="00161A0C" w:rsidRPr="00FC55D2">
        <w:rPr>
          <w:rFonts w:ascii="Arial" w:hAnsi="Arial" w:cs="Arial"/>
          <w:color w:val="0D0D0D" w:themeColor="text1" w:themeTint="F2"/>
        </w:rPr>
        <w:t xml:space="preserve"> more than double th</w:t>
      </w:r>
      <w:r>
        <w:rPr>
          <w:rFonts w:ascii="Arial" w:hAnsi="Arial" w:cs="Arial"/>
          <w:color w:val="0D0D0D" w:themeColor="text1" w:themeTint="F2"/>
        </w:rPr>
        <w:t>at</w:t>
      </w:r>
      <w:r w:rsidR="00161A0C" w:rsidRPr="00FC55D2">
        <w:rPr>
          <w:rFonts w:ascii="Arial" w:hAnsi="Arial" w:cs="Arial"/>
          <w:color w:val="0D0D0D" w:themeColor="text1" w:themeTint="F2"/>
        </w:rPr>
        <w:t xml:space="preserve"> of insect repellent and nearly ten times th</w:t>
      </w:r>
      <w:r>
        <w:rPr>
          <w:rFonts w:ascii="Arial" w:hAnsi="Arial" w:cs="Arial"/>
          <w:color w:val="0D0D0D" w:themeColor="text1" w:themeTint="F2"/>
        </w:rPr>
        <w:t>at</w:t>
      </w:r>
      <w:r w:rsidR="00161A0C" w:rsidRPr="00FC55D2">
        <w:rPr>
          <w:rFonts w:ascii="Arial" w:hAnsi="Arial" w:cs="Arial"/>
          <w:color w:val="0D0D0D" w:themeColor="text1" w:themeTint="F2"/>
        </w:rPr>
        <w:t xml:space="preserve"> of fungicides. In Europe, sales of herbicides are just about double the sales of fungicides and insecticides. Even in developing nations, where manual </w:t>
      </w:r>
      <w:proofErr w:type="spellStart"/>
      <w:r w:rsidR="00161A0C" w:rsidRPr="00FC55D2">
        <w:rPr>
          <w:rFonts w:ascii="Arial" w:hAnsi="Arial" w:cs="Arial"/>
          <w:color w:val="0D0D0D" w:themeColor="text1" w:themeTint="F2"/>
        </w:rPr>
        <w:t>labour</w:t>
      </w:r>
      <w:proofErr w:type="spellEnd"/>
      <w:r w:rsidR="00161A0C" w:rsidRPr="00FC55D2">
        <w:rPr>
          <w:rFonts w:ascii="Arial" w:hAnsi="Arial" w:cs="Arial"/>
          <w:color w:val="0D0D0D" w:themeColor="text1" w:themeTint="F2"/>
        </w:rPr>
        <w:t xml:space="preserve"> for wild bush control is to some extent economical, enormous amounts of weed killers are utilized, comprising an extensive collection of xenobiotic composites of critical divergent configurations, </w:t>
      </w:r>
      <w:r>
        <w:rPr>
          <w:rFonts w:ascii="Arial" w:hAnsi="Arial" w:cs="Arial"/>
          <w:color w:val="0D0D0D" w:themeColor="text1" w:themeTint="F2"/>
        </w:rPr>
        <w:t xml:space="preserve">a </w:t>
      </w:r>
      <w:r w:rsidR="00161A0C" w:rsidRPr="00FC55D2">
        <w:rPr>
          <w:rFonts w:ascii="Arial" w:hAnsi="Arial" w:cs="Arial"/>
          <w:color w:val="0D0D0D" w:themeColor="text1" w:themeTint="F2"/>
        </w:rPr>
        <w:t>range of harmfulness to flora and fauna, in addition to prolonged presence in soil. Hence, fears about the outcomes of these compounds on soil environments, which are influenced significantly by life forms for sustaining persistent soil productivity/richness, is wholly ne</w:t>
      </w:r>
      <w:r w:rsidR="00B5779C" w:rsidRPr="00FC55D2">
        <w:rPr>
          <w:rFonts w:ascii="Arial" w:hAnsi="Arial" w:cs="Arial"/>
          <w:color w:val="0D0D0D" w:themeColor="text1" w:themeTint="F2"/>
        </w:rPr>
        <w:t>cessary (</w:t>
      </w:r>
      <w:proofErr w:type="spellStart"/>
      <w:r w:rsidR="00B5779C" w:rsidRPr="00FC55D2">
        <w:rPr>
          <w:rFonts w:ascii="Arial" w:hAnsi="Arial" w:cs="Arial"/>
          <w:color w:val="0D0D0D" w:themeColor="text1" w:themeTint="F2"/>
        </w:rPr>
        <w:t>Gruss</w:t>
      </w:r>
      <w:proofErr w:type="spellEnd"/>
      <w:r w:rsidR="00B5779C" w:rsidRPr="00FC55D2">
        <w:rPr>
          <w:rFonts w:ascii="Arial" w:hAnsi="Arial" w:cs="Arial"/>
          <w:color w:val="0D0D0D" w:themeColor="text1" w:themeTint="F2"/>
        </w:rPr>
        <w:t xml:space="preserve"> </w:t>
      </w:r>
      <w:r w:rsidR="00B5779C" w:rsidRPr="00FC55D2">
        <w:rPr>
          <w:rFonts w:ascii="Arial" w:hAnsi="Arial" w:cs="Arial"/>
          <w:i/>
          <w:color w:val="0D0D0D" w:themeColor="text1" w:themeTint="F2"/>
        </w:rPr>
        <w:t>et al</w:t>
      </w:r>
      <w:r w:rsidR="00B5779C" w:rsidRPr="00FC55D2">
        <w:rPr>
          <w:rFonts w:ascii="Arial" w:hAnsi="Arial" w:cs="Arial"/>
          <w:color w:val="0D0D0D" w:themeColor="text1" w:themeTint="F2"/>
        </w:rPr>
        <w:t>., 2025</w:t>
      </w:r>
      <w:r w:rsidR="00161A0C" w:rsidRPr="00FC55D2">
        <w:rPr>
          <w:rFonts w:ascii="Arial" w:hAnsi="Arial" w:cs="Arial"/>
          <w:color w:val="0D0D0D" w:themeColor="text1" w:themeTint="F2"/>
        </w:rPr>
        <w:t xml:space="preserve">). </w:t>
      </w:r>
    </w:p>
    <w:p w14:paraId="4F35897F" w14:textId="1A6DB81D" w:rsidR="00161A0C" w:rsidRPr="00FC55D2" w:rsidRDefault="00161A0C" w:rsidP="00161A0C">
      <w:pPr>
        <w:spacing w:line="480" w:lineRule="auto"/>
        <w:jc w:val="both"/>
        <w:rPr>
          <w:rFonts w:ascii="Arial" w:hAnsi="Arial" w:cs="Arial"/>
          <w:b/>
          <w:lang w:val="en-GB"/>
        </w:rPr>
      </w:pPr>
      <w:r w:rsidRPr="00FC55D2">
        <w:rPr>
          <w:rFonts w:ascii="Arial" w:hAnsi="Arial" w:cs="Arial"/>
          <w:lang w:val="en-GB"/>
        </w:rPr>
        <w:t>Chemical weed management is a standard agricultural practice targeted at controlling unwanted plants and optimizing crop production. Meanwhile, various short-term trials propose likely adverse effects</w:t>
      </w:r>
      <w:r w:rsidR="00DE62FA">
        <w:rPr>
          <w:rFonts w:ascii="Arial" w:hAnsi="Arial" w:cs="Arial"/>
          <w:lang w:val="en-GB"/>
        </w:rPr>
        <w:t>;</w:t>
      </w:r>
      <w:r w:rsidRPr="00FC55D2">
        <w:rPr>
          <w:rFonts w:ascii="Arial" w:hAnsi="Arial" w:cs="Arial"/>
          <w:lang w:val="en-GB"/>
        </w:rPr>
        <w:t xml:space="preserve"> the instantaneous consequences of herbicides on microbial richness and density remain unsatisfactorily understood. This laboratory trial centres on examining the transient effects of regularly employed herbicidal compound (</w:t>
      </w:r>
      <w:proofErr w:type="spellStart"/>
      <w:r w:rsidRPr="00FC55D2">
        <w:rPr>
          <w:rFonts w:ascii="Arial" w:hAnsi="Arial" w:cs="Arial"/>
          <w:bCs/>
          <w:color w:val="0D0D0D" w:themeColor="text1" w:themeTint="F2"/>
          <w:lang w:val="en-GB"/>
        </w:rPr>
        <w:t>Glufosinate</w:t>
      </w:r>
      <w:proofErr w:type="spellEnd"/>
      <w:r w:rsidRPr="00FC55D2">
        <w:rPr>
          <w:rFonts w:ascii="Arial" w:hAnsi="Arial" w:cs="Arial"/>
          <w:bCs/>
          <w:color w:val="0D0D0D" w:themeColor="text1" w:themeTint="F2"/>
          <w:lang w:val="en-GB"/>
        </w:rPr>
        <w:t xml:space="preserve"> ammonium 200 g/L (Dragon Super)</w:t>
      </w:r>
      <w:r w:rsidRPr="00FC55D2">
        <w:rPr>
          <w:rFonts w:ascii="Arial" w:hAnsi="Arial" w:cs="Arial"/>
          <w:lang w:val="en-GB"/>
        </w:rPr>
        <w:t>) on soil micro</w:t>
      </w:r>
      <w:r w:rsidR="00DE62FA">
        <w:rPr>
          <w:rFonts w:ascii="Arial" w:hAnsi="Arial" w:cs="Arial"/>
          <w:lang w:val="en-GB"/>
        </w:rPr>
        <w:t>bial</w:t>
      </w:r>
      <w:r w:rsidRPr="00FC55D2">
        <w:rPr>
          <w:rFonts w:ascii="Arial" w:hAnsi="Arial" w:cs="Arial"/>
          <w:lang w:val="en-GB"/>
        </w:rPr>
        <w:t xml:space="preserve"> population, precisely evaluating deviations in microbial variety/assortment, richness</w:t>
      </w:r>
      <w:r w:rsidR="00DE62FA">
        <w:rPr>
          <w:rFonts w:ascii="Arial" w:hAnsi="Arial" w:cs="Arial"/>
          <w:lang w:val="en-GB"/>
        </w:rPr>
        <w:t>,</w:t>
      </w:r>
      <w:r w:rsidRPr="00FC55D2">
        <w:rPr>
          <w:rFonts w:ascii="Arial" w:hAnsi="Arial" w:cs="Arial"/>
          <w:lang w:val="en-GB"/>
        </w:rPr>
        <w:t xml:space="preserve"> </w:t>
      </w:r>
      <w:r w:rsidRPr="00FC55D2">
        <w:rPr>
          <w:rFonts w:ascii="Arial" w:hAnsi="Arial" w:cs="Arial"/>
          <w:bCs/>
          <w:color w:val="0D0D0D" w:themeColor="text1" w:themeTint="F2"/>
          <w:lang w:val="en-GB"/>
        </w:rPr>
        <w:t>as well as soil physicochemical features</w:t>
      </w:r>
      <w:r w:rsidRPr="00FC55D2">
        <w:rPr>
          <w:rFonts w:ascii="Arial" w:hAnsi="Arial" w:cs="Arial"/>
          <w:lang w:val="en-GB"/>
        </w:rPr>
        <w:t>.</w:t>
      </w:r>
      <w:r w:rsidRPr="00FC55D2">
        <w:rPr>
          <w:rFonts w:ascii="Arial" w:hAnsi="Arial" w:cs="Arial"/>
          <w:b/>
          <w:lang w:val="en-GB"/>
        </w:rPr>
        <w:t xml:space="preserve"> </w:t>
      </w:r>
      <w:r w:rsidRPr="00FC55D2">
        <w:rPr>
          <w:rFonts w:ascii="Arial" w:hAnsi="Arial" w:cs="Arial"/>
          <w:bCs/>
          <w:color w:val="0D0D0D" w:themeColor="text1" w:themeTint="F2"/>
          <w:lang w:val="en-GB"/>
        </w:rPr>
        <w:t xml:space="preserve"> </w:t>
      </w:r>
    </w:p>
    <w:p w14:paraId="53E8BA4E" w14:textId="77777777" w:rsidR="00C606E3" w:rsidRPr="00FC55D2" w:rsidRDefault="00C606E3" w:rsidP="00C606E3">
      <w:pPr>
        <w:pStyle w:val="Body"/>
        <w:spacing w:after="0"/>
        <w:rPr>
          <w:rFonts w:ascii="Arial" w:hAnsi="Arial" w:cs="Arial"/>
        </w:rPr>
      </w:pPr>
    </w:p>
    <w:p w14:paraId="22403521" w14:textId="77777777" w:rsidR="00C606E3" w:rsidRPr="00FC55D2" w:rsidRDefault="00C606E3" w:rsidP="00C606E3">
      <w:pPr>
        <w:pStyle w:val="AbstHead"/>
        <w:spacing w:after="0"/>
        <w:jc w:val="both"/>
        <w:rPr>
          <w:rFonts w:ascii="Arial" w:hAnsi="Arial" w:cs="Arial"/>
        </w:rPr>
      </w:pPr>
      <w:r w:rsidRPr="00FC55D2">
        <w:rPr>
          <w:rFonts w:ascii="Arial" w:hAnsi="Arial" w:cs="Arial"/>
        </w:rPr>
        <w:lastRenderedPageBreak/>
        <w:t>2. material and methods</w:t>
      </w:r>
    </w:p>
    <w:p w14:paraId="1442F0F5" w14:textId="77777777" w:rsidR="00161A0C" w:rsidRPr="00FC55D2" w:rsidRDefault="00161A0C" w:rsidP="00161A0C">
      <w:pPr>
        <w:pStyle w:val="Heading2"/>
        <w:spacing w:line="480" w:lineRule="auto"/>
        <w:rPr>
          <w:rFonts w:ascii="Arial" w:hAnsi="Arial" w:cs="Arial"/>
          <w:sz w:val="22"/>
          <w:szCs w:val="22"/>
        </w:rPr>
      </w:pPr>
      <w:bookmarkStart w:id="0" w:name="_Toc183484952"/>
      <w:r w:rsidRPr="00FC55D2">
        <w:rPr>
          <w:rFonts w:ascii="Arial" w:hAnsi="Arial" w:cs="Arial"/>
          <w:sz w:val="22"/>
          <w:szCs w:val="22"/>
        </w:rPr>
        <w:t>2</w:t>
      </w:r>
      <w:r w:rsidR="004C7CAF" w:rsidRPr="00FC55D2">
        <w:rPr>
          <w:rFonts w:ascii="Arial" w:hAnsi="Arial" w:cs="Arial"/>
          <w:sz w:val="22"/>
          <w:szCs w:val="22"/>
        </w:rPr>
        <w:t>.1. Study a</w:t>
      </w:r>
      <w:r w:rsidRPr="00FC55D2">
        <w:rPr>
          <w:rFonts w:ascii="Arial" w:hAnsi="Arial" w:cs="Arial"/>
          <w:sz w:val="22"/>
          <w:szCs w:val="22"/>
        </w:rPr>
        <w:t>rea</w:t>
      </w:r>
      <w:bookmarkEnd w:id="0"/>
    </w:p>
    <w:p w14:paraId="6722A2CB" w14:textId="038ADBAB" w:rsidR="00161A0C" w:rsidRPr="00FC55D2" w:rsidRDefault="00161A0C" w:rsidP="00161A0C">
      <w:pPr>
        <w:spacing w:line="480" w:lineRule="auto"/>
        <w:jc w:val="both"/>
        <w:rPr>
          <w:rFonts w:ascii="Arial" w:hAnsi="Arial" w:cs="Arial"/>
          <w:bCs/>
          <w:color w:val="0D0D0D" w:themeColor="text1" w:themeTint="F2"/>
        </w:rPr>
      </w:pPr>
      <w:r w:rsidRPr="00FC55D2">
        <w:rPr>
          <w:rFonts w:ascii="Arial" w:hAnsi="Arial" w:cs="Arial"/>
          <w:bCs/>
          <w:color w:val="0D0D0D" w:themeColor="text1" w:themeTint="F2"/>
        </w:rPr>
        <w:t>The study was conducted in the environs of Warri, Delta State, Nigeria, focusing on various agricultural farming soils. Fresh uncontaminated soil samples w</w:t>
      </w:r>
      <w:r w:rsidR="00DE62FA">
        <w:rPr>
          <w:rFonts w:ascii="Arial" w:hAnsi="Arial" w:cs="Arial"/>
          <w:bCs/>
          <w:color w:val="0D0D0D" w:themeColor="text1" w:themeTint="F2"/>
        </w:rPr>
        <w:t>ere</w:t>
      </w:r>
      <w:r w:rsidRPr="00FC55D2">
        <w:rPr>
          <w:rFonts w:ascii="Arial" w:hAnsi="Arial" w:cs="Arial"/>
          <w:bCs/>
          <w:color w:val="0D0D0D" w:themeColor="text1" w:themeTint="F2"/>
        </w:rPr>
        <w:t xml:space="preserve"> collected from farmyard without pesticide use history in </w:t>
      </w:r>
      <w:proofErr w:type="spellStart"/>
      <w:r w:rsidRPr="00FC55D2">
        <w:rPr>
          <w:rFonts w:ascii="Arial" w:hAnsi="Arial" w:cs="Arial"/>
          <w:bCs/>
          <w:color w:val="0D0D0D" w:themeColor="text1" w:themeTint="F2"/>
        </w:rPr>
        <w:t>Uvwie</w:t>
      </w:r>
      <w:proofErr w:type="spellEnd"/>
      <w:r w:rsidRPr="00FC55D2">
        <w:rPr>
          <w:rFonts w:ascii="Arial" w:hAnsi="Arial" w:cs="Arial"/>
          <w:bCs/>
          <w:color w:val="0D0D0D" w:themeColor="text1" w:themeTint="F2"/>
        </w:rPr>
        <w:t xml:space="preserve">, Delta State, </w:t>
      </w:r>
      <w:r w:rsidRPr="00FC55D2">
        <w:rPr>
          <w:rFonts w:ascii="Arial" w:hAnsi="Arial" w:cs="Arial"/>
        </w:rPr>
        <w:t>with coordinates 5.53848⁰ N latitude and 5.77961⁰ E longitude, 5.53832⁰N latitude and 5,77981⁰E longitude, 5.53834⁰N latitude and 5.77973⁰E longitude.</w:t>
      </w:r>
    </w:p>
    <w:p w14:paraId="36CC4400" w14:textId="77777777" w:rsidR="00161A0C" w:rsidRPr="00FC55D2" w:rsidRDefault="00161A0C" w:rsidP="00161A0C">
      <w:pPr>
        <w:pStyle w:val="Heading2"/>
        <w:spacing w:line="480" w:lineRule="auto"/>
        <w:rPr>
          <w:rFonts w:ascii="Arial" w:hAnsi="Arial" w:cs="Arial"/>
          <w:sz w:val="22"/>
          <w:szCs w:val="22"/>
        </w:rPr>
      </w:pPr>
      <w:bookmarkStart w:id="1" w:name="_Toc183484953"/>
      <w:r w:rsidRPr="00FC55D2">
        <w:rPr>
          <w:rFonts w:ascii="Arial" w:hAnsi="Arial" w:cs="Arial"/>
          <w:sz w:val="22"/>
          <w:szCs w:val="22"/>
        </w:rPr>
        <w:t>2</w:t>
      </w:r>
      <w:r w:rsidR="004C7CAF" w:rsidRPr="00FC55D2">
        <w:rPr>
          <w:rFonts w:ascii="Arial" w:hAnsi="Arial" w:cs="Arial"/>
          <w:sz w:val="22"/>
          <w:szCs w:val="22"/>
        </w:rPr>
        <w:t>.2 Sample c</w:t>
      </w:r>
      <w:r w:rsidRPr="00FC55D2">
        <w:rPr>
          <w:rFonts w:ascii="Arial" w:hAnsi="Arial" w:cs="Arial"/>
          <w:sz w:val="22"/>
          <w:szCs w:val="22"/>
        </w:rPr>
        <w:t>ollection</w:t>
      </w:r>
      <w:bookmarkEnd w:id="1"/>
    </w:p>
    <w:p w14:paraId="55599050" w14:textId="13E89D5C" w:rsidR="00161A0C" w:rsidRPr="00FC55D2" w:rsidRDefault="00161A0C" w:rsidP="00161A0C">
      <w:pPr>
        <w:spacing w:after="200" w:line="480" w:lineRule="auto"/>
        <w:jc w:val="both"/>
        <w:rPr>
          <w:rFonts w:ascii="Arial" w:eastAsia="Calibri" w:hAnsi="Arial" w:cs="Arial"/>
          <w:color w:val="0D0D0D" w:themeColor="text1" w:themeTint="F2"/>
        </w:rPr>
      </w:pPr>
      <w:r w:rsidRPr="00FC55D2">
        <w:rPr>
          <w:rFonts w:ascii="Arial" w:eastAsia="Calibri" w:hAnsi="Arial" w:cs="Arial"/>
          <w:color w:val="0D0D0D" w:themeColor="text1" w:themeTint="F2"/>
        </w:rPr>
        <w:t xml:space="preserve">Soils were collected from agricultural areas in </w:t>
      </w:r>
      <w:proofErr w:type="spellStart"/>
      <w:r w:rsidRPr="00FC55D2">
        <w:rPr>
          <w:rFonts w:ascii="Arial" w:eastAsia="Calibri" w:hAnsi="Arial" w:cs="Arial"/>
          <w:color w:val="0D0D0D" w:themeColor="text1" w:themeTint="F2"/>
        </w:rPr>
        <w:t>Ojigho</w:t>
      </w:r>
      <w:proofErr w:type="spellEnd"/>
      <w:r w:rsidRPr="00FC55D2">
        <w:rPr>
          <w:rFonts w:ascii="Arial" w:eastAsia="Calibri" w:hAnsi="Arial" w:cs="Arial"/>
          <w:color w:val="0D0D0D" w:themeColor="text1" w:themeTint="F2"/>
        </w:rPr>
        <w:t xml:space="preserve"> Crescent, Effurun in Warri, Delta State. The topsoil debris was cleared, after which the </w:t>
      </w:r>
      <w:r w:rsidR="008920D4" w:rsidRPr="00FC55D2">
        <w:rPr>
          <w:rFonts w:ascii="Arial" w:eastAsia="Calibri" w:hAnsi="Arial" w:cs="Arial"/>
          <w:color w:val="0D0D0D" w:themeColor="text1" w:themeTint="F2"/>
        </w:rPr>
        <w:t xml:space="preserve">soil </w:t>
      </w:r>
      <w:r w:rsidRPr="00FC55D2">
        <w:rPr>
          <w:rFonts w:ascii="Arial" w:eastAsia="Calibri" w:hAnsi="Arial" w:cs="Arial"/>
          <w:color w:val="0D0D0D" w:themeColor="text1" w:themeTint="F2"/>
        </w:rPr>
        <w:t>auger was used to collect the top soil from a depth of 0 - 15 cm. The samples collected were subsequently put into sterile bags, sealed a</w:t>
      </w:r>
      <w:r w:rsidR="008920D4" w:rsidRPr="00FC55D2">
        <w:rPr>
          <w:rFonts w:ascii="Arial" w:eastAsia="Calibri" w:hAnsi="Arial" w:cs="Arial"/>
          <w:color w:val="0D0D0D" w:themeColor="text1" w:themeTint="F2"/>
        </w:rPr>
        <w:t>nd taken</w:t>
      </w:r>
      <w:r w:rsidRPr="00FC55D2">
        <w:rPr>
          <w:rFonts w:ascii="Arial" w:eastAsia="Calibri" w:hAnsi="Arial" w:cs="Arial"/>
          <w:color w:val="0D0D0D" w:themeColor="text1" w:themeTint="F2"/>
        </w:rPr>
        <w:t xml:space="preserve"> to the laboratory in coolers containing icepacks</w:t>
      </w:r>
      <w:r w:rsidR="008920D4" w:rsidRPr="00FC55D2">
        <w:rPr>
          <w:rFonts w:ascii="Arial" w:eastAsia="Calibri" w:hAnsi="Arial" w:cs="Arial"/>
          <w:color w:val="0D0D0D" w:themeColor="text1" w:themeTint="F2"/>
        </w:rPr>
        <w:t xml:space="preserve"> at 4</w:t>
      </w:r>
      <w:r w:rsidR="008920D4" w:rsidRPr="00FC55D2">
        <w:rPr>
          <w:rFonts w:ascii="Arial" w:eastAsia="Calibri" w:hAnsi="Arial" w:cs="Arial"/>
          <w:color w:val="0D0D0D" w:themeColor="text1" w:themeTint="F2"/>
          <w:vertAlign w:val="superscript"/>
        </w:rPr>
        <w:t>0</w:t>
      </w:r>
      <w:r w:rsidR="008920D4" w:rsidRPr="00FC55D2">
        <w:rPr>
          <w:rFonts w:ascii="Arial" w:eastAsia="Calibri" w:hAnsi="Arial" w:cs="Arial"/>
          <w:color w:val="0D0D0D" w:themeColor="text1" w:themeTint="F2"/>
        </w:rPr>
        <w:t>C</w:t>
      </w:r>
      <w:r w:rsidRPr="00FC55D2">
        <w:rPr>
          <w:rFonts w:ascii="Arial" w:eastAsia="Calibri" w:hAnsi="Arial" w:cs="Arial"/>
          <w:color w:val="0D0D0D" w:themeColor="text1" w:themeTint="F2"/>
        </w:rPr>
        <w:t>.</w:t>
      </w:r>
    </w:p>
    <w:p w14:paraId="68021E82" w14:textId="77777777" w:rsidR="00161A0C" w:rsidRPr="00FC55D2" w:rsidRDefault="00161A0C" w:rsidP="00161A0C">
      <w:pPr>
        <w:spacing w:after="200" w:line="480" w:lineRule="auto"/>
        <w:jc w:val="both"/>
        <w:rPr>
          <w:rFonts w:ascii="Arial" w:eastAsia="Calibri" w:hAnsi="Arial" w:cs="Arial"/>
          <w:color w:val="0D0D0D" w:themeColor="text1" w:themeTint="F2"/>
        </w:rPr>
      </w:pPr>
      <w:r w:rsidRPr="00FC55D2">
        <w:rPr>
          <w:rFonts w:ascii="Arial" w:eastAsia="Calibri" w:hAnsi="Arial" w:cs="Arial"/>
          <w:color w:val="0D0D0D" w:themeColor="text1" w:themeTint="F2"/>
        </w:rPr>
        <w:t>The herbicide used i</w:t>
      </w:r>
      <w:r w:rsidRPr="00FC55D2">
        <w:rPr>
          <w:rFonts w:ascii="Arial" w:hAnsi="Arial" w:cs="Arial"/>
          <w:color w:val="0D0D0D" w:themeColor="text1" w:themeTint="F2"/>
        </w:rPr>
        <w:t>n</w:t>
      </w:r>
      <w:r w:rsidRPr="00FC55D2">
        <w:rPr>
          <w:rFonts w:ascii="Arial" w:eastAsia="Calibri" w:hAnsi="Arial" w:cs="Arial"/>
          <w:color w:val="0D0D0D" w:themeColor="text1" w:themeTint="F2"/>
        </w:rPr>
        <w:t xml:space="preserve"> this research was </w:t>
      </w:r>
      <w:proofErr w:type="spellStart"/>
      <w:r w:rsidRPr="00FC55D2">
        <w:rPr>
          <w:rFonts w:ascii="Arial" w:eastAsia="Calibri" w:hAnsi="Arial" w:cs="Arial"/>
          <w:color w:val="0D0D0D" w:themeColor="text1" w:themeTint="F2"/>
        </w:rPr>
        <w:t>Drago</w:t>
      </w:r>
      <w:r w:rsidRPr="00FC55D2">
        <w:rPr>
          <w:rFonts w:ascii="Arial" w:eastAsia="Calibri" w:hAnsi="Arial" w:cs="Arial"/>
        </w:rPr>
        <w:t>nSuper</w:t>
      </w:r>
      <w:proofErr w:type="spellEnd"/>
      <w:r w:rsidRPr="00FC55D2">
        <w:rPr>
          <w:rFonts w:ascii="Arial" w:eastAsia="Calibri" w:hAnsi="Arial" w:cs="Arial"/>
          <w:color w:val="0D0D0D" w:themeColor="text1" w:themeTint="F2"/>
        </w:rPr>
        <w:t>, whose active ingredient is 200g/</w:t>
      </w:r>
      <w:proofErr w:type="spellStart"/>
      <w:r w:rsidRPr="00FC55D2">
        <w:rPr>
          <w:rFonts w:ascii="Arial" w:eastAsia="Calibri" w:hAnsi="Arial" w:cs="Arial"/>
          <w:color w:val="0D0D0D" w:themeColor="text1" w:themeTint="F2"/>
        </w:rPr>
        <w:t>litre</w:t>
      </w:r>
      <w:proofErr w:type="spellEnd"/>
      <w:r w:rsidRPr="00FC55D2">
        <w:rPr>
          <w:rFonts w:ascii="Arial" w:eastAsia="Calibri" w:hAnsi="Arial" w:cs="Arial"/>
          <w:color w:val="0D0D0D" w:themeColor="text1" w:themeTint="F2"/>
        </w:rPr>
        <w:t xml:space="preserve"> </w:t>
      </w:r>
      <w:proofErr w:type="spellStart"/>
      <w:r w:rsidRPr="00FC55D2">
        <w:rPr>
          <w:rFonts w:ascii="Arial" w:eastAsia="Calibri" w:hAnsi="Arial" w:cs="Arial"/>
          <w:color w:val="0D0D0D" w:themeColor="text1" w:themeTint="F2"/>
        </w:rPr>
        <w:t>Glufosinate</w:t>
      </w:r>
      <w:proofErr w:type="spellEnd"/>
      <w:r w:rsidRPr="00FC55D2">
        <w:rPr>
          <w:rFonts w:ascii="Arial" w:eastAsia="Calibri" w:hAnsi="Arial" w:cs="Arial"/>
          <w:color w:val="0D0D0D" w:themeColor="text1" w:themeTint="F2"/>
        </w:rPr>
        <w:t xml:space="preserve">-ammonium. It was sourced from an agro-store along Airport Road, Effurun, Delta State. </w:t>
      </w:r>
      <w:proofErr w:type="spellStart"/>
      <w:r w:rsidRPr="00FC55D2">
        <w:rPr>
          <w:rFonts w:ascii="Arial" w:eastAsia="Calibri" w:hAnsi="Arial" w:cs="Arial"/>
          <w:color w:val="0D0D0D" w:themeColor="text1" w:themeTint="F2"/>
        </w:rPr>
        <w:t>Glufosinate</w:t>
      </w:r>
      <w:proofErr w:type="spellEnd"/>
      <w:r w:rsidRPr="00FC55D2">
        <w:rPr>
          <w:rFonts w:ascii="Arial" w:eastAsia="Calibri" w:hAnsi="Arial" w:cs="Arial"/>
          <w:color w:val="0D0D0D" w:themeColor="text1" w:themeTint="F2"/>
        </w:rPr>
        <w:t xml:space="preserve">-ammonium, under the commercial name of </w:t>
      </w:r>
      <w:proofErr w:type="spellStart"/>
      <w:r w:rsidRPr="00FC55D2">
        <w:rPr>
          <w:rFonts w:ascii="Arial" w:eastAsia="Calibri" w:hAnsi="Arial" w:cs="Arial"/>
          <w:color w:val="0D0D0D" w:themeColor="text1" w:themeTint="F2"/>
        </w:rPr>
        <w:t>Drago</w:t>
      </w:r>
      <w:r w:rsidRPr="00FC55D2">
        <w:rPr>
          <w:rFonts w:ascii="Arial" w:eastAsia="Calibri" w:hAnsi="Arial" w:cs="Arial"/>
        </w:rPr>
        <w:t>nSuper</w:t>
      </w:r>
      <w:proofErr w:type="spellEnd"/>
      <w:r w:rsidRPr="00FC55D2">
        <w:rPr>
          <w:rFonts w:ascii="Arial" w:eastAsia="Calibri" w:hAnsi="Arial" w:cs="Arial"/>
          <w:color w:val="0D0D0D" w:themeColor="text1" w:themeTint="F2"/>
        </w:rPr>
        <w:t>, is a product from Ji</w:t>
      </w:r>
      <w:r w:rsidRPr="00FC55D2">
        <w:rPr>
          <w:rFonts w:ascii="Arial" w:eastAsia="Calibri" w:hAnsi="Arial" w:cs="Arial"/>
        </w:rPr>
        <w:t>nan Lu</w:t>
      </w:r>
      <w:r w:rsidRPr="00FC55D2">
        <w:rPr>
          <w:rFonts w:ascii="Arial" w:eastAsia="Calibri" w:hAnsi="Arial" w:cs="Arial"/>
          <w:color w:val="0D0D0D" w:themeColor="text1" w:themeTint="F2"/>
        </w:rPr>
        <w:t>b</w:t>
      </w:r>
      <w:r w:rsidRPr="00FC55D2">
        <w:rPr>
          <w:rFonts w:ascii="Arial" w:eastAsia="Calibri" w:hAnsi="Arial" w:cs="Arial"/>
        </w:rPr>
        <w:t>a Pesticides Company</w:t>
      </w:r>
      <w:r w:rsidRPr="00FC55D2">
        <w:rPr>
          <w:rFonts w:ascii="Arial" w:eastAsia="Calibri" w:hAnsi="Arial" w:cs="Arial"/>
          <w:color w:val="0D0D0D" w:themeColor="text1" w:themeTint="F2"/>
        </w:rPr>
        <w:t xml:space="preserve"> Ltd and is supplied in 1-liter containers.</w:t>
      </w:r>
    </w:p>
    <w:p w14:paraId="34594C13" w14:textId="77777777" w:rsidR="00161A0C" w:rsidRPr="00FC55D2" w:rsidRDefault="00161A0C" w:rsidP="00161A0C">
      <w:pPr>
        <w:pStyle w:val="Heading2"/>
        <w:rPr>
          <w:rFonts w:ascii="Arial" w:hAnsi="Arial" w:cs="Arial"/>
          <w:sz w:val="20"/>
          <w:szCs w:val="20"/>
        </w:rPr>
      </w:pPr>
      <w:bookmarkStart w:id="2" w:name="_Toc183484958"/>
      <w:r w:rsidRPr="00FC55D2">
        <w:rPr>
          <w:rFonts w:ascii="Arial" w:hAnsi="Arial" w:cs="Arial"/>
          <w:sz w:val="20"/>
          <w:szCs w:val="20"/>
        </w:rPr>
        <w:t>2</w:t>
      </w:r>
      <w:r w:rsidRPr="00FC55D2">
        <w:rPr>
          <w:rFonts w:ascii="Arial" w:hAnsi="Arial" w:cs="Arial"/>
          <w:sz w:val="22"/>
          <w:szCs w:val="22"/>
        </w:rPr>
        <w:t>.3 Physicochemical</w:t>
      </w:r>
      <w:bookmarkEnd w:id="2"/>
      <w:r w:rsidRPr="00FC55D2">
        <w:rPr>
          <w:rFonts w:ascii="Arial" w:hAnsi="Arial" w:cs="Arial"/>
          <w:sz w:val="22"/>
          <w:szCs w:val="22"/>
        </w:rPr>
        <w:t xml:space="preserve"> a</w:t>
      </w:r>
      <w:bookmarkStart w:id="3" w:name="_Toc183484961"/>
      <w:r w:rsidRPr="00FC55D2">
        <w:rPr>
          <w:rFonts w:ascii="Arial" w:hAnsi="Arial" w:cs="Arial"/>
          <w:sz w:val="22"/>
          <w:szCs w:val="22"/>
        </w:rPr>
        <w:t>nd Microbiolo</w:t>
      </w:r>
      <w:bookmarkEnd w:id="3"/>
      <w:r w:rsidRPr="00FC55D2">
        <w:rPr>
          <w:rFonts w:ascii="Arial" w:hAnsi="Arial" w:cs="Arial"/>
          <w:sz w:val="22"/>
          <w:szCs w:val="22"/>
        </w:rPr>
        <w:t>gical Analysis of the Pristine Soil Sample</w:t>
      </w:r>
      <w:r w:rsidRPr="00FC55D2">
        <w:rPr>
          <w:rFonts w:ascii="Arial" w:hAnsi="Arial" w:cs="Arial"/>
          <w:sz w:val="20"/>
          <w:szCs w:val="20"/>
        </w:rPr>
        <w:t xml:space="preserve"> </w:t>
      </w:r>
    </w:p>
    <w:p w14:paraId="60C84F7D" w14:textId="77777777" w:rsidR="00161A0C" w:rsidRPr="00FC55D2" w:rsidRDefault="00161A0C" w:rsidP="00161A0C">
      <w:pPr>
        <w:spacing w:after="200" w:line="480" w:lineRule="auto"/>
        <w:jc w:val="both"/>
        <w:rPr>
          <w:rFonts w:ascii="Arial" w:hAnsi="Arial" w:cs="Arial"/>
          <w:b/>
          <w:color w:val="0D0D0D" w:themeColor="text1" w:themeTint="F2"/>
        </w:rPr>
      </w:pPr>
      <w:r w:rsidRPr="00FC55D2">
        <w:rPr>
          <w:rFonts w:ascii="Arial" w:hAnsi="Arial" w:cs="Arial"/>
        </w:rPr>
        <w:t>The soil analysis was do</w:t>
      </w:r>
      <w:r w:rsidRPr="00FC55D2">
        <w:rPr>
          <w:rFonts w:ascii="Arial" w:hAnsi="Arial" w:cs="Arial"/>
          <w:color w:val="0D0D0D" w:themeColor="text1" w:themeTint="F2"/>
        </w:rPr>
        <w:t>n</w:t>
      </w:r>
      <w:r w:rsidRPr="00FC55D2">
        <w:rPr>
          <w:rFonts w:ascii="Arial" w:hAnsi="Arial" w:cs="Arial"/>
        </w:rPr>
        <w:t xml:space="preserve">e following several standard procedures to measure different parameters (APHA, 2022). </w:t>
      </w:r>
      <w:r w:rsidRPr="00FC55D2">
        <w:rPr>
          <w:rFonts w:ascii="Arial" w:hAnsi="Arial" w:cs="Arial"/>
          <w:color w:val="0D0D0D" w:themeColor="text1" w:themeTint="F2"/>
        </w:rPr>
        <w:t>The pH meter was calibrated with standard buffer solutions (typically pH 4, 7, and 10). Approximately 10g of the soil sample was weighed and added to 25 mL of deionized water. The mixture was stirred for about 30 minutes.</w:t>
      </w:r>
      <w:r w:rsidRPr="00FC55D2">
        <w:rPr>
          <w:rFonts w:ascii="Arial" w:hAnsi="Arial" w:cs="Arial"/>
          <w:b/>
          <w:color w:val="0D0D0D" w:themeColor="text1" w:themeTint="F2"/>
        </w:rPr>
        <w:t xml:space="preserve"> </w:t>
      </w:r>
      <w:r w:rsidRPr="00FC55D2">
        <w:rPr>
          <w:rFonts w:ascii="Arial" w:hAnsi="Arial" w:cs="Arial"/>
          <w:color w:val="0D0D0D" w:themeColor="text1" w:themeTint="F2"/>
        </w:rPr>
        <w:t>The pH probe was inserted into the suspension and pH recorded.</w:t>
      </w:r>
      <w:r w:rsidRPr="00FC55D2">
        <w:rPr>
          <w:rFonts w:ascii="Arial" w:hAnsi="Arial" w:cs="Arial"/>
          <w:b/>
          <w:color w:val="0D0D0D" w:themeColor="text1" w:themeTint="F2"/>
        </w:rPr>
        <w:t xml:space="preserve"> </w:t>
      </w:r>
      <w:r w:rsidRPr="00FC55D2">
        <w:rPr>
          <w:rFonts w:ascii="Arial" w:hAnsi="Arial" w:cs="Arial"/>
          <w:color w:val="0D0D0D" w:themeColor="text1" w:themeTint="F2"/>
        </w:rPr>
        <w:t>The probe was rinsed with distilled water before each reading. Temperature was measured using a digital thermometer</w:t>
      </w:r>
      <w:r w:rsidRPr="00FC55D2">
        <w:rPr>
          <w:rFonts w:ascii="Arial" w:hAnsi="Arial" w:cs="Arial"/>
          <w:b/>
          <w:color w:val="0D0D0D" w:themeColor="text1" w:themeTint="F2"/>
        </w:rPr>
        <w:t xml:space="preserve">. </w:t>
      </w:r>
      <w:r w:rsidRPr="00FC55D2">
        <w:rPr>
          <w:rFonts w:ascii="Arial" w:hAnsi="Arial" w:cs="Arial"/>
          <w:color w:val="0D0D0D" w:themeColor="text1" w:themeTint="F2"/>
        </w:rPr>
        <w:t xml:space="preserve"> The thermometer was inserted into the soil or sample matrix,</w:t>
      </w:r>
      <w:r w:rsidRPr="00FC55D2">
        <w:rPr>
          <w:rFonts w:ascii="Arial" w:hAnsi="Arial" w:cs="Arial"/>
          <w:b/>
          <w:color w:val="0D0D0D" w:themeColor="text1" w:themeTint="F2"/>
        </w:rPr>
        <w:t xml:space="preserve"> </w:t>
      </w:r>
      <w:r w:rsidRPr="00FC55D2">
        <w:rPr>
          <w:rFonts w:ascii="Arial" w:hAnsi="Arial" w:cs="Arial"/>
          <w:color w:val="0D0D0D" w:themeColor="text1" w:themeTint="F2"/>
        </w:rPr>
        <w:t>waited until the temperature stabilized and recorded the temperature.</w:t>
      </w:r>
      <w:r w:rsidRPr="00FC55D2">
        <w:rPr>
          <w:rFonts w:ascii="Arial" w:hAnsi="Arial" w:cs="Arial"/>
          <w:b/>
          <w:color w:val="0D0D0D" w:themeColor="text1" w:themeTint="F2"/>
        </w:rPr>
        <w:t xml:space="preserve"> </w:t>
      </w:r>
    </w:p>
    <w:p w14:paraId="7F9E5F66" w14:textId="580E6527" w:rsidR="00161A0C" w:rsidRPr="00FC55D2" w:rsidRDefault="00161A0C" w:rsidP="00161A0C">
      <w:pPr>
        <w:spacing w:after="200" w:line="480" w:lineRule="auto"/>
        <w:jc w:val="both"/>
        <w:rPr>
          <w:rFonts w:ascii="Arial" w:hAnsi="Arial" w:cs="Arial"/>
          <w:color w:val="0D0D0D" w:themeColor="text1" w:themeTint="F2"/>
        </w:rPr>
      </w:pPr>
      <w:r w:rsidRPr="00FC55D2">
        <w:rPr>
          <w:rFonts w:ascii="Arial" w:hAnsi="Arial" w:cs="Arial"/>
          <w:color w:val="0D0D0D" w:themeColor="text1" w:themeTint="F2"/>
        </w:rPr>
        <w:t xml:space="preserve">Five </w:t>
      </w:r>
      <w:proofErr w:type="spellStart"/>
      <w:r w:rsidRPr="00FC55D2">
        <w:rPr>
          <w:rFonts w:ascii="Arial" w:hAnsi="Arial" w:cs="Arial"/>
          <w:color w:val="0D0D0D" w:themeColor="text1" w:themeTint="F2"/>
        </w:rPr>
        <w:t>grammes</w:t>
      </w:r>
      <w:proofErr w:type="spellEnd"/>
      <w:r w:rsidRPr="00FC55D2">
        <w:rPr>
          <w:rFonts w:ascii="Arial" w:hAnsi="Arial" w:cs="Arial"/>
          <w:color w:val="0D0D0D" w:themeColor="text1" w:themeTint="F2"/>
        </w:rPr>
        <w:t xml:space="preserve"> of soil was weighed into a container with 50 mL of distilled water and shaken for 30 minutes.</w:t>
      </w:r>
      <w:r w:rsidRPr="00FC55D2">
        <w:rPr>
          <w:rFonts w:ascii="Arial" w:hAnsi="Arial" w:cs="Arial"/>
          <w:b/>
          <w:color w:val="0D0D0D" w:themeColor="text1" w:themeTint="F2"/>
        </w:rPr>
        <w:t xml:space="preserve"> </w:t>
      </w:r>
      <w:r w:rsidRPr="00FC55D2">
        <w:rPr>
          <w:rFonts w:ascii="Arial" w:hAnsi="Arial" w:cs="Arial"/>
          <w:color w:val="0D0D0D" w:themeColor="text1" w:themeTint="F2"/>
        </w:rPr>
        <w:t>The solution was filtered, 1 mL of conditioning reagent, barium chloride solution</w:t>
      </w:r>
      <w:r w:rsidR="00DE62FA">
        <w:rPr>
          <w:rFonts w:ascii="Arial" w:hAnsi="Arial" w:cs="Arial"/>
          <w:color w:val="0D0D0D" w:themeColor="text1" w:themeTint="F2"/>
        </w:rPr>
        <w:t>,</w:t>
      </w:r>
      <w:r w:rsidRPr="00FC55D2">
        <w:rPr>
          <w:rFonts w:ascii="Arial" w:hAnsi="Arial" w:cs="Arial"/>
          <w:color w:val="0D0D0D" w:themeColor="text1" w:themeTint="F2"/>
        </w:rPr>
        <w:t xml:space="preserve"> was added, and turbidity </w:t>
      </w:r>
      <w:r w:rsidR="00DE62FA">
        <w:rPr>
          <w:rFonts w:ascii="Arial" w:hAnsi="Arial" w:cs="Arial"/>
          <w:color w:val="0D0D0D" w:themeColor="text1" w:themeTint="F2"/>
        </w:rPr>
        <w:t xml:space="preserve">was </w:t>
      </w:r>
      <w:r w:rsidRPr="00FC55D2">
        <w:rPr>
          <w:rFonts w:ascii="Arial" w:hAnsi="Arial" w:cs="Arial"/>
          <w:color w:val="0D0D0D" w:themeColor="text1" w:themeTint="F2"/>
        </w:rPr>
        <w:t>measured using a spectrophotometer.</w:t>
      </w:r>
      <w:r w:rsidRPr="00FC55D2">
        <w:rPr>
          <w:rFonts w:ascii="Arial" w:hAnsi="Arial" w:cs="Arial"/>
          <w:b/>
          <w:color w:val="0D0D0D" w:themeColor="text1" w:themeTint="F2"/>
        </w:rPr>
        <w:t xml:space="preserve"> </w:t>
      </w:r>
      <w:r w:rsidRPr="00FC55D2">
        <w:rPr>
          <w:rFonts w:ascii="Arial" w:hAnsi="Arial" w:cs="Arial"/>
          <w:color w:val="0D0D0D" w:themeColor="text1" w:themeTint="F2"/>
        </w:rPr>
        <w:t xml:space="preserve">Results were compared with a calibration curve to determine sulphate concentration. </w:t>
      </w:r>
    </w:p>
    <w:p w14:paraId="79BEC8F5" w14:textId="77777777" w:rsidR="00161A0C" w:rsidRPr="00FC55D2" w:rsidRDefault="00161A0C" w:rsidP="00161A0C">
      <w:pPr>
        <w:spacing w:after="200" w:line="480" w:lineRule="auto"/>
        <w:jc w:val="both"/>
        <w:rPr>
          <w:rFonts w:ascii="Arial" w:hAnsi="Arial" w:cs="Arial"/>
          <w:b/>
          <w:color w:val="0D0D0D" w:themeColor="text1" w:themeTint="F2"/>
        </w:rPr>
      </w:pPr>
      <w:r w:rsidRPr="00FC55D2">
        <w:rPr>
          <w:rFonts w:ascii="Arial" w:hAnsi="Arial" w:cs="Arial"/>
          <w:color w:val="0D0D0D" w:themeColor="text1" w:themeTint="F2"/>
        </w:rPr>
        <w:lastRenderedPageBreak/>
        <w:t>Nitrates concentration was extracted by mixing 10g of soil with 50 mL of distilled water ad filtered. The nitrate reagent (cadmium) was added to the extract and add the absorbance was measured at 540 nm with a spectrophotometer.</w:t>
      </w:r>
      <w:r w:rsidRPr="00FC55D2">
        <w:rPr>
          <w:rFonts w:ascii="Arial" w:hAnsi="Arial" w:cs="Arial"/>
          <w:b/>
          <w:color w:val="0D0D0D" w:themeColor="text1" w:themeTint="F2"/>
        </w:rPr>
        <w:t xml:space="preserve"> </w:t>
      </w:r>
      <w:r w:rsidRPr="00FC55D2">
        <w:rPr>
          <w:rFonts w:ascii="Arial" w:hAnsi="Arial" w:cs="Arial"/>
          <w:color w:val="0D0D0D" w:themeColor="text1" w:themeTint="F2"/>
        </w:rPr>
        <w:t>Concentration was calculated using a calibration curve.</w:t>
      </w:r>
    </w:p>
    <w:p w14:paraId="2730576A" w14:textId="77777777" w:rsidR="00161A0C" w:rsidRPr="00FC55D2" w:rsidRDefault="00161A0C" w:rsidP="00161A0C">
      <w:pPr>
        <w:spacing w:after="200" w:line="480" w:lineRule="auto"/>
        <w:jc w:val="both"/>
        <w:rPr>
          <w:rFonts w:ascii="Arial" w:hAnsi="Arial" w:cs="Arial"/>
          <w:color w:val="0D0D0D" w:themeColor="text1" w:themeTint="F2"/>
        </w:rPr>
      </w:pPr>
      <w:r w:rsidRPr="00FC55D2">
        <w:rPr>
          <w:rFonts w:ascii="Arial" w:hAnsi="Arial" w:cs="Arial"/>
          <w:color w:val="0D0D0D" w:themeColor="text1" w:themeTint="F2"/>
        </w:rPr>
        <w:t xml:space="preserve">Electrical conductivity (EC) was measured using the conductivity meter. Ten grams soil was weighed into 50 mL of deionized water in a beaker. The mixture was stirred and allowed to stand for 30 minutes. The conductivity probe was inserted and reading in µS/cm was recorded. The meter was calibrated using standard solutions before measurement. </w:t>
      </w:r>
    </w:p>
    <w:p w14:paraId="04965374" w14:textId="77777777" w:rsidR="00161A0C" w:rsidRPr="00FC55D2" w:rsidRDefault="00161A0C" w:rsidP="00161A0C">
      <w:pPr>
        <w:spacing w:after="200" w:line="480" w:lineRule="auto"/>
        <w:jc w:val="both"/>
        <w:rPr>
          <w:rFonts w:ascii="Arial" w:hAnsi="Arial" w:cs="Arial"/>
          <w:color w:val="0D0D0D" w:themeColor="text1" w:themeTint="F2"/>
        </w:rPr>
      </w:pPr>
      <w:r w:rsidRPr="00FC55D2">
        <w:rPr>
          <w:rFonts w:ascii="Arial" w:hAnsi="Arial" w:cs="Arial"/>
          <w:color w:val="0D0D0D" w:themeColor="text1" w:themeTint="F2"/>
        </w:rPr>
        <w:t>Moisture content was measured through gravimetric method. The weight of the fresh soil sample was measured (wet weight) and placed in an oven at 105°C for 24 hours. Soil sample was reweighed and moisture content was calculated as a percentage × 100. Ammonium acetate extraction was used for cation exchange capacity (CEC). The soil sample was saturated with ammonium acetate solution (1M, pH 7) and ammonium displaced with sodium chloride. The displaced ammonium concentration was measured using a spectrophotometer and CEC calculated based on ammonium concentration. Total organic carbon (TOC) was carried out following the</w:t>
      </w:r>
      <w:r w:rsidRPr="00FC55D2">
        <w:rPr>
          <w:rFonts w:ascii="Arial" w:hAnsi="Arial" w:cs="Arial"/>
          <w:b/>
          <w:color w:val="0D0D0D" w:themeColor="text1" w:themeTint="F2"/>
        </w:rPr>
        <w:t xml:space="preserve"> </w:t>
      </w:r>
      <w:r w:rsidRPr="00FC55D2">
        <w:rPr>
          <w:rFonts w:ascii="Arial" w:hAnsi="Arial" w:cs="Arial"/>
          <w:color w:val="0D0D0D" w:themeColor="text1" w:themeTint="F2"/>
        </w:rPr>
        <w:t>Walkley-Black method. The soil was digested with potassium dichromate and sulfuric acid. The sample was titrated against ferrous ammonium sulfate. The TOC was calculated based on titration data and compared with a standard curve.</w:t>
      </w:r>
    </w:p>
    <w:p w14:paraId="160C49BB" w14:textId="77777777" w:rsidR="00161A0C" w:rsidRPr="00FC55D2" w:rsidRDefault="00161A0C" w:rsidP="00161A0C">
      <w:pPr>
        <w:spacing w:line="480" w:lineRule="auto"/>
        <w:jc w:val="both"/>
        <w:rPr>
          <w:rFonts w:ascii="Arial" w:hAnsi="Arial" w:cs="Arial"/>
        </w:rPr>
      </w:pPr>
      <w:r w:rsidRPr="00FC55D2">
        <w:rPr>
          <w:rFonts w:ascii="Arial" w:hAnsi="Arial" w:cs="Arial"/>
        </w:rPr>
        <w:t>The polycyclic aromatic hydrocarbons (PAHs) were extracted from the soil using hexane. The extracted PAHs were then concentrated and injected into a Gas Chromatography-Mass Spectrometry (GC-MS) Model 7820 (Agilent instruments, USA), where the PAH peaks were identified and quantified by comparison to known standards. For total petroleum hydrocarbons (TPH) analysis, hexane extraction was also employed to extract hydrocarbons from the soil. The extracted sample was analyzed using a GC-MS Model 7820 (Agilent instruments, USA), and the TPH concentration was calculated based on calibration standards.</w:t>
      </w:r>
      <w:bookmarkStart w:id="4" w:name="_Toc183090071"/>
    </w:p>
    <w:p w14:paraId="70755470" w14:textId="77777777" w:rsidR="00161A0C" w:rsidRPr="00FC55D2" w:rsidRDefault="00161A0C" w:rsidP="00161A0C">
      <w:pPr>
        <w:spacing w:line="480" w:lineRule="auto"/>
        <w:jc w:val="both"/>
        <w:rPr>
          <w:rFonts w:ascii="Arial" w:hAnsi="Arial" w:cs="Arial"/>
        </w:rPr>
      </w:pPr>
      <w:r w:rsidRPr="00FC55D2">
        <w:rPr>
          <w:rFonts w:ascii="Arial" w:hAnsi="Arial" w:cs="Arial"/>
        </w:rPr>
        <w:t>The analysis of heavy metals (lead, cadmium, arsenic, and mercury) was conducted using Atomic Absorption Spectrophotometry (AAS). First, the soil samples were digested using an acid digestion process with nitric acid (HNO</w:t>
      </w:r>
      <w:r w:rsidRPr="00FC55D2">
        <w:rPr>
          <w:rFonts w:ascii="Arial" w:hAnsi="Arial" w:cs="Arial"/>
          <w:vertAlign w:val="subscript"/>
        </w:rPr>
        <w:t>3</w:t>
      </w:r>
      <w:r w:rsidRPr="00FC55D2">
        <w:rPr>
          <w:rFonts w:ascii="Arial" w:hAnsi="Arial" w:cs="Arial"/>
        </w:rPr>
        <w:t xml:space="preserve">) and hydrochloric acid (HCl) to break down the sample and release the metals. The digested samples were then analyzed using AAS (SOLAAR 969AA UNICAM, </w:t>
      </w:r>
      <w:proofErr w:type="spellStart"/>
      <w:r w:rsidRPr="00FC55D2">
        <w:rPr>
          <w:rFonts w:ascii="Arial" w:hAnsi="Arial" w:cs="Arial"/>
        </w:rPr>
        <w:t>Spectronic</w:t>
      </w:r>
      <w:proofErr w:type="spellEnd"/>
      <w:r w:rsidRPr="00FC55D2">
        <w:rPr>
          <w:rFonts w:ascii="Arial" w:hAnsi="Arial" w:cs="Arial"/>
        </w:rPr>
        <w:t xml:space="preserve"> </w:t>
      </w:r>
      <w:proofErr w:type="spellStart"/>
      <w:r w:rsidRPr="00FC55D2">
        <w:rPr>
          <w:rFonts w:ascii="Arial" w:hAnsi="Arial" w:cs="Arial"/>
        </w:rPr>
        <w:t>Unicam</w:t>
      </w:r>
      <w:proofErr w:type="spellEnd"/>
      <w:r w:rsidRPr="00FC55D2">
        <w:rPr>
          <w:rFonts w:ascii="Arial" w:hAnsi="Arial" w:cs="Arial"/>
        </w:rPr>
        <w:t>, Cambridge, UK), where the metal concentrations were quantified by comparing the results to calibration curves.</w:t>
      </w:r>
      <w:bookmarkEnd w:id="4"/>
    </w:p>
    <w:p w14:paraId="60352DCB" w14:textId="77777777" w:rsidR="00161A0C" w:rsidRPr="00FC55D2" w:rsidRDefault="00161A0C" w:rsidP="00161A0C">
      <w:pPr>
        <w:spacing w:after="200" w:line="480" w:lineRule="auto"/>
        <w:jc w:val="both"/>
        <w:rPr>
          <w:rFonts w:ascii="Arial" w:hAnsi="Arial" w:cs="Arial"/>
          <w:color w:val="0D0D0D" w:themeColor="text1" w:themeTint="F2"/>
        </w:rPr>
      </w:pPr>
      <w:r w:rsidRPr="00FC55D2">
        <w:rPr>
          <w:rFonts w:ascii="Arial" w:hAnsi="Arial" w:cs="Arial"/>
          <w:color w:val="0D0D0D" w:themeColor="text1" w:themeTint="F2"/>
        </w:rPr>
        <w:lastRenderedPageBreak/>
        <w:t>The plate count method was used for the enumeration of total heterotrophic bacteria and fungi. Serial dilution was done using 1g soil in sterile physiological saline. The diluted samples (10</w:t>
      </w:r>
      <w:r w:rsidRPr="00FC55D2">
        <w:rPr>
          <w:rFonts w:ascii="Arial" w:hAnsi="Arial" w:cs="Arial"/>
          <w:color w:val="0D0D0D" w:themeColor="text1" w:themeTint="F2"/>
          <w:vertAlign w:val="superscript"/>
        </w:rPr>
        <w:t>-2</w:t>
      </w:r>
      <w:r w:rsidRPr="00FC55D2">
        <w:rPr>
          <w:rFonts w:ascii="Arial" w:hAnsi="Arial" w:cs="Arial"/>
          <w:color w:val="0D0D0D" w:themeColor="text1" w:themeTint="F2"/>
        </w:rPr>
        <w:t xml:space="preserve"> and 10</w:t>
      </w:r>
      <w:r w:rsidRPr="00FC55D2">
        <w:rPr>
          <w:rFonts w:ascii="Arial" w:hAnsi="Arial" w:cs="Arial"/>
          <w:color w:val="0D0D0D" w:themeColor="text1" w:themeTint="F2"/>
          <w:vertAlign w:val="superscript"/>
        </w:rPr>
        <w:t>-3</w:t>
      </w:r>
      <w:r w:rsidRPr="00FC55D2">
        <w:rPr>
          <w:rFonts w:ascii="Arial" w:hAnsi="Arial" w:cs="Arial"/>
          <w:color w:val="0D0D0D" w:themeColor="text1" w:themeTint="F2"/>
        </w:rPr>
        <w:t>) were plated on plate count agar (for bacteria) and potato dextrose agar (for fungi). The plates were incubated at 30°C (bacteria) or 25°C (fungi) for 72 hours. Discrete colonies were counted and calculated as colony-forming units (CFU) per gram of soil.</w:t>
      </w:r>
    </w:p>
    <w:p w14:paraId="732AAE2B" w14:textId="77777777" w:rsidR="00161A0C" w:rsidRPr="00FC55D2" w:rsidRDefault="00161A0C" w:rsidP="00161A0C">
      <w:pPr>
        <w:pStyle w:val="Heading2"/>
        <w:rPr>
          <w:rFonts w:ascii="Arial" w:hAnsi="Arial" w:cs="Arial"/>
          <w:sz w:val="22"/>
          <w:szCs w:val="22"/>
        </w:rPr>
      </w:pPr>
      <w:bookmarkStart w:id="5" w:name="_Toc183484962"/>
      <w:r w:rsidRPr="00FC55D2">
        <w:rPr>
          <w:rFonts w:ascii="Arial" w:hAnsi="Arial" w:cs="Arial"/>
          <w:sz w:val="22"/>
          <w:szCs w:val="22"/>
        </w:rPr>
        <w:t>2.4 Microcosm Studies</w:t>
      </w:r>
      <w:bookmarkEnd w:id="5"/>
    </w:p>
    <w:p w14:paraId="47689744" w14:textId="106985DB" w:rsidR="00161A0C" w:rsidRPr="00FC55D2" w:rsidRDefault="00161A0C" w:rsidP="00161A0C">
      <w:pPr>
        <w:spacing w:line="477" w:lineRule="auto"/>
        <w:jc w:val="both"/>
        <w:rPr>
          <w:rFonts w:ascii="Arial" w:hAnsi="Arial" w:cs="Arial"/>
          <w:color w:val="0D0D0D" w:themeColor="text1" w:themeTint="F2"/>
        </w:rPr>
      </w:pPr>
      <w:r w:rsidRPr="00FC55D2">
        <w:rPr>
          <w:rFonts w:ascii="Arial" w:hAnsi="Arial" w:cs="Arial"/>
          <w:color w:val="0D0D0D" w:themeColor="text1" w:themeTint="F2"/>
        </w:rPr>
        <w:t>The modified meth</w:t>
      </w:r>
      <w:r w:rsidR="00B5779C" w:rsidRPr="00FC55D2">
        <w:rPr>
          <w:rFonts w:ascii="Arial" w:hAnsi="Arial" w:cs="Arial"/>
          <w:color w:val="0D0D0D" w:themeColor="text1" w:themeTint="F2"/>
        </w:rPr>
        <w:t xml:space="preserve">od of </w:t>
      </w:r>
      <w:proofErr w:type="spellStart"/>
      <w:r w:rsidR="00B5779C" w:rsidRPr="00FC55D2">
        <w:rPr>
          <w:rFonts w:ascii="Arial" w:hAnsi="Arial" w:cs="Arial"/>
          <w:color w:val="0D0D0D" w:themeColor="text1" w:themeTint="F2"/>
        </w:rPr>
        <w:t>Ataikiru</w:t>
      </w:r>
      <w:proofErr w:type="spellEnd"/>
      <w:r w:rsidR="00B5779C" w:rsidRPr="00FC55D2">
        <w:rPr>
          <w:rFonts w:ascii="Arial" w:hAnsi="Arial" w:cs="Arial"/>
          <w:color w:val="0D0D0D" w:themeColor="text1" w:themeTint="F2"/>
        </w:rPr>
        <w:t xml:space="preserve"> and </w:t>
      </w:r>
      <w:proofErr w:type="spellStart"/>
      <w:r w:rsidR="00B5779C" w:rsidRPr="00FC55D2">
        <w:rPr>
          <w:rFonts w:ascii="Arial" w:hAnsi="Arial" w:cs="Arial"/>
          <w:color w:val="0D0D0D" w:themeColor="text1" w:themeTint="F2"/>
        </w:rPr>
        <w:t>Okorhi</w:t>
      </w:r>
      <w:proofErr w:type="spellEnd"/>
      <w:r w:rsidRPr="00FC55D2">
        <w:rPr>
          <w:rFonts w:ascii="Arial" w:hAnsi="Arial" w:cs="Arial"/>
          <w:color w:val="0D0D0D" w:themeColor="text1" w:themeTint="F2"/>
        </w:rPr>
        <w:t xml:space="preserve"> (2022) was adopted. The treatments were done in triplicates at two different concentrations of the pesticides. One (1) kg of farmyard soil was weighed into sterile bags, spiked with 20mL and 60 mL of the </w:t>
      </w:r>
      <w:proofErr w:type="spellStart"/>
      <w:r w:rsidRPr="00FC55D2">
        <w:rPr>
          <w:rFonts w:ascii="Arial" w:hAnsi="Arial" w:cs="Arial"/>
          <w:color w:val="0D0D0D" w:themeColor="text1" w:themeTint="F2"/>
        </w:rPr>
        <w:t>glufosinate</w:t>
      </w:r>
      <w:proofErr w:type="spellEnd"/>
      <w:r w:rsidRPr="00FC55D2">
        <w:rPr>
          <w:rFonts w:ascii="Arial" w:hAnsi="Arial" w:cs="Arial"/>
          <w:color w:val="0D0D0D" w:themeColor="text1" w:themeTint="F2"/>
        </w:rPr>
        <w:t xml:space="preserve"> ammonium. The experimental set-up were as follow; </w:t>
      </w:r>
    </w:p>
    <w:p w14:paraId="127FD80F" w14:textId="77777777" w:rsidR="00161A0C" w:rsidRPr="00FC55D2" w:rsidRDefault="00161A0C" w:rsidP="00161A0C">
      <w:pPr>
        <w:spacing w:line="477" w:lineRule="auto"/>
        <w:jc w:val="both"/>
        <w:rPr>
          <w:rFonts w:ascii="Arial" w:hAnsi="Arial" w:cs="Arial"/>
          <w:color w:val="0D0D0D" w:themeColor="text1" w:themeTint="F2"/>
        </w:rPr>
      </w:pPr>
      <w:r w:rsidRPr="00FC55D2">
        <w:rPr>
          <w:rFonts w:ascii="Arial" w:hAnsi="Arial" w:cs="Arial"/>
          <w:color w:val="0D0D0D" w:themeColor="text1" w:themeTint="F2"/>
        </w:rPr>
        <w:t xml:space="preserve">Control - farmyard soil </w:t>
      </w:r>
    </w:p>
    <w:p w14:paraId="4D906E72" w14:textId="77777777" w:rsidR="00161A0C" w:rsidRPr="00FC55D2" w:rsidRDefault="00161A0C" w:rsidP="00161A0C">
      <w:pPr>
        <w:spacing w:line="480" w:lineRule="auto"/>
        <w:rPr>
          <w:rFonts w:ascii="Arial" w:hAnsi="Arial" w:cs="Arial"/>
          <w:color w:val="0D0D0D" w:themeColor="text1" w:themeTint="F2"/>
        </w:rPr>
      </w:pPr>
      <w:r w:rsidRPr="00FC55D2">
        <w:rPr>
          <w:rFonts w:ascii="Arial" w:hAnsi="Arial" w:cs="Arial"/>
          <w:color w:val="0D0D0D" w:themeColor="text1" w:themeTint="F2"/>
        </w:rPr>
        <w:t xml:space="preserve">A - farmyard soil + 20mL </w:t>
      </w:r>
      <w:proofErr w:type="spellStart"/>
      <w:r w:rsidRPr="00FC55D2">
        <w:rPr>
          <w:rFonts w:ascii="Arial" w:hAnsi="Arial" w:cs="Arial"/>
          <w:color w:val="0D0D0D" w:themeColor="text1" w:themeTint="F2"/>
        </w:rPr>
        <w:t>glufosinate</w:t>
      </w:r>
      <w:proofErr w:type="spellEnd"/>
      <w:r w:rsidRPr="00FC55D2">
        <w:rPr>
          <w:rFonts w:ascii="Arial" w:hAnsi="Arial" w:cs="Arial"/>
          <w:color w:val="0D0D0D" w:themeColor="text1" w:themeTint="F2"/>
        </w:rPr>
        <w:t xml:space="preserve"> ammonium </w:t>
      </w:r>
    </w:p>
    <w:p w14:paraId="38E9F1B1" w14:textId="77777777" w:rsidR="00161A0C" w:rsidRPr="00FC55D2" w:rsidRDefault="00161A0C" w:rsidP="00161A0C">
      <w:pPr>
        <w:spacing w:line="480" w:lineRule="auto"/>
        <w:rPr>
          <w:rFonts w:ascii="Arial" w:hAnsi="Arial" w:cs="Arial"/>
          <w:b/>
        </w:rPr>
      </w:pPr>
      <w:r w:rsidRPr="00FC55D2">
        <w:rPr>
          <w:rFonts w:ascii="Arial" w:hAnsi="Arial" w:cs="Arial"/>
        </w:rPr>
        <w:t xml:space="preserve">B - farmyard soil + 60mL </w:t>
      </w:r>
      <w:proofErr w:type="spellStart"/>
      <w:r w:rsidRPr="00FC55D2">
        <w:rPr>
          <w:rFonts w:ascii="Arial" w:hAnsi="Arial" w:cs="Arial"/>
        </w:rPr>
        <w:t>glufosinate</w:t>
      </w:r>
      <w:proofErr w:type="spellEnd"/>
      <w:r w:rsidRPr="00FC55D2">
        <w:rPr>
          <w:rFonts w:ascii="Arial" w:hAnsi="Arial" w:cs="Arial"/>
        </w:rPr>
        <w:t xml:space="preserve"> ammonium</w:t>
      </w:r>
    </w:p>
    <w:p w14:paraId="01E9EAD2" w14:textId="77777777" w:rsidR="00161A0C" w:rsidRPr="00FC55D2" w:rsidRDefault="00161A0C" w:rsidP="00161A0C">
      <w:pPr>
        <w:spacing w:line="480" w:lineRule="auto"/>
        <w:jc w:val="both"/>
        <w:rPr>
          <w:rFonts w:ascii="Arial" w:hAnsi="Arial" w:cs="Arial"/>
          <w:b/>
        </w:rPr>
      </w:pPr>
      <w:r w:rsidRPr="00FC55D2">
        <w:rPr>
          <w:rFonts w:ascii="Arial" w:hAnsi="Arial" w:cs="Arial"/>
        </w:rPr>
        <w:t xml:space="preserve">Thereafter, samples were collected randomly from each set up and separately mixed to form a composite sample. Soil samples were examined for </w:t>
      </w:r>
      <w:proofErr w:type="spellStart"/>
      <w:r w:rsidRPr="00FC55D2">
        <w:rPr>
          <w:rFonts w:ascii="Arial" w:hAnsi="Arial" w:cs="Arial"/>
        </w:rPr>
        <w:t>physicochemicals</w:t>
      </w:r>
      <w:proofErr w:type="spellEnd"/>
      <w:r w:rsidRPr="00FC55D2">
        <w:rPr>
          <w:rFonts w:ascii="Arial" w:hAnsi="Arial" w:cs="Arial"/>
        </w:rPr>
        <w:t xml:space="preserve"> and microbial counts after 2 weeks. Isolation and identification of bacterial isolates was equally done. </w:t>
      </w:r>
    </w:p>
    <w:p w14:paraId="05E233C3" w14:textId="77777777" w:rsidR="00161A0C" w:rsidRPr="00FC55D2" w:rsidRDefault="00161A0C" w:rsidP="00161A0C">
      <w:pPr>
        <w:pStyle w:val="Heading2"/>
        <w:spacing w:line="480" w:lineRule="auto"/>
        <w:rPr>
          <w:rFonts w:ascii="Arial" w:hAnsi="Arial" w:cs="Arial"/>
          <w:sz w:val="22"/>
          <w:szCs w:val="22"/>
        </w:rPr>
      </w:pPr>
      <w:bookmarkStart w:id="6" w:name="_Toc183484963"/>
      <w:r w:rsidRPr="00FC55D2">
        <w:rPr>
          <w:rFonts w:ascii="Arial" w:hAnsi="Arial" w:cs="Arial"/>
          <w:sz w:val="22"/>
          <w:szCs w:val="22"/>
        </w:rPr>
        <w:t>2.5 Isolation and Identification of Bacterial Isolates</w:t>
      </w:r>
      <w:bookmarkEnd w:id="6"/>
      <w:r w:rsidRPr="00FC55D2">
        <w:rPr>
          <w:rFonts w:ascii="Arial" w:eastAsia="Times New Roman" w:hAnsi="Arial" w:cs="Arial"/>
          <w:sz w:val="22"/>
          <w:szCs w:val="22"/>
        </w:rPr>
        <w:t xml:space="preserve"> </w:t>
      </w:r>
    </w:p>
    <w:p w14:paraId="51E87F88" w14:textId="54C01F28" w:rsidR="00161A0C" w:rsidRPr="00FC55D2" w:rsidRDefault="00161A0C" w:rsidP="00161A0C">
      <w:pPr>
        <w:spacing w:line="480" w:lineRule="auto"/>
        <w:jc w:val="both"/>
        <w:rPr>
          <w:rFonts w:ascii="Arial" w:hAnsi="Arial" w:cs="Arial"/>
        </w:rPr>
      </w:pPr>
      <w:r w:rsidRPr="00FC55D2">
        <w:rPr>
          <w:rFonts w:ascii="Arial" w:hAnsi="Arial" w:cs="Arial"/>
        </w:rPr>
        <w:t>The total colony forming units (CFU) counts of total heterotrophic bacteria was measured by plating serial decimal dilutions (10</w:t>
      </w:r>
      <w:r w:rsidRPr="00FC55D2">
        <w:rPr>
          <w:rFonts w:ascii="Arial" w:hAnsi="Arial" w:cs="Arial"/>
          <w:vertAlign w:val="superscript"/>
        </w:rPr>
        <w:t>-3</w:t>
      </w:r>
      <w:r w:rsidRPr="00FC55D2">
        <w:rPr>
          <w:rFonts w:ascii="Arial" w:hAnsi="Arial" w:cs="Arial"/>
        </w:rPr>
        <w:t xml:space="preserve"> a</w:t>
      </w:r>
      <w:r w:rsidRPr="00FC55D2">
        <w:rPr>
          <w:rFonts w:ascii="Arial" w:hAnsi="Arial" w:cs="Arial"/>
          <w:color w:val="0D0D0D" w:themeColor="text1" w:themeTint="F2"/>
        </w:rPr>
        <w:t>n</w:t>
      </w:r>
      <w:r w:rsidRPr="00FC55D2">
        <w:rPr>
          <w:rFonts w:ascii="Arial" w:hAnsi="Arial" w:cs="Arial"/>
        </w:rPr>
        <w:t>d 10</w:t>
      </w:r>
      <w:r w:rsidRPr="00FC55D2">
        <w:rPr>
          <w:rFonts w:ascii="Arial" w:hAnsi="Arial" w:cs="Arial"/>
          <w:vertAlign w:val="superscript"/>
        </w:rPr>
        <w:t>-4</w:t>
      </w:r>
      <w:r w:rsidRPr="00FC55D2">
        <w:rPr>
          <w:rFonts w:ascii="Arial" w:hAnsi="Arial" w:cs="Arial"/>
        </w:rPr>
        <w:t>) of soil samples diluted in sterile distilled water (1% (w/v)) on plate count agar and incubated for 24 hours at 30◦C, as previously describe</w:t>
      </w:r>
      <w:r w:rsidR="00B5779C" w:rsidRPr="00FC55D2">
        <w:rPr>
          <w:rFonts w:ascii="Arial" w:hAnsi="Arial" w:cs="Arial"/>
        </w:rPr>
        <w:t xml:space="preserve">d by </w:t>
      </w:r>
      <w:proofErr w:type="spellStart"/>
      <w:r w:rsidR="00B5779C" w:rsidRPr="00FC55D2">
        <w:rPr>
          <w:rFonts w:ascii="Arial" w:hAnsi="Arial" w:cs="Arial"/>
        </w:rPr>
        <w:t>Ataikiru</w:t>
      </w:r>
      <w:proofErr w:type="spellEnd"/>
      <w:r w:rsidR="00B5779C" w:rsidRPr="00FC55D2">
        <w:rPr>
          <w:rFonts w:ascii="Arial" w:hAnsi="Arial" w:cs="Arial"/>
        </w:rPr>
        <w:t xml:space="preserve"> and </w:t>
      </w:r>
      <w:proofErr w:type="spellStart"/>
      <w:r w:rsidR="00B5779C" w:rsidRPr="00FC55D2">
        <w:rPr>
          <w:rFonts w:ascii="Arial" w:hAnsi="Arial" w:cs="Arial"/>
        </w:rPr>
        <w:t>Okorhi</w:t>
      </w:r>
      <w:proofErr w:type="spellEnd"/>
      <w:r w:rsidR="00B5779C" w:rsidRPr="00FC55D2">
        <w:rPr>
          <w:rFonts w:ascii="Arial" w:hAnsi="Arial" w:cs="Arial"/>
        </w:rPr>
        <w:t xml:space="preserve"> </w:t>
      </w:r>
      <w:r w:rsidRPr="00FC55D2">
        <w:rPr>
          <w:rFonts w:ascii="Arial" w:hAnsi="Arial" w:cs="Arial"/>
        </w:rPr>
        <w:t xml:space="preserve">(2022) . The isolation of total heterotrophic bacteria (THB) was done by the spread plate method on nutrient agar. Discrete colony forming units were picked and sub-cultured onto nutrient agar (NA) for further purification. Purification was done by streaking twice and transferred onto agar slant for storage, and identified with the biochemical tests described in </w:t>
      </w:r>
      <w:proofErr w:type="spellStart"/>
      <w:r w:rsidRPr="00FC55D2">
        <w:rPr>
          <w:rFonts w:ascii="Arial" w:hAnsi="Arial" w:cs="Arial"/>
        </w:rPr>
        <w:t>Bergey’s</w:t>
      </w:r>
      <w:proofErr w:type="spellEnd"/>
      <w:r w:rsidRPr="00FC55D2">
        <w:rPr>
          <w:rFonts w:ascii="Arial" w:hAnsi="Arial" w:cs="Arial"/>
        </w:rPr>
        <w:t xml:space="preserve"> Manual for Determinative Bacteriology (Holt </w:t>
      </w:r>
      <w:r w:rsidRPr="00FC55D2">
        <w:rPr>
          <w:rFonts w:ascii="Arial" w:hAnsi="Arial" w:cs="Arial"/>
          <w:i/>
        </w:rPr>
        <w:t>et al</w:t>
      </w:r>
      <w:r w:rsidR="00B5779C" w:rsidRPr="00FC55D2">
        <w:rPr>
          <w:rFonts w:ascii="Arial" w:hAnsi="Arial" w:cs="Arial"/>
        </w:rPr>
        <w:t>., 1994</w:t>
      </w:r>
      <w:r w:rsidRPr="00FC55D2">
        <w:rPr>
          <w:rFonts w:ascii="Arial" w:hAnsi="Arial" w:cs="Arial"/>
        </w:rPr>
        <w:t>).</w:t>
      </w:r>
    </w:p>
    <w:p w14:paraId="5F715E02" w14:textId="77777777" w:rsidR="00161A0C" w:rsidRPr="00FC55D2" w:rsidRDefault="00161A0C" w:rsidP="00161A0C">
      <w:pPr>
        <w:spacing w:line="480" w:lineRule="auto"/>
        <w:jc w:val="both"/>
        <w:rPr>
          <w:rFonts w:ascii="Arial" w:hAnsi="Arial" w:cs="Arial"/>
        </w:rPr>
      </w:pPr>
      <w:r w:rsidRPr="00FC55D2">
        <w:rPr>
          <w:rFonts w:ascii="Arial" w:hAnsi="Arial" w:cs="Arial"/>
        </w:rPr>
        <w:t xml:space="preserve"> In addition, the characterization and identification of the different bacterial isolates were performed using the Analytical Profile Index (API 20E &amp; API 50CH) (</w:t>
      </w:r>
      <w:proofErr w:type="spellStart"/>
      <w:r w:rsidRPr="00FC55D2">
        <w:rPr>
          <w:rFonts w:ascii="Arial" w:hAnsi="Arial" w:cs="Arial"/>
        </w:rPr>
        <w:t>Biomerieux</w:t>
      </w:r>
      <w:proofErr w:type="spellEnd"/>
      <w:r w:rsidRPr="00FC55D2">
        <w:rPr>
          <w:rFonts w:ascii="Arial" w:hAnsi="Arial" w:cs="Arial"/>
        </w:rPr>
        <w:t>, France) test strips (</w:t>
      </w:r>
      <w:proofErr w:type="spellStart"/>
      <w:r w:rsidRPr="00FC55D2">
        <w:rPr>
          <w:rFonts w:ascii="Arial" w:hAnsi="Arial" w:cs="Arial"/>
        </w:rPr>
        <w:t>Ataikiru</w:t>
      </w:r>
      <w:proofErr w:type="spellEnd"/>
      <w:r w:rsidRPr="00FC55D2">
        <w:rPr>
          <w:rFonts w:ascii="Arial" w:hAnsi="Arial" w:cs="Arial"/>
        </w:rPr>
        <w:t xml:space="preserve"> </w:t>
      </w:r>
      <w:r w:rsidRPr="00FC55D2">
        <w:rPr>
          <w:rFonts w:ascii="Arial" w:hAnsi="Arial" w:cs="Arial"/>
          <w:i/>
        </w:rPr>
        <w:t>et al</w:t>
      </w:r>
      <w:r w:rsidRPr="00FC55D2">
        <w:rPr>
          <w:rFonts w:ascii="Arial" w:hAnsi="Arial" w:cs="Arial"/>
        </w:rPr>
        <w:t xml:space="preserve">., 2020). The test was conducted, employing the manufacturer’s instructions at the Department of Biotechnology, </w:t>
      </w:r>
      <w:r w:rsidRPr="00FC55D2">
        <w:rPr>
          <w:rFonts w:ascii="Arial" w:hAnsi="Arial" w:cs="Arial"/>
        </w:rPr>
        <w:lastRenderedPageBreak/>
        <w:t xml:space="preserve">Federal Institute of Industrial Research Oshodi (FIIRO), Lagos, Nigeria. Results were read and interpreted afterwards via the API catalog or </w:t>
      </w:r>
      <w:proofErr w:type="spellStart"/>
      <w:r w:rsidRPr="00FC55D2">
        <w:rPr>
          <w:rFonts w:ascii="Arial" w:hAnsi="Arial" w:cs="Arial"/>
        </w:rPr>
        <w:t>apiweb</w:t>
      </w:r>
      <w:proofErr w:type="spellEnd"/>
      <w:r w:rsidRPr="00FC55D2">
        <w:rPr>
          <w:rFonts w:ascii="Arial" w:hAnsi="Arial" w:cs="Arial"/>
        </w:rPr>
        <w:t xml:space="preserve">: </w:t>
      </w:r>
      <w:hyperlink r:id="rId7" w:history="1">
        <w:r w:rsidRPr="00FC55D2">
          <w:rPr>
            <w:rStyle w:val="Hyperlink"/>
            <w:rFonts w:ascii="Arial" w:hAnsi="Arial" w:cs="Arial"/>
          </w:rPr>
          <w:t>https://apiweb.biomerieux.com</w:t>
        </w:r>
      </w:hyperlink>
      <w:r w:rsidRPr="00FC55D2">
        <w:rPr>
          <w:rFonts w:ascii="Arial" w:hAnsi="Arial" w:cs="Arial"/>
        </w:rPr>
        <w:t>.</w:t>
      </w:r>
    </w:p>
    <w:p w14:paraId="1B306CF0" w14:textId="77777777" w:rsidR="00161A0C" w:rsidRPr="00FC55D2" w:rsidRDefault="00161A0C" w:rsidP="00161A0C">
      <w:pPr>
        <w:spacing w:line="480" w:lineRule="auto"/>
        <w:jc w:val="both"/>
        <w:rPr>
          <w:rFonts w:ascii="Arial" w:hAnsi="Arial" w:cs="Arial"/>
        </w:rPr>
      </w:pPr>
      <w:r w:rsidRPr="00FC55D2">
        <w:rPr>
          <w:rFonts w:ascii="Arial" w:hAnsi="Arial" w:cs="Arial"/>
        </w:rPr>
        <w:t>The various API 20E tests are; Orthro-Nitrophenyl-beta-</w:t>
      </w:r>
      <w:proofErr w:type="spellStart"/>
      <w:r w:rsidRPr="00FC55D2">
        <w:rPr>
          <w:rFonts w:ascii="Arial" w:hAnsi="Arial" w:cs="Arial"/>
        </w:rPr>
        <w:t>DGalactoPyranosidase</w:t>
      </w:r>
      <w:proofErr w:type="spellEnd"/>
      <w:r w:rsidRPr="00FC55D2">
        <w:rPr>
          <w:rFonts w:ascii="Arial" w:hAnsi="Arial" w:cs="Arial"/>
        </w:rPr>
        <w:t xml:space="preserve"> (ONPG), Arginine </w:t>
      </w:r>
      <w:proofErr w:type="spellStart"/>
      <w:r w:rsidRPr="00FC55D2">
        <w:rPr>
          <w:rFonts w:ascii="Arial" w:hAnsi="Arial" w:cs="Arial"/>
        </w:rPr>
        <w:t>DiHydrolase</w:t>
      </w:r>
      <w:proofErr w:type="spellEnd"/>
      <w:r w:rsidRPr="00FC55D2">
        <w:rPr>
          <w:rFonts w:ascii="Arial" w:hAnsi="Arial" w:cs="Arial"/>
        </w:rPr>
        <w:t xml:space="preserve"> (ADH), Lysine </w:t>
      </w:r>
      <w:proofErr w:type="spellStart"/>
      <w:r w:rsidRPr="00FC55D2">
        <w:rPr>
          <w:rFonts w:ascii="Arial" w:hAnsi="Arial" w:cs="Arial"/>
        </w:rPr>
        <w:t>DeCarboxylase</w:t>
      </w:r>
      <w:proofErr w:type="spellEnd"/>
      <w:r w:rsidRPr="00FC55D2">
        <w:rPr>
          <w:rFonts w:ascii="Arial" w:hAnsi="Arial" w:cs="Arial"/>
        </w:rPr>
        <w:t xml:space="preserve"> (LDC), Ornithine </w:t>
      </w:r>
      <w:proofErr w:type="spellStart"/>
      <w:r w:rsidRPr="00FC55D2">
        <w:rPr>
          <w:rFonts w:ascii="Arial" w:hAnsi="Arial" w:cs="Arial"/>
        </w:rPr>
        <w:t>DeCarboxylase</w:t>
      </w:r>
      <w:proofErr w:type="spellEnd"/>
      <w:r w:rsidRPr="00FC55D2">
        <w:rPr>
          <w:rFonts w:ascii="Arial" w:hAnsi="Arial" w:cs="Arial"/>
        </w:rPr>
        <w:t xml:space="preserve"> (ODC), Citrate (CIT), Hydrogen </w:t>
      </w:r>
      <w:proofErr w:type="spellStart"/>
      <w:r w:rsidRPr="00FC55D2">
        <w:rPr>
          <w:rFonts w:ascii="Arial" w:hAnsi="Arial" w:cs="Arial"/>
        </w:rPr>
        <w:t>sulphide</w:t>
      </w:r>
      <w:proofErr w:type="spellEnd"/>
      <w:r w:rsidRPr="00FC55D2">
        <w:rPr>
          <w:rFonts w:ascii="Arial" w:hAnsi="Arial" w:cs="Arial"/>
        </w:rPr>
        <w:t xml:space="preserve"> Production (H2S), Urease (URE), Tryptophan </w:t>
      </w:r>
      <w:proofErr w:type="spellStart"/>
      <w:r w:rsidRPr="00FC55D2">
        <w:rPr>
          <w:rFonts w:ascii="Arial" w:hAnsi="Arial" w:cs="Arial"/>
        </w:rPr>
        <w:t>DeAminase</w:t>
      </w:r>
      <w:proofErr w:type="spellEnd"/>
      <w:r w:rsidRPr="00FC55D2">
        <w:rPr>
          <w:rFonts w:ascii="Arial" w:hAnsi="Arial" w:cs="Arial"/>
        </w:rPr>
        <w:t xml:space="preserve"> (TDA), Indole production (IND), Voges Proskauer (VP), Gelatinase (GEL), </w:t>
      </w:r>
      <w:proofErr w:type="spellStart"/>
      <w:r w:rsidRPr="00FC55D2">
        <w:rPr>
          <w:rFonts w:ascii="Arial" w:hAnsi="Arial" w:cs="Arial"/>
        </w:rPr>
        <w:t>Dglucose</w:t>
      </w:r>
      <w:proofErr w:type="spellEnd"/>
      <w:r w:rsidRPr="00FC55D2">
        <w:rPr>
          <w:rFonts w:ascii="Arial" w:hAnsi="Arial" w:cs="Arial"/>
        </w:rPr>
        <w:t xml:space="preserve"> (GLU), D-mannitol (MAN), Inositol (INO), D-Sorbitol (SOR), L-Rhamnose (RHA), Saccharose (D-Sucrose) (SAC), D-melibiose (MEL), Amygdalin (AMY), L-Arabinose (ARA), Cytochrome Oxidase (OX), Motility (MOB), MacConkey medium (</w:t>
      </w:r>
      <w:proofErr w:type="spellStart"/>
      <w:r w:rsidRPr="00FC55D2">
        <w:rPr>
          <w:rFonts w:ascii="Arial" w:hAnsi="Arial" w:cs="Arial"/>
        </w:rPr>
        <w:t>McC</w:t>
      </w:r>
      <w:proofErr w:type="spellEnd"/>
      <w:r w:rsidRPr="00FC55D2">
        <w:rPr>
          <w:rFonts w:ascii="Arial" w:hAnsi="Arial" w:cs="Arial"/>
        </w:rPr>
        <w:t>), Fermentation – under mineral oil (OF-F) and Oxidation – exposed to the air (OF-O).</w:t>
      </w:r>
    </w:p>
    <w:p w14:paraId="2BCFF07B" w14:textId="77777777" w:rsidR="00161A0C" w:rsidRPr="00FC55D2" w:rsidRDefault="00161A0C" w:rsidP="00161A0C">
      <w:pPr>
        <w:spacing w:line="360" w:lineRule="auto"/>
        <w:jc w:val="both"/>
        <w:rPr>
          <w:rFonts w:ascii="Arial" w:hAnsi="Arial" w:cs="Arial"/>
        </w:rPr>
      </w:pPr>
      <w:r w:rsidRPr="00FC55D2">
        <w:rPr>
          <w:rFonts w:ascii="Arial" w:hAnsi="Arial" w:cs="Arial"/>
        </w:rPr>
        <w:t>The following are the tests in API 50CH; Glycerol (GLY), ERY Erythritol (ERY), D-Arabinose (DARA), L-Arabinose (LARA), D-Ribose (RIB), D-Xylose (DXYL), L-Xylose (LXYL), D-Adonitol (ADO), Methyl-ß-D-</w:t>
      </w:r>
      <w:proofErr w:type="spellStart"/>
      <w:r w:rsidRPr="00FC55D2">
        <w:rPr>
          <w:rFonts w:ascii="Arial" w:hAnsi="Arial" w:cs="Arial"/>
        </w:rPr>
        <w:t>xylopyranoside</w:t>
      </w:r>
      <w:proofErr w:type="spellEnd"/>
      <w:r w:rsidRPr="00FC55D2">
        <w:rPr>
          <w:rFonts w:ascii="Arial" w:hAnsi="Arial" w:cs="Arial"/>
        </w:rPr>
        <w:t xml:space="preserve"> (MDX), D-Galactose (GAL), D-Glucose (GLU), D-Fructose (FRU), D-Mannose (MNE), L-Sorbose (SBE), L-Rhamnose (RHA) Dulcitol (DUL), Inositol (INO), D-Mannitol (MAN), D-Sorbitol (SOR), Methyl-α-D-</w:t>
      </w:r>
      <w:proofErr w:type="spellStart"/>
      <w:r w:rsidRPr="00FC55D2">
        <w:rPr>
          <w:rFonts w:ascii="Arial" w:hAnsi="Arial" w:cs="Arial"/>
        </w:rPr>
        <w:t>mannopyranoside</w:t>
      </w:r>
      <w:proofErr w:type="spellEnd"/>
      <w:r w:rsidRPr="00FC55D2">
        <w:rPr>
          <w:rFonts w:ascii="Arial" w:hAnsi="Arial" w:cs="Arial"/>
        </w:rPr>
        <w:t xml:space="preserve">  (MDM), Methyl-α-D-glucopyranoside  (MDG), N-Acetylglucosamine (NAG), Amygdalin (AMY), Arbutin (ARB), Esculin, Ferric citrate (ESC), </w:t>
      </w:r>
      <w:proofErr w:type="spellStart"/>
      <w:r w:rsidRPr="00FC55D2">
        <w:rPr>
          <w:rFonts w:ascii="Arial" w:hAnsi="Arial" w:cs="Arial"/>
        </w:rPr>
        <w:t>Salicin</w:t>
      </w:r>
      <w:proofErr w:type="spellEnd"/>
      <w:r w:rsidRPr="00FC55D2">
        <w:rPr>
          <w:rFonts w:ascii="Arial" w:hAnsi="Arial" w:cs="Arial"/>
        </w:rPr>
        <w:t xml:space="preserve"> (SAL), D-Cellobiose  (CEL), D-Maltose (MAL), D-Lactose (bovine origin) (LAC), D-Melibiose (MEL), D-Saccharose (sucrose) (SAC), D-</w:t>
      </w:r>
      <w:proofErr w:type="spellStart"/>
      <w:r w:rsidRPr="00FC55D2">
        <w:rPr>
          <w:rFonts w:ascii="Arial" w:hAnsi="Arial" w:cs="Arial"/>
        </w:rPr>
        <w:t>Trehalose</w:t>
      </w:r>
      <w:proofErr w:type="spellEnd"/>
      <w:r w:rsidRPr="00FC55D2">
        <w:rPr>
          <w:rFonts w:ascii="Arial" w:hAnsi="Arial" w:cs="Arial"/>
        </w:rPr>
        <w:t xml:space="preserve"> (TRE), Inulin (INU), D-</w:t>
      </w:r>
      <w:proofErr w:type="spellStart"/>
      <w:r w:rsidRPr="00FC55D2">
        <w:rPr>
          <w:rFonts w:ascii="Arial" w:hAnsi="Arial" w:cs="Arial"/>
        </w:rPr>
        <w:t>Melezitose</w:t>
      </w:r>
      <w:proofErr w:type="spellEnd"/>
      <w:r w:rsidRPr="00FC55D2">
        <w:rPr>
          <w:rFonts w:ascii="Arial" w:hAnsi="Arial" w:cs="Arial"/>
        </w:rPr>
        <w:t xml:space="preserve"> (MLZ), D-Raffinose (RAF), Starch (</w:t>
      </w:r>
      <w:proofErr w:type="spellStart"/>
      <w:r w:rsidRPr="00FC55D2">
        <w:rPr>
          <w:rFonts w:ascii="Arial" w:hAnsi="Arial" w:cs="Arial"/>
        </w:rPr>
        <w:t>amidon</w:t>
      </w:r>
      <w:proofErr w:type="spellEnd"/>
      <w:r w:rsidRPr="00FC55D2">
        <w:rPr>
          <w:rFonts w:ascii="Arial" w:hAnsi="Arial" w:cs="Arial"/>
        </w:rPr>
        <w:t xml:space="preserve">) (AMD), Glycogen (GLYG),  Xylitol (XLT), </w:t>
      </w:r>
      <w:proofErr w:type="spellStart"/>
      <w:r w:rsidRPr="00FC55D2">
        <w:rPr>
          <w:rFonts w:ascii="Arial" w:hAnsi="Arial" w:cs="Arial"/>
        </w:rPr>
        <w:t>Gentiobiose</w:t>
      </w:r>
      <w:proofErr w:type="spellEnd"/>
      <w:r w:rsidRPr="00FC55D2">
        <w:rPr>
          <w:rFonts w:ascii="Arial" w:hAnsi="Arial" w:cs="Arial"/>
        </w:rPr>
        <w:t xml:space="preserve"> (GEN), D-</w:t>
      </w:r>
      <w:proofErr w:type="spellStart"/>
      <w:r w:rsidRPr="00FC55D2">
        <w:rPr>
          <w:rFonts w:ascii="Arial" w:hAnsi="Arial" w:cs="Arial"/>
        </w:rPr>
        <w:t>Turanose</w:t>
      </w:r>
      <w:proofErr w:type="spellEnd"/>
      <w:r w:rsidRPr="00FC55D2">
        <w:rPr>
          <w:rFonts w:ascii="Arial" w:hAnsi="Arial" w:cs="Arial"/>
        </w:rPr>
        <w:t xml:space="preserve">  (TUR), D-</w:t>
      </w:r>
      <w:proofErr w:type="spellStart"/>
      <w:r w:rsidRPr="00FC55D2">
        <w:rPr>
          <w:rFonts w:ascii="Arial" w:hAnsi="Arial" w:cs="Arial"/>
        </w:rPr>
        <w:t>Lyxose</w:t>
      </w:r>
      <w:proofErr w:type="spellEnd"/>
      <w:r w:rsidRPr="00FC55D2">
        <w:rPr>
          <w:rFonts w:ascii="Arial" w:hAnsi="Arial" w:cs="Arial"/>
        </w:rPr>
        <w:t xml:space="preserve"> (LYX), D-Tagatose (TAG), D-Fucose (DFUC), L-Fucose (LFUC), D-</w:t>
      </w:r>
      <w:proofErr w:type="spellStart"/>
      <w:r w:rsidRPr="00FC55D2">
        <w:rPr>
          <w:rFonts w:ascii="Arial" w:hAnsi="Arial" w:cs="Arial"/>
        </w:rPr>
        <w:t>Arabitol</w:t>
      </w:r>
      <w:proofErr w:type="spellEnd"/>
      <w:r w:rsidRPr="00FC55D2">
        <w:rPr>
          <w:rFonts w:ascii="Arial" w:hAnsi="Arial" w:cs="Arial"/>
        </w:rPr>
        <w:t xml:space="preserve"> (DARL), LARL L-</w:t>
      </w:r>
      <w:proofErr w:type="spellStart"/>
      <w:r w:rsidRPr="00FC55D2">
        <w:rPr>
          <w:rFonts w:ascii="Arial" w:hAnsi="Arial" w:cs="Arial"/>
        </w:rPr>
        <w:t>Arabitol</w:t>
      </w:r>
      <w:proofErr w:type="spellEnd"/>
      <w:r w:rsidRPr="00FC55D2">
        <w:rPr>
          <w:rFonts w:ascii="Arial" w:hAnsi="Arial" w:cs="Arial"/>
        </w:rPr>
        <w:t xml:space="preserve"> (LARL), Potassium gluconate (GNT), Potassium 2-ketogluconate (2KG), Potassium 5-ketogluconate (5KG).</w:t>
      </w:r>
    </w:p>
    <w:p w14:paraId="6349687C" w14:textId="77777777" w:rsidR="00C606E3" w:rsidRPr="00FC55D2" w:rsidRDefault="00C606E3" w:rsidP="00C606E3">
      <w:pPr>
        <w:pStyle w:val="Body"/>
        <w:spacing w:after="0"/>
        <w:rPr>
          <w:rFonts w:ascii="Arial" w:hAnsi="Arial" w:cs="Arial"/>
        </w:rPr>
      </w:pPr>
    </w:p>
    <w:p w14:paraId="123A5A08" w14:textId="77777777" w:rsidR="00C606E3" w:rsidRPr="00FC55D2" w:rsidRDefault="00C606E3" w:rsidP="00C606E3">
      <w:pPr>
        <w:pStyle w:val="Head1"/>
        <w:spacing w:after="0"/>
        <w:jc w:val="both"/>
        <w:rPr>
          <w:rFonts w:ascii="Arial" w:hAnsi="Arial" w:cs="Arial"/>
          <w:szCs w:val="22"/>
        </w:rPr>
      </w:pPr>
      <w:r w:rsidRPr="00FC55D2">
        <w:rPr>
          <w:rFonts w:ascii="Arial" w:hAnsi="Arial" w:cs="Arial"/>
          <w:szCs w:val="22"/>
        </w:rPr>
        <w:t>3.</w:t>
      </w:r>
      <w:r w:rsidR="004C7CAF" w:rsidRPr="00FC55D2">
        <w:rPr>
          <w:rFonts w:ascii="Arial" w:hAnsi="Arial" w:cs="Arial"/>
          <w:szCs w:val="22"/>
        </w:rPr>
        <w:t>0</w:t>
      </w:r>
      <w:r w:rsidRPr="00FC55D2">
        <w:rPr>
          <w:rFonts w:ascii="Arial" w:hAnsi="Arial" w:cs="Arial"/>
          <w:szCs w:val="22"/>
        </w:rPr>
        <w:t xml:space="preserve"> </w:t>
      </w:r>
      <w:r w:rsidR="004C7CAF" w:rsidRPr="00FC55D2">
        <w:rPr>
          <w:rFonts w:ascii="Arial" w:hAnsi="Arial" w:cs="Arial"/>
          <w:caps w:val="0"/>
          <w:szCs w:val="22"/>
        </w:rPr>
        <w:t>Results and Discussion</w:t>
      </w:r>
    </w:p>
    <w:p w14:paraId="639C977B" w14:textId="77777777" w:rsidR="009A4126" w:rsidRPr="00FC55D2" w:rsidRDefault="009A4126" w:rsidP="009A4126">
      <w:pPr>
        <w:pStyle w:val="Heading2"/>
        <w:rPr>
          <w:rFonts w:ascii="Arial" w:hAnsi="Arial" w:cs="Arial"/>
          <w:sz w:val="22"/>
          <w:szCs w:val="22"/>
        </w:rPr>
      </w:pPr>
      <w:r w:rsidRPr="00FC55D2">
        <w:rPr>
          <w:rFonts w:ascii="Arial" w:hAnsi="Arial" w:cs="Arial"/>
          <w:sz w:val="22"/>
          <w:szCs w:val="22"/>
        </w:rPr>
        <w:t xml:space="preserve">3.1 </w:t>
      </w:r>
      <w:r w:rsidR="004C7CAF" w:rsidRPr="00FC55D2">
        <w:rPr>
          <w:rFonts w:ascii="Arial" w:hAnsi="Arial" w:cs="Arial"/>
          <w:sz w:val="22"/>
          <w:szCs w:val="22"/>
        </w:rPr>
        <w:t>Soil c</w:t>
      </w:r>
      <w:r w:rsidRPr="00FC55D2">
        <w:rPr>
          <w:rFonts w:ascii="Arial" w:hAnsi="Arial" w:cs="Arial"/>
          <w:sz w:val="22"/>
          <w:szCs w:val="22"/>
        </w:rPr>
        <w:t>haracteristics</w:t>
      </w:r>
    </w:p>
    <w:p w14:paraId="096C3AD4" w14:textId="77777777" w:rsidR="004C7CAF" w:rsidRPr="00FC55D2" w:rsidRDefault="009A4126" w:rsidP="004C7CAF">
      <w:pPr>
        <w:pStyle w:val="Heading2"/>
        <w:jc w:val="both"/>
        <w:rPr>
          <w:rFonts w:ascii="Arial" w:hAnsi="Arial" w:cs="Arial"/>
          <w:b w:val="0"/>
          <w:sz w:val="20"/>
          <w:szCs w:val="20"/>
        </w:rPr>
      </w:pPr>
      <w:r w:rsidRPr="00FC55D2">
        <w:rPr>
          <w:rFonts w:ascii="Arial" w:hAnsi="Arial" w:cs="Arial"/>
          <w:b w:val="0"/>
          <w:sz w:val="20"/>
          <w:szCs w:val="20"/>
        </w:rPr>
        <w:t>The soil physical, chemical, and microbiological properties of the pristine loamy soil sample from Effurun, Delta State, are presented in Table 1.</w:t>
      </w:r>
      <w:r w:rsidRPr="00FC55D2">
        <w:rPr>
          <w:rFonts w:ascii="Arial" w:hAnsi="Arial" w:cs="Arial"/>
          <w:sz w:val="20"/>
          <w:szCs w:val="20"/>
        </w:rPr>
        <w:t xml:space="preserve"> </w:t>
      </w:r>
      <w:r w:rsidR="004C7CAF" w:rsidRPr="00FC55D2">
        <w:rPr>
          <w:rFonts w:ascii="Arial" w:hAnsi="Arial" w:cs="Arial"/>
          <w:b w:val="0"/>
          <w:sz w:val="20"/>
          <w:szCs w:val="20"/>
        </w:rPr>
        <w:t xml:space="preserve">The soil had a pH of 6.40 and a temperature of 28°C. The nitrate and sulphate concentrations were 15.45 mg/kg and 10.58 mg/kg, respectively. The soil's total organic carbon (TOC) was 1.46%, while the cation exchange capacity (CEC) was 0.95 </w:t>
      </w:r>
      <w:proofErr w:type="spellStart"/>
      <w:r w:rsidR="004C7CAF" w:rsidRPr="00FC55D2">
        <w:rPr>
          <w:rFonts w:ascii="Arial" w:hAnsi="Arial" w:cs="Arial"/>
          <w:b w:val="0"/>
          <w:sz w:val="20"/>
          <w:szCs w:val="20"/>
        </w:rPr>
        <w:t>meq</w:t>
      </w:r>
      <w:proofErr w:type="spellEnd"/>
      <w:r w:rsidR="004C7CAF" w:rsidRPr="00FC55D2">
        <w:rPr>
          <w:rFonts w:ascii="Arial" w:hAnsi="Arial" w:cs="Arial"/>
          <w:b w:val="0"/>
          <w:sz w:val="20"/>
          <w:szCs w:val="20"/>
        </w:rPr>
        <w:t>/100g. Heavy metals such as lead and cadmium were detected at 6.42 mg/kg and 0.10 mg/kg, respectively, while arsenic and mercury were below the detection limits (&lt;0.01 mg/kg). The total heterotrophic bacterial and fungal counts were 2.00 × 10⁴ CFU/g and 1.65 × 10⁴ CFU/g, respectively, reflecting a moderate microbial population.</w:t>
      </w:r>
    </w:p>
    <w:p w14:paraId="18199522" w14:textId="77777777" w:rsidR="009A4126" w:rsidRPr="00FC55D2" w:rsidRDefault="009A4126" w:rsidP="009A4126">
      <w:pPr>
        <w:spacing w:line="480" w:lineRule="auto"/>
        <w:jc w:val="both"/>
        <w:rPr>
          <w:rFonts w:ascii="Arial" w:hAnsi="Arial" w:cs="Arial"/>
          <w:color w:val="0D0D0D" w:themeColor="text1" w:themeTint="F2"/>
        </w:rPr>
      </w:pPr>
      <w:r w:rsidRPr="00FC55D2">
        <w:rPr>
          <w:rFonts w:ascii="Arial" w:hAnsi="Arial" w:cs="Arial"/>
          <w:color w:val="0D0D0D" w:themeColor="text1" w:themeTint="F2"/>
        </w:rPr>
        <w:t>Table 1:</w:t>
      </w:r>
      <w:r w:rsidRPr="00FC55D2">
        <w:rPr>
          <w:rFonts w:ascii="Arial" w:hAnsi="Arial" w:cs="Arial"/>
        </w:rPr>
        <w:t xml:space="preserve"> Physicochemical and microbiological characteristics of the pristine soil </w:t>
      </w:r>
    </w:p>
    <w:tbl>
      <w:tblPr>
        <w:tblStyle w:val="ListTable6Colorful"/>
        <w:tblW w:w="9124" w:type="dxa"/>
        <w:tblLook w:val="04A0" w:firstRow="1" w:lastRow="0" w:firstColumn="1" w:lastColumn="0" w:noHBand="0" w:noVBand="1"/>
      </w:tblPr>
      <w:tblGrid>
        <w:gridCol w:w="4562"/>
        <w:gridCol w:w="4562"/>
      </w:tblGrid>
      <w:tr w:rsidR="009A4126" w:rsidRPr="00FC55D2" w14:paraId="250DDCDB" w14:textId="77777777" w:rsidTr="00922FC5">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562" w:type="dxa"/>
          </w:tcPr>
          <w:p w14:paraId="287B0315"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bCs w:val="0"/>
                <w:color w:val="0D0D0D" w:themeColor="text1" w:themeTint="F2"/>
              </w:rPr>
              <w:t>Parameters</w:t>
            </w:r>
          </w:p>
        </w:tc>
        <w:tc>
          <w:tcPr>
            <w:tcW w:w="4562" w:type="dxa"/>
          </w:tcPr>
          <w:p w14:paraId="12320C48" w14:textId="77777777" w:rsidR="009A4126" w:rsidRPr="00FC55D2" w:rsidRDefault="009A4126" w:rsidP="00922FC5">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FC55D2">
              <w:rPr>
                <w:rFonts w:ascii="Arial" w:hAnsi="Arial" w:cs="Arial"/>
                <w:b w:val="0"/>
                <w:bCs w:val="0"/>
                <w:color w:val="0D0D0D" w:themeColor="text1" w:themeTint="F2"/>
              </w:rPr>
              <w:t>Value</w:t>
            </w:r>
          </w:p>
        </w:tc>
      </w:tr>
      <w:tr w:rsidR="009A4126" w:rsidRPr="00FC55D2" w14:paraId="67D0847B" w14:textId="77777777" w:rsidTr="00922FC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562" w:type="dxa"/>
            <w:shd w:val="clear" w:color="auto" w:fill="auto"/>
          </w:tcPr>
          <w:p w14:paraId="1FDE87F7"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Electrical conductivity (µS/cm)</w:t>
            </w:r>
          </w:p>
        </w:tc>
        <w:tc>
          <w:tcPr>
            <w:tcW w:w="4562" w:type="dxa"/>
            <w:shd w:val="clear" w:color="auto" w:fill="auto"/>
          </w:tcPr>
          <w:p w14:paraId="3712D05E"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89.5</w:t>
            </w:r>
          </w:p>
        </w:tc>
      </w:tr>
      <w:tr w:rsidR="009A4126" w:rsidRPr="00FC55D2" w14:paraId="4A4DEC9D" w14:textId="77777777" w:rsidTr="00922FC5">
        <w:trPr>
          <w:trHeight w:val="414"/>
        </w:trPr>
        <w:tc>
          <w:tcPr>
            <w:cnfStyle w:val="001000000000" w:firstRow="0" w:lastRow="0" w:firstColumn="1" w:lastColumn="0" w:oddVBand="0" w:evenVBand="0" w:oddHBand="0" w:evenHBand="0" w:firstRowFirstColumn="0" w:firstRowLastColumn="0" w:lastRowFirstColumn="0" w:lastRowLastColumn="0"/>
            <w:tcW w:w="4562" w:type="dxa"/>
          </w:tcPr>
          <w:p w14:paraId="457756D3" w14:textId="77777777" w:rsidR="009A4126" w:rsidRPr="00FC55D2" w:rsidRDefault="009A4126" w:rsidP="00922FC5">
            <w:pPr>
              <w:spacing w:line="360" w:lineRule="auto"/>
              <w:rPr>
                <w:rFonts w:ascii="Arial" w:hAnsi="Arial" w:cs="Arial"/>
                <w:b w:val="0"/>
                <w:color w:val="0D0D0D" w:themeColor="text1" w:themeTint="F2"/>
              </w:rPr>
            </w:pPr>
            <w:r w:rsidRPr="00FC55D2">
              <w:rPr>
                <w:rFonts w:ascii="Arial" w:hAnsi="Arial" w:cs="Arial"/>
                <w:b w:val="0"/>
                <w:color w:val="0D0D0D" w:themeColor="text1" w:themeTint="F2"/>
              </w:rPr>
              <w:lastRenderedPageBreak/>
              <w:t>pH</w:t>
            </w:r>
          </w:p>
          <w:p w14:paraId="0E4AA4F6"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Moisture content (%)</w:t>
            </w:r>
          </w:p>
        </w:tc>
        <w:tc>
          <w:tcPr>
            <w:tcW w:w="4562" w:type="dxa"/>
          </w:tcPr>
          <w:p w14:paraId="60A72FB5"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FC55D2">
              <w:rPr>
                <w:rFonts w:ascii="Arial" w:hAnsi="Arial" w:cs="Arial"/>
                <w:color w:val="0D0D0D" w:themeColor="text1" w:themeTint="F2"/>
              </w:rPr>
              <w:t>6.4</w:t>
            </w:r>
          </w:p>
          <w:p w14:paraId="08DE1164"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0.40</w:t>
            </w:r>
          </w:p>
        </w:tc>
      </w:tr>
      <w:tr w:rsidR="009A4126" w:rsidRPr="00FC55D2" w14:paraId="7BE39667" w14:textId="77777777" w:rsidTr="00922FC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562" w:type="dxa"/>
            <w:shd w:val="clear" w:color="auto" w:fill="auto"/>
          </w:tcPr>
          <w:p w14:paraId="2A7B2139"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Temperature (°C)</w:t>
            </w:r>
          </w:p>
        </w:tc>
        <w:tc>
          <w:tcPr>
            <w:tcW w:w="4562" w:type="dxa"/>
            <w:shd w:val="clear" w:color="auto" w:fill="auto"/>
          </w:tcPr>
          <w:p w14:paraId="50B6478C"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28.0</w:t>
            </w:r>
          </w:p>
        </w:tc>
      </w:tr>
      <w:tr w:rsidR="009A4126" w:rsidRPr="00FC55D2" w14:paraId="01FB18B3" w14:textId="77777777" w:rsidTr="00922FC5">
        <w:trPr>
          <w:trHeight w:val="414"/>
        </w:trPr>
        <w:tc>
          <w:tcPr>
            <w:cnfStyle w:val="001000000000" w:firstRow="0" w:lastRow="0" w:firstColumn="1" w:lastColumn="0" w:oddVBand="0" w:evenVBand="0" w:oddHBand="0" w:evenHBand="0" w:firstRowFirstColumn="0" w:firstRowLastColumn="0" w:lastRowFirstColumn="0" w:lastRowLastColumn="0"/>
            <w:tcW w:w="4562" w:type="dxa"/>
          </w:tcPr>
          <w:p w14:paraId="650DF7BC"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Total organic carbon (TOC, %)</w:t>
            </w:r>
          </w:p>
        </w:tc>
        <w:tc>
          <w:tcPr>
            <w:tcW w:w="4562" w:type="dxa"/>
          </w:tcPr>
          <w:p w14:paraId="63E5CD1F"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1.46</w:t>
            </w:r>
          </w:p>
        </w:tc>
      </w:tr>
      <w:tr w:rsidR="009A4126" w:rsidRPr="00FC55D2" w14:paraId="4202C351" w14:textId="77777777" w:rsidTr="00922FC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562" w:type="dxa"/>
            <w:shd w:val="clear" w:color="auto" w:fill="auto"/>
          </w:tcPr>
          <w:p w14:paraId="18EF36DD"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Nitrates (mg/kg)</w:t>
            </w:r>
          </w:p>
        </w:tc>
        <w:tc>
          <w:tcPr>
            <w:tcW w:w="4562" w:type="dxa"/>
            <w:shd w:val="clear" w:color="auto" w:fill="auto"/>
          </w:tcPr>
          <w:p w14:paraId="2C1879BB"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15.45</w:t>
            </w:r>
          </w:p>
        </w:tc>
      </w:tr>
      <w:tr w:rsidR="009A4126" w:rsidRPr="00FC55D2" w14:paraId="7D331438" w14:textId="77777777" w:rsidTr="00922FC5">
        <w:trPr>
          <w:trHeight w:val="414"/>
        </w:trPr>
        <w:tc>
          <w:tcPr>
            <w:cnfStyle w:val="001000000000" w:firstRow="0" w:lastRow="0" w:firstColumn="1" w:lastColumn="0" w:oddVBand="0" w:evenVBand="0" w:oddHBand="0" w:evenHBand="0" w:firstRowFirstColumn="0" w:firstRowLastColumn="0" w:lastRowFirstColumn="0" w:lastRowLastColumn="0"/>
            <w:tcW w:w="4562" w:type="dxa"/>
          </w:tcPr>
          <w:p w14:paraId="7F0BBFBB"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Sulphates (mg/kg)</w:t>
            </w:r>
          </w:p>
        </w:tc>
        <w:tc>
          <w:tcPr>
            <w:tcW w:w="4562" w:type="dxa"/>
          </w:tcPr>
          <w:p w14:paraId="00C769D0"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10.58</w:t>
            </w:r>
          </w:p>
        </w:tc>
      </w:tr>
      <w:tr w:rsidR="009A4126" w:rsidRPr="00FC55D2" w14:paraId="39B077AD" w14:textId="77777777" w:rsidTr="00922FC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562" w:type="dxa"/>
            <w:shd w:val="clear" w:color="auto" w:fill="auto"/>
          </w:tcPr>
          <w:p w14:paraId="2B9BA95F"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Cation exchange capacity (CEC) (</w:t>
            </w:r>
            <w:proofErr w:type="spellStart"/>
            <w:r w:rsidRPr="00FC55D2">
              <w:rPr>
                <w:rFonts w:ascii="Arial" w:hAnsi="Arial" w:cs="Arial"/>
                <w:b w:val="0"/>
                <w:color w:val="0D0D0D" w:themeColor="text1" w:themeTint="F2"/>
              </w:rPr>
              <w:t>meq</w:t>
            </w:r>
            <w:proofErr w:type="spellEnd"/>
            <w:r w:rsidRPr="00FC55D2">
              <w:rPr>
                <w:rFonts w:ascii="Arial" w:hAnsi="Arial" w:cs="Arial"/>
                <w:b w:val="0"/>
                <w:color w:val="0D0D0D" w:themeColor="text1" w:themeTint="F2"/>
              </w:rPr>
              <w:t>/100g)</w:t>
            </w:r>
          </w:p>
        </w:tc>
        <w:tc>
          <w:tcPr>
            <w:tcW w:w="4562" w:type="dxa"/>
            <w:shd w:val="clear" w:color="auto" w:fill="auto"/>
          </w:tcPr>
          <w:p w14:paraId="0DBD7EA7"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0.95</w:t>
            </w:r>
          </w:p>
        </w:tc>
      </w:tr>
      <w:tr w:rsidR="009A4126" w:rsidRPr="00FC55D2" w14:paraId="408C3D69" w14:textId="77777777" w:rsidTr="00922FC5">
        <w:trPr>
          <w:trHeight w:val="414"/>
        </w:trPr>
        <w:tc>
          <w:tcPr>
            <w:cnfStyle w:val="001000000000" w:firstRow="0" w:lastRow="0" w:firstColumn="1" w:lastColumn="0" w:oddVBand="0" w:evenVBand="0" w:oddHBand="0" w:evenHBand="0" w:firstRowFirstColumn="0" w:firstRowLastColumn="0" w:lastRowFirstColumn="0" w:lastRowLastColumn="0"/>
            <w:tcW w:w="4562" w:type="dxa"/>
          </w:tcPr>
          <w:p w14:paraId="41EC0BBA"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Lead (mg/kg)</w:t>
            </w:r>
          </w:p>
        </w:tc>
        <w:tc>
          <w:tcPr>
            <w:tcW w:w="4562" w:type="dxa"/>
          </w:tcPr>
          <w:p w14:paraId="178ABD48"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6.42</w:t>
            </w:r>
          </w:p>
        </w:tc>
      </w:tr>
      <w:tr w:rsidR="009A4126" w:rsidRPr="00FC55D2" w14:paraId="713DCA67" w14:textId="77777777" w:rsidTr="00922FC5">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4562" w:type="dxa"/>
            <w:shd w:val="clear" w:color="auto" w:fill="auto"/>
          </w:tcPr>
          <w:p w14:paraId="5F1CBF35"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Cadmium (mg/kg)</w:t>
            </w:r>
          </w:p>
        </w:tc>
        <w:tc>
          <w:tcPr>
            <w:tcW w:w="4562" w:type="dxa"/>
            <w:shd w:val="clear" w:color="auto" w:fill="auto"/>
          </w:tcPr>
          <w:p w14:paraId="6CE03AD4"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0.10</w:t>
            </w:r>
          </w:p>
        </w:tc>
      </w:tr>
      <w:tr w:rsidR="009A4126" w:rsidRPr="00FC55D2" w14:paraId="2BB77CE5" w14:textId="77777777" w:rsidTr="00922FC5">
        <w:trPr>
          <w:trHeight w:val="414"/>
        </w:trPr>
        <w:tc>
          <w:tcPr>
            <w:cnfStyle w:val="001000000000" w:firstRow="0" w:lastRow="0" w:firstColumn="1" w:lastColumn="0" w:oddVBand="0" w:evenVBand="0" w:oddHBand="0" w:evenHBand="0" w:firstRowFirstColumn="0" w:firstRowLastColumn="0" w:lastRowFirstColumn="0" w:lastRowLastColumn="0"/>
            <w:tcW w:w="4562" w:type="dxa"/>
          </w:tcPr>
          <w:p w14:paraId="6A8AC721"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Arsenic (mg/kg)</w:t>
            </w:r>
          </w:p>
        </w:tc>
        <w:tc>
          <w:tcPr>
            <w:tcW w:w="4562" w:type="dxa"/>
          </w:tcPr>
          <w:p w14:paraId="6906249D"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&lt;0.01</w:t>
            </w:r>
          </w:p>
        </w:tc>
      </w:tr>
      <w:tr w:rsidR="009A4126" w:rsidRPr="00FC55D2" w14:paraId="399709AC" w14:textId="77777777" w:rsidTr="00922FC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562" w:type="dxa"/>
            <w:shd w:val="clear" w:color="auto" w:fill="auto"/>
          </w:tcPr>
          <w:p w14:paraId="393F1936"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Mercury (mg/kg)</w:t>
            </w:r>
          </w:p>
        </w:tc>
        <w:tc>
          <w:tcPr>
            <w:tcW w:w="4562" w:type="dxa"/>
            <w:shd w:val="clear" w:color="auto" w:fill="auto"/>
          </w:tcPr>
          <w:p w14:paraId="44B6F30D"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&lt;0.01</w:t>
            </w:r>
          </w:p>
        </w:tc>
      </w:tr>
      <w:tr w:rsidR="009A4126" w:rsidRPr="00FC55D2" w14:paraId="29BFC2B9" w14:textId="77777777" w:rsidTr="00922FC5">
        <w:trPr>
          <w:trHeight w:val="414"/>
        </w:trPr>
        <w:tc>
          <w:tcPr>
            <w:cnfStyle w:val="001000000000" w:firstRow="0" w:lastRow="0" w:firstColumn="1" w:lastColumn="0" w:oddVBand="0" w:evenVBand="0" w:oddHBand="0" w:evenHBand="0" w:firstRowFirstColumn="0" w:firstRowLastColumn="0" w:lastRowFirstColumn="0" w:lastRowLastColumn="0"/>
            <w:tcW w:w="4562" w:type="dxa"/>
          </w:tcPr>
          <w:p w14:paraId="725ADE0D"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Total heterotrophic bacteria (CFU/g)</w:t>
            </w:r>
          </w:p>
        </w:tc>
        <w:tc>
          <w:tcPr>
            <w:tcW w:w="4562" w:type="dxa"/>
          </w:tcPr>
          <w:p w14:paraId="23059F5F"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2.00 × 10⁴</w:t>
            </w:r>
          </w:p>
        </w:tc>
      </w:tr>
      <w:tr w:rsidR="009A4126" w:rsidRPr="00FC55D2" w14:paraId="2F63252E" w14:textId="77777777" w:rsidTr="00922FC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562" w:type="dxa"/>
            <w:shd w:val="clear" w:color="auto" w:fill="auto"/>
          </w:tcPr>
          <w:p w14:paraId="3C9E0A6D" w14:textId="77777777" w:rsidR="009A4126" w:rsidRPr="00FC55D2" w:rsidRDefault="009A4126" w:rsidP="00922FC5">
            <w:pPr>
              <w:spacing w:line="360" w:lineRule="auto"/>
              <w:rPr>
                <w:rFonts w:ascii="Arial" w:hAnsi="Arial" w:cs="Arial"/>
                <w:b w:val="0"/>
                <w:color w:val="0D0D0D" w:themeColor="text1" w:themeTint="F2"/>
              </w:rPr>
            </w:pPr>
            <w:r w:rsidRPr="00FC55D2">
              <w:rPr>
                <w:rFonts w:ascii="Arial" w:hAnsi="Arial" w:cs="Arial"/>
                <w:b w:val="0"/>
                <w:color w:val="0D0D0D" w:themeColor="text1" w:themeTint="F2"/>
              </w:rPr>
              <w:t>Total heterotrophic fungi (CFU/g)</w:t>
            </w:r>
          </w:p>
          <w:p w14:paraId="1602BB8F" w14:textId="77777777" w:rsidR="009A4126" w:rsidRPr="00FC55D2" w:rsidRDefault="009A4126" w:rsidP="00922FC5">
            <w:pPr>
              <w:spacing w:line="360" w:lineRule="auto"/>
              <w:rPr>
                <w:rFonts w:ascii="Arial" w:hAnsi="Arial" w:cs="Arial"/>
                <w:b w:val="0"/>
                <w:color w:val="0D0D0D" w:themeColor="text1" w:themeTint="F2"/>
              </w:rPr>
            </w:pPr>
            <w:r w:rsidRPr="00FC55D2">
              <w:rPr>
                <w:rFonts w:ascii="Arial" w:hAnsi="Arial" w:cs="Arial"/>
                <w:b w:val="0"/>
                <w:color w:val="0D0D0D" w:themeColor="text1" w:themeTint="F2"/>
              </w:rPr>
              <w:t>Sand (%)</w:t>
            </w:r>
          </w:p>
          <w:p w14:paraId="01E22D20" w14:textId="77777777" w:rsidR="009A4126" w:rsidRPr="00FC55D2" w:rsidRDefault="009A4126" w:rsidP="00922FC5">
            <w:pPr>
              <w:spacing w:line="360" w:lineRule="auto"/>
              <w:rPr>
                <w:rFonts w:ascii="Arial" w:hAnsi="Arial" w:cs="Arial"/>
                <w:b w:val="0"/>
                <w:color w:val="0D0D0D" w:themeColor="text1" w:themeTint="F2"/>
              </w:rPr>
            </w:pPr>
            <w:r w:rsidRPr="00FC55D2">
              <w:rPr>
                <w:rFonts w:ascii="Arial" w:hAnsi="Arial" w:cs="Arial"/>
                <w:b w:val="0"/>
                <w:color w:val="0D0D0D" w:themeColor="text1" w:themeTint="F2"/>
              </w:rPr>
              <w:t>Clay (%)</w:t>
            </w:r>
          </w:p>
          <w:p w14:paraId="5CE9E5BC"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Silt (%)</w:t>
            </w:r>
          </w:p>
        </w:tc>
        <w:tc>
          <w:tcPr>
            <w:tcW w:w="4562" w:type="dxa"/>
            <w:shd w:val="clear" w:color="auto" w:fill="auto"/>
          </w:tcPr>
          <w:p w14:paraId="141F5796"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FC55D2">
              <w:rPr>
                <w:rFonts w:ascii="Arial" w:hAnsi="Arial" w:cs="Arial"/>
                <w:color w:val="0D0D0D" w:themeColor="text1" w:themeTint="F2"/>
              </w:rPr>
              <w:t>1.65 × 10⁴</w:t>
            </w:r>
          </w:p>
          <w:p w14:paraId="116FCA65"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FC55D2">
              <w:rPr>
                <w:rFonts w:ascii="Arial" w:hAnsi="Arial" w:cs="Arial"/>
                <w:color w:val="0D0D0D" w:themeColor="text1" w:themeTint="F2"/>
              </w:rPr>
              <w:t>94.80</w:t>
            </w:r>
          </w:p>
          <w:p w14:paraId="08B44150"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FC55D2">
              <w:rPr>
                <w:rFonts w:ascii="Arial" w:hAnsi="Arial" w:cs="Arial"/>
                <w:color w:val="0D0D0D" w:themeColor="text1" w:themeTint="F2"/>
              </w:rPr>
              <w:t>1.27</w:t>
            </w:r>
          </w:p>
          <w:p w14:paraId="063A4B85"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FC55D2">
              <w:rPr>
                <w:rFonts w:ascii="Arial" w:hAnsi="Arial" w:cs="Arial"/>
                <w:color w:val="0D0D0D" w:themeColor="text1" w:themeTint="F2"/>
              </w:rPr>
              <w:t>3.69</w:t>
            </w:r>
          </w:p>
          <w:p w14:paraId="056FDC4D"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D0D0D" w:themeColor="text1" w:themeTint="F2"/>
              </w:rPr>
            </w:pPr>
          </w:p>
        </w:tc>
      </w:tr>
    </w:tbl>
    <w:p w14:paraId="099619D3" w14:textId="77777777" w:rsidR="009A4126" w:rsidRPr="00FC55D2" w:rsidRDefault="009A4126" w:rsidP="009A4126">
      <w:pPr>
        <w:rPr>
          <w:rFonts w:ascii="Times New Roman" w:hAnsi="Times New Roman"/>
          <w:sz w:val="24"/>
          <w:szCs w:val="24"/>
        </w:rPr>
      </w:pPr>
    </w:p>
    <w:p w14:paraId="5E696B66" w14:textId="77777777" w:rsidR="009A4126" w:rsidRPr="00FC55D2" w:rsidRDefault="009A4126" w:rsidP="009A4126">
      <w:pPr>
        <w:pStyle w:val="Heading2"/>
        <w:rPr>
          <w:rFonts w:ascii="Arial" w:hAnsi="Arial" w:cs="Arial"/>
          <w:sz w:val="22"/>
          <w:szCs w:val="22"/>
        </w:rPr>
      </w:pPr>
      <w:r w:rsidRPr="00FC55D2">
        <w:rPr>
          <w:rFonts w:ascii="Arial" w:hAnsi="Arial" w:cs="Arial"/>
          <w:sz w:val="22"/>
          <w:szCs w:val="22"/>
        </w:rPr>
        <w:t>3.2 Physicoche</w:t>
      </w:r>
      <w:r w:rsidR="009A21EA" w:rsidRPr="00FC55D2">
        <w:rPr>
          <w:rFonts w:ascii="Arial" w:hAnsi="Arial" w:cs="Arial"/>
          <w:sz w:val="22"/>
          <w:szCs w:val="22"/>
        </w:rPr>
        <w:t>mical characteristics</w:t>
      </w:r>
      <w:r w:rsidRPr="00FC55D2">
        <w:rPr>
          <w:rFonts w:ascii="Arial" w:hAnsi="Arial" w:cs="Arial"/>
          <w:sz w:val="22"/>
          <w:szCs w:val="22"/>
        </w:rPr>
        <w:t xml:space="preserve"> of soil after contamination</w:t>
      </w:r>
    </w:p>
    <w:p w14:paraId="0D4A074B" w14:textId="44B3BF8B" w:rsidR="009A21EA" w:rsidRPr="00FC55D2" w:rsidRDefault="009A4126" w:rsidP="009A21EA">
      <w:pPr>
        <w:spacing w:line="480" w:lineRule="auto"/>
        <w:jc w:val="both"/>
        <w:rPr>
          <w:rFonts w:ascii="Arial" w:hAnsi="Arial" w:cs="Arial"/>
        </w:rPr>
      </w:pPr>
      <w:proofErr w:type="spellStart"/>
      <w:r w:rsidRPr="00FC55D2">
        <w:rPr>
          <w:rFonts w:ascii="Arial" w:hAnsi="Arial" w:cs="Arial"/>
        </w:rPr>
        <w:t>Glufosinate</w:t>
      </w:r>
      <w:proofErr w:type="spellEnd"/>
      <w:r w:rsidRPr="00FC55D2">
        <w:rPr>
          <w:rFonts w:ascii="Arial" w:hAnsi="Arial" w:cs="Arial"/>
        </w:rPr>
        <w:t>-ammonium contamination at higher concentrations significantly affected the soil properties, as depicted in Table 2.</w:t>
      </w:r>
      <w:r w:rsidR="009A21EA" w:rsidRPr="00FC55D2">
        <w:rPr>
          <w:rFonts w:ascii="Arial" w:hAnsi="Arial" w:cs="Arial"/>
        </w:rPr>
        <w:t xml:space="preserve"> Concentrations of </w:t>
      </w:r>
      <w:proofErr w:type="spellStart"/>
      <w:r w:rsidR="009A21EA" w:rsidRPr="00FC55D2">
        <w:rPr>
          <w:rFonts w:ascii="Arial" w:hAnsi="Arial" w:cs="Arial"/>
        </w:rPr>
        <w:t>glufosinate</w:t>
      </w:r>
      <w:proofErr w:type="spellEnd"/>
      <w:r w:rsidR="009A21EA" w:rsidRPr="00FC55D2">
        <w:rPr>
          <w:rFonts w:ascii="Arial" w:hAnsi="Arial" w:cs="Arial"/>
        </w:rPr>
        <w:t xml:space="preserve"> ammonium in A and </w:t>
      </w:r>
      <w:r w:rsidR="009A21EA" w:rsidRPr="00FC55D2">
        <w:rPr>
          <w:rFonts w:ascii="Arial" w:hAnsi="Arial" w:cs="Arial"/>
          <w:color w:val="0D0D0D" w:themeColor="text1" w:themeTint="F2"/>
        </w:rPr>
        <w:t>B</w:t>
      </w:r>
      <w:r w:rsidR="00C228AB" w:rsidRPr="00FC55D2">
        <w:rPr>
          <w:rFonts w:ascii="Arial" w:hAnsi="Arial" w:cs="Arial"/>
        </w:rPr>
        <w:t xml:space="preserve"> resulted in slight increases in</w:t>
      </w:r>
      <w:r w:rsidR="009A21EA" w:rsidRPr="00FC55D2">
        <w:rPr>
          <w:rFonts w:ascii="Arial" w:hAnsi="Arial" w:cs="Arial"/>
        </w:rPr>
        <w:t xml:space="preserve"> pH (7.60 and 7.70) in addition to moisture content (9.97% and 11.35%). However, electrical conductivity increased notably at both concentrations (1320 µS/cm (A) and 1710 µS/cm (</w:t>
      </w:r>
      <w:r w:rsidR="009A21EA" w:rsidRPr="00FC55D2">
        <w:rPr>
          <w:rFonts w:ascii="Arial" w:hAnsi="Arial" w:cs="Arial"/>
          <w:color w:val="0D0D0D" w:themeColor="text1" w:themeTint="F2"/>
        </w:rPr>
        <w:t>B</w:t>
      </w:r>
      <w:r w:rsidR="009A21EA" w:rsidRPr="00FC55D2">
        <w:rPr>
          <w:rFonts w:ascii="Arial" w:hAnsi="Arial" w:cs="Arial"/>
        </w:rPr>
        <w:t xml:space="preserve">). Nitrates increased in treatment A (11.83 mg/kg), while sulphate levels increased slightly in A (1.28 mg/kg) and substantially in </w:t>
      </w:r>
      <w:r w:rsidR="009A21EA" w:rsidRPr="00FC55D2">
        <w:rPr>
          <w:rFonts w:ascii="Arial" w:hAnsi="Arial" w:cs="Arial"/>
          <w:color w:val="0D0D0D" w:themeColor="text1" w:themeTint="F2"/>
        </w:rPr>
        <w:t>B (4.20 mg/kg)</w:t>
      </w:r>
      <w:r w:rsidR="009A21EA" w:rsidRPr="00FC55D2">
        <w:rPr>
          <w:rFonts w:ascii="Arial" w:hAnsi="Arial" w:cs="Arial"/>
        </w:rPr>
        <w:t xml:space="preserve">. Cation exchange capacity decreased insignificantly (1.97 </w:t>
      </w:r>
      <w:proofErr w:type="spellStart"/>
      <w:r w:rsidR="009A21EA" w:rsidRPr="00FC55D2">
        <w:rPr>
          <w:rFonts w:ascii="Arial" w:hAnsi="Arial" w:cs="Arial"/>
        </w:rPr>
        <w:t>meq</w:t>
      </w:r>
      <w:proofErr w:type="spellEnd"/>
      <w:r w:rsidR="009A21EA" w:rsidRPr="00FC55D2">
        <w:rPr>
          <w:rFonts w:ascii="Arial" w:hAnsi="Arial" w:cs="Arial"/>
        </w:rPr>
        <w:t xml:space="preserve">/100g (control), 1.61 </w:t>
      </w:r>
      <w:proofErr w:type="spellStart"/>
      <w:r w:rsidR="009A21EA" w:rsidRPr="00FC55D2">
        <w:rPr>
          <w:rFonts w:ascii="Arial" w:hAnsi="Arial" w:cs="Arial"/>
        </w:rPr>
        <w:t>meq</w:t>
      </w:r>
      <w:proofErr w:type="spellEnd"/>
      <w:r w:rsidR="009A21EA" w:rsidRPr="00FC55D2">
        <w:rPr>
          <w:rFonts w:ascii="Arial" w:hAnsi="Arial" w:cs="Arial"/>
        </w:rPr>
        <w:t xml:space="preserve">/100g (A) and 1.93 </w:t>
      </w:r>
      <w:proofErr w:type="spellStart"/>
      <w:r w:rsidR="009A21EA" w:rsidRPr="00FC55D2">
        <w:rPr>
          <w:rFonts w:ascii="Arial" w:hAnsi="Arial" w:cs="Arial"/>
        </w:rPr>
        <w:t>meq</w:t>
      </w:r>
      <w:proofErr w:type="spellEnd"/>
      <w:r w:rsidR="009A21EA" w:rsidRPr="00FC55D2">
        <w:rPr>
          <w:rFonts w:ascii="Arial" w:hAnsi="Arial" w:cs="Arial"/>
        </w:rPr>
        <w:t>/100g (</w:t>
      </w:r>
      <w:r w:rsidR="009A21EA" w:rsidRPr="00FC55D2">
        <w:rPr>
          <w:rFonts w:ascii="Arial" w:hAnsi="Arial" w:cs="Arial"/>
          <w:color w:val="0D0D0D" w:themeColor="text1" w:themeTint="F2"/>
        </w:rPr>
        <w:t>B</w:t>
      </w:r>
      <w:r w:rsidR="009A21EA" w:rsidRPr="00FC55D2">
        <w:rPr>
          <w:rFonts w:ascii="Arial" w:hAnsi="Arial" w:cs="Arial"/>
        </w:rPr>
        <w:t xml:space="preserve">) with increased levels of contamination. Increase in concentration was observed for lead (8.10 mg/kg) and cadmium (0.18 mg/kg) in treatment </w:t>
      </w:r>
      <w:r w:rsidR="009A21EA" w:rsidRPr="00FC55D2">
        <w:rPr>
          <w:rFonts w:ascii="Arial" w:hAnsi="Arial" w:cs="Arial"/>
          <w:color w:val="0D0D0D" w:themeColor="text1" w:themeTint="F2"/>
        </w:rPr>
        <w:t>B.</w:t>
      </w:r>
      <w:r w:rsidR="009A21EA" w:rsidRPr="00FC55D2">
        <w:rPr>
          <w:rFonts w:ascii="Arial" w:hAnsi="Arial" w:cs="Arial"/>
        </w:rPr>
        <w:t xml:space="preserve"> However, arsenic (&lt;0.00 mg/kg) and mercury (&lt;0.00 mg/kg) were below detectable limits.</w:t>
      </w:r>
    </w:p>
    <w:p w14:paraId="6C06768D" w14:textId="77777777" w:rsidR="009A4126" w:rsidRPr="00FC55D2" w:rsidRDefault="009A21EA" w:rsidP="009A4126">
      <w:pPr>
        <w:spacing w:line="480" w:lineRule="auto"/>
        <w:jc w:val="both"/>
        <w:rPr>
          <w:rFonts w:ascii="Arial" w:hAnsi="Arial" w:cs="Arial"/>
        </w:rPr>
      </w:pPr>
      <w:r w:rsidRPr="00FC55D2">
        <w:rPr>
          <w:rFonts w:ascii="Arial" w:hAnsi="Arial" w:cs="Arial"/>
        </w:rPr>
        <w:t>Although, fungal counts decreased in A (3.00 × 10</w:t>
      </w:r>
      <w:r w:rsidRPr="00FC55D2">
        <w:rPr>
          <w:rFonts w:ascii="Arial" w:hAnsi="Arial" w:cs="Arial"/>
          <w:vertAlign w:val="superscript"/>
        </w:rPr>
        <w:t xml:space="preserve">4 </w:t>
      </w:r>
      <w:r w:rsidRPr="00FC55D2">
        <w:rPr>
          <w:rFonts w:ascii="Arial" w:hAnsi="Arial" w:cs="Arial"/>
        </w:rPr>
        <w:t xml:space="preserve">CFU/g), </w:t>
      </w:r>
      <w:proofErr w:type="spellStart"/>
      <w:r w:rsidRPr="00FC55D2">
        <w:rPr>
          <w:rFonts w:ascii="Arial" w:hAnsi="Arial" w:cs="Arial"/>
        </w:rPr>
        <w:t>glufosiate</w:t>
      </w:r>
      <w:proofErr w:type="spellEnd"/>
      <w:r w:rsidRPr="00FC55D2">
        <w:rPr>
          <w:rFonts w:ascii="Arial" w:hAnsi="Arial" w:cs="Arial"/>
        </w:rPr>
        <w:t xml:space="preserve"> ammonium consequence was more in treatment </w:t>
      </w:r>
      <w:r w:rsidRPr="00FC55D2">
        <w:rPr>
          <w:rFonts w:ascii="Arial" w:hAnsi="Arial" w:cs="Arial"/>
          <w:color w:val="0D0D0D" w:themeColor="text1" w:themeTint="F2"/>
        </w:rPr>
        <w:t>B</w:t>
      </w:r>
      <w:r w:rsidRPr="00FC55D2">
        <w:rPr>
          <w:rFonts w:ascii="Arial" w:hAnsi="Arial" w:cs="Arial"/>
        </w:rPr>
        <w:t xml:space="preserve"> (2.50 × 10</w:t>
      </w:r>
      <w:r w:rsidRPr="00FC55D2">
        <w:rPr>
          <w:rFonts w:ascii="Arial" w:hAnsi="Arial" w:cs="Arial"/>
          <w:vertAlign w:val="superscript"/>
        </w:rPr>
        <w:t xml:space="preserve">4 </w:t>
      </w:r>
      <w:r w:rsidRPr="00FC55D2">
        <w:rPr>
          <w:rFonts w:ascii="Arial" w:hAnsi="Arial" w:cs="Arial"/>
        </w:rPr>
        <w:t>CFU/g) when compared with the control soil (3.25 × 10</w:t>
      </w:r>
      <w:r w:rsidRPr="00FC55D2">
        <w:rPr>
          <w:rFonts w:ascii="Arial" w:hAnsi="Arial" w:cs="Arial"/>
          <w:vertAlign w:val="superscript"/>
        </w:rPr>
        <w:t xml:space="preserve">4 </w:t>
      </w:r>
      <w:r w:rsidRPr="00FC55D2">
        <w:rPr>
          <w:rFonts w:ascii="Arial" w:hAnsi="Arial" w:cs="Arial"/>
        </w:rPr>
        <w:t>CFU/g). The total heterotrophic culturable bacterial and fungal counts were highest in control soil.  Total heterotrophic bacterial counts were 5.00 × 10</w:t>
      </w:r>
      <w:r w:rsidRPr="00FC55D2">
        <w:rPr>
          <w:rFonts w:ascii="Arial" w:hAnsi="Arial" w:cs="Arial"/>
          <w:vertAlign w:val="superscript"/>
        </w:rPr>
        <w:t xml:space="preserve">4 </w:t>
      </w:r>
      <w:r w:rsidRPr="00FC55D2">
        <w:rPr>
          <w:rFonts w:ascii="Arial" w:hAnsi="Arial" w:cs="Arial"/>
        </w:rPr>
        <w:t>CFU/g, 3.30 × 10</w:t>
      </w:r>
      <w:r w:rsidRPr="00FC55D2">
        <w:rPr>
          <w:rFonts w:ascii="Arial" w:hAnsi="Arial" w:cs="Arial"/>
          <w:vertAlign w:val="superscript"/>
        </w:rPr>
        <w:t xml:space="preserve">4 </w:t>
      </w:r>
      <w:r w:rsidRPr="00FC55D2">
        <w:rPr>
          <w:rFonts w:ascii="Arial" w:hAnsi="Arial" w:cs="Arial"/>
        </w:rPr>
        <w:t>CFU/g and 3.00 × 10</w:t>
      </w:r>
      <w:r w:rsidRPr="00FC55D2">
        <w:rPr>
          <w:rFonts w:ascii="Arial" w:hAnsi="Arial" w:cs="Arial"/>
          <w:vertAlign w:val="superscript"/>
        </w:rPr>
        <w:t xml:space="preserve">4 </w:t>
      </w:r>
      <w:r w:rsidRPr="00FC55D2">
        <w:rPr>
          <w:rFonts w:ascii="Arial" w:hAnsi="Arial" w:cs="Arial"/>
        </w:rPr>
        <w:t xml:space="preserve">CFU/g while fungal counts </w:t>
      </w:r>
      <w:r w:rsidRPr="00FC55D2">
        <w:rPr>
          <w:rFonts w:ascii="Arial" w:hAnsi="Arial" w:cs="Arial"/>
        </w:rPr>
        <w:lastRenderedPageBreak/>
        <w:t>were 3.25 × 10</w:t>
      </w:r>
      <w:r w:rsidRPr="00FC55D2">
        <w:rPr>
          <w:rFonts w:ascii="Arial" w:hAnsi="Arial" w:cs="Arial"/>
          <w:vertAlign w:val="superscript"/>
        </w:rPr>
        <w:t xml:space="preserve">4 </w:t>
      </w:r>
      <w:r w:rsidRPr="00FC55D2">
        <w:rPr>
          <w:rFonts w:ascii="Arial" w:hAnsi="Arial" w:cs="Arial"/>
        </w:rPr>
        <w:t>CFU/g, 3.00 × 10</w:t>
      </w:r>
      <w:r w:rsidRPr="00FC55D2">
        <w:rPr>
          <w:rFonts w:ascii="Arial" w:hAnsi="Arial" w:cs="Arial"/>
          <w:vertAlign w:val="superscript"/>
        </w:rPr>
        <w:t xml:space="preserve">4 </w:t>
      </w:r>
      <w:r w:rsidRPr="00FC55D2">
        <w:rPr>
          <w:rFonts w:ascii="Arial" w:hAnsi="Arial" w:cs="Arial"/>
        </w:rPr>
        <w:t>CFU/g, 2.50 × 10</w:t>
      </w:r>
      <w:r w:rsidRPr="00FC55D2">
        <w:rPr>
          <w:rFonts w:ascii="Arial" w:hAnsi="Arial" w:cs="Arial"/>
          <w:vertAlign w:val="superscript"/>
        </w:rPr>
        <w:t xml:space="preserve">4 </w:t>
      </w:r>
      <w:r w:rsidRPr="00FC55D2">
        <w:rPr>
          <w:rFonts w:ascii="Arial" w:hAnsi="Arial" w:cs="Arial"/>
        </w:rPr>
        <w:t>CFU/g in the control, 20ml (A) and 60ml (</w:t>
      </w:r>
      <w:r w:rsidRPr="00FC55D2">
        <w:rPr>
          <w:rFonts w:ascii="Arial" w:hAnsi="Arial" w:cs="Arial"/>
          <w:color w:val="0D0D0D" w:themeColor="text1" w:themeTint="F2"/>
        </w:rPr>
        <w:t>B</w:t>
      </w:r>
      <w:r w:rsidRPr="00FC55D2">
        <w:rPr>
          <w:rFonts w:ascii="Arial" w:hAnsi="Arial" w:cs="Arial"/>
        </w:rPr>
        <w:t>) application, respectively.</w:t>
      </w:r>
    </w:p>
    <w:p w14:paraId="4EFEE2CD" w14:textId="77777777" w:rsidR="009A4126" w:rsidRPr="00FC55D2" w:rsidRDefault="009A4126" w:rsidP="009A4126">
      <w:pPr>
        <w:rPr>
          <w:rFonts w:ascii="Arial" w:hAnsi="Arial" w:cs="Arial"/>
        </w:rPr>
      </w:pPr>
      <w:r w:rsidRPr="00FC55D2">
        <w:rPr>
          <w:rFonts w:ascii="Arial" w:hAnsi="Arial" w:cs="Arial"/>
        </w:rPr>
        <w:t>Table 2: Physicochemical and Microbiological Characteristics of Soil Samples after Contamination</w:t>
      </w:r>
    </w:p>
    <w:tbl>
      <w:tblPr>
        <w:tblStyle w:val="ListTable6Colorful"/>
        <w:tblW w:w="0" w:type="auto"/>
        <w:tblLook w:val="04A0" w:firstRow="1" w:lastRow="0" w:firstColumn="1" w:lastColumn="0" w:noHBand="0" w:noVBand="1"/>
      </w:tblPr>
      <w:tblGrid>
        <w:gridCol w:w="5098"/>
        <w:gridCol w:w="1276"/>
        <w:gridCol w:w="1418"/>
        <w:gridCol w:w="1288"/>
      </w:tblGrid>
      <w:tr w:rsidR="009A4126" w:rsidRPr="00FC55D2" w14:paraId="0A217A07" w14:textId="77777777" w:rsidTr="00922F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34FBBC0" w14:textId="77777777" w:rsidR="009A4126" w:rsidRPr="00FC55D2" w:rsidRDefault="009A4126" w:rsidP="00922FC5">
            <w:pPr>
              <w:spacing w:line="360" w:lineRule="auto"/>
              <w:rPr>
                <w:rFonts w:ascii="Arial" w:hAnsi="Arial" w:cs="Arial"/>
                <w:b w:val="0"/>
              </w:rPr>
            </w:pPr>
            <w:r w:rsidRPr="00FC55D2">
              <w:rPr>
                <w:rFonts w:ascii="Arial" w:hAnsi="Arial" w:cs="Arial"/>
                <w:b w:val="0"/>
              </w:rPr>
              <w:t>Parameters</w:t>
            </w:r>
          </w:p>
        </w:tc>
        <w:tc>
          <w:tcPr>
            <w:tcW w:w="1276" w:type="dxa"/>
          </w:tcPr>
          <w:p w14:paraId="44E27018" w14:textId="77777777" w:rsidR="009A4126" w:rsidRPr="00FC55D2" w:rsidRDefault="009A4126" w:rsidP="00922FC5">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C55D2">
              <w:rPr>
                <w:rFonts w:ascii="Arial" w:hAnsi="Arial" w:cs="Arial"/>
                <w:b w:val="0"/>
              </w:rPr>
              <w:t xml:space="preserve">Control </w:t>
            </w:r>
          </w:p>
        </w:tc>
        <w:tc>
          <w:tcPr>
            <w:tcW w:w="1418" w:type="dxa"/>
          </w:tcPr>
          <w:p w14:paraId="3DF31D2A" w14:textId="77777777" w:rsidR="009A4126" w:rsidRPr="00FC55D2" w:rsidRDefault="009A4126" w:rsidP="00922FC5">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C55D2">
              <w:rPr>
                <w:rFonts w:ascii="Arial" w:hAnsi="Arial" w:cs="Arial"/>
                <w:b w:val="0"/>
              </w:rPr>
              <w:t>A</w:t>
            </w:r>
          </w:p>
        </w:tc>
        <w:tc>
          <w:tcPr>
            <w:tcW w:w="1288" w:type="dxa"/>
          </w:tcPr>
          <w:p w14:paraId="32B2A2EF" w14:textId="77777777" w:rsidR="009A4126" w:rsidRPr="00FC55D2" w:rsidRDefault="009A4126" w:rsidP="00922FC5">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C55D2">
              <w:rPr>
                <w:rFonts w:ascii="Arial" w:hAnsi="Arial" w:cs="Arial"/>
                <w:b w:val="0"/>
              </w:rPr>
              <w:t>B</w:t>
            </w:r>
          </w:p>
        </w:tc>
      </w:tr>
      <w:tr w:rsidR="009A4126" w:rsidRPr="00FC55D2" w14:paraId="08A381AD"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415311CB" w14:textId="77777777" w:rsidR="009A4126" w:rsidRPr="00FC55D2" w:rsidRDefault="009A4126" w:rsidP="00922FC5">
            <w:pPr>
              <w:spacing w:line="360" w:lineRule="auto"/>
              <w:rPr>
                <w:rFonts w:ascii="Arial" w:hAnsi="Arial" w:cs="Arial"/>
                <w:b w:val="0"/>
              </w:rPr>
            </w:pPr>
            <w:r w:rsidRPr="00FC55D2">
              <w:rPr>
                <w:rFonts w:ascii="Arial" w:hAnsi="Arial" w:cs="Arial"/>
                <w:b w:val="0"/>
              </w:rPr>
              <w:t>pH</w:t>
            </w:r>
          </w:p>
        </w:tc>
        <w:tc>
          <w:tcPr>
            <w:tcW w:w="1276" w:type="dxa"/>
            <w:shd w:val="clear" w:color="auto" w:fill="auto"/>
          </w:tcPr>
          <w:p w14:paraId="2ADE7BE1"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7.40</w:t>
            </w:r>
          </w:p>
        </w:tc>
        <w:tc>
          <w:tcPr>
            <w:tcW w:w="1418" w:type="dxa"/>
            <w:shd w:val="clear" w:color="auto" w:fill="auto"/>
          </w:tcPr>
          <w:p w14:paraId="34432621"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7.60</w:t>
            </w:r>
          </w:p>
        </w:tc>
        <w:tc>
          <w:tcPr>
            <w:tcW w:w="1288" w:type="dxa"/>
            <w:shd w:val="clear" w:color="auto" w:fill="auto"/>
          </w:tcPr>
          <w:p w14:paraId="0F1A8D18"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7.70</w:t>
            </w:r>
          </w:p>
        </w:tc>
      </w:tr>
      <w:tr w:rsidR="009A4126" w:rsidRPr="00FC55D2" w14:paraId="61C7938F" w14:textId="77777777" w:rsidTr="00922FC5">
        <w:tc>
          <w:tcPr>
            <w:cnfStyle w:val="001000000000" w:firstRow="0" w:lastRow="0" w:firstColumn="1" w:lastColumn="0" w:oddVBand="0" w:evenVBand="0" w:oddHBand="0" w:evenHBand="0" w:firstRowFirstColumn="0" w:firstRowLastColumn="0" w:lastRowFirstColumn="0" w:lastRowLastColumn="0"/>
            <w:tcW w:w="5098" w:type="dxa"/>
          </w:tcPr>
          <w:p w14:paraId="03B286EB" w14:textId="77777777" w:rsidR="009A4126" w:rsidRPr="00FC55D2" w:rsidRDefault="009A4126" w:rsidP="00922FC5">
            <w:pPr>
              <w:spacing w:line="360" w:lineRule="auto"/>
              <w:rPr>
                <w:rFonts w:ascii="Arial" w:hAnsi="Arial" w:cs="Arial"/>
                <w:b w:val="0"/>
              </w:rPr>
            </w:pPr>
            <w:r w:rsidRPr="00FC55D2">
              <w:rPr>
                <w:rFonts w:ascii="Arial" w:hAnsi="Arial" w:cs="Arial"/>
                <w:b w:val="0"/>
              </w:rPr>
              <w:t>Moisture, %</w:t>
            </w:r>
          </w:p>
        </w:tc>
        <w:tc>
          <w:tcPr>
            <w:tcW w:w="1276" w:type="dxa"/>
          </w:tcPr>
          <w:p w14:paraId="72EE9A45"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8.94</w:t>
            </w:r>
          </w:p>
        </w:tc>
        <w:tc>
          <w:tcPr>
            <w:tcW w:w="1418" w:type="dxa"/>
          </w:tcPr>
          <w:p w14:paraId="46A12C0C"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9.97</w:t>
            </w:r>
          </w:p>
        </w:tc>
        <w:tc>
          <w:tcPr>
            <w:tcW w:w="1288" w:type="dxa"/>
          </w:tcPr>
          <w:p w14:paraId="3023A040"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11.35</w:t>
            </w:r>
          </w:p>
        </w:tc>
      </w:tr>
      <w:tr w:rsidR="009A4126" w:rsidRPr="00FC55D2" w14:paraId="3B7ACB36"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4074CCC3" w14:textId="77777777" w:rsidR="009A4126" w:rsidRPr="00FC55D2" w:rsidRDefault="009A4126" w:rsidP="00922FC5">
            <w:pPr>
              <w:spacing w:line="360" w:lineRule="auto"/>
              <w:rPr>
                <w:rFonts w:ascii="Arial" w:hAnsi="Arial" w:cs="Arial"/>
                <w:b w:val="0"/>
              </w:rPr>
            </w:pPr>
            <w:r w:rsidRPr="00FC55D2">
              <w:rPr>
                <w:rFonts w:ascii="Arial" w:hAnsi="Arial" w:cs="Arial"/>
                <w:b w:val="0"/>
              </w:rPr>
              <w:t>Temperature, ºC</w:t>
            </w:r>
          </w:p>
        </w:tc>
        <w:tc>
          <w:tcPr>
            <w:tcW w:w="1276" w:type="dxa"/>
            <w:shd w:val="clear" w:color="auto" w:fill="auto"/>
          </w:tcPr>
          <w:p w14:paraId="5BE01953"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28.0</w:t>
            </w:r>
          </w:p>
        </w:tc>
        <w:tc>
          <w:tcPr>
            <w:tcW w:w="1418" w:type="dxa"/>
            <w:shd w:val="clear" w:color="auto" w:fill="auto"/>
          </w:tcPr>
          <w:p w14:paraId="3F385FBE"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28.0</w:t>
            </w:r>
          </w:p>
        </w:tc>
        <w:tc>
          <w:tcPr>
            <w:tcW w:w="1288" w:type="dxa"/>
            <w:shd w:val="clear" w:color="auto" w:fill="auto"/>
          </w:tcPr>
          <w:p w14:paraId="70BDC6A6"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28.0</w:t>
            </w:r>
          </w:p>
        </w:tc>
      </w:tr>
      <w:tr w:rsidR="009A4126" w:rsidRPr="00FC55D2" w14:paraId="6DAAC69F" w14:textId="77777777" w:rsidTr="00922FC5">
        <w:tc>
          <w:tcPr>
            <w:cnfStyle w:val="001000000000" w:firstRow="0" w:lastRow="0" w:firstColumn="1" w:lastColumn="0" w:oddVBand="0" w:evenVBand="0" w:oddHBand="0" w:evenHBand="0" w:firstRowFirstColumn="0" w:firstRowLastColumn="0" w:lastRowFirstColumn="0" w:lastRowLastColumn="0"/>
            <w:tcW w:w="5098" w:type="dxa"/>
          </w:tcPr>
          <w:p w14:paraId="70D2A8A9" w14:textId="77777777" w:rsidR="009A4126" w:rsidRPr="00FC55D2" w:rsidRDefault="009A4126" w:rsidP="00922FC5">
            <w:pPr>
              <w:spacing w:line="360" w:lineRule="auto"/>
              <w:rPr>
                <w:rFonts w:ascii="Arial" w:hAnsi="Arial" w:cs="Arial"/>
                <w:b w:val="0"/>
              </w:rPr>
            </w:pPr>
            <w:r w:rsidRPr="00FC55D2">
              <w:rPr>
                <w:rFonts w:ascii="Arial" w:hAnsi="Arial" w:cs="Arial"/>
                <w:b w:val="0"/>
              </w:rPr>
              <w:t>Sulphates, mg/kg</w:t>
            </w:r>
          </w:p>
        </w:tc>
        <w:tc>
          <w:tcPr>
            <w:tcW w:w="1276" w:type="dxa"/>
          </w:tcPr>
          <w:p w14:paraId="5C9D57A0"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1.10</w:t>
            </w:r>
          </w:p>
        </w:tc>
        <w:tc>
          <w:tcPr>
            <w:tcW w:w="1418" w:type="dxa"/>
          </w:tcPr>
          <w:p w14:paraId="1B377543"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1.28</w:t>
            </w:r>
          </w:p>
        </w:tc>
        <w:tc>
          <w:tcPr>
            <w:tcW w:w="1288" w:type="dxa"/>
          </w:tcPr>
          <w:p w14:paraId="399A408A"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4.20</w:t>
            </w:r>
          </w:p>
        </w:tc>
      </w:tr>
      <w:tr w:rsidR="009A4126" w:rsidRPr="00FC55D2" w14:paraId="5C5F3E35"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4B92AF75" w14:textId="77777777" w:rsidR="009A4126" w:rsidRPr="00FC55D2" w:rsidRDefault="009A4126" w:rsidP="00922FC5">
            <w:pPr>
              <w:spacing w:line="360" w:lineRule="auto"/>
              <w:rPr>
                <w:rFonts w:ascii="Arial" w:hAnsi="Arial" w:cs="Arial"/>
                <w:b w:val="0"/>
              </w:rPr>
            </w:pPr>
            <w:r w:rsidRPr="00FC55D2">
              <w:rPr>
                <w:rFonts w:ascii="Arial" w:hAnsi="Arial" w:cs="Arial"/>
                <w:b w:val="0"/>
              </w:rPr>
              <w:t>Nitrates, mg/kg</w:t>
            </w:r>
          </w:p>
        </w:tc>
        <w:tc>
          <w:tcPr>
            <w:tcW w:w="1276" w:type="dxa"/>
            <w:shd w:val="clear" w:color="auto" w:fill="auto"/>
          </w:tcPr>
          <w:p w14:paraId="5561F258"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&lt;0.01</w:t>
            </w:r>
          </w:p>
        </w:tc>
        <w:tc>
          <w:tcPr>
            <w:tcW w:w="1418" w:type="dxa"/>
            <w:shd w:val="clear" w:color="auto" w:fill="auto"/>
          </w:tcPr>
          <w:p w14:paraId="299B07D1"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11.83</w:t>
            </w:r>
          </w:p>
        </w:tc>
        <w:tc>
          <w:tcPr>
            <w:tcW w:w="1288" w:type="dxa"/>
            <w:shd w:val="clear" w:color="auto" w:fill="auto"/>
          </w:tcPr>
          <w:p w14:paraId="3B879B57"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9.14</w:t>
            </w:r>
          </w:p>
        </w:tc>
      </w:tr>
      <w:tr w:rsidR="009A4126" w:rsidRPr="00FC55D2" w14:paraId="6CBC68DA" w14:textId="77777777" w:rsidTr="00922FC5">
        <w:tc>
          <w:tcPr>
            <w:cnfStyle w:val="001000000000" w:firstRow="0" w:lastRow="0" w:firstColumn="1" w:lastColumn="0" w:oddVBand="0" w:evenVBand="0" w:oddHBand="0" w:evenHBand="0" w:firstRowFirstColumn="0" w:firstRowLastColumn="0" w:lastRowFirstColumn="0" w:lastRowLastColumn="0"/>
            <w:tcW w:w="5098" w:type="dxa"/>
          </w:tcPr>
          <w:p w14:paraId="4CE25CC8" w14:textId="77777777" w:rsidR="009A4126" w:rsidRPr="00FC55D2" w:rsidRDefault="009A4126" w:rsidP="00922FC5">
            <w:pPr>
              <w:spacing w:line="360" w:lineRule="auto"/>
              <w:rPr>
                <w:rFonts w:ascii="Arial" w:hAnsi="Arial" w:cs="Arial"/>
                <w:b w:val="0"/>
              </w:rPr>
            </w:pPr>
            <w:r w:rsidRPr="00FC55D2">
              <w:rPr>
                <w:rFonts w:ascii="Arial" w:hAnsi="Arial" w:cs="Arial"/>
                <w:b w:val="0"/>
              </w:rPr>
              <w:t>Electrical conductivity  (EC), µS/cm</w:t>
            </w:r>
          </w:p>
        </w:tc>
        <w:tc>
          <w:tcPr>
            <w:tcW w:w="1276" w:type="dxa"/>
          </w:tcPr>
          <w:p w14:paraId="230E4338"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740</w:t>
            </w:r>
          </w:p>
        </w:tc>
        <w:tc>
          <w:tcPr>
            <w:tcW w:w="1418" w:type="dxa"/>
          </w:tcPr>
          <w:p w14:paraId="753577A8"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1320</w:t>
            </w:r>
          </w:p>
        </w:tc>
        <w:tc>
          <w:tcPr>
            <w:tcW w:w="1288" w:type="dxa"/>
          </w:tcPr>
          <w:p w14:paraId="1F3C70B4"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1710</w:t>
            </w:r>
          </w:p>
        </w:tc>
      </w:tr>
      <w:tr w:rsidR="009A4126" w:rsidRPr="00FC55D2" w14:paraId="1F5767F7"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130F6DA2" w14:textId="77777777" w:rsidR="009A4126" w:rsidRPr="00FC55D2" w:rsidRDefault="009A4126" w:rsidP="00922FC5">
            <w:pPr>
              <w:spacing w:line="360" w:lineRule="auto"/>
              <w:rPr>
                <w:rFonts w:ascii="Arial" w:hAnsi="Arial" w:cs="Arial"/>
                <w:b w:val="0"/>
              </w:rPr>
            </w:pPr>
            <w:r w:rsidRPr="00FC55D2">
              <w:rPr>
                <w:rFonts w:ascii="Arial" w:hAnsi="Arial" w:cs="Arial"/>
                <w:b w:val="0"/>
              </w:rPr>
              <w:t xml:space="preserve">Cation exchange capacity (CEC), </w:t>
            </w:r>
            <w:proofErr w:type="spellStart"/>
            <w:r w:rsidRPr="00FC55D2">
              <w:rPr>
                <w:rFonts w:ascii="Arial" w:hAnsi="Arial" w:cs="Arial"/>
                <w:b w:val="0"/>
              </w:rPr>
              <w:t>meq</w:t>
            </w:r>
            <w:proofErr w:type="spellEnd"/>
            <w:r w:rsidRPr="00FC55D2">
              <w:rPr>
                <w:rFonts w:ascii="Arial" w:hAnsi="Arial" w:cs="Arial"/>
                <w:b w:val="0"/>
              </w:rPr>
              <w:t>/100g</w:t>
            </w:r>
          </w:p>
        </w:tc>
        <w:tc>
          <w:tcPr>
            <w:tcW w:w="1276" w:type="dxa"/>
            <w:shd w:val="clear" w:color="auto" w:fill="auto"/>
          </w:tcPr>
          <w:p w14:paraId="51ED8BD5"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1.97</w:t>
            </w:r>
          </w:p>
        </w:tc>
        <w:tc>
          <w:tcPr>
            <w:tcW w:w="1418" w:type="dxa"/>
            <w:shd w:val="clear" w:color="auto" w:fill="auto"/>
          </w:tcPr>
          <w:p w14:paraId="211A5C1F"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1.61</w:t>
            </w:r>
          </w:p>
        </w:tc>
        <w:tc>
          <w:tcPr>
            <w:tcW w:w="1288" w:type="dxa"/>
            <w:shd w:val="clear" w:color="auto" w:fill="auto"/>
          </w:tcPr>
          <w:p w14:paraId="0B4CE0C4"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1.93</w:t>
            </w:r>
          </w:p>
        </w:tc>
      </w:tr>
      <w:tr w:rsidR="009A4126" w:rsidRPr="00FC55D2" w14:paraId="253A5C41" w14:textId="77777777" w:rsidTr="00922FC5">
        <w:tc>
          <w:tcPr>
            <w:cnfStyle w:val="001000000000" w:firstRow="0" w:lastRow="0" w:firstColumn="1" w:lastColumn="0" w:oddVBand="0" w:evenVBand="0" w:oddHBand="0" w:evenHBand="0" w:firstRowFirstColumn="0" w:firstRowLastColumn="0" w:lastRowFirstColumn="0" w:lastRowLastColumn="0"/>
            <w:tcW w:w="5098" w:type="dxa"/>
          </w:tcPr>
          <w:p w14:paraId="773C4160" w14:textId="77777777" w:rsidR="009A4126" w:rsidRPr="00FC55D2" w:rsidRDefault="009A4126" w:rsidP="00922FC5">
            <w:pPr>
              <w:spacing w:line="360" w:lineRule="auto"/>
              <w:rPr>
                <w:rFonts w:ascii="Arial" w:hAnsi="Arial" w:cs="Arial"/>
                <w:b w:val="0"/>
              </w:rPr>
            </w:pPr>
            <w:r w:rsidRPr="00FC55D2">
              <w:rPr>
                <w:rFonts w:ascii="Arial" w:hAnsi="Arial" w:cs="Arial"/>
                <w:b w:val="0"/>
              </w:rPr>
              <w:t>Total organic carbon (TOC), %</w:t>
            </w:r>
          </w:p>
        </w:tc>
        <w:tc>
          <w:tcPr>
            <w:tcW w:w="1276" w:type="dxa"/>
          </w:tcPr>
          <w:p w14:paraId="5DA4E720"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1.30</w:t>
            </w:r>
          </w:p>
        </w:tc>
        <w:tc>
          <w:tcPr>
            <w:tcW w:w="1418" w:type="dxa"/>
          </w:tcPr>
          <w:p w14:paraId="1A439C28"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1.64</w:t>
            </w:r>
          </w:p>
        </w:tc>
        <w:tc>
          <w:tcPr>
            <w:tcW w:w="1288" w:type="dxa"/>
          </w:tcPr>
          <w:p w14:paraId="2ECA62BB"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1.68</w:t>
            </w:r>
          </w:p>
        </w:tc>
      </w:tr>
      <w:tr w:rsidR="009A4126" w:rsidRPr="00FC55D2" w14:paraId="631D202B"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4AF1E58E" w14:textId="77777777" w:rsidR="009A4126" w:rsidRPr="00FC55D2" w:rsidRDefault="009A4126" w:rsidP="00922FC5">
            <w:pPr>
              <w:spacing w:line="360" w:lineRule="auto"/>
              <w:rPr>
                <w:rFonts w:ascii="Arial" w:hAnsi="Arial" w:cs="Arial"/>
                <w:b w:val="0"/>
              </w:rPr>
            </w:pPr>
            <w:r w:rsidRPr="00FC55D2">
              <w:rPr>
                <w:rFonts w:ascii="Arial" w:hAnsi="Arial" w:cs="Arial"/>
                <w:b w:val="0"/>
              </w:rPr>
              <w:t>Lead, mg/kg</w:t>
            </w:r>
          </w:p>
        </w:tc>
        <w:tc>
          <w:tcPr>
            <w:tcW w:w="1276" w:type="dxa"/>
            <w:shd w:val="clear" w:color="auto" w:fill="auto"/>
          </w:tcPr>
          <w:p w14:paraId="3D005E6A"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6.90</w:t>
            </w:r>
          </w:p>
        </w:tc>
        <w:tc>
          <w:tcPr>
            <w:tcW w:w="1418" w:type="dxa"/>
            <w:shd w:val="clear" w:color="auto" w:fill="auto"/>
          </w:tcPr>
          <w:p w14:paraId="5232DC94"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6.22</w:t>
            </w:r>
          </w:p>
        </w:tc>
        <w:tc>
          <w:tcPr>
            <w:tcW w:w="1288" w:type="dxa"/>
            <w:shd w:val="clear" w:color="auto" w:fill="auto"/>
          </w:tcPr>
          <w:p w14:paraId="0444EBF7"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8.10</w:t>
            </w:r>
          </w:p>
        </w:tc>
      </w:tr>
      <w:tr w:rsidR="009A4126" w:rsidRPr="00FC55D2" w14:paraId="024C0690" w14:textId="77777777" w:rsidTr="00922FC5">
        <w:tc>
          <w:tcPr>
            <w:cnfStyle w:val="001000000000" w:firstRow="0" w:lastRow="0" w:firstColumn="1" w:lastColumn="0" w:oddVBand="0" w:evenVBand="0" w:oddHBand="0" w:evenHBand="0" w:firstRowFirstColumn="0" w:firstRowLastColumn="0" w:lastRowFirstColumn="0" w:lastRowLastColumn="0"/>
            <w:tcW w:w="5098" w:type="dxa"/>
          </w:tcPr>
          <w:p w14:paraId="6F680FB9" w14:textId="77777777" w:rsidR="009A4126" w:rsidRPr="00FC55D2" w:rsidRDefault="009A4126" w:rsidP="00922FC5">
            <w:pPr>
              <w:spacing w:line="360" w:lineRule="auto"/>
              <w:rPr>
                <w:rFonts w:ascii="Arial" w:hAnsi="Arial" w:cs="Arial"/>
                <w:b w:val="0"/>
              </w:rPr>
            </w:pPr>
            <w:r w:rsidRPr="00FC55D2">
              <w:rPr>
                <w:rFonts w:ascii="Arial" w:hAnsi="Arial" w:cs="Arial"/>
                <w:b w:val="0"/>
              </w:rPr>
              <w:t>Cadmium, mg/kg</w:t>
            </w:r>
          </w:p>
        </w:tc>
        <w:tc>
          <w:tcPr>
            <w:tcW w:w="1276" w:type="dxa"/>
          </w:tcPr>
          <w:p w14:paraId="063020F3"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0.16</w:t>
            </w:r>
          </w:p>
        </w:tc>
        <w:tc>
          <w:tcPr>
            <w:tcW w:w="1418" w:type="dxa"/>
          </w:tcPr>
          <w:p w14:paraId="7F6CBDC0"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0.10</w:t>
            </w:r>
          </w:p>
        </w:tc>
        <w:tc>
          <w:tcPr>
            <w:tcW w:w="1288" w:type="dxa"/>
          </w:tcPr>
          <w:p w14:paraId="09B866CA"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0.18</w:t>
            </w:r>
          </w:p>
        </w:tc>
      </w:tr>
      <w:tr w:rsidR="009A4126" w:rsidRPr="00FC55D2" w14:paraId="752AAF5A"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39A4781D" w14:textId="77777777" w:rsidR="009A4126" w:rsidRPr="00FC55D2" w:rsidRDefault="009A4126" w:rsidP="00922FC5">
            <w:pPr>
              <w:spacing w:line="360" w:lineRule="auto"/>
              <w:rPr>
                <w:rFonts w:ascii="Arial" w:hAnsi="Arial" w:cs="Arial"/>
                <w:b w:val="0"/>
              </w:rPr>
            </w:pPr>
            <w:r w:rsidRPr="00FC55D2">
              <w:rPr>
                <w:rFonts w:ascii="Arial" w:hAnsi="Arial" w:cs="Arial"/>
                <w:b w:val="0"/>
              </w:rPr>
              <w:t>Mercury, mg/kg</w:t>
            </w:r>
          </w:p>
        </w:tc>
        <w:tc>
          <w:tcPr>
            <w:tcW w:w="1276" w:type="dxa"/>
            <w:shd w:val="clear" w:color="auto" w:fill="auto"/>
          </w:tcPr>
          <w:p w14:paraId="75A0B40C"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&lt;0.01</w:t>
            </w:r>
          </w:p>
        </w:tc>
        <w:tc>
          <w:tcPr>
            <w:tcW w:w="1418" w:type="dxa"/>
            <w:shd w:val="clear" w:color="auto" w:fill="auto"/>
          </w:tcPr>
          <w:p w14:paraId="31281417"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&lt;0.01</w:t>
            </w:r>
          </w:p>
        </w:tc>
        <w:tc>
          <w:tcPr>
            <w:tcW w:w="1288" w:type="dxa"/>
            <w:shd w:val="clear" w:color="auto" w:fill="auto"/>
          </w:tcPr>
          <w:p w14:paraId="69978733"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&lt;0.01</w:t>
            </w:r>
          </w:p>
        </w:tc>
      </w:tr>
      <w:tr w:rsidR="009A4126" w:rsidRPr="00FC55D2" w14:paraId="360FA6E2" w14:textId="77777777" w:rsidTr="00922FC5">
        <w:tc>
          <w:tcPr>
            <w:cnfStyle w:val="001000000000" w:firstRow="0" w:lastRow="0" w:firstColumn="1" w:lastColumn="0" w:oddVBand="0" w:evenVBand="0" w:oddHBand="0" w:evenHBand="0" w:firstRowFirstColumn="0" w:firstRowLastColumn="0" w:lastRowFirstColumn="0" w:lastRowLastColumn="0"/>
            <w:tcW w:w="5098" w:type="dxa"/>
          </w:tcPr>
          <w:p w14:paraId="01960B42" w14:textId="77777777" w:rsidR="009A4126" w:rsidRPr="00FC55D2" w:rsidRDefault="009A4126" w:rsidP="00922FC5">
            <w:pPr>
              <w:spacing w:line="360" w:lineRule="auto"/>
              <w:rPr>
                <w:rFonts w:ascii="Arial" w:hAnsi="Arial" w:cs="Arial"/>
                <w:b w:val="0"/>
              </w:rPr>
            </w:pPr>
            <w:r w:rsidRPr="00FC55D2">
              <w:rPr>
                <w:rFonts w:ascii="Arial" w:hAnsi="Arial" w:cs="Arial"/>
                <w:b w:val="0"/>
              </w:rPr>
              <w:t>Arsenic, mg/kg</w:t>
            </w:r>
          </w:p>
        </w:tc>
        <w:tc>
          <w:tcPr>
            <w:tcW w:w="1276" w:type="dxa"/>
          </w:tcPr>
          <w:p w14:paraId="743A8451"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&lt;0.01</w:t>
            </w:r>
          </w:p>
        </w:tc>
        <w:tc>
          <w:tcPr>
            <w:tcW w:w="1418" w:type="dxa"/>
          </w:tcPr>
          <w:p w14:paraId="03F3111D"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&lt;0.01</w:t>
            </w:r>
          </w:p>
        </w:tc>
        <w:tc>
          <w:tcPr>
            <w:tcW w:w="1288" w:type="dxa"/>
          </w:tcPr>
          <w:p w14:paraId="1EE443F4"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&lt;0.01</w:t>
            </w:r>
          </w:p>
        </w:tc>
      </w:tr>
      <w:tr w:rsidR="009A4126" w:rsidRPr="00FC55D2" w14:paraId="52D3A017"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1181EB45" w14:textId="77777777" w:rsidR="009A4126" w:rsidRPr="00FC55D2" w:rsidRDefault="009A4126" w:rsidP="00922FC5">
            <w:pPr>
              <w:spacing w:line="360" w:lineRule="auto"/>
              <w:rPr>
                <w:rFonts w:ascii="Arial" w:hAnsi="Arial" w:cs="Arial"/>
                <w:b w:val="0"/>
              </w:rPr>
            </w:pPr>
            <w:r w:rsidRPr="00FC55D2">
              <w:rPr>
                <w:rFonts w:ascii="Arial" w:hAnsi="Arial" w:cs="Arial"/>
                <w:b w:val="0"/>
              </w:rPr>
              <w:t>Microbial counts ×10</w:t>
            </w:r>
            <w:r w:rsidRPr="00FC55D2">
              <w:rPr>
                <w:rFonts w:ascii="Arial" w:hAnsi="Arial" w:cs="Arial"/>
                <w:b w:val="0"/>
                <w:vertAlign w:val="superscript"/>
              </w:rPr>
              <w:t>4</w:t>
            </w:r>
            <w:r w:rsidRPr="00FC55D2">
              <w:rPr>
                <w:rFonts w:ascii="Arial" w:hAnsi="Arial" w:cs="Arial"/>
                <w:b w:val="0"/>
              </w:rPr>
              <w:t>CFU/g</w:t>
            </w:r>
          </w:p>
        </w:tc>
        <w:tc>
          <w:tcPr>
            <w:tcW w:w="1276" w:type="dxa"/>
            <w:shd w:val="clear" w:color="auto" w:fill="auto"/>
          </w:tcPr>
          <w:p w14:paraId="402B6E43"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8" w:type="dxa"/>
            <w:shd w:val="clear" w:color="auto" w:fill="auto"/>
          </w:tcPr>
          <w:p w14:paraId="5D31E305"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88" w:type="dxa"/>
            <w:shd w:val="clear" w:color="auto" w:fill="auto"/>
          </w:tcPr>
          <w:p w14:paraId="5DDF191F"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A4126" w:rsidRPr="00FC55D2" w14:paraId="6F94FA1A" w14:textId="77777777" w:rsidTr="00922FC5">
        <w:tc>
          <w:tcPr>
            <w:cnfStyle w:val="001000000000" w:firstRow="0" w:lastRow="0" w:firstColumn="1" w:lastColumn="0" w:oddVBand="0" w:evenVBand="0" w:oddHBand="0" w:evenHBand="0" w:firstRowFirstColumn="0" w:firstRowLastColumn="0" w:lastRowFirstColumn="0" w:lastRowLastColumn="0"/>
            <w:tcW w:w="5098" w:type="dxa"/>
          </w:tcPr>
          <w:p w14:paraId="1BB1666D" w14:textId="77777777" w:rsidR="009A4126" w:rsidRPr="00FC55D2" w:rsidRDefault="009A4126" w:rsidP="00922FC5">
            <w:pPr>
              <w:spacing w:line="360" w:lineRule="auto"/>
              <w:rPr>
                <w:rFonts w:ascii="Arial" w:hAnsi="Arial" w:cs="Arial"/>
                <w:b w:val="0"/>
              </w:rPr>
            </w:pPr>
            <w:r w:rsidRPr="00FC55D2">
              <w:rPr>
                <w:rFonts w:ascii="Arial" w:hAnsi="Arial" w:cs="Arial"/>
                <w:b w:val="0"/>
              </w:rPr>
              <w:t xml:space="preserve">Total heterotrophic bacteria </w:t>
            </w:r>
          </w:p>
        </w:tc>
        <w:tc>
          <w:tcPr>
            <w:tcW w:w="1276" w:type="dxa"/>
          </w:tcPr>
          <w:p w14:paraId="7FB335CA"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5.00</w:t>
            </w:r>
          </w:p>
        </w:tc>
        <w:tc>
          <w:tcPr>
            <w:tcW w:w="1418" w:type="dxa"/>
          </w:tcPr>
          <w:p w14:paraId="1923908E"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3.30</w:t>
            </w:r>
          </w:p>
        </w:tc>
        <w:tc>
          <w:tcPr>
            <w:tcW w:w="1288" w:type="dxa"/>
          </w:tcPr>
          <w:p w14:paraId="046D48F8"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3.00</w:t>
            </w:r>
          </w:p>
        </w:tc>
      </w:tr>
      <w:tr w:rsidR="009A4126" w:rsidRPr="00FC55D2" w14:paraId="33D3A8B0"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414BB77F" w14:textId="77777777" w:rsidR="009A4126" w:rsidRPr="00FC55D2" w:rsidRDefault="009A4126" w:rsidP="00922FC5">
            <w:pPr>
              <w:spacing w:line="360" w:lineRule="auto"/>
              <w:rPr>
                <w:rFonts w:ascii="Arial" w:hAnsi="Arial" w:cs="Arial"/>
                <w:b w:val="0"/>
              </w:rPr>
            </w:pPr>
            <w:r w:rsidRPr="00FC55D2">
              <w:rPr>
                <w:rFonts w:ascii="Arial" w:hAnsi="Arial" w:cs="Arial"/>
                <w:b w:val="0"/>
              </w:rPr>
              <w:t>Total heterotrophic fungi</w:t>
            </w:r>
          </w:p>
        </w:tc>
        <w:tc>
          <w:tcPr>
            <w:tcW w:w="1276" w:type="dxa"/>
            <w:shd w:val="clear" w:color="auto" w:fill="auto"/>
          </w:tcPr>
          <w:p w14:paraId="10CB6D50"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3.25</w:t>
            </w:r>
          </w:p>
        </w:tc>
        <w:tc>
          <w:tcPr>
            <w:tcW w:w="1418" w:type="dxa"/>
            <w:shd w:val="clear" w:color="auto" w:fill="auto"/>
          </w:tcPr>
          <w:p w14:paraId="672D584C"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3.00</w:t>
            </w:r>
          </w:p>
        </w:tc>
        <w:tc>
          <w:tcPr>
            <w:tcW w:w="1288" w:type="dxa"/>
            <w:shd w:val="clear" w:color="auto" w:fill="auto"/>
          </w:tcPr>
          <w:p w14:paraId="51A14B54"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2.50</w:t>
            </w:r>
          </w:p>
        </w:tc>
      </w:tr>
    </w:tbl>
    <w:p w14:paraId="59FB333D" w14:textId="77777777" w:rsidR="009A4126" w:rsidRPr="00FC55D2" w:rsidRDefault="009A4126" w:rsidP="009A4126">
      <w:pPr>
        <w:rPr>
          <w:rFonts w:ascii="Arial" w:hAnsi="Arial" w:cs="Arial"/>
        </w:rPr>
      </w:pPr>
    </w:p>
    <w:p w14:paraId="14E99A0F" w14:textId="77777777" w:rsidR="009A4126" w:rsidRPr="00FC55D2" w:rsidRDefault="009A4126" w:rsidP="009A4126">
      <w:pPr>
        <w:rPr>
          <w:rFonts w:ascii="Arial" w:hAnsi="Arial" w:cs="Arial"/>
        </w:rPr>
      </w:pPr>
    </w:p>
    <w:p w14:paraId="60C7DE54" w14:textId="77777777" w:rsidR="009A4126" w:rsidRPr="00FC55D2" w:rsidRDefault="009A21EA" w:rsidP="009A4126">
      <w:pPr>
        <w:pStyle w:val="Heading2"/>
        <w:spacing w:line="240" w:lineRule="auto"/>
        <w:contextualSpacing/>
        <w:rPr>
          <w:rFonts w:ascii="Arial" w:hAnsi="Arial" w:cs="Arial"/>
          <w:b w:val="0"/>
          <w:sz w:val="22"/>
          <w:szCs w:val="22"/>
        </w:rPr>
      </w:pPr>
      <w:r w:rsidRPr="00FC55D2">
        <w:rPr>
          <w:rStyle w:val="Strong"/>
          <w:rFonts w:ascii="Arial" w:hAnsi="Arial" w:cs="Arial"/>
          <w:b/>
          <w:sz w:val="22"/>
          <w:szCs w:val="22"/>
        </w:rPr>
        <w:t>3.3 Isolation and identification of soil microorganisms</w:t>
      </w:r>
      <w:r w:rsidR="009A4126" w:rsidRPr="00FC55D2">
        <w:rPr>
          <w:rStyle w:val="Strong"/>
          <w:rFonts w:ascii="Arial" w:hAnsi="Arial" w:cs="Arial"/>
          <w:b/>
          <w:sz w:val="22"/>
          <w:szCs w:val="22"/>
        </w:rPr>
        <w:t xml:space="preserve"> </w:t>
      </w:r>
    </w:p>
    <w:p w14:paraId="6EA93526" w14:textId="77777777" w:rsidR="009A4126" w:rsidRPr="00FC55D2" w:rsidRDefault="009A21EA" w:rsidP="009A4126">
      <w:pPr>
        <w:pStyle w:val="NormalWeb"/>
        <w:spacing w:line="480" w:lineRule="auto"/>
        <w:jc w:val="both"/>
        <w:rPr>
          <w:rFonts w:ascii="Arial" w:hAnsi="Arial" w:cs="Arial"/>
          <w:color w:val="0D0D0D" w:themeColor="text1" w:themeTint="F2"/>
          <w:sz w:val="20"/>
          <w:szCs w:val="20"/>
        </w:rPr>
      </w:pPr>
      <w:r w:rsidRPr="00FC55D2">
        <w:rPr>
          <w:rFonts w:ascii="Arial" w:hAnsi="Arial" w:cs="Arial"/>
          <w:color w:val="0D0D0D" w:themeColor="text1" w:themeTint="F2"/>
          <w:sz w:val="20"/>
          <w:szCs w:val="20"/>
        </w:rPr>
        <w:t>Several types of</w:t>
      </w:r>
      <w:r w:rsidR="009A4126" w:rsidRPr="00FC55D2">
        <w:rPr>
          <w:rFonts w:ascii="Arial" w:hAnsi="Arial" w:cs="Arial"/>
          <w:color w:val="0D0D0D" w:themeColor="text1" w:themeTint="F2"/>
          <w:sz w:val="20"/>
          <w:szCs w:val="20"/>
        </w:rPr>
        <w:t xml:space="preserve"> bacterial isolates were obtained from the study. The bacterial isolates were characterized based on their primary biochemical and biochemical reactions with </w:t>
      </w:r>
      <w:r w:rsidR="009A4126" w:rsidRPr="00FC55D2">
        <w:rPr>
          <w:rFonts w:ascii="Arial" w:hAnsi="Arial" w:cs="Arial"/>
          <w:sz w:val="20"/>
          <w:szCs w:val="20"/>
        </w:rPr>
        <w:t>the analytical profile index (API 20E and API 50CH) test strip</w:t>
      </w:r>
      <w:r w:rsidR="009A4126" w:rsidRPr="00FC55D2">
        <w:rPr>
          <w:rFonts w:ascii="Arial" w:hAnsi="Arial" w:cs="Arial"/>
          <w:color w:val="0D0D0D" w:themeColor="text1" w:themeTint="F2"/>
          <w:sz w:val="20"/>
          <w:szCs w:val="20"/>
        </w:rPr>
        <w:t xml:space="preserve"> results. Tables 3, 4 and 5 provide comprehensive data on the bacterial isolates identified. </w:t>
      </w:r>
    </w:p>
    <w:p w14:paraId="6C68DD93" w14:textId="77777777" w:rsidR="009A4126" w:rsidRPr="00FC55D2" w:rsidRDefault="009A4126" w:rsidP="009A4126">
      <w:pPr>
        <w:pStyle w:val="NormalWeb"/>
        <w:contextualSpacing/>
        <w:jc w:val="both"/>
        <w:rPr>
          <w:rFonts w:ascii="Arial" w:hAnsi="Arial" w:cs="Arial"/>
          <w:color w:val="0D0D0D" w:themeColor="text1" w:themeTint="F2"/>
          <w:sz w:val="20"/>
          <w:szCs w:val="20"/>
        </w:rPr>
      </w:pPr>
      <w:r w:rsidRPr="00FC55D2">
        <w:rPr>
          <w:rFonts w:ascii="Arial" w:hAnsi="Arial" w:cs="Arial"/>
          <w:color w:val="0D0D0D" w:themeColor="text1" w:themeTint="F2"/>
          <w:sz w:val="20"/>
          <w:szCs w:val="20"/>
        </w:rPr>
        <w:t>Ta</w:t>
      </w:r>
      <w:r w:rsidRPr="00FC55D2">
        <w:rPr>
          <w:rFonts w:ascii="Arial" w:hAnsi="Arial" w:cs="Arial"/>
          <w:sz w:val="20"/>
          <w:szCs w:val="20"/>
        </w:rPr>
        <w:t>b</w:t>
      </w:r>
      <w:r w:rsidRPr="00FC55D2">
        <w:rPr>
          <w:rFonts w:ascii="Arial" w:hAnsi="Arial" w:cs="Arial"/>
          <w:color w:val="0D0D0D" w:themeColor="text1" w:themeTint="F2"/>
          <w:sz w:val="20"/>
          <w:szCs w:val="20"/>
        </w:rPr>
        <w:t>le 3:</w:t>
      </w:r>
      <w:r w:rsidRPr="00FC55D2">
        <w:rPr>
          <w:rFonts w:ascii="Arial" w:hAnsi="Arial" w:cs="Arial"/>
          <w:sz w:val="20"/>
          <w:szCs w:val="20"/>
        </w:rPr>
        <w:t xml:space="preserve"> Biochemical characteristics of some cultured bacterial isolates</w:t>
      </w:r>
    </w:p>
    <w:tbl>
      <w:tblPr>
        <w:tblStyle w:val="ListTable6Colorful"/>
        <w:tblW w:w="10207" w:type="dxa"/>
        <w:tblLayout w:type="fixed"/>
        <w:tblLook w:val="04A0" w:firstRow="1" w:lastRow="0" w:firstColumn="1" w:lastColumn="0" w:noHBand="0" w:noVBand="1"/>
      </w:tblPr>
      <w:tblGrid>
        <w:gridCol w:w="1007"/>
        <w:gridCol w:w="979"/>
        <w:gridCol w:w="389"/>
        <w:gridCol w:w="461"/>
        <w:gridCol w:w="425"/>
        <w:gridCol w:w="426"/>
        <w:gridCol w:w="425"/>
        <w:gridCol w:w="425"/>
        <w:gridCol w:w="425"/>
        <w:gridCol w:w="426"/>
        <w:gridCol w:w="425"/>
        <w:gridCol w:w="425"/>
        <w:gridCol w:w="567"/>
        <w:gridCol w:w="3402"/>
      </w:tblGrid>
      <w:tr w:rsidR="009A4126" w:rsidRPr="00FC55D2" w14:paraId="457430D4" w14:textId="77777777" w:rsidTr="00922FC5">
        <w:trPr>
          <w:cnfStyle w:val="100000000000" w:firstRow="1" w:lastRow="0" w:firstColumn="0" w:lastColumn="0" w:oddVBand="0" w:evenVBand="0" w:oddHBand="0" w:evenHBand="0" w:firstRowFirstColumn="0" w:firstRowLastColumn="0" w:lastRowFirstColumn="0" w:lastRowLastColumn="0"/>
          <w:trHeight w:val="1278"/>
        </w:trPr>
        <w:tc>
          <w:tcPr>
            <w:cnfStyle w:val="001000000000" w:firstRow="0" w:lastRow="0" w:firstColumn="1" w:lastColumn="0" w:oddVBand="0" w:evenVBand="0" w:oddHBand="0" w:evenHBand="0" w:firstRowFirstColumn="0" w:firstRowLastColumn="0" w:lastRowFirstColumn="0" w:lastRowLastColumn="0"/>
            <w:tcW w:w="1007" w:type="dxa"/>
            <w:textDirection w:val="btLr"/>
          </w:tcPr>
          <w:p w14:paraId="0E094A77" w14:textId="77777777" w:rsidR="009A4126" w:rsidRPr="00FC55D2" w:rsidRDefault="009A4126" w:rsidP="00922FC5">
            <w:pPr>
              <w:ind w:left="113" w:right="113"/>
              <w:contextualSpacing/>
              <w:jc w:val="both"/>
              <w:rPr>
                <w:rFonts w:ascii="Arial" w:hAnsi="Arial" w:cs="Arial"/>
                <w:sz w:val="16"/>
                <w:szCs w:val="16"/>
              </w:rPr>
            </w:pPr>
            <w:r w:rsidRPr="00FC55D2">
              <w:rPr>
                <w:rFonts w:ascii="Arial" w:hAnsi="Arial" w:cs="Arial"/>
                <w:sz w:val="16"/>
                <w:szCs w:val="16"/>
              </w:rPr>
              <w:t>Isolate ID</w:t>
            </w:r>
          </w:p>
        </w:tc>
        <w:tc>
          <w:tcPr>
            <w:tcW w:w="979" w:type="dxa"/>
            <w:textDirection w:val="btLr"/>
          </w:tcPr>
          <w:p w14:paraId="157A66AA"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Gram reaction </w:t>
            </w:r>
          </w:p>
        </w:tc>
        <w:tc>
          <w:tcPr>
            <w:tcW w:w="389" w:type="dxa"/>
            <w:textDirection w:val="btLr"/>
          </w:tcPr>
          <w:p w14:paraId="13C13A6A"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Catalase</w:t>
            </w:r>
          </w:p>
        </w:tc>
        <w:tc>
          <w:tcPr>
            <w:tcW w:w="461" w:type="dxa"/>
            <w:textDirection w:val="btLr"/>
          </w:tcPr>
          <w:p w14:paraId="76EA9FE3"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Citrate</w:t>
            </w:r>
          </w:p>
        </w:tc>
        <w:tc>
          <w:tcPr>
            <w:tcW w:w="425" w:type="dxa"/>
            <w:textDirection w:val="btLr"/>
          </w:tcPr>
          <w:p w14:paraId="2204CE30"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Indole </w:t>
            </w:r>
          </w:p>
        </w:tc>
        <w:tc>
          <w:tcPr>
            <w:tcW w:w="426" w:type="dxa"/>
            <w:textDirection w:val="btLr"/>
          </w:tcPr>
          <w:p w14:paraId="2D66D1B1"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Methyl red</w:t>
            </w:r>
          </w:p>
        </w:tc>
        <w:tc>
          <w:tcPr>
            <w:tcW w:w="425" w:type="dxa"/>
            <w:textDirection w:val="btLr"/>
          </w:tcPr>
          <w:p w14:paraId="5C874D5D"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VP</w:t>
            </w:r>
          </w:p>
        </w:tc>
        <w:tc>
          <w:tcPr>
            <w:tcW w:w="425" w:type="dxa"/>
            <w:textDirection w:val="btLr"/>
          </w:tcPr>
          <w:p w14:paraId="4DAFCF5D"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Coagulase</w:t>
            </w:r>
          </w:p>
        </w:tc>
        <w:tc>
          <w:tcPr>
            <w:tcW w:w="425" w:type="dxa"/>
            <w:textDirection w:val="btLr"/>
          </w:tcPr>
          <w:p w14:paraId="6CB2EFCF"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Oxidase</w:t>
            </w:r>
          </w:p>
        </w:tc>
        <w:tc>
          <w:tcPr>
            <w:tcW w:w="426" w:type="dxa"/>
            <w:textDirection w:val="btLr"/>
          </w:tcPr>
          <w:p w14:paraId="27A6CDEA"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Glucose</w:t>
            </w:r>
          </w:p>
        </w:tc>
        <w:tc>
          <w:tcPr>
            <w:tcW w:w="425" w:type="dxa"/>
            <w:textDirection w:val="btLr"/>
          </w:tcPr>
          <w:p w14:paraId="45364B45"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Lactose</w:t>
            </w:r>
          </w:p>
        </w:tc>
        <w:tc>
          <w:tcPr>
            <w:tcW w:w="425" w:type="dxa"/>
            <w:textDirection w:val="btLr"/>
          </w:tcPr>
          <w:p w14:paraId="4EF277EC"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Mannitol </w:t>
            </w:r>
          </w:p>
        </w:tc>
        <w:tc>
          <w:tcPr>
            <w:tcW w:w="567" w:type="dxa"/>
            <w:textDirection w:val="btLr"/>
          </w:tcPr>
          <w:p w14:paraId="46EF7B1D"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Sucrose</w:t>
            </w:r>
          </w:p>
        </w:tc>
        <w:tc>
          <w:tcPr>
            <w:tcW w:w="3402" w:type="dxa"/>
            <w:textDirection w:val="btLr"/>
          </w:tcPr>
          <w:p w14:paraId="6C52F454"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Tentative  Identification </w:t>
            </w:r>
          </w:p>
        </w:tc>
      </w:tr>
      <w:tr w:rsidR="009A4126" w:rsidRPr="00FC55D2" w14:paraId="67BD8ACC"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shd w:val="clear" w:color="auto" w:fill="auto"/>
          </w:tcPr>
          <w:p w14:paraId="158207AA"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CI, A2, B1</w:t>
            </w:r>
          </w:p>
        </w:tc>
        <w:tc>
          <w:tcPr>
            <w:tcW w:w="979" w:type="dxa"/>
            <w:shd w:val="clear" w:color="auto" w:fill="auto"/>
          </w:tcPr>
          <w:p w14:paraId="386CC5A6"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xml:space="preserve"> + rods</w:t>
            </w:r>
          </w:p>
        </w:tc>
        <w:tc>
          <w:tcPr>
            <w:tcW w:w="389" w:type="dxa"/>
            <w:shd w:val="clear" w:color="auto" w:fill="auto"/>
          </w:tcPr>
          <w:p w14:paraId="3FE73052"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61" w:type="dxa"/>
            <w:shd w:val="clear" w:color="auto" w:fill="auto"/>
          </w:tcPr>
          <w:p w14:paraId="23358A6A"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580BC911"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shd w:val="clear" w:color="auto" w:fill="auto"/>
          </w:tcPr>
          <w:p w14:paraId="572D72BB"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05975CCF"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1AD021C1"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3DABB790"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shd w:val="clear" w:color="auto" w:fill="auto"/>
          </w:tcPr>
          <w:p w14:paraId="7FADEFF7"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4EDBE312"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64A30B9E"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567" w:type="dxa"/>
            <w:shd w:val="clear" w:color="auto" w:fill="auto"/>
          </w:tcPr>
          <w:p w14:paraId="5E01A3AF"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3402" w:type="dxa"/>
            <w:shd w:val="clear" w:color="auto" w:fill="auto"/>
          </w:tcPr>
          <w:p w14:paraId="7FF15101"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color w:val="0D0D0D" w:themeColor="text1" w:themeTint="F2"/>
                <w:sz w:val="16"/>
                <w:szCs w:val="16"/>
              </w:rPr>
            </w:pPr>
            <w:r w:rsidRPr="00FC55D2">
              <w:rPr>
                <w:rFonts w:ascii="Arial" w:hAnsi="Arial" w:cs="Arial"/>
                <w:i/>
                <w:color w:val="0D0D0D" w:themeColor="text1" w:themeTint="F2"/>
                <w:sz w:val="16"/>
                <w:szCs w:val="16"/>
              </w:rPr>
              <w:t xml:space="preserve">Bacillus </w:t>
            </w:r>
            <w:r w:rsidRPr="00FC55D2">
              <w:rPr>
                <w:rFonts w:ascii="Arial" w:hAnsi="Arial" w:cs="Arial"/>
                <w:sz w:val="16"/>
                <w:szCs w:val="16"/>
              </w:rPr>
              <w:t>species</w:t>
            </w:r>
          </w:p>
        </w:tc>
      </w:tr>
      <w:tr w:rsidR="009A4126" w:rsidRPr="00FC55D2" w14:paraId="1D6E7FFC" w14:textId="77777777" w:rsidTr="00922FC5">
        <w:tc>
          <w:tcPr>
            <w:cnfStyle w:val="001000000000" w:firstRow="0" w:lastRow="0" w:firstColumn="1" w:lastColumn="0" w:oddVBand="0" w:evenVBand="0" w:oddHBand="0" w:evenHBand="0" w:firstRowFirstColumn="0" w:firstRowLastColumn="0" w:lastRowFirstColumn="0" w:lastRowLastColumn="0"/>
            <w:tcW w:w="1007" w:type="dxa"/>
          </w:tcPr>
          <w:p w14:paraId="6D82A2A0"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C4, A1, B6</w:t>
            </w:r>
          </w:p>
        </w:tc>
        <w:tc>
          <w:tcPr>
            <w:tcW w:w="979" w:type="dxa"/>
          </w:tcPr>
          <w:p w14:paraId="47A5D141"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cocci</w:t>
            </w:r>
          </w:p>
        </w:tc>
        <w:tc>
          <w:tcPr>
            <w:tcW w:w="389" w:type="dxa"/>
          </w:tcPr>
          <w:p w14:paraId="3F5991A4"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61" w:type="dxa"/>
          </w:tcPr>
          <w:p w14:paraId="6A35110D"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10DBFCB6"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tcPr>
          <w:p w14:paraId="627A958D"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13C82E59"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01A6C3EF"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75B752C1"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tcPr>
          <w:p w14:paraId="14EEB964"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254AF956"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484C2113"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567" w:type="dxa"/>
          </w:tcPr>
          <w:p w14:paraId="2B9D9EA9"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3402" w:type="dxa"/>
          </w:tcPr>
          <w:p w14:paraId="58DC7B2E"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D0D0D" w:themeColor="text1" w:themeTint="F2"/>
                <w:sz w:val="16"/>
                <w:szCs w:val="16"/>
              </w:rPr>
            </w:pPr>
            <w:r w:rsidRPr="00FC55D2">
              <w:rPr>
                <w:rFonts w:ascii="Arial" w:hAnsi="Arial" w:cs="Arial"/>
                <w:i/>
                <w:color w:val="0D0D0D" w:themeColor="text1" w:themeTint="F2"/>
                <w:sz w:val="16"/>
                <w:szCs w:val="16"/>
              </w:rPr>
              <w:t xml:space="preserve">Staphylococcus </w:t>
            </w:r>
            <w:r w:rsidRPr="00FC55D2">
              <w:rPr>
                <w:rFonts w:ascii="Arial" w:hAnsi="Arial" w:cs="Arial"/>
                <w:sz w:val="16"/>
                <w:szCs w:val="16"/>
              </w:rPr>
              <w:t>species</w:t>
            </w:r>
          </w:p>
        </w:tc>
      </w:tr>
      <w:tr w:rsidR="009A4126" w:rsidRPr="00FC55D2" w14:paraId="1B5854CC"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shd w:val="clear" w:color="auto" w:fill="auto"/>
          </w:tcPr>
          <w:p w14:paraId="3330AC15"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C2, C5, A3, A6, B9</w:t>
            </w:r>
          </w:p>
        </w:tc>
        <w:tc>
          <w:tcPr>
            <w:tcW w:w="979" w:type="dxa"/>
            <w:shd w:val="clear" w:color="auto" w:fill="auto"/>
          </w:tcPr>
          <w:p w14:paraId="6D466AAE"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rods</w:t>
            </w:r>
          </w:p>
        </w:tc>
        <w:tc>
          <w:tcPr>
            <w:tcW w:w="389" w:type="dxa"/>
            <w:shd w:val="clear" w:color="auto" w:fill="auto"/>
          </w:tcPr>
          <w:p w14:paraId="4177993C"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61" w:type="dxa"/>
            <w:shd w:val="clear" w:color="auto" w:fill="auto"/>
          </w:tcPr>
          <w:p w14:paraId="243E6EBC"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0A2AF745"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shd w:val="clear" w:color="auto" w:fill="auto"/>
          </w:tcPr>
          <w:p w14:paraId="2D5CC4CB"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5AF67876"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3C78231B"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67E78D49"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shd w:val="clear" w:color="auto" w:fill="auto"/>
          </w:tcPr>
          <w:p w14:paraId="3924187D"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38CC4DA0"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10CAC147"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567" w:type="dxa"/>
            <w:shd w:val="clear" w:color="auto" w:fill="auto"/>
          </w:tcPr>
          <w:p w14:paraId="4D658594"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3402" w:type="dxa"/>
            <w:shd w:val="clear" w:color="auto" w:fill="auto"/>
          </w:tcPr>
          <w:p w14:paraId="4AC24EDD"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i/>
                <w:sz w:val="16"/>
                <w:szCs w:val="16"/>
              </w:rPr>
              <w:t xml:space="preserve">Bacillus </w:t>
            </w:r>
            <w:r w:rsidRPr="00FC55D2">
              <w:rPr>
                <w:rFonts w:ascii="Arial" w:hAnsi="Arial" w:cs="Arial"/>
                <w:sz w:val="16"/>
                <w:szCs w:val="16"/>
              </w:rPr>
              <w:t>species</w:t>
            </w:r>
          </w:p>
        </w:tc>
      </w:tr>
      <w:tr w:rsidR="009A4126" w:rsidRPr="00FC55D2" w14:paraId="47980198" w14:textId="77777777" w:rsidTr="00922FC5">
        <w:tc>
          <w:tcPr>
            <w:cnfStyle w:val="001000000000" w:firstRow="0" w:lastRow="0" w:firstColumn="1" w:lastColumn="0" w:oddVBand="0" w:evenVBand="0" w:oddHBand="0" w:evenHBand="0" w:firstRowFirstColumn="0" w:firstRowLastColumn="0" w:lastRowFirstColumn="0" w:lastRowLastColumn="0"/>
            <w:tcW w:w="1007" w:type="dxa"/>
          </w:tcPr>
          <w:p w14:paraId="26B9C7CA"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C3, A5, B4</w:t>
            </w:r>
          </w:p>
        </w:tc>
        <w:tc>
          <w:tcPr>
            <w:tcW w:w="979" w:type="dxa"/>
          </w:tcPr>
          <w:p w14:paraId="40325445"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rods</w:t>
            </w:r>
          </w:p>
        </w:tc>
        <w:tc>
          <w:tcPr>
            <w:tcW w:w="389" w:type="dxa"/>
          </w:tcPr>
          <w:p w14:paraId="65D7A445"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61" w:type="dxa"/>
          </w:tcPr>
          <w:p w14:paraId="1CC5D6AA"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6CC90B4D"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tcPr>
          <w:p w14:paraId="77C3771D"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20BD9457"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23F08A60"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5DF94443"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tcPr>
          <w:p w14:paraId="3EBCB1CE"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67FE0227"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16A5759A"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567" w:type="dxa"/>
          </w:tcPr>
          <w:p w14:paraId="649D49D8"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3402" w:type="dxa"/>
          </w:tcPr>
          <w:p w14:paraId="0126C674"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 xml:space="preserve">Bacillus </w:t>
            </w:r>
            <w:r w:rsidRPr="00FC55D2">
              <w:rPr>
                <w:rFonts w:ascii="Arial" w:hAnsi="Arial" w:cs="Arial"/>
                <w:sz w:val="16"/>
                <w:szCs w:val="16"/>
              </w:rPr>
              <w:t>species</w:t>
            </w:r>
          </w:p>
        </w:tc>
      </w:tr>
      <w:tr w:rsidR="009A4126" w:rsidRPr="00FC55D2" w14:paraId="44F403ED"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shd w:val="clear" w:color="auto" w:fill="auto"/>
          </w:tcPr>
          <w:p w14:paraId="2D81F991"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lastRenderedPageBreak/>
              <w:t>C8, A7, B12</w:t>
            </w:r>
          </w:p>
        </w:tc>
        <w:tc>
          <w:tcPr>
            <w:tcW w:w="979" w:type="dxa"/>
            <w:shd w:val="clear" w:color="auto" w:fill="auto"/>
          </w:tcPr>
          <w:p w14:paraId="6E4FEA58"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rods</w:t>
            </w:r>
          </w:p>
        </w:tc>
        <w:tc>
          <w:tcPr>
            <w:tcW w:w="389" w:type="dxa"/>
            <w:shd w:val="clear" w:color="auto" w:fill="auto"/>
          </w:tcPr>
          <w:p w14:paraId="0ADE146E"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61" w:type="dxa"/>
            <w:shd w:val="clear" w:color="auto" w:fill="auto"/>
          </w:tcPr>
          <w:p w14:paraId="04C26727"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30FBF692"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shd w:val="clear" w:color="auto" w:fill="auto"/>
          </w:tcPr>
          <w:p w14:paraId="4D2F09BE"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20959B89"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267CA49F"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16C4370A"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shd w:val="clear" w:color="auto" w:fill="auto"/>
          </w:tcPr>
          <w:p w14:paraId="008034DB"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51786E34"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1428A706"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567" w:type="dxa"/>
            <w:shd w:val="clear" w:color="auto" w:fill="auto"/>
          </w:tcPr>
          <w:p w14:paraId="769C3FDB"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3402" w:type="dxa"/>
            <w:shd w:val="clear" w:color="auto" w:fill="auto"/>
          </w:tcPr>
          <w:p w14:paraId="634ABAFA"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color w:val="0D0D0D" w:themeColor="text1" w:themeTint="F2"/>
                <w:sz w:val="16"/>
                <w:szCs w:val="16"/>
              </w:rPr>
            </w:pPr>
            <w:proofErr w:type="spellStart"/>
            <w:r w:rsidRPr="00FC55D2">
              <w:rPr>
                <w:rFonts w:ascii="Arial" w:hAnsi="Arial" w:cs="Arial"/>
                <w:i/>
                <w:color w:val="0D0D0D" w:themeColor="text1" w:themeTint="F2"/>
                <w:sz w:val="16"/>
                <w:szCs w:val="16"/>
              </w:rPr>
              <w:t>Pae</w:t>
            </w:r>
            <w:r w:rsidRPr="00FC55D2">
              <w:rPr>
                <w:rFonts w:ascii="Arial" w:hAnsi="Arial" w:cs="Arial"/>
                <w:i/>
                <w:sz w:val="16"/>
                <w:szCs w:val="16"/>
              </w:rPr>
              <w:t>n</w:t>
            </w:r>
            <w:r w:rsidRPr="00FC55D2">
              <w:rPr>
                <w:rFonts w:ascii="Arial" w:hAnsi="Arial" w:cs="Arial"/>
                <w:i/>
                <w:color w:val="0D0D0D" w:themeColor="text1" w:themeTint="F2"/>
                <w:sz w:val="16"/>
                <w:szCs w:val="16"/>
              </w:rPr>
              <w:t>ibacillus</w:t>
            </w:r>
            <w:proofErr w:type="spellEnd"/>
            <w:r w:rsidRPr="00FC55D2">
              <w:rPr>
                <w:rFonts w:ascii="Arial" w:hAnsi="Arial" w:cs="Arial"/>
                <w:i/>
                <w:color w:val="0D0D0D" w:themeColor="text1" w:themeTint="F2"/>
                <w:sz w:val="16"/>
                <w:szCs w:val="16"/>
              </w:rPr>
              <w:t xml:space="preserve"> </w:t>
            </w:r>
            <w:r w:rsidRPr="00FC55D2">
              <w:rPr>
                <w:rFonts w:ascii="Arial" w:hAnsi="Arial" w:cs="Arial"/>
                <w:sz w:val="16"/>
                <w:szCs w:val="16"/>
              </w:rPr>
              <w:t>species</w:t>
            </w:r>
            <w:r w:rsidRPr="00FC55D2">
              <w:rPr>
                <w:rFonts w:ascii="Arial" w:hAnsi="Arial" w:cs="Arial"/>
                <w:i/>
                <w:color w:val="0D0D0D" w:themeColor="text1" w:themeTint="F2"/>
                <w:sz w:val="16"/>
                <w:szCs w:val="16"/>
              </w:rPr>
              <w:t xml:space="preserve"> </w:t>
            </w:r>
          </w:p>
        </w:tc>
      </w:tr>
      <w:tr w:rsidR="009A4126" w:rsidRPr="00FC55D2" w14:paraId="0367AF2E" w14:textId="77777777" w:rsidTr="00922FC5">
        <w:tc>
          <w:tcPr>
            <w:cnfStyle w:val="001000000000" w:firstRow="0" w:lastRow="0" w:firstColumn="1" w:lastColumn="0" w:oddVBand="0" w:evenVBand="0" w:oddHBand="0" w:evenHBand="0" w:firstRowFirstColumn="0" w:firstRowLastColumn="0" w:lastRowFirstColumn="0" w:lastRowLastColumn="0"/>
            <w:tcW w:w="1007" w:type="dxa"/>
          </w:tcPr>
          <w:p w14:paraId="604785A5"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C6, C9, A10</w:t>
            </w:r>
          </w:p>
        </w:tc>
        <w:tc>
          <w:tcPr>
            <w:tcW w:w="979" w:type="dxa"/>
          </w:tcPr>
          <w:p w14:paraId="32DEF005"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rods</w:t>
            </w:r>
          </w:p>
        </w:tc>
        <w:tc>
          <w:tcPr>
            <w:tcW w:w="389" w:type="dxa"/>
          </w:tcPr>
          <w:p w14:paraId="2DAACAEE"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61" w:type="dxa"/>
          </w:tcPr>
          <w:p w14:paraId="0C37E182"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56D2F1EC"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tcPr>
          <w:p w14:paraId="7597BF53"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5993D620"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178A76F3"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3601FC47"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tcPr>
          <w:p w14:paraId="05380BE2"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522C99A5"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140F1FCB"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567" w:type="dxa"/>
          </w:tcPr>
          <w:p w14:paraId="234361D9"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3402" w:type="dxa"/>
          </w:tcPr>
          <w:p w14:paraId="6B0D9706"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 xml:space="preserve">Klebsiella </w:t>
            </w:r>
            <w:r w:rsidRPr="00FC55D2">
              <w:rPr>
                <w:rFonts w:ascii="Arial" w:hAnsi="Arial" w:cs="Arial"/>
                <w:sz w:val="16"/>
                <w:szCs w:val="16"/>
              </w:rPr>
              <w:t>species</w:t>
            </w:r>
          </w:p>
        </w:tc>
      </w:tr>
      <w:tr w:rsidR="009A4126" w:rsidRPr="00FC55D2" w14:paraId="1F6273F6"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shd w:val="clear" w:color="auto" w:fill="auto"/>
          </w:tcPr>
          <w:p w14:paraId="3BB81DB3"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C7, A4, A8</w:t>
            </w:r>
          </w:p>
        </w:tc>
        <w:tc>
          <w:tcPr>
            <w:tcW w:w="979" w:type="dxa"/>
            <w:shd w:val="clear" w:color="auto" w:fill="auto"/>
          </w:tcPr>
          <w:p w14:paraId="21583964"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rods</w:t>
            </w:r>
          </w:p>
        </w:tc>
        <w:tc>
          <w:tcPr>
            <w:tcW w:w="389" w:type="dxa"/>
            <w:shd w:val="clear" w:color="auto" w:fill="auto"/>
          </w:tcPr>
          <w:p w14:paraId="509E713E"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61" w:type="dxa"/>
            <w:shd w:val="clear" w:color="auto" w:fill="auto"/>
          </w:tcPr>
          <w:p w14:paraId="696B2F0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4FF87277"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shd w:val="clear" w:color="auto" w:fill="auto"/>
          </w:tcPr>
          <w:p w14:paraId="094C2549"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493F2421"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1659F230"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13ACDA01"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shd w:val="clear" w:color="auto" w:fill="auto"/>
          </w:tcPr>
          <w:p w14:paraId="6934258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1090FC6C"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2530742F"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567" w:type="dxa"/>
            <w:shd w:val="clear" w:color="auto" w:fill="auto"/>
          </w:tcPr>
          <w:p w14:paraId="4EE5E459"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3402" w:type="dxa"/>
            <w:shd w:val="clear" w:color="auto" w:fill="auto"/>
          </w:tcPr>
          <w:p w14:paraId="647609C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 xml:space="preserve">Pseudomonas </w:t>
            </w:r>
            <w:r w:rsidRPr="00FC55D2">
              <w:rPr>
                <w:rFonts w:ascii="Arial" w:hAnsi="Arial" w:cs="Arial"/>
                <w:sz w:val="16"/>
                <w:szCs w:val="16"/>
              </w:rPr>
              <w:t>species</w:t>
            </w:r>
          </w:p>
        </w:tc>
      </w:tr>
      <w:tr w:rsidR="009A4126" w:rsidRPr="00FC55D2" w14:paraId="6FDDA1BA" w14:textId="77777777" w:rsidTr="00922FC5">
        <w:tc>
          <w:tcPr>
            <w:cnfStyle w:val="001000000000" w:firstRow="0" w:lastRow="0" w:firstColumn="1" w:lastColumn="0" w:oddVBand="0" w:evenVBand="0" w:oddHBand="0" w:evenHBand="0" w:firstRowFirstColumn="0" w:firstRowLastColumn="0" w:lastRowFirstColumn="0" w:lastRowLastColumn="0"/>
            <w:tcW w:w="1007" w:type="dxa"/>
          </w:tcPr>
          <w:p w14:paraId="1F075539"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C11, A12</w:t>
            </w:r>
          </w:p>
        </w:tc>
        <w:tc>
          <w:tcPr>
            <w:tcW w:w="979" w:type="dxa"/>
          </w:tcPr>
          <w:p w14:paraId="775D2FAA"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rods</w:t>
            </w:r>
          </w:p>
        </w:tc>
        <w:tc>
          <w:tcPr>
            <w:tcW w:w="389" w:type="dxa"/>
          </w:tcPr>
          <w:p w14:paraId="4CFA834B"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61" w:type="dxa"/>
          </w:tcPr>
          <w:p w14:paraId="418BBBDF"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28B33BDF"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tcPr>
          <w:p w14:paraId="7F0C9607"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20E47757"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77C3148D"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11F85E29"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tcPr>
          <w:p w14:paraId="004104F8"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596848CD"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10BDCED9"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567" w:type="dxa"/>
          </w:tcPr>
          <w:p w14:paraId="5CB50BAF"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3402" w:type="dxa"/>
          </w:tcPr>
          <w:p w14:paraId="288E22E6"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 xml:space="preserve">Enterobacter </w:t>
            </w:r>
            <w:r w:rsidRPr="00FC55D2">
              <w:rPr>
                <w:rFonts w:ascii="Arial" w:hAnsi="Arial" w:cs="Arial"/>
                <w:sz w:val="16"/>
                <w:szCs w:val="16"/>
              </w:rPr>
              <w:t>species</w:t>
            </w:r>
          </w:p>
        </w:tc>
      </w:tr>
      <w:tr w:rsidR="009A4126" w:rsidRPr="00FC55D2" w14:paraId="08ECB04C"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shd w:val="clear" w:color="auto" w:fill="auto"/>
          </w:tcPr>
          <w:p w14:paraId="2492440C"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C10, B9</w:t>
            </w:r>
          </w:p>
        </w:tc>
        <w:tc>
          <w:tcPr>
            <w:tcW w:w="979" w:type="dxa"/>
            <w:shd w:val="clear" w:color="auto" w:fill="auto"/>
          </w:tcPr>
          <w:p w14:paraId="1A49545B"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rods</w:t>
            </w:r>
          </w:p>
        </w:tc>
        <w:tc>
          <w:tcPr>
            <w:tcW w:w="389" w:type="dxa"/>
            <w:shd w:val="clear" w:color="auto" w:fill="auto"/>
          </w:tcPr>
          <w:p w14:paraId="0A35F24A"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61" w:type="dxa"/>
            <w:shd w:val="clear" w:color="auto" w:fill="auto"/>
          </w:tcPr>
          <w:p w14:paraId="529CC272"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62DC66C7"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shd w:val="clear" w:color="auto" w:fill="auto"/>
          </w:tcPr>
          <w:p w14:paraId="3C5FD88E"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44038784"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5672BB2D"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0A83A097"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shd w:val="clear" w:color="auto" w:fill="auto"/>
          </w:tcPr>
          <w:p w14:paraId="76B48244"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05F65A80"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56FA9446"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567" w:type="dxa"/>
            <w:shd w:val="clear" w:color="auto" w:fill="auto"/>
          </w:tcPr>
          <w:p w14:paraId="66172EF9"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3402" w:type="dxa"/>
            <w:shd w:val="clear" w:color="auto" w:fill="auto"/>
          </w:tcPr>
          <w:p w14:paraId="2271F5B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 xml:space="preserve">Proteus </w:t>
            </w:r>
            <w:r w:rsidRPr="00FC55D2">
              <w:rPr>
                <w:rFonts w:ascii="Arial" w:hAnsi="Arial" w:cs="Arial"/>
                <w:sz w:val="16"/>
                <w:szCs w:val="16"/>
              </w:rPr>
              <w:t>species</w:t>
            </w:r>
          </w:p>
        </w:tc>
      </w:tr>
      <w:tr w:rsidR="009A4126" w:rsidRPr="00FC55D2" w14:paraId="28E4D0AD" w14:textId="77777777" w:rsidTr="00922FC5">
        <w:tc>
          <w:tcPr>
            <w:cnfStyle w:val="001000000000" w:firstRow="0" w:lastRow="0" w:firstColumn="1" w:lastColumn="0" w:oddVBand="0" w:evenVBand="0" w:oddHBand="0" w:evenHBand="0" w:firstRowFirstColumn="0" w:firstRowLastColumn="0" w:lastRowFirstColumn="0" w:lastRowLastColumn="0"/>
            <w:tcW w:w="1007" w:type="dxa"/>
          </w:tcPr>
          <w:p w14:paraId="7B341146"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C12, C13</w:t>
            </w:r>
          </w:p>
        </w:tc>
        <w:tc>
          <w:tcPr>
            <w:tcW w:w="979" w:type="dxa"/>
          </w:tcPr>
          <w:p w14:paraId="17879714"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rods</w:t>
            </w:r>
          </w:p>
        </w:tc>
        <w:tc>
          <w:tcPr>
            <w:tcW w:w="389" w:type="dxa"/>
          </w:tcPr>
          <w:p w14:paraId="47BB9C6D"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61" w:type="dxa"/>
          </w:tcPr>
          <w:p w14:paraId="036CEA5A"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04672FA1"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tcPr>
          <w:p w14:paraId="059AD80F"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205F5D24"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0584EF92"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57E75E13"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tcPr>
          <w:p w14:paraId="6210D4EB"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3AC5294B"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38CDE7A1"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567" w:type="dxa"/>
          </w:tcPr>
          <w:p w14:paraId="4E3BECF8"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3402" w:type="dxa"/>
          </w:tcPr>
          <w:p w14:paraId="6BFECBFE"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i/>
                <w:sz w:val="16"/>
                <w:szCs w:val="16"/>
              </w:rPr>
              <w:t xml:space="preserve">Corynebacterium </w:t>
            </w:r>
            <w:r w:rsidRPr="00FC55D2">
              <w:rPr>
                <w:rFonts w:ascii="Arial" w:hAnsi="Arial" w:cs="Arial"/>
                <w:sz w:val="16"/>
                <w:szCs w:val="16"/>
              </w:rPr>
              <w:t>species</w:t>
            </w:r>
          </w:p>
        </w:tc>
      </w:tr>
    </w:tbl>
    <w:p w14:paraId="6D264AFF" w14:textId="77777777" w:rsidR="009A4126" w:rsidRPr="00FC55D2" w:rsidRDefault="009A4126" w:rsidP="009A4126">
      <w:pPr>
        <w:pStyle w:val="NormalWeb"/>
        <w:spacing w:line="480" w:lineRule="auto"/>
        <w:jc w:val="both"/>
        <w:rPr>
          <w:rFonts w:ascii="Arial" w:hAnsi="Arial" w:cs="Arial"/>
          <w:color w:val="0D0D0D" w:themeColor="text1" w:themeTint="F2"/>
          <w:sz w:val="20"/>
          <w:szCs w:val="20"/>
        </w:rPr>
      </w:pPr>
      <w:r w:rsidRPr="00FC55D2">
        <w:rPr>
          <w:rFonts w:ascii="Arial" w:hAnsi="Arial" w:cs="Arial"/>
          <w:sz w:val="20"/>
          <w:szCs w:val="20"/>
        </w:rPr>
        <w:t xml:space="preserve">*ID </w:t>
      </w:r>
      <w:r w:rsidRPr="00FC55D2">
        <w:rPr>
          <w:rFonts w:ascii="Cambria Math" w:hAnsi="Cambria Math" w:cs="Cambria Math"/>
          <w:sz w:val="20"/>
          <w:szCs w:val="20"/>
        </w:rPr>
        <w:t>₌</w:t>
      </w:r>
      <w:r w:rsidRPr="00FC55D2">
        <w:rPr>
          <w:rFonts w:ascii="Arial" w:hAnsi="Arial" w:cs="Arial"/>
          <w:sz w:val="20"/>
          <w:szCs w:val="20"/>
        </w:rPr>
        <w:t xml:space="preserve"> identity; - </w:t>
      </w:r>
      <w:r w:rsidRPr="00FC55D2">
        <w:rPr>
          <w:rFonts w:ascii="Cambria Math" w:hAnsi="Cambria Math" w:cs="Cambria Math"/>
          <w:sz w:val="20"/>
          <w:szCs w:val="20"/>
        </w:rPr>
        <w:t>₌</w:t>
      </w:r>
      <w:r w:rsidRPr="00FC55D2">
        <w:rPr>
          <w:rFonts w:ascii="Arial" w:hAnsi="Arial" w:cs="Arial"/>
          <w:sz w:val="20"/>
          <w:szCs w:val="20"/>
        </w:rPr>
        <w:t xml:space="preserve"> negative; + </w:t>
      </w:r>
      <w:r w:rsidRPr="00FC55D2">
        <w:rPr>
          <w:rFonts w:ascii="Cambria Math" w:hAnsi="Cambria Math" w:cs="Cambria Math"/>
          <w:sz w:val="20"/>
          <w:szCs w:val="20"/>
        </w:rPr>
        <w:t>₌</w:t>
      </w:r>
      <w:r w:rsidRPr="00FC55D2">
        <w:rPr>
          <w:rFonts w:ascii="Arial" w:hAnsi="Arial" w:cs="Arial"/>
          <w:sz w:val="20"/>
          <w:szCs w:val="20"/>
        </w:rPr>
        <w:t xml:space="preserve"> positive</w:t>
      </w:r>
    </w:p>
    <w:p w14:paraId="711803C8" w14:textId="77777777" w:rsidR="009A4126" w:rsidRPr="00FC55D2" w:rsidRDefault="009A4126" w:rsidP="009A4126">
      <w:pPr>
        <w:pStyle w:val="NormalWeb"/>
        <w:spacing w:line="480" w:lineRule="auto"/>
        <w:jc w:val="both"/>
        <w:rPr>
          <w:rFonts w:ascii="Arial" w:hAnsi="Arial" w:cs="Arial"/>
          <w:color w:val="0D0D0D" w:themeColor="text1" w:themeTint="F2"/>
          <w:sz w:val="20"/>
          <w:szCs w:val="20"/>
        </w:rPr>
      </w:pPr>
      <w:r w:rsidRPr="00FC55D2">
        <w:rPr>
          <w:rFonts w:ascii="Arial" w:hAnsi="Arial" w:cs="Arial"/>
          <w:color w:val="0D0D0D" w:themeColor="text1" w:themeTint="F2"/>
          <w:sz w:val="20"/>
          <w:szCs w:val="20"/>
        </w:rPr>
        <w:t>Ta</w:t>
      </w:r>
      <w:r w:rsidRPr="00FC55D2">
        <w:rPr>
          <w:rFonts w:ascii="Arial" w:hAnsi="Arial" w:cs="Arial"/>
          <w:sz w:val="20"/>
          <w:szCs w:val="20"/>
        </w:rPr>
        <w:t>b</w:t>
      </w:r>
      <w:r w:rsidRPr="00FC55D2">
        <w:rPr>
          <w:rFonts w:ascii="Arial" w:hAnsi="Arial" w:cs="Arial"/>
          <w:color w:val="0D0D0D" w:themeColor="text1" w:themeTint="F2"/>
          <w:sz w:val="20"/>
          <w:szCs w:val="20"/>
        </w:rPr>
        <w:t>le 4:</w:t>
      </w:r>
      <w:r w:rsidRPr="00FC55D2">
        <w:rPr>
          <w:rFonts w:ascii="Arial" w:hAnsi="Arial" w:cs="Arial"/>
          <w:sz w:val="20"/>
          <w:szCs w:val="20"/>
        </w:rPr>
        <w:t xml:space="preserve"> Identification of some bacterial isolates with Analytical Profile Index (API 20E) test</w:t>
      </w:r>
    </w:p>
    <w:tbl>
      <w:tblPr>
        <w:tblStyle w:val="ListTable6Colorful"/>
        <w:tblW w:w="10206" w:type="dxa"/>
        <w:tblLayout w:type="fixed"/>
        <w:tblLook w:val="04A0" w:firstRow="1" w:lastRow="0" w:firstColumn="1" w:lastColumn="0" w:noHBand="0" w:noVBand="1"/>
      </w:tblPr>
      <w:tblGrid>
        <w:gridCol w:w="607"/>
        <w:gridCol w:w="308"/>
        <w:gridCol w:w="236"/>
        <w:gridCol w:w="267"/>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426"/>
        <w:gridCol w:w="1558"/>
      </w:tblGrid>
      <w:tr w:rsidR="00DE62FA" w:rsidRPr="00FC55D2" w14:paraId="622F7836" w14:textId="77777777" w:rsidTr="00293A6C">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07" w:type="dxa"/>
            <w:shd w:val="clear" w:color="auto" w:fill="auto"/>
            <w:textDirection w:val="btLr"/>
          </w:tcPr>
          <w:p w14:paraId="41560645" w14:textId="77777777" w:rsidR="009A4126" w:rsidRPr="00FC55D2" w:rsidRDefault="009A4126" w:rsidP="00922FC5">
            <w:pPr>
              <w:spacing w:line="480" w:lineRule="auto"/>
              <w:ind w:left="113" w:right="113"/>
              <w:jc w:val="both"/>
              <w:rPr>
                <w:rFonts w:ascii="Arial" w:hAnsi="Arial" w:cs="Arial"/>
                <w:b w:val="0"/>
                <w:sz w:val="14"/>
                <w:szCs w:val="14"/>
              </w:rPr>
            </w:pPr>
            <w:r w:rsidRPr="00FC55D2">
              <w:rPr>
                <w:rFonts w:ascii="Arial" w:hAnsi="Arial" w:cs="Arial"/>
                <w:sz w:val="14"/>
                <w:szCs w:val="14"/>
              </w:rPr>
              <w:t>Isolate ID</w:t>
            </w:r>
          </w:p>
        </w:tc>
        <w:tc>
          <w:tcPr>
            <w:tcW w:w="308" w:type="dxa"/>
            <w:shd w:val="clear" w:color="auto" w:fill="auto"/>
            <w:textDirection w:val="btLr"/>
          </w:tcPr>
          <w:p w14:paraId="1C3B4D3A"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ONPG </w:t>
            </w:r>
          </w:p>
        </w:tc>
        <w:tc>
          <w:tcPr>
            <w:tcW w:w="236" w:type="dxa"/>
            <w:shd w:val="clear" w:color="auto" w:fill="auto"/>
            <w:textDirection w:val="btLr"/>
          </w:tcPr>
          <w:p w14:paraId="2A0E5A7A"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ADH</w:t>
            </w:r>
          </w:p>
        </w:tc>
        <w:tc>
          <w:tcPr>
            <w:tcW w:w="267" w:type="dxa"/>
            <w:shd w:val="clear" w:color="auto" w:fill="auto"/>
            <w:textDirection w:val="btLr"/>
          </w:tcPr>
          <w:p w14:paraId="03B1BAD6" w14:textId="77777777" w:rsidR="009A4126" w:rsidRPr="00FC55D2" w:rsidRDefault="009A4126" w:rsidP="00922FC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LDC</w:t>
            </w:r>
          </w:p>
        </w:tc>
        <w:tc>
          <w:tcPr>
            <w:tcW w:w="284" w:type="dxa"/>
            <w:shd w:val="clear" w:color="auto" w:fill="auto"/>
            <w:textDirection w:val="btLr"/>
          </w:tcPr>
          <w:p w14:paraId="54596647" w14:textId="77777777" w:rsidR="009A4126" w:rsidRPr="00FC55D2" w:rsidRDefault="009A4126" w:rsidP="00922FC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ODC</w:t>
            </w:r>
          </w:p>
        </w:tc>
        <w:tc>
          <w:tcPr>
            <w:tcW w:w="283" w:type="dxa"/>
            <w:shd w:val="clear" w:color="auto" w:fill="auto"/>
            <w:textDirection w:val="btLr"/>
          </w:tcPr>
          <w:p w14:paraId="04B59706"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CIT </w:t>
            </w:r>
          </w:p>
        </w:tc>
        <w:tc>
          <w:tcPr>
            <w:tcW w:w="284" w:type="dxa"/>
            <w:shd w:val="clear" w:color="auto" w:fill="auto"/>
            <w:textDirection w:val="btLr"/>
          </w:tcPr>
          <w:p w14:paraId="456F83DE"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H2S </w:t>
            </w:r>
          </w:p>
        </w:tc>
        <w:tc>
          <w:tcPr>
            <w:tcW w:w="283" w:type="dxa"/>
            <w:shd w:val="clear" w:color="auto" w:fill="auto"/>
            <w:textDirection w:val="btLr"/>
          </w:tcPr>
          <w:p w14:paraId="6222A873"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URE </w:t>
            </w:r>
          </w:p>
        </w:tc>
        <w:tc>
          <w:tcPr>
            <w:tcW w:w="284" w:type="dxa"/>
            <w:shd w:val="clear" w:color="auto" w:fill="auto"/>
            <w:textDirection w:val="btLr"/>
          </w:tcPr>
          <w:p w14:paraId="66A52495"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TDA </w:t>
            </w:r>
          </w:p>
        </w:tc>
        <w:tc>
          <w:tcPr>
            <w:tcW w:w="283" w:type="dxa"/>
            <w:shd w:val="clear" w:color="auto" w:fill="auto"/>
            <w:textDirection w:val="btLr"/>
          </w:tcPr>
          <w:p w14:paraId="68795C0A"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IND </w:t>
            </w:r>
          </w:p>
        </w:tc>
        <w:tc>
          <w:tcPr>
            <w:tcW w:w="284" w:type="dxa"/>
            <w:shd w:val="clear" w:color="auto" w:fill="auto"/>
            <w:textDirection w:val="btLr"/>
          </w:tcPr>
          <w:p w14:paraId="12CCEBC3"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VP </w:t>
            </w:r>
          </w:p>
        </w:tc>
        <w:tc>
          <w:tcPr>
            <w:tcW w:w="283" w:type="dxa"/>
            <w:shd w:val="clear" w:color="auto" w:fill="auto"/>
            <w:textDirection w:val="btLr"/>
          </w:tcPr>
          <w:p w14:paraId="5A7D628B"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GEL</w:t>
            </w:r>
          </w:p>
        </w:tc>
        <w:tc>
          <w:tcPr>
            <w:tcW w:w="284" w:type="dxa"/>
            <w:shd w:val="clear" w:color="auto" w:fill="auto"/>
            <w:textDirection w:val="btLr"/>
          </w:tcPr>
          <w:p w14:paraId="173A4C02"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u w:val="single"/>
              </w:rPr>
              <w:t>GLU</w:t>
            </w:r>
          </w:p>
        </w:tc>
        <w:tc>
          <w:tcPr>
            <w:tcW w:w="283" w:type="dxa"/>
            <w:shd w:val="clear" w:color="auto" w:fill="auto"/>
            <w:textDirection w:val="btLr"/>
          </w:tcPr>
          <w:p w14:paraId="3282B694"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MAN </w:t>
            </w:r>
          </w:p>
        </w:tc>
        <w:tc>
          <w:tcPr>
            <w:tcW w:w="284" w:type="dxa"/>
            <w:shd w:val="clear" w:color="auto" w:fill="auto"/>
            <w:textDirection w:val="btLr"/>
          </w:tcPr>
          <w:p w14:paraId="5BA31B0A"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INO </w:t>
            </w:r>
          </w:p>
        </w:tc>
        <w:tc>
          <w:tcPr>
            <w:tcW w:w="283" w:type="dxa"/>
            <w:shd w:val="clear" w:color="auto" w:fill="auto"/>
            <w:textDirection w:val="btLr"/>
          </w:tcPr>
          <w:p w14:paraId="1B512F38"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SOR </w:t>
            </w:r>
          </w:p>
        </w:tc>
        <w:tc>
          <w:tcPr>
            <w:tcW w:w="284" w:type="dxa"/>
            <w:shd w:val="clear" w:color="auto" w:fill="auto"/>
            <w:textDirection w:val="btLr"/>
          </w:tcPr>
          <w:p w14:paraId="148D2FFE"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RHA </w:t>
            </w:r>
          </w:p>
        </w:tc>
        <w:tc>
          <w:tcPr>
            <w:tcW w:w="283" w:type="dxa"/>
            <w:shd w:val="clear" w:color="auto" w:fill="auto"/>
            <w:textDirection w:val="btLr"/>
          </w:tcPr>
          <w:p w14:paraId="0776E30B"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SAC </w:t>
            </w:r>
          </w:p>
        </w:tc>
        <w:tc>
          <w:tcPr>
            <w:tcW w:w="284" w:type="dxa"/>
            <w:shd w:val="clear" w:color="auto" w:fill="auto"/>
            <w:textDirection w:val="btLr"/>
          </w:tcPr>
          <w:p w14:paraId="76F0C036"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MEL </w:t>
            </w:r>
          </w:p>
        </w:tc>
        <w:tc>
          <w:tcPr>
            <w:tcW w:w="283" w:type="dxa"/>
            <w:shd w:val="clear" w:color="auto" w:fill="auto"/>
            <w:textDirection w:val="btLr"/>
          </w:tcPr>
          <w:p w14:paraId="0D0ABFB2"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AMY </w:t>
            </w:r>
          </w:p>
        </w:tc>
        <w:tc>
          <w:tcPr>
            <w:tcW w:w="284" w:type="dxa"/>
            <w:shd w:val="clear" w:color="auto" w:fill="auto"/>
            <w:textDirection w:val="btLr"/>
          </w:tcPr>
          <w:p w14:paraId="7068CEAD"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ARA </w:t>
            </w:r>
          </w:p>
        </w:tc>
        <w:tc>
          <w:tcPr>
            <w:tcW w:w="283" w:type="dxa"/>
            <w:shd w:val="clear" w:color="auto" w:fill="auto"/>
            <w:textDirection w:val="btLr"/>
          </w:tcPr>
          <w:p w14:paraId="7FCDB9D5"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OX</w:t>
            </w:r>
          </w:p>
        </w:tc>
        <w:tc>
          <w:tcPr>
            <w:tcW w:w="284" w:type="dxa"/>
            <w:shd w:val="clear" w:color="auto" w:fill="auto"/>
            <w:textDirection w:val="btLr"/>
          </w:tcPr>
          <w:p w14:paraId="125F0B4E"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NO2 </w:t>
            </w:r>
          </w:p>
        </w:tc>
        <w:tc>
          <w:tcPr>
            <w:tcW w:w="283" w:type="dxa"/>
            <w:shd w:val="clear" w:color="auto" w:fill="auto"/>
            <w:textDirection w:val="btLr"/>
          </w:tcPr>
          <w:p w14:paraId="63416A9A"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N2 </w:t>
            </w:r>
          </w:p>
        </w:tc>
        <w:tc>
          <w:tcPr>
            <w:tcW w:w="284" w:type="dxa"/>
            <w:shd w:val="clear" w:color="auto" w:fill="auto"/>
            <w:textDirection w:val="btLr"/>
          </w:tcPr>
          <w:p w14:paraId="5FA389C8"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MOB </w:t>
            </w:r>
          </w:p>
        </w:tc>
        <w:tc>
          <w:tcPr>
            <w:tcW w:w="283" w:type="dxa"/>
            <w:shd w:val="clear" w:color="auto" w:fill="auto"/>
            <w:textDirection w:val="btLr"/>
          </w:tcPr>
          <w:p w14:paraId="1FE9B6D1"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proofErr w:type="spellStart"/>
            <w:r w:rsidRPr="00FC55D2">
              <w:rPr>
                <w:rFonts w:ascii="Arial" w:hAnsi="Arial" w:cs="Arial"/>
                <w:sz w:val="10"/>
                <w:szCs w:val="10"/>
              </w:rPr>
              <w:t>MoC</w:t>
            </w:r>
            <w:proofErr w:type="spellEnd"/>
            <w:r w:rsidRPr="00FC55D2">
              <w:rPr>
                <w:rFonts w:ascii="Arial" w:hAnsi="Arial" w:cs="Arial"/>
                <w:sz w:val="10"/>
                <w:szCs w:val="10"/>
              </w:rPr>
              <w:t xml:space="preserve"> </w:t>
            </w:r>
          </w:p>
        </w:tc>
        <w:tc>
          <w:tcPr>
            <w:tcW w:w="284" w:type="dxa"/>
            <w:shd w:val="clear" w:color="auto" w:fill="auto"/>
            <w:textDirection w:val="btLr"/>
          </w:tcPr>
          <w:p w14:paraId="64173EC0"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OF-O </w:t>
            </w:r>
          </w:p>
        </w:tc>
        <w:tc>
          <w:tcPr>
            <w:tcW w:w="283" w:type="dxa"/>
            <w:shd w:val="clear" w:color="auto" w:fill="auto"/>
            <w:textDirection w:val="btLr"/>
          </w:tcPr>
          <w:p w14:paraId="6ACF28E2"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OF-F </w:t>
            </w:r>
          </w:p>
        </w:tc>
        <w:tc>
          <w:tcPr>
            <w:tcW w:w="426" w:type="dxa"/>
            <w:shd w:val="clear" w:color="auto" w:fill="auto"/>
            <w:textDirection w:val="btLr"/>
          </w:tcPr>
          <w:p w14:paraId="28605DD7"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FC55D2">
              <w:rPr>
                <w:rFonts w:ascii="Arial" w:hAnsi="Arial" w:cs="Arial"/>
                <w:sz w:val="14"/>
                <w:szCs w:val="14"/>
              </w:rPr>
              <w:t xml:space="preserve"> </w:t>
            </w:r>
            <w:r w:rsidRPr="00FC55D2">
              <w:rPr>
                <w:rFonts w:ascii="Arial" w:hAnsi="Arial" w:cs="Arial"/>
                <w:sz w:val="12"/>
                <w:szCs w:val="12"/>
              </w:rPr>
              <w:t>%  API similarity identity</w:t>
            </w:r>
          </w:p>
        </w:tc>
        <w:tc>
          <w:tcPr>
            <w:tcW w:w="1558" w:type="dxa"/>
            <w:shd w:val="clear" w:color="auto" w:fill="auto"/>
            <w:textDirection w:val="btLr"/>
          </w:tcPr>
          <w:p w14:paraId="13FCBEC6" w14:textId="77777777" w:rsidR="009A4126" w:rsidRPr="00FC55D2" w:rsidRDefault="009A4126" w:rsidP="00922FC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FC55D2">
              <w:rPr>
                <w:rFonts w:ascii="Arial" w:hAnsi="Arial" w:cs="Arial"/>
                <w:sz w:val="14"/>
                <w:szCs w:val="14"/>
              </w:rPr>
              <w:t>Identity of Organisms</w:t>
            </w:r>
          </w:p>
        </w:tc>
      </w:tr>
      <w:tr w:rsidR="00293A6C" w:rsidRPr="00FC55D2" w14:paraId="4EFD74A7" w14:textId="77777777" w:rsidTr="00293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dxa"/>
            <w:shd w:val="clear" w:color="auto" w:fill="auto"/>
          </w:tcPr>
          <w:p w14:paraId="522397FE" w14:textId="77777777" w:rsidR="009A4126" w:rsidRPr="00FC55D2" w:rsidRDefault="009A4126" w:rsidP="00922FC5">
            <w:pPr>
              <w:spacing w:line="480" w:lineRule="auto"/>
              <w:jc w:val="both"/>
              <w:rPr>
                <w:rFonts w:ascii="Arial" w:hAnsi="Arial" w:cs="Arial"/>
                <w:b w:val="0"/>
                <w:sz w:val="14"/>
                <w:szCs w:val="14"/>
              </w:rPr>
            </w:pPr>
            <w:r w:rsidRPr="00FC55D2">
              <w:rPr>
                <w:rFonts w:ascii="Arial" w:hAnsi="Arial" w:cs="Arial"/>
                <w:sz w:val="14"/>
                <w:szCs w:val="14"/>
              </w:rPr>
              <w:t>C6, C9, A10</w:t>
            </w:r>
          </w:p>
        </w:tc>
        <w:tc>
          <w:tcPr>
            <w:tcW w:w="308" w:type="dxa"/>
            <w:shd w:val="clear" w:color="auto" w:fill="auto"/>
          </w:tcPr>
          <w:p w14:paraId="3A8AC616"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36" w:type="dxa"/>
            <w:shd w:val="clear" w:color="auto" w:fill="auto"/>
          </w:tcPr>
          <w:p w14:paraId="78DE1986"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67" w:type="dxa"/>
            <w:shd w:val="clear" w:color="auto" w:fill="auto"/>
          </w:tcPr>
          <w:p w14:paraId="7B861A38"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62A8CFF3"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013E95FE"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590CD649"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5C85A462"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shd w:val="clear" w:color="auto" w:fill="auto"/>
          </w:tcPr>
          <w:p w14:paraId="0E001E31"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shd w:val="clear" w:color="auto" w:fill="auto"/>
          </w:tcPr>
          <w:p w14:paraId="3593086E"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shd w:val="clear" w:color="auto" w:fill="auto"/>
          </w:tcPr>
          <w:p w14:paraId="64B73A80"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shd w:val="clear" w:color="auto" w:fill="auto"/>
          </w:tcPr>
          <w:p w14:paraId="644C38D5"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5B2D38A4"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70E2CFAE"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shd w:val="clear" w:color="auto" w:fill="auto"/>
          </w:tcPr>
          <w:p w14:paraId="484639D3"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shd w:val="clear" w:color="auto" w:fill="auto"/>
          </w:tcPr>
          <w:p w14:paraId="492537FB"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shd w:val="clear" w:color="auto" w:fill="auto"/>
          </w:tcPr>
          <w:p w14:paraId="33E17A57"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shd w:val="clear" w:color="auto" w:fill="auto"/>
          </w:tcPr>
          <w:p w14:paraId="6C1F337E"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shd w:val="clear" w:color="auto" w:fill="auto"/>
          </w:tcPr>
          <w:p w14:paraId="04076B74"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shd w:val="clear" w:color="auto" w:fill="auto"/>
          </w:tcPr>
          <w:p w14:paraId="2BB1EC3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63C0318E"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5F39EF2C"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4C995BF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326A5C5D"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35662DC2"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2BF63A61"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sz w:val="16"/>
                <w:szCs w:val="16"/>
              </w:rPr>
              <w:t>+</w:t>
            </w:r>
          </w:p>
        </w:tc>
        <w:tc>
          <w:tcPr>
            <w:tcW w:w="284" w:type="dxa"/>
            <w:shd w:val="clear" w:color="auto" w:fill="auto"/>
          </w:tcPr>
          <w:p w14:paraId="202A58FB"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13A46270"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426" w:type="dxa"/>
            <w:shd w:val="clear" w:color="auto" w:fill="auto"/>
          </w:tcPr>
          <w:p w14:paraId="24612095"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82.5</w:t>
            </w:r>
          </w:p>
        </w:tc>
        <w:tc>
          <w:tcPr>
            <w:tcW w:w="1558" w:type="dxa"/>
            <w:shd w:val="clear" w:color="auto" w:fill="auto"/>
          </w:tcPr>
          <w:p w14:paraId="3D2BA8F4"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FC55D2">
              <w:rPr>
                <w:rFonts w:ascii="Arial" w:hAnsi="Arial" w:cs="Arial"/>
                <w:i/>
                <w:sz w:val="12"/>
                <w:szCs w:val="12"/>
              </w:rPr>
              <w:t xml:space="preserve">Klebsiella </w:t>
            </w:r>
            <w:proofErr w:type="spellStart"/>
            <w:r w:rsidRPr="00FC55D2">
              <w:rPr>
                <w:rFonts w:ascii="Arial" w:hAnsi="Arial" w:cs="Arial"/>
                <w:sz w:val="12"/>
                <w:szCs w:val="12"/>
              </w:rPr>
              <w:t>aerogees</w:t>
            </w:r>
            <w:proofErr w:type="spellEnd"/>
          </w:p>
        </w:tc>
      </w:tr>
      <w:tr w:rsidR="006D00F7" w:rsidRPr="00FC55D2" w14:paraId="17A0C18C" w14:textId="77777777" w:rsidTr="00293A6C">
        <w:tc>
          <w:tcPr>
            <w:cnfStyle w:val="001000000000" w:firstRow="0" w:lastRow="0" w:firstColumn="1" w:lastColumn="0" w:oddVBand="0" w:evenVBand="0" w:oddHBand="0" w:evenHBand="0" w:firstRowFirstColumn="0" w:firstRowLastColumn="0" w:lastRowFirstColumn="0" w:lastRowLastColumn="0"/>
            <w:tcW w:w="607" w:type="dxa"/>
            <w:shd w:val="clear" w:color="auto" w:fill="auto"/>
          </w:tcPr>
          <w:p w14:paraId="6C71069A" w14:textId="77777777" w:rsidR="009A4126" w:rsidRPr="00FC55D2" w:rsidRDefault="009A4126" w:rsidP="00922FC5">
            <w:pPr>
              <w:spacing w:line="480" w:lineRule="auto"/>
              <w:jc w:val="both"/>
              <w:rPr>
                <w:rFonts w:ascii="Arial" w:hAnsi="Arial" w:cs="Arial"/>
                <w:b w:val="0"/>
                <w:sz w:val="14"/>
                <w:szCs w:val="14"/>
              </w:rPr>
            </w:pPr>
            <w:r w:rsidRPr="00FC55D2">
              <w:rPr>
                <w:rFonts w:ascii="Arial" w:hAnsi="Arial" w:cs="Arial"/>
                <w:sz w:val="14"/>
                <w:szCs w:val="14"/>
              </w:rPr>
              <w:t>C7, A4, A8</w:t>
            </w:r>
          </w:p>
        </w:tc>
        <w:tc>
          <w:tcPr>
            <w:tcW w:w="308" w:type="dxa"/>
            <w:shd w:val="clear" w:color="auto" w:fill="auto"/>
          </w:tcPr>
          <w:p w14:paraId="47173D47"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36" w:type="dxa"/>
            <w:shd w:val="clear" w:color="auto" w:fill="auto"/>
          </w:tcPr>
          <w:p w14:paraId="6196A608"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sz w:val="16"/>
                <w:szCs w:val="16"/>
              </w:rPr>
              <w:t>+</w:t>
            </w:r>
          </w:p>
        </w:tc>
        <w:tc>
          <w:tcPr>
            <w:tcW w:w="267" w:type="dxa"/>
            <w:shd w:val="clear" w:color="auto" w:fill="auto"/>
          </w:tcPr>
          <w:p w14:paraId="6B6C678E"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38CDACF2"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45708B38"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0999ABE1"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6763839E"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6FBD3D08"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sz w:val="16"/>
                <w:szCs w:val="16"/>
              </w:rPr>
              <w:t>+</w:t>
            </w:r>
          </w:p>
        </w:tc>
        <w:tc>
          <w:tcPr>
            <w:tcW w:w="283" w:type="dxa"/>
            <w:shd w:val="clear" w:color="auto" w:fill="auto"/>
          </w:tcPr>
          <w:p w14:paraId="49DB46AE"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7C3354E7"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584D1E00"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2184B80C"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7B957A39"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307EE30E"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0ED95DCA"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43EFCFB8"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6200AEAB"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4F39B461"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73C9DA68"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21CCBA93"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461E575E"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sz w:val="16"/>
                <w:szCs w:val="16"/>
              </w:rPr>
              <w:t>+</w:t>
            </w:r>
          </w:p>
        </w:tc>
        <w:tc>
          <w:tcPr>
            <w:tcW w:w="284" w:type="dxa"/>
            <w:shd w:val="clear" w:color="auto" w:fill="auto"/>
          </w:tcPr>
          <w:p w14:paraId="150A934F"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sz w:val="16"/>
                <w:szCs w:val="16"/>
              </w:rPr>
              <w:t>+</w:t>
            </w:r>
          </w:p>
        </w:tc>
        <w:tc>
          <w:tcPr>
            <w:tcW w:w="283" w:type="dxa"/>
            <w:shd w:val="clear" w:color="auto" w:fill="auto"/>
          </w:tcPr>
          <w:p w14:paraId="51C1EF3A"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sz w:val="16"/>
                <w:szCs w:val="16"/>
              </w:rPr>
              <w:t>+</w:t>
            </w:r>
          </w:p>
        </w:tc>
        <w:tc>
          <w:tcPr>
            <w:tcW w:w="284" w:type="dxa"/>
            <w:shd w:val="clear" w:color="auto" w:fill="auto"/>
          </w:tcPr>
          <w:p w14:paraId="18036062"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sz w:val="16"/>
                <w:szCs w:val="16"/>
              </w:rPr>
              <w:t>+</w:t>
            </w:r>
          </w:p>
        </w:tc>
        <w:tc>
          <w:tcPr>
            <w:tcW w:w="283" w:type="dxa"/>
            <w:shd w:val="clear" w:color="auto" w:fill="auto"/>
          </w:tcPr>
          <w:p w14:paraId="5495610C"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01B8F436"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2F7D6FD8"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sz w:val="16"/>
                <w:szCs w:val="16"/>
              </w:rPr>
              <w:t>+</w:t>
            </w:r>
          </w:p>
        </w:tc>
        <w:tc>
          <w:tcPr>
            <w:tcW w:w="426" w:type="dxa"/>
            <w:shd w:val="clear" w:color="auto" w:fill="auto"/>
          </w:tcPr>
          <w:p w14:paraId="7A387C19"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97.8</w:t>
            </w:r>
          </w:p>
        </w:tc>
        <w:tc>
          <w:tcPr>
            <w:tcW w:w="1558" w:type="dxa"/>
            <w:shd w:val="clear" w:color="auto" w:fill="auto"/>
          </w:tcPr>
          <w:p w14:paraId="63FDB8A0"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FC55D2">
              <w:rPr>
                <w:rFonts w:ascii="Arial" w:hAnsi="Arial" w:cs="Arial"/>
                <w:i/>
                <w:sz w:val="12"/>
                <w:szCs w:val="12"/>
              </w:rPr>
              <w:t>Pseudomonas aeruginosa</w:t>
            </w:r>
          </w:p>
        </w:tc>
      </w:tr>
      <w:tr w:rsidR="00293A6C" w:rsidRPr="00FC55D2" w14:paraId="5CBB80BB" w14:textId="77777777" w:rsidTr="00293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dxa"/>
            <w:shd w:val="clear" w:color="auto" w:fill="auto"/>
          </w:tcPr>
          <w:p w14:paraId="0D2DCF29" w14:textId="77777777" w:rsidR="009A4126" w:rsidRPr="00FC55D2" w:rsidRDefault="009A4126" w:rsidP="00922FC5">
            <w:pPr>
              <w:spacing w:line="480" w:lineRule="auto"/>
              <w:jc w:val="both"/>
              <w:rPr>
                <w:rFonts w:ascii="Arial" w:hAnsi="Arial" w:cs="Arial"/>
                <w:b w:val="0"/>
                <w:sz w:val="14"/>
                <w:szCs w:val="14"/>
              </w:rPr>
            </w:pPr>
            <w:r w:rsidRPr="00FC55D2">
              <w:rPr>
                <w:rFonts w:ascii="Arial" w:hAnsi="Arial" w:cs="Arial"/>
                <w:sz w:val="14"/>
                <w:szCs w:val="14"/>
              </w:rPr>
              <w:t>C11, A14</w:t>
            </w:r>
          </w:p>
        </w:tc>
        <w:tc>
          <w:tcPr>
            <w:tcW w:w="308" w:type="dxa"/>
            <w:shd w:val="clear" w:color="auto" w:fill="auto"/>
          </w:tcPr>
          <w:p w14:paraId="31710D52"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36" w:type="dxa"/>
            <w:shd w:val="clear" w:color="auto" w:fill="auto"/>
          </w:tcPr>
          <w:p w14:paraId="5918C9D2"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67" w:type="dxa"/>
            <w:shd w:val="clear" w:color="auto" w:fill="auto"/>
          </w:tcPr>
          <w:p w14:paraId="27035E9F"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shd w:val="clear" w:color="auto" w:fill="auto"/>
          </w:tcPr>
          <w:p w14:paraId="4751D1B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shd w:val="clear" w:color="auto" w:fill="auto"/>
          </w:tcPr>
          <w:p w14:paraId="28E7AFD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5B520B85"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7590D889"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50CFFD33"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56316A10"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40BECE2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72F7FFBD"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shd w:val="clear" w:color="auto" w:fill="auto"/>
          </w:tcPr>
          <w:p w14:paraId="2F1AF7BD"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shd w:val="clear" w:color="auto" w:fill="auto"/>
          </w:tcPr>
          <w:p w14:paraId="389ECDB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3F4717A9"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256385FD"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7617FB5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C55D2">
              <w:rPr>
                <w:rFonts w:ascii="Arial" w:hAnsi="Arial" w:cs="Arial"/>
                <w:sz w:val="14"/>
                <w:szCs w:val="14"/>
              </w:rPr>
              <w:t>-</w:t>
            </w:r>
          </w:p>
        </w:tc>
        <w:tc>
          <w:tcPr>
            <w:tcW w:w="283" w:type="dxa"/>
            <w:shd w:val="clear" w:color="auto" w:fill="auto"/>
          </w:tcPr>
          <w:p w14:paraId="11126744"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shd w:val="clear" w:color="auto" w:fill="auto"/>
          </w:tcPr>
          <w:p w14:paraId="0A105EC4"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31104E7C"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shd w:val="clear" w:color="auto" w:fill="auto"/>
          </w:tcPr>
          <w:p w14:paraId="599FB73F"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shd w:val="clear" w:color="auto" w:fill="auto"/>
          </w:tcPr>
          <w:p w14:paraId="5F45E1AC"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16EF7202"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7AF56721"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338243DE"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27725E43"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shd w:val="clear" w:color="auto" w:fill="auto"/>
          </w:tcPr>
          <w:p w14:paraId="6996F62C"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shd w:val="clear" w:color="auto" w:fill="auto"/>
          </w:tcPr>
          <w:p w14:paraId="5F6EDAE9"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426" w:type="dxa"/>
            <w:shd w:val="clear" w:color="auto" w:fill="auto"/>
          </w:tcPr>
          <w:p w14:paraId="3AD1102F"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98.5</w:t>
            </w:r>
          </w:p>
        </w:tc>
        <w:tc>
          <w:tcPr>
            <w:tcW w:w="1558" w:type="dxa"/>
            <w:shd w:val="clear" w:color="auto" w:fill="auto"/>
          </w:tcPr>
          <w:p w14:paraId="0166B85D"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FC55D2">
              <w:rPr>
                <w:rFonts w:ascii="Arial" w:hAnsi="Arial" w:cs="Arial"/>
                <w:i/>
                <w:sz w:val="12"/>
                <w:szCs w:val="12"/>
              </w:rPr>
              <w:t xml:space="preserve">Enterobacter </w:t>
            </w:r>
            <w:r w:rsidRPr="00FC55D2">
              <w:rPr>
                <w:rFonts w:ascii="Arial" w:hAnsi="Arial" w:cs="Arial"/>
                <w:sz w:val="12"/>
                <w:szCs w:val="12"/>
              </w:rPr>
              <w:t>species</w:t>
            </w:r>
          </w:p>
        </w:tc>
      </w:tr>
      <w:tr w:rsidR="006D00F7" w:rsidRPr="00FC55D2" w14:paraId="67BAE585" w14:textId="77777777" w:rsidTr="00293A6C">
        <w:tc>
          <w:tcPr>
            <w:cnfStyle w:val="001000000000" w:firstRow="0" w:lastRow="0" w:firstColumn="1" w:lastColumn="0" w:oddVBand="0" w:evenVBand="0" w:oddHBand="0" w:evenHBand="0" w:firstRowFirstColumn="0" w:firstRowLastColumn="0" w:lastRowFirstColumn="0" w:lastRowLastColumn="0"/>
            <w:tcW w:w="607" w:type="dxa"/>
            <w:shd w:val="clear" w:color="auto" w:fill="auto"/>
          </w:tcPr>
          <w:p w14:paraId="20466193" w14:textId="77777777" w:rsidR="009A4126" w:rsidRPr="00FC55D2" w:rsidRDefault="009A4126" w:rsidP="00922FC5">
            <w:pPr>
              <w:jc w:val="both"/>
              <w:rPr>
                <w:rFonts w:ascii="Arial" w:hAnsi="Arial" w:cs="Arial"/>
                <w:b w:val="0"/>
                <w:sz w:val="14"/>
                <w:szCs w:val="14"/>
              </w:rPr>
            </w:pPr>
            <w:r w:rsidRPr="00FC55D2">
              <w:rPr>
                <w:rFonts w:ascii="Arial" w:hAnsi="Arial" w:cs="Arial"/>
                <w:sz w:val="14"/>
                <w:szCs w:val="14"/>
              </w:rPr>
              <w:t>C10, B9</w:t>
            </w:r>
          </w:p>
        </w:tc>
        <w:tc>
          <w:tcPr>
            <w:tcW w:w="308" w:type="dxa"/>
            <w:shd w:val="clear" w:color="auto" w:fill="auto"/>
          </w:tcPr>
          <w:p w14:paraId="471A08F6"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36" w:type="dxa"/>
            <w:shd w:val="clear" w:color="auto" w:fill="auto"/>
          </w:tcPr>
          <w:p w14:paraId="4CD6A6EC"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67" w:type="dxa"/>
            <w:shd w:val="clear" w:color="auto" w:fill="auto"/>
          </w:tcPr>
          <w:p w14:paraId="61CE989A"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shd w:val="clear" w:color="auto" w:fill="auto"/>
          </w:tcPr>
          <w:p w14:paraId="4DC1493A"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shd w:val="clear" w:color="auto" w:fill="auto"/>
          </w:tcPr>
          <w:p w14:paraId="0B230486"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shd w:val="clear" w:color="auto" w:fill="auto"/>
          </w:tcPr>
          <w:p w14:paraId="597142F9"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shd w:val="clear" w:color="auto" w:fill="auto"/>
          </w:tcPr>
          <w:p w14:paraId="6923306F"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shd w:val="clear" w:color="auto" w:fill="auto"/>
          </w:tcPr>
          <w:p w14:paraId="0605F456"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shd w:val="clear" w:color="auto" w:fill="auto"/>
          </w:tcPr>
          <w:p w14:paraId="2D7B2AD6"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shd w:val="clear" w:color="auto" w:fill="auto"/>
          </w:tcPr>
          <w:p w14:paraId="692711EE"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1AE7CE86"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shd w:val="clear" w:color="auto" w:fill="auto"/>
          </w:tcPr>
          <w:p w14:paraId="49EAB635"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shd w:val="clear" w:color="auto" w:fill="auto"/>
          </w:tcPr>
          <w:p w14:paraId="4C5CECB0"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shd w:val="clear" w:color="auto" w:fill="auto"/>
          </w:tcPr>
          <w:p w14:paraId="23F1092F"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70FA2377"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472F92CD"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071FA502"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6409EBBB"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6BA55300"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406E20AF"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5BE8B2D0"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0920BC38"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47E15DFA"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shd w:val="clear" w:color="auto" w:fill="auto"/>
          </w:tcPr>
          <w:p w14:paraId="2BDF0B0D"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shd w:val="clear" w:color="auto" w:fill="auto"/>
          </w:tcPr>
          <w:p w14:paraId="26B7B349"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shd w:val="clear" w:color="auto" w:fill="auto"/>
          </w:tcPr>
          <w:p w14:paraId="7065CEE2"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shd w:val="clear" w:color="auto" w:fill="auto"/>
          </w:tcPr>
          <w:p w14:paraId="0CBEAC5D"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426" w:type="dxa"/>
            <w:shd w:val="clear" w:color="auto" w:fill="auto"/>
          </w:tcPr>
          <w:p w14:paraId="09E733CB"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93.0</w:t>
            </w:r>
          </w:p>
        </w:tc>
        <w:tc>
          <w:tcPr>
            <w:tcW w:w="1558" w:type="dxa"/>
            <w:shd w:val="clear" w:color="auto" w:fill="auto"/>
          </w:tcPr>
          <w:p w14:paraId="05BABB95"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FC55D2">
              <w:rPr>
                <w:rFonts w:ascii="Arial" w:hAnsi="Arial" w:cs="Arial"/>
                <w:i/>
                <w:sz w:val="12"/>
                <w:szCs w:val="12"/>
              </w:rPr>
              <w:t>Proteus vulgaris</w:t>
            </w:r>
          </w:p>
        </w:tc>
      </w:tr>
    </w:tbl>
    <w:p w14:paraId="08040778" w14:textId="77777777" w:rsidR="009A4126" w:rsidRPr="00FC55D2" w:rsidRDefault="009A4126" w:rsidP="009A4126">
      <w:pPr>
        <w:pStyle w:val="NormalWeb"/>
        <w:jc w:val="both"/>
        <w:rPr>
          <w:rFonts w:ascii="Arial" w:hAnsi="Arial" w:cs="Arial"/>
          <w:color w:val="0D0D0D" w:themeColor="text1" w:themeTint="F2"/>
          <w:sz w:val="20"/>
          <w:szCs w:val="20"/>
        </w:rPr>
      </w:pPr>
      <w:r w:rsidRPr="00FC55D2">
        <w:rPr>
          <w:rFonts w:ascii="Arial" w:hAnsi="Arial" w:cs="Arial"/>
          <w:sz w:val="20"/>
          <w:szCs w:val="20"/>
        </w:rPr>
        <w:t xml:space="preserve">*ID </w:t>
      </w:r>
      <w:r w:rsidRPr="00FC55D2">
        <w:rPr>
          <w:rFonts w:ascii="Cambria Math" w:hAnsi="Cambria Math" w:cs="Cambria Math"/>
          <w:sz w:val="20"/>
          <w:szCs w:val="20"/>
        </w:rPr>
        <w:t>₌</w:t>
      </w:r>
      <w:r w:rsidRPr="00FC55D2">
        <w:rPr>
          <w:rFonts w:ascii="Arial" w:hAnsi="Arial" w:cs="Arial"/>
          <w:sz w:val="20"/>
          <w:szCs w:val="20"/>
        </w:rPr>
        <w:t xml:space="preserve"> identity; - </w:t>
      </w:r>
      <w:r w:rsidRPr="00FC55D2">
        <w:rPr>
          <w:rFonts w:ascii="Cambria Math" w:hAnsi="Cambria Math" w:cs="Cambria Math"/>
          <w:sz w:val="20"/>
          <w:szCs w:val="20"/>
        </w:rPr>
        <w:t>₌</w:t>
      </w:r>
      <w:r w:rsidRPr="00FC55D2">
        <w:rPr>
          <w:rFonts w:ascii="Arial" w:hAnsi="Arial" w:cs="Arial"/>
          <w:sz w:val="20"/>
          <w:szCs w:val="20"/>
        </w:rPr>
        <w:t xml:space="preserve"> negative; + </w:t>
      </w:r>
      <w:r w:rsidRPr="00FC55D2">
        <w:rPr>
          <w:rFonts w:ascii="Cambria Math" w:hAnsi="Cambria Math" w:cs="Cambria Math"/>
          <w:sz w:val="20"/>
          <w:szCs w:val="20"/>
        </w:rPr>
        <w:t>₌</w:t>
      </w:r>
      <w:r w:rsidRPr="00FC55D2">
        <w:rPr>
          <w:rFonts w:ascii="Arial" w:hAnsi="Arial" w:cs="Arial"/>
          <w:sz w:val="20"/>
          <w:szCs w:val="20"/>
        </w:rPr>
        <w:t xml:space="preserve"> positive</w:t>
      </w:r>
    </w:p>
    <w:p w14:paraId="1D9F4C81" w14:textId="77777777" w:rsidR="009A4126" w:rsidRPr="00FC55D2" w:rsidRDefault="009A4126" w:rsidP="009A4126">
      <w:pPr>
        <w:pStyle w:val="NormalWeb"/>
        <w:jc w:val="both"/>
        <w:rPr>
          <w:rFonts w:ascii="Arial" w:hAnsi="Arial" w:cs="Arial"/>
          <w:color w:val="0D0D0D" w:themeColor="text1" w:themeTint="F2"/>
          <w:sz w:val="20"/>
          <w:szCs w:val="20"/>
        </w:rPr>
      </w:pPr>
      <w:r w:rsidRPr="00FC55D2">
        <w:rPr>
          <w:rFonts w:ascii="Arial" w:hAnsi="Arial" w:cs="Arial"/>
          <w:color w:val="0D0D0D" w:themeColor="text1" w:themeTint="F2"/>
          <w:sz w:val="20"/>
          <w:szCs w:val="20"/>
        </w:rPr>
        <w:t>Ta</w:t>
      </w:r>
      <w:r w:rsidRPr="00FC55D2">
        <w:rPr>
          <w:rFonts w:ascii="Arial" w:hAnsi="Arial" w:cs="Arial"/>
          <w:sz w:val="20"/>
          <w:szCs w:val="20"/>
        </w:rPr>
        <w:t>b</w:t>
      </w:r>
      <w:r w:rsidRPr="00FC55D2">
        <w:rPr>
          <w:rFonts w:ascii="Arial" w:hAnsi="Arial" w:cs="Arial"/>
          <w:color w:val="0D0D0D" w:themeColor="text1" w:themeTint="F2"/>
          <w:sz w:val="20"/>
          <w:szCs w:val="20"/>
        </w:rPr>
        <w:t xml:space="preserve">le 5: </w:t>
      </w:r>
      <w:r w:rsidRPr="00FC55D2">
        <w:rPr>
          <w:rFonts w:ascii="Arial" w:hAnsi="Arial" w:cs="Arial"/>
          <w:sz w:val="20"/>
          <w:szCs w:val="20"/>
        </w:rPr>
        <w:t>Identification of some bacterial isolates with Analytical Profile Index (API 50CH) test</w:t>
      </w:r>
    </w:p>
    <w:tbl>
      <w:tblPr>
        <w:tblStyle w:val="ListTable6Colorful"/>
        <w:tblW w:w="10206" w:type="dxa"/>
        <w:tblLayout w:type="fixed"/>
        <w:tblLook w:val="04A0" w:firstRow="1" w:lastRow="0" w:firstColumn="1" w:lastColumn="0" w:noHBand="0" w:noVBand="1"/>
      </w:tblPr>
      <w:tblGrid>
        <w:gridCol w:w="607"/>
        <w:gridCol w:w="308"/>
        <w:gridCol w:w="236"/>
        <w:gridCol w:w="267"/>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426"/>
        <w:gridCol w:w="1558"/>
      </w:tblGrid>
      <w:tr w:rsidR="00DE62FA" w:rsidRPr="00FC55D2" w14:paraId="234624AE" w14:textId="77777777" w:rsidTr="00293A6C">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07" w:type="dxa"/>
            <w:shd w:val="clear" w:color="auto" w:fill="auto"/>
            <w:textDirection w:val="btLr"/>
          </w:tcPr>
          <w:p w14:paraId="0346B667" w14:textId="77777777" w:rsidR="009A4126" w:rsidRPr="00FC55D2" w:rsidRDefault="009A4126" w:rsidP="00922FC5">
            <w:pPr>
              <w:ind w:left="113" w:right="113"/>
              <w:jc w:val="both"/>
              <w:rPr>
                <w:rFonts w:ascii="Arial" w:hAnsi="Arial" w:cs="Arial"/>
                <w:sz w:val="16"/>
                <w:szCs w:val="16"/>
              </w:rPr>
            </w:pPr>
            <w:r w:rsidRPr="00FC55D2">
              <w:rPr>
                <w:rFonts w:ascii="Arial" w:hAnsi="Arial" w:cs="Arial"/>
                <w:sz w:val="16"/>
                <w:szCs w:val="16"/>
              </w:rPr>
              <w:t>Isolate ID</w:t>
            </w:r>
          </w:p>
        </w:tc>
        <w:tc>
          <w:tcPr>
            <w:tcW w:w="308" w:type="dxa"/>
            <w:shd w:val="clear" w:color="auto" w:fill="auto"/>
            <w:textDirection w:val="btLr"/>
          </w:tcPr>
          <w:p w14:paraId="4AD0301C"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GLY</w:t>
            </w:r>
          </w:p>
        </w:tc>
        <w:tc>
          <w:tcPr>
            <w:tcW w:w="236" w:type="dxa"/>
            <w:shd w:val="clear" w:color="auto" w:fill="auto"/>
            <w:textDirection w:val="btLr"/>
          </w:tcPr>
          <w:p w14:paraId="2FD27FD6"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DARA</w:t>
            </w:r>
          </w:p>
        </w:tc>
        <w:tc>
          <w:tcPr>
            <w:tcW w:w="267" w:type="dxa"/>
            <w:shd w:val="clear" w:color="auto" w:fill="auto"/>
            <w:textDirection w:val="btLr"/>
          </w:tcPr>
          <w:p w14:paraId="397F012B" w14:textId="77777777" w:rsidR="009A4126" w:rsidRPr="00FC55D2" w:rsidRDefault="009A4126" w:rsidP="00922FC5">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LARA</w:t>
            </w:r>
          </w:p>
        </w:tc>
        <w:tc>
          <w:tcPr>
            <w:tcW w:w="284" w:type="dxa"/>
            <w:shd w:val="clear" w:color="auto" w:fill="auto"/>
            <w:textDirection w:val="btLr"/>
          </w:tcPr>
          <w:p w14:paraId="585CB2F3" w14:textId="77777777" w:rsidR="009A4126" w:rsidRPr="00FC55D2" w:rsidRDefault="009A4126" w:rsidP="00922FC5">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GAL</w:t>
            </w:r>
          </w:p>
        </w:tc>
        <w:tc>
          <w:tcPr>
            <w:tcW w:w="283" w:type="dxa"/>
            <w:shd w:val="clear" w:color="auto" w:fill="auto"/>
            <w:textDirection w:val="btLr"/>
          </w:tcPr>
          <w:p w14:paraId="7749F66E"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GLU</w:t>
            </w:r>
          </w:p>
        </w:tc>
        <w:tc>
          <w:tcPr>
            <w:tcW w:w="284" w:type="dxa"/>
            <w:shd w:val="clear" w:color="auto" w:fill="auto"/>
            <w:textDirection w:val="btLr"/>
          </w:tcPr>
          <w:p w14:paraId="6B7FD836"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FRU</w:t>
            </w:r>
          </w:p>
        </w:tc>
        <w:tc>
          <w:tcPr>
            <w:tcW w:w="283" w:type="dxa"/>
            <w:shd w:val="clear" w:color="auto" w:fill="auto"/>
            <w:textDirection w:val="btLr"/>
          </w:tcPr>
          <w:p w14:paraId="2296925F"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SOR</w:t>
            </w:r>
          </w:p>
        </w:tc>
        <w:tc>
          <w:tcPr>
            <w:tcW w:w="284" w:type="dxa"/>
            <w:shd w:val="clear" w:color="auto" w:fill="auto"/>
            <w:textDirection w:val="btLr"/>
          </w:tcPr>
          <w:p w14:paraId="0579F8A5"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RHA </w:t>
            </w:r>
          </w:p>
        </w:tc>
        <w:tc>
          <w:tcPr>
            <w:tcW w:w="283" w:type="dxa"/>
            <w:shd w:val="clear" w:color="auto" w:fill="auto"/>
            <w:textDirection w:val="btLr"/>
          </w:tcPr>
          <w:p w14:paraId="334472E9"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MNE</w:t>
            </w:r>
          </w:p>
        </w:tc>
        <w:tc>
          <w:tcPr>
            <w:tcW w:w="284" w:type="dxa"/>
            <w:shd w:val="clear" w:color="auto" w:fill="auto"/>
            <w:textDirection w:val="btLr"/>
          </w:tcPr>
          <w:p w14:paraId="63F92B7C"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DUL</w:t>
            </w:r>
          </w:p>
        </w:tc>
        <w:tc>
          <w:tcPr>
            <w:tcW w:w="283" w:type="dxa"/>
            <w:shd w:val="clear" w:color="auto" w:fill="auto"/>
            <w:textDirection w:val="btLr"/>
          </w:tcPr>
          <w:p w14:paraId="690621E4"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CEL</w:t>
            </w:r>
          </w:p>
        </w:tc>
        <w:tc>
          <w:tcPr>
            <w:tcW w:w="284" w:type="dxa"/>
            <w:shd w:val="clear" w:color="auto" w:fill="auto"/>
            <w:textDirection w:val="btLr"/>
          </w:tcPr>
          <w:p w14:paraId="2B4F0C9C"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ESC</w:t>
            </w:r>
          </w:p>
        </w:tc>
        <w:tc>
          <w:tcPr>
            <w:tcW w:w="283" w:type="dxa"/>
            <w:shd w:val="clear" w:color="auto" w:fill="auto"/>
            <w:textDirection w:val="btLr"/>
          </w:tcPr>
          <w:p w14:paraId="12A37BEA"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MAN </w:t>
            </w:r>
          </w:p>
        </w:tc>
        <w:tc>
          <w:tcPr>
            <w:tcW w:w="284" w:type="dxa"/>
            <w:shd w:val="clear" w:color="auto" w:fill="auto"/>
            <w:textDirection w:val="btLr"/>
          </w:tcPr>
          <w:p w14:paraId="24D57F2D"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INO </w:t>
            </w:r>
          </w:p>
        </w:tc>
        <w:tc>
          <w:tcPr>
            <w:tcW w:w="283" w:type="dxa"/>
            <w:shd w:val="clear" w:color="auto" w:fill="auto"/>
            <w:textDirection w:val="btLr"/>
          </w:tcPr>
          <w:p w14:paraId="2D7C998C"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LAC</w:t>
            </w:r>
          </w:p>
        </w:tc>
        <w:tc>
          <w:tcPr>
            <w:tcW w:w="284" w:type="dxa"/>
            <w:shd w:val="clear" w:color="auto" w:fill="auto"/>
            <w:textDirection w:val="btLr"/>
          </w:tcPr>
          <w:p w14:paraId="201B4C2E"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TRE</w:t>
            </w:r>
          </w:p>
        </w:tc>
        <w:tc>
          <w:tcPr>
            <w:tcW w:w="283" w:type="dxa"/>
            <w:shd w:val="clear" w:color="auto" w:fill="auto"/>
            <w:textDirection w:val="btLr"/>
          </w:tcPr>
          <w:p w14:paraId="52463CA7"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SAC </w:t>
            </w:r>
          </w:p>
        </w:tc>
        <w:tc>
          <w:tcPr>
            <w:tcW w:w="284" w:type="dxa"/>
            <w:shd w:val="clear" w:color="auto" w:fill="auto"/>
            <w:textDirection w:val="btLr"/>
          </w:tcPr>
          <w:p w14:paraId="6B91B87E"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MEL </w:t>
            </w:r>
          </w:p>
        </w:tc>
        <w:tc>
          <w:tcPr>
            <w:tcW w:w="283" w:type="dxa"/>
            <w:shd w:val="clear" w:color="auto" w:fill="auto"/>
            <w:textDirection w:val="btLr"/>
          </w:tcPr>
          <w:p w14:paraId="505FB435"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MAL</w:t>
            </w:r>
          </w:p>
        </w:tc>
        <w:tc>
          <w:tcPr>
            <w:tcW w:w="284" w:type="dxa"/>
            <w:shd w:val="clear" w:color="auto" w:fill="auto"/>
            <w:textDirection w:val="btLr"/>
          </w:tcPr>
          <w:p w14:paraId="0291279B"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MDG</w:t>
            </w:r>
          </w:p>
        </w:tc>
        <w:tc>
          <w:tcPr>
            <w:tcW w:w="283" w:type="dxa"/>
            <w:shd w:val="clear" w:color="auto" w:fill="auto"/>
            <w:textDirection w:val="btLr"/>
          </w:tcPr>
          <w:p w14:paraId="15A90A53"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NAG</w:t>
            </w:r>
          </w:p>
        </w:tc>
        <w:tc>
          <w:tcPr>
            <w:tcW w:w="284" w:type="dxa"/>
            <w:shd w:val="clear" w:color="auto" w:fill="auto"/>
            <w:textDirection w:val="btLr"/>
          </w:tcPr>
          <w:p w14:paraId="10FDE1A8"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MDX</w:t>
            </w:r>
          </w:p>
        </w:tc>
        <w:tc>
          <w:tcPr>
            <w:tcW w:w="283" w:type="dxa"/>
            <w:shd w:val="clear" w:color="auto" w:fill="auto"/>
            <w:textDirection w:val="btLr"/>
          </w:tcPr>
          <w:p w14:paraId="76C6A9CB"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SBE</w:t>
            </w:r>
          </w:p>
        </w:tc>
        <w:tc>
          <w:tcPr>
            <w:tcW w:w="284" w:type="dxa"/>
            <w:shd w:val="clear" w:color="auto" w:fill="auto"/>
            <w:textDirection w:val="btLr"/>
          </w:tcPr>
          <w:p w14:paraId="3E6CC0B0"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RIB </w:t>
            </w:r>
          </w:p>
        </w:tc>
        <w:tc>
          <w:tcPr>
            <w:tcW w:w="283" w:type="dxa"/>
            <w:shd w:val="clear" w:color="auto" w:fill="auto"/>
            <w:textDirection w:val="btLr"/>
          </w:tcPr>
          <w:p w14:paraId="6D290829"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DXYL</w:t>
            </w:r>
          </w:p>
        </w:tc>
        <w:tc>
          <w:tcPr>
            <w:tcW w:w="284" w:type="dxa"/>
            <w:shd w:val="clear" w:color="auto" w:fill="auto"/>
            <w:textDirection w:val="btLr"/>
          </w:tcPr>
          <w:p w14:paraId="5A2B0022"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LXYL</w:t>
            </w:r>
          </w:p>
        </w:tc>
        <w:tc>
          <w:tcPr>
            <w:tcW w:w="283" w:type="dxa"/>
            <w:shd w:val="clear" w:color="auto" w:fill="auto"/>
            <w:textDirection w:val="btLr"/>
          </w:tcPr>
          <w:p w14:paraId="3EB10047"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ADO</w:t>
            </w:r>
          </w:p>
        </w:tc>
        <w:tc>
          <w:tcPr>
            <w:tcW w:w="426" w:type="dxa"/>
            <w:shd w:val="clear" w:color="auto" w:fill="auto"/>
            <w:textDirection w:val="btLr"/>
          </w:tcPr>
          <w:p w14:paraId="27647B29"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 %  API similarity identity</w:t>
            </w:r>
          </w:p>
        </w:tc>
        <w:tc>
          <w:tcPr>
            <w:tcW w:w="1558" w:type="dxa"/>
            <w:shd w:val="clear" w:color="auto" w:fill="auto"/>
            <w:textDirection w:val="btLr"/>
          </w:tcPr>
          <w:p w14:paraId="54D5A5CA" w14:textId="77777777" w:rsidR="009A4126" w:rsidRPr="00FC55D2" w:rsidRDefault="009A4126" w:rsidP="00922FC5">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Identity of Organisms</w:t>
            </w:r>
          </w:p>
        </w:tc>
      </w:tr>
      <w:tr w:rsidR="00293A6C" w:rsidRPr="00FC55D2" w14:paraId="07D94918" w14:textId="77777777" w:rsidTr="00293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dxa"/>
            <w:shd w:val="clear" w:color="auto" w:fill="auto"/>
          </w:tcPr>
          <w:p w14:paraId="54F9E912" w14:textId="77777777" w:rsidR="009A4126" w:rsidRPr="00FC55D2" w:rsidRDefault="009A4126" w:rsidP="00922FC5">
            <w:pPr>
              <w:spacing w:line="480" w:lineRule="auto"/>
              <w:jc w:val="both"/>
              <w:rPr>
                <w:rFonts w:ascii="Arial" w:hAnsi="Arial" w:cs="Arial"/>
                <w:sz w:val="16"/>
                <w:szCs w:val="16"/>
              </w:rPr>
            </w:pPr>
            <w:r w:rsidRPr="00FC55D2">
              <w:rPr>
                <w:rFonts w:ascii="Arial" w:hAnsi="Arial" w:cs="Arial"/>
                <w:sz w:val="16"/>
                <w:szCs w:val="16"/>
              </w:rPr>
              <w:t>C</w:t>
            </w:r>
            <w:proofErr w:type="gramStart"/>
            <w:r w:rsidRPr="00FC55D2">
              <w:rPr>
                <w:rFonts w:ascii="Arial" w:hAnsi="Arial" w:cs="Arial"/>
                <w:sz w:val="16"/>
                <w:szCs w:val="16"/>
              </w:rPr>
              <w:t>1,A</w:t>
            </w:r>
            <w:proofErr w:type="gramEnd"/>
            <w:r w:rsidRPr="00FC55D2">
              <w:rPr>
                <w:rFonts w:ascii="Arial" w:hAnsi="Arial" w:cs="Arial"/>
                <w:sz w:val="16"/>
                <w:szCs w:val="16"/>
              </w:rPr>
              <w:t>2,B1</w:t>
            </w:r>
          </w:p>
        </w:tc>
        <w:tc>
          <w:tcPr>
            <w:tcW w:w="308" w:type="dxa"/>
            <w:shd w:val="clear" w:color="auto" w:fill="auto"/>
          </w:tcPr>
          <w:p w14:paraId="126F4AC8"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36" w:type="dxa"/>
            <w:shd w:val="clear" w:color="auto" w:fill="auto"/>
          </w:tcPr>
          <w:p w14:paraId="52949C11"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67" w:type="dxa"/>
            <w:shd w:val="clear" w:color="auto" w:fill="auto"/>
          </w:tcPr>
          <w:p w14:paraId="2A3427F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2DEE2F3C"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2596D7FB"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26E88117"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40AD1F14"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4C8E264B"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045FF7E5"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70B5CE33"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09B47BB5"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6BFA87EC"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053D594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1D96CC0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3D1E6DE8"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536B21B1"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4FF856EC"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052B6A7D"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6DA0ED36"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51B92C79"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47EC0189"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4403CDF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61017DD5"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11452CF3"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25DA0E37"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396026B4"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38B98F3F"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shd w:val="clear" w:color="auto" w:fill="auto"/>
          </w:tcPr>
          <w:p w14:paraId="41B94525"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94.5</w:t>
            </w:r>
          </w:p>
        </w:tc>
        <w:tc>
          <w:tcPr>
            <w:tcW w:w="1558" w:type="dxa"/>
            <w:shd w:val="clear" w:color="auto" w:fill="auto"/>
          </w:tcPr>
          <w:p w14:paraId="7B9E6D70"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 xml:space="preserve">Bacillus </w:t>
            </w:r>
            <w:proofErr w:type="spellStart"/>
            <w:r w:rsidRPr="00FC55D2">
              <w:rPr>
                <w:rFonts w:ascii="Arial" w:hAnsi="Arial" w:cs="Arial"/>
                <w:i/>
                <w:sz w:val="16"/>
                <w:szCs w:val="16"/>
              </w:rPr>
              <w:t>aerius</w:t>
            </w:r>
            <w:proofErr w:type="spellEnd"/>
          </w:p>
        </w:tc>
      </w:tr>
      <w:tr w:rsidR="006D00F7" w:rsidRPr="00FC55D2" w14:paraId="173CEADA" w14:textId="77777777" w:rsidTr="00293A6C">
        <w:tc>
          <w:tcPr>
            <w:cnfStyle w:val="001000000000" w:firstRow="0" w:lastRow="0" w:firstColumn="1" w:lastColumn="0" w:oddVBand="0" w:evenVBand="0" w:oddHBand="0" w:evenHBand="0" w:firstRowFirstColumn="0" w:firstRowLastColumn="0" w:lastRowFirstColumn="0" w:lastRowLastColumn="0"/>
            <w:tcW w:w="607" w:type="dxa"/>
            <w:shd w:val="clear" w:color="auto" w:fill="auto"/>
          </w:tcPr>
          <w:p w14:paraId="35D5C44F" w14:textId="77777777" w:rsidR="009A4126" w:rsidRPr="00FC55D2" w:rsidRDefault="009A4126" w:rsidP="00922FC5">
            <w:pPr>
              <w:spacing w:line="480" w:lineRule="auto"/>
              <w:jc w:val="both"/>
              <w:rPr>
                <w:rFonts w:ascii="Arial" w:hAnsi="Arial" w:cs="Arial"/>
                <w:sz w:val="16"/>
                <w:szCs w:val="16"/>
              </w:rPr>
            </w:pPr>
            <w:r w:rsidRPr="00FC55D2">
              <w:rPr>
                <w:rFonts w:ascii="Arial" w:hAnsi="Arial" w:cs="Arial"/>
                <w:sz w:val="16"/>
                <w:szCs w:val="16"/>
              </w:rPr>
              <w:t>C2, A3, B9</w:t>
            </w:r>
          </w:p>
        </w:tc>
        <w:tc>
          <w:tcPr>
            <w:tcW w:w="308" w:type="dxa"/>
            <w:shd w:val="clear" w:color="auto" w:fill="auto"/>
          </w:tcPr>
          <w:p w14:paraId="64D8D314"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36" w:type="dxa"/>
            <w:shd w:val="clear" w:color="auto" w:fill="auto"/>
          </w:tcPr>
          <w:p w14:paraId="6D2691EF"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67" w:type="dxa"/>
            <w:shd w:val="clear" w:color="auto" w:fill="auto"/>
          </w:tcPr>
          <w:p w14:paraId="7BB97EB3"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163E830E"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77366475"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7CB8DB6E"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5AC6FFC6"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1F4F2FAA"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3BE45357"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415E0E7E"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505EC21A"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5E49407A"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3B3B6AC7"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717C21B1"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4225757E"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321935B8"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0C2EB09C"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7639FF33"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2A004004"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66A48FED"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523252F5"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6FA5755D"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3994745C"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0F40C5C4"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42EFA999"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7F4A31AA"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5C6033DA"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shd w:val="clear" w:color="auto" w:fill="auto"/>
          </w:tcPr>
          <w:p w14:paraId="71B21E04"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99.0</w:t>
            </w:r>
          </w:p>
        </w:tc>
        <w:tc>
          <w:tcPr>
            <w:tcW w:w="1558" w:type="dxa"/>
            <w:shd w:val="clear" w:color="auto" w:fill="auto"/>
          </w:tcPr>
          <w:p w14:paraId="593667E7"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i/>
                <w:sz w:val="16"/>
                <w:szCs w:val="16"/>
              </w:rPr>
              <w:t>Bacillus subtilis</w:t>
            </w:r>
          </w:p>
        </w:tc>
      </w:tr>
      <w:tr w:rsidR="00293A6C" w:rsidRPr="00FC55D2" w14:paraId="47C9626C" w14:textId="77777777" w:rsidTr="00293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dxa"/>
            <w:shd w:val="clear" w:color="auto" w:fill="auto"/>
          </w:tcPr>
          <w:p w14:paraId="170A702F" w14:textId="77777777" w:rsidR="009A4126" w:rsidRPr="00FC55D2" w:rsidRDefault="009A4126" w:rsidP="00922FC5">
            <w:pPr>
              <w:spacing w:line="480" w:lineRule="auto"/>
              <w:jc w:val="both"/>
              <w:rPr>
                <w:rFonts w:ascii="Arial" w:hAnsi="Arial" w:cs="Arial"/>
                <w:sz w:val="16"/>
                <w:szCs w:val="16"/>
              </w:rPr>
            </w:pPr>
            <w:r w:rsidRPr="00FC55D2">
              <w:rPr>
                <w:rFonts w:ascii="Arial" w:hAnsi="Arial" w:cs="Arial"/>
                <w:sz w:val="16"/>
                <w:szCs w:val="16"/>
              </w:rPr>
              <w:lastRenderedPageBreak/>
              <w:t>C3, A5, B4</w:t>
            </w:r>
          </w:p>
        </w:tc>
        <w:tc>
          <w:tcPr>
            <w:tcW w:w="308" w:type="dxa"/>
            <w:shd w:val="clear" w:color="auto" w:fill="auto"/>
          </w:tcPr>
          <w:p w14:paraId="067E7D64"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36" w:type="dxa"/>
            <w:shd w:val="clear" w:color="auto" w:fill="auto"/>
          </w:tcPr>
          <w:p w14:paraId="3D9D0F4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67" w:type="dxa"/>
            <w:shd w:val="clear" w:color="auto" w:fill="auto"/>
          </w:tcPr>
          <w:p w14:paraId="4D6058EF"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04409481"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3C8DDDDF"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29859904"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054C029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500C80BF"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0AB3FF13"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364D2DA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49DD50E2"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4A74D98C"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7FCABBD4"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1F94AA6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255A0AF6"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0A63352B"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1AFB7622"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3BEFC314"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781BB01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593FCD7B"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7FBAC13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3A9383DF"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4836C5AC"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784A3225"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5172AD67"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37731AE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55DC5C52"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shd w:val="clear" w:color="auto" w:fill="auto"/>
          </w:tcPr>
          <w:p w14:paraId="01CEA36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95.0</w:t>
            </w:r>
          </w:p>
        </w:tc>
        <w:tc>
          <w:tcPr>
            <w:tcW w:w="1558" w:type="dxa"/>
            <w:shd w:val="clear" w:color="auto" w:fill="auto"/>
          </w:tcPr>
          <w:p w14:paraId="6F5FC304"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Bacillus cereus</w:t>
            </w:r>
          </w:p>
        </w:tc>
      </w:tr>
      <w:tr w:rsidR="006D00F7" w:rsidRPr="00FC55D2" w14:paraId="185798B6" w14:textId="77777777" w:rsidTr="00293A6C">
        <w:tc>
          <w:tcPr>
            <w:cnfStyle w:val="001000000000" w:firstRow="0" w:lastRow="0" w:firstColumn="1" w:lastColumn="0" w:oddVBand="0" w:evenVBand="0" w:oddHBand="0" w:evenHBand="0" w:firstRowFirstColumn="0" w:firstRowLastColumn="0" w:lastRowFirstColumn="0" w:lastRowLastColumn="0"/>
            <w:tcW w:w="607" w:type="dxa"/>
            <w:shd w:val="clear" w:color="auto" w:fill="auto"/>
          </w:tcPr>
          <w:p w14:paraId="13D19E48" w14:textId="77777777" w:rsidR="009A4126" w:rsidRPr="00FC55D2" w:rsidRDefault="009A4126" w:rsidP="00922FC5">
            <w:pPr>
              <w:spacing w:line="480" w:lineRule="auto"/>
              <w:jc w:val="both"/>
              <w:rPr>
                <w:rFonts w:ascii="Arial" w:hAnsi="Arial" w:cs="Arial"/>
                <w:sz w:val="16"/>
                <w:szCs w:val="16"/>
              </w:rPr>
            </w:pPr>
            <w:r w:rsidRPr="00FC55D2">
              <w:rPr>
                <w:rFonts w:ascii="Arial" w:hAnsi="Arial" w:cs="Arial"/>
                <w:sz w:val="16"/>
                <w:szCs w:val="16"/>
              </w:rPr>
              <w:t>C12, C13</w:t>
            </w:r>
          </w:p>
        </w:tc>
        <w:tc>
          <w:tcPr>
            <w:tcW w:w="308" w:type="dxa"/>
            <w:shd w:val="clear" w:color="auto" w:fill="auto"/>
          </w:tcPr>
          <w:p w14:paraId="6BB1E9D9"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36" w:type="dxa"/>
            <w:shd w:val="clear" w:color="auto" w:fill="auto"/>
          </w:tcPr>
          <w:p w14:paraId="236524CB"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67" w:type="dxa"/>
            <w:shd w:val="clear" w:color="auto" w:fill="auto"/>
          </w:tcPr>
          <w:p w14:paraId="7A413611"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shd w:val="clear" w:color="auto" w:fill="auto"/>
          </w:tcPr>
          <w:p w14:paraId="32C41E77"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3" w:type="dxa"/>
            <w:shd w:val="clear" w:color="auto" w:fill="auto"/>
          </w:tcPr>
          <w:p w14:paraId="28D1917A"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shd w:val="clear" w:color="auto" w:fill="auto"/>
          </w:tcPr>
          <w:p w14:paraId="0AC6AB6C"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3" w:type="dxa"/>
            <w:shd w:val="clear" w:color="auto" w:fill="auto"/>
          </w:tcPr>
          <w:p w14:paraId="02AB0742"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76422B37"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6380DEAF"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shd w:val="clear" w:color="auto" w:fill="auto"/>
          </w:tcPr>
          <w:p w14:paraId="61EBBA29"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2B51A7E3"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76A28601"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3" w:type="dxa"/>
            <w:shd w:val="clear" w:color="auto" w:fill="auto"/>
          </w:tcPr>
          <w:p w14:paraId="53FBCCB2"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7DE8BE13"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64D0D0F1"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shd w:val="clear" w:color="auto" w:fill="auto"/>
          </w:tcPr>
          <w:p w14:paraId="39EC9913"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44B93A7B"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shd w:val="clear" w:color="auto" w:fill="auto"/>
          </w:tcPr>
          <w:p w14:paraId="11054C97"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1357F069"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shd w:val="clear" w:color="auto" w:fill="auto"/>
          </w:tcPr>
          <w:p w14:paraId="2FAE9E6C"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3" w:type="dxa"/>
            <w:shd w:val="clear" w:color="auto" w:fill="auto"/>
          </w:tcPr>
          <w:p w14:paraId="59006A80"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shd w:val="clear" w:color="auto" w:fill="auto"/>
          </w:tcPr>
          <w:p w14:paraId="0002A578"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3" w:type="dxa"/>
            <w:shd w:val="clear" w:color="auto" w:fill="auto"/>
          </w:tcPr>
          <w:p w14:paraId="00928E77"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shd w:val="clear" w:color="auto" w:fill="auto"/>
          </w:tcPr>
          <w:p w14:paraId="1170229B"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3" w:type="dxa"/>
            <w:shd w:val="clear" w:color="auto" w:fill="auto"/>
          </w:tcPr>
          <w:p w14:paraId="15EC5E8A"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shd w:val="clear" w:color="auto" w:fill="auto"/>
          </w:tcPr>
          <w:p w14:paraId="27F38BEB"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454B85E8"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shd w:val="clear" w:color="auto" w:fill="auto"/>
          </w:tcPr>
          <w:p w14:paraId="7D5CFB11"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92.9</w:t>
            </w:r>
          </w:p>
        </w:tc>
        <w:tc>
          <w:tcPr>
            <w:tcW w:w="1558" w:type="dxa"/>
            <w:shd w:val="clear" w:color="auto" w:fill="auto"/>
          </w:tcPr>
          <w:p w14:paraId="7318C557"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 xml:space="preserve">Corynebacterium </w:t>
            </w:r>
            <w:proofErr w:type="spellStart"/>
            <w:r w:rsidRPr="00FC55D2">
              <w:rPr>
                <w:rFonts w:ascii="Arial" w:hAnsi="Arial" w:cs="Arial"/>
                <w:i/>
                <w:sz w:val="16"/>
                <w:szCs w:val="16"/>
              </w:rPr>
              <w:t>capsium</w:t>
            </w:r>
            <w:proofErr w:type="spellEnd"/>
          </w:p>
        </w:tc>
      </w:tr>
      <w:tr w:rsidR="00293A6C" w:rsidRPr="00FC55D2" w14:paraId="68A25D4D" w14:textId="77777777" w:rsidTr="00293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dxa"/>
            <w:shd w:val="clear" w:color="auto" w:fill="auto"/>
          </w:tcPr>
          <w:p w14:paraId="738A4C90" w14:textId="77777777" w:rsidR="009A4126" w:rsidRPr="00FC55D2" w:rsidRDefault="009A4126" w:rsidP="00922FC5">
            <w:pPr>
              <w:spacing w:line="480" w:lineRule="auto"/>
              <w:jc w:val="both"/>
              <w:rPr>
                <w:rFonts w:ascii="Arial" w:hAnsi="Arial" w:cs="Arial"/>
                <w:sz w:val="16"/>
                <w:szCs w:val="16"/>
              </w:rPr>
            </w:pPr>
            <w:r w:rsidRPr="00FC55D2">
              <w:rPr>
                <w:rFonts w:ascii="Arial" w:hAnsi="Arial" w:cs="Arial"/>
                <w:sz w:val="16"/>
                <w:szCs w:val="16"/>
              </w:rPr>
              <w:t>C8, A7, B12</w:t>
            </w:r>
          </w:p>
        </w:tc>
        <w:tc>
          <w:tcPr>
            <w:tcW w:w="308" w:type="dxa"/>
            <w:shd w:val="clear" w:color="auto" w:fill="auto"/>
          </w:tcPr>
          <w:p w14:paraId="1BA83756"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36" w:type="dxa"/>
            <w:shd w:val="clear" w:color="auto" w:fill="auto"/>
          </w:tcPr>
          <w:p w14:paraId="1F5F9E02"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67" w:type="dxa"/>
            <w:shd w:val="clear" w:color="auto" w:fill="auto"/>
          </w:tcPr>
          <w:p w14:paraId="323D7C4F"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7BD6A46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746E3572"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4305466F"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3C6BD915"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1073BC6B"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43101AC8"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5BE03030"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42A590DB"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64B2FF3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41F5E322"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11175663"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4759CEEF"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5B647EC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3960EEA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56B0BD15"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5552B9D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61B0B743"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537361B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0C78F4FD"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175B4E47"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24D6AE65"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5AED1FCC"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84" w:type="dxa"/>
            <w:shd w:val="clear" w:color="auto" w:fill="auto"/>
          </w:tcPr>
          <w:p w14:paraId="55E9BD69"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031438FE"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shd w:val="clear" w:color="auto" w:fill="auto"/>
          </w:tcPr>
          <w:p w14:paraId="39DB2591"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99.9</w:t>
            </w:r>
          </w:p>
        </w:tc>
        <w:tc>
          <w:tcPr>
            <w:tcW w:w="1558" w:type="dxa"/>
            <w:shd w:val="clear" w:color="auto" w:fill="auto"/>
          </w:tcPr>
          <w:p w14:paraId="273CF57C"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proofErr w:type="spellStart"/>
            <w:r w:rsidRPr="00FC55D2">
              <w:rPr>
                <w:rFonts w:ascii="Arial" w:hAnsi="Arial" w:cs="Arial"/>
                <w:i/>
                <w:sz w:val="16"/>
                <w:szCs w:val="16"/>
              </w:rPr>
              <w:t>Paenibacillus</w:t>
            </w:r>
            <w:proofErr w:type="spellEnd"/>
            <w:r w:rsidRPr="00FC55D2">
              <w:rPr>
                <w:rFonts w:ascii="Arial" w:hAnsi="Arial" w:cs="Arial"/>
                <w:i/>
                <w:sz w:val="16"/>
                <w:szCs w:val="16"/>
              </w:rPr>
              <w:t xml:space="preserve"> </w:t>
            </w:r>
            <w:proofErr w:type="spellStart"/>
            <w:r w:rsidRPr="00FC55D2">
              <w:rPr>
                <w:rFonts w:ascii="Arial" w:hAnsi="Arial" w:cs="Arial"/>
                <w:i/>
                <w:sz w:val="16"/>
                <w:szCs w:val="16"/>
              </w:rPr>
              <w:t>polymyxa</w:t>
            </w:r>
            <w:proofErr w:type="spellEnd"/>
          </w:p>
        </w:tc>
      </w:tr>
      <w:tr w:rsidR="006D00F7" w:rsidRPr="00FC55D2" w14:paraId="3DFE40C5" w14:textId="77777777" w:rsidTr="00293A6C">
        <w:tc>
          <w:tcPr>
            <w:cnfStyle w:val="001000000000" w:firstRow="0" w:lastRow="0" w:firstColumn="1" w:lastColumn="0" w:oddVBand="0" w:evenVBand="0" w:oddHBand="0" w:evenHBand="0" w:firstRowFirstColumn="0" w:firstRowLastColumn="0" w:lastRowFirstColumn="0" w:lastRowLastColumn="0"/>
            <w:tcW w:w="607" w:type="dxa"/>
            <w:shd w:val="clear" w:color="auto" w:fill="auto"/>
          </w:tcPr>
          <w:p w14:paraId="37E24936" w14:textId="77777777" w:rsidR="009A4126" w:rsidRPr="00FC55D2" w:rsidRDefault="009A4126" w:rsidP="00922FC5">
            <w:pPr>
              <w:contextualSpacing/>
              <w:jc w:val="both"/>
              <w:rPr>
                <w:rFonts w:ascii="Arial" w:hAnsi="Arial" w:cs="Arial"/>
                <w:sz w:val="16"/>
                <w:szCs w:val="16"/>
              </w:rPr>
            </w:pPr>
            <w:r w:rsidRPr="00FC55D2">
              <w:rPr>
                <w:rFonts w:ascii="Arial" w:hAnsi="Arial" w:cs="Arial"/>
                <w:sz w:val="16"/>
                <w:szCs w:val="16"/>
              </w:rPr>
              <w:t>C4, A1, B6</w:t>
            </w:r>
          </w:p>
        </w:tc>
        <w:tc>
          <w:tcPr>
            <w:tcW w:w="308" w:type="dxa"/>
            <w:shd w:val="clear" w:color="auto" w:fill="auto"/>
          </w:tcPr>
          <w:p w14:paraId="7F1F6837"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36" w:type="dxa"/>
            <w:shd w:val="clear" w:color="auto" w:fill="auto"/>
          </w:tcPr>
          <w:p w14:paraId="72EE10BF"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67" w:type="dxa"/>
            <w:shd w:val="clear" w:color="auto" w:fill="auto"/>
          </w:tcPr>
          <w:p w14:paraId="32055883"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12216D70"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27701EFB"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13614CFE"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16D35C88"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45917FFC"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79E7B152"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488AA1A2"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09678DA9"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64B23CA5"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24CD853F"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7B7D8CA9"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1A8A3A3D"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43E8FFF7"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5CB07D59"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79C59845"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2C6F8036"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4C9655E2"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3E6996C5"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73C9CAF8"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1F7C9045"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08B76A6E"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7F7ABCBF"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shd w:val="clear" w:color="auto" w:fill="auto"/>
          </w:tcPr>
          <w:p w14:paraId="22A7F3D5"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shd w:val="clear" w:color="auto" w:fill="auto"/>
          </w:tcPr>
          <w:p w14:paraId="20420361"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shd w:val="clear" w:color="auto" w:fill="auto"/>
          </w:tcPr>
          <w:p w14:paraId="1F886147"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92.5</w:t>
            </w:r>
          </w:p>
        </w:tc>
        <w:tc>
          <w:tcPr>
            <w:tcW w:w="1558" w:type="dxa"/>
            <w:shd w:val="clear" w:color="auto" w:fill="auto"/>
          </w:tcPr>
          <w:p w14:paraId="4E08ADBE"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Staphylococcus epidermidis</w:t>
            </w:r>
          </w:p>
        </w:tc>
      </w:tr>
    </w:tbl>
    <w:p w14:paraId="5E078AE0" w14:textId="77777777" w:rsidR="009A4126" w:rsidRPr="00FC55D2" w:rsidRDefault="009A4126" w:rsidP="009A4126">
      <w:pPr>
        <w:pStyle w:val="NormalWeb"/>
        <w:contextualSpacing/>
        <w:jc w:val="both"/>
        <w:rPr>
          <w:color w:val="0D0D0D" w:themeColor="text1" w:themeTint="F2"/>
        </w:rPr>
      </w:pPr>
      <w:r w:rsidRPr="00FC55D2">
        <w:rPr>
          <w:rFonts w:ascii="Arial" w:hAnsi="Arial" w:cs="Arial"/>
        </w:rPr>
        <w:t xml:space="preserve">*ID </w:t>
      </w:r>
      <w:r w:rsidRPr="00FC55D2">
        <w:rPr>
          <w:rFonts w:ascii="Cambria Math" w:hAnsi="Cambria Math" w:cs="Cambria Math"/>
        </w:rPr>
        <w:t>₌</w:t>
      </w:r>
      <w:r w:rsidRPr="00FC55D2">
        <w:rPr>
          <w:rFonts w:ascii="Arial" w:hAnsi="Arial" w:cs="Arial"/>
        </w:rPr>
        <w:t xml:space="preserve"> identity; - </w:t>
      </w:r>
      <w:r w:rsidRPr="00FC55D2">
        <w:rPr>
          <w:rFonts w:ascii="Cambria Math" w:hAnsi="Cambria Math" w:cs="Cambria Math"/>
        </w:rPr>
        <w:t>₌</w:t>
      </w:r>
      <w:r w:rsidRPr="00FC55D2">
        <w:rPr>
          <w:rFonts w:ascii="Arial" w:hAnsi="Arial" w:cs="Arial"/>
        </w:rPr>
        <w:t xml:space="preserve"> negative; + </w:t>
      </w:r>
      <w:r w:rsidRPr="00FC55D2">
        <w:rPr>
          <w:rFonts w:ascii="Cambria Math" w:hAnsi="Cambria Math" w:cs="Cambria Math"/>
        </w:rPr>
        <w:t>₌</w:t>
      </w:r>
      <w:r w:rsidRPr="00FC55D2">
        <w:rPr>
          <w:rFonts w:ascii="Arial" w:hAnsi="Arial" w:cs="Arial"/>
        </w:rPr>
        <w:t xml:space="preserve"> positive</w:t>
      </w:r>
      <w:r w:rsidRPr="00FC55D2">
        <w:rPr>
          <w:color w:val="0D0D0D" w:themeColor="text1" w:themeTint="F2"/>
        </w:rPr>
        <w:t xml:space="preserve"> </w:t>
      </w:r>
    </w:p>
    <w:p w14:paraId="62678DE3" w14:textId="77777777" w:rsidR="009A4126" w:rsidRPr="00FC55D2" w:rsidRDefault="009A4126" w:rsidP="009A4126">
      <w:pPr>
        <w:pStyle w:val="NormalWeb"/>
        <w:spacing w:before="0" w:beforeAutospacing="0" w:after="0" w:afterAutospacing="0" w:line="360" w:lineRule="auto"/>
        <w:jc w:val="both"/>
        <w:rPr>
          <w:rFonts w:ascii="Arial" w:hAnsi="Arial" w:cs="Arial"/>
          <w:b/>
          <w:sz w:val="22"/>
          <w:szCs w:val="22"/>
        </w:rPr>
      </w:pPr>
      <w:r w:rsidRPr="00FC55D2">
        <w:rPr>
          <w:rFonts w:ascii="Arial" w:hAnsi="Arial" w:cs="Arial"/>
          <w:b/>
          <w:color w:val="0D0D0D" w:themeColor="text1" w:themeTint="F2"/>
          <w:sz w:val="22"/>
          <w:szCs w:val="22"/>
        </w:rPr>
        <w:t xml:space="preserve">3.4 </w:t>
      </w:r>
      <w:r w:rsidRPr="00FC55D2">
        <w:rPr>
          <w:rFonts w:ascii="Arial" w:hAnsi="Arial" w:cs="Arial"/>
          <w:b/>
          <w:sz w:val="22"/>
          <w:szCs w:val="22"/>
        </w:rPr>
        <w:t>Distribution and frequency of occurrence of the total culturable heterotrophic bacteria across the soils</w:t>
      </w:r>
    </w:p>
    <w:p w14:paraId="39BB277D" w14:textId="77777777" w:rsidR="009A4126" w:rsidRPr="00FC55D2" w:rsidRDefault="009A4126" w:rsidP="009A4126">
      <w:pPr>
        <w:pStyle w:val="NormalWeb"/>
        <w:spacing w:before="0" w:beforeAutospacing="0" w:after="0" w:afterAutospacing="0" w:line="360" w:lineRule="auto"/>
        <w:jc w:val="both"/>
        <w:rPr>
          <w:rFonts w:ascii="Arial" w:hAnsi="Arial" w:cs="Arial"/>
          <w:b/>
          <w:sz w:val="20"/>
          <w:szCs w:val="20"/>
        </w:rPr>
      </w:pPr>
      <w:r w:rsidRPr="00FC55D2">
        <w:rPr>
          <w:rFonts w:ascii="Arial" w:hAnsi="Arial" w:cs="Arial"/>
          <w:noProof/>
          <w:sz w:val="20"/>
          <w:szCs w:val="20"/>
        </w:rPr>
        <w:drawing>
          <wp:inline distT="0" distB="0" distL="0" distR="0" wp14:anchorId="07BD6561" wp14:editId="07E6EA0C">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E6C112" w14:textId="77777777" w:rsidR="009A4126" w:rsidRPr="00FC55D2" w:rsidRDefault="009A4126" w:rsidP="009A4126">
      <w:pPr>
        <w:spacing w:line="480" w:lineRule="auto"/>
        <w:jc w:val="both"/>
        <w:rPr>
          <w:rFonts w:ascii="Arial" w:hAnsi="Arial" w:cs="Arial"/>
        </w:rPr>
      </w:pPr>
      <w:r w:rsidRPr="00FC55D2">
        <w:rPr>
          <w:rFonts w:ascii="Arial" w:hAnsi="Arial" w:cs="Arial"/>
        </w:rPr>
        <w:t>Fig.1. Frequency of occurrence of bacterial species across soil samples</w:t>
      </w:r>
    </w:p>
    <w:p w14:paraId="3E89C780" w14:textId="77777777" w:rsidR="009A4126" w:rsidRPr="00FC55D2" w:rsidRDefault="009A4126" w:rsidP="009A4126">
      <w:pPr>
        <w:spacing w:line="480" w:lineRule="auto"/>
        <w:jc w:val="both"/>
        <w:rPr>
          <w:rFonts w:ascii="Times New Roman" w:hAnsi="Times New Roman"/>
          <w:sz w:val="24"/>
          <w:szCs w:val="24"/>
        </w:rPr>
      </w:pPr>
      <w:r w:rsidRPr="00FC55D2">
        <w:rPr>
          <w:rFonts w:ascii="Arial" w:hAnsi="Arial" w:cs="Arial"/>
        </w:rPr>
        <w:t xml:space="preserve">Figure 1 shows the frequency of occurrence of the bacterial species across the </w:t>
      </w:r>
      <w:proofErr w:type="spellStart"/>
      <w:r w:rsidRPr="00FC55D2">
        <w:rPr>
          <w:rFonts w:ascii="Arial" w:hAnsi="Arial" w:cs="Arial"/>
        </w:rPr>
        <w:t>glufosinate</w:t>
      </w:r>
      <w:proofErr w:type="spellEnd"/>
      <w:r w:rsidRPr="00FC55D2">
        <w:rPr>
          <w:rFonts w:ascii="Arial" w:hAnsi="Arial" w:cs="Arial"/>
        </w:rPr>
        <w:t xml:space="preserve"> ammonium contaminated soil samples. The frequency across the </w:t>
      </w:r>
      <w:proofErr w:type="spellStart"/>
      <w:r w:rsidRPr="00FC55D2">
        <w:rPr>
          <w:rFonts w:ascii="Arial" w:hAnsi="Arial" w:cs="Arial"/>
        </w:rPr>
        <w:t>glufosinate</w:t>
      </w:r>
      <w:proofErr w:type="spellEnd"/>
      <w:r w:rsidRPr="00FC55D2">
        <w:rPr>
          <w:rFonts w:ascii="Arial" w:hAnsi="Arial" w:cs="Arial"/>
        </w:rPr>
        <w:t xml:space="preserve"> ammonium contaminated soil samples were </w:t>
      </w:r>
      <w:r w:rsidRPr="00FC55D2">
        <w:rPr>
          <w:rFonts w:ascii="Arial" w:hAnsi="Arial" w:cs="Arial"/>
          <w:i/>
        </w:rPr>
        <w:t>Enterobacter</w:t>
      </w:r>
      <w:r w:rsidRPr="00FC55D2">
        <w:rPr>
          <w:rFonts w:ascii="Arial" w:hAnsi="Arial" w:cs="Arial"/>
        </w:rPr>
        <w:t xml:space="preserve"> spp. (6%), </w:t>
      </w:r>
      <w:proofErr w:type="spellStart"/>
      <w:r w:rsidRPr="00FC55D2">
        <w:rPr>
          <w:rFonts w:ascii="Arial" w:hAnsi="Arial" w:cs="Arial"/>
          <w:i/>
        </w:rPr>
        <w:t>Paenibacillus</w:t>
      </w:r>
      <w:proofErr w:type="spellEnd"/>
      <w:r w:rsidRPr="00FC55D2">
        <w:rPr>
          <w:rFonts w:ascii="Arial" w:hAnsi="Arial" w:cs="Arial"/>
          <w:i/>
        </w:rPr>
        <w:t xml:space="preserve"> </w:t>
      </w:r>
      <w:proofErr w:type="spellStart"/>
      <w:r w:rsidRPr="00FC55D2">
        <w:rPr>
          <w:rFonts w:ascii="Arial" w:hAnsi="Arial" w:cs="Arial"/>
          <w:i/>
        </w:rPr>
        <w:t>polymyxa</w:t>
      </w:r>
      <w:proofErr w:type="spellEnd"/>
      <w:r w:rsidRPr="00FC55D2">
        <w:rPr>
          <w:rFonts w:ascii="Arial" w:hAnsi="Arial" w:cs="Arial"/>
        </w:rPr>
        <w:t xml:space="preserve"> (10%), </w:t>
      </w:r>
      <w:r w:rsidRPr="00FC55D2">
        <w:rPr>
          <w:rFonts w:ascii="Arial" w:hAnsi="Arial" w:cs="Arial"/>
          <w:i/>
        </w:rPr>
        <w:t>Pseudomonas aeruginosa</w:t>
      </w:r>
      <w:r w:rsidRPr="00FC55D2">
        <w:rPr>
          <w:rFonts w:ascii="Arial" w:hAnsi="Arial" w:cs="Arial"/>
        </w:rPr>
        <w:t xml:space="preserve"> (12%), </w:t>
      </w:r>
      <w:r w:rsidRPr="00FC55D2">
        <w:rPr>
          <w:rFonts w:ascii="Arial" w:hAnsi="Arial" w:cs="Arial"/>
          <w:i/>
        </w:rPr>
        <w:t>Corynebacterium</w:t>
      </w:r>
      <w:r w:rsidRPr="00FC55D2">
        <w:rPr>
          <w:rFonts w:ascii="Arial" w:hAnsi="Arial" w:cs="Arial"/>
        </w:rPr>
        <w:t xml:space="preserve"> </w:t>
      </w:r>
      <w:proofErr w:type="spellStart"/>
      <w:r w:rsidRPr="00FC55D2">
        <w:rPr>
          <w:rFonts w:ascii="Arial" w:hAnsi="Arial" w:cs="Arial"/>
          <w:i/>
        </w:rPr>
        <w:t>capsium</w:t>
      </w:r>
      <w:proofErr w:type="spellEnd"/>
      <w:r w:rsidRPr="00FC55D2">
        <w:rPr>
          <w:rFonts w:ascii="Arial" w:hAnsi="Arial" w:cs="Arial"/>
        </w:rPr>
        <w:t xml:space="preserve"> (8%), </w:t>
      </w:r>
      <w:r w:rsidRPr="00FC55D2">
        <w:rPr>
          <w:rFonts w:ascii="Arial" w:hAnsi="Arial" w:cs="Arial"/>
          <w:i/>
        </w:rPr>
        <w:t xml:space="preserve">Bacillus </w:t>
      </w:r>
      <w:proofErr w:type="spellStart"/>
      <w:r w:rsidRPr="00FC55D2">
        <w:rPr>
          <w:rFonts w:ascii="Arial" w:hAnsi="Arial" w:cs="Arial"/>
          <w:i/>
        </w:rPr>
        <w:t>aerius</w:t>
      </w:r>
      <w:proofErr w:type="spellEnd"/>
      <w:r w:rsidRPr="00FC55D2">
        <w:rPr>
          <w:rFonts w:ascii="Arial" w:hAnsi="Arial" w:cs="Arial"/>
          <w:i/>
        </w:rPr>
        <w:t xml:space="preserve"> </w:t>
      </w:r>
      <w:r w:rsidRPr="00FC55D2">
        <w:rPr>
          <w:rFonts w:ascii="Arial" w:hAnsi="Arial" w:cs="Arial"/>
        </w:rPr>
        <w:t>(12%),</w:t>
      </w:r>
      <w:r w:rsidRPr="00FC55D2">
        <w:rPr>
          <w:rFonts w:ascii="Arial" w:hAnsi="Arial" w:cs="Arial"/>
          <w:i/>
        </w:rPr>
        <w:t xml:space="preserve"> Bacillus subtilis</w:t>
      </w:r>
      <w:r w:rsidRPr="00FC55D2">
        <w:rPr>
          <w:rFonts w:ascii="Arial" w:hAnsi="Arial" w:cs="Arial"/>
        </w:rPr>
        <w:t xml:space="preserve"> (14%), </w:t>
      </w:r>
      <w:r w:rsidRPr="00FC55D2">
        <w:rPr>
          <w:rFonts w:ascii="Arial" w:hAnsi="Arial" w:cs="Arial"/>
          <w:i/>
        </w:rPr>
        <w:t>Bacillus cereus</w:t>
      </w:r>
      <w:r w:rsidRPr="00FC55D2">
        <w:rPr>
          <w:rFonts w:ascii="Arial" w:hAnsi="Arial" w:cs="Arial"/>
        </w:rPr>
        <w:t xml:space="preserve"> (14%), </w:t>
      </w:r>
      <w:r w:rsidRPr="00FC55D2">
        <w:rPr>
          <w:rFonts w:ascii="Arial" w:hAnsi="Arial" w:cs="Arial"/>
          <w:i/>
        </w:rPr>
        <w:t>Klebsiella</w:t>
      </w:r>
      <w:r w:rsidRPr="00FC55D2">
        <w:rPr>
          <w:rFonts w:ascii="Arial" w:hAnsi="Arial" w:cs="Arial"/>
        </w:rPr>
        <w:t xml:space="preserve"> </w:t>
      </w:r>
      <w:r w:rsidRPr="00FC55D2">
        <w:rPr>
          <w:rFonts w:ascii="Arial" w:hAnsi="Arial" w:cs="Arial"/>
          <w:i/>
        </w:rPr>
        <w:t>aerogenes</w:t>
      </w:r>
      <w:r w:rsidRPr="00FC55D2">
        <w:rPr>
          <w:rFonts w:ascii="Arial" w:hAnsi="Arial" w:cs="Arial"/>
        </w:rPr>
        <w:t xml:space="preserve"> (8%), </w:t>
      </w:r>
      <w:r w:rsidRPr="00FC55D2">
        <w:rPr>
          <w:rFonts w:ascii="Arial" w:hAnsi="Arial" w:cs="Arial"/>
          <w:i/>
        </w:rPr>
        <w:t xml:space="preserve">Proteus vulgaris </w:t>
      </w:r>
      <w:r w:rsidRPr="00FC55D2">
        <w:rPr>
          <w:rFonts w:ascii="Arial" w:hAnsi="Arial" w:cs="Arial"/>
        </w:rPr>
        <w:t xml:space="preserve">(8%) and </w:t>
      </w:r>
      <w:r w:rsidRPr="00FC55D2">
        <w:rPr>
          <w:rFonts w:ascii="Arial" w:hAnsi="Arial" w:cs="Arial"/>
          <w:i/>
        </w:rPr>
        <w:t>Staphylococcus epidermidis</w:t>
      </w:r>
      <w:r w:rsidRPr="00FC55D2">
        <w:rPr>
          <w:rFonts w:ascii="Arial" w:hAnsi="Arial" w:cs="Arial"/>
        </w:rPr>
        <w:t xml:space="preserve"> (8%). </w:t>
      </w:r>
      <w:r w:rsidRPr="00FC55D2">
        <w:rPr>
          <w:rFonts w:ascii="Arial" w:hAnsi="Arial" w:cs="Arial"/>
          <w:i/>
        </w:rPr>
        <w:t>Bacillus cereus</w:t>
      </w:r>
      <w:r w:rsidRPr="00FC55D2">
        <w:rPr>
          <w:rFonts w:ascii="Arial" w:hAnsi="Arial" w:cs="Arial"/>
        </w:rPr>
        <w:t xml:space="preserve"> (14%) and </w:t>
      </w:r>
      <w:r w:rsidRPr="00FC55D2">
        <w:rPr>
          <w:rFonts w:ascii="Arial" w:hAnsi="Arial" w:cs="Arial"/>
          <w:i/>
        </w:rPr>
        <w:t>Bacillus subtilis</w:t>
      </w:r>
      <w:r w:rsidRPr="00FC55D2">
        <w:rPr>
          <w:rFonts w:ascii="Arial" w:hAnsi="Arial" w:cs="Arial"/>
        </w:rPr>
        <w:t xml:space="preserve"> (14%) had the highest while </w:t>
      </w:r>
      <w:r w:rsidRPr="00FC55D2">
        <w:rPr>
          <w:rFonts w:ascii="Arial" w:hAnsi="Arial" w:cs="Arial"/>
          <w:i/>
        </w:rPr>
        <w:t>Enterobacter</w:t>
      </w:r>
      <w:r w:rsidRPr="00FC55D2">
        <w:rPr>
          <w:rFonts w:ascii="Arial" w:hAnsi="Arial" w:cs="Arial"/>
        </w:rPr>
        <w:t xml:space="preserve"> spp. (6%) had the lowest frequency across the </w:t>
      </w:r>
      <w:proofErr w:type="spellStart"/>
      <w:r w:rsidRPr="00FC55D2">
        <w:rPr>
          <w:rFonts w:ascii="Arial" w:hAnsi="Arial" w:cs="Arial"/>
        </w:rPr>
        <w:t>glufosinate</w:t>
      </w:r>
      <w:proofErr w:type="spellEnd"/>
      <w:r w:rsidRPr="00FC55D2">
        <w:rPr>
          <w:rFonts w:ascii="Arial" w:hAnsi="Arial" w:cs="Arial"/>
        </w:rPr>
        <w:t xml:space="preserve"> ammonium contaminated soil samples.</w:t>
      </w:r>
      <w:r w:rsidRPr="00FC55D2">
        <w:rPr>
          <w:rFonts w:ascii="Times New Roman" w:hAnsi="Times New Roman"/>
          <w:sz w:val="24"/>
          <w:szCs w:val="24"/>
        </w:rPr>
        <w:t xml:space="preserve"> </w:t>
      </w:r>
    </w:p>
    <w:p w14:paraId="46B74BEC" w14:textId="77777777" w:rsidR="009A4126" w:rsidRPr="00FC55D2" w:rsidRDefault="009A4126" w:rsidP="009A4126">
      <w:pPr>
        <w:pStyle w:val="NormalWeb"/>
        <w:spacing w:before="0" w:beforeAutospacing="0" w:after="0" w:afterAutospacing="0" w:line="360" w:lineRule="auto"/>
        <w:jc w:val="both"/>
        <w:rPr>
          <w:rFonts w:ascii="Arial" w:hAnsi="Arial" w:cs="Arial"/>
          <w:b/>
          <w:color w:val="0D0D0D" w:themeColor="text1" w:themeTint="F2"/>
          <w:sz w:val="22"/>
          <w:szCs w:val="22"/>
        </w:rPr>
      </w:pPr>
      <w:r w:rsidRPr="00FC55D2">
        <w:rPr>
          <w:rFonts w:ascii="Arial" w:hAnsi="Arial" w:cs="Arial"/>
          <w:b/>
          <w:color w:val="0D0D0D" w:themeColor="text1" w:themeTint="F2"/>
          <w:sz w:val="20"/>
          <w:szCs w:val="20"/>
        </w:rPr>
        <w:t xml:space="preserve"> </w:t>
      </w:r>
      <w:r w:rsidR="005D03F4" w:rsidRPr="00FC55D2">
        <w:rPr>
          <w:rFonts w:ascii="Arial" w:hAnsi="Arial" w:cs="Arial"/>
          <w:b/>
          <w:color w:val="0D0D0D" w:themeColor="text1" w:themeTint="F2"/>
          <w:sz w:val="22"/>
          <w:szCs w:val="22"/>
        </w:rPr>
        <w:t>Discussion</w:t>
      </w:r>
    </w:p>
    <w:p w14:paraId="00E86F16" w14:textId="082C42E1" w:rsidR="009A4126" w:rsidRPr="00FC55D2" w:rsidRDefault="006A55A2" w:rsidP="009A4126">
      <w:pPr>
        <w:tabs>
          <w:tab w:val="left" w:pos="420"/>
        </w:tabs>
        <w:spacing w:line="480" w:lineRule="auto"/>
        <w:jc w:val="both"/>
        <w:rPr>
          <w:rFonts w:ascii="Arial" w:hAnsi="Arial" w:cs="Arial"/>
        </w:rPr>
      </w:pPr>
      <w:bookmarkStart w:id="7" w:name="_Toc183484972"/>
      <w:r w:rsidRPr="00FC55D2">
        <w:rPr>
          <w:rFonts w:ascii="Arial" w:hAnsi="Arial" w:cs="Arial"/>
        </w:rPr>
        <w:lastRenderedPageBreak/>
        <w:t>The s</w:t>
      </w:r>
      <w:r w:rsidR="009A4126" w:rsidRPr="00FC55D2">
        <w:rPr>
          <w:rFonts w:ascii="Arial" w:hAnsi="Arial" w:cs="Arial"/>
        </w:rPr>
        <w:t xml:space="preserve">oil belonged to the sandy soil textural class with low water and nutrient retention abilities. It has been reported that </w:t>
      </w:r>
      <w:r w:rsidR="009A4126" w:rsidRPr="00FC55D2">
        <w:rPr>
          <w:rFonts w:ascii="Arial" w:eastAsia="SimSun" w:hAnsi="Arial" w:cs="Arial"/>
          <w:color w:val="0D0D0D" w:themeColor="text1" w:themeTint="F2"/>
        </w:rPr>
        <w:t>soil texture has an influence on herbicide mobility and microbial populations</w:t>
      </w:r>
      <w:r w:rsidR="009A4126" w:rsidRPr="00FC55D2">
        <w:rPr>
          <w:rFonts w:ascii="Arial" w:hAnsi="Arial" w:cs="Arial"/>
        </w:rPr>
        <w:t xml:space="preserve"> (</w:t>
      </w:r>
      <w:r w:rsidR="009A4126" w:rsidRPr="00FC55D2">
        <w:rPr>
          <w:rFonts w:ascii="Arial" w:eastAsia="SimSun" w:hAnsi="Arial" w:cs="Arial"/>
          <w:color w:val="0D0D0D" w:themeColor="text1" w:themeTint="F2"/>
        </w:rPr>
        <w:t xml:space="preserve">Vázquez </w:t>
      </w:r>
      <w:r w:rsidR="009A4126" w:rsidRPr="00FC55D2">
        <w:rPr>
          <w:rFonts w:ascii="Arial" w:eastAsia="SimSun" w:hAnsi="Arial" w:cs="Arial"/>
          <w:i/>
          <w:color w:val="0D0D0D" w:themeColor="text1" w:themeTint="F2"/>
        </w:rPr>
        <w:t>et al</w:t>
      </w:r>
      <w:r w:rsidR="009A4126" w:rsidRPr="00FC55D2">
        <w:rPr>
          <w:rFonts w:ascii="Arial" w:eastAsia="SimSun" w:hAnsi="Arial" w:cs="Arial"/>
          <w:color w:val="0D0D0D" w:themeColor="text1" w:themeTint="F2"/>
        </w:rPr>
        <w:t>., 2022</w:t>
      </w:r>
      <w:r w:rsidR="009A4126" w:rsidRPr="00FC55D2">
        <w:rPr>
          <w:rFonts w:ascii="Arial" w:hAnsi="Arial" w:cs="Arial"/>
        </w:rPr>
        <w:t xml:space="preserve">). Soil moisture content was 0.40% while pH was 6.40. The soil pH was within the neutral range of natural agrochemicals unperturbed soils. These agrochemicals have been reported to cause pH fluctuations either via an increase or </w:t>
      </w:r>
      <w:r w:rsidR="00DE62FA">
        <w:rPr>
          <w:rFonts w:ascii="Arial" w:hAnsi="Arial" w:cs="Arial"/>
        </w:rPr>
        <w:t xml:space="preserve">a </w:t>
      </w:r>
      <w:r w:rsidR="009A4126" w:rsidRPr="00FC55D2">
        <w:rPr>
          <w:rFonts w:ascii="Arial" w:hAnsi="Arial" w:cs="Arial"/>
        </w:rPr>
        <w:t>decline by several scientists (</w:t>
      </w:r>
      <w:r w:rsidR="00896802" w:rsidRPr="00FC55D2">
        <w:rPr>
          <w:rFonts w:ascii="Arial" w:eastAsia="SimSun" w:hAnsi="Arial" w:cs="Arial"/>
          <w:color w:val="0D0D0D" w:themeColor="text1" w:themeTint="F2"/>
        </w:rPr>
        <w:t>Mei</w:t>
      </w:r>
      <w:r w:rsidR="009A4126" w:rsidRPr="00FC55D2">
        <w:rPr>
          <w:rFonts w:ascii="Arial" w:hAnsi="Arial" w:cs="Arial"/>
        </w:rPr>
        <w:t xml:space="preserve"> </w:t>
      </w:r>
      <w:r w:rsidR="009A4126" w:rsidRPr="00FC55D2">
        <w:rPr>
          <w:rFonts w:ascii="Arial" w:hAnsi="Arial" w:cs="Arial"/>
          <w:i/>
        </w:rPr>
        <w:t>et al</w:t>
      </w:r>
      <w:r w:rsidR="00896802" w:rsidRPr="00FC55D2">
        <w:rPr>
          <w:rFonts w:ascii="Arial" w:hAnsi="Arial" w:cs="Arial"/>
        </w:rPr>
        <w:t>., 2024</w:t>
      </w:r>
      <w:r w:rsidR="009A4126" w:rsidRPr="00FC55D2">
        <w:rPr>
          <w:rFonts w:ascii="Arial" w:hAnsi="Arial" w:cs="Arial"/>
        </w:rPr>
        <w:t>). Polycyclic aromatic hydrocarbons and total petroleum hydrocarbons were low and below detectable confines (&lt;0.001 mg/kg)</w:t>
      </w:r>
      <w:r w:rsidR="00DE62FA">
        <w:rPr>
          <w:rFonts w:ascii="Arial" w:hAnsi="Arial" w:cs="Arial"/>
        </w:rPr>
        <w:t>,</w:t>
      </w:r>
      <w:r w:rsidR="009A4126" w:rsidRPr="00FC55D2">
        <w:rPr>
          <w:rFonts w:ascii="Arial" w:hAnsi="Arial" w:cs="Arial"/>
        </w:rPr>
        <w:t xml:space="preserve"> suggesting their probable absence in the soil. Our findings were similar to those of </w:t>
      </w:r>
      <w:proofErr w:type="spellStart"/>
      <w:r w:rsidR="009A4126" w:rsidRPr="00FC55D2">
        <w:rPr>
          <w:rFonts w:ascii="Arial" w:hAnsi="Arial" w:cs="Arial"/>
        </w:rPr>
        <w:t>Okorhi</w:t>
      </w:r>
      <w:proofErr w:type="spellEnd"/>
      <w:r w:rsidR="009A4126" w:rsidRPr="00FC55D2">
        <w:rPr>
          <w:rFonts w:ascii="Arial" w:hAnsi="Arial" w:cs="Arial"/>
        </w:rPr>
        <w:t xml:space="preserve"> and </w:t>
      </w:r>
      <w:proofErr w:type="spellStart"/>
      <w:r w:rsidR="009A4126" w:rsidRPr="00FC55D2">
        <w:rPr>
          <w:rFonts w:ascii="Arial" w:hAnsi="Arial" w:cs="Arial"/>
        </w:rPr>
        <w:t>Tudararo-Ahero</w:t>
      </w:r>
      <w:r w:rsidR="009A4126" w:rsidRPr="00FC55D2">
        <w:rPr>
          <w:rFonts w:ascii="Arial" w:eastAsia="SimSun" w:hAnsi="Arial" w:cs="Arial"/>
          <w:color w:val="0D0D0D" w:themeColor="text1" w:themeTint="F2"/>
        </w:rPr>
        <w:t>b</w:t>
      </w:r>
      <w:r w:rsidR="009A4126" w:rsidRPr="00FC55D2">
        <w:rPr>
          <w:rFonts w:ascii="Arial" w:hAnsi="Arial" w:cs="Arial"/>
        </w:rPr>
        <w:t>o</w:t>
      </w:r>
      <w:proofErr w:type="spellEnd"/>
      <w:r w:rsidR="009A4126" w:rsidRPr="00FC55D2">
        <w:rPr>
          <w:rFonts w:ascii="Arial" w:hAnsi="Arial" w:cs="Arial"/>
        </w:rPr>
        <w:t xml:space="preserve"> (2023), they stated that hydrocarbons are not present in pristine farmyard soils.  </w:t>
      </w:r>
    </w:p>
    <w:p w14:paraId="6FFA4401" w14:textId="37FB8D7D" w:rsidR="009A4126" w:rsidRPr="00FC55D2" w:rsidRDefault="009A4126" w:rsidP="009A4126">
      <w:pPr>
        <w:tabs>
          <w:tab w:val="left" w:pos="420"/>
        </w:tabs>
        <w:spacing w:line="480" w:lineRule="auto"/>
        <w:jc w:val="both"/>
        <w:rPr>
          <w:rFonts w:ascii="Arial" w:hAnsi="Arial" w:cs="Arial"/>
        </w:rPr>
      </w:pPr>
      <w:r w:rsidRPr="00FC55D2">
        <w:rPr>
          <w:rFonts w:ascii="Arial" w:hAnsi="Arial" w:cs="Arial"/>
        </w:rPr>
        <w:t xml:space="preserve">Nitrates and sulphates present in the pristine soil were 15.45 mg/kg and 10.58 mg/kg. Heavy metal results from the study showed lead and cadmium contents in soil were 6.42 mg/kg and 0.10 mg/kg. The concentrations of heavy metals like arsenic (&lt;0.01 mg/kg) and mercury (&lt;0.01 mg/kg) in the soil were small and lower than lethal borders for </w:t>
      </w:r>
      <w:r w:rsidR="00DE62FA">
        <w:rPr>
          <w:rFonts w:ascii="Arial" w:hAnsi="Arial" w:cs="Arial"/>
        </w:rPr>
        <w:t xml:space="preserve">the </w:t>
      </w:r>
      <w:r w:rsidRPr="00FC55D2">
        <w:rPr>
          <w:rFonts w:ascii="Arial" w:hAnsi="Arial" w:cs="Arial"/>
        </w:rPr>
        <w:t xml:space="preserve">majority of cultivated and natural systems. These trace levels may not likely cause direct damage to soil wellbeing, crop development, or microbes. Comparable outcomes have been re-counted by other scientists (Zhang </w:t>
      </w:r>
      <w:r w:rsidRPr="00FC55D2">
        <w:rPr>
          <w:rFonts w:ascii="Arial" w:hAnsi="Arial" w:cs="Arial"/>
          <w:i/>
        </w:rPr>
        <w:t>et al</w:t>
      </w:r>
      <w:r w:rsidRPr="00FC55D2">
        <w:rPr>
          <w:rFonts w:ascii="Arial" w:hAnsi="Arial" w:cs="Arial"/>
        </w:rPr>
        <w:t>., 2022).</w:t>
      </w:r>
    </w:p>
    <w:p w14:paraId="6F0FD039" w14:textId="321A5A00" w:rsidR="009A4126" w:rsidRPr="00FC55D2" w:rsidRDefault="009A4126" w:rsidP="009A4126">
      <w:pPr>
        <w:tabs>
          <w:tab w:val="left" w:pos="420"/>
        </w:tabs>
        <w:spacing w:line="480" w:lineRule="auto"/>
        <w:jc w:val="both"/>
        <w:rPr>
          <w:rFonts w:ascii="Arial" w:eastAsia="SimSun" w:hAnsi="Arial" w:cs="Arial"/>
          <w:color w:val="0D0D0D" w:themeColor="text1" w:themeTint="F2"/>
        </w:rPr>
      </w:pPr>
      <w:r w:rsidRPr="00FC55D2">
        <w:rPr>
          <w:rFonts w:ascii="Arial" w:hAnsi="Arial" w:cs="Arial"/>
        </w:rPr>
        <w:t>Microscopic population analysis showed robust computations of bacteria and fungi in colony</w:t>
      </w:r>
      <w:r w:rsidR="00DE62FA">
        <w:rPr>
          <w:rFonts w:ascii="Arial" w:hAnsi="Arial" w:cs="Arial"/>
        </w:rPr>
        <w:t>-</w:t>
      </w:r>
      <w:r w:rsidRPr="00FC55D2">
        <w:rPr>
          <w:rFonts w:ascii="Arial" w:hAnsi="Arial" w:cs="Arial"/>
        </w:rPr>
        <w:t>forming units (CFU/g) in the fresh soil. The total culturable heterotrophic bacterial counts were 2.00 × 10⁴ CFU/g while fungal counts were 1.65 × 10⁴ CFU/g. These values point out a varied and dynamic microbial community in the untreated soil. Dif</w:t>
      </w:r>
      <w:r w:rsidR="00896802" w:rsidRPr="00FC55D2">
        <w:rPr>
          <w:rFonts w:ascii="Arial" w:hAnsi="Arial" w:cs="Arial"/>
        </w:rPr>
        <w:t xml:space="preserve">ferent researchers like Bhardwaj </w:t>
      </w:r>
      <w:r w:rsidR="00896802" w:rsidRPr="00FC55D2">
        <w:rPr>
          <w:rFonts w:ascii="Arial" w:hAnsi="Arial" w:cs="Arial"/>
          <w:i/>
        </w:rPr>
        <w:t>et al</w:t>
      </w:r>
      <w:r w:rsidR="00896802" w:rsidRPr="00FC55D2">
        <w:rPr>
          <w:rFonts w:ascii="Arial" w:hAnsi="Arial" w:cs="Arial"/>
        </w:rPr>
        <w:t xml:space="preserve">. (2024), </w:t>
      </w:r>
      <w:r w:rsidR="007334F7" w:rsidRPr="00FC55D2">
        <w:rPr>
          <w:rFonts w:ascii="Arial" w:hAnsi="Arial" w:cs="Arial"/>
        </w:rPr>
        <w:t xml:space="preserve">Sushma </w:t>
      </w:r>
      <w:r w:rsidR="007334F7" w:rsidRPr="00FC55D2">
        <w:rPr>
          <w:rFonts w:ascii="Arial" w:hAnsi="Arial" w:cs="Arial"/>
          <w:i/>
        </w:rPr>
        <w:t>et al</w:t>
      </w:r>
      <w:r w:rsidR="007334F7" w:rsidRPr="00FC55D2">
        <w:rPr>
          <w:rFonts w:ascii="Arial" w:hAnsi="Arial" w:cs="Arial"/>
        </w:rPr>
        <w:t xml:space="preserve">. (2024), </w:t>
      </w:r>
      <w:r w:rsidR="00896802" w:rsidRPr="00FC55D2">
        <w:rPr>
          <w:rFonts w:ascii="Arial" w:hAnsi="Arial" w:cs="Arial"/>
        </w:rPr>
        <w:t>Abd-Rahman</w:t>
      </w:r>
      <w:r w:rsidRPr="00FC55D2">
        <w:rPr>
          <w:rFonts w:ascii="Arial" w:hAnsi="Arial" w:cs="Arial"/>
        </w:rPr>
        <w:t xml:space="preserve"> </w:t>
      </w:r>
      <w:r w:rsidRPr="00FC55D2">
        <w:rPr>
          <w:rFonts w:ascii="Arial" w:hAnsi="Arial" w:cs="Arial"/>
          <w:i/>
        </w:rPr>
        <w:t>et al</w:t>
      </w:r>
      <w:r w:rsidR="00896802" w:rsidRPr="00FC55D2">
        <w:rPr>
          <w:rFonts w:ascii="Arial" w:hAnsi="Arial" w:cs="Arial"/>
        </w:rPr>
        <w:t>. (2025)</w:t>
      </w:r>
      <w:r w:rsidRPr="00FC55D2">
        <w:rPr>
          <w:rFonts w:ascii="Arial" w:hAnsi="Arial" w:cs="Arial"/>
        </w:rPr>
        <w:t xml:space="preserve">, and </w:t>
      </w:r>
      <w:r w:rsidR="00896802" w:rsidRPr="00FC55D2">
        <w:rPr>
          <w:rFonts w:ascii="Arial" w:eastAsia="SimSun" w:hAnsi="Arial" w:cs="Arial"/>
          <w:color w:val="0D0D0D" w:themeColor="text1" w:themeTint="F2"/>
          <w:lang w:val="de-CH"/>
        </w:rPr>
        <w:t>Naik</w:t>
      </w:r>
      <w:r w:rsidRPr="00FC55D2">
        <w:rPr>
          <w:rFonts w:ascii="Arial" w:hAnsi="Arial" w:cs="Arial"/>
        </w:rPr>
        <w:t xml:space="preserve"> </w:t>
      </w:r>
      <w:r w:rsidRPr="00FC55D2">
        <w:rPr>
          <w:rFonts w:ascii="Arial" w:hAnsi="Arial" w:cs="Arial"/>
          <w:i/>
        </w:rPr>
        <w:t>et al</w:t>
      </w:r>
      <w:r w:rsidR="007334F7" w:rsidRPr="00FC55D2">
        <w:rPr>
          <w:rFonts w:ascii="Arial" w:hAnsi="Arial" w:cs="Arial"/>
        </w:rPr>
        <w:t>. (2025</w:t>
      </w:r>
      <w:r w:rsidRPr="00FC55D2">
        <w:rPr>
          <w:rFonts w:ascii="Arial" w:hAnsi="Arial" w:cs="Arial"/>
        </w:rPr>
        <w:t>) observed similar results.</w:t>
      </w:r>
      <w:bookmarkEnd w:id="7"/>
    </w:p>
    <w:p w14:paraId="4CB41BCF" w14:textId="1D1CDB6A" w:rsidR="009A4126" w:rsidRPr="00FC55D2" w:rsidRDefault="009A4126" w:rsidP="009A4126">
      <w:pPr>
        <w:spacing w:line="480" w:lineRule="auto"/>
        <w:jc w:val="both"/>
        <w:rPr>
          <w:rFonts w:ascii="Arial" w:eastAsia="SimSun" w:hAnsi="Arial" w:cs="Arial"/>
          <w:color w:val="0D0D0D" w:themeColor="text1" w:themeTint="F2"/>
        </w:rPr>
      </w:pPr>
      <w:r w:rsidRPr="00FC55D2">
        <w:rPr>
          <w:rFonts w:ascii="Arial" w:eastAsia="SimSun" w:hAnsi="Arial" w:cs="Arial"/>
          <w:color w:val="0D0D0D" w:themeColor="text1" w:themeTint="F2"/>
        </w:rPr>
        <w:t xml:space="preserve">The results of the physicochemical and biological properties of the soil after contamination revealed a near neutral pH of 7.40 in the control sample, which increased slightly to 7.60 and 7.70 in 20mL and 60mL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 ammonium application, respectively. This aligns w</w:t>
      </w:r>
      <w:r w:rsidR="007334F7" w:rsidRPr="00FC55D2">
        <w:rPr>
          <w:rFonts w:ascii="Arial" w:eastAsia="SimSun" w:hAnsi="Arial" w:cs="Arial"/>
          <w:color w:val="0D0D0D" w:themeColor="text1" w:themeTint="F2"/>
        </w:rPr>
        <w:t xml:space="preserve">ith findings of </w:t>
      </w:r>
      <w:proofErr w:type="spellStart"/>
      <w:r w:rsidR="007334F7" w:rsidRPr="00FC55D2">
        <w:rPr>
          <w:rFonts w:ascii="Arial" w:eastAsia="SimSun" w:hAnsi="Arial" w:cs="Arial"/>
          <w:color w:val="0D0D0D" w:themeColor="text1" w:themeTint="F2"/>
        </w:rPr>
        <w:t>Bacmaga</w:t>
      </w:r>
      <w:proofErr w:type="spellEnd"/>
      <w:r w:rsidR="007334F7" w:rsidRPr="00FC55D2">
        <w:rPr>
          <w:rFonts w:ascii="Arial" w:eastAsia="SimSun" w:hAnsi="Arial" w:cs="Arial"/>
          <w:color w:val="0D0D0D" w:themeColor="text1" w:themeTint="F2"/>
        </w:rPr>
        <w:t xml:space="preserve"> </w:t>
      </w:r>
      <w:r w:rsidR="007334F7" w:rsidRPr="00FC55D2">
        <w:rPr>
          <w:rFonts w:ascii="Arial" w:eastAsia="SimSun" w:hAnsi="Arial" w:cs="Arial"/>
          <w:i/>
          <w:color w:val="0D0D0D" w:themeColor="text1" w:themeTint="F2"/>
        </w:rPr>
        <w:t>et al</w:t>
      </w:r>
      <w:r w:rsidR="007334F7" w:rsidRPr="00FC55D2">
        <w:rPr>
          <w:rFonts w:ascii="Arial" w:eastAsia="SimSun" w:hAnsi="Arial" w:cs="Arial"/>
          <w:color w:val="0D0D0D" w:themeColor="text1" w:themeTint="F2"/>
        </w:rPr>
        <w:t>. (2024</w:t>
      </w:r>
      <w:r w:rsidRPr="00FC55D2">
        <w:rPr>
          <w:rFonts w:ascii="Arial" w:eastAsia="SimSun" w:hAnsi="Arial" w:cs="Arial"/>
          <w:color w:val="0D0D0D" w:themeColor="text1" w:themeTint="F2"/>
        </w:rPr>
        <w:t xml:space="preserve">), they noted that agricultural soils typically have pH values ranging between 5.5 and 8.0, with external inputs like herbicides causing minor variations. Soil pH is a critical factor influencing nutrient solubility and availability. At pH levels near neutrality (6.5–7.5), macronutrients and micronutrients are highly soluble, supporting plant growth (Jackson and </w:t>
      </w:r>
      <w:proofErr w:type="spellStart"/>
      <w:r w:rsidRPr="00FC55D2">
        <w:rPr>
          <w:rFonts w:ascii="Arial" w:eastAsia="SimSun" w:hAnsi="Arial" w:cs="Arial"/>
          <w:color w:val="0D0D0D" w:themeColor="text1" w:themeTint="F2"/>
        </w:rPr>
        <w:t>Meetei</w:t>
      </w:r>
      <w:proofErr w:type="spellEnd"/>
      <w:r w:rsidRPr="00FC55D2">
        <w:rPr>
          <w:rFonts w:ascii="Arial" w:eastAsia="SimSun" w:hAnsi="Arial" w:cs="Arial"/>
          <w:color w:val="0D0D0D" w:themeColor="text1" w:themeTint="F2"/>
        </w:rPr>
        <w:t xml:space="preserve">, 2018). However, pH increases caused by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-ammonium (especially 60mL), may reduce nutrient availability over time due to possible precipitation and leaching effects (Tomas </w:t>
      </w:r>
      <w:r w:rsidRPr="00FC55D2">
        <w:rPr>
          <w:rFonts w:ascii="Arial" w:eastAsia="SimSun" w:hAnsi="Arial" w:cs="Arial"/>
          <w:i/>
          <w:color w:val="0D0D0D" w:themeColor="text1" w:themeTint="F2"/>
        </w:rPr>
        <w:t>et al</w:t>
      </w:r>
      <w:r w:rsidRPr="00FC55D2">
        <w:rPr>
          <w:rFonts w:ascii="Arial" w:eastAsia="SimSun" w:hAnsi="Arial" w:cs="Arial"/>
          <w:color w:val="0D0D0D" w:themeColor="text1" w:themeTint="F2"/>
        </w:rPr>
        <w:t>., 2023).</w:t>
      </w:r>
    </w:p>
    <w:p w14:paraId="349BACD7" w14:textId="03092D48" w:rsidR="009A4126" w:rsidRPr="00FC55D2" w:rsidRDefault="009A4126" w:rsidP="009A4126">
      <w:pPr>
        <w:spacing w:after="160" w:line="480" w:lineRule="auto"/>
        <w:jc w:val="both"/>
        <w:rPr>
          <w:rFonts w:ascii="Arial" w:eastAsia="SimSun" w:hAnsi="Arial" w:cs="Arial"/>
          <w:color w:val="0D0D0D" w:themeColor="text1" w:themeTint="F2"/>
        </w:rPr>
      </w:pPr>
      <w:r w:rsidRPr="00FC55D2">
        <w:rPr>
          <w:rFonts w:ascii="Arial" w:hAnsi="Arial" w:cs="Arial"/>
        </w:rPr>
        <w:lastRenderedPageBreak/>
        <w:t xml:space="preserve">Likewise, the treatment of soil with </w:t>
      </w:r>
      <w:proofErr w:type="spellStart"/>
      <w:r w:rsidRPr="00FC55D2">
        <w:rPr>
          <w:rFonts w:ascii="Arial" w:hAnsi="Arial" w:cs="Arial"/>
        </w:rPr>
        <w:t>glufosinate</w:t>
      </w:r>
      <w:proofErr w:type="spellEnd"/>
      <w:r w:rsidRPr="00FC55D2">
        <w:rPr>
          <w:rFonts w:ascii="Arial" w:hAnsi="Arial" w:cs="Arial"/>
        </w:rPr>
        <w:t xml:space="preserve"> ammonium increased organic carbon content, nitrates, and sulfates compared to the control. </w:t>
      </w:r>
      <w:r w:rsidRPr="00FC55D2">
        <w:rPr>
          <w:rFonts w:ascii="Arial" w:eastAsia="SimSun" w:hAnsi="Arial" w:cs="Arial"/>
          <w:color w:val="0D0D0D" w:themeColor="text1" w:themeTint="F2"/>
        </w:rPr>
        <w:t xml:space="preserve">The nitrate and sulphate levels also varied with herbicide treatment. Nitrate concentrations significantly increased in treatment A (11.83 mg/kg) compared to the control. Similarly, sulphate levels rose slightly in treatment A (1.28 mg/kg) and more in treatment B (4.2 mg/kg). </w:t>
      </w:r>
      <w:r w:rsidRPr="00FC55D2">
        <w:rPr>
          <w:rFonts w:ascii="Arial" w:hAnsi="Arial" w:cs="Arial"/>
        </w:rPr>
        <w:t xml:space="preserve">The increased carbon, nitrate and sulphate component supports the research outcomes of different researchers (Tang </w:t>
      </w:r>
      <w:r w:rsidRPr="00FC55D2">
        <w:rPr>
          <w:rFonts w:ascii="Arial" w:hAnsi="Arial" w:cs="Arial"/>
          <w:i/>
        </w:rPr>
        <w:t>et al</w:t>
      </w:r>
      <w:r w:rsidRPr="00FC55D2">
        <w:rPr>
          <w:rFonts w:ascii="Arial" w:hAnsi="Arial" w:cs="Arial"/>
        </w:rPr>
        <w:t xml:space="preserve">., 2019; Ramirez </w:t>
      </w:r>
      <w:r w:rsidRPr="00FC55D2">
        <w:rPr>
          <w:rFonts w:ascii="Arial" w:hAnsi="Arial" w:cs="Arial"/>
          <w:i/>
        </w:rPr>
        <w:t>et al</w:t>
      </w:r>
      <w:r w:rsidRPr="00FC55D2">
        <w:rPr>
          <w:rFonts w:ascii="Arial" w:hAnsi="Arial" w:cs="Arial"/>
        </w:rPr>
        <w:t xml:space="preserve">., 2023). Tang </w:t>
      </w:r>
      <w:r w:rsidRPr="00FC55D2">
        <w:rPr>
          <w:rFonts w:ascii="Arial" w:hAnsi="Arial" w:cs="Arial"/>
          <w:i/>
        </w:rPr>
        <w:t>et al</w:t>
      </w:r>
      <w:r w:rsidRPr="00FC55D2">
        <w:rPr>
          <w:rFonts w:ascii="Arial" w:hAnsi="Arial" w:cs="Arial"/>
        </w:rPr>
        <w:t xml:space="preserve">. (2019) reported that </w:t>
      </w:r>
      <w:proofErr w:type="spellStart"/>
      <w:r w:rsidRPr="00FC55D2">
        <w:rPr>
          <w:rFonts w:ascii="Arial" w:hAnsi="Arial" w:cs="Arial"/>
        </w:rPr>
        <w:t>glufosinate</w:t>
      </w:r>
      <w:proofErr w:type="spellEnd"/>
      <w:r w:rsidRPr="00FC55D2">
        <w:rPr>
          <w:rFonts w:ascii="Arial" w:hAnsi="Arial" w:cs="Arial"/>
        </w:rPr>
        <w:t xml:space="preserve"> inhibition of glutamine synthetase in vegetation will lead to a short-lived discharge of ammonium into the topsoil and air, in addition to a successive momentary oxygen depletion in the soil. Again, Ramirez </w:t>
      </w:r>
      <w:r w:rsidRPr="00FC55D2">
        <w:rPr>
          <w:rFonts w:ascii="Arial" w:hAnsi="Arial" w:cs="Arial"/>
          <w:i/>
        </w:rPr>
        <w:t>et al</w:t>
      </w:r>
      <w:r w:rsidRPr="00FC55D2">
        <w:rPr>
          <w:rFonts w:ascii="Arial" w:hAnsi="Arial" w:cs="Arial"/>
        </w:rPr>
        <w:t>. (2023) stated that microorganisms use various types of biochemical reactions to break down these toxicants, using them as a source of carbon, nitrogen, phosphorus or energy, and that dige</w:t>
      </w:r>
      <w:bookmarkStart w:id="8" w:name="_GoBack"/>
      <w:bookmarkEnd w:id="8"/>
      <w:r w:rsidRPr="00FC55D2">
        <w:rPr>
          <w:rFonts w:ascii="Arial" w:hAnsi="Arial" w:cs="Arial"/>
        </w:rPr>
        <w:t>stion of these pesticides result</w:t>
      </w:r>
      <w:r w:rsidR="00DE62FA">
        <w:rPr>
          <w:rFonts w:ascii="Arial" w:hAnsi="Arial" w:cs="Arial"/>
        </w:rPr>
        <w:t>s</w:t>
      </w:r>
      <w:r w:rsidRPr="00FC55D2">
        <w:rPr>
          <w:rFonts w:ascii="Arial" w:hAnsi="Arial" w:cs="Arial"/>
        </w:rPr>
        <w:t xml:space="preserve"> in the complete biodegradation of the molecules or the mineralization where the by-products are suitable for re-entry into the ecosystem.  Furthermore, </w:t>
      </w:r>
      <w:r w:rsidRPr="00FC55D2">
        <w:rPr>
          <w:rFonts w:ascii="Arial" w:eastAsia="SimSun" w:hAnsi="Arial" w:cs="Arial"/>
          <w:color w:val="0D0D0D" w:themeColor="text1" w:themeTint="F2"/>
        </w:rPr>
        <w:t>these shifts could be attributed to herbicide-induced changes in microbial activity responsible for nutrient cycling.</w:t>
      </w:r>
    </w:p>
    <w:p w14:paraId="5342895F" w14:textId="6C268AD3" w:rsidR="009A4126" w:rsidRPr="00FC55D2" w:rsidRDefault="009A4126" w:rsidP="009A4126">
      <w:pPr>
        <w:spacing w:after="160" w:line="480" w:lineRule="auto"/>
        <w:jc w:val="both"/>
        <w:rPr>
          <w:rFonts w:ascii="Arial" w:eastAsia="SimSun" w:hAnsi="Arial" w:cs="Arial"/>
          <w:color w:val="0D0D0D" w:themeColor="text1" w:themeTint="F2"/>
        </w:rPr>
      </w:pPr>
      <w:r w:rsidRPr="00FC55D2">
        <w:rPr>
          <w:rFonts w:ascii="Arial" w:eastAsia="SimSun" w:hAnsi="Arial" w:cs="Arial"/>
          <w:color w:val="0D0D0D" w:themeColor="text1" w:themeTint="F2"/>
        </w:rPr>
        <w:t xml:space="preserve">Electrical conductivity (EC), increased in the treated soils, particularly in B (1710.00 µS/cm), compared to the control (740.00 µS/cm). This suggests that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-ammonium may have influenced the mobilization of ionic solutes in the soil. The moisture content showed incremental values while a decline was observed for cation exchange capacity (CEC) across treatments. Moisture content rose from 0.40% to 8.94%, 9.98% and 11.35% in control, treatments A and B, while CEC decreased i</w:t>
      </w:r>
      <w:r w:rsidRPr="00FC55D2">
        <w:rPr>
          <w:rFonts w:ascii="Arial" w:hAnsi="Arial" w:cs="Arial"/>
        </w:rPr>
        <w:t>n the treatments</w:t>
      </w:r>
      <w:r w:rsidRPr="00FC55D2">
        <w:rPr>
          <w:rFonts w:ascii="Arial" w:eastAsia="SimSun" w:hAnsi="Arial" w:cs="Arial"/>
          <w:color w:val="0D0D0D" w:themeColor="text1" w:themeTint="F2"/>
        </w:rPr>
        <w:t xml:space="preserve">. Researchers such as </w:t>
      </w:r>
      <w:proofErr w:type="spellStart"/>
      <w:r w:rsidRPr="00FC55D2">
        <w:rPr>
          <w:rFonts w:ascii="Arial" w:eastAsia="SimSun" w:hAnsi="Arial" w:cs="Arial"/>
          <w:color w:val="0D0D0D" w:themeColor="text1" w:themeTint="F2"/>
        </w:rPr>
        <w:t>Tudararo-Aherobo</w:t>
      </w:r>
      <w:proofErr w:type="spellEnd"/>
      <w:r w:rsidRPr="00FC55D2">
        <w:rPr>
          <w:rFonts w:ascii="Arial" w:eastAsia="SimSun" w:hAnsi="Arial" w:cs="Arial"/>
          <w:color w:val="0D0D0D" w:themeColor="text1" w:themeTint="F2"/>
        </w:rPr>
        <w:t xml:space="preserve"> and </w:t>
      </w:r>
      <w:proofErr w:type="spellStart"/>
      <w:r w:rsidRPr="00FC55D2">
        <w:rPr>
          <w:rFonts w:ascii="Arial" w:eastAsia="SimSun" w:hAnsi="Arial" w:cs="Arial"/>
          <w:color w:val="0D0D0D" w:themeColor="text1" w:themeTint="F2"/>
        </w:rPr>
        <w:t>Ataikiru</w:t>
      </w:r>
      <w:proofErr w:type="spellEnd"/>
      <w:r w:rsidRPr="00FC55D2">
        <w:rPr>
          <w:rFonts w:ascii="Arial" w:eastAsia="SimSun" w:hAnsi="Arial" w:cs="Arial"/>
          <w:color w:val="0D0D0D" w:themeColor="text1" w:themeTint="F2"/>
        </w:rPr>
        <w:t xml:space="preserve"> (2020) have reported contrary results where prolonged exposure had no detrimental influence on farmyard soils in comparison with the c</w:t>
      </w:r>
      <w:r w:rsidR="007334F7" w:rsidRPr="00FC55D2">
        <w:rPr>
          <w:rFonts w:ascii="Arial" w:eastAsia="SimSun" w:hAnsi="Arial" w:cs="Arial"/>
          <w:color w:val="0D0D0D" w:themeColor="text1" w:themeTint="F2"/>
        </w:rPr>
        <w:t>ontrol soils. According to Ma</w:t>
      </w:r>
      <w:r w:rsidRPr="00FC55D2">
        <w:rPr>
          <w:rFonts w:ascii="Arial" w:eastAsia="SimSun" w:hAnsi="Arial" w:cs="Arial"/>
          <w:color w:val="0D0D0D" w:themeColor="text1" w:themeTint="F2"/>
        </w:rPr>
        <w:t xml:space="preserve"> </w:t>
      </w:r>
      <w:r w:rsidRPr="00FC55D2">
        <w:rPr>
          <w:rFonts w:ascii="Arial" w:eastAsia="SimSun" w:hAnsi="Arial" w:cs="Arial"/>
          <w:i/>
          <w:color w:val="0D0D0D" w:themeColor="text1" w:themeTint="F2"/>
        </w:rPr>
        <w:t>et al</w:t>
      </w:r>
      <w:r w:rsidR="007334F7" w:rsidRPr="00FC55D2">
        <w:rPr>
          <w:rFonts w:ascii="Arial" w:eastAsia="SimSun" w:hAnsi="Arial" w:cs="Arial"/>
          <w:color w:val="0D0D0D" w:themeColor="text1" w:themeTint="F2"/>
        </w:rPr>
        <w:t>. (2025</w:t>
      </w:r>
      <w:r w:rsidRPr="00FC55D2">
        <w:rPr>
          <w:rFonts w:ascii="Arial" w:eastAsia="SimSun" w:hAnsi="Arial" w:cs="Arial"/>
          <w:color w:val="0D0D0D" w:themeColor="text1" w:themeTint="F2"/>
        </w:rPr>
        <w:t>), enhanced moisture retention and CEC may initially support microbial activities, but long-term herbicide exposure could disrupt nutrient exchange dynamics and reduce soil fertility.</w:t>
      </w:r>
    </w:p>
    <w:p w14:paraId="3A9CF67A" w14:textId="51BD6A6A" w:rsidR="009A4126" w:rsidRPr="00FC55D2" w:rsidRDefault="009A4126" w:rsidP="009A4126">
      <w:pPr>
        <w:spacing w:after="160" w:line="480" w:lineRule="auto"/>
        <w:jc w:val="both"/>
        <w:rPr>
          <w:rFonts w:ascii="Arial" w:eastAsia="SimSun" w:hAnsi="Arial" w:cs="Arial"/>
          <w:color w:val="0D0D0D" w:themeColor="text1" w:themeTint="F2"/>
        </w:rPr>
      </w:pPr>
      <w:r w:rsidRPr="00FC55D2">
        <w:rPr>
          <w:rFonts w:ascii="Arial" w:eastAsia="SimSun" w:hAnsi="Arial" w:cs="Arial"/>
          <w:color w:val="0D0D0D" w:themeColor="text1" w:themeTint="F2"/>
        </w:rPr>
        <w:t>Microbiological analysis demonstrated a significant decline in microbial populations with herbicide application. Fungal counts also declined especially in treatment B (2.50 × 10</w:t>
      </w:r>
      <w:r w:rsidRPr="00FC55D2">
        <w:rPr>
          <w:rFonts w:ascii="Arial" w:eastAsia="SimSun" w:hAnsi="Arial" w:cs="Arial"/>
          <w:color w:val="0D0D0D" w:themeColor="text1" w:themeTint="F2"/>
          <w:vertAlign w:val="superscript"/>
        </w:rPr>
        <w:t>4</w:t>
      </w:r>
      <w:r w:rsidRPr="00FC55D2">
        <w:rPr>
          <w:rFonts w:ascii="Arial" w:eastAsia="SimSun" w:hAnsi="Arial" w:cs="Arial"/>
          <w:color w:val="0D0D0D" w:themeColor="text1" w:themeTint="F2"/>
        </w:rPr>
        <w:t xml:space="preserve"> CFU/g). These declines highlight the inhibitory effects of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-ammonium on soil microbial diversity and abundance, as also ob</w:t>
      </w:r>
      <w:r w:rsidR="007334F7" w:rsidRPr="00FC55D2">
        <w:rPr>
          <w:rFonts w:ascii="Arial" w:eastAsia="SimSun" w:hAnsi="Arial" w:cs="Arial"/>
          <w:color w:val="0D0D0D" w:themeColor="text1" w:themeTint="F2"/>
        </w:rPr>
        <w:t xml:space="preserve">served by </w:t>
      </w:r>
      <w:proofErr w:type="spellStart"/>
      <w:r w:rsidR="007334F7" w:rsidRPr="00FC55D2">
        <w:rPr>
          <w:rFonts w:ascii="Arial" w:eastAsia="SimSun" w:hAnsi="Arial" w:cs="Arial"/>
          <w:color w:val="0D0D0D" w:themeColor="text1" w:themeTint="F2"/>
        </w:rPr>
        <w:t>Medo</w:t>
      </w:r>
      <w:proofErr w:type="spellEnd"/>
      <w:r w:rsidR="007334F7" w:rsidRPr="00FC55D2">
        <w:rPr>
          <w:rFonts w:ascii="Arial" w:eastAsia="SimSun" w:hAnsi="Arial" w:cs="Arial"/>
          <w:color w:val="0D0D0D" w:themeColor="text1" w:themeTint="F2"/>
        </w:rPr>
        <w:t xml:space="preserve"> </w:t>
      </w:r>
      <w:r w:rsidR="007334F7" w:rsidRPr="00FC55D2">
        <w:rPr>
          <w:rFonts w:ascii="Arial" w:eastAsia="SimSun" w:hAnsi="Arial" w:cs="Arial"/>
          <w:i/>
          <w:color w:val="0D0D0D" w:themeColor="text1" w:themeTint="F2"/>
        </w:rPr>
        <w:t>et al</w:t>
      </w:r>
      <w:r w:rsidR="007334F7" w:rsidRPr="00FC55D2">
        <w:rPr>
          <w:rFonts w:ascii="Arial" w:eastAsia="SimSun" w:hAnsi="Arial" w:cs="Arial"/>
          <w:color w:val="0D0D0D" w:themeColor="text1" w:themeTint="F2"/>
        </w:rPr>
        <w:t>. (2021</w:t>
      </w:r>
      <w:r w:rsidR="000C72DE" w:rsidRPr="00FC55D2">
        <w:rPr>
          <w:rFonts w:ascii="Arial" w:eastAsia="SimSun" w:hAnsi="Arial" w:cs="Arial"/>
          <w:color w:val="0D0D0D" w:themeColor="text1" w:themeTint="F2"/>
        </w:rPr>
        <w:t>). Brace</w:t>
      </w:r>
      <w:r w:rsidRPr="00FC55D2">
        <w:rPr>
          <w:rFonts w:ascii="Arial" w:hAnsi="Arial" w:cs="Arial"/>
        </w:rPr>
        <w:t xml:space="preserve"> </w:t>
      </w:r>
      <w:r w:rsidRPr="00FC55D2">
        <w:rPr>
          <w:rFonts w:ascii="Arial" w:hAnsi="Arial" w:cs="Arial"/>
          <w:i/>
        </w:rPr>
        <w:t>et al</w:t>
      </w:r>
      <w:r w:rsidR="000C72DE" w:rsidRPr="00FC55D2">
        <w:rPr>
          <w:rFonts w:ascii="Arial" w:hAnsi="Arial" w:cs="Arial"/>
        </w:rPr>
        <w:t>. (2025</w:t>
      </w:r>
      <w:r w:rsidRPr="00FC55D2">
        <w:rPr>
          <w:rFonts w:ascii="Arial" w:hAnsi="Arial" w:cs="Arial"/>
        </w:rPr>
        <w:t xml:space="preserve">) reported same for fungal population. On the contrary, expending newfangled microbe sequencing expertise, studies have established that </w:t>
      </w:r>
      <w:proofErr w:type="spellStart"/>
      <w:r w:rsidRPr="00FC55D2">
        <w:rPr>
          <w:rFonts w:ascii="Arial" w:hAnsi="Arial" w:cs="Arial"/>
        </w:rPr>
        <w:t>glufosinate</w:t>
      </w:r>
      <w:proofErr w:type="spellEnd"/>
      <w:r w:rsidRPr="00FC55D2">
        <w:rPr>
          <w:rFonts w:ascii="Arial" w:hAnsi="Arial" w:cs="Arial"/>
        </w:rPr>
        <w:t xml:space="preserve"> usage had no negating effects on bacterial community including Proteobacteria, </w:t>
      </w:r>
      <w:r w:rsidRPr="00FC55D2">
        <w:rPr>
          <w:rFonts w:ascii="Arial" w:hAnsi="Arial" w:cs="Arial"/>
        </w:rPr>
        <w:lastRenderedPageBreak/>
        <w:t xml:space="preserve">Bacteroidetes, </w:t>
      </w:r>
      <w:proofErr w:type="spellStart"/>
      <w:r w:rsidRPr="00FC55D2">
        <w:rPr>
          <w:rFonts w:ascii="Arial" w:hAnsi="Arial" w:cs="Arial"/>
        </w:rPr>
        <w:t>Acidobacteria</w:t>
      </w:r>
      <w:proofErr w:type="spellEnd"/>
      <w:r w:rsidRPr="00FC55D2">
        <w:rPr>
          <w:rFonts w:ascii="Arial" w:hAnsi="Arial" w:cs="Arial"/>
        </w:rPr>
        <w:t xml:space="preserve">, </w:t>
      </w:r>
      <w:proofErr w:type="spellStart"/>
      <w:r w:rsidRPr="00FC55D2">
        <w:rPr>
          <w:rFonts w:ascii="Arial" w:hAnsi="Arial" w:cs="Arial"/>
        </w:rPr>
        <w:t>Gemmatimonadetes</w:t>
      </w:r>
      <w:proofErr w:type="spellEnd"/>
      <w:r w:rsidRPr="00FC55D2">
        <w:rPr>
          <w:rFonts w:ascii="Arial" w:hAnsi="Arial" w:cs="Arial"/>
        </w:rPr>
        <w:t xml:space="preserve"> and Actinobacteria in the rhizosphere soil (Tang </w:t>
      </w:r>
      <w:r w:rsidRPr="00FC55D2">
        <w:rPr>
          <w:rFonts w:ascii="Arial" w:hAnsi="Arial" w:cs="Arial"/>
          <w:i/>
        </w:rPr>
        <w:t>et al</w:t>
      </w:r>
      <w:r w:rsidRPr="00FC55D2">
        <w:rPr>
          <w:rFonts w:ascii="Arial" w:hAnsi="Arial" w:cs="Arial"/>
        </w:rPr>
        <w:t>., 2019; Takano and Dayan, 2020).</w:t>
      </w:r>
    </w:p>
    <w:p w14:paraId="32A86E8D" w14:textId="77777777" w:rsidR="009A4126" w:rsidRPr="00FC55D2" w:rsidRDefault="009A4126" w:rsidP="009A4126">
      <w:pPr>
        <w:spacing w:after="160" w:line="480" w:lineRule="auto"/>
        <w:jc w:val="both"/>
        <w:rPr>
          <w:rFonts w:ascii="Arial" w:eastAsia="SimSun" w:hAnsi="Arial" w:cs="Arial"/>
          <w:color w:val="0D0D0D" w:themeColor="text1" w:themeTint="F2"/>
        </w:rPr>
      </w:pPr>
      <w:r w:rsidRPr="00FC55D2">
        <w:rPr>
          <w:rFonts w:ascii="Arial" w:eastAsia="SimSun" w:hAnsi="Arial" w:cs="Arial"/>
          <w:color w:val="0D0D0D" w:themeColor="text1" w:themeTint="F2"/>
        </w:rPr>
        <w:t xml:space="preserve">The </w:t>
      </w:r>
      <w:proofErr w:type="spellStart"/>
      <w:r w:rsidRPr="00FC55D2">
        <w:rPr>
          <w:rFonts w:ascii="Arial" w:eastAsia="SimSun" w:hAnsi="Arial" w:cs="Arial"/>
          <w:color w:val="0D0D0D" w:themeColor="text1" w:themeTint="F2"/>
        </w:rPr>
        <w:t>behaviour</w:t>
      </w:r>
      <w:proofErr w:type="spellEnd"/>
      <w:r w:rsidRPr="00FC55D2">
        <w:rPr>
          <w:rFonts w:ascii="Arial" w:eastAsia="SimSun" w:hAnsi="Arial" w:cs="Arial"/>
          <w:color w:val="0D0D0D" w:themeColor="text1" w:themeTint="F2"/>
        </w:rPr>
        <w:t xml:space="preserve"> of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-ammonium in soil was analyzed based on its physicochemical properties and its impact on microbial populations.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-ammonium, a broad-spectrum herbicide, with its ammonium and </w:t>
      </w:r>
      <w:proofErr w:type="spellStart"/>
      <w:r w:rsidRPr="00FC55D2">
        <w:rPr>
          <w:rFonts w:ascii="Arial" w:eastAsia="SimSun" w:hAnsi="Arial" w:cs="Arial"/>
          <w:color w:val="0D0D0D" w:themeColor="text1" w:themeTint="F2"/>
        </w:rPr>
        <w:t>phosphinic</w:t>
      </w:r>
      <w:proofErr w:type="spellEnd"/>
      <w:r w:rsidRPr="00FC55D2">
        <w:rPr>
          <w:rFonts w:ascii="Arial" w:eastAsia="SimSun" w:hAnsi="Arial" w:cs="Arial"/>
          <w:color w:val="0D0D0D" w:themeColor="text1" w:themeTint="F2"/>
        </w:rPr>
        <w:t xml:space="preserve"> acid moiety parts responsible for its herbicidal action and environmental persistence; is relatively highly soluble in water, which has the implication of easily being absorbed into the soil, therefore affecting its bioavailability for microbial degradation and its potential to affect soil properties (</w:t>
      </w:r>
      <w:proofErr w:type="spellStart"/>
      <w:r w:rsidRPr="00FC55D2">
        <w:rPr>
          <w:rFonts w:ascii="Arial" w:hAnsi="Arial" w:cs="Arial"/>
        </w:rPr>
        <w:t>Ferramosca</w:t>
      </w:r>
      <w:proofErr w:type="spellEnd"/>
      <w:r w:rsidRPr="00FC55D2">
        <w:rPr>
          <w:rFonts w:ascii="Arial" w:hAnsi="Arial" w:cs="Arial"/>
        </w:rPr>
        <w:t xml:space="preserve"> </w:t>
      </w:r>
      <w:r w:rsidRPr="00FC55D2">
        <w:rPr>
          <w:rFonts w:ascii="Arial" w:hAnsi="Arial" w:cs="Arial"/>
          <w:i/>
        </w:rPr>
        <w:t>et al</w:t>
      </w:r>
      <w:r w:rsidRPr="00FC55D2">
        <w:rPr>
          <w:rFonts w:ascii="Arial" w:hAnsi="Arial" w:cs="Arial"/>
        </w:rPr>
        <w:t>.</w:t>
      </w:r>
      <w:r w:rsidRPr="00FC55D2">
        <w:rPr>
          <w:rFonts w:ascii="Arial" w:eastAsia="SimSun" w:hAnsi="Arial" w:cs="Arial"/>
          <w:color w:val="0D0D0D" w:themeColor="text1" w:themeTint="F2"/>
        </w:rPr>
        <w:t>, 2021).</w:t>
      </w:r>
    </w:p>
    <w:p w14:paraId="02A5F4F6" w14:textId="77777777" w:rsidR="009A4126" w:rsidRPr="00FC55D2" w:rsidRDefault="009A4126" w:rsidP="009A4126">
      <w:pPr>
        <w:spacing w:after="160" w:line="480" w:lineRule="auto"/>
        <w:jc w:val="both"/>
        <w:rPr>
          <w:rFonts w:ascii="Arial" w:eastAsia="SimSun" w:hAnsi="Arial" w:cs="Arial"/>
          <w:color w:val="0D0D0D" w:themeColor="text1" w:themeTint="F2"/>
        </w:rPr>
      </w:pPr>
      <w:r w:rsidRPr="00FC55D2">
        <w:rPr>
          <w:rFonts w:ascii="Arial" w:eastAsia="SimSun" w:hAnsi="Arial" w:cs="Arial"/>
          <w:color w:val="0D0D0D" w:themeColor="text1" w:themeTint="F2"/>
        </w:rPr>
        <w:t xml:space="preserve">According to Vinay </w:t>
      </w:r>
      <w:r w:rsidRPr="00FC55D2">
        <w:rPr>
          <w:rFonts w:ascii="Arial" w:eastAsia="SimSun" w:hAnsi="Arial" w:cs="Arial"/>
          <w:i/>
          <w:color w:val="0D0D0D" w:themeColor="text1" w:themeTint="F2"/>
        </w:rPr>
        <w:t>et al</w:t>
      </w:r>
      <w:r w:rsidRPr="00FC55D2">
        <w:rPr>
          <w:rFonts w:ascii="Arial" w:eastAsia="SimSun" w:hAnsi="Arial" w:cs="Arial"/>
          <w:color w:val="0D0D0D" w:themeColor="text1" w:themeTint="F2"/>
        </w:rPr>
        <w:t xml:space="preserve">. (2022), the chemical nature and water solubility of herbicides principally contribute to their environmental fate, persistence, and degradation in soil ecosystems. On the other hand, the study by Suchitra </w:t>
      </w:r>
      <w:r w:rsidRPr="00FC55D2">
        <w:rPr>
          <w:rFonts w:ascii="Arial" w:eastAsia="SimSun" w:hAnsi="Arial" w:cs="Arial"/>
          <w:i/>
          <w:color w:val="0D0D0D" w:themeColor="text1" w:themeTint="F2"/>
        </w:rPr>
        <w:t>et al</w:t>
      </w:r>
      <w:r w:rsidRPr="00FC55D2">
        <w:rPr>
          <w:rFonts w:ascii="Arial" w:eastAsia="SimSun" w:hAnsi="Arial" w:cs="Arial"/>
          <w:color w:val="0D0D0D" w:themeColor="text1" w:themeTint="F2"/>
        </w:rPr>
        <w:t xml:space="preserve">. (2024) focused on the fact that the chemical nature of pesticides is critical to its breakdown and removal. The water solubility of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-ammonium allows its initial spreading into the soil environment but may also reduce microbial activity due to the disruption of nitrogen fixation (a major microbial process).</w:t>
      </w:r>
    </w:p>
    <w:p w14:paraId="33B33DC3" w14:textId="66DF1AF4" w:rsidR="009A4126" w:rsidRPr="00FC55D2" w:rsidRDefault="009A4126" w:rsidP="009A4126">
      <w:pPr>
        <w:spacing w:after="160" w:line="480" w:lineRule="auto"/>
        <w:jc w:val="both"/>
        <w:rPr>
          <w:rFonts w:ascii="Arial" w:eastAsia="SimSun" w:hAnsi="Arial" w:cs="Arial"/>
          <w:color w:val="0D0D0D" w:themeColor="text1" w:themeTint="F2"/>
        </w:rPr>
      </w:pPr>
      <w:r w:rsidRPr="00FC55D2">
        <w:rPr>
          <w:rFonts w:ascii="Arial" w:eastAsia="SimSun" w:hAnsi="Arial" w:cs="Arial"/>
          <w:color w:val="0D0D0D" w:themeColor="text1" w:themeTint="F2"/>
        </w:rPr>
        <w:t xml:space="preserve">In this laboratory trial, persistence seemed to significantly influence the microbial activity of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-ammonium, judging by the sharp decreases in microbial populations across the treated soils. For example, the total heterotrophic bacteria declined from 5.00 × 10</w:t>
      </w:r>
      <w:r w:rsidRPr="00FC55D2">
        <w:rPr>
          <w:rFonts w:ascii="Arial" w:eastAsia="SimSun" w:hAnsi="Arial" w:cs="Arial"/>
          <w:color w:val="0D0D0D" w:themeColor="text1" w:themeTint="F2"/>
          <w:vertAlign w:val="superscript"/>
        </w:rPr>
        <w:t>4</w:t>
      </w:r>
      <w:r w:rsidR="00C71A37" w:rsidRPr="00FC55D2">
        <w:rPr>
          <w:rFonts w:ascii="Arial" w:eastAsia="SimSun" w:hAnsi="Arial" w:cs="Arial"/>
          <w:color w:val="0D0D0D" w:themeColor="text1" w:themeTint="F2"/>
        </w:rPr>
        <w:t xml:space="preserve"> CFU/g in</w:t>
      </w:r>
      <w:r w:rsidRPr="00FC55D2">
        <w:rPr>
          <w:rFonts w:ascii="Arial" w:eastAsia="SimSun" w:hAnsi="Arial" w:cs="Arial"/>
          <w:color w:val="0D0D0D" w:themeColor="text1" w:themeTint="F2"/>
        </w:rPr>
        <w:t xml:space="preserve"> untreated soil to 3.00 × 10⁴ CFU/g in treatment B. Similarly, the fungal count declined from 3.25 × 10</w:t>
      </w:r>
      <w:r w:rsidRPr="00FC55D2">
        <w:rPr>
          <w:rFonts w:ascii="Arial" w:eastAsia="SimSun" w:hAnsi="Arial" w:cs="Arial"/>
          <w:color w:val="0D0D0D" w:themeColor="text1" w:themeTint="F2"/>
          <w:vertAlign w:val="superscript"/>
        </w:rPr>
        <w:t>4</w:t>
      </w:r>
      <w:r w:rsidRPr="00FC55D2">
        <w:rPr>
          <w:rFonts w:ascii="Arial" w:eastAsia="SimSun" w:hAnsi="Arial" w:cs="Arial"/>
          <w:color w:val="0D0D0D" w:themeColor="text1" w:themeTint="F2"/>
        </w:rPr>
        <w:t xml:space="preserve"> CFU/g </w:t>
      </w:r>
      <w:r w:rsidR="00C71A37" w:rsidRPr="00FC55D2">
        <w:rPr>
          <w:rFonts w:ascii="Arial" w:eastAsia="SimSun" w:hAnsi="Arial" w:cs="Arial"/>
          <w:color w:val="0D0D0D" w:themeColor="text1" w:themeTint="F2"/>
        </w:rPr>
        <w:t>(</w:t>
      </w:r>
      <w:r w:rsidRPr="00FC55D2">
        <w:rPr>
          <w:rFonts w:ascii="Arial" w:eastAsia="SimSun" w:hAnsi="Arial" w:cs="Arial"/>
          <w:color w:val="0D0D0D" w:themeColor="text1" w:themeTint="F2"/>
        </w:rPr>
        <w:t>in the control</w:t>
      </w:r>
      <w:r w:rsidR="00C71A37" w:rsidRPr="00FC55D2">
        <w:rPr>
          <w:rFonts w:ascii="Arial" w:eastAsia="SimSun" w:hAnsi="Arial" w:cs="Arial"/>
          <w:color w:val="0D0D0D" w:themeColor="text1" w:themeTint="F2"/>
        </w:rPr>
        <w:t>)</w:t>
      </w:r>
      <w:r w:rsidRPr="00FC55D2">
        <w:rPr>
          <w:rFonts w:ascii="Arial" w:eastAsia="SimSun" w:hAnsi="Arial" w:cs="Arial"/>
          <w:color w:val="0D0D0D" w:themeColor="text1" w:themeTint="F2"/>
        </w:rPr>
        <w:t xml:space="preserve"> to 2.50 × 10</w:t>
      </w:r>
      <w:r w:rsidRPr="00FC55D2">
        <w:rPr>
          <w:rFonts w:ascii="Arial" w:eastAsia="SimSun" w:hAnsi="Arial" w:cs="Arial"/>
          <w:color w:val="0D0D0D" w:themeColor="text1" w:themeTint="F2"/>
          <w:vertAlign w:val="superscript"/>
        </w:rPr>
        <w:t>4</w:t>
      </w:r>
      <w:r w:rsidRPr="00FC55D2">
        <w:rPr>
          <w:rFonts w:ascii="Arial" w:eastAsia="SimSun" w:hAnsi="Arial" w:cs="Arial"/>
          <w:color w:val="0D0D0D" w:themeColor="text1" w:themeTint="F2"/>
        </w:rPr>
        <w:t xml:space="preserve"> CFU/g </w:t>
      </w:r>
      <w:r w:rsidR="00C71A37" w:rsidRPr="00FC55D2">
        <w:rPr>
          <w:rFonts w:ascii="Arial" w:eastAsia="SimSun" w:hAnsi="Arial" w:cs="Arial"/>
          <w:color w:val="0D0D0D" w:themeColor="text1" w:themeTint="F2"/>
        </w:rPr>
        <w:t>(</w:t>
      </w:r>
      <w:r w:rsidRPr="00FC55D2">
        <w:rPr>
          <w:rFonts w:ascii="Arial" w:eastAsia="SimSun" w:hAnsi="Arial" w:cs="Arial"/>
          <w:color w:val="0D0D0D" w:themeColor="text1" w:themeTint="F2"/>
        </w:rPr>
        <w:t>in treatment B</w:t>
      </w:r>
      <w:r w:rsidR="00C71A37" w:rsidRPr="00FC55D2">
        <w:rPr>
          <w:rFonts w:ascii="Arial" w:eastAsia="SimSun" w:hAnsi="Arial" w:cs="Arial"/>
          <w:color w:val="0D0D0D" w:themeColor="text1" w:themeTint="F2"/>
        </w:rPr>
        <w:t>)</w:t>
      </w:r>
      <w:r w:rsidRPr="00FC55D2">
        <w:rPr>
          <w:rFonts w:ascii="Arial" w:eastAsia="SimSun" w:hAnsi="Arial" w:cs="Arial"/>
          <w:color w:val="0D0D0D" w:themeColor="text1" w:themeTint="F2"/>
        </w:rPr>
        <w:t xml:space="preserve"> </w:t>
      </w:r>
      <w:r w:rsidR="00C71A37" w:rsidRPr="00FC55D2">
        <w:rPr>
          <w:rFonts w:ascii="Arial" w:eastAsia="SimSun" w:hAnsi="Arial" w:cs="Arial"/>
          <w:color w:val="0D0D0D" w:themeColor="text1" w:themeTint="F2"/>
        </w:rPr>
        <w:t>dur</w:t>
      </w:r>
      <w:r w:rsidRPr="00FC55D2">
        <w:rPr>
          <w:rFonts w:ascii="Arial" w:eastAsia="SimSun" w:hAnsi="Arial" w:cs="Arial"/>
          <w:color w:val="0D0D0D" w:themeColor="text1" w:themeTint="F2"/>
        </w:rPr>
        <w:t>in</w:t>
      </w:r>
      <w:r w:rsidR="00C71A37" w:rsidRPr="00FC55D2">
        <w:rPr>
          <w:rFonts w:ascii="Arial" w:eastAsia="SimSun" w:hAnsi="Arial" w:cs="Arial"/>
          <w:color w:val="0D0D0D" w:themeColor="text1" w:themeTint="F2"/>
        </w:rPr>
        <w:t>g</w:t>
      </w:r>
      <w:r w:rsidRPr="00FC55D2">
        <w:rPr>
          <w:rFonts w:ascii="Arial" w:eastAsia="SimSun" w:hAnsi="Arial" w:cs="Arial"/>
          <w:color w:val="0D0D0D" w:themeColor="text1" w:themeTint="F2"/>
        </w:rPr>
        <w:t xml:space="preserve"> the study. These changes suggest the likely possible inhibitory action of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-ammonium on microbial degradation pathways. Our findings were in agreement with the reports of </w:t>
      </w:r>
      <w:proofErr w:type="spellStart"/>
      <w:r w:rsidRPr="00FC55D2">
        <w:rPr>
          <w:rFonts w:ascii="Arial" w:eastAsia="SimSun" w:hAnsi="Arial" w:cs="Arial"/>
          <w:color w:val="0D0D0D" w:themeColor="text1" w:themeTint="F2"/>
        </w:rPr>
        <w:t>Kopčáková</w:t>
      </w:r>
      <w:proofErr w:type="spellEnd"/>
      <w:r w:rsidRPr="00FC55D2">
        <w:rPr>
          <w:rFonts w:ascii="Arial" w:eastAsia="SimSun" w:hAnsi="Arial" w:cs="Arial"/>
          <w:color w:val="0D0D0D" w:themeColor="text1" w:themeTint="F2"/>
        </w:rPr>
        <w:t xml:space="preserve"> </w:t>
      </w:r>
      <w:r w:rsidRPr="00FC55D2">
        <w:rPr>
          <w:rFonts w:ascii="Arial" w:eastAsia="SimSun" w:hAnsi="Arial" w:cs="Arial"/>
          <w:i/>
          <w:color w:val="0D0D0D" w:themeColor="text1" w:themeTint="F2"/>
        </w:rPr>
        <w:t>et al</w:t>
      </w:r>
      <w:r w:rsidRPr="00FC55D2">
        <w:rPr>
          <w:rFonts w:ascii="Arial" w:eastAsia="SimSun" w:hAnsi="Arial" w:cs="Arial"/>
          <w:color w:val="0D0D0D" w:themeColor="text1" w:themeTint="F2"/>
        </w:rPr>
        <w:t>. (2015), stating that short-term soils</w:t>
      </w:r>
      <w:r w:rsidR="00C71A37" w:rsidRPr="00FC55D2">
        <w:rPr>
          <w:rFonts w:ascii="Arial" w:eastAsia="SimSun" w:hAnsi="Arial" w:cs="Arial"/>
          <w:color w:val="0D0D0D" w:themeColor="text1" w:themeTint="F2"/>
        </w:rPr>
        <w:t>’</w:t>
      </w:r>
      <w:r w:rsidRPr="00FC55D2">
        <w:rPr>
          <w:rFonts w:ascii="Arial" w:eastAsia="SimSun" w:hAnsi="Arial" w:cs="Arial"/>
          <w:color w:val="0D0D0D" w:themeColor="text1" w:themeTint="F2"/>
        </w:rPr>
        <w:t xml:space="preserve"> exposure to the field-rate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 concentration significantly influenced soil bacterial communities.</w:t>
      </w:r>
    </w:p>
    <w:p w14:paraId="7E5524C0" w14:textId="77777777" w:rsidR="009A4126" w:rsidRPr="00FC55D2" w:rsidRDefault="009A4126" w:rsidP="009A4126">
      <w:pPr>
        <w:spacing w:line="480" w:lineRule="auto"/>
        <w:jc w:val="both"/>
        <w:rPr>
          <w:rFonts w:ascii="Arial" w:hAnsi="Arial" w:cs="Arial"/>
        </w:rPr>
      </w:pPr>
      <w:r w:rsidRPr="00FC55D2">
        <w:rPr>
          <w:rFonts w:ascii="Arial" w:eastAsia="SimSun" w:hAnsi="Arial" w:cs="Arial"/>
          <w:color w:val="0D0D0D" w:themeColor="text1" w:themeTint="F2"/>
        </w:rPr>
        <w:t xml:space="preserve">This investigation points out the consideration of herbicide properties in relation to their ecological impact and degradation behavior. According to Christopher (2024), persistence in the environment by herbicides is determined through specific properties that regulate their degradation rates. Therefore, such findings point to the need to understand the chemical nature of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-ammonium in order to guide its application with minimal impacts observable after some time. That is so according to Vera </w:t>
      </w:r>
      <w:r w:rsidRPr="00FC55D2">
        <w:rPr>
          <w:rFonts w:ascii="Arial" w:eastAsia="SimSun" w:hAnsi="Arial" w:cs="Arial"/>
          <w:i/>
          <w:color w:val="0D0D0D" w:themeColor="text1" w:themeTint="F2"/>
        </w:rPr>
        <w:t>et al</w:t>
      </w:r>
      <w:r w:rsidRPr="00FC55D2">
        <w:rPr>
          <w:rFonts w:ascii="Arial" w:eastAsia="SimSun" w:hAnsi="Arial" w:cs="Arial"/>
          <w:color w:val="0D0D0D" w:themeColor="text1" w:themeTint="F2"/>
        </w:rPr>
        <w:t xml:space="preserve">. (2023). </w:t>
      </w:r>
      <w:r w:rsidRPr="00FC55D2">
        <w:rPr>
          <w:rFonts w:ascii="Arial" w:hAnsi="Arial" w:cs="Arial"/>
        </w:rPr>
        <w:t xml:space="preserve">These changes suggest that the physicochemical characteristics of soil are altered by </w:t>
      </w:r>
      <w:proofErr w:type="spellStart"/>
      <w:r w:rsidRPr="00FC55D2">
        <w:rPr>
          <w:rFonts w:ascii="Arial" w:hAnsi="Arial" w:cs="Arial"/>
        </w:rPr>
        <w:t>glufosinate</w:t>
      </w:r>
      <w:proofErr w:type="spellEnd"/>
      <w:r w:rsidRPr="00FC55D2">
        <w:rPr>
          <w:rFonts w:ascii="Arial" w:hAnsi="Arial" w:cs="Arial"/>
        </w:rPr>
        <w:t>-ammonium, possibly affecting nutrient availability and microbial activities.</w:t>
      </w:r>
    </w:p>
    <w:p w14:paraId="236FD276" w14:textId="77777777" w:rsidR="009A4126" w:rsidRPr="00FC55D2" w:rsidRDefault="009A4126" w:rsidP="009A4126">
      <w:pPr>
        <w:spacing w:after="160" w:line="480" w:lineRule="auto"/>
        <w:jc w:val="both"/>
        <w:rPr>
          <w:rFonts w:ascii="Arial" w:hAnsi="Arial" w:cs="Arial"/>
        </w:rPr>
      </w:pPr>
      <w:r w:rsidRPr="00FC55D2">
        <w:rPr>
          <w:rFonts w:ascii="Arial" w:eastAsia="SimSun" w:hAnsi="Arial" w:cs="Arial"/>
          <w:color w:val="0D0D0D" w:themeColor="text1" w:themeTint="F2"/>
        </w:rPr>
        <w:lastRenderedPageBreak/>
        <w:t xml:space="preserve">Microorganisms are of vital importance in the degradation of herbicides, amongst which is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-ammonium, in soil ecosystems. Biochemical tests, Gram staining and (API) revealed that both Gram-positive and Gram-negative bacterial isolates were present. </w:t>
      </w:r>
      <w:r w:rsidRPr="00FC55D2">
        <w:rPr>
          <w:rFonts w:ascii="Arial" w:hAnsi="Arial" w:cs="Arial"/>
          <w:color w:val="0D0D0D" w:themeColor="text1" w:themeTint="F2"/>
        </w:rPr>
        <w:t xml:space="preserve">Gram positive isolates were </w:t>
      </w:r>
      <w:r w:rsidRPr="00FC55D2">
        <w:rPr>
          <w:rFonts w:ascii="Arial" w:hAnsi="Arial" w:cs="Arial"/>
          <w:i/>
          <w:color w:val="0D0D0D" w:themeColor="text1" w:themeTint="F2"/>
        </w:rPr>
        <w:t xml:space="preserve">Bacillus </w:t>
      </w:r>
      <w:proofErr w:type="spellStart"/>
      <w:r w:rsidRPr="00FC55D2">
        <w:rPr>
          <w:rFonts w:ascii="Arial" w:hAnsi="Arial" w:cs="Arial"/>
          <w:i/>
          <w:color w:val="0D0D0D" w:themeColor="text1" w:themeTint="F2"/>
        </w:rPr>
        <w:t>aerius</w:t>
      </w:r>
      <w:proofErr w:type="spellEnd"/>
      <w:r w:rsidRPr="00FC55D2">
        <w:rPr>
          <w:rFonts w:ascii="Arial" w:hAnsi="Arial" w:cs="Arial"/>
          <w:i/>
          <w:color w:val="0D0D0D" w:themeColor="text1" w:themeTint="F2"/>
        </w:rPr>
        <w:t xml:space="preserve">, Bacillus cereus, Bacillus subtilis, Corynebacterium </w:t>
      </w:r>
      <w:proofErr w:type="spellStart"/>
      <w:r w:rsidRPr="00FC55D2">
        <w:rPr>
          <w:rFonts w:ascii="Arial" w:hAnsi="Arial" w:cs="Arial"/>
          <w:i/>
          <w:color w:val="0D0D0D" w:themeColor="text1" w:themeTint="F2"/>
        </w:rPr>
        <w:t>capsium</w:t>
      </w:r>
      <w:proofErr w:type="spellEnd"/>
      <w:r w:rsidRPr="00FC55D2">
        <w:rPr>
          <w:rFonts w:ascii="Arial" w:hAnsi="Arial" w:cs="Arial"/>
          <w:i/>
          <w:color w:val="0D0D0D" w:themeColor="text1" w:themeTint="F2"/>
        </w:rPr>
        <w:t xml:space="preserve">, </w:t>
      </w:r>
      <w:proofErr w:type="spellStart"/>
      <w:r w:rsidRPr="00FC55D2">
        <w:rPr>
          <w:rFonts w:ascii="Arial" w:hAnsi="Arial" w:cs="Arial"/>
          <w:i/>
          <w:color w:val="0D0D0D" w:themeColor="text1" w:themeTint="F2"/>
        </w:rPr>
        <w:t>Paenibacillus</w:t>
      </w:r>
      <w:proofErr w:type="spellEnd"/>
      <w:r w:rsidRPr="00FC55D2">
        <w:rPr>
          <w:rFonts w:ascii="Arial" w:hAnsi="Arial" w:cs="Arial"/>
          <w:i/>
          <w:color w:val="0D0D0D" w:themeColor="text1" w:themeTint="F2"/>
        </w:rPr>
        <w:t xml:space="preserve"> </w:t>
      </w:r>
      <w:proofErr w:type="spellStart"/>
      <w:r w:rsidRPr="00FC55D2">
        <w:rPr>
          <w:rFonts w:ascii="Arial" w:hAnsi="Arial" w:cs="Arial"/>
          <w:i/>
          <w:color w:val="0D0D0D" w:themeColor="text1" w:themeTint="F2"/>
        </w:rPr>
        <w:t>polymyxa</w:t>
      </w:r>
      <w:proofErr w:type="spellEnd"/>
      <w:r w:rsidRPr="00FC55D2">
        <w:rPr>
          <w:rFonts w:ascii="Arial" w:hAnsi="Arial" w:cs="Arial"/>
          <w:color w:val="0D0D0D" w:themeColor="text1" w:themeTint="F2"/>
        </w:rPr>
        <w:t xml:space="preserve"> and </w:t>
      </w:r>
      <w:r w:rsidRPr="00FC55D2">
        <w:rPr>
          <w:rFonts w:ascii="Arial" w:hAnsi="Arial" w:cs="Arial"/>
          <w:i/>
          <w:color w:val="0D0D0D" w:themeColor="text1" w:themeTint="F2"/>
        </w:rPr>
        <w:t>Staphylococcus epidermidis.</w:t>
      </w:r>
      <w:r w:rsidRPr="00FC55D2">
        <w:rPr>
          <w:rFonts w:ascii="Arial" w:hAnsi="Arial" w:cs="Arial"/>
          <w:color w:val="0D0D0D" w:themeColor="text1" w:themeTint="F2"/>
        </w:rPr>
        <w:t xml:space="preserve"> </w:t>
      </w:r>
      <w:r w:rsidRPr="00FC55D2">
        <w:rPr>
          <w:rFonts w:ascii="Arial" w:hAnsi="Arial" w:cs="Arial"/>
          <w:i/>
          <w:color w:val="0D0D0D" w:themeColor="text1" w:themeTint="F2"/>
        </w:rPr>
        <w:t>Klebsiella aerogenes</w:t>
      </w:r>
      <w:r w:rsidRPr="00FC55D2">
        <w:rPr>
          <w:rFonts w:ascii="Arial" w:hAnsi="Arial" w:cs="Arial"/>
          <w:color w:val="0D0D0D" w:themeColor="text1" w:themeTint="F2"/>
        </w:rPr>
        <w:t xml:space="preserve">, </w:t>
      </w:r>
      <w:r w:rsidRPr="00FC55D2">
        <w:rPr>
          <w:rFonts w:ascii="Arial" w:hAnsi="Arial" w:cs="Arial"/>
          <w:i/>
          <w:color w:val="0D0D0D" w:themeColor="text1" w:themeTint="F2"/>
        </w:rPr>
        <w:t xml:space="preserve">Pseudomonas aeruginosa, Proteus vulgaris, </w:t>
      </w:r>
      <w:r w:rsidRPr="00FC55D2">
        <w:rPr>
          <w:rFonts w:ascii="Arial" w:hAnsi="Arial" w:cs="Arial"/>
          <w:color w:val="0D0D0D" w:themeColor="text1" w:themeTint="F2"/>
        </w:rPr>
        <w:t>and</w:t>
      </w:r>
      <w:r w:rsidRPr="00FC55D2">
        <w:rPr>
          <w:rFonts w:ascii="Arial" w:hAnsi="Arial" w:cs="Arial"/>
          <w:i/>
          <w:color w:val="0D0D0D" w:themeColor="text1" w:themeTint="F2"/>
        </w:rPr>
        <w:t xml:space="preserve"> Enterobacter</w:t>
      </w:r>
      <w:r w:rsidRPr="00FC55D2">
        <w:rPr>
          <w:rFonts w:ascii="Arial" w:hAnsi="Arial" w:cs="Arial"/>
          <w:color w:val="0D0D0D" w:themeColor="text1" w:themeTint="F2"/>
        </w:rPr>
        <w:t xml:space="preserve"> species were the Gram negative bacteria identified. </w:t>
      </w:r>
      <w:r w:rsidRPr="00FC55D2">
        <w:rPr>
          <w:rFonts w:ascii="Arial" w:eastAsia="SimSun" w:hAnsi="Arial" w:cs="Arial"/>
          <w:color w:val="0D0D0D" w:themeColor="text1" w:themeTint="F2"/>
        </w:rPr>
        <w:t xml:space="preserve">These have frequently been identified for their capabilities of adjusting to environmental contaminants, thus potentially reducing environmental harm from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-ammonium. The results agreed with previous reports of </w:t>
      </w:r>
      <w:proofErr w:type="spellStart"/>
      <w:r w:rsidRPr="00FC55D2">
        <w:rPr>
          <w:rFonts w:ascii="Arial" w:eastAsia="SimSun" w:hAnsi="Arial" w:cs="Arial"/>
          <w:color w:val="0D0D0D" w:themeColor="text1" w:themeTint="F2"/>
        </w:rPr>
        <w:t>Binish</w:t>
      </w:r>
      <w:proofErr w:type="spellEnd"/>
      <w:r w:rsidRPr="00FC55D2">
        <w:rPr>
          <w:rFonts w:ascii="Arial" w:eastAsia="SimSun" w:hAnsi="Arial" w:cs="Arial"/>
          <w:color w:val="0D0D0D" w:themeColor="text1" w:themeTint="F2"/>
        </w:rPr>
        <w:t xml:space="preserve"> </w:t>
      </w:r>
      <w:r w:rsidRPr="00FC55D2">
        <w:rPr>
          <w:rFonts w:ascii="Arial" w:eastAsia="SimSun" w:hAnsi="Arial" w:cs="Arial"/>
          <w:i/>
          <w:color w:val="0D0D0D" w:themeColor="text1" w:themeTint="F2"/>
        </w:rPr>
        <w:t>et al</w:t>
      </w:r>
      <w:r w:rsidRPr="00FC55D2">
        <w:rPr>
          <w:rFonts w:ascii="Arial" w:eastAsia="SimSun" w:hAnsi="Arial" w:cs="Arial"/>
          <w:color w:val="0D0D0D" w:themeColor="text1" w:themeTint="F2"/>
        </w:rPr>
        <w:t xml:space="preserve">. (2022). </w:t>
      </w:r>
      <w:proofErr w:type="spellStart"/>
      <w:r w:rsidRPr="00FC55D2">
        <w:rPr>
          <w:rFonts w:ascii="Arial" w:hAnsi="Arial" w:cs="Arial"/>
        </w:rPr>
        <w:t>Obuotor</w:t>
      </w:r>
      <w:proofErr w:type="spellEnd"/>
      <w:r w:rsidRPr="00FC55D2">
        <w:rPr>
          <w:rFonts w:ascii="Arial" w:hAnsi="Arial" w:cs="Arial"/>
          <w:i/>
        </w:rPr>
        <w:t xml:space="preserve"> et al</w:t>
      </w:r>
      <w:r w:rsidRPr="00FC55D2">
        <w:rPr>
          <w:rFonts w:ascii="Arial" w:hAnsi="Arial" w:cs="Arial"/>
        </w:rPr>
        <w:t>. (2016) isolated and identified species of</w:t>
      </w:r>
      <w:r w:rsidRPr="00FC55D2">
        <w:rPr>
          <w:rFonts w:ascii="Arial" w:hAnsi="Arial" w:cs="Arial"/>
          <w:i/>
        </w:rPr>
        <w:t xml:space="preserve"> Pseudomonas </w:t>
      </w:r>
      <w:r w:rsidRPr="00FC55D2">
        <w:rPr>
          <w:rFonts w:ascii="Arial" w:hAnsi="Arial" w:cs="Arial"/>
        </w:rPr>
        <w:t>and</w:t>
      </w:r>
      <w:r w:rsidRPr="00FC55D2">
        <w:rPr>
          <w:rFonts w:ascii="Arial" w:hAnsi="Arial" w:cs="Arial"/>
          <w:i/>
        </w:rPr>
        <w:t xml:space="preserve"> Enterobacter </w:t>
      </w:r>
      <w:r w:rsidRPr="00FC55D2">
        <w:rPr>
          <w:rFonts w:ascii="Arial" w:hAnsi="Arial" w:cs="Arial"/>
        </w:rPr>
        <w:t xml:space="preserve">from Paraquat contaminated soil using the Analytical Profile Index. </w:t>
      </w:r>
      <w:proofErr w:type="spellStart"/>
      <w:r w:rsidRPr="00FC55D2">
        <w:rPr>
          <w:rFonts w:ascii="Arial" w:hAnsi="Arial" w:cs="Arial"/>
        </w:rPr>
        <w:t>Kopčáková</w:t>
      </w:r>
      <w:proofErr w:type="spellEnd"/>
      <w:r w:rsidRPr="00FC55D2">
        <w:rPr>
          <w:rFonts w:ascii="Arial" w:hAnsi="Arial" w:cs="Arial"/>
        </w:rPr>
        <w:t xml:space="preserve"> et al. (2015) isolated and identified similar bacterial isolates after a short-term soils exposure to the field-rate </w:t>
      </w:r>
      <w:proofErr w:type="spellStart"/>
      <w:r w:rsidRPr="00FC55D2">
        <w:rPr>
          <w:rFonts w:ascii="Arial" w:hAnsi="Arial" w:cs="Arial"/>
        </w:rPr>
        <w:t>glufosinate</w:t>
      </w:r>
      <w:proofErr w:type="spellEnd"/>
      <w:r w:rsidRPr="00FC55D2">
        <w:rPr>
          <w:rFonts w:ascii="Arial" w:hAnsi="Arial" w:cs="Arial"/>
        </w:rPr>
        <w:t xml:space="preserve"> concentration using both culture–dependent and culture - independent based denaturing gradient gel electrophoresis (DGGE) analysis of amplified 16S rRNA genes. These reports are</w:t>
      </w:r>
      <w:r w:rsidRPr="00FC55D2">
        <w:rPr>
          <w:rFonts w:ascii="Arial" w:hAnsi="Arial" w:cs="Arial"/>
          <w:i/>
        </w:rPr>
        <w:t xml:space="preserve"> </w:t>
      </w:r>
      <w:r w:rsidRPr="00FC55D2">
        <w:rPr>
          <w:rFonts w:ascii="Arial" w:hAnsi="Arial" w:cs="Arial"/>
        </w:rPr>
        <w:t>in confirmation with our findings.</w:t>
      </w:r>
    </w:p>
    <w:p w14:paraId="13E9C453" w14:textId="77A9C0B6" w:rsidR="009A4126" w:rsidRPr="00FC55D2" w:rsidRDefault="000C72DE" w:rsidP="009A4126">
      <w:pPr>
        <w:spacing w:after="160" w:line="480" w:lineRule="auto"/>
        <w:jc w:val="both"/>
        <w:rPr>
          <w:rFonts w:ascii="Arial" w:hAnsi="Arial" w:cs="Arial"/>
          <w:color w:val="0D0D0D" w:themeColor="text1" w:themeTint="F2"/>
        </w:rPr>
      </w:pPr>
      <w:r w:rsidRPr="00FC55D2">
        <w:rPr>
          <w:rFonts w:ascii="Arial" w:hAnsi="Arial" w:cs="Arial"/>
          <w:color w:val="0D0D0D" w:themeColor="text1" w:themeTint="F2"/>
        </w:rPr>
        <w:t xml:space="preserve">Studies by </w:t>
      </w:r>
      <w:proofErr w:type="spellStart"/>
      <w:r w:rsidRPr="00FC55D2">
        <w:rPr>
          <w:rFonts w:ascii="Arial" w:hAnsi="Arial" w:cs="Arial"/>
          <w:color w:val="0D0D0D" w:themeColor="text1" w:themeTint="F2"/>
        </w:rPr>
        <w:t>Kurniadie</w:t>
      </w:r>
      <w:proofErr w:type="spellEnd"/>
      <w:r w:rsidR="009A4126" w:rsidRPr="00FC55D2">
        <w:rPr>
          <w:rFonts w:ascii="Arial" w:hAnsi="Arial" w:cs="Arial"/>
          <w:color w:val="0D0D0D" w:themeColor="text1" w:themeTint="F2"/>
        </w:rPr>
        <w:t xml:space="preserve"> </w:t>
      </w:r>
      <w:r w:rsidR="009A4126" w:rsidRPr="00FC55D2">
        <w:rPr>
          <w:rFonts w:ascii="Arial" w:hAnsi="Arial" w:cs="Arial"/>
          <w:i/>
          <w:color w:val="0D0D0D" w:themeColor="text1" w:themeTint="F2"/>
        </w:rPr>
        <w:t>et al</w:t>
      </w:r>
      <w:r w:rsidRPr="00FC55D2">
        <w:rPr>
          <w:rFonts w:ascii="Arial" w:hAnsi="Arial" w:cs="Arial"/>
          <w:color w:val="0D0D0D" w:themeColor="text1" w:themeTint="F2"/>
        </w:rPr>
        <w:t>. (2023</w:t>
      </w:r>
      <w:r w:rsidR="009A4126" w:rsidRPr="00FC55D2">
        <w:rPr>
          <w:rFonts w:ascii="Arial" w:hAnsi="Arial" w:cs="Arial"/>
          <w:color w:val="0D0D0D" w:themeColor="text1" w:themeTint="F2"/>
        </w:rPr>
        <w:t xml:space="preserve">) </w:t>
      </w:r>
      <w:r w:rsidR="008D589C" w:rsidRPr="00FC55D2">
        <w:rPr>
          <w:rFonts w:ascii="Arial" w:hAnsi="Arial" w:cs="Arial"/>
          <w:color w:val="0D0D0D" w:themeColor="text1" w:themeTint="F2"/>
        </w:rPr>
        <w:t>and Li</w:t>
      </w:r>
      <w:r w:rsidR="009A4126" w:rsidRPr="00FC55D2">
        <w:rPr>
          <w:rFonts w:ascii="Arial" w:hAnsi="Arial" w:cs="Arial"/>
          <w:color w:val="0D0D0D" w:themeColor="text1" w:themeTint="F2"/>
        </w:rPr>
        <w:t xml:space="preserve"> </w:t>
      </w:r>
      <w:r w:rsidR="009A4126" w:rsidRPr="00FC55D2">
        <w:rPr>
          <w:rFonts w:ascii="Arial" w:hAnsi="Arial" w:cs="Arial"/>
          <w:i/>
          <w:color w:val="0D0D0D" w:themeColor="text1" w:themeTint="F2"/>
        </w:rPr>
        <w:t>et al</w:t>
      </w:r>
      <w:r w:rsidR="008D589C" w:rsidRPr="00FC55D2">
        <w:rPr>
          <w:rFonts w:ascii="Arial" w:hAnsi="Arial" w:cs="Arial"/>
          <w:color w:val="0D0D0D" w:themeColor="text1" w:themeTint="F2"/>
        </w:rPr>
        <w:t>. (2024</w:t>
      </w:r>
      <w:r w:rsidR="009A4126" w:rsidRPr="00FC55D2">
        <w:rPr>
          <w:rFonts w:ascii="Arial" w:hAnsi="Arial" w:cs="Arial"/>
          <w:color w:val="0D0D0D" w:themeColor="text1" w:themeTint="F2"/>
        </w:rPr>
        <w:t xml:space="preserve">) have revealed that </w:t>
      </w:r>
      <w:proofErr w:type="spellStart"/>
      <w:r w:rsidR="009A4126" w:rsidRPr="00FC55D2">
        <w:rPr>
          <w:rFonts w:ascii="Arial" w:hAnsi="Arial" w:cs="Arial"/>
          <w:color w:val="0D0D0D" w:themeColor="text1" w:themeTint="F2"/>
        </w:rPr>
        <w:t>glufosinate</w:t>
      </w:r>
      <w:proofErr w:type="spellEnd"/>
      <w:r w:rsidR="009A4126" w:rsidRPr="00FC55D2">
        <w:rPr>
          <w:rFonts w:ascii="Arial" w:hAnsi="Arial" w:cs="Arial"/>
          <w:color w:val="0D0D0D" w:themeColor="text1" w:themeTint="F2"/>
        </w:rPr>
        <w:t>-ammonium deposits in soil can modify microbial variety and richness, upsetting soil enzyme activities and nutrient cycling routes. Consequently, long-term, unmanaged usage may possibly lead to topsoil degradation, possibly impacting agronomic sustainability by compromising bacteriological ecological unit roles.</w:t>
      </w:r>
    </w:p>
    <w:p w14:paraId="0A1D5443" w14:textId="77777777" w:rsidR="009A4126" w:rsidRPr="00FC55D2" w:rsidRDefault="009A4126" w:rsidP="009A4126">
      <w:pPr>
        <w:spacing w:line="480" w:lineRule="auto"/>
        <w:jc w:val="both"/>
        <w:rPr>
          <w:rFonts w:ascii="Arial" w:hAnsi="Arial" w:cs="Arial"/>
        </w:rPr>
      </w:pPr>
      <w:r w:rsidRPr="00FC55D2">
        <w:rPr>
          <w:rFonts w:ascii="Arial" w:hAnsi="Arial" w:cs="Arial"/>
        </w:rPr>
        <w:t xml:space="preserve">A large proportion (40%) of the total cultivable heterotrophic bacterial population across the soil samples were represented by </w:t>
      </w:r>
      <w:r w:rsidRPr="00FC55D2">
        <w:rPr>
          <w:rFonts w:ascii="Arial" w:hAnsi="Arial" w:cs="Arial"/>
          <w:i/>
        </w:rPr>
        <w:t>Bacillus</w:t>
      </w:r>
      <w:r w:rsidRPr="00FC55D2">
        <w:rPr>
          <w:rFonts w:ascii="Arial" w:hAnsi="Arial" w:cs="Arial"/>
        </w:rPr>
        <w:t xml:space="preserve"> species (Figure 1). Members of the family </w:t>
      </w:r>
      <w:proofErr w:type="spellStart"/>
      <w:r w:rsidRPr="00FC55D2">
        <w:rPr>
          <w:rFonts w:ascii="Arial" w:hAnsi="Arial" w:cs="Arial"/>
          <w:i/>
        </w:rPr>
        <w:t>Bacillaceae</w:t>
      </w:r>
      <w:proofErr w:type="spellEnd"/>
      <w:r w:rsidRPr="00FC55D2">
        <w:rPr>
          <w:rFonts w:ascii="Arial" w:hAnsi="Arial" w:cs="Arial"/>
        </w:rPr>
        <w:t xml:space="preserve"> (Genus: </w:t>
      </w:r>
      <w:r w:rsidRPr="00FC55D2">
        <w:rPr>
          <w:rFonts w:ascii="Arial" w:hAnsi="Arial" w:cs="Arial"/>
          <w:i/>
        </w:rPr>
        <w:t xml:space="preserve">Bacillus </w:t>
      </w:r>
      <w:r w:rsidRPr="00FC55D2">
        <w:rPr>
          <w:rFonts w:ascii="Arial" w:hAnsi="Arial" w:cs="Arial"/>
        </w:rPr>
        <w:t xml:space="preserve">40%) were relatively the largest population followed by </w:t>
      </w:r>
      <w:r w:rsidRPr="00FC55D2">
        <w:rPr>
          <w:rFonts w:ascii="Arial" w:hAnsi="Arial" w:cs="Arial"/>
          <w:i/>
        </w:rPr>
        <w:t xml:space="preserve">Enterobacteriaceae </w:t>
      </w:r>
      <w:r w:rsidRPr="00FC55D2">
        <w:rPr>
          <w:rFonts w:ascii="Arial" w:hAnsi="Arial" w:cs="Arial"/>
        </w:rPr>
        <w:t xml:space="preserve">(22%), in </w:t>
      </w:r>
      <w:proofErr w:type="spellStart"/>
      <w:r w:rsidRPr="00FC55D2">
        <w:rPr>
          <w:rFonts w:ascii="Arial" w:hAnsi="Arial" w:cs="Arial"/>
        </w:rPr>
        <w:t>glufosinate</w:t>
      </w:r>
      <w:proofErr w:type="spellEnd"/>
      <w:r w:rsidRPr="00FC55D2">
        <w:rPr>
          <w:rFonts w:ascii="Arial" w:hAnsi="Arial" w:cs="Arial"/>
        </w:rPr>
        <w:t xml:space="preserve"> ammonium treated soil samples during our experiment. Also, 12% of the overall viable bacterial population from the </w:t>
      </w:r>
      <w:proofErr w:type="spellStart"/>
      <w:r w:rsidRPr="00FC55D2">
        <w:rPr>
          <w:rFonts w:ascii="Arial" w:hAnsi="Arial" w:cs="Arial"/>
        </w:rPr>
        <w:t>glufosinate</w:t>
      </w:r>
      <w:proofErr w:type="spellEnd"/>
      <w:r w:rsidRPr="00FC55D2">
        <w:rPr>
          <w:rFonts w:ascii="Arial" w:hAnsi="Arial" w:cs="Arial"/>
        </w:rPr>
        <w:t xml:space="preserve"> ammonium treated soil samples were categorized by Pseudomonads. Similarly, </w:t>
      </w:r>
      <w:proofErr w:type="spellStart"/>
      <w:r w:rsidRPr="00FC55D2">
        <w:rPr>
          <w:rFonts w:ascii="Arial" w:hAnsi="Arial" w:cs="Arial"/>
          <w:shd w:val="clear" w:color="auto" w:fill="FFFFFF"/>
        </w:rPr>
        <w:t>Kopčáková</w:t>
      </w:r>
      <w:proofErr w:type="spellEnd"/>
      <w:r w:rsidRPr="00FC55D2">
        <w:rPr>
          <w:rFonts w:ascii="Arial" w:hAnsi="Arial" w:cs="Arial"/>
          <w:shd w:val="clear" w:color="auto" w:fill="FFFFFF"/>
        </w:rPr>
        <w:t xml:space="preserve"> </w:t>
      </w:r>
      <w:r w:rsidRPr="00FC55D2">
        <w:rPr>
          <w:rFonts w:ascii="Arial" w:hAnsi="Arial" w:cs="Arial"/>
          <w:i/>
          <w:shd w:val="clear" w:color="auto" w:fill="FFFFFF"/>
        </w:rPr>
        <w:t>et al</w:t>
      </w:r>
      <w:r w:rsidRPr="00FC55D2">
        <w:rPr>
          <w:rFonts w:ascii="Arial" w:hAnsi="Arial" w:cs="Arial"/>
          <w:shd w:val="clear" w:color="auto" w:fill="FFFFFF"/>
        </w:rPr>
        <w:t xml:space="preserve">. (2015) reported two species of </w:t>
      </w:r>
      <w:r w:rsidRPr="00FC55D2">
        <w:rPr>
          <w:rFonts w:ascii="Arial" w:hAnsi="Arial" w:cs="Arial"/>
          <w:i/>
          <w:shd w:val="clear" w:color="auto" w:fill="FFFFFF"/>
        </w:rPr>
        <w:t>Enterobacter</w:t>
      </w:r>
      <w:r w:rsidRPr="00FC55D2">
        <w:rPr>
          <w:rFonts w:ascii="Arial" w:hAnsi="Arial" w:cs="Arial"/>
          <w:shd w:val="clear" w:color="auto" w:fill="FFFFFF"/>
        </w:rPr>
        <w:t xml:space="preserve"> and </w:t>
      </w:r>
      <w:r w:rsidRPr="00FC55D2">
        <w:rPr>
          <w:rFonts w:ascii="Arial" w:hAnsi="Arial" w:cs="Arial"/>
          <w:i/>
          <w:shd w:val="clear" w:color="auto" w:fill="FFFFFF"/>
        </w:rPr>
        <w:t>Pseudomonas</w:t>
      </w:r>
      <w:r w:rsidRPr="00FC55D2">
        <w:rPr>
          <w:rFonts w:ascii="Arial" w:hAnsi="Arial" w:cs="Arial"/>
          <w:shd w:val="clear" w:color="auto" w:fill="FFFFFF"/>
        </w:rPr>
        <w:t xml:space="preserve"> as the domi</w:t>
      </w:r>
      <w:r w:rsidRPr="00FC55D2">
        <w:rPr>
          <w:rFonts w:ascii="Arial" w:hAnsi="Arial" w:cs="Arial"/>
        </w:rPr>
        <w:t>n</w:t>
      </w:r>
      <w:r w:rsidRPr="00FC55D2">
        <w:rPr>
          <w:rFonts w:ascii="Arial" w:hAnsi="Arial" w:cs="Arial"/>
          <w:shd w:val="clear" w:color="auto" w:fill="FFFFFF"/>
        </w:rPr>
        <w:t>a</w:t>
      </w:r>
      <w:r w:rsidRPr="00FC55D2">
        <w:rPr>
          <w:rFonts w:ascii="Arial" w:hAnsi="Arial" w:cs="Arial"/>
        </w:rPr>
        <w:t>n</w:t>
      </w:r>
      <w:r w:rsidRPr="00FC55D2">
        <w:rPr>
          <w:rFonts w:ascii="Arial" w:hAnsi="Arial" w:cs="Arial"/>
          <w:shd w:val="clear" w:color="auto" w:fill="FFFFFF"/>
        </w:rPr>
        <w:t xml:space="preserve">t bacteria from soils </w:t>
      </w:r>
      <w:r w:rsidRPr="00FC55D2">
        <w:rPr>
          <w:rFonts w:ascii="Arial" w:hAnsi="Arial" w:cs="Arial"/>
        </w:rPr>
        <w:t xml:space="preserve">exposed to </w:t>
      </w:r>
      <w:proofErr w:type="spellStart"/>
      <w:r w:rsidRPr="00FC55D2">
        <w:rPr>
          <w:rFonts w:ascii="Arial" w:hAnsi="Arial" w:cs="Arial"/>
        </w:rPr>
        <w:t>glufosinate</w:t>
      </w:r>
      <w:proofErr w:type="spellEnd"/>
      <w:r w:rsidRPr="00FC55D2">
        <w:rPr>
          <w:rFonts w:ascii="Arial" w:hAnsi="Arial" w:cs="Arial"/>
        </w:rPr>
        <w:t xml:space="preserve"> ammonium in </w:t>
      </w:r>
      <w:proofErr w:type="spellStart"/>
      <w:r w:rsidRPr="00FC55D2">
        <w:rPr>
          <w:rFonts w:ascii="Arial" w:hAnsi="Arial" w:cs="Arial"/>
          <w:shd w:val="clear" w:color="auto" w:fill="FFFFFF"/>
        </w:rPr>
        <w:t>Haniska</w:t>
      </w:r>
      <w:proofErr w:type="spellEnd"/>
      <w:r w:rsidRPr="00FC55D2">
        <w:rPr>
          <w:rFonts w:ascii="Arial" w:hAnsi="Arial" w:cs="Arial"/>
          <w:shd w:val="clear" w:color="auto" w:fill="FFFFFF"/>
        </w:rPr>
        <w:t xml:space="preserve"> and </w:t>
      </w:r>
      <w:proofErr w:type="spellStart"/>
      <w:r w:rsidRPr="00FC55D2">
        <w:rPr>
          <w:rFonts w:ascii="Arial" w:hAnsi="Arial" w:cs="Arial"/>
          <w:shd w:val="clear" w:color="auto" w:fill="FFFFFF"/>
        </w:rPr>
        <w:t>Kalava</w:t>
      </w:r>
      <w:proofErr w:type="spellEnd"/>
      <w:r w:rsidRPr="00FC55D2">
        <w:rPr>
          <w:rFonts w:ascii="Arial" w:hAnsi="Arial" w:cs="Arial"/>
          <w:shd w:val="clear" w:color="auto" w:fill="FFFFFF"/>
        </w:rPr>
        <w:t>, respectively</w:t>
      </w:r>
      <w:r w:rsidRPr="00FC55D2">
        <w:rPr>
          <w:rFonts w:ascii="Arial" w:hAnsi="Arial" w:cs="Arial"/>
        </w:rPr>
        <w:t>.</w:t>
      </w:r>
    </w:p>
    <w:p w14:paraId="223632FB" w14:textId="77777777" w:rsidR="00C606E3" w:rsidRPr="00FC55D2" w:rsidRDefault="00C606E3" w:rsidP="00C606E3">
      <w:pPr>
        <w:pStyle w:val="Head1"/>
        <w:spacing w:after="0"/>
        <w:jc w:val="both"/>
        <w:rPr>
          <w:rFonts w:ascii="Arial" w:hAnsi="Arial" w:cs="Arial"/>
        </w:rPr>
      </w:pPr>
    </w:p>
    <w:p w14:paraId="144E9A35" w14:textId="77777777" w:rsidR="00C606E3" w:rsidRPr="00FC55D2" w:rsidRDefault="00C606E3" w:rsidP="00C606E3">
      <w:pPr>
        <w:pStyle w:val="ConcHead"/>
        <w:spacing w:after="0"/>
        <w:jc w:val="both"/>
        <w:rPr>
          <w:rFonts w:ascii="Arial" w:hAnsi="Arial" w:cs="Arial"/>
        </w:rPr>
      </w:pPr>
      <w:r w:rsidRPr="00FC55D2">
        <w:rPr>
          <w:rFonts w:ascii="Arial" w:hAnsi="Arial" w:cs="Arial"/>
        </w:rPr>
        <w:t>4. Conclusion</w:t>
      </w:r>
    </w:p>
    <w:p w14:paraId="267EA09F" w14:textId="00C94CD4" w:rsidR="009A4126" w:rsidRDefault="009A4126" w:rsidP="009A4126">
      <w:pPr>
        <w:pStyle w:val="NormalWeb"/>
        <w:spacing w:before="0" w:beforeAutospacing="0" w:after="0" w:afterAutospacing="0" w:line="480" w:lineRule="auto"/>
        <w:jc w:val="both"/>
        <w:rPr>
          <w:rFonts w:ascii="Arial" w:eastAsia="SimSun" w:hAnsi="Arial" w:cs="Arial"/>
          <w:color w:val="0D0D0D" w:themeColor="text1" w:themeTint="F2"/>
          <w:sz w:val="20"/>
          <w:szCs w:val="20"/>
        </w:rPr>
      </w:pPr>
      <w:r w:rsidRPr="00FC55D2">
        <w:rPr>
          <w:rFonts w:ascii="Arial" w:eastAsia="SimSun" w:hAnsi="Arial" w:cs="Arial"/>
          <w:color w:val="0D0D0D" w:themeColor="text1" w:themeTint="F2"/>
          <w:sz w:val="20"/>
          <w:szCs w:val="20"/>
        </w:rPr>
        <w:t xml:space="preserve">This study revealed that </w:t>
      </w:r>
      <w:proofErr w:type="spellStart"/>
      <w:r w:rsidRPr="00FC55D2">
        <w:rPr>
          <w:rFonts w:ascii="Arial" w:eastAsia="SimSun" w:hAnsi="Arial" w:cs="Arial"/>
          <w:color w:val="0D0D0D" w:themeColor="text1" w:themeTint="F2"/>
          <w:sz w:val="20"/>
          <w:szCs w:val="20"/>
        </w:rPr>
        <w:t>glufosinate</w:t>
      </w:r>
      <w:proofErr w:type="spellEnd"/>
      <w:r w:rsidRPr="00FC55D2">
        <w:rPr>
          <w:rFonts w:ascii="Arial" w:eastAsia="SimSun" w:hAnsi="Arial" w:cs="Arial"/>
          <w:color w:val="0D0D0D" w:themeColor="text1" w:themeTint="F2"/>
          <w:sz w:val="20"/>
          <w:szCs w:val="20"/>
        </w:rPr>
        <w:t xml:space="preserve">-ammonium, a widely used herbicide in agriculture, had </w:t>
      </w:r>
      <w:r w:rsidRPr="00FC55D2">
        <w:rPr>
          <w:rFonts w:ascii="Arial" w:hAnsi="Arial" w:cs="Arial"/>
          <w:color w:val="0D0D0D" w:themeColor="text1" w:themeTint="F2"/>
          <w:sz w:val="20"/>
          <w:szCs w:val="20"/>
        </w:rPr>
        <w:t>a</w:t>
      </w:r>
      <w:r w:rsidRPr="00FC55D2">
        <w:rPr>
          <w:rFonts w:ascii="Arial" w:eastAsia="SimSun" w:hAnsi="Arial" w:cs="Arial"/>
          <w:color w:val="0D0D0D" w:themeColor="text1" w:themeTint="F2"/>
          <w:sz w:val="20"/>
          <w:szCs w:val="20"/>
        </w:rPr>
        <w:t xml:space="preserve"> significant impact on the diversity and abundance of soil microorganisms. The results showed that </w:t>
      </w:r>
      <w:proofErr w:type="spellStart"/>
      <w:r w:rsidRPr="00FC55D2">
        <w:rPr>
          <w:rFonts w:ascii="Arial" w:eastAsia="SimSun" w:hAnsi="Arial" w:cs="Arial"/>
          <w:color w:val="0D0D0D" w:themeColor="text1" w:themeTint="F2"/>
          <w:sz w:val="20"/>
          <w:szCs w:val="20"/>
        </w:rPr>
        <w:t>glufosinate</w:t>
      </w:r>
      <w:proofErr w:type="spellEnd"/>
      <w:r w:rsidRPr="00FC55D2">
        <w:rPr>
          <w:rFonts w:ascii="Arial" w:eastAsia="SimSun" w:hAnsi="Arial" w:cs="Arial"/>
          <w:color w:val="0D0D0D" w:themeColor="text1" w:themeTint="F2"/>
          <w:sz w:val="20"/>
          <w:szCs w:val="20"/>
        </w:rPr>
        <w:t xml:space="preserve">-ammonium altered soil physicochemical properties and reduced microbial diversity, ultimately affecting soil fertility. Heavy metals like lead and cadmium showed elevated concentrations, potentially stressing microbial communities, although arsenic and mercury remained undetectable. These levels are below </w:t>
      </w:r>
      <w:r w:rsidRPr="00FC55D2">
        <w:rPr>
          <w:rFonts w:ascii="Arial" w:eastAsia="SimSun" w:hAnsi="Arial" w:cs="Arial"/>
          <w:color w:val="0D0D0D" w:themeColor="text1" w:themeTint="F2"/>
          <w:sz w:val="20"/>
          <w:szCs w:val="20"/>
        </w:rPr>
        <w:lastRenderedPageBreak/>
        <w:t>toxic thresholds and are unlikely to cause immediate harm to soil health or plant growth. Microbial counts revealed total heterotrophic bacterial counts as 3.30 × 10</w:t>
      </w:r>
      <w:r w:rsidRPr="00FC55D2">
        <w:rPr>
          <w:rFonts w:ascii="Arial" w:eastAsia="SimSun" w:hAnsi="Arial" w:cs="Arial"/>
          <w:color w:val="0D0D0D" w:themeColor="text1" w:themeTint="F2"/>
          <w:sz w:val="20"/>
          <w:szCs w:val="20"/>
          <w:vertAlign w:val="superscript"/>
        </w:rPr>
        <w:t>4</w:t>
      </w:r>
      <w:r w:rsidRPr="00FC55D2">
        <w:rPr>
          <w:rFonts w:ascii="Arial" w:eastAsia="SimSun" w:hAnsi="Arial" w:cs="Arial"/>
          <w:color w:val="0D0D0D" w:themeColor="text1" w:themeTint="F2"/>
          <w:sz w:val="20"/>
          <w:szCs w:val="20"/>
        </w:rPr>
        <w:t>CFU/g (20mL) a</w:t>
      </w:r>
      <w:r w:rsidRPr="00FC55D2">
        <w:rPr>
          <w:rFonts w:ascii="Arial" w:hAnsi="Arial" w:cs="Arial"/>
          <w:color w:val="0D0D0D" w:themeColor="text1" w:themeTint="F2"/>
          <w:sz w:val="20"/>
          <w:szCs w:val="20"/>
        </w:rPr>
        <w:t>n</w:t>
      </w:r>
      <w:r w:rsidRPr="00FC55D2">
        <w:rPr>
          <w:rFonts w:ascii="Arial" w:eastAsia="SimSun" w:hAnsi="Arial" w:cs="Arial"/>
          <w:color w:val="0D0D0D" w:themeColor="text1" w:themeTint="F2"/>
          <w:sz w:val="20"/>
          <w:szCs w:val="20"/>
        </w:rPr>
        <w:t>d 3.00 × 10⁴ CFU/g (60mL) and fungal populations were 3.00 × 10</w:t>
      </w:r>
      <w:r w:rsidRPr="00FC55D2">
        <w:rPr>
          <w:rFonts w:ascii="Arial" w:eastAsia="SimSun" w:hAnsi="Arial" w:cs="Arial"/>
          <w:color w:val="0D0D0D" w:themeColor="text1" w:themeTint="F2"/>
          <w:sz w:val="20"/>
          <w:szCs w:val="20"/>
          <w:vertAlign w:val="superscript"/>
        </w:rPr>
        <w:t>4</w:t>
      </w:r>
      <w:r w:rsidRPr="00FC55D2">
        <w:rPr>
          <w:rFonts w:ascii="Arial" w:eastAsia="SimSun" w:hAnsi="Arial" w:cs="Arial"/>
          <w:color w:val="0D0D0D" w:themeColor="text1" w:themeTint="F2"/>
          <w:sz w:val="20"/>
          <w:szCs w:val="20"/>
        </w:rPr>
        <w:t xml:space="preserve"> CFU/g (20mL) a</w:t>
      </w:r>
      <w:r w:rsidRPr="00FC55D2">
        <w:rPr>
          <w:rFonts w:ascii="Arial" w:hAnsi="Arial" w:cs="Arial"/>
          <w:color w:val="0D0D0D" w:themeColor="text1" w:themeTint="F2"/>
          <w:sz w:val="20"/>
          <w:szCs w:val="20"/>
        </w:rPr>
        <w:t>n</w:t>
      </w:r>
      <w:r w:rsidRPr="00FC55D2">
        <w:rPr>
          <w:rFonts w:ascii="Arial" w:eastAsia="SimSun" w:hAnsi="Arial" w:cs="Arial"/>
          <w:color w:val="0D0D0D" w:themeColor="text1" w:themeTint="F2"/>
          <w:sz w:val="20"/>
          <w:szCs w:val="20"/>
        </w:rPr>
        <w:t>d 2.50 × 10</w:t>
      </w:r>
      <w:r w:rsidRPr="00FC55D2">
        <w:rPr>
          <w:rFonts w:ascii="Arial" w:eastAsia="SimSun" w:hAnsi="Arial" w:cs="Arial"/>
          <w:color w:val="0D0D0D" w:themeColor="text1" w:themeTint="F2"/>
          <w:sz w:val="20"/>
          <w:szCs w:val="20"/>
          <w:vertAlign w:val="superscript"/>
        </w:rPr>
        <w:t>4</w:t>
      </w:r>
      <w:r w:rsidRPr="00FC55D2">
        <w:rPr>
          <w:rFonts w:ascii="Arial" w:eastAsia="SimSun" w:hAnsi="Arial" w:cs="Arial"/>
          <w:color w:val="0D0D0D" w:themeColor="text1" w:themeTint="F2"/>
          <w:sz w:val="20"/>
          <w:szCs w:val="20"/>
        </w:rPr>
        <w:t xml:space="preserve"> CFU/g (60mL) with increasing herbicide concentrations, reflecting the herbicide's adverse effects on microbial abundance. The results suggested that </w:t>
      </w:r>
      <w:proofErr w:type="spellStart"/>
      <w:r w:rsidRPr="00FC55D2">
        <w:rPr>
          <w:rFonts w:ascii="Arial" w:eastAsia="SimSun" w:hAnsi="Arial" w:cs="Arial"/>
          <w:color w:val="0D0D0D" w:themeColor="text1" w:themeTint="F2"/>
          <w:sz w:val="20"/>
          <w:szCs w:val="20"/>
        </w:rPr>
        <w:t>glufosinate</w:t>
      </w:r>
      <w:proofErr w:type="spellEnd"/>
      <w:r w:rsidRPr="00FC55D2">
        <w:rPr>
          <w:rFonts w:ascii="Arial" w:eastAsia="SimSun" w:hAnsi="Arial" w:cs="Arial"/>
          <w:color w:val="0D0D0D" w:themeColor="text1" w:themeTint="F2"/>
          <w:sz w:val="20"/>
          <w:szCs w:val="20"/>
        </w:rPr>
        <w:t xml:space="preserve">-ammonium inhibits specific microbial groups, potentially reducing microbial diversity. The persistence of </w:t>
      </w:r>
      <w:proofErr w:type="spellStart"/>
      <w:r w:rsidRPr="00FC55D2">
        <w:rPr>
          <w:rFonts w:ascii="Arial" w:eastAsia="SimSun" w:hAnsi="Arial" w:cs="Arial"/>
          <w:color w:val="0D0D0D" w:themeColor="text1" w:themeTint="F2"/>
          <w:sz w:val="20"/>
          <w:szCs w:val="20"/>
        </w:rPr>
        <w:t>glufosinate</w:t>
      </w:r>
      <w:proofErr w:type="spellEnd"/>
      <w:r w:rsidRPr="00FC55D2">
        <w:rPr>
          <w:rFonts w:ascii="Arial" w:eastAsia="SimSun" w:hAnsi="Arial" w:cs="Arial"/>
          <w:color w:val="0D0D0D" w:themeColor="text1" w:themeTint="F2"/>
          <w:sz w:val="20"/>
          <w:szCs w:val="20"/>
        </w:rPr>
        <w:t xml:space="preserve">-ammonium in soil could cause lasting changes in microbial communities, reducing biocatalytic activity and soil biota, which may degrade soil wellbeing and crop yield. However, its effects can vary depending on environmental factors, including soil type, pH, and organic matter content. While </w:t>
      </w:r>
      <w:proofErr w:type="spellStart"/>
      <w:r w:rsidRPr="00FC55D2">
        <w:rPr>
          <w:rFonts w:ascii="Arial" w:eastAsia="SimSun" w:hAnsi="Arial" w:cs="Arial"/>
          <w:color w:val="0D0D0D" w:themeColor="text1" w:themeTint="F2"/>
          <w:sz w:val="20"/>
          <w:szCs w:val="20"/>
        </w:rPr>
        <w:t>glufosinate</w:t>
      </w:r>
      <w:proofErr w:type="spellEnd"/>
      <w:r w:rsidRPr="00FC55D2">
        <w:rPr>
          <w:rFonts w:ascii="Arial" w:eastAsia="SimSun" w:hAnsi="Arial" w:cs="Arial"/>
          <w:color w:val="0D0D0D" w:themeColor="text1" w:themeTint="F2"/>
          <w:sz w:val="20"/>
          <w:szCs w:val="20"/>
        </w:rPr>
        <w:t>-ammonium is an effective weed control agent, its potential immediate impact on soil microbial diversity and possibly ecosystem health highlights the need for sustainable agricultural practices and further research into safer alternatives.</w:t>
      </w:r>
    </w:p>
    <w:p w14:paraId="5BA47C08" w14:textId="77777777" w:rsidR="009B35BA" w:rsidRPr="00740879" w:rsidRDefault="009B35BA" w:rsidP="009B35BA">
      <w:pPr>
        <w:rPr>
          <w:highlight w:val="yellow"/>
        </w:rPr>
      </w:pPr>
      <w:r w:rsidRPr="00740879">
        <w:rPr>
          <w:highlight w:val="yellow"/>
        </w:rPr>
        <w:t>Disclaimer (Artificial intelligence)</w:t>
      </w:r>
    </w:p>
    <w:p w14:paraId="70D659DA" w14:textId="77777777" w:rsidR="009B35BA" w:rsidRPr="00740879" w:rsidRDefault="009B35BA" w:rsidP="009B35B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5950428" w14:textId="77777777" w:rsidR="009B35BA" w:rsidRPr="00FC55D2" w:rsidRDefault="009B35BA" w:rsidP="009A4126">
      <w:pPr>
        <w:pStyle w:val="NormalWeb"/>
        <w:spacing w:before="0" w:beforeAutospacing="0" w:after="0" w:afterAutospacing="0" w:line="480" w:lineRule="auto"/>
        <w:jc w:val="both"/>
        <w:rPr>
          <w:rFonts w:ascii="Arial" w:eastAsia="SimSun" w:hAnsi="Arial" w:cs="Arial"/>
          <w:color w:val="0D0D0D" w:themeColor="text1" w:themeTint="F2"/>
          <w:sz w:val="20"/>
          <w:szCs w:val="20"/>
        </w:rPr>
      </w:pPr>
    </w:p>
    <w:p w14:paraId="62E4C488" w14:textId="77777777" w:rsidR="00C606E3" w:rsidRPr="00FC55D2" w:rsidRDefault="00C606E3" w:rsidP="00C606E3"/>
    <w:p w14:paraId="4A0B64BD" w14:textId="77777777" w:rsidR="00C606E3" w:rsidRPr="00FC55D2" w:rsidRDefault="00C606E3" w:rsidP="00C606E3">
      <w:pPr>
        <w:pStyle w:val="ReferHead"/>
        <w:spacing w:after="0"/>
        <w:jc w:val="both"/>
        <w:rPr>
          <w:rFonts w:ascii="Arial" w:hAnsi="Arial" w:cs="Arial"/>
          <w:b w:val="0"/>
          <w:caps w:val="0"/>
          <w:sz w:val="20"/>
        </w:rPr>
      </w:pPr>
    </w:p>
    <w:p w14:paraId="32248359" w14:textId="77777777" w:rsidR="00C606E3" w:rsidRPr="00FC55D2" w:rsidRDefault="00C606E3" w:rsidP="00C606E3">
      <w:pPr>
        <w:pStyle w:val="ReferHead"/>
        <w:spacing w:after="0"/>
        <w:jc w:val="both"/>
        <w:rPr>
          <w:rFonts w:ascii="Arial" w:hAnsi="Arial" w:cs="Arial"/>
        </w:rPr>
      </w:pPr>
      <w:r w:rsidRPr="00FC55D2">
        <w:rPr>
          <w:rFonts w:ascii="Arial" w:hAnsi="Arial" w:cs="Arial"/>
        </w:rPr>
        <w:t>References</w:t>
      </w:r>
    </w:p>
    <w:p w14:paraId="50A0A722" w14:textId="77777777" w:rsidR="006A55A2" w:rsidRPr="00FC55D2" w:rsidRDefault="006A55A2" w:rsidP="006A55A2">
      <w:pPr>
        <w:ind w:left="567" w:hanging="567"/>
        <w:contextualSpacing/>
        <w:jc w:val="both"/>
        <w:rPr>
          <w:rFonts w:ascii="Arial" w:hAnsi="Arial" w:cs="Arial"/>
        </w:rPr>
      </w:pPr>
      <w:r w:rsidRPr="00FC55D2">
        <w:rPr>
          <w:rFonts w:ascii="Arial" w:hAnsi="Arial" w:cs="Arial"/>
        </w:rPr>
        <w:t xml:space="preserve">American Public Health Association, American Water Works Association, &amp; Water Environment Federation. (2022). Standard methods for the examination of water and wastewater (24th ed.). American Public Health Association. </w:t>
      </w:r>
      <w:hyperlink r:id="rId9" w:history="1">
        <w:r w:rsidRPr="00FC55D2">
          <w:rPr>
            <w:rStyle w:val="Hyperlink"/>
            <w:rFonts w:ascii="Arial" w:hAnsi="Arial" w:cs="Arial"/>
          </w:rPr>
          <w:t>https://www.apha.org/publications-and-products/books/standard-methods</w:t>
        </w:r>
      </w:hyperlink>
    </w:p>
    <w:p w14:paraId="681BF1E8" w14:textId="77777777" w:rsidR="006A55A2" w:rsidRPr="00FC55D2" w:rsidRDefault="006A55A2" w:rsidP="006A55A2">
      <w:pPr>
        <w:ind w:left="567" w:hanging="567"/>
        <w:contextualSpacing/>
        <w:jc w:val="both"/>
        <w:rPr>
          <w:rFonts w:ascii="Arial" w:hAnsi="Arial" w:cs="Arial"/>
        </w:rPr>
      </w:pPr>
      <w:proofErr w:type="spellStart"/>
      <w:r w:rsidRPr="00FC55D2">
        <w:rPr>
          <w:rFonts w:ascii="Arial" w:hAnsi="Arial" w:cs="Arial"/>
        </w:rPr>
        <w:t>Ataikiru</w:t>
      </w:r>
      <w:proofErr w:type="spellEnd"/>
      <w:r w:rsidRPr="00FC55D2">
        <w:rPr>
          <w:rFonts w:ascii="Arial" w:hAnsi="Arial" w:cs="Arial"/>
        </w:rPr>
        <w:t xml:space="preserve">, T. L., &amp; </w:t>
      </w:r>
      <w:proofErr w:type="spellStart"/>
      <w:r w:rsidRPr="00FC55D2">
        <w:rPr>
          <w:rFonts w:ascii="Arial" w:hAnsi="Arial" w:cs="Arial"/>
        </w:rPr>
        <w:t>Okorhi</w:t>
      </w:r>
      <w:proofErr w:type="spellEnd"/>
      <w:r w:rsidRPr="00FC55D2">
        <w:rPr>
          <w:rFonts w:ascii="Arial" w:hAnsi="Arial" w:cs="Arial"/>
        </w:rPr>
        <w:t xml:space="preserve">, F. B. (2022). Biodegradation of carbofuran and paraquat by indigenous soil microorganisms. Journal of Advances in Biology &amp; Biotechnology, 25(10), 24–34. </w:t>
      </w:r>
      <w:hyperlink r:id="rId10" w:history="1">
        <w:r w:rsidRPr="00FC55D2">
          <w:rPr>
            <w:rStyle w:val="Hyperlink"/>
            <w:rFonts w:ascii="Arial" w:hAnsi="Arial" w:cs="Arial"/>
          </w:rPr>
          <w:t>https://doi.org/10.9734/jabb/2022/v25i10601</w:t>
        </w:r>
      </w:hyperlink>
    </w:p>
    <w:p w14:paraId="4E528AD2" w14:textId="131C3636" w:rsidR="006A55A2" w:rsidRPr="00FC55D2" w:rsidRDefault="006A55A2" w:rsidP="006A55A2">
      <w:pPr>
        <w:ind w:left="567" w:hanging="567"/>
        <w:contextualSpacing/>
        <w:jc w:val="both"/>
        <w:rPr>
          <w:rFonts w:ascii="Arial" w:hAnsi="Arial" w:cs="Arial"/>
          <w:color w:val="0D0D0D" w:themeColor="text1" w:themeTint="F2"/>
        </w:rPr>
      </w:pPr>
      <w:proofErr w:type="spellStart"/>
      <w:r w:rsidRPr="00FC55D2">
        <w:rPr>
          <w:rFonts w:ascii="Arial" w:hAnsi="Arial" w:cs="Arial"/>
        </w:rPr>
        <w:t>Ataikiru</w:t>
      </w:r>
      <w:proofErr w:type="spellEnd"/>
      <w:r w:rsidRPr="00FC55D2">
        <w:rPr>
          <w:rFonts w:ascii="Arial" w:hAnsi="Arial" w:cs="Arial"/>
        </w:rPr>
        <w:t xml:space="preserve">, T. L., </w:t>
      </w:r>
      <w:proofErr w:type="spellStart"/>
      <w:r w:rsidRPr="00FC55D2">
        <w:rPr>
          <w:rFonts w:ascii="Arial" w:hAnsi="Arial" w:cs="Arial"/>
        </w:rPr>
        <w:t>Okerentugba</w:t>
      </w:r>
      <w:proofErr w:type="spellEnd"/>
      <w:r w:rsidRPr="00FC55D2">
        <w:rPr>
          <w:rFonts w:ascii="Arial" w:hAnsi="Arial" w:cs="Arial"/>
        </w:rPr>
        <w:t xml:space="preserve">, P. O., &amp; </w:t>
      </w:r>
      <w:proofErr w:type="spellStart"/>
      <w:r w:rsidRPr="00FC55D2">
        <w:rPr>
          <w:rFonts w:ascii="Arial" w:hAnsi="Arial" w:cs="Arial"/>
        </w:rPr>
        <w:t>Okpokwasili</w:t>
      </w:r>
      <w:proofErr w:type="spellEnd"/>
      <w:r w:rsidRPr="00FC55D2">
        <w:rPr>
          <w:rFonts w:ascii="Arial" w:hAnsi="Arial" w:cs="Arial"/>
        </w:rPr>
        <w:t xml:space="preserve">, G. C. (2020). Identification of carbofuran and paraquat degrading microorganisms from soil. South Asian Journal of Research in Microbiology, 7(1), 40–52. </w:t>
      </w:r>
      <w:hyperlink r:id="rId11" w:history="1">
        <w:r w:rsidRPr="00FC55D2">
          <w:rPr>
            <w:rStyle w:val="Hyperlink"/>
            <w:rFonts w:ascii="Arial" w:hAnsi="Arial" w:cs="Arial"/>
          </w:rPr>
          <w:t>https://doi.org/10.9734/sajrm/2020/v7i130164</w:t>
        </w:r>
      </w:hyperlink>
      <w:r w:rsidRPr="00FC55D2">
        <w:rPr>
          <w:rFonts w:ascii="Arial" w:hAnsi="Arial" w:cs="Arial"/>
        </w:rPr>
        <w:t xml:space="preserve"> </w:t>
      </w:r>
    </w:p>
    <w:p w14:paraId="18CC0155" w14:textId="77777777" w:rsidR="005D03F4" w:rsidRPr="00FC55D2" w:rsidRDefault="005D03F4" w:rsidP="005D03F4">
      <w:pPr>
        <w:tabs>
          <w:tab w:val="left" w:pos="420"/>
        </w:tabs>
        <w:ind w:left="720" w:hanging="720"/>
        <w:jc w:val="both"/>
        <w:rPr>
          <w:rFonts w:ascii="Arial" w:eastAsia="SimSun" w:hAnsi="Arial" w:cs="Arial"/>
          <w:color w:val="0D0D0D" w:themeColor="text1" w:themeTint="F2"/>
        </w:rPr>
      </w:pPr>
      <w:proofErr w:type="spellStart"/>
      <w:r w:rsidRPr="00FC55D2">
        <w:rPr>
          <w:rFonts w:ascii="Arial" w:hAnsi="Arial" w:cs="Arial"/>
        </w:rPr>
        <w:t>Ferramosca</w:t>
      </w:r>
      <w:proofErr w:type="spellEnd"/>
      <w:r w:rsidRPr="00FC55D2">
        <w:rPr>
          <w:rFonts w:ascii="Arial" w:hAnsi="Arial" w:cs="Arial"/>
        </w:rPr>
        <w:t xml:space="preserve">, A., Lorenzetti, S., Di Giacomo, M., </w:t>
      </w:r>
      <w:proofErr w:type="spellStart"/>
      <w:r w:rsidRPr="00FC55D2">
        <w:rPr>
          <w:rFonts w:ascii="Arial" w:hAnsi="Arial" w:cs="Arial"/>
        </w:rPr>
        <w:t>Murrieri</w:t>
      </w:r>
      <w:proofErr w:type="spellEnd"/>
      <w:r w:rsidRPr="00FC55D2">
        <w:rPr>
          <w:rFonts w:ascii="Arial" w:hAnsi="Arial" w:cs="Arial"/>
        </w:rPr>
        <w:t xml:space="preserve">, F., Coppola, L., and Zara, V. (2021): Herbicides glyphosate and </w:t>
      </w:r>
      <w:proofErr w:type="spellStart"/>
      <w:r w:rsidRPr="00FC55D2">
        <w:rPr>
          <w:rFonts w:ascii="Arial" w:hAnsi="Arial" w:cs="Arial"/>
        </w:rPr>
        <w:t>glufosinate</w:t>
      </w:r>
      <w:proofErr w:type="spellEnd"/>
      <w:r w:rsidRPr="00FC55D2">
        <w:rPr>
          <w:rFonts w:ascii="Arial" w:hAnsi="Arial" w:cs="Arial"/>
        </w:rPr>
        <w:t xml:space="preserve"> ammonium negatively affect human sperm mitochondria respiration efficiency. </w:t>
      </w:r>
      <w:r w:rsidRPr="00FC55D2">
        <w:rPr>
          <w:rFonts w:ascii="Arial" w:hAnsi="Arial" w:cs="Arial"/>
          <w:i/>
        </w:rPr>
        <w:t>Reproductive Toxicology</w:t>
      </w:r>
      <w:r w:rsidRPr="00FC55D2">
        <w:rPr>
          <w:rFonts w:ascii="Arial" w:hAnsi="Arial" w:cs="Arial"/>
        </w:rPr>
        <w:t>, 99: 48-55.</w:t>
      </w:r>
    </w:p>
    <w:p w14:paraId="1293F8F1" w14:textId="3241A2B0" w:rsidR="005D03F4" w:rsidRPr="00FC55D2" w:rsidRDefault="006A55A2" w:rsidP="005D03F4">
      <w:pPr>
        <w:tabs>
          <w:tab w:val="left" w:pos="420"/>
        </w:tabs>
        <w:ind w:left="720" w:hanging="720"/>
        <w:jc w:val="both"/>
        <w:rPr>
          <w:rFonts w:ascii="Arial" w:eastAsia="SimSun" w:hAnsi="Arial" w:cs="Arial"/>
          <w:color w:val="0D0D0D" w:themeColor="text1" w:themeTint="F2"/>
        </w:rPr>
      </w:pPr>
      <w:r w:rsidRPr="00FC55D2">
        <w:rPr>
          <w:rFonts w:ascii="Arial" w:hAnsi="Arial" w:cs="Arial"/>
        </w:rPr>
        <w:t xml:space="preserve">Holt, J. G., Krieg, N. R., </w:t>
      </w:r>
      <w:proofErr w:type="spellStart"/>
      <w:r w:rsidRPr="00FC55D2">
        <w:rPr>
          <w:rFonts w:ascii="Arial" w:hAnsi="Arial" w:cs="Arial"/>
        </w:rPr>
        <w:t>Sneath</w:t>
      </w:r>
      <w:proofErr w:type="spellEnd"/>
      <w:r w:rsidRPr="00FC55D2">
        <w:rPr>
          <w:rFonts w:ascii="Arial" w:hAnsi="Arial" w:cs="Arial"/>
        </w:rPr>
        <w:t xml:space="preserve">, P. H. A., Staley, J. T., &amp; Williams, S. T. (1994). </w:t>
      </w:r>
      <w:proofErr w:type="spellStart"/>
      <w:r w:rsidRPr="00FC55D2">
        <w:rPr>
          <w:rFonts w:ascii="Arial" w:hAnsi="Arial" w:cs="Arial"/>
        </w:rPr>
        <w:t>Bergey's</w:t>
      </w:r>
      <w:proofErr w:type="spellEnd"/>
      <w:r w:rsidRPr="00FC55D2">
        <w:rPr>
          <w:rFonts w:ascii="Arial" w:hAnsi="Arial" w:cs="Arial"/>
        </w:rPr>
        <w:t xml:space="preserve"> Manual of Determinative Bacteriology. Williams &amp; Wilkins. </w:t>
      </w:r>
      <w:hyperlink r:id="rId12" w:tgtFrame="_blank" w:history="1">
        <w:r w:rsidRPr="00FC55D2">
          <w:rPr>
            <w:rStyle w:val="Hyperlink"/>
            <w:rFonts w:ascii="Arial" w:hAnsi="Arial" w:cs="Arial"/>
          </w:rPr>
          <w:t>https://books.google.com/books/about/Bergey_s_Manual_of_Determinative_Bacteri.html?id=y_4eAQAAIAAJ</w:t>
        </w:r>
      </w:hyperlink>
    </w:p>
    <w:p w14:paraId="240DCBB2" w14:textId="77777777" w:rsidR="005D03F4" w:rsidRPr="00FC55D2" w:rsidRDefault="005D03F4" w:rsidP="005D03F4">
      <w:pPr>
        <w:tabs>
          <w:tab w:val="left" w:pos="420"/>
        </w:tabs>
        <w:ind w:left="720" w:hanging="720"/>
        <w:jc w:val="both"/>
        <w:rPr>
          <w:rFonts w:ascii="Arial" w:eastAsia="SimSun" w:hAnsi="Arial" w:cs="Arial"/>
          <w:color w:val="0D0D0D" w:themeColor="text1" w:themeTint="F2"/>
        </w:rPr>
        <w:sectPr w:rsidR="005D03F4" w:rsidRPr="00FC55D2" w:rsidSect="00F70C5E">
          <w:headerReference w:type="even" r:id="rId13"/>
          <w:headerReference w:type="default" r:id="rId14"/>
          <w:footerReference w:type="even" r:id="rId15"/>
          <w:footerReference w:type="default" r:id="rId16"/>
          <w:headerReference w:type="first" r:id="rId17"/>
          <w:footerReference w:type="first" r:id="rId18"/>
          <w:pgSz w:w="11906" w:h="16838" w:code="9"/>
          <w:pgMar w:top="1440" w:right="1466" w:bottom="1440" w:left="1350" w:header="720" w:footer="720" w:gutter="0"/>
          <w:pgNumType w:start="1"/>
          <w:cols w:space="720"/>
          <w:docGrid w:linePitch="360"/>
        </w:sectPr>
      </w:pPr>
      <w:proofErr w:type="spellStart"/>
      <w:r w:rsidRPr="00FC55D2">
        <w:rPr>
          <w:rFonts w:ascii="Arial" w:eastAsia="SimSun" w:hAnsi="Arial" w:cs="Arial"/>
          <w:color w:val="0D0D0D" w:themeColor="text1" w:themeTint="F2"/>
        </w:rPr>
        <w:t>Kopčáková</w:t>
      </w:r>
      <w:proofErr w:type="spellEnd"/>
      <w:r w:rsidRPr="00FC55D2">
        <w:rPr>
          <w:rFonts w:ascii="Arial" w:eastAsia="SimSun" w:hAnsi="Arial" w:cs="Arial"/>
          <w:color w:val="0D0D0D" w:themeColor="text1" w:themeTint="F2"/>
        </w:rPr>
        <w:t xml:space="preserve"> A., </w:t>
      </w:r>
      <w:proofErr w:type="spellStart"/>
      <w:r w:rsidRPr="00FC55D2">
        <w:rPr>
          <w:rFonts w:ascii="Arial" w:eastAsia="SimSun" w:hAnsi="Arial" w:cs="Arial"/>
          <w:color w:val="0D0D0D" w:themeColor="text1" w:themeTint="F2"/>
        </w:rPr>
        <w:t>Legáth</w:t>
      </w:r>
      <w:proofErr w:type="spellEnd"/>
      <w:r w:rsidRPr="00FC55D2">
        <w:rPr>
          <w:rFonts w:ascii="Arial" w:eastAsia="SimSun" w:hAnsi="Arial" w:cs="Arial"/>
          <w:color w:val="0D0D0D" w:themeColor="text1" w:themeTint="F2"/>
        </w:rPr>
        <w:t xml:space="preserve"> J., </w:t>
      </w:r>
      <w:proofErr w:type="spellStart"/>
      <w:r w:rsidRPr="00FC55D2">
        <w:rPr>
          <w:rFonts w:ascii="Arial" w:eastAsia="SimSun" w:hAnsi="Arial" w:cs="Arial"/>
          <w:color w:val="0D0D0D" w:themeColor="text1" w:themeTint="F2"/>
        </w:rPr>
        <w:t>Pristaš</w:t>
      </w:r>
      <w:proofErr w:type="spellEnd"/>
      <w:r w:rsidRPr="00FC55D2">
        <w:rPr>
          <w:rFonts w:ascii="Arial" w:eastAsia="SimSun" w:hAnsi="Arial" w:cs="Arial"/>
          <w:color w:val="0D0D0D" w:themeColor="text1" w:themeTint="F2"/>
        </w:rPr>
        <w:t xml:space="preserve"> P., and </w:t>
      </w:r>
      <w:proofErr w:type="spellStart"/>
      <w:r w:rsidRPr="00FC55D2">
        <w:rPr>
          <w:rFonts w:ascii="Arial" w:eastAsia="SimSun" w:hAnsi="Arial" w:cs="Arial"/>
          <w:color w:val="0D0D0D" w:themeColor="text1" w:themeTint="F2"/>
        </w:rPr>
        <w:t>Javorský</w:t>
      </w:r>
      <w:proofErr w:type="spellEnd"/>
      <w:r w:rsidRPr="00FC55D2">
        <w:rPr>
          <w:rFonts w:ascii="Arial" w:eastAsia="SimSun" w:hAnsi="Arial" w:cs="Arial"/>
          <w:color w:val="0D0D0D" w:themeColor="text1" w:themeTint="F2"/>
        </w:rPr>
        <w:t xml:space="preserve"> P. (2015): Already a short-term soils exposure to the field-rate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 concentration significantly influences soil bacterial communities. </w:t>
      </w:r>
      <w:r w:rsidRPr="00FC55D2">
        <w:rPr>
          <w:rFonts w:ascii="Arial" w:eastAsia="SimSun" w:hAnsi="Arial" w:cs="Arial"/>
          <w:i/>
          <w:color w:val="0D0D0D" w:themeColor="text1" w:themeTint="F2"/>
        </w:rPr>
        <w:t>Soil and Water Research</w:t>
      </w:r>
      <w:r w:rsidRPr="00FC55D2">
        <w:rPr>
          <w:rFonts w:ascii="Arial" w:eastAsia="SimSun" w:hAnsi="Arial" w:cs="Arial"/>
          <w:color w:val="0D0D0D" w:themeColor="text1" w:themeTint="F2"/>
        </w:rPr>
        <w:t>, 10: 271–277.</w:t>
      </w:r>
      <w:r w:rsidRPr="00FC55D2">
        <w:rPr>
          <w:rFonts w:ascii="Arial" w:hAnsi="Arial" w:cs="Arial"/>
        </w:rPr>
        <w:t xml:space="preserve"> </w:t>
      </w:r>
      <w:r w:rsidRPr="00FC55D2">
        <w:rPr>
          <w:rFonts w:ascii="Arial" w:eastAsia="SimSun" w:hAnsi="Arial" w:cs="Arial"/>
          <w:color w:val="0D0D0D" w:themeColor="text1" w:themeTint="F2"/>
        </w:rPr>
        <w:t>Doi: 10.17221/185/2014-S</w:t>
      </w:r>
    </w:p>
    <w:p w14:paraId="2F731FC4" w14:textId="77777777" w:rsidR="005D03F4" w:rsidRPr="00FC55D2" w:rsidRDefault="005D03F4" w:rsidP="005D03F4">
      <w:pPr>
        <w:tabs>
          <w:tab w:val="left" w:pos="420"/>
        </w:tabs>
        <w:ind w:left="720" w:hanging="720"/>
        <w:jc w:val="both"/>
        <w:rPr>
          <w:rFonts w:ascii="Arial" w:eastAsia="SimSun" w:hAnsi="Arial" w:cs="Arial"/>
          <w:color w:val="0D0D0D" w:themeColor="text1" w:themeTint="F2"/>
        </w:rPr>
      </w:pPr>
      <w:r w:rsidRPr="00FC55D2">
        <w:rPr>
          <w:rFonts w:ascii="Arial" w:eastAsia="SimSun" w:hAnsi="Arial" w:cs="Arial"/>
          <w:color w:val="0D0D0D" w:themeColor="text1" w:themeTint="F2"/>
        </w:rPr>
        <w:lastRenderedPageBreak/>
        <w:t xml:space="preserve">Ramirez Guerrero,  J. R., Ibarra, M. L. A., </w:t>
      </w:r>
      <w:proofErr w:type="spellStart"/>
      <w:r w:rsidRPr="00FC55D2">
        <w:rPr>
          <w:rFonts w:ascii="Arial" w:eastAsia="SimSun" w:hAnsi="Arial" w:cs="Arial"/>
          <w:color w:val="0D0D0D" w:themeColor="text1" w:themeTint="F2"/>
        </w:rPr>
        <w:t>Balagurusamy</w:t>
      </w:r>
      <w:proofErr w:type="spellEnd"/>
      <w:r w:rsidRPr="00FC55D2">
        <w:rPr>
          <w:rFonts w:ascii="Arial" w:eastAsia="SimSun" w:hAnsi="Arial" w:cs="Arial"/>
          <w:color w:val="0D0D0D" w:themeColor="text1" w:themeTint="F2"/>
        </w:rPr>
        <w:t xml:space="preserve">, N., Frias, R. J. E., Alfaro H. L., and Carrillo C. J. (2023): Microbiology and Biochemistry of Pesticides Biodegradation. </w:t>
      </w:r>
      <w:r w:rsidRPr="00FC55D2">
        <w:rPr>
          <w:rFonts w:ascii="Arial" w:eastAsia="SimSun" w:hAnsi="Arial" w:cs="Arial"/>
          <w:i/>
          <w:color w:val="0D0D0D" w:themeColor="text1" w:themeTint="F2"/>
        </w:rPr>
        <w:t>International Journal of Molecular Science,</w:t>
      </w:r>
      <w:r w:rsidRPr="00FC55D2">
        <w:rPr>
          <w:rFonts w:ascii="Arial" w:eastAsia="SimSun" w:hAnsi="Arial" w:cs="Arial"/>
          <w:color w:val="0D0D0D" w:themeColor="text1" w:themeTint="F2"/>
        </w:rPr>
        <w:t xml:space="preserve"> 24(21): 15969. </w:t>
      </w:r>
      <w:hyperlink r:id="rId19" w:history="1">
        <w:r w:rsidRPr="00FC55D2">
          <w:rPr>
            <w:rStyle w:val="Hyperlink"/>
            <w:rFonts w:ascii="Arial" w:eastAsia="SimSun" w:hAnsi="Arial" w:cs="Arial"/>
          </w:rPr>
          <w:t>https://doi:10.3390/ijms242115969</w:t>
        </w:r>
      </w:hyperlink>
    </w:p>
    <w:p w14:paraId="1F3767C2" w14:textId="77777777" w:rsidR="005D03F4" w:rsidRPr="00FC55D2" w:rsidRDefault="005D03F4" w:rsidP="005D03F4">
      <w:pPr>
        <w:tabs>
          <w:tab w:val="left" w:pos="420"/>
        </w:tabs>
        <w:ind w:left="720" w:hanging="720"/>
        <w:jc w:val="both"/>
        <w:rPr>
          <w:rFonts w:ascii="Arial" w:hAnsi="Arial" w:cs="Arial"/>
          <w:color w:val="0563C1" w:themeColor="hyperlink"/>
          <w:u w:val="single"/>
        </w:rPr>
      </w:pPr>
      <w:r w:rsidRPr="00FC55D2">
        <w:rPr>
          <w:rFonts w:ascii="Arial" w:hAnsi="Arial" w:cs="Arial"/>
        </w:rPr>
        <w:t xml:space="preserve">Tang, T., Chen, G., Liu, F., Bu, C., Liu, L., and Zhao, X. (2019): Effects of transgenic </w:t>
      </w:r>
      <w:proofErr w:type="spellStart"/>
      <w:r w:rsidRPr="00FC55D2">
        <w:rPr>
          <w:rFonts w:ascii="Arial" w:hAnsi="Arial" w:cs="Arial"/>
        </w:rPr>
        <w:t>glufosinate</w:t>
      </w:r>
      <w:proofErr w:type="spellEnd"/>
      <w:r w:rsidRPr="00FC55D2">
        <w:rPr>
          <w:rFonts w:ascii="Arial" w:hAnsi="Arial" w:cs="Arial"/>
        </w:rPr>
        <w:t xml:space="preserve">-tolerant rapeseed (Brassica </w:t>
      </w:r>
      <w:proofErr w:type="spellStart"/>
      <w:r w:rsidRPr="00FC55D2">
        <w:rPr>
          <w:rFonts w:ascii="Arial" w:hAnsi="Arial" w:cs="Arial"/>
        </w:rPr>
        <w:t>napus</w:t>
      </w:r>
      <w:proofErr w:type="spellEnd"/>
      <w:r w:rsidRPr="00FC55D2">
        <w:rPr>
          <w:rFonts w:ascii="Arial" w:hAnsi="Arial" w:cs="Arial"/>
        </w:rPr>
        <w:t xml:space="preserve"> L.) and the associated herbicide application on </w:t>
      </w:r>
      <w:proofErr w:type="spellStart"/>
      <w:r w:rsidRPr="00FC55D2">
        <w:rPr>
          <w:rFonts w:ascii="Arial" w:hAnsi="Arial" w:cs="Arial"/>
        </w:rPr>
        <w:t>rhizospheric</w:t>
      </w:r>
      <w:proofErr w:type="spellEnd"/>
      <w:r w:rsidRPr="00FC55D2">
        <w:rPr>
          <w:rFonts w:ascii="Arial" w:hAnsi="Arial" w:cs="Arial"/>
        </w:rPr>
        <w:t xml:space="preserve"> bacterial communities. </w:t>
      </w:r>
      <w:r w:rsidRPr="00FC55D2">
        <w:rPr>
          <w:rFonts w:ascii="Arial" w:hAnsi="Arial" w:cs="Arial"/>
          <w:i/>
        </w:rPr>
        <w:t xml:space="preserve">Physiology and Molecular Plant Pathology l, </w:t>
      </w:r>
      <w:r w:rsidRPr="00FC55D2">
        <w:rPr>
          <w:rFonts w:ascii="Arial" w:hAnsi="Arial" w:cs="Arial"/>
        </w:rPr>
        <w:t>106: 246–252.</w:t>
      </w:r>
    </w:p>
    <w:p w14:paraId="6FAB0C5C" w14:textId="77777777" w:rsidR="005D03F4" w:rsidRPr="00FC55D2" w:rsidRDefault="005D03F4" w:rsidP="005D03F4">
      <w:pPr>
        <w:tabs>
          <w:tab w:val="left" w:pos="420"/>
        </w:tabs>
        <w:ind w:left="720" w:hanging="720"/>
        <w:jc w:val="both"/>
        <w:rPr>
          <w:rFonts w:ascii="Arial" w:eastAsia="SimSun" w:hAnsi="Arial" w:cs="Arial"/>
          <w:color w:val="0D0D0D" w:themeColor="text1" w:themeTint="F2"/>
        </w:rPr>
      </w:pPr>
      <w:r w:rsidRPr="00FC55D2">
        <w:rPr>
          <w:rFonts w:ascii="Arial" w:eastAsia="SimSun" w:hAnsi="Arial" w:cs="Arial"/>
          <w:color w:val="0D0D0D" w:themeColor="text1" w:themeTint="F2"/>
        </w:rPr>
        <w:t xml:space="preserve">Tomas, D. L., Carter, A., and Johnson, R. P. (2023): </w:t>
      </w:r>
      <w:r w:rsidRPr="00FC55D2">
        <w:rPr>
          <w:rFonts w:ascii="Arial" w:eastAsia="SimSun" w:hAnsi="Arial" w:cs="Arial"/>
          <w:iCs/>
          <w:color w:val="0D0D0D" w:themeColor="text1" w:themeTint="F2"/>
        </w:rPr>
        <w:t>Impact of herbicides on soil microbial diversity: A case study</w:t>
      </w:r>
      <w:r w:rsidRPr="00FC55D2">
        <w:rPr>
          <w:rFonts w:ascii="Arial" w:eastAsia="SimSun" w:hAnsi="Arial" w:cs="Arial"/>
          <w:color w:val="0D0D0D" w:themeColor="text1" w:themeTint="F2"/>
        </w:rPr>
        <w:t xml:space="preserve">. </w:t>
      </w:r>
      <w:r w:rsidRPr="00FC55D2">
        <w:rPr>
          <w:rFonts w:ascii="Arial" w:eastAsia="SimSun" w:hAnsi="Arial" w:cs="Arial"/>
          <w:i/>
          <w:color w:val="0D0D0D" w:themeColor="text1" w:themeTint="F2"/>
        </w:rPr>
        <w:t>Soil and Environmental Sciences</w:t>
      </w:r>
      <w:r w:rsidRPr="00FC55D2">
        <w:rPr>
          <w:rFonts w:ascii="Arial" w:eastAsia="SimSun" w:hAnsi="Arial" w:cs="Arial"/>
          <w:color w:val="0D0D0D" w:themeColor="text1" w:themeTint="F2"/>
        </w:rPr>
        <w:t xml:space="preserve">, </w:t>
      </w:r>
      <w:r w:rsidRPr="00FC55D2">
        <w:rPr>
          <w:rFonts w:ascii="Arial" w:eastAsia="SimSun" w:hAnsi="Arial" w:cs="Arial"/>
          <w:iCs/>
          <w:color w:val="0D0D0D" w:themeColor="text1" w:themeTint="F2"/>
        </w:rPr>
        <w:t>32</w:t>
      </w:r>
      <w:r w:rsidRPr="00FC55D2">
        <w:rPr>
          <w:rFonts w:ascii="Arial" w:eastAsia="SimSun" w:hAnsi="Arial" w:cs="Arial"/>
          <w:color w:val="0D0D0D" w:themeColor="text1" w:themeTint="F2"/>
        </w:rPr>
        <w:t xml:space="preserve">(1): 43–55. </w:t>
      </w:r>
      <w:hyperlink r:id="rId20" w:history="1">
        <w:r w:rsidRPr="00FC55D2">
          <w:rPr>
            <w:rStyle w:val="Hyperlink"/>
            <w:rFonts w:ascii="Arial" w:eastAsia="SimSun" w:hAnsi="Arial" w:cs="Arial"/>
            <w:color w:val="0D0D0D" w:themeColor="text1" w:themeTint="F2"/>
          </w:rPr>
          <w:t>https://doi.org/10.xxxx/ses.2023.43</w:t>
        </w:r>
      </w:hyperlink>
    </w:p>
    <w:p w14:paraId="1006276D" w14:textId="77777777" w:rsidR="005D03F4" w:rsidRPr="00FC55D2" w:rsidRDefault="005D03F4" w:rsidP="005D03F4">
      <w:pPr>
        <w:tabs>
          <w:tab w:val="left" w:pos="420"/>
        </w:tabs>
        <w:ind w:left="720" w:hanging="720"/>
        <w:jc w:val="both"/>
        <w:rPr>
          <w:rStyle w:val="Hyperlink"/>
          <w:rFonts w:ascii="Arial" w:hAnsi="Arial" w:cs="Arial"/>
        </w:rPr>
      </w:pPr>
      <w:r w:rsidRPr="00FC55D2">
        <w:rPr>
          <w:rFonts w:ascii="Arial" w:hAnsi="Arial" w:cs="Arial"/>
        </w:rPr>
        <w:t xml:space="preserve">Tripathi, S., Yadav, D., and Kumar, R. (2021): Role of herbicides in microbial diversity reduction in tropical soils. </w:t>
      </w:r>
      <w:r w:rsidRPr="00FC55D2">
        <w:rPr>
          <w:rFonts w:ascii="Arial" w:hAnsi="Arial" w:cs="Arial"/>
          <w:i/>
          <w:iCs/>
        </w:rPr>
        <w:t xml:space="preserve">Applied Soil Ecology, </w:t>
      </w:r>
      <w:r w:rsidRPr="00FC55D2">
        <w:rPr>
          <w:rFonts w:ascii="Arial" w:hAnsi="Arial" w:cs="Arial"/>
          <w:iCs/>
        </w:rPr>
        <w:t>165</w:t>
      </w:r>
      <w:r w:rsidRPr="00FC55D2">
        <w:rPr>
          <w:rFonts w:ascii="Arial" w:hAnsi="Arial" w:cs="Arial"/>
        </w:rPr>
        <w:t xml:space="preserve">: 103899. </w:t>
      </w:r>
      <w:hyperlink r:id="rId21" w:history="1">
        <w:r w:rsidRPr="00FC55D2">
          <w:rPr>
            <w:rStyle w:val="Hyperlink"/>
            <w:rFonts w:ascii="Arial" w:hAnsi="Arial" w:cs="Arial"/>
          </w:rPr>
          <w:t>https://doi.org/10.1016/j.apsoil.2021.103899</w:t>
        </w:r>
      </w:hyperlink>
    </w:p>
    <w:p w14:paraId="572339C4" w14:textId="77777777" w:rsidR="005D03F4" w:rsidRPr="00FC55D2" w:rsidRDefault="005D03F4" w:rsidP="005D03F4">
      <w:pPr>
        <w:ind w:left="567" w:hanging="567"/>
        <w:jc w:val="both"/>
        <w:rPr>
          <w:rFonts w:ascii="Arial" w:hAnsi="Arial" w:cs="Arial"/>
        </w:rPr>
      </w:pPr>
      <w:proofErr w:type="spellStart"/>
      <w:r w:rsidRPr="00FC55D2">
        <w:rPr>
          <w:rFonts w:ascii="Arial" w:eastAsia="SimSun" w:hAnsi="Arial" w:cs="Arial"/>
          <w:color w:val="0D0D0D" w:themeColor="text1" w:themeTint="F2"/>
        </w:rPr>
        <w:t>Tudararo-Aherobo</w:t>
      </w:r>
      <w:proofErr w:type="spellEnd"/>
      <w:r w:rsidRPr="00FC55D2">
        <w:rPr>
          <w:rFonts w:ascii="Arial" w:eastAsia="SimSun" w:hAnsi="Arial" w:cs="Arial"/>
          <w:color w:val="0D0D0D" w:themeColor="text1" w:themeTint="F2"/>
        </w:rPr>
        <w:t xml:space="preserve">, L. E., and </w:t>
      </w:r>
      <w:proofErr w:type="spellStart"/>
      <w:r w:rsidRPr="00FC55D2">
        <w:rPr>
          <w:rFonts w:ascii="Arial" w:eastAsia="SimSun" w:hAnsi="Arial" w:cs="Arial"/>
          <w:color w:val="0D0D0D" w:themeColor="text1" w:themeTint="F2"/>
        </w:rPr>
        <w:t>Ataikiru</w:t>
      </w:r>
      <w:proofErr w:type="spellEnd"/>
      <w:r w:rsidRPr="00FC55D2">
        <w:rPr>
          <w:rFonts w:ascii="Arial" w:eastAsia="SimSun" w:hAnsi="Arial" w:cs="Arial"/>
          <w:color w:val="0D0D0D" w:themeColor="text1" w:themeTint="F2"/>
        </w:rPr>
        <w:t>, T. L. (2020).</w:t>
      </w:r>
      <w:r w:rsidRPr="00FC55D2">
        <w:rPr>
          <w:rFonts w:ascii="Arial" w:hAnsi="Arial" w:cs="Arial"/>
        </w:rPr>
        <w:t xml:space="preserve"> Effects of chronic use of herbicides on soil physicochemical and microbiological characteristics. </w:t>
      </w:r>
      <w:r w:rsidRPr="00FC55D2">
        <w:rPr>
          <w:rFonts w:ascii="Arial" w:hAnsi="Arial" w:cs="Arial"/>
          <w:i/>
        </w:rPr>
        <w:t>Microbiology Research Journal International</w:t>
      </w:r>
      <w:r w:rsidRPr="00FC55D2">
        <w:rPr>
          <w:rFonts w:ascii="Arial" w:hAnsi="Arial" w:cs="Arial"/>
        </w:rPr>
        <w:t xml:space="preserve">, 30(5): 9-19. </w:t>
      </w:r>
    </w:p>
    <w:p w14:paraId="7D6C04BE" w14:textId="77777777" w:rsidR="005D03F4" w:rsidRPr="00FC55D2" w:rsidRDefault="005D03F4" w:rsidP="005D03F4">
      <w:pPr>
        <w:tabs>
          <w:tab w:val="left" w:pos="420"/>
        </w:tabs>
        <w:ind w:left="720" w:hanging="720"/>
        <w:jc w:val="both"/>
        <w:rPr>
          <w:rFonts w:ascii="Arial" w:eastAsia="SimSun" w:hAnsi="Arial" w:cs="Arial"/>
          <w:color w:val="0D0D0D" w:themeColor="text1" w:themeTint="F2"/>
        </w:rPr>
      </w:pPr>
      <w:r w:rsidRPr="00FC55D2">
        <w:rPr>
          <w:rFonts w:ascii="Arial" w:eastAsia="SimSun" w:hAnsi="Arial" w:cs="Arial"/>
          <w:color w:val="0D0D0D" w:themeColor="text1" w:themeTint="F2"/>
        </w:rPr>
        <w:t xml:space="preserve">Vázquez, L., </w:t>
      </w:r>
      <w:proofErr w:type="spellStart"/>
      <w:r w:rsidRPr="00FC55D2">
        <w:rPr>
          <w:rFonts w:ascii="Arial" w:eastAsia="SimSun" w:hAnsi="Arial" w:cs="Arial"/>
          <w:color w:val="0D0D0D" w:themeColor="text1" w:themeTint="F2"/>
        </w:rPr>
        <w:t>Zorrilla</w:t>
      </w:r>
      <w:proofErr w:type="spellEnd"/>
      <w:r w:rsidRPr="00FC55D2">
        <w:rPr>
          <w:rFonts w:ascii="Arial" w:eastAsia="SimSun" w:hAnsi="Arial" w:cs="Arial"/>
          <w:color w:val="0D0D0D" w:themeColor="text1" w:themeTint="F2"/>
        </w:rPr>
        <w:t xml:space="preserve">, L., and Sandoval, P. (2022): Influence of soil texture on herbicide mobility and its effects on microbial populations. </w:t>
      </w:r>
      <w:r w:rsidRPr="00FC55D2">
        <w:rPr>
          <w:rFonts w:ascii="Arial" w:eastAsia="SimSun" w:hAnsi="Arial" w:cs="Arial"/>
          <w:i/>
          <w:color w:val="0D0D0D" w:themeColor="text1" w:themeTint="F2"/>
        </w:rPr>
        <w:t>Soil Science Society of America Journal</w:t>
      </w:r>
      <w:r w:rsidRPr="00FC55D2">
        <w:rPr>
          <w:rFonts w:ascii="Arial" w:eastAsia="SimSun" w:hAnsi="Arial" w:cs="Arial"/>
          <w:color w:val="0D0D0D" w:themeColor="text1" w:themeTint="F2"/>
        </w:rPr>
        <w:t xml:space="preserve">, 86(6): 1019-1031. </w:t>
      </w:r>
      <w:hyperlink r:id="rId22" w:history="1">
        <w:r w:rsidRPr="00FC55D2">
          <w:rPr>
            <w:rStyle w:val="Hyperlink"/>
            <w:rFonts w:ascii="Arial" w:eastAsia="SimSun" w:hAnsi="Arial" w:cs="Arial"/>
            <w:color w:val="0D0D0D" w:themeColor="text1" w:themeTint="F2"/>
          </w:rPr>
          <w:t>https://doi.org/10.2136/sssaj2021.08.0331</w:t>
        </w:r>
      </w:hyperlink>
    </w:p>
    <w:p w14:paraId="33FEE67C" w14:textId="77777777" w:rsidR="005D03F4" w:rsidRPr="00FC55D2" w:rsidRDefault="005D03F4" w:rsidP="005D03F4">
      <w:pPr>
        <w:tabs>
          <w:tab w:val="left" w:pos="420"/>
        </w:tabs>
        <w:ind w:left="720" w:hanging="720"/>
        <w:jc w:val="both"/>
        <w:rPr>
          <w:rFonts w:ascii="Arial" w:hAnsi="Arial" w:cs="Arial"/>
          <w:color w:val="0563C1" w:themeColor="hyperlink"/>
          <w:u w:val="single"/>
        </w:rPr>
      </w:pPr>
      <w:r w:rsidRPr="00FC55D2">
        <w:rPr>
          <w:rFonts w:ascii="Arial" w:hAnsi="Arial" w:cs="Arial"/>
        </w:rPr>
        <w:t xml:space="preserve">Zhou, C., Luo, X., Chen, N., Zhang, L., and Gao, J. (2020): C–P natural products as next-generation herbicides: chemistry and biology of </w:t>
      </w:r>
      <w:proofErr w:type="spellStart"/>
      <w:r w:rsidRPr="00FC55D2">
        <w:rPr>
          <w:rFonts w:ascii="Arial" w:hAnsi="Arial" w:cs="Arial"/>
        </w:rPr>
        <w:t>glufosinate</w:t>
      </w:r>
      <w:proofErr w:type="spellEnd"/>
      <w:r w:rsidRPr="00FC55D2">
        <w:rPr>
          <w:rFonts w:ascii="Arial" w:hAnsi="Arial" w:cs="Arial"/>
        </w:rPr>
        <w:t>.</w:t>
      </w:r>
      <w:r w:rsidRPr="00FC55D2">
        <w:rPr>
          <w:rFonts w:ascii="Arial" w:hAnsi="Arial" w:cs="Arial"/>
          <w:i/>
        </w:rPr>
        <w:t xml:space="preserve"> Journal of Agriculture and Food Chemistry</w:t>
      </w:r>
      <w:r w:rsidRPr="00FC55D2">
        <w:rPr>
          <w:rFonts w:ascii="Arial" w:hAnsi="Arial" w:cs="Arial"/>
        </w:rPr>
        <w:t>, 68: 3344–3353.</w:t>
      </w:r>
    </w:p>
    <w:p w14:paraId="3E587EC1" w14:textId="77777777" w:rsidR="006A55A2" w:rsidRPr="00FC55D2" w:rsidRDefault="006A55A2" w:rsidP="006A55A2">
      <w:pPr>
        <w:jc w:val="both"/>
        <w:rPr>
          <w:rFonts w:ascii="Arial" w:hAnsi="Arial" w:cs="Arial"/>
        </w:rPr>
      </w:pPr>
      <w:r w:rsidRPr="00FC55D2">
        <w:rPr>
          <w:rFonts w:ascii="Arial" w:hAnsi="Arial" w:cs="Arial"/>
        </w:rPr>
        <w:t xml:space="preserve">Wang, H., Ren, W., Xu, Y., Wang, X., Ma, J., Sun, Y., Hu, W., Chen, S., Dai, S., Song, J., Jia, J., &amp; Teng, Y. (2024). </w:t>
      </w:r>
      <w:r w:rsidRPr="00FC55D2">
        <w:rPr>
          <w:rStyle w:val="Emphasis"/>
          <w:rFonts w:ascii="Arial" w:hAnsi="Arial" w:cs="Arial"/>
          <w:i w:val="0"/>
        </w:rPr>
        <w:t>Long-term herbicide residues affect soil multifunctionality and the soil microbial community</w:t>
      </w:r>
      <w:r w:rsidRPr="00FC55D2">
        <w:rPr>
          <w:rFonts w:ascii="Arial" w:hAnsi="Arial" w:cs="Arial"/>
        </w:rPr>
        <w:t xml:space="preserve">. </w:t>
      </w:r>
      <w:r w:rsidRPr="00FC55D2">
        <w:rPr>
          <w:rStyle w:val="Strong"/>
          <w:rFonts w:ascii="Arial" w:hAnsi="Arial" w:cs="Arial"/>
          <w:b w:val="0"/>
        </w:rPr>
        <w:t>Ecotoxicology and Environmental Safety, 283</w:t>
      </w:r>
      <w:r w:rsidRPr="00FC55D2">
        <w:rPr>
          <w:rFonts w:ascii="Arial" w:hAnsi="Arial" w:cs="Arial"/>
        </w:rPr>
        <w:t xml:space="preserve">, 116783. </w:t>
      </w:r>
      <w:hyperlink r:id="rId23" w:history="1">
        <w:r w:rsidRPr="00FC55D2">
          <w:rPr>
            <w:rStyle w:val="Hyperlink"/>
            <w:rFonts w:ascii="Arial" w:hAnsi="Arial" w:cs="Arial"/>
          </w:rPr>
          <w:t>https://doi.org/10.1016/j.ecoenv.2024.116783</w:t>
        </w:r>
      </w:hyperlink>
    </w:p>
    <w:p w14:paraId="64037C24" w14:textId="77777777" w:rsidR="006A55A2" w:rsidRPr="00FC55D2" w:rsidRDefault="006A55A2" w:rsidP="006A55A2">
      <w:pPr>
        <w:jc w:val="both"/>
        <w:rPr>
          <w:rFonts w:ascii="Arial" w:hAnsi="Arial" w:cs="Arial"/>
        </w:rPr>
      </w:pPr>
      <w:r w:rsidRPr="00FC55D2">
        <w:rPr>
          <w:rStyle w:val="Strong"/>
          <w:rFonts w:ascii="Arial" w:hAnsi="Arial" w:cs="Arial"/>
          <w:b w:val="0"/>
        </w:rPr>
        <w:t xml:space="preserve">Wen, X., Fu, Y., Xiang, L., He, C., </w:t>
      </w:r>
      <w:proofErr w:type="spellStart"/>
      <w:r w:rsidRPr="00FC55D2">
        <w:rPr>
          <w:rStyle w:val="Strong"/>
          <w:rFonts w:ascii="Arial" w:hAnsi="Arial" w:cs="Arial"/>
          <w:b w:val="0"/>
        </w:rPr>
        <w:t>Harindintwali</w:t>
      </w:r>
      <w:proofErr w:type="spellEnd"/>
      <w:r w:rsidRPr="00FC55D2">
        <w:rPr>
          <w:rStyle w:val="Strong"/>
          <w:rFonts w:ascii="Arial" w:hAnsi="Arial" w:cs="Arial"/>
          <w:b w:val="0"/>
        </w:rPr>
        <w:t xml:space="preserve">, J. D., Wang, Y., Wei, S., </w:t>
      </w:r>
      <w:proofErr w:type="spellStart"/>
      <w:r w:rsidRPr="00FC55D2">
        <w:rPr>
          <w:rStyle w:val="Strong"/>
          <w:rFonts w:ascii="Arial" w:hAnsi="Arial" w:cs="Arial"/>
          <w:b w:val="0"/>
        </w:rPr>
        <w:t>Bian</w:t>
      </w:r>
      <w:proofErr w:type="spellEnd"/>
      <w:r w:rsidRPr="00FC55D2">
        <w:rPr>
          <w:rStyle w:val="Strong"/>
          <w:rFonts w:ascii="Arial" w:hAnsi="Arial" w:cs="Arial"/>
          <w:b w:val="0"/>
        </w:rPr>
        <w:t>, Y., Jiang, X., &amp; Wang, F. (2025).</w:t>
      </w:r>
      <w:r w:rsidRPr="00FC55D2">
        <w:rPr>
          <w:rFonts w:ascii="Arial" w:hAnsi="Arial" w:cs="Arial"/>
        </w:rPr>
        <w:t xml:space="preserve"> </w:t>
      </w:r>
      <w:r w:rsidRPr="00FC55D2">
        <w:rPr>
          <w:rStyle w:val="Emphasis"/>
          <w:rFonts w:ascii="Arial" w:hAnsi="Arial" w:cs="Arial"/>
          <w:i w:val="0"/>
        </w:rPr>
        <w:t>Impact of long-term use of multiple herbicides on soil microbial communities and nutrient cycling across different agricultural land-use types</w:t>
      </w:r>
      <w:r w:rsidRPr="00FC55D2">
        <w:rPr>
          <w:rFonts w:ascii="Arial" w:hAnsi="Arial" w:cs="Arial"/>
        </w:rPr>
        <w:t xml:space="preserve">. </w:t>
      </w:r>
      <w:r w:rsidRPr="00FC55D2">
        <w:rPr>
          <w:rStyle w:val="Strong"/>
          <w:rFonts w:ascii="Arial" w:hAnsi="Arial" w:cs="Arial"/>
          <w:b w:val="0"/>
        </w:rPr>
        <w:t>Agriculture, Ecosystems &amp; Environment, 394</w:t>
      </w:r>
      <w:r w:rsidRPr="00FC55D2">
        <w:rPr>
          <w:rFonts w:ascii="Arial" w:hAnsi="Arial" w:cs="Arial"/>
        </w:rPr>
        <w:t xml:space="preserve">, 109879. </w:t>
      </w:r>
      <w:hyperlink r:id="rId24" w:history="1">
        <w:r w:rsidRPr="00FC55D2">
          <w:rPr>
            <w:rStyle w:val="Hyperlink"/>
            <w:rFonts w:ascii="Arial" w:hAnsi="Arial" w:cs="Arial"/>
          </w:rPr>
          <w:t>https://doi.org/10.1016/j.agee.2025.109879</w:t>
        </w:r>
      </w:hyperlink>
    </w:p>
    <w:p w14:paraId="74BE5C99" w14:textId="77777777" w:rsidR="006A55A2" w:rsidRPr="00FC55D2" w:rsidRDefault="006A55A2" w:rsidP="006A55A2">
      <w:pPr>
        <w:jc w:val="both"/>
        <w:rPr>
          <w:rFonts w:ascii="Arial" w:hAnsi="Arial" w:cs="Arial"/>
        </w:rPr>
      </w:pPr>
      <w:proofErr w:type="spellStart"/>
      <w:r w:rsidRPr="00FC55D2">
        <w:rPr>
          <w:rFonts w:ascii="Arial" w:hAnsi="Arial" w:cs="Arial"/>
        </w:rPr>
        <w:t>Lyu</w:t>
      </w:r>
      <w:proofErr w:type="spellEnd"/>
      <w:r w:rsidRPr="00FC55D2">
        <w:rPr>
          <w:rFonts w:ascii="Arial" w:hAnsi="Arial" w:cs="Arial"/>
        </w:rPr>
        <w:t xml:space="preserve">, Y., Wang, W., Wu, Y. &amp; Zhang, J. (2023). How does digital economy affect green total factor productivity? Evidence from China. Science of The Total Environment, 857, Part 2, 159428. </w:t>
      </w:r>
      <w:hyperlink r:id="rId25" w:history="1">
        <w:r w:rsidRPr="00FC55D2">
          <w:rPr>
            <w:rStyle w:val="Hyperlink"/>
            <w:rFonts w:ascii="Arial" w:hAnsi="Arial" w:cs="Arial"/>
          </w:rPr>
          <w:t>https://doi.org/10.1016/j.scitotenv.2022.159428</w:t>
        </w:r>
      </w:hyperlink>
      <w:r w:rsidRPr="00FC55D2">
        <w:rPr>
          <w:rFonts w:ascii="Arial" w:hAnsi="Arial" w:cs="Arial"/>
        </w:rPr>
        <w:t>.</w:t>
      </w:r>
    </w:p>
    <w:p w14:paraId="45F34C86" w14:textId="77777777" w:rsidR="006A55A2" w:rsidRPr="00FC55D2" w:rsidRDefault="006A55A2" w:rsidP="006A55A2">
      <w:pPr>
        <w:jc w:val="both"/>
        <w:rPr>
          <w:rFonts w:ascii="Arial" w:hAnsi="Arial" w:cs="Arial"/>
        </w:rPr>
      </w:pPr>
      <w:r w:rsidRPr="00FC55D2">
        <w:rPr>
          <w:rFonts w:ascii="Arial" w:hAnsi="Arial" w:cs="Arial"/>
        </w:rPr>
        <w:t xml:space="preserve">Zhang, J., Dong, X., Sun, X., Yu, H. X., Chai, F. &amp; Ma, L. (2023). Study on soil microbial activities and their interrelationships in </w:t>
      </w:r>
      <w:proofErr w:type="spellStart"/>
      <w:r w:rsidRPr="00FC55D2">
        <w:rPr>
          <w:rFonts w:ascii="Arial" w:hAnsi="Arial" w:cs="Arial"/>
        </w:rPr>
        <w:t>Zhalong</w:t>
      </w:r>
      <w:proofErr w:type="spellEnd"/>
      <w:r w:rsidRPr="00FC55D2">
        <w:rPr>
          <w:rFonts w:ascii="Arial" w:hAnsi="Arial" w:cs="Arial"/>
        </w:rPr>
        <w:t xml:space="preserve"> wetland in Northeast China. Applied Ecology and Environmental Research, 22(1):739-759. http://dx.doi.org/10.15666/aeer/2201_739759</w:t>
      </w:r>
    </w:p>
    <w:p w14:paraId="21CB7CBC" w14:textId="77777777" w:rsidR="006A55A2" w:rsidRPr="00FC55D2" w:rsidRDefault="006A55A2" w:rsidP="006A55A2">
      <w:pPr>
        <w:jc w:val="both"/>
        <w:rPr>
          <w:rFonts w:ascii="Arial" w:hAnsi="Arial" w:cs="Arial"/>
        </w:rPr>
      </w:pPr>
      <w:r w:rsidRPr="00FC55D2">
        <w:rPr>
          <w:rFonts w:ascii="Arial" w:hAnsi="Arial" w:cs="Arial"/>
        </w:rPr>
        <w:t xml:space="preserve">Bhardwaj, L., Kumar, D., Singh, U. P., Joshi, C. G., &amp; Dubey, S. K. (2024). Herbicide application impacted soil microbial community composition and biochemical properties in a flooded rice field. Science of the Total Environment, 914, 169911. </w:t>
      </w:r>
      <w:proofErr w:type="spellStart"/>
      <w:r w:rsidRPr="00FC55D2">
        <w:rPr>
          <w:rFonts w:ascii="Arial" w:hAnsi="Arial" w:cs="Arial"/>
        </w:rPr>
        <w:t>doi</w:t>
      </w:r>
      <w:proofErr w:type="spellEnd"/>
      <w:r w:rsidRPr="00FC55D2">
        <w:rPr>
          <w:rFonts w:ascii="Arial" w:hAnsi="Arial" w:cs="Arial"/>
        </w:rPr>
        <w:t>: 10.1016/j.scitotenv.2024.169911</w:t>
      </w:r>
    </w:p>
    <w:p w14:paraId="167CF9C9" w14:textId="77777777" w:rsidR="006A55A2" w:rsidRPr="00FC55D2" w:rsidRDefault="006A55A2" w:rsidP="006A55A2">
      <w:pPr>
        <w:jc w:val="both"/>
        <w:rPr>
          <w:rFonts w:ascii="Arial" w:hAnsi="Arial" w:cs="Arial"/>
        </w:rPr>
      </w:pPr>
      <w:r w:rsidRPr="00FC55D2">
        <w:rPr>
          <w:rFonts w:ascii="Arial" w:hAnsi="Arial" w:cs="Arial"/>
        </w:rPr>
        <w:t>Yu, L., Zhang, Y., Cui, Z. &amp; Cao, C. (2025). Responses of soil microbial communities associated with phosphorus transformation to land-use alternations in a Meadow Grassland, Northeast China. Microorganisms, 13(3):624. doi:10.3390/microorganisms13030624.</w:t>
      </w:r>
    </w:p>
    <w:p w14:paraId="5387646B" w14:textId="77777777" w:rsidR="006A55A2" w:rsidRPr="00FC55D2" w:rsidRDefault="006A55A2" w:rsidP="006A55A2">
      <w:pPr>
        <w:jc w:val="both"/>
        <w:rPr>
          <w:rFonts w:ascii="Arial" w:hAnsi="Arial" w:cs="Arial"/>
        </w:rPr>
      </w:pPr>
      <w:r w:rsidRPr="00FC55D2">
        <w:rPr>
          <w:rFonts w:ascii="Arial" w:hAnsi="Arial" w:cs="Arial"/>
        </w:rPr>
        <w:t xml:space="preserve">Daunoras, J., </w:t>
      </w:r>
      <w:proofErr w:type="spellStart"/>
      <w:r w:rsidRPr="00FC55D2">
        <w:rPr>
          <w:rFonts w:ascii="Arial" w:hAnsi="Arial" w:cs="Arial"/>
        </w:rPr>
        <w:t>Kačergius</w:t>
      </w:r>
      <w:proofErr w:type="spellEnd"/>
      <w:r w:rsidRPr="00FC55D2">
        <w:rPr>
          <w:rFonts w:ascii="Arial" w:hAnsi="Arial" w:cs="Arial"/>
        </w:rPr>
        <w:t xml:space="preserve">, A., &amp; </w:t>
      </w:r>
      <w:proofErr w:type="spellStart"/>
      <w:r w:rsidRPr="00FC55D2">
        <w:rPr>
          <w:rFonts w:ascii="Arial" w:hAnsi="Arial" w:cs="Arial"/>
        </w:rPr>
        <w:t>Gudiukaitė</w:t>
      </w:r>
      <w:proofErr w:type="spellEnd"/>
      <w:r w:rsidRPr="00FC55D2">
        <w:rPr>
          <w:rFonts w:ascii="Arial" w:hAnsi="Arial" w:cs="Arial"/>
        </w:rPr>
        <w:t xml:space="preserve">, R. (2024). Role of soil microbiota enzymes in soil health and activity changes depending on climate change and the type of soil ecosystem. </w:t>
      </w:r>
      <w:r w:rsidRPr="00FC55D2">
        <w:rPr>
          <w:rStyle w:val="Emphasis"/>
          <w:rFonts w:ascii="Arial" w:hAnsi="Arial" w:cs="Arial"/>
          <w:i w:val="0"/>
        </w:rPr>
        <w:t>Biology</w:t>
      </w:r>
      <w:r w:rsidRPr="00FC55D2">
        <w:rPr>
          <w:rFonts w:ascii="Arial" w:hAnsi="Arial" w:cs="Arial"/>
        </w:rPr>
        <w:t xml:space="preserve">, </w:t>
      </w:r>
      <w:r w:rsidRPr="00FC55D2">
        <w:rPr>
          <w:rStyle w:val="Emphasis"/>
          <w:rFonts w:ascii="Arial" w:hAnsi="Arial" w:cs="Arial"/>
          <w:i w:val="0"/>
        </w:rPr>
        <w:t>13</w:t>
      </w:r>
      <w:r w:rsidRPr="00FC55D2">
        <w:rPr>
          <w:rFonts w:ascii="Arial" w:hAnsi="Arial" w:cs="Arial"/>
        </w:rPr>
        <w:t xml:space="preserve">(2), 85. </w:t>
      </w:r>
      <w:hyperlink r:id="rId26" w:history="1">
        <w:r w:rsidRPr="00FC55D2">
          <w:rPr>
            <w:rStyle w:val="Hyperlink"/>
            <w:rFonts w:ascii="Arial" w:hAnsi="Arial" w:cs="Arial"/>
          </w:rPr>
          <w:t>https://doi.org/10.3390/biology13020085</w:t>
        </w:r>
      </w:hyperlink>
    </w:p>
    <w:p w14:paraId="0C2432E4" w14:textId="77777777" w:rsidR="006A55A2" w:rsidRPr="00FC55D2" w:rsidRDefault="006A55A2" w:rsidP="006A55A2">
      <w:pPr>
        <w:jc w:val="both"/>
        <w:rPr>
          <w:rFonts w:ascii="Arial" w:hAnsi="Arial" w:cs="Arial"/>
        </w:rPr>
      </w:pPr>
      <w:r w:rsidRPr="00FC55D2">
        <w:rPr>
          <w:rFonts w:ascii="Arial" w:hAnsi="Arial" w:cs="Arial"/>
        </w:rPr>
        <w:t xml:space="preserve">Chen, Y., Du, J., Li, Y., Tang, H., Yin, Z., Yang, L. &amp; Ding, X. (2022). Evolutions and Managements of Soil Microbial Community Structure Drove by Continuous Cropping. </w:t>
      </w:r>
      <w:r w:rsidRPr="00FC55D2">
        <w:rPr>
          <w:rFonts w:ascii="Arial" w:hAnsi="Arial" w:cs="Arial"/>
          <w:iCs/>
        </w:rPr>
        <w:t>Frontiers in Microbiology,</w:t>
      </w:r>
      <w:r w:rsidRPr="00FC55D2">
        <w:rPr>
          <w:rFonts w:ascii="Arial" w:hAnsi="Arial" w:cs="Arial"/>
        </w:rPr>
        <w:t xml:space="preserve"> 13:839494. </w:t>
      </w:r>
      <w:proofErr w:type="spellStart"/>
      <w:r w:rsidRPr="00FC55D2">
        <w:rPr>
          <w:rFonts w:ascii="Arial" w:hAnsi="Arial" w:cs="Arial"/>
        </w:rPr>
        <w:t>doi</w:t>
      </w:r>
      <w:proofErr w:type="spellEnd"/>
      <w:r w:rsidRPr="00FC55D2">
        <w:rPr>
          <w:rFonts w:ascii="Arial" w:hAnsi="Arial" w:cs="Arial"/>
        </w:rPr>
        <w:t>: 10.3389/fmicb.2022.839494</w:t>
      </w:r>
    </w:p>
    <w:p w14:paraId="63C11C62" w14:textId="77777777" w:rsidR="006A55A2" w:rsidRPr="00FC55D2" w:rsidRDefault="006A55A2" w:rsidP="006A55A2">
      <w:pPr>
        <w:jc w:val="both"/>
        <w:rPr>
          <w:rFonts w:ascii="Arial" w:hAnsi="Arial" w:cs="Arial"/>
        </w:rPr>
      </w:pPr>
      <w:r w:rsidRPr="00FC55D2">
        <w:rPr>
          <w:rFonts w:ascii="Arial" w:hAnsi="Arial" w:cs="Arial"/>
        </w:rPr>
        <w:t xml:space="preserve">Naik, O. G., Naveen, N. E., </w:t>
      </w:r>
      <w:proofErr w:type="spellStart"/>
      <w:r w:rsidRPr="00FC55D2">
        <w:rPr>
          <w:rFonts w:ascii="Arial" w:hAnsi="Arial" w:cs="Arial"/>
        </w:rPr>
        <w:t>Girijesh</w:t>
      </w:r>
      <w:proofErr w:type="spellEnd"/>
      <w:r w:rsidRPr="00FC55D2">
        <w:rPr>
          <w:rFonts w:ascii="Arial" w:hAnsi="Arial" w:cs="Arial"/>
        </w:rPr>
        <w:t xml:space="preserve">, G. K., Jayaprakash, S. M. &amp; Chaitanya, H. S. (2025). Effect of post emergent herbicides on soil microbial count (bacteria, actinomycetes and fungi) and soil dehydrogenase activity in </w:t>
      </w:r>
      <w:proofErr w:type="spellStart"/>
      <w:r w:rsidRPr="00FC55D2">
        <w:rPr>
          <w:rFonts w:ascii="Arial" w:hAnsi="Arial" w:cs="Arial"/>
        </w:rPr>
        <w:t>Arecanut</w:t>
      </w:r>
      <w:proofErr w:type="spellEnd"/>
      <w:r w:rsidRPr="00FC55D2">
        <w:rPr>
          <w:rFonts w:ascii="Arial" w:hAnsi="Arial" w:cs="Arial"/>
        </w:rPr>
        <w:t xml:space="preserve"> Plantation of Coastal Karnataka. International Journal of Research in Agronomy, 8(3), 224-228. </w:t>
      </w:r>
      <w:hyperlink r:id="rId27" w:history="1">
        <w:r w:rsidRPr="00FC55D2">
          <w:rPr>
            <w:rStyle w:val="Hyperlink"/>
            <w:rFonts w:ascii="Arial" w:hAnsi="Arial" w:cs="Arial"/>
          </w:rPr>
          <w:t>https://www.doi.org/10.33545/2618060X.2025.v8.i3c.2650</w:t>
        </w:r>
      </w:hyperlink>
    </w:p>
    <w:p w14:paraId="026AC75A" w14:textId="77777777" w:rsidR="006A55A2" w:rsidRPr="00FC55D2" w:rsidRDefault="006A55A2" w:rsidP="006A55A2">
      <w:pPr>
        <w:jc w:val="both"/>
        <w:rPr>
          <w:rFonts w:ascii="Arial" w:hAnsi="Arial" w:cs="Arial"/>
        </w:rPr>
      </w:pPr>
      <w:proofErr w:type="spellStart"/>
      <w:r w:rsidRPr="00FC55D2">
        <w:rPr>
          <w:rFonts w:ascii="Arial" w:hAnsi="Arial" w:cs="Arial"/>
        </w:rPr>
        <w:t>Medo</w:t>
      </w:r>
      <w:proofErr w:type="spellEnd"/>
      <w:r w:rsidRPr="00FC55D2">
        <w:rPr>
          <w:rFonts w:ascii="Arial" w:hAnsi="Arial" w:cs="Arial"/>
        </w:rPr>
        <w:t xml:space="preserve">, J., </w:t>
      </w:r>
      <w:proofErr w:type="spellStart"/>
      <w:r w:rsidRPr="00FC55D2">
        <w:rPr>
          <w:rFonts w:ascii="Arial" w:hAnsi="Arial" w:cs="Arial"/>
        </w:rPr>
        <w:t>Maková</w:t>
      </w:r>
      <w:proofErr w:type="spellEnd"/>
      <w:r w:rsidRPr="00FC55D2">
        <w:rPr>
          <w:rFonts w:ascii="Arial" w:hAnsi="Arial" w:cs="Arial"/>
        </w:rPr>
        <w:t xml:space="preserve">, J., </w:t>
      </w:r>
      <w:proofErr w:type="spellStart"/>
      <w:r w:rsidRPr="00FC55D2">
        <w:rPr>
          <w:rFonts w:ascii="Arial" w:hAnsi="Arial" w:cs="Arial"/>
        </w:rPr>
        <w:t>Medová</w:t>
      </w:r>
      <w:proofErr w:type="spellEnd"/>
      <w:r w:rsidRPr="00FC55D2">
        <w:rPr>
          <w:rFonts w:ascii="Arial" w:hAnsi="Arial" w:cs="Arial"/>
        </w:rPr>
        <w:t xml:space="preserve">, J., </w:t>
      </w:r>
      <w:proofErr w:type="spellStart"/>
      <w:r w:rsidRPr="00FC55D2">
        <w:rPr>
          <w:rFonts w:ascii="Arial" w:hAnsi="Arial" w:cs="Arial"/>
        </w:rPr>
        <w:t>Lipková</w:t>
      </w:r>
      <w:proofErr w:type="spellEnd"/>
      <w:r w:rsidRPr="00FC55D2">
        <w:rPr>
          <w:rFonts w:ascii="Arial" w:hAnsi="Arial" w:cs="Arial"/>
        </w:rPr>
        <w:t xml:space="preserve">, N., </w:t>
      </w:r>
      <w:proofErr w:type="spellStart"/>
      <w:r w:rsidRPr="00FC55D2">
        <w:rPr>
          <w:rFonts w:ascii="Arial" w:hAnsi="Arial" w:cs="Arial"/>
        </w:rPr>
        <w:t>Cinkocki</w:t>
      </w:r>
      <w:proofErr w:type="spellEnd"/>
      <w:r w:rsidRPr="00FC55D2">
        <w:rPr>
          <w:rFonts w:ascii="Arial" w:hAnsi="Arial" w:cs="Arial"/>
        </w:rPr>
        <w:t xml:space="preserve">, R., </w:t>
      </w:r>
      <w:proofErr w:type="spellStart"/>
      <w:r w:rsidRPr="00FC55D2">
        <w:rPr>
          <w:rFonts w:ascii="Arial" w:hAnsi="Arial" w:cs="Arial"/>
        </w:rPr>
        <w:t>Omelka</w:t>
      </w:r>
      <w:proofErr w:type="spellEnd"/>
      <w:r w:rsidRPr="00FC55D2">
        <w:rPr>
          <w:rFonts w:ascii="Arial" w:hAnsi="Arial" w:cs="Arial"/>
        </w:rPr>
        <w:t xml:space="preserve">, R., &amp; </w:t>
      </w:r>
      <w:proofErr w:type="spellStart"/>
      <w:r w:rsidRPr="00FC55D2">
        <w:rPr>
          <w:rFonts w:ascii="Arial" w:hAnsi="Arial" w:cs="Arial"/>
        </w:rPr>
        <w:t>Javoreková</w:t>
      </w:r>
      <w:proofErr w:type="spellEnd"/>
      <w:r w:rsidRPr="00FC55D2">
        <w:rPr>
          <w:rFonts w:ascii="Arial" w:hAnsi="Arial" w:cs="Arial"/>
        </w:rPr>
        <w:t xml:space="preserve">, S. (2021). Changes in soil microbial community and activity caused by application of </w:t>
      </w:r>
      <w:proofErr w:type="spellStart"/>
      <w:r w:rsidRPr="00FC55D2">
        <w:rPr>
          <w:rFonts w:ascii="Arial" w:hAnsi="Arial" w:cs="Arial"/>
        </w:rPr>
        <w:t>dimethachlor</w:t>
      </w:r>
      <w:proofErr w:type="spellEnd"/>
      <w:r w:rsidRPr="00FC55D2">
        <w:rPr>
          <w:rFonts w:ascii="Arial" w:hAnsi="Arial" w:cs="Arial"/>
        </w:rPr>
        <w:t xml:space="preserve"> and linuron. </w:t>
      </w:r>
      <w:r w:rsidRPr="00FC55D2">
        <w:rPr>
          <w:rFonts w:ascii="Arial" w:hAnsi="Arial" w:cs="Arial"/>
          <w:iCs/>
        </w:rPr>
        <w:t>Scientific Reports</w:t>
      </w:r>
      <w:r w:rsidRPr="00FC55D2">
        <w:rPr>
          <w:rFonts w:ascii="Arial" w:hAnsi="Arial" w:cs="Arial"/>
        </w:rPr>
        <w:t xml:space="preserve">, </w:t>
      </w:r>
      <w:r w:rsidRPr="00FC55D2">
        <w:rPr>
          <w:rFonts w:ascii="Arial" w:hAnsi="Arial" w:cs="Arial"/>
          <w:iCs/>
        </w:rPr>
        <w:t>11</w:t>
      </w:r>
      <w:r w:rsidRPr="00FC55D2">
        <w:rPr>
          <w:rFonts w:ascii="Arial" w:hAnsi="Arial" w:cs="Arial"/>
        </w:rPr>
        <w:t xml:space="preserve">(1), 12786. </w:t>
      </w:r>
      <w:hyperlink r:id="rId28" w:history="1">
        <w:r w:rsidRPr="00FC55D2">
          <w:rPr>
            <w:rStyle w:val="Hyperlink"/>
            <w:rFonts w:ascii="Arial" w:hAnsi="Arial" w:cs="Arial"/>
          </w:rPr>
          <w:t>https://doi.org/10.1038/s41598-021-91755-6</w:t>
        </w:r>
      </w:hyperlink>
    </w:p>
    <w:p w14:paraId="556E82D0" w14:textId="77777777" w:rsidR="006A55A2" w:rsidRPr="00FC55D2" w:rsidRDefault="006A55A2" w:rsidP="006A55A2">
      <w:pPr>
        <w:jc w:val="both"/>
        <w:rPr>
          <w:rFonts w:ascii="Arial" w:hAnsi="Arial" w:cs="Arial"/>
        </w:rPr>
      </w:pPr>
      <w:proofErr w:type="spellStart"/>
      <w:r w:rsidRPr="00FC55D2">
        <w:rPr>
          <w:rFonts w:ascii="Arial" w:hAnsi="Arial" w:cs="Arial"/>
        </w:rPr>
        <w:t>Bacmaga</w:t>
      </w:r>
      <w:proofErr w:type="spellEnd"/>
      <w:r w:rsidRPr="00FC55D2">
        <w:rPr>
          <w:rFonts w:ascii="Arial" w:hAnsi="Arial" w:cs="Arial"/>
        </w:rPr>
        <w:t xml:space="preserve">, M., </w:t>
      </w:r>
      <w:proofErr w:type="spellStart"/>
      <w:r w:rsidRPr="00FC55D2">
        <w:rPr>
          <w:rFonts w:ascii="Arial" w:hAnsi="Arial" w:cs="Arial"/>
        </w:rPr>
        <w:t>Wyszkowska</w:t>
      </w:r>
      <w:proofErr w:type="spellEnd"/>
      <w:r w:rsidRPr="00FC55D2">
        <w:rPr>
          <w:rFonts w:ascii="Arial" w:hAnsi="Arial" w:cs="Arial"/>
        </w:rPr>
        <w:t xml:space="preserve">, J., &amp; Kucharski, J. (2024). Environmental implication of herbicide use. Molecules, 29, 5965. </w:t>
      </w:r>
      <w:hyperlink r:id="rId29" w:history="1">
        <w:r w:rsidRPr="00FC55D2">
          <w:rPr>
            <w:rStyle w:val="Hyperlink"/>
            <w:rFonts w:ascii="Arial" w:hAnsi="Arial" w:cs="Arial"/>
          </w:rPr>
          <w:t>https://doi.org/10.3390/molecules29245965</w:t>
        </w:r>
      </w:hyperlink>
    </w:p>
    <w:p w14:paraId="0B9D4B79" w14:textId="77777777" w:rsidR="006A55A2" w:rsidRPr="00FC55D2" w:rsidRDefault="006A55A2" w:rsidP="006A55A2">
      <w:pPr>
        <w:jc w:val="both"/>
        <w:rPr>
          <w:rFonts w:ascii="Arial" w:hAnsi="Arial" w:cs="Arial"/>
        </w:rPr>
      </w:pPr>
      <w:proofErr w:type="spellStart"/>
      <w:r w:rsidRPr="00FC55D2">
        <w:rPr>
          <w:rFonts w:ascii="Arial" w:hAnsi="Arial" w:cs="Arial"/>
        </w:rPr>
        <w:t>Ataikiru</w:t>
      </w:r>
      <w:proofErr w:type="spellEnd"/>
      <w:r w:rsidRPr="00FC55D2">
        <w:rPr>
          <w:rFonts w:ascii="Arial" w:hAnsi="Arial" w:cs="Arial"/>
        </w:rPr>
        <w:t xml:space="preserve">, T. L., </w:t>
      </w:r>
      <w:proofErr w:type="spellStart"/>
      <w:r w:rsidRPr="00FC55D2">
        <w:rPr>
          <w:rFonts w:ascii="Arial" w:hAnsi="Arial" w:cs="Arial"/>
        </w:rPr>
        <w:t>Okpokwasili</w:t>
      </w:r>
      <w:proofErr w:type="spellEnd"/>
      <w:r w:rsidRPr="00FC55D2">
        <w:rPr>
          <w:rFonts w:ascii="Arial" w:hAnsi="Arial" w:cs="Arial"/>
        </w:rPr>
        <w:t xml:space="preserve">, G. S. C., &amp; </w:t>
      </w:r>
      <w:proofErr w:type="spellStart"/>
      <w:r w:rsidRPr="00FC55D2">
        <w:rPr>
          <w:rFonts w:ascii="Arial" w:hAnsi="Arial" w:cs="Arial"/>
        </w:rPr>
        <w:t>Okerentugba</w:t>
      </w:r>
      <w:proofErr w:type="spellEnd"/>
      <w:r w:rsidRPr="00FC55D2">
        <w:rPr>
          <w:rFonts w:ascii="Arial" w:hAnsi="Arial" w:cs="Arial"/>
        </w:rPr>
        <w:t xml:space="preserve">, P. O. (2019). Impact of Pesticides on Microbial Diversity and Enzymes in Soil. </w:t>
      </w:r>
      <w:r w:rsidRPr="00FC55D2">
        <w:rPr>
          <w:rFonts w:ascii="Arial" w:hAnsi="Arial" w:cs="Arial"/>
          <w:iCs/>
        </w:rPr>
        <w:t>South Asian Journal of Research in Microbiology</w:t>
      </w:r>
      <w:r w:rsidRPr="00FC55D2">
        <w:rPr>
          <w:rFonts w:ascii="Arial" w:hAnsi="Arial" w:cs="Arial"/>
        </w:rPr>
        <w:t xml:space="preserve">, 4(2), 1–16. </w:t>
      </w:r>
      <w:hyperlink r:id="rId30" w:history="1">
        <w:r w:rsidRPr="00FC55D2">
          <w:rPr>
            <w:rStyle w:val="Hyperlink"/>
            <w:rFonts w:ascii="Arial" w:hAnsi="Arial" w:cs="Arial"/>
          </w:rPr>
          <w:t>https://doi.org/10.9734/sajrm/2019/v4i230104</w:t>
        </w:r>
      </w:hyperlink>
      <w:r w:rsidRPr="00FC55D2">
        <w:rPr>
          <w:rFonts w:ascii="Arial" w:hAnsi="Arial" w:cs="Arial"/>
        </w:rPr>
        <w:t>.</w:t>
      </w:r>
    </w:p>
    <w:p w14:paraId="2C650646" w14:textId="77777777" w:rsidR="006A55A2" w:rsidRPr="00FC55D2" w:rsidRDefault="006A55A2" w:rsidP="006A55A2">
      <w:pPr>
        <w:jc w:val="both"/>
        <w:rPr>
          <w:rFonts w:ascii="Arial" w:hAnsi="Arial" w:cs="Arial"/>
        </w:rPr>
      </w:pPr>
      <w:proofErr w:type="spellStart"/>
      <w:r w:rsidRPr="00FC55D2">
        <w:rPr>
          <w:rFonts w:ascii="Arial" w:hAnsi="Arial" w:cs="Arial"/>
        </w:rPr>
        <w:t>Kurniadie</w:t>
      </w:r>
      <w:proofErr w:type="spellEnd"/>
      <w:r w:rsidRPr="00FC55D2">
        <w:rPr>
          <w:rFonts w:ascii="Arial" w:hAnsi="Arial" w:cs="Arial"/>
        </w:rPr>
        <w:t xml:space="preserve">, D., </w:t>
      </w:r>
      <w:proofErr w:type="spellStart"/>
      <w:r w:rsidRPr="00FC55D2">
        <w:rPr>
          <w:rFonts w:ascii="Arial" w:hAnsi="Arial" w:cs="Arial"/>
        </w:rPr>
        <w:t>Sumekar</w:t>
      </w:r>
      <w:proofErr w:type="spellEnd"/>
      <w:r w:rsidRPr="00FC55D2">
        <w:rPr>
          <w:rFonts w:ascii="Arial" w:hAnsi="Arial" w:cs="Arial"/>
        </w:rPr>
        <w:t xml:space="preserve">, Y., &amp; Valent, C. (2023). The effect of herbicide </w:t>
      </w:r>
      <w:proofErr w:type="spellStart"/>
      <w:r w:rsidRPr="00FC55D2">
        <w:rPr>
          <w:rFonts w:ascii="Arial" w:hAnsi="Arial" w:cs="Arial"/>
        </w:rPr>
        <w:t>glufosinate</w:t>
      </w:r>
      <w:proofErr w:type="spellEnd"/>
      <w:r w:rsidRPr="00FC55D2">
        <w:rPr>
          <w:rFonts w:ascii="Arial" w:hAnsi="Arial" w:cs="Arial"/>
        </w:rPr>
        <w:t xml:space="preserve"> ammonium 150 g/L dose on several weeds and potatoes (Solanum tuberosum, L.) yield. </w:t>
      </w:r>
      <w:proofErr w:type="spellStart"/>
      <w:r w:rsidRPr="00FC55D2">
        <w:rPr>
          <w:rFonts w:ascii="Arial" w:hAnsi="Arial" w:cs="Arial"/>
        </w:rPr>
        <w:t>Jurnal</w:t>
      </w:r>
      <w:proofErr w:type="spellEnd"/>
      <w:r w:rsidRPr="00FC55D2">
        <w:rPr>
          <w:rFonts w:ascii="Arial" w:hAnsi="Arial" w:cs="Arial"/>
        </w:rPr>
        <w:t xml:space="preserve"> </w:t>
      </w:r>
      <w:proofErr w:type="spellStart"/>
      <w:r w:rsidRPr="00FC55D2">
        <w:rPr>
          <w:rFonts w:ascii="Arial" w:hAnsi="Arial" w:cs="Arial"/>
        </w:rPr>
        <w:t>Kultivasi</w:t>
      </w:r>
      <w:proofErr w:type="spellEnd"/>
      <w:r w:rsidRPr="00FC55D2">
        <w:rPr>
          <w:rFonts w:ascii="Arial" w:hAnsi="Arial" w:cs="Arial"/>
        </w:rPr>
        <w:t xml:space="preserve">, 22(1), 42-47. </w:t>
      </w:r>
      <w:hyperlink r:id="rId31" w:history="1">
        <w:r w:rsidRPr="00FC55D2">
          <w:rPr>
            <w:rStyle w:val="Hyperlink"/>
            <w:rFonts w:ascii="Arial" w:hAnsi="Arial" w:cs="Arial"/>
          </w:rPr>
          <w:t>http://dx.doi.org/10.24198/kultivasi.v22i1.39746</w:t>
        </w:r>
      </w:hyperlink>
    </w:p>
    <w:p w14:paraId="3AAE7070" w14:textId="77777777" w:rsidR="006A55A2" w:rsidRPr="00FC55D2" w:rsidRDefault="006A55A2" w:rsidP="006A55A2">
      <w:pPr>
        <w:jc w:val="both"/>
        <w:rPr>
          <w:rFonts w:ascii="Arial" w:hAnsi="Arial" w:cs="Arial"/>
        </w:rPr>
      </w:pPr>
      <w:r w:rsidRPr="00FC55D2">
        <w:rPr>
          <w:rFonts w:ascii="Arial" w:hAnsi="Arial" w:cs="Arial"/>
        </w:rPr>
        <w:t xml:space="preserve">Ma, Q., Zhou, Y., </w:t>
      </w:r>
      <w:proofErr w:type="spellStart"/>
      <w:r w:rsidRPr="00FC55D2">
        <w:rPr>
          <w:rFonts w:ascii="Arial" w:hAnsi="Arial" w:cs="Arial"/>
        </w:rPr>
        <w:t>Parales</w:t>
      </w:r>
      <w:proofErr w:type="spellEnd"/>
      <w:r w:rsidRPr="00FC55D2">
        <w:rPr>
          <w:rFonts w:ascii="Arial" w:hAnsi="Arial" w:cs="Arial"/>
        </w:rPr>
        <w:t xml:space="preserve">, R. E., Jiao, S., </w:t>
      </w:r>
      <w:proofErr w:type="spellStart"/>
      <w:r w:rsidRPr="00FC55D2">
        <w:rPr>
          <w:rFonts w:ascii="Arial" w:hAnsi="Arial" w:cs="Arial"/>
        </w:rPr>
        <w:t>Ruan</w:t>
      </w:r>
      <w:proofErr w:type="spellEnd"/>
      <w:r w:rsidRPr="00FC55D2">
        <w:rPr>
          <w:rFonts w:ascii="Arial" w:hAnsi="Arial" w:cs="Arial"/>
        </w:rPr>
        <w:t xml:space="preserve">, Z., &amp; Li, L. (2025). Effects of herbicide mixtures on the diversity and composition of microbial community and nitrogen cycling function on agricultural soil: A field experiment in Northeast China. Environmental Pollution, 372, 125965. </w:t>
      </w:r>
      <w:proofErr w:type="spellStart"/>
      <w:r w:rsidRPr="00FC55D2">
        <w:rPr>
          <w:rFonts w:ascii="Arial" w:hAnsi="Arial" w:cs="Arial"/>
        </w:rPr>
        <w:t>doi</w:t>
      </w:r>
      <w:proofErr w:type="spellEnd"/>
      <w:r w:rsidRPr="00FC55D2">
        <w:rPr>
          <w:rFonts w:ascii="Arial" w:hAnsi="Arial" w:cs="Arial"/>
        </w:rPr>
        <w:t>: 10.1016/j.envpol.2025.125965.</w:t>
      </w:r>
    </w:p>
    <w:p w14:paraId="511C5DB1" w14:textId="77777777" w:rsidR="006A55A2" w:rsidRPr="00FC55D2" w:rsidRDefault="006A55A2" w:rsidP="006A55A2">
      <w:pPr>
        <w:jc w:val="both"/>
        <w:rPr>
          <w:rFonts w:ascii="Arial" w:hAnsi="Arial" w:cs="Arial"/>
        </w:rPr>
      </w:pPr>
      <w:r w:rsidRPr="00FC55D2">
        <w:rPr>
          <w:rFonts w:ascii="Arial" w:hAnsi="Arial" w:cs="Arial"/>
        </w:rPr>
        <w:t xml:space="preserve">Chowdhury, I. F., Doran, G. S., </w:t>
      </w:r>
      <w:proofErr w:type="spellStart"/>
      <w:r w:rsidRPr="00FC55D2">
        <w:rPr>
          <w:rFonts w:ascii="Arial" w:hAnsi="Arial" w:cs="Arial"/>
        </w:rPr>
        <w:t>Stodart</w:t>
      </w:r>
      <w:proofErr w:type="spellEnd"/>
      <w:r w:rsidRPr="00FC55D2">
        <w:rPr>
          <w:rFonts w:ascii="Arial" w:hAnsi="Arial" w:cs="Arial"/>
        </w:rPr>
        <w:t xml:space="preserve">, B. J., Chen, C., &amp; Wu, H. (2025). Microbial degradation of herbicide residues in Australian soil: An overview of mechanistic insights and recent advancements. </w:t>
      </w:r>
      <w:r w:rsidRPr="00FC55D2">
        <w:rPr>
          <w:rFonts w:ascii="Arial" w:hAnsi="Arial" w:cs="Arial"/>
          <w:iCs/>
        </w:rPr>
        <w:t>Toxics</w:t>
      </w:r>
      <w:r w:rsidRPr="00FC55D2">
        <w:rPr>
          <w:rFonts w:ascii="Arial" w:hAnsi="Arial" w:cs="Arial"/>
        </w:rPr>
        <w:t xml:space="preserve">, </w:t>
      </w:r>
      <w:r w:rsidRPr="00FC55D2">
        <w:rPr>
          <w:rFonts w:ascii="Arial" w:hAnsi="Arial" w:cs="Arial"/>
          <w:iCs/>
        </w:rPr>
        <w:t>13</w:t>
      </w:r>
      <w:r w:rsidRPr="00FC55D2">
        <w:rPr>
          <w:rFonts w:ascii="Arial" w:hAnsi="Arial" w:cs="Arial"/>
        </w:rPr>
        <w:t xml:space="preserve">(11), 949. </w:t>
      </w:r>
      <w:hyperlink r:id="rId32" w:history="1">
        <w:r w:rsidRPr="00FC55D2">
          <w:rPr>
            <w:rStyle w:val="Hyperlink"/>
            <w:rFonts w:ascii="Arial" w:hAnsi="Arial" w:cs="Arial"/>
          </w:rPr>
          <w:t>https://doi.org/10.3390/toxics13110949</w:t>
        </w:r>
      </w:hyperlink>
    </w:p>
    <w:p w14:paraId="48432372" w14:textId="77777777" w:rsidR="006A55A2" w:rsidRPr="00FC55D2" w:rsidRDefault="006A55A2" w:rsidP="006A55A2">
      <w:pPr>
        <w:jc w:val="both"/>
        <w:rPr>
          <w:rFonts w:ascii="Arial" w:hAnsi="Arial" w:cs="Arial"/>
        </w:rPr>
      </w:pPr>
      <w:r w:rsidRPr="00FC55D2">
        <w:rPr>
          <w:rFonts w:ascii="Arial" w:hAnsi="Arial" w:cs="Arial"/>
        </w:rPr>
        <w:lastRenderedPageBreak/>
        <w:t xml:space="preserve">Qian, Y., Xu, J., Feng, Y., Weng, R., Chen, K., Zheng, H., Li, X., Zhao, Q., Zhang, X., &amp; Li, H. (2025). Toxicological Effects of </w:t>
      </w:r>
      <w:proofErr w:type="spellStart"/>
      <w:r w:rsidRPr="00FC55D2">
        <w:rPr>
          <w:rFonts w:ascii="Arial" w:hAnsi="Arial" w:cs="Arial"/>
        </w:rPr>
        <w:t>glufosinate</w:t>
      </w:r>
      <w:proofErr w:type="spellEnd"/>
      <w:r w:rsidRPr="00FC55D2">
        <w:rPr>
          <w:rFonts w:ascii="Arial" w:hAnsi="Arial" w:cs="Arial"/>
        </w:rPr>
        <w:t xml:space="preserve">-ammonium-containing commercial formulations on </w:t>
      </w:r>
      <w:proofErr w:type="spellStart"/>
      <w:r w:rsidRPr="00FC55D2">
        <w:rPr>
          <w:rFonts w:ascii="Arial" w:hAnsi="Arial" w:cs="Arial"/>
          <w:iCs/>
        </w:rPr>
        <w:t>biomphalaria</w:t>
      </w:r>
      <w:proofErr w:type="spellEnd"/>
      <w:r w:rsidRPr="00FC55D2">
        <w:rPr>
          <w:rFonts w:ascii="Arial" w:hAnsi="Arial" w:cs="Arial"/>
          <w:iCs/>
        </w:rPr>
        <w:t xml:space="preserve"> glabrata</w:t>
      </w:r>
      <w:r w:rsidRPr="00FC55D2">
        <w:rPr>
          <w:rFonts w:ascii="Arial" w:hAnsi="Arial" w:cs="Arial"/>
        </w:rPr>
        <w:t xml:space="preserve"> in aquatic environments: a multidimensional study from embryotoxicity to histopathology. </w:t>
      </w:r>
      <w:r w:rsidRPr="00FC55D2">
        <w:rPr>
          <w:rFonts w:ascii="Arial" w:hAnsi="Arial" w:cs="Arial"/>
          <w:iCs/>
        </w:rPr>
        <w:t>Toxics</w:t>
      </w:r>
      <w:r w:rsidRPr="00FC55D2">
        <w:rPr>
          <w:rFonts w:ascii="Arial" w:hAnsi="Arial" w:cs="Arial"/>
        </w:rPr>
        <w:t xml:space="preserve">, </w:t>
      </w:r>
      <w:r w:rsidRPr="00FC55D2">
        <w:rPr>
          <w:rFonts w:ascii="Arial" w:hAnsi="Arial" w:cs="Arial"/>
          <w:iCs/>
        </w:rPr>
        <w:t>13</w:t>
      </w:r>
      <w:r w:rsidRPr="00FC55D2">
        <w:rPr>
          <w:rFonts w:ascii="Arial" w:hAnsi="Arial" w:cs="Arial"/>
        </w:rPr>
        <w:t>(7), 528. https://doi.org/10.3390/toxics13070528</w:t>
      </w:r>
    </w:p>
    <w:p w14:paraId="52B3A594" w14:textId="77777777" w:rsidR="006A55A2" w:rsidRPr="00FC55D2" w:rsidRDefault="006A55A2" w:rsidP="006A55A2">
      <w:pPr>
        <w:jc w:val="both"/>
        <w:rPr>
          <w:rFonts w:ascii="Arial" w:hAnsi="Arial" w:cs="Arial"/>
        </w:rPr>
      </w:pPr>
      <w:r w:rsidRPr="00FC55D2">
        <w:rPr>
          <w:rFonts w:ascii="Arial" w:hAnsi="Arial" w:cs="Arial"/>
        </w:rPr>
        <w:t xml:space="preserve">Dennis, P. G., </w:t>
      </w:r>
      <w:proofErr w:type="spellStart"/>
      <w:r w:rsidRPr="00FC55D2">
        <w:rPr>
          <w:rFonts w:ascii="Arial" w:hAnsi="Arial" w:cs="Arial"/>
        </w:rPr>
        <w:t>Kukulies</w:t>
      </w:r>
      <w:proofErr w:type="spellEnd"/>
      <w:r w:rsidRPr="00FC55D2">
        <w:rPr>
          <w:rFonts w:ascii="Arial" w:hAnsi="Arial" w:cs="Arial"/>
        </w:rPr>
        <w:t xml:space="preserve">, T., </w:t>
      </w:r>
      <w:proofErr w:type="spellStart"/>
      <w:r w:rsidRPr="00FC55D2">
        <w:rPr>
          <w:rFonts w:ascii="Arial" w:hAnsi="Arial" w:cs="Arial"/>
        </w:rPr>
        <w:t>Forstner</w:t>
      </w:r>
      <w:proofErr w:type="spellEnd"/>
      <w:r w:rsidRPr="00FC55D2">
        <w:rPr>
          <w:rFonts w:ascii="Arial" w:hAnsi="Arial" w:cs="Arial"/>
        </w:rPr>
        <w:t xml:space="preserve">, C., Orton, T. G., &amp; Pattison, A. B. (2018). The effects of glyphosate, </w:t>
      </w:r>
      <w:proofErr w:type="spellStart"/>
      <w:r w:rsidRPr="00FC55D2">
        <w:rPr>
          <w:rFonts w:ascii="Arial" w:hAnsi="Arial" w:cs="Arial"/>
        </w:rPr>
        <w:t>glufosinate</w:t>
      </w:r>
      <w:proofErr w:type="spellEnd"/>
      <w:r w:rsidRPr="00FC55D2">
        <w:rPr>
          <w:rFonts w:ascii="Arial" w:hAnsi="Arial" w:cs="Arial"/>
        </w:rPr>
        <w:t xml:space="preserve">, paraquat and paraquat-diquat on soil microbial activity and bacterial, archaeal and nematode diversity. Science Reports. 8(1), 2119. </w:t>
      </w:r>
      <w:proofErr w:type="spellStart"/>
      <w:r w:rsidRPr="00FC55D2">
        <w:rPr>
          <w:rFonts w:ascii="Arial" w:hAnsi="Arial" w:cs="Arial"/>
        </w:rPr>
        <w:t>doi</w:t>
      </w:r>
      <w:proofErr w:type="spellEnd"/>
      <w:r w:rsidRPr="00FC55D2">
        <w:rPr>
          <w:rFonts w:ascii="Arial" w:hAnsi="Arial" w:cs="Arial"/>
        </w:rPr>
        <w:t xml:space="preserve">: 10.1038/s41598-018-20589-6. </w:t>
      </w:r>
    </w:p>
    <w:p w14:paraId="50E3FE73" w14:textId="77777777" w:rsidR="006A55A2" w:rsidRPr="00FC55D2" w:rsidRDefault="006A55A2" w:rsidP="006A55A2">
      <w:pPr>
        <w:jc w:val="both"/>
        <w:rPr>
          <w:rFonts w:ascii="Arial" w:hAnsi="Arial" w:cs="Arial"/>
        </w:rPr>
      </w:pPr>
      <w:r w:rsidRPr="00FC55D2">
        <w:rPr>
          <w:rFonts w:ascii="Arial" w:hAnsi="Arial" w:cs="Arial"/>
        </w:rPr>
        <w:t xml:space="preserve">Chen, Q., Song, Y., An, Y., Lu, Y., &amp; Zhong, G. (2024). Soil microorganisms: their role in enhancing crop nutrition and health. Diversity, 16(12), 734. </w:t>
      </w:r>
      <w:hyperlink r:id="rId33" w:history="1">
        <w:r w:rsidRPr="00FC55D2">
          <w:rPr>
            <w:rStyle w:val="Hyperlink"/>
            <w:rFonts w:ascii="Arial" w:hAnsi="Arial" w:cs="Arial"/>
          </w:rPr>
          <w:t>https://doi.org/10.3390/d16120734</w:t>
        </w:r>
      </w:hyperlink>
    </w:p>
    <w:p w14:paraId="55A559E4" w14:textId="77777777" w:rsidR="006A55A2" w:rsidRPr="00FC55D2" w:rsidRDefault="006A55A2" w:rsidP="006A55A2">
      <w:pPr>
        <w:pStyle w:val="PlainText"/>
        <w:jc w:val="both"/>
        <w:rPr>
          <w:rFonts w:ascii="Arial" w:hAnsi="Arial" w:cs="Arial"/>
          <w:sz w:val="20"/>
          <w:szCs w:val="20"/>
        </w:rPr>
      </w:pPr>
      <w:r w:rsidRPr="00FC55D2">
        <w:rPr>
          <w:rFonts w:ascii="Arial" w:hAnsi="Arial" w:cs="Arial"/>
          <w:sz w:val="20"/>
          <w:szCs w:val="20"/>
        </w:rPr>
        <w:t xml:space="preserve">Kiprotich, K., </w:t>
      </w:r>
      <w:proofErr w:type="spellStart"/>
      <w:r w:rsidRPr="00FC55D2">
        <w:rPr>
          <w:rFonts w:ascii="Arial" w:hAnsi="Arial" w:cs="Arial"/>
          <w:sz w:val="20"/>
          <w:szCs w:val="20"/>
        </w:rPr>
        <w:t>Muema</w:t>
      </w:r>
      <w:proofErr w:type="spellEnd"/>
      <w:r w:rsidRPr="00FC55D2">
        <w:rPr>
          <w:rFonts w:ascii="Arial" w:hAnsi="Arial" w:cs="Arial"/>
          <w:sz w:val="20"/>
          <w:szCs w:val="20"/>
        </w:rPr>
        <w:t xml:space="preserve">, E., </w:t>
      </w:r>
      <w:proofErr w:type="spellStart"/>
      <w:r w:rsidRPr="00FC55D2">
        <w:rPr>
          <w:rFonts w:ascii="Arial" w:hAnsi="Arial" w:cs="Arial"/>
          <w:sz w:val="20"/>
          <w:szCs w:val="20"/>
        </w:rPr>
        <w:t>Wekesa</w:t>
      </w:r>
      <w:proofErr w:type="spellEnd"/>
      <w:r w:rsidRPr="00FC55D2">
        <w:rPr>
          <w:rFonts w:ascii="Arial" w:hAnsi="Arial" w:cs="Arial"/>
          <w:sz w:val="20"/>
          <w:szCs w:val="20"/>
        </w:rPr>
        <w:t xml:space="preserve">, C., </w:t>
      </w:r>
      <w:proofErr w:type="spellStart"/>
      <w:r w:rsidRPr="00FC55D2">
        <w:rPr>
          <w:rFonts w:ascii="Arial" w:hAnsi="Arial" w:cs="Arial"/>
          <w:sz w:val="20"/>
          <w:szCs w:val="20"/>
        </w:rPr>
        <w:t>Ndombi</w:t>
      </w:r>
      <w:proofErr w:type="spellEnd"/>
      <w:r w:rsidRPr="00FC55D2">
        <w:rPr>
          <w:rFonts w:ascii="Arial" w:hAnsi="Arial" w:cs="Arial"/>
          <w:sz w:val="20"/>
          <w:szCs w:val="20"/>
        </w:rPr>
        <w:t xml:space="preserve">, T., </w:t>
      </w:r>
      <w:proofErr w:type="spellStart"/>
      <w:r w:rsidRPr="00FC55D2">
        <w:rPr>
          <w:rFonts w:ascii="Arial" w:hAnsi="Arial" w:cs="Arial"/>
          <w:sz w:val="20"/>
          <w:szCs w:val="20"/>
        </w:rPr>
        <w:t>Muoma</w:t>
      </w:r>
      <w:proofErr w:type="spellEnd"/>
      <w:r w:rsidRPr="00FC55D2">
        <w:rPr>
          <w:rFonts w:ascii="Arial" w:hAnsi="Arial" w:cs="Arial"/>
          <w:sz w:val="20"/>
          <w:szCs w:val="20"/>
        </w:rPr>
        <w:t xml:space="preserve">, J., </w:t>
      </w:r>
      <w:proofErr w:type="spellStart"/>
      <w:r w:rsidRPr="00FC55D2">
        <w:rPr>
          <w:rFonts w:ascii="Arial" w:hAnsi="Arial" w:cs="Arial"/>
          <w:sz w:val="20"/>
          <w:szCs w:val="20"/>
        </w:rPr>
        <w:t>Omayio</w:t>
      </w:r>
      <w:proofErr w:type="spellEnd"/>
      <w:r w:rsidRPr="00FC55D2">
        <w:rPr>
          <w:rFonts w:ascii="Arial" w:hAnsi="Arial" w:cs="Arial"/>
          <w:sz w:val="20"/>
          <w:szCs w:val="20"/>
        </w:rPr>
        <w:t xml:space="preserve">, D., </w:t>
      </w:r>
      <w:proofErr w:type="spellStart"/>
      <w:r w:rsidRPr="00FC55D2">
        <w:rPr>
          <w:rFonts w:ascii="Arial" w:hAnsi="Arial" w:cs="Arial"/>
          <w:sz w:val="20"/>
          <w:szCs w:val="20"/>
        </w:rPr>
        <w:t>Ochieno</w:t>
      </w:r>
      <w:proofErr w:type="spellEnd"/>
      <w:r w:rsidRPr="00FC55D2">
        <w:rPr>
          <w:rFonts w:ascii="Arial" w:hAnsi="Arial" w:cs="Arial"/>
          <w:sz w:val="20"/>
          <w:szCs w:val="20"/>
        </w:rPr>
        <w:t xml:space="preserve">, D., </w:t>
      </w:r>
      <w:proofErr w:type="spellStart"/>
      <w:r w:rsidRPr="00FC55D2">
        <w:rPr>
          <w:rFonts w:ascii="Arial" w:hAnsi="Arial" w:cs="Arial"/>
          <w:sz w:val="20"/>
          <w:szCs w:val="20"/>
        </w:rPr>
        <w:t>Motsi</w:t>
      </w:r>
      <w:proofErr w:type="spellEnd"/>
      <w:r w:rsidRPr="00FC55D2">
        <w:rPr>
          <w:rFonts w:ascii="Arial" w:hAnsi="Arial" w:cs="Arial"/>
          <w:sz w:val="20"/>
          <w:szCs w:val="20"/>
        </w:rPr>
        <w:t xml:space="preserve">, H., </w:t>
      </w:r>
      <w:proofErr w:type="spellStart"/>
      <w:r w:rsidRPr="00FC55D2">
        <w:rPr>
          <w:rFonts w:ascii="Arial" w:hAnsi="Arial" w:cs="Arial"/>
          <w:sz w:val="20"/>
          <w:szCs w:val="20"/>
        </w:rPr>
        <w:t>Mncedi</w:t>
      </w:r>
      <w:proofErr w:type="spellEnd"/>
      <w:r w:rsidRPr="00FC55D2">
        <w:rPr>
          <w:rFonts w:ascii="Arial" w:hAnsi="Arial" w:cs="Arial"/>
          <w:sz w:val="20"/>
          <w:szCs w:val="20"/>
        </w:rPr>
        <w:t xml:space="preserve">, S. &amp; </w:t>
      </w:r>
      <w:proofErr w:type="spellStart"/>
      <w:r w:rsidRPr="00FC55D2">
        <w:rPr>
          <w:rFonts w:ascii="Arial" w:hAnsi="Arial" w:cs="Arial"/>
          <w:sz w:val="20"/>
          <w:szCs w:val="20"/>
        </w:rPr>
        <w:t>Tarus</w:t>
      </w:r>
      <w:proofErr w:type="spellEnd"/>
      <w:r w:rsidRPr="00FC55D2">
        <w:rPr>
          <w:rFonts w:ascii="Arial" w:hAnsi="Arial" w:cs="Arial"/>
          <w:sz w:val="20"/>
          <w:szCs w:val="20"/>
        </w:rPr>
        <w:t>, J. (2025)</w:t>
      </w:r>
      <w:r w:rsidRPr="00FC55D2">
        <w:rPr>
          <w:rFonts w:ascii="Arial" w:hAnsi="Arial" w:cs="Arial"/>
          <w:iCs/>
          <w:sz w:val="20"/>
          <w:szCs w:val="20"/>
        </w:rPr>
        <w:t>.</w:t>
      </w:r>
      <w:r w:rsidRPr="00FC55D2">
        <w:rPr>
          <w:rFonts w:ascii="Arial" w:hAnsi="Arial" w:cs="Arial"/>
          <w:sz w:val="20"/>
          <w:szCs w:val="20"/>
        </w:rPr>
        <w:t xml:space="preserve"> Unveiling the roles, mechanisms and prospects of soil microbial communities in sustainable agriculture. </w:t>
      </w:r>
      <w:r w:rsidRPr="00FC55D2">
        <w:rPr>
          <w:rFonts w:ascii="Arial" w:hAnsi="Arial" w:cs="Arial"/>
          <w:iCs/>
          <w:sz w:val="20"/>
          <w:szCs w:val="20"/>
        </w:rPr>
        <w:t>Discover Soil,</w:t>
      </w:r>
      <w:r w:rsidRPr="00FC55D2">
        <w:rPr>
          <w:rFonts w:ascii="Arial" w:hAnsi="Arial" w:cs="Arial"/>
          <w:sz w:val="20"/>
          <w:szCs w:val="20"/>
        </w:rPr>
        <w:t xml:space="preserve"> </w:t>
      </w:r>
      <w:r w:rsidRPr="00FC55D2">
        <w:rPr>
          <w:rFonts w:ascii="Arial" w:hAnsi="Arial" w:cs="Arial"/>
          <w:bCs/>
          <w:sz w:val="20"/>
          <w:szCs w:val="20"/>
        </w:rPr>
        <w:t>2</w:t>
      </w:r>
      <w:r w:rsidRPr="00FC55D2">
        <w:rPr>
          <w:rFonts w:ascii="Arial" w:hAnsi="Arial" w:cs="Arial"/>
          <w:sz w:val="20"/>
          <w:szCs w:val="20"/>
        </w:rPr>
        <w:t xml:space="preserve">, 10. </w:t>
      </w:r>
      <w:hyperlink r:id="rId34" w:history="1">
        <w:r w:rsidRPr="00FC55D2">
          <w:rPr>
            <w:rStyle w:val="Hyperlink"/>
            <w:rFonts w:ascii="Arial" w:hAnsi="Arial" w:cs="Arial"/>
            <w:sz w:val="20"/>
            <w:szCs w:val="20"/>
          </w:rPr>
          <w:t>https://doi.org/10.1007/s44378-025-00037-4</w:t>
        </w:r>
      </w:hyperlink>
    </w:p>
    <w:p w14:paraId="4376710B" w14:textId="77777777" w:rsidR="006A55A2" w:rsidRPr="00FC55D2" w:rsidRDefault="006A55A2" w:rsidP="006A55A2">
      <w:pPr>
        <w:pStyle w:val="PlainText"/>
        <w:contextualSpacing/>
        <w:jc w:val="both"/>
        <w:rPr>
          <w:rFonts w:ascii="Arial" w:hAnsi="Arial" w:cs="Arial"/>
          <w:sz w:val="20"/>
          <w:szCs w:val="20"/>
        </w:rPr>
      </w:pPr>
      <w:proofErr w:type="spellStart"/>
      <w:r w:rsidRPr="00FC55D2">
        <w:rPr>
          <w:rFonts w:ascii="Arial" w:hAnsi="Arial" w:cs="Arial"/>
          <w:sz w:val="20"/>
          <w:szCs w:val="20"/>
        </w:rPr>
        <w:t>Abd.Rahman</w:t>
      </w:r>
      <w:proofErr w:type="spellEnd"/>
      <w:r w:rsidRPr="00FC55D2">
        <w:rPr>
          <w:rFonts w:ascii="Arial" w:hAnsi="Arial" w:cs="Arial"/>
          <w:sz w:val="20"/>
          <w:szCs w:val="20"/>
        </w:rPr>
        <w:t xml:space="preserve">, R. N. Z. R., Sabri, S., &amp; Hassan, M. (2025). Impacts of pesticides on soil microbial communities: balancing agricultural productivity and environmental health, Microbial </w:t>
      </w:r>
      <w:proofErr w:type="spellStart"/>
      <w:r w:rsidRPr="00FC55D2">
        <w:rPr>
          <w:rFonts w:ascii="Arial" w:hAnsi="Arial" w:cs="Arial"/>
          <w:sz w:val="20"/>
          <w:szCs w:val="20"/>
        </w:rPr>
        <w:t>Bioactives</w:t>
      </w:r>
      <w:proofErr w:type="spellEnd"/>
      <w:r w:rsidRPr="00FC55D2">
        <w:rPr>
          <w:rFonts w:ascii="Arial" w:hAnsi="Arial" w:cs="Arial"/>
          <w:sz w:val="20"/>
          <w:szCs w:val="20"/>
        </w:rPr>
        <w:t>, 8(1), 1-11, 10465</w:t>
      </w:r>
    </w:p>
    <w:p w14:paraId="31DB9E72" w14:textId="77777777" w:rsidR="006A55A2" w:rsidRPr="00FC55D2" w:rsidRDefault="006A55A2" w:rsidP="006A55A2">
      <w:pPr>
        <w:pStyle w:val="PlainText"/>
        <w:contextualSpacing/>
        <w:jc w:val="both"/>
        <w:rPr>
          <w:rFonts w:ascii="Arial" w:hAnsi="Arial" w:cs="Arial"/>
          <w:sz w:val="20"/>
          <w:szCs w:val="20"/>
        </w:rPr>
      </w:pPr>
      <w:r w:rsidRPr="00FC55D2">
        <w:rPr>
          <w:rFonts w:ascii="Arial" w:hAnsi="Arial" w:cs="Arial"/>
          <w:sz w:val="20"/>
          <w:szCs w:val="20"/>
        </w:rPr>
        <w:t xml:space="preserve">Sushma, H. A., Navi, L., </w:t>
      </w:r>
      <w:proofErr w:type="spellStart"/>
      <w:r w:rsidRPr="00FC55D2">
        <w:rPr>
          <w:rFonts w:ascii="Arial" w:hAnsi="Arial" w:cs="Arial"/>
          <w:sz w:val="20"/>
          <w:szCs w:val="20"/>
        </w:rPr>
        <w:t>Saniga</w:t>
      </w:r>
      <w:proofErr w:type="spellEnd"/>
      <w:r w:rsidRPr="00FC55D2">
        <w:rPr>
          <w:rFonts w:ascii="Arial" w:hAnsi="Arial" w:cs="Arial"/>
          <w:sz w:val="20"/>
          <w:szCs w:val="20"/>
        </w:rPr>
        <w:t xml:space="preserve"> N. S. &amp; Kushal (2024). A review on effect of herbicides on soil biology and its functions. International Journal of Advanced Biochemistry Research, SP-8(7), 554-560. </w:t>
      </w:r>
      <w:hyperlink r:id="rId35" w:history="1">
        <w:r w:rsidRPr="00FC55D2">
          <w:rPr>
            <w:rStyle w:val="Hyperlink"/>
            <w:rFonts w:ascii="Arial" w:hAnsi="Arial" w:cs="Arial"/>
            <w:sz w:val="20"/>
            <w:szCs w:val="20"/>
          </w:rPr>
          <w:t>https://doi.org/10.33545/26174693.2024.v8.i7Sg.1575</w:t>
        </w:r>
      </w:hyperlink>
    </w:p>
    <w:p w14:paraId="515A4106" w14:textId="77777777" w:rsidR="006A55A2" w:rsidRPr="00FC55D2" w:rsidRDefault="006A55A2" w:rsidP="006A55A2">
      <w:pPr>
        <w:pStyle w:val="PlainText"/>
        <w:jc w:val="both"/>
        <w:rPr>
          <w:rFonts w:ascii="Arial" w:hAnsi="Arial" w:cs="Arial"/>
          <w:sz w:val="20"/>
          <w:szCs w:val="20"/>
        </w:rPr>
      </w:pPr>
      <w:r w:rsidRPr="00FC55D2">
        <w:rPr>
          <w:rFonts w:ascii="Arial" w:hAnsi="Arial" w:cs="Arial"/>
          <w:sz w:val="20"/>
          <w:szCs w:val="20"/>
        </w:rPr>
        <w:t xml:space="preserve">Olanrewaju, O. W., Stephen, O. K., </w:t>
      </w:r>
      <w:proofErr w:type="spellStart"/>
      <w:r w:rsidRPr="00FC55D2">
        <w:rPr>
          <w:rFonts w:ascii="Arial" w:hAnsi="Arial" w:cs="Arial"/>
          <w:sz w:val="20"/>
          <w:szCs w:val="20"/>
        </w:rPr>
        <w:t>Fatimoh</w:t>
      </w:r>
      <w:proofErr w:type="spellEnd"/>
      <w:r w:rsidRPr="00FC55D2">
        <w:rPr>
          <w:rFonts w:ascii="Arial" w:hAnsi="Arial" w:cs="Arial"/>
          <w:sz w:val="20"/>
          <w:szCs w:val="20"/>
        </w:rPr>
        <w:t xml:space="preserve">, A. O., Adebayo, O. O., &amp; </w:t>
      </w:r>
      <w:proofErr w:type="spellStart"/>
      <w:r w:rsidRPr="00FC55D2">
        <w:rPr>
          <w:rFonts w:ascii="Arial" w:hAnsi="Arial" w:cs="Arial"/>
          <w:sz w:val="20"/>
          <w:szCs w:val="20"/>
        </w:rPr>
        <w:t>Abdulfatah</w:t>
      </w:r>
      <w:proofErr w:type="spellEnd"/>
      <w:r w:rsidRPr="00FC55D2">
        <w:rPr>
          <w:rFonts w:ascii="Arial" w:hAnsi="Arial" w:cs="Arial"/>
          <w:sz w:val="20"/>
          <w:szCs w:val="20"/>
        </w:rPr>
        <w:t xml:space="preserve">, T. I. (2023). Effects of herbicides application on soil physicochemical properties. Bulgarian Journal of Soil Science </w:t>
      </w:r>
      <w:proofErr w:type="spellStart"/>
      <w:r w:rsidRPr="00FC55D2">
        <w:rPr>
          <w:rFonts w:ascii="Arial" w:hAnsi="Arial" w:cs="Arial"/>
          <w:sz w:val="20"/>
          <w:szCs w:val="20"/>
        </w:rPr>
        <w:t>Agrochemisty</w:t>
      </w:r>
      <w:proofErr w:type="spellEnd"/>
      <w:r w:rsidRPr="00FC55D2">
        <w:rPr>
          <w:rFonts w:ascii="Arial" w:hAnsi="Arial" w:cs="Arial"/>
          <w:sz w:val="20"/>
          <w:szCs w:val="20"/>
        </w:rPr>
        <w:t xml:space="preserve"> and Ecology, 57(2), 29-39. https://cabidigitallibrary.org by 102.91.72.33.</w:t>
      </w:r>
    </w:p>
    <w:p w14:paraId="0E7D5335" w14:textId="77777777" w:rsidR="006A55A2" w:rsidRPr="00FC55D2" w:rsidRDefault="006A55A2" w:rsidP="006A55A2">
      <w:pPr>
        <w:pStyle w:val="PlainText"/>
        <w:jc w:val="both"/>
        <w:rPr>
          <w:rFonts w:ascii="Arial" w:hAnsi="Arial" w:cs="Arial"/>
          <w:sz w:val="20"/>
          <w:szCs w:val="20"/>
        </w:rPr>
      </w:pPr>
      <w:proofErr w:type="spellStart"/>
      <w:r w:rsidRPr="00FC55D2">
        <w:rPr>
          <w:rFonts w:ascii="Arial" w:hAnsi="Arial" w:cs="Arial"/>
          <w:sz w:val="20"/>
          <w:szCs w:val="20"/>
        </w:rPr>
        <w:t>Douibi</w:t>
      </w:r>
      <w:proofErr w:type="spellEnd"/>
      <w:r w:rsidRPr="00FC55D2">
        <w:rPr>
          <w:rFonts w:ascii="Arial" w:hAnsi="Arial" w:cs="Arial"/>
          <w:sz w:val="20"/>
          <w:szCs w:val="20"/>
        </w:rPr>
        <w:t xml:space="preserve">, M., Carpio, M. J., Rodríguez-Cruz, M. S., Sánchez-Martín, M. J., &amp; Marín-Benito, J. M. (2024). Changes in soil microbial parameters after herbicide application in soils under conventional tillage and non-tillage. Processes, 12(4), 827. </w:t>
      </w:r>
      <w:hyperlink r:id="rId36" w:history="1">
        <w:r w:rsidRPr="00FC55D2">
          <w:rPr>
            <w:rStyle w:val="Hyperlink"/>
            <w:rFonts w:ascii="Arial" w:hAnsi="Arial" w:cs="Arial"/>
            <w:sz w:val="20"/>
            <w:szCs w:val="20"/>
          </w:rPr>
          <w:t>https://doi.org/10.3390/pr12040827</w:t>
        </w:r>
      </w:hyperlink>
    </w:p>
    <w:p w14:paraId="78EDCB6D" w14:textId="77777777" w:rsidR="006A55A2" w:rsidRPr="00FC55D2" w:rsidRDefault="006A55A2" w:rsidP="006A55A2">
      <w:pPr>
        <w:pStyle w:val="PlainText"/>
        <w:jc w:val="both"/>
        <w:rPr>
          <w:rStyle w:val="HTMLCite"/>
          <w:rFonts w:ascii="Arial" w:hAnsi="Arial" w:cs="Arial"/>
          <w:i w:val="0"/>
          <w:sz w:val="20"/>
          <w:szCs w:val="20"/>
        </w:rPr>
      </w:pPr>
      <w:proofErr w:type="spellStart"/>
      <w:r w:rsidRPr="00FC55D2">
        <w:rPr>
          <w:rStyle w:val="HTMLCite"/>
          <w:rFonts w:ascii="Arial" w:hAnsi="Arial" w:cs="Arial"/>
          <w:i w:val="0"/>
          <w:sz w:val="20"/>
          <w:szCs w:val="20"/>
        </w:rPr>
        <w:t>Thiour-Mauprivez</w:t>
      </w:r>
      <w:proofErr w:type="spellEnd"/>
      <w:r w:rsidRPr="00FC55D2">
        <w:rPr>
          <w:rStyle w:val="HTMLCite"/>
          <w:rFonts w:ascii="Arial" w:hAnsi="Arial" w:cs="Arial"/>
          <w:i w:val="0"/>
          <w:sz w:val="20"/>
          <w:szCs w:val="20"/>
        </w:rPr>
        <w:t xml:space="preserve">, C., Martin-Laurent, F., </w:t>
      </w:r>
      <w:proofErr w:type="spellStart"/>
      <w:r w:rsidRPr="00FC55D2">
        <w:rPr>
          <w:rStyle w:val="HTMLCite"/>
          <w:rFonts w:ascii="Arial" w:hAnsi="Arial" w:cs="Arial"/>
          <w:i w:val="0"/>
          <w:sz w:val="20"/>
          <w:szCs w:val="20"/>
        </w:rPr>
        <w:t>Calvayrac</w:t>
      </w:r>
      <w:proofErr w:type="spellEnd"/>
      <w:r w:rsidRPr="00FC55D2">
        <w:rPr>
          <w:rStyle w:val="HTMLCite"/>
          <w:rFonts w:ascii="Arial" w:hAnsi="Arial" w:cs="Arial"/>
          <w:i w:val="0"/>
          <w:sz w:val="20"/>
          <w:szCs w:val="20"/>
        </w:rPr>
        <w:t xml:space="preserve">, C., &amp; </w:t>
      </w:r>
      <w:proofErr w:type="spellStart"/>
      <w:r w:rsidRPr="00FC55D2">
        <w:rPr>
          <w:rStyle w:val="HTMLCite"/>
          <w:rFonts w:ascii="Arial" w:hAnsi="Arial" w:cs="Arial"/>
          <w:i w:val="0"/>
          <w:sz w:val="20"/>
          <w:szCs w:val="20"/>
        </w:rPr>
        <w:t>Barthelmebs</w:t>
      </w:r>
      <w:proofErr w:type="spellEnd"/>
      <w:r w:rsidRPr="00FC55D2">
        <w:rPr>
          <w:rStyle w:val="HTMLCite"/>
          <w:rFonts w:ascii="Arial" w:hAnsi="Arial" w:cs="Arial"/>
          <w:i w:val="0"/>
          <w:sz w:val="20"/>
          <w:szCs w:val="20"/>
        </w:rPr>
        <w:t xml:space="preserve">, L. (2019). Effects of herbicide on non-target microorganisms: Towards a new class of biomarkers? </w:t>
      </w:r>
      <w:r w:rsidRPr="00FC55D2">
        <w:rPr>
          <w:rStyle w:val="Emphasis"/>
          <w:rFonts w:ascii="Arial" w:hAnsi="Arial" w:cs="Arial"/>
          <w:i w:val="0"/>
          <w:sz w:val="20"/>
          <w:szCs w:val="20"/>
        </w:rPr>
        <w:t>The Science of the Total Environment, 684</w:t>
      </w:r>
      <w:r w:rsidRPr="00FC55D2">
        <w:rPr>
          <w:rStyle w:val="HTMLCite"/>
          <w:rFonts w:ascii="Arial" w:hAnsi="Arial" w:cs="Arial"/>
          <w:i w:val="0"/>
          <w:sz w:val="20"/>
          <w:szCs w:val="20"/>
        </w:rPr>
        <w:t>, 314-325.</w:t>
      </w:r>
    </w:p>
    <w:p w14:paraId="55A2171F" w14:textId="77777777" w:rsidR="006A55A2" w:rsidRPr="00FC55D2" w:rsidRDefault="006A55A2" w:rsidP="006A55A2">
      <w:pPr>
        <w:pStyle w:val="PlainText"/>
        <w:jc w:val="both"/>
        <w:rPr>
          <w:rFonts w:ascii="Arial" w:hAnsi="Arial" w:cs="Arial"/>
          <w:sz w:val="20"/>
          <w:szCs w:val="20"/>
        </w:rPr>
      </w:pPr>
      <w:proofErr w:type="spellStart"/>
      <w:r w:rsidRPr="00FC55D2">
        <w:rPr>
          <w:rFonts w:ascii="Arial" w:hAnsi="Arial" w:cs="Arial"/>
          <w:sz w:val="20"/>
          <w:szCs w:val="20"/>
        </w:rPr>
        <w:t>Ustuner</w:t>
      </w:r>
      <w:proofErr w:type="spellEnd"/>
      <w:r w:rsidRPr="00FC55D2">
        <w:rPr>
          <w:rFonts w:ascii="Arial" w:hAnsi="Arial" w:cs="Arial"/>
          <w:sz w:val="20"/>
          <w:szCs w:val="20"/>
        </w:rPr>
        <w:t xml:space="preserve">, T., Al </w:t>
      </w:r>
      <w:proofErr w:type="spellStart"/>
      <w:r w:rsidRPr="00FC55D2">
        <w:rPr>
          <w:rFonts w:ascii="Arial" w:hAnsi="Arial" w:cs="Arial"/>
          <w:sz w:val="20"/>
          <w:szCs w:val="20"/>
        </w:rPr>
        <w:t>Sakran</w:t>
      </w:r>
      <w:proofErr w:type="spellEnd"/>
      <w:r w:rsidRPr="00FC55D2">
        <w:rPr>
          <w:rFonts w:ascii="Arial" w:hAnsi="Arial" w:cs="Arial"/>
          <w:sz w:val="20"/>
          <w:szCs w:val="20"/>
        </w:rPr>
        <w:t xml:space="preserve">, M. &amp; </w:t>
      </w:r>
      <w:proofErr w:type="spellStart"/>
      <w:r w:rsidRPr="00FC55D2">
        <w:rPr>
          <w:rFonts w:ascii="Arial" w:hAnsi="Arial" w:cs="Arial"/>
          <w:sz w:val="20"/>
          <w:szCs w:val="20"/>
        </w:rPr>
        <w:t>Almhemed</w:t>
      </w:r>
      <w:proofErr w:type="spellEnd"/>
      <w:r w:rsidRPr="00FC55D2">
        <w:rPr>
          <w:rFonts w:ascii="Arial" w:hAnsi="Arial" w:cs="Arial"/>
          <w:sz w:val="20"/>
          <w:szCs w:val="20"/>
        </w:rPr>
        <w:t xml:space="preserve">, K. (2020). Effect of herbicides on living organisms in the ecosystem and available alternative control methods. International Journal of Scientific and Research Publications, 10(8), 633 - 641. </w:t>
      </w:r>
      <w:hyperlink r:id="rId37" w:history="1">
        <w:r w:rsidRPr="00FC55D2">
          <w:rPr>
            <w:rStyle w:val="Hyperlink"/>
            <w:rFonts w:ascii="Arial" w:hAnsi="Arial" w:cs="Arial"/>
            <w:sz w:val="20"/>
            <w:szCs w:val="20"/>
          </w:rPr>
          <w:t>http://dx.doi.org/10.29322/IJSRP.10.08.2020.p10480</w:t>
        </w:r>
      </w:hyperlink>
      <w:r w:rsidRPr="00FC55D2">
        <w:rPr>
          <w:rFonts w:ascii="Arial" w:hAnsi="Arial" w:cs="Arial"/>
          <w:sz w:val="20"/>
          <w:szCs w:val="20"/>
        </w:rPr>
        <w:t>.</w:t>
      </w:r>
    </w:p>
    <w:p w14:paraId="465DEA49" w14:textId="77777777" w:rsidR="006A55A2" w:rsidRPr="00FC55D2" w:rsidRDefault="006A55A2" w:rsidP="006A55A2">
      <w:pPr>
        <w:pStyle w:val="PlainText"/>
        <w:jc w:val="both"/>
        <w:rPr>
          <w:rFonts w:ascii="Arial" w:hAnsi="Arial" w:cs="Arial"/>
          <w:sz w:val="20"/>
          <w:szCs w:val="20"/>
        </w:rPr>
      </w:pPr>
      <w:r w:rsidRPr="00FC55D2">
        <w:rPr>
          <w:rFonts w:ascii="Arial" w:hAnsi="Arial" w:cs="Arial"/>
          <w:sz w:val="20"/>
          <w:szCs w:val="20"/>
        </w:rPr>
        <w:t xml:space="preserve">Tang, T., Chen, G. M., Liu, F.X., Bu, C. P., Liu, L. &amp; Zhao, X. X. (2019). Effects of transgenic </w:t>
      </w:r>
      <w:proofErr w:type="spellStart"/>
      <w:r w:rsidRPr="00FC55D2">
        <w:rPr>
          <w:rFonts w:ascii="Arial" w:hAnsi="Arial" w:cs="Arial"/>
          <w:sz w:val="20"/>
          <w:szCs w:val="20"/>
        </w:rPr>
        <w:t>glufosinate</w:t>
      </w:r>
      <w:proofErr w:type="spellEnd"/>
      <w:r w:rsidRPr="00FC55D2">
        <w:rPr>
          <w:rFonts w:ascii="Arial" w:hAnsi="Arial" w:cs="Arial"/>
          <w:sz w:val="20"/>
          <w:szCs w:val="20"/>
        </w:rPr>
        <w:t xml:space="preserve">-tolerant rapeseed (Brassica </w:t>
      </w:r>
      <w:proofErr w:type="spellStart"/>
      <w:r w:rsidRPr="00FC55D2">
        <w:rPr>
          <w:rFonts w:ascii="Arial" w:hAnsi="Arial" w:cs="Arial"/>
          <w:sz w:val="20"/>
          <w:szCs w:val="20"/>
        </w:rPr>
        <w:t>napus</w:t>
      </w:r>
      <w:proofErr w:type="spellEnd"/>
      <w:r w:rsidRPr="00FC55D2">
        <w:rPr>
          <w:rFonts w:ascii="Arial" w:hAnsi="Arial" w:cs="Arial"/>
          <w:sz w:val="20"/>
          <w:szCs w:val="20"/>
        </w:rPr>
        <w:t xml:space="preserve"> L.) and the associated herbicide application on </w:t>
      </w:r>
      <w:proofErr w:type="spellStart"/>
      <w:r w:rsidRPr="00FC55D2">
        <w:rPr>
          <w:rFonts w:ascii="Arial" w:hAnsi="Arial" w:cs="Arial"/>
          <w:sz w:val="20"/>
          <w:szCs w:val="20"/>
        </w:rPr>
        <w:t>rhizospheric</w:t>
      </w:r>
      <w:proofErr w:type="spellEnd"/>
      <w:r w:rsidRPr="00FC55D2">
        <w:rPr>
          <w:rFonts w:ascii="Arial" w:hAnsi="Arial" w:cs="Arial"/>
          <w:sz w:val="20"/>
          <w:szCs w:val="20"/>
        </w:rPr>
        <w:t xml:space="preserve"> bacterial communities. Physiological and Molecular Plant Pathology, 106, 246-252. </w:t>
      </w:r>
      <w:hyperlink r:id="rId38" w:history="1">
        <w:r w:rsidRPr="00FC55D2">
          <w:rPr>
            <w:rStyle w:val="Hyperlink"/>
            <w:rFonts w:ascii="Arial" w:hAnsi="Arial" w:cs="Arial"/>
            <w:sz w:val="20"/>
            <w:szCs w:val="20"/>
          </w:rPr>
          <w:t>https://doi.org/10.1016/j.pmpp.2019.03.004</w:t>
        </w:r>
      </w:hyperlink>
      <w:r w:rsidRPr="00FC55D2">
        <w:rPr>
          <w:rFonts w:ascii="Arial" w:hAnsi="Arial" w:cs="Arial"/>
          <w:sz w:val="20"/>
          <w:szCs w:val="20"/>
        </w:rPr>
        <w:t>.</w:t>
      </w:r>
    </w:p>
    <w:p w14:paraId="1BF1CD2F" w14:textId="77777777" w:rsidR="006A55A2" w:rsidRPr="00FC55D2" w:rsidRDefault="006A55A2" w:rsidP="006A55A2">
      <w:pPr>
        <w:jc w:val="both"/>
        <w:rPr>
          <w:rFonts w:ascii="Arial" w:hAnsi="Arial" w:cs="Arial"/>
        </w:rPr>
      </w:pPr>
      <w:r w:rsidRPr="00FC55D2">
        <w:rPr>
          <w:rFonts w:ascii="Arial" w:hAnsi="Arial" w:cs="Arial"/>
        </w:rPr>
        <w:t xml:space="preserve">Mei, L., Xia, X., Cao, J., Zhao, Y., Huang, H., Li, Y., &amp; Zhang, Z. (2024). Degradation of three herbicides and effect on bacterial communities under combined pollution. </w:t>
      </w:r>
      <w:r w:rsidRPr="00FC55D2">
        <w:rPr>
          <w:rFonts w:ascii="Arial" w:hAnsi="Arial" w:cs="Arial"/>
          <w:iCs/>
        </w:rPr>
        <w:t>Toxics</w:t>
      </w:r>
      <w:r w:rsidRPr="00FC55D2">
        <w:rPr>
          <w:rFonts w:ascii="Arial" w:hAnsi="Arial" w:cs="Arial"/>
        </w:rPr>
        <w:t xml:space="preserve">, </w:t>
      </w:r>
      <w:r w:rsidRPr="00FC55D2">
        <w:rPr>
          <w:rFonts w:ascii="Arial" w:hAnsi="Arial" w:cs="Arial"/>
          <w:iCs/>
        </w:rPr>
        <w:t>12</w:t>
      </w:r>
      <w:r w:rsidRPr="00FC55D2">
        <w:rPr>
          <w:rFonts w:ascii="Arial" w:hAnsi="Arial" w:cs="Arial"/>
        </w:rPr>
        <w:t>(8), 562. https://doi.org/10.3390/toxics12080562</w:t>
      </w:r>
    </w:p>
    <w:p w14:paraId="265955AC" w14:textId="77777777" w:rsidR="006A55A2" w:rsidRPr="00FC55D2" w:rsidRDefault="006A55A2" w:rsidP="006A55A2">
      <w:pPr>
        <w:jc w:val="both"/>
        <w:rPr>
          <w:rFonts w:ascii="Arial" w:hAnsi="Arial" w:cs="Arial"/>
        </w:rPr>
      </w:pPr>
      <w:r w:rsidRPr="00FC55D2">
        <w:rPr>
          <w:rFonts w:ascii="Arial" w:hAnsi="Arial" w:cs="Arial"/>
        </w:rPr>
        <w:t xml:space="preserve">Brace, A. J., </w:t>
      </w:r>
      <w:proofErr w:type="spellStart"/>
      <w:r w:rsidRPr="00FC55D2">
        <w:rPr>
          <w:rFonts w:ascii="Arial" w:hAnsi="Arial" w:cs="Arial"/>
        </w:rPr>
        <w:t>Ruthrof</w:t>
      </w:r>
      <w:proofErr w:type="spellEnd"/>
      <w:r w:rsidRPr="00FC55D2">
        <w:rPr>
          <w:rFonts w:ascii="Arial" w:hAnsi="Arial" w:cs="Arial"/>
        </w:rPr>
        <w:t xml:space="preserve">, K. X., Fontaine, J. B., Miller, B. P., &amp; Hopkins, A. J. M. (2025). Herbicide, not prescribed burning, drives larger shifts in soil fungal communities in a Mediterranean-type urban woodland. </w:t>
      </w:r>
      <w:r w:rsidRPr="00FC55D2">
        <w:rPr>
          <w:rFonts w:ascii="Arial" w:hAnsi="Arial" w:cs="Arial"/>
          <w:iCs/>
        </w:rPr>
        <w:t>Urban Forestry &amp; Urban Greening</w:t>
      </w:r>
      <w:r w:rsidRPr="00FC55D2">
        <w:rPr>
          <w:rFonts w:ascii="Arial" w:hAnsi="Arial" w:cs="Arial"/>
        </w:rPr>
        <w:t xml:space="preserve">, </w:t>
      </w:r>
      <w:r w:rsidRPr="00FC55D2">
        <w:rPr>
          <w:rFonts w:ascii="Arial" w:hAnsi="Arial" w:cs="Arial"/>
          <w:iCs/>
        </w:rPr>
        <w:t>105</w:t>
      </w:r>
      <w:r w:rsidRPr="00FC55D2">
        <w:rPr>
          <w:rFonts w:ascii="Arial" w:hAnsi="Arial" w:cs="Arial"/>
        </w:rPr>
        <w:t xml:space="preserve">, 128728. </w:t>
      </w:r>
      <w:hyperlink r:id="rId39" w:history="1">
        <w:r w:rsidRPr="00FC55D2">
          <w:rPr>
            <w:rStyle w:val="Hyperlink"/>
            <w:rFonts w:ascii="Arial" w:hAnsi="Arial" w:cs="Arial"/>
          </w:rPr>
          <w:t>https://doi.org/10.1016/j.ufug.2025.128728</w:t>
        </w:r>
      </w:hyperlink>
    </w:p>
    <w:p w14:paraId="4C3879E8" w14:textId="77777777" w:rsidR="006A55A2" w:rsidRPr="00FC55D2" w:rsidRDefault="006A55A2" w:rsidP="006A55A2">
      <w:pPr>
        <w:jc w:val="both"/>
        <w:rPr>
          <w:rFonts w:ascii="Arial" w:hAnsi="Arial" w:cs="Arial"/>
        </w:rPr>
      </w:pPr>
      <w:proofErr w:type="spellStart"/>
      <w:r w:rsidRPr="00FC55D2">
        <w:rPr>
          <w:rFonts w:ascii="Arial" w:hAnsi="Arial" w:cs="Arial"/>
        </w:rPr>
        <w:t>Gruss</w:t>
      </w:r>
      <w:proofErr w:type="spellEnd"/>
      <w:r w:rsidRPr="00FC55D2">
        <w:rPr>
          <w:rFonts w:ascii="Arial" w:hAnsi="Arial" w:cs="Arial"/>
        </w:rPr>
        <w:t xml:space="preserve">, I., </w:t>
      </w:r>
      <w:proofErr w:type="spellStart"/>
      <w:r w:rsidRPr="00FC55D2">
        <w:rPr>
          <w:rFonts w:ascii="Arial" w:hAnsi="Arial" w:cs="Arial"/>
        </w:rPr>
        <w:t>Bączek</w:t>
      </w:r>
      <w:proofErr w:type="spellEnd"/>
      <w:r w:rsidRPr="00FC55D2">
        <w:rPr>
          <w:rFonts w:ascii="Arial" w:hAnsi="Arial" w:cs="Arial"/>
        </w:rPr>
        <w:t xml:space="preserve">, P., </w:t>
      </w:r>
      <w:proofErr w:type="spellStart"/>
      <w:r w:rsidRPr="00FC55D2">
        <w:rPr>
          <w:rFonts w:ascii="Arial" w:hAnsi="Arial" w:cs="Arial"/>
        </w:rPr>
        <w:t>Ćwieląg-Piasecka</w:t>
      </w:r>
      <w:proofErr w:type="spellEnd"/>
      <w:r w:rsidRPr="00FC55D2">
        <w:rPr>
          <w:rFonts w:ascii="Arial" w:hAnsi="Arial" w:cs="Arial"/>
        </w:rPr>
        <w:t xml:space="preserve">, I., </w:t>
      </w:r>
      <w:proofErr w:type="spellStart"/>
      <w:r w:rsidRPr="00FC55D2">
        <w:rPr>
          <w:rFonts w:ascii="Arial" w:hAnsi="Arial" w:cs="Arial"/>
        </w:rPr>
        <w:t>Jędrzejewski</w:t>
      </w:r>
      <w:proofErr w:type="spellEnd"/>
      <w:r w:rsidRPr="00FC55D2">
        <w:rPr>
          <w:rFonts w:ascii="Arial" w:hAnsi="Arial" w:cs="Arial"/>
        </w:rPr>
        <w:t xml:space="preserve">, S., </w:t>
      </w:r>
      <w:proofErr w:type="spellStart"/>
      <w:r w:rsidRPr="00FC55D2">
        <w:rPr>
          <w:rFonts w:ascii="Arial" w:hAnsi="Arial" w:cs="Arial"/>
        </w:rPr>
        <w:t>Magiera-Dulewicz</w:t>
      </w:r>
      <w:proofErr w:type="spellEnd"/>
      <w:r w:rsidRPr="00FC55D2">
        <w:rPr>
          <w:rFonts w:ascii="Arial" w:hAnsi="Arial" w:cs="Arial"/>
        </w:rPr>
        <w:t xml:space="preserve">, J., &amp; </w:t>
      </w:r>
      <w:proofErr w:type="spellStart"/>
      <w:r w:rsidRPr="00FC55D2">
        <w:rPr>
          <w:rFonts w:ascii="Arial" w:hAnsi="Arial" w:cs="Arial"/>
        </w:rPr>
        <w:t>Twardowska</w:t>
      </w:r>
      <w:proofErr w:type="spellEnd"/>
      <w:r w:rsidRPr="00FC55D2">
        <w:rPr>
          <w:rFonts w:ascii="Arial" w:hAnsi="Arial" w:cs="Arial"/>
        </w:rPr>
        <w:t xml:space="preserve">, K. (2025). Assessing the ecotoxicological effects of pesticides on non-target plant species. </w:t>
      </w:r>
      <w:r w:rsidRPr="00FC55D2">
        <w:rPr>
          <w:rFonts w:ascii="Arial" w:hAnsi="Arial" w:cs="Arial"/>
          <w:iCs/>
        </w:rPr>
        <w:t>Environmental Monitoring and Assessment</w:t>
      </w:r>
      <w:r w:rsidRPr="00FC55D2">
        <w:rPr>
          <w:rFonts w:ascii="Arial" w:hAnsi="Arial" w:cs="Arial"/>
        </w:rPr>
        <w:t xml:space="preserve">, </w:t>
      </w:r>
      <w:r w:rsidRPr="00FC55D2">
        <w:rPr>
          <w:rFonts w:ascii="Arial" w:hAnsi="Arial" w:cs="Arial"/>
          <w:iCs/>
        </w:rPr>
        <w:t>197</w:t>
      </w:r>
      <w:r w:rsidRPr="00FC55D2">
        <w:rPr>
          <w:rFonts w:ascii="Arial" w:hAnsi="Arial" w:cs="Arial"/>
        </w:rPr>
        <w:t xml:space="preserve">(9), 1047. </w:t>
      </w:r>
      <w:hyperlink r:id="rId40" w:history="1">
        <w:r w:rsidRPr="00FC55D2">
          <w:rPr>
            <w:rStyle w:val="Hyperlink"/>
            <w:rFonts w:ascii="Arial" w:hAnsi="Arial" w:cs="Arial"/>
          </w:rPr>
          <w:t>https://doi.org/10.1007/s10661-025-14532-2</w:t>
        </w:r>
      </w:hyperlink>
    </w:p>
    <w:p w14:paraId="2DA98BA1" w14:textId="77777777" w:rsidR="006A55A2" w:rsidRPr="00FC55D2" w:rsidRDefault="006A55A2" w:rsidP="006A55A2">
      <w:pPr>
        <w:jc w:val="both"/>
        <w:rPr>
          <w:rFonts w:ascii="Arial" w:hAnsi="Arial" w:cs="Arial"/>
        </w:rPr>
      </w:pPr>
      <w:r w:rsidRPr="00FC55D2">
        <w:rPr>
          <w:rFonts w:ascii="Arial" w:hAnsi="Arial" w:cs="Arial"/>
        </w:rPr>
        <w:t xml:space="preserve">Takano, H. K., &amp; Dayan, F. E. (2020). </w:t>
      </w:r>
      <w:proofErr w:type="spellStart"/>
      <w:r w:rsidRPr="00FC55D2">
        <w:rPr>
          <w:rFonts w:ascii="Arial" w:hAnsi="Arial" w:cs="Arial"/>
        </w:rPr>
        <w:t>Glufosinate</w:t>
      </w:r>
      <w:proofErr w:type="spellEnd"/>
      <w:r w:rsidRPr="00FC55D2">
        <w:rPr>
          <w:rFonts w:ascii="Arial" w:hAnsi="Arial" w:cs="Arial"/>
        </w:rPr>
        <w:t xml:space="preserve">-ammonium: a review of the current state of knowledge. Pest Management Science, 76(12):3911-3925. </w:t>
      </w:r>
      <w:proofErr w:type="spellStart"/>
      <w:r w:rsidRPr="00FC55D2">
        <w:rPr>
          <w:rFonts w:ascii="Arial" w:hAnsi="Arial" w:cs="Arial"/>
        </w:rPr>
        <w:t>doi</w:t>
      </w:r>
      <w:proofErr w:type="spellEnd"/>
      <w:r w:rsidRPr="00FC55D2">
        <w:rPr>
          <w:rFonts w:ascii="Arial" w:hAnsi="Arial" w:cs="Arial"/>
        </w:rPr>
        <w:t>: 10.1002/ps.5965.</w:t>
      </w:r>
    </w:p>
    <w:p w14:paraId="5C5E6ADD" w14:textId="77777777" w:rsidR="006A55A2" w:rsidRPr="00EE4E08" w:rsidRDefault="006A55A2" w:rsidP="006A55A2">
      <w:pPr>
        <w:jc w:val="both"/>
        <w:rPr>
          <w:rFonts w:ascii="Arial" w:hAnsi="Arial" w:cs="Arial"/>
        </w:rPr>
      </w:pPr>
      <w:r w:rsidRPr="00FC55D2">
        <w:rPr>
          <w:rFonts w:ascii="Arial" w:hAnsi="Arial" w:cs="Arial"/>
        </w:rPr>
        <w:t>Li, W. Wang, K., Wang, P., Yang, P., Xu, S., Tong, J., Zhang, Y., Yang, Y., Han, L., Ye, M. Shen, S., Lei, B., &amp; Liu, B. (2024). Impact of glyphosate on soil bacterial communities and degradation mechanisms in large-leaf tea plantations. Journal of Hazardous Materials, 483, 136626. https://doi.org/10.1016/j.jhazmat.2024.136626.</w:t>
      </w:r>
    </w:p>
    <w:p w14:paraId="2D369626" w14:textId="77777777" w:rsidR="006A55A2" w:rsidRPr="00C43645" w:rsidRDefault="006A55A2" w:rsidP="006A55A2">
      <w:pPr>
        <w:pStyle w:val="PlainText"/>
        <w:jc w:val="both"/>
        <w:rPr>
          <w:rFonts w:ascii="Arial" w:hAnsi="Arial" w:cs="Arial"/>
          <w:sz w:val="20"/>
          <w:szCs w:val="20"/>
        </w:rPr>
      </w:pPr>
    </w:p>
    <w:p w14:paraId="222AFEEE" w14:textId="77777777" w:rsidR="006A55A2" w:rsidRPr="00C43645" w:rsidRDefault="006A55A2" w:rsidP="006A55A2">
      <w:pPr>
        <w:jc w:val="both"/>
        <w:rPr>
          <w:rFonts w:ascii="Arial" w:hAnsi="Arial" w:cs="Arial"/>
        </w:rPr>
      </w:pPr>
      <w:r w:rsidRPr="00C43645">
        <w:rPr>
          <w:rFonts w:ascii="Arial" w:hAnsi="Arial" w:cs="Arial"/>
        </w:rPr>
        <w:br/>
      </w:r>
    </w:p>
    <w:p w14:paraId="6682C31B" w14:textId="77777777" w:rsidR="006A55A2" w:rsidRPr="00C43645" w:rsidRDefault="006A55A2" w:rsidP="006A55A2">
      <w:pPr>
        <w:jc w:val="both"/>
        <w:rPr>
          <w:rFonts w:ascii="Arial" w:hAnsi="Arial" w:cs="Arial"/>
        </w:rPr>
      </w:pPr>
    </w:p>
    <w:p w14:paraId="4183CA0F" w14:textId="77777777" w:rsidR="006A55A2" w:rsidRPr="00C43645" w:rsidRDefault="006A55A2" w:rsidP="006A55A2">
      <w:pPr>
        <w:jc w:val="both"/>
        <w:rPr>
          <w:rFonts w:ascii="Arial" w:hAnsi="Arial" w:cs="Arial"/>
        </w:rPr>
      </w:pPr>
    </w:p>
    <w:p w14:paraId="77EB86D3" w14:textId="77777777" w:rsidR="006A55A2" w:rsidRPr="00C43645" w:rsidRDefault="006A55A2" w:rsidP="006A55A2">
      <w:pPr>
        <w:jc w:val="both"/>
        <w:rPr>
          <w:rFonts w:ascii="Arial" w:hAnsi="Arial" w:cs="Arial"/>
        </w:rPr>
      </w:pPr>
    </w:p>
    <w:p w14:paraId="21A043A4" w14:textId="77777777" w:rsidR="006A55A2" w:rsidRPr="00C43645" w:rsidRDefault="006A55A2" w:rsidP="006A55A2">
      <w:pPr>
        <w:jc w:val="both"/>
        <w:rPr>
          <w:rFonts w:ascii="Arial" w:hAnsi="Arial" w:cs="Arial"/>
        </w:rPr>
      </w:pPr>
    </w:p>
    <w:p w14:paraId="54DCE775" w14:textId="77777777" w:rsidR="00C606E3" w:rsidRPr="00FB3A86" w:rsidRDefault="00C606E3" w:rsidP="00C606E3">
      <w:pPr>
        <w:pStyle w:val="ReferHead"/>
        <w:spacing w:after="0"/>
        <w:jc w:val="both"/>
        <w:rPr>
          <w:rFonts w:ascii="Arial" w:hAnsi="Arial" w:cs="Arial"/>
        </w:rPr>
      </w:pPr>
    </w:p>
    <w:p w14:paraId="39A84720" w14:textId="77777777" w:rsidR="00E93092" w:rsidRDefault="00E93092"/>
    <w:sectPr w:rsidR="00E93092" w:rsidSect="00F70C5E">
      <w:headerReference w:type="even" r:id="rId41"/>
      <w:headerReference w:type="default" r:id="rId42"/>
      <w:footerReference w:type="default" r:id="rId43"/>
      <w:headerReference w:type="first" r:id="rId4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7AF46" w14:textId="77777777" w:rsidR="00ED6D80" w:rsidRDefault="00ED6D80">
      <w:r>
        <w:separator/>
      </w:r>
    </w:p>
  </w:endnote>
  <w:endnote w:type="continuationSeparator" w:id="0">
    <w:p w14:paraId="4AFEF0E0" w14:textId="77777777" w:rsidR="00ED6D80" w:rsidRDefault="00ED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3748" w14:textId="77777777" w:rsidR="00F70C5E" w:rsidRDefault="00F70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D8A3E" w14:textId="77777777" w:rsidR="00F70C5E" w:rsidRDefault="00F70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FE8D7" w14:textId="77777777" w:rsidR="00C228AB" w:rsidRDefault="00C228AB">
    <w:pPr>
      <w:pStyle w:val="Footer"/>
      <w:rPr>
        <w:rFonts w:ascii="Arial" w:hAnsi="Arial" w:cs="Arial"/>
        <w:sz w:val="16"/>
      </w:rPr>
    </w:pPr>
  </w:p>
  <w:p w14:paraId="50E465A2" w14:textId="77777777" w:rsidR="00C228AB" w:rsidRDefault="00C228AB" w:rsidP="00922FC5">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51BD669" w14:textId="77777777" w:rsidR="00C228AB" w:rsidRDefault="00C228AB">
    <w:pPr>
      <w:pStyle w:val="Footer"/>
      <w:rPr>
        <w:rFonts w:ascii="Arial" w:hAnsi="Arial" w:cs="Arial"/>
        <w:sz w:val="16"/>
      </w:rPr>
    </w:pPr>
  </w:p>
  <w:p w14:paraId="77FD5CD2" w14:textId="77777777" w:rsidR="00C228AB" w:rsidRPr="009E048A" w:rsidRDefault="00C228AB">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58D4" w14:textId="77777777" w:rsidR="00C228AB" w:rsidRPr="00C37E61" w:rsidRDefault="00C228AB" w:rsidP="00922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D9905" w14:textId="77777777" w:rsidR="00ED6D80" w:rsidRDefault="00ED6D80">
      <w:r>
        <w:separator/>
      </w:r>
    </w:p>
  </w:footnote>
  <w:footnote w:type="continuationSeparator" w:id="0">
    <w:p w14:paraId="65FB7FB6" w14:textId="77777777" w:rsidR="00ED6D80" w:rsidRDefault="00ED6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987FC" w14:textId="44EC3D77" w:rsidR="00F70C5E" w:rsidRDefault="00DE62FA">
    <w:pPr>
      <w:pStyle w:val="Header"/>
    </w:pPr>
    <w:r>
      <w:rPr>
        <w:noProof/>
      </w:rPr>
      <w:pict w14:anchorId="6AC93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44938" o:spid="_x0000_s2050" type="#_x0000_t136" style="position:absolute;margin-left:0;margin-top:0;width:575.8pt;height:64.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91132" w14:textId="41661B09" w:rsidR="00F70C5E" w:rsidRDefault="00DE62FA">
    <w:pPr>
      <w:pStyle w:val="Header"/>
    </w:pPr>
    <w:r>
      <w:rPr>
        <w:noProof/>
      </w:rPr>
      <w:pict w14:anchorId="24754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44939" o:spid="_x0000_s2051" type="#_x0000_t136" style="position:absolute;margin-left:0;margin-top:0;width:575.8pt;height:64.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EF502" w14:textId="0A6DD881" w:rsidR="00C228AB" w:rsidRPr="00296529" w:rsidRDefault="00DE62FA" w:rsidP="00922FC5">
    <w:pPr>
      <w:ind w:left="2160"/>
      <w:jc w:val="center"/>
      <w:rPr>
        <w:rFonts w:ascii="Times New Roman" w:eastAsia="Calibri" w:hAnsi="Times New Roman"/>
        <w:i/>
        <w:sz w:val="18"/>
        <w:szCs w:val="22"/>
      </w:rPr>
    </w:pPr>
    <w:r>
      <w:rPr>
        <w:noProof/>
      </w:rPr>
      <w:pict w14:anchorId="4F7D0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44937" o:spid="_x0000_s2049" type="#_x0000_t136" style="position:absolute;left:0;text-align:left;margin-left:0;margin-top:0;width:575.8pt;height:64.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3A2DDD" w14:textId="77777777" w:rsidR="00C228AB" w:rsidRPr="00296529" w:rsidRDefault="00C228AB" w:rsidP="00922FC5">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8FE2C7C" w14:textId="77777777" w:rsidR="00C228AB" w:rsidRPr="00296529" w:rsidRDefault="00C228AB" w:rsidP="00922FC5">
    <w:pPr>
      <w:jc w:val="center"/>
      <w:rPr>
        <w:rFonts w:ascii="Times New Roman" w:eastAsia="Calibri" w:hAnsi="Times New Roman"/>
        <w:i/>
        <w:sz w:val="18"/>
        <w:szCs w:val="22"/>
      </w:rPr>
    </w:pPr>
    <w:r>
      <w:rPr>
        <w:rFonts w:ascii="Times New Roman" w:eastAsia="Calibri" w:hAnsi="Times New Roman"/>
        <w:i/>
        <w:sz w:val="18"/>
        <w:szCs w:val="22"/>
      </w:rPr>
      <w:t>.</w:t>
    </w:r>
  </w:p>
  <w:p w14:paraId="09FD698A" w14:textId="77777777" w:rsidR="00C228AB" w:rsidRPr="00296529" w:rsidRDefault="00C228AB" w:rsidP="00922FC5">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C69A77" w14:textId="77777777" w:rsidR="00C228AB" w:rsidRDefault="00C228AB" w:rsidP="00922FC5">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209E13" w14:textId="77777777" w:rsidR="00C228AB" w:rsidRDefault="00C228AB" w:rsidP="00922FC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55D0663" w14:textId="77777777" w:rsidR="00C228AB" w:rsidRDefault="00C228A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1EC06" w14:textId="72ECAF0B" w:rsidR="00F70C5E" w:rsidRDefault="00DE62FA">
    <w:pPr>
      <w:pStyle w:val="Header"/>
    </w:pPr>
    <w:r>
      <w:rPr>
        <w:noProof/>
      </w:rPr>
      <w:pict w14:anchorId="233CE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44941" o:spid="_x0000_s2053" type="#_x0000_t136" style="position:absolute;margin-left:0;margin-top:0;width:575.8pt;height:64.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94C84" w14:textId="2AAA9290" w:rsidR="00F70C5E" w:rsidRDefault="00DE62FA">
    <w:pPr>
      <w:pStyle w:val="Header"/>
    </w:pPr>
    <w:r>
      <w:rPr>
        <w:noProof/>
      </w:rPr>
      <w:pict w14:anchorId="63A0C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44942" o:spid="_x0000_s2054" type="#_x0000_t136" style="position:absolute;margin-left:0;margin-top:0;width:575.8pt;height:64.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6EC83" w14:textId="297F72F2" w:rsidR="00F70C5E" w:rsidRDefault="00DE62FA">
    <w:pPr>
      <w:pStyle w:val="Header"/>
    </w:pPr>
    <w:r>
      <w:rPr>
        <w:noProof/>
      </w:rPr>
      <w:pict w14:anchorId="1D56E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44940" o:spid="_x0000_s2052" type="#_x0000_t136" style="position:absolute;margin-left:0;margin-top:0;width:575.8pt;height:64.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57CC"/>
    <w:multiLevelType w:val="hybridMultilevel"/>
    <w:tmpl w:val="E468132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44F80"/>
    <w:multiLevelType w:val="hybridMultilevel"/>
    <w:tmpl w:val="4F086108"/>
    <w:lvl w:ilvl="0" w:tplc="0E38CB4A">
      <w:start w:val="1"/>
      <w:numFmt w:val="upp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257CC9"/>
    <w:multiLevelType w:val="multilevel"/>
    <w:tmpl w:val="B2F2936C"/>
    <w:lvl w:ilvl="0">
      <w:start w:val="1"/>
      <w:numFmt w:val="upperRoman"/>
      <w:lvlText w:val="%1."/>
      <w:lvlJc w:val="right"/>
      <w:pPr>
        <w:ind w:left="2160" w:hanging="360"/>
      </w:pPr>
    </w:lvl>
    <w:lvl w:ilvl="1">
      <w:start w:val="6"/>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18D54667"/>
    <w:multiLevelType w:val="hybridMultilevel"/>
    <w:tmpl w:val="1BF02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A64FF"/>
    <w:multiLevelType w:val="hybridMultilevel"/>
    <w:tmpl w:val="C846A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D0923"/>
    <w:multiLevelType w:val="hybridMultilevel"/>
    <w:tmpl w:val="52CE17B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ECB1411"/>
    <w:multiLevelType w:val="hybridMultilevel"/>
    <w:tmpl w:val="F88A726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3970BE"/>
    <w:multiLevelType w:val="hybridMultilevel"/>
    <w:tmpl w:val="CE9014B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4758AD"/>
    <w:multiLevelType w:val="hybridMultilevel"/>
    <w:tmpl w:val="6FAEFF0C"/>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456116B"/>
    <w:multiLevelType w:val="multilevel"/>
    <w:tmpl w:val="861C6A00"/>
    <w:lvl w:ilvl="0">
      <w:start w:val="1"/>
      <w:numFmt w:val="upperRoman"/>
      <w:lvlText w:val="%1."/>
      <w:lvlJc w:val="righ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378A609D"/>
    <w:multiLevelType w:val="hybridMultilevel"/>
    <w:tmpl w:val="CE169BF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BF44B81"/>
    <w:multiLevelType w:val="hybridMultilevel"/>
    <w:tmpl w:val="9B48846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D522481"/>
    <w:multiLevelType w:val="hybridMultilevel"/>
    <w:tmpl w:val="3C2E1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01480D"/>
    <w:multiLevelType w:val="hybridMultilevel"/>
    <w:tmpl w:val="19729F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1A7F33"/>
    <w:multiLevelType w:val="hybridMultilevel"/>
    <w:tmpl w:val="F5AE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177B8"/>
    <w:multiLevelType w:val="multilevel"/>
    <w:tmpl w:val="018A547A"/>
    <w:lvl w:ilvl="0">
      <w:start w:val="1"/>
      <w:numFmt w:val="upperRoman"/>
      <w:lvlText w:val="%1."/>
      <w:lvlJc w:val="right"/>
      <w:pPr>
        <w:ind w:left="1440" w:hanging="360"/>
      </w:pPr>
    </w:lvl>
    <w:lvl w:ilvl="1">
      <w:start w:val="5"/>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525D0CD3"/>
    <w:multiLevelType w:val="hybridMultilevel"/>
    <w:tmpl w:val="7114A0B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8" w15:restartNumberingAfterBreak="0">
    <w:nsid w:val="737C288F"/>
    <w:multiLevelType w:val="hybridMultilevel"/>
    <w:tmpl w:val="47F297F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7"/>
  </w:num>
  <w:num w:numId="2">
    <w:abstractNumId w:val="10"/>
  </w:num>
  <w:num w:numId="3">
    <w:abstractNumId w:val="3"/>
  </w:num>
  <w:num w:numId="4">
    <w:abstractNumId w:val="13"/>
  </w:num>
  <w:num w:numId="5">
    <w:abstractNumId w:val="7"/>
  </w:num>
  <w:num w:numId="6">
    <w:abstractNumId w:val="18"/>
  </w:num>
  <w:num w:numId="7">
    <w:abstractNumId w:val="1"/>
  </w:num>
  <w:num w:numId="8">
    <w:abstractNumId w:val="6"/>
  </w:num>
  <w:num w:numId="9">
    <w:abstractNumId w:val="5"/>
  </w:num>
  <w:num w:numId="10">
    <w:abstractNumId w:val="11"/>
  </w:num>
  <w:num w:numId="11">
    <w:abstractNumId w:val="15"/>
  </w:num>
  <w:num w:numId="12">
    <w:abstractNumId w:val="14"/>
  </w:num>
  <w:num w:numId="13">
    <w:abstractNumId w:val="0"/>
  </w:num>
  <w:num w:numId="14">
    <w:abstractNumId w:val="2"/>
  </w:num>
  <w:num w:numId="15">
    <w:abstractNumId w:val="9"/>
  </w:num>
  <w:num w:numId="16">
    <w:abstractNumId w:val="16"/>
  </w:num>
  <w:num w:numId="17">
    <w:abstractNumId w:val="4"/>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KwNDA0MDI3MjMzsTRU0lEKTi0uzszPAykwqgUAXzsBUSwAAAA="/>
  </w:docVars>
  <w:rsids>
    <w:rsidRoot w:val="00C606E3"/>
    <w:rsid w:val="00032406"/>
    <w:rsid w:val="00054AA7"/>
    <w:rsid w:val="000C72DE"/>
    <w:rsid w:val="00161A0C"/>
    <w:rsid w:val="001C5F1C"/>
    <w:rsid w:val="00293A6C"/>
    <w:rsid w:val="002F7AA4"/>
    <w:rsid w:val="003144A9"/>
    <w:rsid w:val="004C7CAF"/>
    <w:rsid w:val="005869AF"/>
    <w:rsid w:val="005D03F4"/>
    <w:rsid w:val="00607DDE"/>
    <w:rsid w:val="006A55A2"/>
    <w:rsid w:val="006D00F7"/>
    <w:rsid w:val="007334F7"/>
    <w:rsid w:val="007F3F29"/>
    <w:rsid w:val="008920D4"/>
    <w:rsid w:val="00896802"/>
    <w:rsid w:val="008D08A1"/>
    <w:rsid w:val="008D589C"/>
    <w:rsid w:val="00922FC5"/>
    <w:rsid w:val="009610F1"/>
    <w:rsid w:val="009671E3"/>
    <w:rsid w:val="009A21EA"/>
    <w:rsid w:val="009A4126"/>
    <w:rsid w:val="009B35BA"/>
    <w:rsid w:val="009E52F1"/>
    <w:rsid w:val="00A30510"/>
    <w:rsid w:val="00B06E7E"/>
    <w:rsid w:val="00B5779C"/>
    <w:rsid w:val="00BE7BB8"/>
    <w:rsid w:val="00C228AB"/>
    <w:rsid w:val="00C606E3"/>
    <w:rsid w:val="00C71A37"/>
    <w:rsid w:val="00D908B2"/>
    <w:rsid w:val="00DD5EAD"/>
    <w:rsid w:val="00DE62FA"/>
    <w:rsid w:val="00E42398"/>
    <w:rsid w:val="00E506BB"/>
    <w:rsid w:val="00E93092"/>
    <w:rsid w:val="00EB145C"/>
    <w:rsid w:val="00ED6D80"/>
    <w:rsid w:val="00F70C5E"/>
    <w:rsid w:val="00FC0299"/>
    <w:rsid w:val="00FC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1D661DD"/>
  <w15:chartTrackingRefBased/>
  <w15:docId w15:val="{EE728162-7804-4D91-93D6-FD6CD78A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6E3"/>
    <w:pPr>
      <w:spacing w:after="0" w:line="240" w:lineRule="auto"/>
    </w:pPr>
    <w:rPr>
      <w:rFonts w:ascii="Helvetica" w:eastAsia="Times New Roman" w:hAnsi="Helvetica" w:cs="Times New Roman"/>
      <w:sz w:val="20"/>
      <w:szCs w:val="20"/>
    </w:rPr>
  </w:style>
  <w:style w:type="paragraph" w:styleId="Heading2">
    <w:name w:val="heading 2"/>
    <w:basedOn w:val="Normal"/>
    <w:next w:val="Normal"/>
    <w:link w:val="Heading2Char"/>
    <w:uiPriority w:val="9"/>
    <w:unhideWhenUsed/>
    <w:qFormat/>
    <w:rsid w:val="00161A0C"/>
    <w:pPr>
      <w:keepNext/>
      <w:keepLines/>
      <w:spacing w:before="120" w:after="120" w:line="360" w:lineRule="auto"/>
      <w:outlineLvl w:val="1"/>
    </w:pPr>
    <w:rPr>
      <w:rFonts w:ascii="Times New Roman" w:eastAsiaTheme="minorEastAsia" w:hAnsi="Times New Roman" w:cstheme="minorBidi"/>
      <w:b/>
      <w:bCs/>
      <w:color w:val="0D0D0D" w:themeColor="text1" w:themeTint="F2"/>
      <w:sz w:val="26"/>
      <w:szCs w:val="32"/>
      <w:lang w:eastAsia="zh-CN"/>
    </w:rPr>
  </w:style>
  <w:style w:type="paragraph" w:styleId="Heading3">
    <w:name w:val="heading 3"/>
    <w:basedOn w:val="Normal"/>
    <w:next w:val="Normal"/>
    <w:link w:val="Heading3Char"/>
    <w:uiPriority w:val="9"/>
    <w:semiHidden/>
    <w:unhideWhenUsed/>
    <w:qFormat/>
    <w:rsid w:val="009A4126"/>
    <w:pPr>
      <w:keepNext/>
      <w:keepLines/>
      <w:spacing w:before="200" w:line="276" w:lineRule="auto"/>
      <w:outlineLvl w:val="2"/>
    </w:pPr>
    <w:rPr>
      <w:rFonts w:asciiTheme="majorHAnsi" w:eastAsiaTheme="majorEastAsia" w:hAnsiTheme="majorHAnsi" w:cstheme="majorBidi"/>
      <w:b/>
      <w:bCs/>
      <w:color w:val="5B9BD5" w:themeColor="accent1"/>
      <w:sz w:val="22"/>
      <w:szCs w:val="22"/>
      <w:lang w:val="en-GB"/>
    </w:rPr>
  </w:style>
  <w:style w:type="paragraph" w:styleId="Heading4">
    <w:name w:val="heading 4"/>
    <w:basedOn w:val="Normal"/>
    <w:next w:val="Normal"/>
    <w:link w:val="Heading4Char"/>
    <w:uiPriority w:val="9"/>
    <w:unhideWhenUsed/>
    <w:qFormat/>
    <w:rsid w:val="009A4126"/>
    <w:pPr>
      <w:keepNext/>
      <w:keepLines/>
      <w:spacing w:before="40"/>
      <w:outlineLvl w:val="3"/>
    </w:pPr>
    <w:rPr>
      <w:rFonts w:asciiTheme="majorHAnsi" w:eastAsiaTheme="majorEastAsia" w:hAnsiTheme="majorHAnsi" w:cstheme="majorBidi"/>
      <w:i/>
      <w:iCs/>
      <w:color w:val="2E74B5" w:themeColor="accent1" w:themeShade="B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C606E3"/>
    <w:pPr>
      <w:spacing w:line="280" w:lineRule="exact"/>
      <w:jc w:val="right"/>
    </w:pPr>
    <w:rPr>
      <w:b/>
      <w:sz w:val="24"/>
    </w:rPr>
  </w:style>
  <w:style w:type="paragraph" w:customStyle="1" w:styleId="Affiliation">
    <w:name w:val="Affiliation"/>
    <w:basedOn w:val="Normal"/>
    <w:rsid w:val="00C606E3"/>
    <w:pPr>
      <w:spacing w:after="240" w:line="240" w:lineRule="exact"/>
      <w:jc w:val="right"/>
    </w:pPr>
  </w:style>
  <w:style w:type="paragraph" w:customStyle="1" w:styleId="Body">
    <w:name w:val="Body"/>
    <w:basedOn w:val="Normal"/>
    <w:rsid w:val="00C606E3"/>
    <w:pPr>
      <w:spacing w:after="240"/>
      <w:jc w:val="both"/>
    </w:pPr>
  </w:style>
  <w:style w:type="paragraph" w:customStyle="1" w:styleId="AbstHead">
    <w:name w:val="Abst Head"/>
    <w:basedOn w:val="Normal"/>
    <w:rsid w:val="00C606E3"/>
    <w:pPr>
      <w:keepNext/>
      <w:spacing w:after="240"/>
    </w:pPr>
    <w:rPr>
      <w:b/>
      <w:caps/>
      <w:sz w:val="22"/>
    </w:rPr>
  </w:style>
  <w:style w:type="paragraph" w:customStyle="1" w:styleId="ConcHead">
    <w:name w:val="Conc Head"/>
    <w:basedOn w:val="Normal"/>
    <w:rsid w:val="00C606E3"/>
    <w:pPr>
      <w:keepNext/>
      <w:spacing w:after="240"/>
    </w:pPr>
    <w:rPr>
      <w:b/>
      <w:caps/>
      <w:sz w:val="22"/>
    </w:rPr>
  </w:style>
  <w:style w:type="paragraph" w:customStyle="1" w:styleId="AcknHead">
    <w:name w:val="Ackn Head"/>
    <w:basedOn w:val="Normal"/>
    <w:rsid w:val="00C606E3"/>
    <w:pPr>
      <w:keepNext/>
      <w:spacing w:after="240"/>
    </w:pPr>
    <w:rPr>
      <w:b/>
      <w:caps/>
      <w:sz w:val="22"/>
    </w:rPr>
  </w:style>
  <w:style w:type="paragraph" w:customStyle="1" w:styleId="ReferHead">
    <w:name w:val="Refer Head"/>
    <w:basedOn w:val="Normal"/>
    <w:rsid w:val="00C606E3"/>
    <w:pPr>
      <w:keepNext/>
      <w:spacing w:after="240"/>
    </w:pPr>
    <w:rPr>
      <w:b/>
      <w:caps/>
      <w:sz w:val="22"/>
    </w:rPr>
  </w:style>
  <w:style w:type="paragraph" w:customStyle="1" w:styleId="DefAcrHead">
    <w:name w:val="DefAcrHead"/>
    <w:basedOn w:val="Normal"/>
    <w:rsid w:val="00C606E3"/>
    <w:pPr>
      <w:keepNext/>
      <w:spacing w:after="240"/>
    </w:pPr>
    <w:rPr>
      <w:b/>
      <w:caps/>
      <w:sz w:val="22"/>
    </w:rPr>
  </w:style>
  <w:style w:type="paragraph" w:customStyle="1" w:styleId="Copyright">
    <w:name w:val="Copyright"/>
    <w:basedOn w:val="Normal"/>
    <w:rsid w:val="00C606E3"/>
    <w:pPr>
      <w:spacing w:after="960" w:line="200" w:lineRule="exact"/>
    </w:pPr>
    <w:rPr>
      <w:sz w:val="16"/>
    </w:rPr>
  </w:style>
  <w:style w:type="paragraph" w:styleId="Title">
    <w:name w:val="Title"/>
    <w:basedOn w:val="Normal"/>
    <w:link w:val="TitleChar"/>
    <w:qFormat/>
    <w:rsid w:val="00C606E3"/>
    <w:pPr>
      <w:spacing w:after="360"/>
      <w:jc w:val="right"/>
    </w:pPr>
    <w:rPr>
      <w:b/>
      <w:kern w:val="28"/>
      <w:sz w:val="36"/>
    </w:rPr>
  </w:style>
  <w:style w:type="character" w:customStyle="1" w:styleId="TitleChar">
    <w:name w:val="Title Char"/>
    <w:basedOn w:val="DefaultParagraphFont"/>
    <w:link w:val="Title"/>
    <w:rsid w:val="00C606E3"/>
    <w:rPr>
      <w:rFonts w:ascii="Helvetica" w:eastAsia="Times New Roman" w:hAnsi="Helvetica" w:cs="Times New Roman"/>
      <w:b/>
      <w:kern w:val="28"/>
      <w:sz w:val="36"/>
      <w:szCs w:val="20"/>
    </w:rPr>
  </w:style>
  <w:style w:type="paragraph" w:customStyle="1" w:styleId="Reference">
    <w:name w:val="Reference"/>
    <w:basedOn w:val="Body"/>
    <w:rsid w:val="00C606E3"/>
    <w:pPr>
      <w:numPr>
        <w:numId w:val="1"/>
      </w:numPr>
      <w:spacing w:after="0" w:line="240" w:lineRule="exact"/>
    </w:pPr>
  </w:style>
  <w:style w:type="paragraph" w:customStyle="1" w:styleId="Head1">
    <w:name w:val="Head1"/>
    <w:basedOn w:val="Normal"/>
    <w:rsid w:val="00C606E3"/>
    <w:pPr>
      <w:keepNext/>
      <w:spacing w:after="240"/>
    </w:pPr>
    <w:rPr>
      <w:b/>
      <w:caps/>
      <w:sz w:val="22"/>
    </w:rPr>
  </w:style>
  <w:style w:type="paragraph" w:customStyle="1" w:styleId="Appendix">
    <w:name w:val="Appendix"/>
    <w:basedOn w:val="Normal"/>
    <w:rsid w:val="00C606E3"/>
    <w:pPr>
      <w:keepNext/>
      <w:spacing w:after="240"/>
    </w:pPr>
    <w:rPr>
      <w:b/>
      <w:caps/>
      <w:sz w:val="22"/>
    </w:rPr>
  </w:style>
  <w:style w:type="paragraph" w:styleId="Footer">
    <w:name w:val="footer"/>
    <w:basedOn w:val="Normal"/>
    <w:link w:val="FooterChar"/>
    <w:rsid w:val="00C606E3"/>
    <w:pPr>
      <w:tabs>
        <w:tab w:val="center" w:pos="4320"/>
        <w:tab w:val="right" w:pos="8640"/>
      </w:tabs>
    </w:pPr>
  </w:style>
  <w:style w:type="character" w:customStyle="1" w:styleId="FooterChar">
    <w:name w:val="Footer Char"/>
    <w:basedOn w:val="DefaultParagraphFont"/>
    <w:link w:val="Footer"/>
    <w:rsid w:val="00C606E3"/>
    <w:rPr>
      <w:rFonts w:ascii="Helvetica" w:eastAsia="Times New Roman" w:hAnsi="Helvetica" w:cs="Times New Roman"/>
      <w:sz w:val="20"/>
      <w:szCs w:val="20"/>
    </w:rPr>
  </w:style>
  <w:style w:type="paragraph" w:styleId="Header">
    <w:name w:val="header"/>
    <w:basedOn w:val="Normal"/>
    <w:link w:val="HeaderChar"/>
    <w:rsid w:val="00C606E3"/>
    <w:pPr>
      <w:tabs>
        <w:tab w:val="center" w:pos="4320"/>
        <w:tab w:val="right" w:pos="8640"/>
      </w:tabs>
    </w:pPr>
  </w:style>
  <w:style w:type="character" w:customStyle="1" w:styleId="HeaderChar">
    <w:name w:val="Header Char"/>
    <w:basedOn w:val="DefaultParagraphFont"/>
    <w:link w:val="Header"/>
    <w:rsid w:val="00C606E3"/>
    <w:rPr>
      <w:rFonts w:ascii="Helvetica" w:eastAsia="Times New Roman" w:hAnsi="Helvetica" w:cs="Times New Roman"/>
      <w:sz w:val="20"/>
      <w:szCs w:val="20"/>
    </w:rPr>
  </w:style>
  <w:style w:type="character" w:styleId="Hyperlink">
    <w:name w:val="Hyperlink"/>
    <w:basedOn w:val="DefaultParagraphFont"/>
    <w:uiPriority w:val="99"/>
    <w:rsid w:val="00C606E3"/>
    <w:rPr>
      <w:color w:val="FF0080"/>
      <w:u w:val="single"/>
    </w:rPr>
  </w:style>
  <w:style w:type="paragraph" w:styleId="BodyText3">
    <w:name w:val="Body Text 3"/>
    <w:basedOn w:val="Normal"/>
    <w:link w:val="BodyText3Char"/>
    <w:rsid w:val="00C606E3"/>
    <w:pPr>
      <w:spacing w:after="120"/>
    </w:pPr>
    <w:rPr>
      <w:sz w:val="16"/>
      <w:szCs w:val="16"/>
    </w:rPr>
  </w:style>
  <w:style w:type="character" w:customStyle="1" w:styleId="BodyText3Char">
    <w:name w:val="Body Text 3 Char"/>
    <w:basedOn w:val="DefaultParagraphFont"/>
    <w:link w:val="BodyText3"/>
    <w:rsid w:val="00C606E3"/>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C606E3"/>
  </w:style>
  <w:style w:type="paragraph" w:styleId="ListParagraph">
    <w:name w:val="List Paragraph"/>
    <w:basedOn w:val="Normal"/>
    <w:uiPriority w:val="34"/>
    <w:qFormat/>
    <w:rsid w:val="00161A0C"/>
    <w:pPr>
      <w:ind w:left="720"/>
      <w:contextualSpacing/>
    </w:pPr>
    <w:rPr>
      <w:rFonts w:asciiTheme="minorHAnsi" w:eastAsiaTheme="minorEastAsia" w:hAnsiTheme="minorHAnsi" w:cstheme="minorBidi"/>
      <w:lang w:eastAsia="zh-CN"/>
    </w:rPr>
  </w:style>
  <w:style w:type="character" w:customStyle="1" w:styleId="Heading2Char">
    <w:name w:val="Heading 2 Char"/>
    <w:basedOn w:val="DefaultParagraphFont"/>
    <w:link w:val="Heading2"/>
    <w:uiPriority w:val="9"/>
    <w:rsid w:val="00161A0C"/>
    <w:rPr>
      <w:rFonts w:ascii="Times New Roman" w:eastAsiaTheme="minorEastAsia" w:hAnsi="Times New Roman"/>
      <w:b/>
      <w:bCs/>
      <w:color w:val="0D0D0D" w:themeColor="text1" w:themeTint="F2"/>
      <w:sz w:val="26"/>
      <w:szCs w:val="32"/>
      <w:lang w:eastAsia="zh-CN"/>
    </w:rPr>
  </w:style>
  <w:style w:type="character" w:customStyle="1" w:styleId="Heading3Char">
    <w:name w:val="Heading 3 Char"/>
    <w:basedOn w:val="DefaultParagraphFont"/>
    <w:link w:val="Heading3"/>
    <w:uiPriority w:val="9"/>
    <w:semiHidden/>
    <w:rsid w:val="009A4126"/>
    <w:rPr>
      <w:rFonts w:asciiTheme="majorHAnsi" w:eastAsiaTheme="majorEastAsia" w:hAnsiTheme="majorHAnsi" w:cstheme="majorBidi"/>
      <w:b/>
      <w:bCs/>
      <w:color w:val="5B9BD5" w:themeColor="accent1"/>
      <w:lang w:val="en-GB"/>
    </w:rPr>
  </w:style>
  <w:style w:type="character" w:customStyle="1" w:styleId="Heading4Char">
    <w:name w:val="Heading 4 Char"/>
    <w:basedOn w:val="DefaultParagraphFont"/>
    <w:link w:val="Heading4"/>
    <w:uiPriority w:val="9"/>
    <w:rsid w:val="009A4126"/>
    <w:rPr>
      <w:rFonts w:asciiTheme="majorHAnsi" w:eastAsiaTheme="majorEastAsia" w:hAnsiTheme="majorHAnsi" w:cstheme="majorBidi"/>
      <w:i/>
      <w:iCs/>
      <w:color w:val="2E74B5" w:themeColor="accent1" w:themeShade="BF"/>
      <w:sz w:val="20"/>
      <w:szCs w:val="20"/>
      <w:lang w:eastAsia="zh-CN"/>
    </w:rPr>
  </w:style>
  <w:style w:type="table" w:styleId="ListTable6Colorful">
    <w:name w:val="List Table 6 Colorful"/>
    <w:basedOn w:val="TableNormal"/>
    <w:uiPriority w:val="51"/>
    <w:rsid w:val="009A412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9A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4126"/>
    <w:rPr>
      <w:b/>
      <w:bCs/>
    </w:rPr>
  </w:style>
  <w:style w:type="paragraph" w:styleId="NormalWeb">
    <w:name w:val="Normal (Web)"/>
    <w:basedOn w:val="Normal"/>
    <w:uiPriority w:val="99"/>
    <w:unhideWhenUsed/>
    <w:rsid w:val="009A4126"/>
    <w:pPr>
      <w:spacing w:before="100" w:beforeAutospacing="1" w:after="100" w:afterAutospacing="1"/>
    </w:pPr>
    <w:rPr>
      <w:rFonts w:ascii="Times New Roman" w:hAnsi="Times New Roman"/>
      <w:sz w:val="24"/>
      <w:szCs w:val="24"/>
    </w:rPr>
  </w:style>
  <w:style w:type="character" w:customStyle="1" w:styleId="in-toolbar">
    <w:name w:val="in-toolbar"/>
    <w:basedOn w:val="DefaultParagraphFont"/>
    <w:rsid w:val="009A4126"/>
  </w:style>
  <w:style w:type="character" w:styleId="Emphasis">
    <w:name w:val="Emphasis"/>
    <w:basedOn w:val="DefaultParagraphFont"/>
    <w:uiPriority w:val="20"/>
    <w:qFormat/>
    <w:rsid w:val="009A4126"/>
    <w:rPr>
      <w:i/>
      <w:iCs/>
    </w:rPr>
  </w:style>
  <w:style w:type="paragraph" w:styleId="PlainText">
    <w:name w:val="Plain Text"/>
    <w:basedOn w:val="Normal"/>
    <w:link w:val="PlainTextChar"/>
    <w:uiPriority w:val="99"/>
    <w:unhideWhenUsed/>
    <w:rsid w:val="006A55A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A55A2"/>
    <w:rPr>
      <w:rFonts w:ascii="Consolas" w:hAnsi="Consolas"/>
      <w:sz w:val="21"/>
      <w:szCs w:val="21"/>
    </w:rPr>
  </w:style>
  <w:style w:type="character" w:styleId="HTMLCite">
    <w:name w:val="HTML Cite"/>
    <w:basedOn w:val="DefaultParagraphFont"/>
    <w:uiPriority w:val="99"/>
    <w:semiHidden/>
    <w:unhideWhenUsed/>
    <w:rsid w:val="006A55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3390/biology13020085" TargetMode="External"/><Relationship Id="rId39" Type="http://schemas.openxmlformats.org/officeDocument/2006/relationships/hyperlink" Target="https://doi.org/10.1016/j.ufug.2025.128728" TargetMode="External"/><Relationship Id="rId21" Type="http://schemas.openxmlformats.org/officeDocument/2006/relationships/hyperlink" Target="https://doi.org/10.1016/j.apsoil.2021.103899" TargetMode="External"/><Relationship Id="rId34" Type="http://schemas.openxmlformats.org/officeDocument/2006/relationships/hyperlink" Target="https://doi.org/10.1007/s44378-025-00037-4" TargetMode="External"/><Relationship Id="rId42" Type="http://schemas.openxmlformats.org/officeDocument/2006/relationships/header" Target="header5.xml"/><Relationship Id="rId7" Type="http://schemas.openxmlformats.org/officeDocument/2006/relationships/hyperlink" Target="https://apiweb.biomerieux.com" TargetMode="Externa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yperlink" Target="https://doi.org/10.3390/molecules292459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sajrm/2020/v7i130164" TargetMode="External"/><Relationship Id="rId24" Type="http://schemas.openxmlformats.org/officeDocument/2006/relationships/hyperlink" Target="https://doi.org/10.1016/j.agee.2025.109879" TargetMode="External"/><Relationship Id="rId32" Type="http://schemas.openxmlformats.org/officeDocument/2006/relationships/hyperlink" Target="https://doi.org/10.3390/toxics13110949" TargetMode="External"/><Relationship Id="rId37" Type="http://schemas.openxmlformats.org/officeDocument/2006/relationships/hyperlink" Target="http://dx.doi.org/10.29322/IJSRP.10.08.2020.p10480" TargetMode="External"/><Relationship Id="rId40" Type="http://schemas.openxmlformats.org/officeDocument/2006/relationships/hyperlink" Target="https://doi.org/10.1007/s10661-025-14532-2"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0.1016/j.ecoenv.2024.116783" TargetMode="External"/><Relationship Id="rId28" Type="http://schemas.openxmlformats.org/officeDocument/2006/relationships/hyperlink" Target="https://doi.org/10.1038/s41598-021-91755-6" TargetMode="External"/><Relationship Id="rId36" Type="http://schemas.openxmlformats.org/officeDocument/2006/relationships/hyperlink" Target="https://doi.org/10.3390/pr12040827" TargetMode="External"/><Relationship Id="rId10" Type="http://schemas.openxmlformats.org/officeDocument/2006/relationships/hyperlink" Target="https://doi.org/10.9734/jabb/2022/v25i10601" TargetMode="External"/><Relationship Id="rId19" Type="http://schemas.openxmlformats.org/officeDocument/2006/relationships/hyperlink" Target="https://doi:10.3390/ijms242115969" TargetMode="External"/><Relationship Id="rId31" Type="http://schemas.openxmlformats.org/officeDocument/2006/relationships/hyperlink" Target="http://dx.doi.org/10.24198/kultivasi.v22i1.39746" TargetMode="External"/><Relationship Id="rId44"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www.apha.org/publications-and-products/books/standard-methods" TargetMode="External"/><Relationship Id="rId14" Type="http://schemas.openxmlformats.org/officeDocument/2006/relationships/header" Target="header2.xml"/><Relationship Id="rId22" Type="http://schemas.openxmlformats.org/officeDocument/2006/relationships/hyperlink" Target="https://doi.org/10.2136/sssaj2021.08.0331" TargetMode="External"/><Relationship Id="rId27" Type="http://schemas.openxmlformats.org/officeDocument/2006/relationships/hyperlink" Target="https://www.doi.org/10.33545/2618060X.2025.v8.i3c.2650" TargetMode="External"/><Relationship Id="rId30" Type="http://schemas.openxmlformats.org/officeDocument/2006/relationships/hyperlink" Target="https://doi.org/10.9734/sajrm/2019/v4i230104" TargetMode="External"/><Relationship Id="rId35" Type="http://schemas.openxmlformats.org/officeDocument/2006/relationships/hyperlink" Target="https://doi.org/10.33545/26174693.2024.v8.i7Sg.1575" TargetMode="External"/><Relationship Id="rId43" Type="http://schemas.openxmlformats.org/officeDocument/2006/relationships/footer" Target="footer4.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hyperlink" Target="https://books.google.com/books/about/Bergey_s_Manual_of_Determinative_Bacteri.html?id=y_4eAQAAIAAJ" TargetMode="External"/><Relationship Id="rId17" Type="http://schemas.openxmlformats.org/officeDocument/2006/relationships/header" Target="header3.xml"/><Relationship Id="rId25" Type="http://schemas.openxmlformats.org/officeDocument/2006/relationships/hyperlink" Target="https://doi.org/10.1016/j.scitotenv.2022.159428" TargetMode="External"/><Relationship Id="rId33" Type="http://schemas.openxmlformats.org/officeDocument/2006/relationships/hyperlink" Target="https://doi.org/10.3390/d16120734" TargetMode="External"/><Relationship Id="rId38" Type="http://schemas.openxmlformats.org/officeDocument/2006/relationships/hyperlink" Target="https://doi.org/10.1016/j.pmpp.2019.03.004" TargetMode="External"/><Relationship Id="rId46" Type="http://schemas.openxmlformats.org/officeDocument/2006/relationships/theme" Target="theme/theme1.xml"/><Relationship Id="rId20" Type="http://schemas.openxmlformats.org/officeDocument/2006/relationships/hyperlink" Target="https://doi.org/10.xxxx/ses.2023.43" TargetMode="External"/><Relationship Id="rId41" Type="http://schemas.openxmlformats.org/officeDocument/2006/relationships/header" Target="header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glufosinat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D7D0-40FA-B67C-6410E4D864C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D7D0-40FA-B67C-6410E4D864C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D7D0-40FA-B67C-6410E4D864C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D7D0-40FA-B67C-6410E4D864C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9-D7D0-40FA-B67C-6410E4D864C9}"/>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B-D7D0-40FA-B67C-6410E4D864C9}"/>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D-D7D0-40FA-B67C-6410E4D864C9}"/>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F-D7D0-40FA-B67C-6410E4D864C9}"/>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11-D7D0-40FA-B67C-6410E4D864C9}"/>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13-D7D0-40FA-B67C-6410E4D864C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Sheet1!$A$1:$A$10</c:f>
              <c:strCache>
                <c:ptCount val="10"/>
                <c:pt idx="0">
                  <c:v>Bacillus aerius</c:v>
                </c:pt>
                <c:pt idx="1">
                  <c:v>Bacillus subtilis</c:v>
                </c:pt>
                <c:pt idx="2">
                  <c:v>Bacillus cereus</c:v>
                </c:pt>
                <c:pt idx="3">
                  <c:v>Pseudomonas aeruginosa</c:v>
                </c:pt>
                <c:pt idx="4">
                  <c:v>Klebsiella aerogenes</c:v>
                </c:pt>
                <c:pt idx="5">
                  <c:v>Enterobacter species</c:v>
                </c:pt>
                <c:pt idx="6">
                  <c:v> Proteus vulgaris</c:v>
                </c:pt>
                <c:pt idx="7">
                  <c:v>Staphylococcus epidermidis</c:v>
                </c:pt>
                <c:pt idx="8">
                  <c:v>Corynebacterium capsium</c:v>
                </c:pt>
                <c:pt idx="9">
                  <c:v>Paenibacillus polymyxa</c:v>
                </c:pt>
              </c:strCache>
            </c:strRef>
          </c:cat>
          <c:val>
            <c:numRef>
              <c:f>Sheet1!$B$1:$B$10</c:f>
              <c:numCache>
                <c:formatCode>0%</c:formatCode>
                <c:ptCount val="10"/>
                <c:pt idx="0">
                  <c:v>0.12</c:v>
                </c:pt>
                <c:pt idx="1">
                  <c:v>0.14000000000000001</c:v>
                </c:pt>
                <c:pt idx="2">
                  <c:v>0.14000000000000001</c:v>
                </c:pt>
                <c:pt idx="3">
                  <c:v>0.12</c:v>
                </c:pt>
                <c:pt idx="4">
                  <c:v>0.08</c:v>
                </c:pt>
                <c:pt idx="5">
                  <c:v>0.06</c:v>
                </c:pt>
                <c:pt idx="6">
                  <c:v>0.08</c:v>
                </c:pt>
                <c:pt idx="7">
                  <c:v>0.08</c:v>
                </c:pt>
                <c:pt idx="8">
                  <c:v>0.08</c:v>
                </c:pt>
                <c:pt idx="9">
                  <c:v>0.1</c:v>
                </c:pt>
              </c:numCache>
            </c:numRef>
          </c:val>
          <c:extLst>
            <c:ext xmlns:c16="http://schemas.microsoft.com/office/drawing/2014/chart" uri="{C3380CC4-5D6E-409C-BE32-E72D297353CC}">
              <c16:uniqueId val="{00000014-D7D0-40FA-B67C-6410E4D864C9}"/>
            </c:ext>
          </c:extLst>
        </c:ser>
        <c:dLbls>
          <c:dLblPos val="outEnd"/>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18</Pages>
  <Words>7485</Words>
  <Characters>42670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16</cp:revision>
  <dcterms:created xsi:type="dcterms:W3CDTF">2025-12-20T18:15:00Z</dcterms:created>
  <dcterms:modified xsi:type="dcterms:W3CDTF">2026-01-05T13:02:00Z</dcterms:modified>
</cp:coreProperties>
</file>