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60DDC" w14:textId="77777777" w:rsidR="000512EA" w:rsidRPr="000512EA" w:rsidRDefault="000512EA" w:rsidP="000512EA">
      <w:pPr>
        <w:pStyle w:val="Title"/>
        <w:jc w:val="both"/>
        <w:rPr>
          <w:rFonts w:ascii="Arial" w:hAnsi="Arial" w:cs="Arial"/>
          <w:bCs/>
          <w:i/>
          <w:iCs/>
          <w:u w:val="single"/>
        </w:rPr>
      </w:pPr>
      <w:r w:rsidRPr="000512EA">
        <w:rPr>
          <w:rFonts w:ascii="Arial" w:hAnsi="Arial" w:cs="Arial"/>
          <w:bCs/>
          <w:i/>
          <w:iCs/>
          <w:u w:val="single"/>
        </w:rPr>
        <w:t>Original Research Article</w:t>
      </w:r>
    </w:p>
    <w:p w14:paraId="1F5F2881" w14:textId="1EB45CD7" w:rsidR="002C57D2" w:rsidRDefault="00331FF0" w:rsidP="00331FF0">
      <w:pPr>
        <w:spacing w:line="276" w:lineRule="auto"/>
        <w:rPr>
          <w:rFonts w:ascii="Arial" w:hAnsi="Arial" w:cs="Arial"/>
          <w:b/>
          <w:bCs/>
          <w:sz w:val="22"/>
          <w:szCs w:val="22"/>
        </w:rPr>
      </w:pPr>
      <w:r w:rsidRPr="00331FF0">
        <w:rPr>
          <w:rFonts w:ascii="Arial" w:hAnsi="Arial" w:cs="Arial"/>
          <w:b/>
          <w:bCs/>
          <w:sz w:val="22"/>
          <w:szCs w:val="22"/>
        </w:rPr>
        <w:t xml:space="preserve">In vitro efficacy of synthetic fungicides and essential oils against </w:t>
      </w:r>
      <w:proofErr w:type="spellStart"/>
      <w:r w:rsidRPr="00331FF0">
        <w:rPr>
          <w:rFonts w:ascii="Arial" w:hAnsi="Arial" w:cs="Arial"/>
          <w:b/>
          <w:bCs/>
          <w:i/>
          <w:iCs/>
          <w:sz w:val="22"/>
          <w:szCs w:val="22"/>
        </w:rPr>
        <w:t>Mycosphaerella</w:t>
      </w:r>
      <w:proofErr w:type="spellEnd"/>
      <w:r w:rsidRPr="00331FF0">
        <w:rPr>
          <w:rFonts w:ascii="Arial" w:hAnsi="Arial" w:cs="Arial"/>
          <w:b/>
          <w:bCs/>
          <w:i/>
          <w:iCs/>
          <w:sz w:val="22"/>
          <w:szCs w:val="22"/>
        </w:rPr>
        <w:t xml:space="preserve"> </w:t>
      </w:r>
      <w:proofErr w:type="spellStart"/>
      <w:r w:rsidRPr="00331FF0">
        <w:rPr>
          <w:rFonts w:ascii="Arial" w:hAnsi="Arial" w:cs="Arial"/>
          <w:b/>
          <w:bCs/>
          <w:i/>
          <w:iCs/>
          <w:sz w:val="22"/>
          <w:szCs w:val="22"/>
        </w:rPr>
        <w:t>fijiensis</w:t>
      </w:r>
      <w:proofErr w:type="spellEnd"/>
      <w:r w:rsidRPr="00331FF0">
        <w:rPr>
          <w:rFonts w:ascii="Arial" w:hAnsi="Arial" w:cs="Arial"/>
          <w:b/>
          <w:bCs/>
          <w:sz w:val="22"/>
          <w:szCs w:val="22"/>
        </w:rPr>
        <w:t>, the causal agent of black Sigatoka in banana (</w:t>
      </w:r>
      <w:r w:rsidRPr="00331FF0">
        <w:rPr>
          <w:rFonts w:ascii="Arial" w:hAnsi="Arial" w:cs="Arial"/>
          <w:b/>
          <w:bCs/>
          <w:i/>
          <w:iCs/>
          <w:sz w:val="22"/>
          <w:szCs w:val="22"/>
        </w:rPr>
        <w:t>Musa</w:t>
      </w:r>
      <w:r w:rsidRPr="00331FF0">
        <w:rPr>
          <w:rFonts w:ascii="Arial" w:hAnsi="Arial" w:cs="Arial"/>
          <w:b/>
          <w:bCs/>
          <w:sz w:val="22"/>
          <w:szCs w:val="22"/>
        </w:rPr>
        <w:t xml:space="preserve"> spp.) in Burkina Faso</w:t>
      </w:r>
    </w:p>
    <w:p w14:paraId="0328E2C0" w14:textId="77777777" w:rsidR="00331FF0" w:rsidRPr="00331FF0" w:rsidRDefault="00331FF0" w:rsidP="00331FF0">
      <w:pPr>
        <w:spacing w:line="276" w:lineRule="auto"/>
        <w:rPr>
          <w:rFonts w:ascii="Arial" w:hAnsi="Arial" w:cs="Arial"/>
          <w:b/>
          <w:bCs/>
          <w:sz w:val="22"/>
          <w:szCs w:val="22"/>
        </w:rPr>
      </w:pPr>
    </w:p>
    <w:p w14:paraId="70CC4F8B" w14:textId="2516A7F0" w:rsidR="00B01FCD" w:rsidRDefault="00FE340B" w:rsidP="00141DF7">
      <w:pPr>
        <w:pStyle w:val="Copyright"/>
        <w:spacing w:after="0" w:line="240" w:lineRule="auto"/>
        <w:jc w:val="both"/>
        <w:rPr>
          <w:rFonts w:ascii="Arial" w:hAnsi="Arial" w:cs="Arial"/>
        </w:rPr>
      </w:pPr>
      <w:r>
        <w:rPr>
          <w:rFonts w:ascii="Arial" w:hAnsi="Arial" w:cs="Arial"/>
          <w:noProof/>
          <w:lang w:val="fr-FR" w:eastAsia="fr-FR"/>
        </w:rPr>
        <mc:AlternateContent>
          <mc:Choice Requires="wps">
            <w:drawing>
              <wp:inline distT="0" distB="0" distL="0" distR="0" wp14:anchorId="03F4141B" wp14:editId="4CE8E2CB">
                <wp:extent cx="5303520" cy="635"/>
                <wp:effectExtent l="17145" t="17145" r="13335" b="11430"/>
                <wp:docPr id="3403409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6D4610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B01FCD" w:rsidRPr="00A408AD">
        <w:rPr>
          <w:rFonts w:ascii="Arial" w:hAnsi="Arial" w:cs="Arial"/>
          <w:b/>
          <w:bCs/>
        </w:rPr>
        <w:t>ABSTRACT</w:t>
      </w:r>
      <w:r w:rsidR="0066510A">
        <w:rPr>
          <w:rFonts w:ascii="Arial" w:hAnsi="Arial" w:cs="Arial"/>
        </w:rPr>
        <w:t xml:space="preserve"> </w:t>
      </w:r>
    </w:p>
    <w:p w14:paraId="691475C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918"/>
      </w:tblGrid>
      <w:tr w:rsidR="00296529" w:rsidRPr="001E44FE" w14:paraId="107DBB9A" w14:textId="77777777" w:rsidTr="001E44FE">
        <w:tc>
          <w:tcPr>
            <w:tcW w:w="9576" w:type="dxa"/>
            <w:shd w:val="clear" w:color="auto" w:fill="F2F2F2"/>
          </w:tcPr>
          <w:p w14:paraId="4C3B0D65" w14:textId="5DE492D3" w:rsidR="00505F06" w:rsidRPr="00BA1B01" w:rsidRDefault="00144D3D" w:rsidP="0010007D">
            <w:pPr>
              <w:spacing w:line="360" w:lineRule="auto"/>
              <w:jc w:val="both"/>
              <w:rPr>
                <w:rFonts w:ascii="Arial" w:eastAsia="Calibri" w:hAnsi="Arial" w:cs="Arial"/>
                <w:szCs w:val="22"/>
              </w:rPr>
            </w:pPr>
            <w:r w:rsidRPr="00937F50">
              <w:rPr>
                <w:rFonts w:ascii="Times New Roman" w:hAnsi="Times New Roman"/>
                <w:sz w:val="24"/>
              </w:rPr>
              <w:t xml:space="preserve">Black sigatoka, caused by </w:t>
            </w:r>
            <w:proofErr w:type="spellStart"/>
            <w:r w:rsidRPr="00937F50">
              <w:rPr>
                <w:rFonts w:ascii="Times New Roman" w:hAnsi="Times New Roman"/>
                <w:sz w:val="24"/>
              </w:rPr>
              <w:t>Mycosphaerella</w:t>
            </w:r>
            <w:proofErr w:type="spellEnd"/>
            <w:r w:rsidRPr="00937F50">
              <w:rPr>
                <w:rFonts w:ascii="Times New Roman" w:hAnsi="Times New Roman"/>
                <w:sz w:val="24"/>
              </w:rPr>
              <w:t xml:space="preserve"> </w:t>
            </w:r>
            <w:proofErr w:type="spellStart"/>
            <w:r w:rsidRPr="00937F50">
              <w:rPr>
                <w:rFonts w:ascii="Times New Roman" w:hAnsi="Times New Roman"/>
                <w:sz w:val="24"/>
              </w:rPr>
              <w:t>fijiensis</w:t>
            </w:r>
            <w:proofErr w:type="spellEnd"/>
            <w:r w:rsidRPr="00937F50">
              <w:rPr>
                <w:rFonts w:ascii="Times New Roman" w:hAnsi="Times New Roman"/>
                <w:sz w:val="24"/>
              </w:rPr>
              <w:t>, is a fungal disease that significantly reduces banana yields and quality in several plantations in Burkina Faso. This study aims to improve banana productivity by evaluating the effects of two chemical pesticides (mancozeb and copper hydroxide) and two essential oils (</w:t>
            </w:r>
            <w:proofErr w:type="spellStart"/>
            <w:r w:rsidRPr="00937F50">
              <w:rPr>
                <w:rFonts w:ascii="Times New Roman" w:hAnsi="Times New Roman"/>
                <w:sz w:val="24"/>
              </w:rPr>
              <w:t>Ocimum</w:t>
            </w:r>
            <w:proofErr w:type="spellEnd"/>
            <w:r w:rsidRPr="00937F50">
              <w:rPr>
                <w:rFonts w:ascii="Times New Roman" w:hAnsi="Times New Roman"/>
                <w:sz w:val="24"/>
              </w:rPr>
              <w:t xml:space="preserve"> </w:t>
            </w:r>
            <w:proofErr w:type="spellStart"/>
            <w:r w:rsidRPr="00937F50">
              <w:rPr>
                <w:rFonts w:ascii="Times New Roman" w:hAnsi="Times New Roman"/>
                <w:sz w:val="24"/>
              </w:rPr>
              <w:t>gratissimum</w:t>
            </w:r>
            <w:proofErr w:type="spellEnd"/>
            <w:r w:rsidRPr="00937F50">
              <w:rPr>
                <w:rFonts w:ascii="Times New Roman" w:hAnsi="Times New Roman"/>
                <w:sz w:val="24"/>
              </w:rPr>
              <w:t xml:space="preserve"> and </w:t>
            </w:r>
            <w:proofErr w:type="spellStart"/>
            <w:r w:rsidRPr="00937F50">
              <w:rPr>
                <w:rFonts w:ascii="Times New Roman" w:hAnsi="Times New Roman"/>
                <w:sz w:val="24"/>
              </w:rPr>
              <w:t>Lippia</w:t>
            </w:r>
            <w:proofErr w:type="spellEnd"/>
            <w:r w:rsidRPr="00937F50">
              <w:rPr>
                <w:rFonts w:ascii="Times New Roman" w:hAnsi="Times New Roman"/>
                <w:sz w:val="24"/>
              </w:rPr>
              <w:t xml:space="preserve"> multiflora) on the BH isolate of M. </w:t>
            </w:r>
            <w:proofErr w:type="spellStart"/>
            <w:r w:rsidRPr="00937F50">
              <w:rPr>
                <w:rFonts w:ascii="Times New Roman" w:hAnsi="Times New Roman"/>
                <w:sz w:val="24"/>
              </w:rPr>
              <w:t>fijiensis</w:t>
            </w:r>
            <w:proofErr w:type="spellEnd"/>
            <w:r w:rsidRPr="00937F50">
              <w:rPr>
                <w:rFonts w:ascii="Times New Roman" w:hAnsi="Times New Roman"/>
                <w:sz w:val="24"/>
              </w:rPr>
              <w:t xml:space="preserve">. The doses of chemical pesticides and essential oils were then selected for the study and tested for radial growth, sporulation, and germination. </w:t>
            </w:r>
            <w:r w:rsidRPr="00AC5306">
              <w:rPr>
                <w:rFonts w:ascii="Times New Roman" w:hAnsi="Times New Roman"/>
                <w:sz w:val="24"/>
              </w:rPr>
              <w:t xml:space="preserve">The results show that mancozeb was highly effective against the different growth stages of the pathogen (inhibition percentage, IP &gt; 75%) at the lowest dose, as were the essential oils of O. </w:t>
            </w:r>
            <w:proofErr w:type="spellStart"/>
            <w:r w:rsidRPr="00AC5306">
              <w:rPr>
                <w:rFonts w:ascii="Times New Roman" w:hAnsi="Times New Roman"/>
                <w:sz w:val="24"/>
              </w:rPr>
              <w:t>gratissimum</w:t>
            </w:r>
            <w:proofErr w:type="spellEnd"/>
            <w:r w:rsidRPr="00AC5306">
              <w:rPr>
                <w:rFonts w:ascii="Times New Roman" w:hAnsi="Times New Roman"/>
                <w:sz w:val="24"/>
              </w:rPr>
              <w:t xml:space="preserve"> at the medium dose (1000 ppm) and L. multiflora at the highest dose (4000 ppm). Copper hydroxide was effective against radial growth, sporulation, and germination (50% &lt; IP ≤ 75%) at the highest dose (12,500 ppm). These results highlight the biological potential of O. </w:t>
            </w:r>
            <w:proofErr w:type="spellStart"/>
            <w:r w:rsidRPr="00AC5306">
              <w:rPr>
                <w:rFonts w:ascii="Times New Roman" w:hAnsi="Times New Roman"/>
                <w:sz w:val="24"/>
              </w:rPr>
              <w:t>gratissimum</w:t>
            </w:r>
            <w:proofErr w:type="spellEnd"/>
            <w:r w:rsidRPr="00AC5306">
              <w:rPr>
                <w:rFonts w:ascii="Times New Roman" w:hAnsi="Times New Roman"/>
                <w:sz w:val="24"/>
              </w:rPr>
              <w:t xml:space="preserve"> essential oil as an alternative for controlling fungal disease as part of an integrated management strategy with mancozeb.</w:t>
            </w:r>
          </w:p>
        </w:tc>
      </w:tr>
    </w:tbl>
    <w:p w14:paraId="4292C99A" w14:textId="77777777" w:rsidR="00636EB2" w:rsidRDefault="00636EB2" w:rsidP="00441B6F">
      <w:pPr>
        <w:pStyle w:val="Body"/>
        <w:spacing w:after="0"/>
        <w:rPr>
          <w:rFonts w:ascii="Arial" w:hAnsi="Arial" w:cs="Arial"/>
          <w:i/>
        </w:rPr>
      </w:pPr>
    </w:p>
    <w:p w14:paraId="144CFDCD" w14:textId="249819D9" w:rsidR="00A24E7E" w:rsidRPr="008E6208" w:rsidRDefault="00A24E7E" w:rsidP="008E6208">
      <w:pPr>
        <w:spacing w:line="276" w:lineRule="auto"/>
        <w:jc w:val="both"/>
        <w:rPr>
          <w:rFonts w:ascii="Times New Roman" w:hAnsi="Times New Roman"/>
          <w:sz w:val="24"/>
          <w:szCs w:val="24"/>
          <w:lang w:eastAsia="fr-FR"/>
        </w:rPr>
      </w:pPr>
      <w:r>
        <w:rPr>
          <w:rFonts w:ascii="Arial" w:hAnsi="Arial" w:cs="Arial"/>
          <w:i/>
        </w:rPr>
        <w:t>Keywords:</w:t>
      </w:r>
      <w:r w:rsidR="008E6208">
        <w:rPr>
          <w:rFonts w:ascii="Arial" w:hAnsi="Arial" w:cs="Arial"/>
          <w:i/>
        </w:rPr>
        <w:t xml:space="preserve"> </w:t>
      </w:r>
      <w:r>
        <w:rPr>
          <w:rFonts w:ascii="Arial" w:hAnsi="Arial" w:cs="Arial"/>
          <w:i/>
        </w:rPr>
        <w:t>[</w:t>
      </w:r>
      <w:r w:rsidR="00F37D6A" w:rsidRPr="00866946">
        <w:rPr>
          <w:rFonts w:ascii="Arial" w:hAnsi="Arial" w:cs="Arial"/>
          <w:i/>
          <w:iCs/>
          <w:lang w:eastAsia="fr-FR"/>
        </w:rPr>
        <w:t>Banana, Black Sigatoka, Fungicides, Essential oils, Management, Burkina Faso</w:t>
      </w:r>
      <w:r w:rsidR="00F37D6A" w:rsidRPr="00BD5A8B">
        <w:rPr>
          <w:rFonts w:ascii="Times New Roman" w:hAnsi="Times New Roman"/>
          <w:sz w:val="24"/>
          <w:szCs w:val="24"/>
          <w:lang w:eastAsia="fr-FR"/>
        </w:rPr>
        <w:t>.</w:t>
      </w:r>
    </w:p>
    <w:p w14:paraId="65C4B6E9" w14:textId="77777777" w:rsidR="001E27D5" w:rsidRPr="00A24E7E" w:rsidRDefault="001E27D5" w:rsidP="00441B6F">
      <w:pPr>
        <w:pStyle w:val="Body"/>
        <w:spacing w:after="0"/>
        <w:rPr>
          <w:rFonts w:ascii="Arial" w:hAnsi="Arial" w:cs="Arial"/>
          <w:i/>
        </w:rPr>
      </w:pPr>
    </w:p>
    <w:p w14:paraId="75F8BACA" w14:textId="765D6F2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CAAF31" w14:textId="09B70A7D" w:rsidR="00866946" w:rsidRPr="00866946" w:rsidRDefault="00866946" w:rsidP="00866946">
      <w:pPr>
        <w:spacing w:line="276" w:lineRule="auto"/>
        <w:rPr>
          <w:rFonts w:ascii="Arial" w:hAnsi="Arial" w:cs="Arial"/>
          <w:b/>
          <w:bCs/>
        </w:rPr>
      </w:pPr>
      <w:r w:rsidRPr="00866946">
        <w:rPr>
          <w:rFonts w:ascii="Arial" w:hAnsi="Arial" w:cs="Arial"/>
          <w:b/>
          <w:bCs/>
        </w:rPr>
        <w:t xml:space="preserve"> </w:t>
      </w:r>
    </w:p>
    <w:p w14:paraId="25810315" w14:textId="0FAA2839" w:rsidR="00144D3D" w:rsidRDefault="00144D3D" w:rsidP="00144D3D">
      <w:pPr>
        <w:spacing w:line="276" w:lineRule="auto"/>
        <w:jc w:val="both"/>
        <w:rPr>
          <w:rFonts w:ascii="Arial" w:hAnsi="Arial" w:cs="Arial"/>
        </w:rPr>
      </w:pPr>
      <w:r w:rsidRPr="00144D3D">
        <w:rPr>
          <w:rFonts w:ascii="Arial" w:hAnsi="Arial" w:cs="Arial"/>
        </w:rPr>
        <w:t>In Burkina Faso, bananas are the third most produced fruit, after mangoes and citrus fruits (MAAH, 2016). In recent years, national production of bananas has grown significantly, increasing nearly threefold between 2009 and 2021, from 18,606 to 46,033 tons (FAOSTAT, 2022). However, despite this increase over the last ten years, national production is still limited by parasitic agents such as fungi [</w:t>
      </w:r>
      <w:proofErr w:type="spellStart"/>
      <w:r w:rsidRPr="00144D3D">
        <w:rPr>
          <w:rFonts w:ascii="Arial" w:hAnsi="Arial" w:cs="Arial"/>
        </w:rPr>
        <w:t>Mycosphaerella</w:t>
      </w:r>
      <w:proofErr w:type="spellEnd"/>
      <w:r w:rsidRPr="00144D3D">
        <w:rPr>
          <w:rFonts w:ascii="Arial" w:hAnsi="Arial" w:cs="Arial"/>
        </w:rPr>
        <w:t xml:space="preserve"> </w:t>
      </w:r>
      <w:proofErr w:type="spellStart"/>
      <w:r w:rsidRPr="00144D3D">
        <w:rPr>
          <w:rFonts w:ascii="Arial" w:hAnsi="Arial" w:cs="Arial"/>
        </w:rPr>
        <w:t>fijiensis</w:t>
      </w:r>
      <w:proofErr w:type="spellEnd"/>
      <w:r w:rsidRPr="00144D3D">
        <w:rPr>
          <w:rFonts w:ascii="Arial" w:hAnsi="Arial" w:cs="Arial"/>
        </w:rPr>
        <w:t xml:space="preserve"> (</w:t>
      </w:r>
      <w:proofErr w:type="spellStart"/>
      <w:r w:rsidRPr="00144D3D">
        <w:rPr>
          <w:rFonts w:ascii="Arial" w:hAnsi="Arial" w:cs="Arial"/>
        </w:rPr>
        <w:t>Morelet</w:t>
      </w:r>
      <w:proofErr w:type="spellEnd"/>
      <w:r w:rsidRPr="00144D3D">
        <w:rPr>
          <w:rFonts w:ascii="Arial" w:hAnsi="Arial" w:cs="Arial"/>
        </w:rPr>
        <w:t xml:space="preserve">, 1969), M. </w:t>
      </w:r>
      <w:proofErr w:type="spellStart"/>
      <w:r w:rsidRPr="00144D3D">
        <w:rPr>
          <w:rFonts w:ascii="Arial" w:hAnsi="Arial" w:cs="Arial"/>
        </w:rPr>
        <w:t>musicola</w:t>
      </w:r>
      <w:proofErr w:type="spellEnd"/>
      <w:r w:rsidRPr="00144D3D">
        <w:rPr>
          <w:rFonts w:ascii="Arial" w:hAnsi="Arial" w:cs="Arial"/>
        </w:rPr>
        <w:t xml:space="preserve"> (Leach and Mulder), M. </w:t>
      </w:r>
      <w:proofErr w:type="spellStart"/>
      <w:r w:rsidRPr="00144D3D">
        <w:rPr>
          <w:rFonts w:ascii="Arial" w:hAnsi="Arial" w:cs="Arial"/>
        </w:rPr>
        <w:t>musae</w:t>
      </w:r>
      <w:proofErr w:type="spellEnd"/>
      <w:r w:rsidRPr="00144D3D">
        <w:rPr>
          <w:rFonts w:ascii="Arial" w:hAnsi="Arial" w:cs="Arial"/>
        </w:rPr>
        <w:t xml:space="preserve"> (</w:t>
      </w:r>
      <w:proofErr w:type="spellStart"/>
      <w:r w:rsidRPr="00144D3D">
        <w:rPr>
          <w:rFonts w:ascii="Arial" w:hAnsi="Arial" w:cs="Arial"/>
        </w:rPr>
        <w:t>Spegazzini</w:t>
      </w:r>
      <w:proofErr w:type="spellEnd"/>
      <w:r w:rsidRPr="00144D3D">
        <w:rPr>
          <w:rFonts w:ascii="Arial" w:hAnsi="Arial" w:cs="Arial"/>
        </w:rPr>
        <w:t xml:space="preserve">), M. </w:t>
      </w:r>
      <w:proofErr w:type="spellStart"/>
      <w:r w:rsidRPr="00144D3D">
        <w:rPr>
          <w:rFonts w:ascii="Arial" w:hAnsi="Arial" w:cs="Arial"/>
        </w:rPr>
        <w:t>eumusae</w:t>
      </w:r>
      <w:proofErr w:type="spellEnd"/>
      <w:r w:rsidRPr="00144D3D">
        <w:rPr>
          <w:rFonts w:ascii="Arial" w:hAnsi="Arial" w:cs="Arial"/>
        </w:rPr>
        <w:t xml:space="preserve"> (</w:t>
      </w:r>
      <w:proofErr w:type="spellStart"/>
      <w:r w:rsidRPr="00144D3D">
        <w:rPr>
          <w:rFonts w:ascii="Arial" w:hAnsi="Arial" w:cs="Arial"/>
        </w:rPr>
        <w:t>Zandjanakou</w:t>
      </w:r>
      <w:proofErr w:type="spellEnd"/>
      <w:r w:rsidRPr="00144D3D">
        <w:rPr>
          <w:rFonts w:ascii="Arial" w:hAnsi="Arial" w:cs="Arial"/>
        </w:rPr>
        <w:t xml:space="preserve"> et al. 2013)] and Fusarium </w:t>
      </w:r>
      <w:proofErr w:type="spellStart"/>
      <w:r w:rsidRPr="00144D3D">
        <w:rPr>
          <w:rFonts w:ascii="Arial" w:hAnsi="Arial" w:cs="Arial"/>
        </w:rPr>
        <w:t>oxysporum</w:t>
      </w:r>
      <w:proofErr w:type="spellEnd"/>
      <w:r w:rsidRPr="00144D3D">
        <w:rPr>
          <w:rFonts w:ascii="Arial" w:hAnsi="Arial" w:cs="Arial"/>
        </w:rPr>
        <w:t xml:space="preserve"> f. sp. </w:t>
      </w:r>
      <w:proofErr w:type="spellStart"/>
      <w:r w:rsidRPr="00144D3D">
        <w:rPr>
          <w:rFonts w:ascii="Arial" w:hAnsi="Arial" w:cs="Arial"/>
        </w:rPr>
        <w:t>cubense</w:t>
      </w:r>
      <w:proofErr w:type="spellEnd"/>
      <w:r w:rsidRPr="00144D3D">
        <w:rPr>
          <w:rFonts w:ascii="Arial" w:hAnsi="Arial" w:cs="Arial"/>
        </w:rPr>
        <w:t>, nematodes (</w:t>
      </w:r>
      <w:proofErr w:type="spellStart"/>
      <w:r w:rsidRPr="00144D3D">
        <w:rPr>
          <w:rFonts w:ascii="Arial" w:hAnsi="Arial" w:cs="Arial"/>
        </w:rPr>
        <w:t>Radopholus</w:t>
      </w:r>
      <w:proofErr w:type="spellEnd"/>
      <w:r w:rsidRPr="00144D3D">
        <w:rPr>
          <w:rFonts w:ascii="Arial" w:hAnsi="Arial" w:cs="Arial"/>
        </w:rPr>
        <w:t xml:space="preserve"> </w:t>
      </w:r>
      <w:proofErr w:type="spellStart"/>
      <w:r w:rsidRPr="00144D3D">
        <w:rPr>
          <w:rFonts w:ascii="Arial" w:hAnsi="Arial" w:cs="Arial"/>
        </w:rPr>
        <w:t>similis</w:t>
      </w:r>
      <w:proofErr w:type="spellEnd"/>
      <w:r w:rsidRPr="00144D3D">
        <w:rPr>
          <w:rFonts w:ascii="Arial" w:hAnsi="Arial" w:cs="Arial"/>
        </w:rPr>
        <w:t xml:space="preserve">, </w:t>
      </w:r>
      <w:proofErr w:type="spellStart"/>
      <w:r w:rsidRPr="00144D3D">
        <w:rPr>
          <w:rFonts w:ascii="Arial" w:hAnsi="Arial" w:cs="Arial"/>
        </w:rPr>
        <w:t>Helicotylenchus</w:t>
      </w:r>
      <w:proofErr w:type="spellEnd"/>
      <w:r w:rsidRPr="00144D3D">
        <w:rPr>
          <w:rFonts w:ascii="Arial" w:hAnsi="Arial" w:cs="Arial"/>
        </w:rPr>
        <w:t xml:space="preserve"> </w:t>
      </w:r>
      <w:proofErr w:type="spellStart"/>
      <w:r w:rsidRPr="00144D3D">
        <w:rPr>
          <w:rFonts w:ascii="Arial" w:hAnsi="Arial" w:cs="Arial"/>
        </w:rPr>
        <w:t>multicinctus</w:t>
      </w:r>
      <w:proofErr w:type="spellEnd"/>
      <w:r w:rsidRPr="00144D3D">
        <w:rPr>
          <w:rFonts w:ascii="Arial" w:hAnsi="Arial" w:cs="Arial"/>
        </w:rPr>
        <w:t xml:space="preserve">, </w:t>
      </w:r>
      <w:proofErr w:type="spellStart"/>
      <w:r w:rsidRPr="00144D3D">
        <w:rPr>
          <w:rFonts w:ascii="Arial" w:hAnsi="Arial" w:cs="Arial"/>
        </w:rPr>
        <w:t>Pratylenchus</w:t>
      </w:r>
      <w:proofErr w:type="spellEnd"/>
      <w:r w:rsidRPr="00144D3D">
        <w:rPr>
          <w:rFonts w:ascii="Arial" w:hAnsi="Arial" w:cs="Arial"/>
        </w:rPr>
        <w:t xml:space="preserve"> spp., and Meloidogyne spp.), viruses (bunchy top), bacteria (</w:t>
      </w:r>
      <w:proofErr w:type="spellStart"/>
      <w:r w:rsidRPr="00144D3D">
        <w:rPr>
          <w:rFonts w:ascii="Arial" w:hAnsi="Arial" w:cs="Arial"/>
        </w:rPr>
        <w:t>Ralstonia</w:t>
      </w:r>
      <w:proofErr w:type="spellEnd"/>
      <w:r w:rsidRPr="00144D3D">
        <w:rPr>
          <w:rFonts w:ascii="Arial" w:hAnsi="Arial" w:cs="Arial"/>
        </w:rPr>
        <w:t xml:space="preserve"> solanacearum, Xanthomonas campestris </w:t>
      </w:r>
      <w:proofErr w:type="spellStart"/>
      <w:r w:rsidRPr="00144D3D">
        <w:rPr>
          <w:rFonts w:ascii="Arial" w:hAnsi="Arial" w:cs="Arial"/>
        </w:rPr>
        <w:t>pv</w:t>
      </w:r>
      <w:proofErr w:type="spellEnd"/>
      <w:r w:rsidRPr="00144D3D">
        <w:rPr>
          <w:rFonts w:ascii="Arial" w:hAnsi="Arial" w:cs="Arial"/>
        </w:rPr>
        <w:t xml:space="preserve">. </w:t>
      </w:r>
      <w:proofErr w:type="spellStart"/>
      <w:r w:rsidRPr="00144D3D">
        <w:rPr>
          <w:rFonts w:ascii="Arial" w:hAnsi="Arial" w:cs="Arial"/>
        </w:rPr>
        <w:t>musacearum</w:t>
      </w:r>
      <w:proofErr w:type="spellEnd"/>
      <w:r w:rsidRPr="00144D3D">
        <w:rPr>
          <w:rFonts w:ascii="Arial" w:hAnsi="Arial" w:cs="Arial"/>
        </w:rPr>
        <w:t>) and insects (the banana weevil Cosmopolites sordidus) (</w:t>
      </w:r>
      <w:proofErr w:type="spellStart"/>
      <w:r w:rsidRPr="00144D3D">
        <w:rPr>
          <w:rFonts w:ascii="Arial" w:hAnsi="Arial" w:cs="Arial"/>
        </w:rPr>
        <w:t>Mourichon</w:t>
      </w:r>
      <w:proofErr w:type="spellEnd"/>
      <w:r w:rsidRPr="00144D3D">
        <w:rPr>
          <w:rFonts w:ascii="Arial" w:hAnsi="Arial" w:cs="Arial"/>
        </w:rPr>
        <w:t>, 2003).</w:t>
      </w:r>
    </w:p>
    <w:p w14:paraId="0DD5D2ED" w14:textId="5B9914FD" w:rsidR="003172D6" w:rsidRPr="003172D6" w:rsidRDefault="003172D6" w:rsidP="003172D6">
      <w:pPr>
        <w:spacing w:line="276" w:lineRule="auto"/>
        <w:jc w:val="both"/>
        <w:rPr>
          <w:rFonts w:ascii="Arial" w:hAnsi="Arial" w:cs="Arial"/>
        </w:rPr>
      </w:pPr>
      <w:r w:rsidRPr="003172D6">
        <w:rPr>
          <w:rFonts w:ascii="Arial" w:hAnsi="Arial" w:cs="Arial"/>
        </w:rPr>
        <w:t xml:space="preserve">Black sigatoka, or black streak disease (BLSD), caused by the fungus </w:t>
      </w:r>
      <w:proofErr w:type="spellStart"/>
      <w:r w:rsidRPr="003172D6">
        <w:rPr>
          <w:rFonts w:ascii="Arial" w:hAnsi="Arial" w:cs="Arial"/>
        </w:rPr>
        <w:t>Mycosphaerella</w:t>
      </w:r>
      <w:proofErr w:type="spellEnd"/>
      <w:r w:rsidRPr="003172D6">
        <w:rPr>
          <w:rFonts w:ascii="Arial" w:hAnsi="Arial" w:cs="Arial"/>
        </w:rPr>
        <w:t xml:space="preserve"> </w:t>
      </w:r>
      <w:proofErr w:type="spellStart"/>
      <w:r w:rsidRPr="003172D6">
        <w:rPr>
          <w:rFonts w:ascii="Arial" w:hAnsi="Arial" w:cs="Arial"/>
        </w:rPr>
        <w:t>fijiensis</w:t>
      </w:r>
      <w:proofErr w:type="spellEnd"/>
      <w:r w:rsidRPr="003172D6">
        <w:rPr>
          <w:rFonts w:ascii="Arial" w:hAnsi="Arial" w:cs="Arial"/>
        </w:rPr>
        <w:t xml:space="preserve"> </w:t>
      </w:r>
      <w:proofErr w:type="spellStart"/>
      <w:r w:rsidRPr="003172D6">
        <w:rPr>
          <w:rFonts w:ascii="Arial" w:hAnsi="Arial" w:cs="Arial"/>
        </w:rPr>
        <w:t>Morelet</w:t>
      </w:r>
      <w:proofErr w:type="spellEnd"/>
      <w:r w:rsidRPr="003172D6">
        <w:rPr>
          <w:rFonts w:ascii="Arial" w:hAnsi="Arial" w:cs="Arial"/>
        </w:rPr>
        <w:t>, is the main leaf disease of bananas due to its virulence and its impact on a large number of cultivars (Carlier et al., 2003). Yield losses due to the fungus are estimated at 50% (Tuo et al., 2021) and can exceed 100% from the second growing cycle onwards (</w:t>
      </w:r>
      <w:proofErr w:type="spellStart"/>
      <w:r w:rsidRPr="003172D6">
        <w:rPr>
          <w:rFonts w:ascii="Arial" w:hAnsi="Arial" w:cs="Arial"/>
        </w:rPr>
        <w:t>Chillet</w:t>
      </w:r>
      <w:proofErr w:type="spellEnd"/>
      <w:r w:rsidRPr="003172D6">
        <w:rPr>
          <w:rFonts w:ascii="Arial" w:hAnsi="Arial" w:cs="Arial"/>
        </w:rPr>
        <w:t xml:space="preserve"> et al., 2009).</w:t>
      </w:r>
    </w:p>
    <w:p w14:paraId="641FD287" w14:textId="77777777" w:rsidR="00790ADA" w:rsidRPr="00FB3A86" w:rsidRDefault="00790ADA" w:rsidP="00441B6F">
      <w:pPr>
        <w:pStyle w:val="Body"/>
        <w:spacing w:after="0"/>
        <w:rPr>
          <w:rFonts w:ascii="Arial" w:hAnsi="Arial" w:cs="Arial"/>
        </w:rPr>
      </w:pPr>
    </w:p>
    <w:p w14:paraId="33DC80E7" w14:textId="41A818E9"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3783A493" w14:textId="24E19467" w:rsidR="003172D6" w:rsidRDefault="003172D6" w:rsidP="00080D8F">
      <w:pPr>
        <w:pStyle w:val="Body"/>
        <w:rPr>
          <w:rFonts w:ascii="Arial" w:hAnsi="Arial" w:cs="Arial"/>
          <w:b/>
          <w:bCs/>
          <w:sz w:val="22"/>
          <w:szCs w:val="22"/>
        </w:rPr>
      </w:pPr>
    </w:p>
    <w:p w14:paraId="6ACAB19C" w14:textId="77777777" w:rsidR="003172D6" w:rsidRPr="003172D6" w:rsidRDefault="003172D6" w:rsidP="003172D6">
      <w:pPr>
        <w:pStyle w:val="Body"/>
        <w:rPr>
          <w:rFonts w:ascii="Arial" w:hAnsi="Arial" w:cs="Arial"/>
          <w:b/>
          <w:bCs/>
          <w:sz w:val="22"/>
          <w:szCs w:val="22"/>
        </w:rPr>
      </w:pPr>
      <w:r w:rsidRPr="003172D6">
        <w:rPr>
          <w:rFonts w:ascii="Arial" w:hAnsi="Arial" w:cs="Arial"/>
          <w:b/>
          <w:bCs/>
          <w:sz w:val="22"/>
          <w:szCs w:val="22"/>
        </w:rPr>
        <w:t>2.1.    Materials</w:t>
      </w:r>
    </w:p>
    <w:p w14:paraId="7D0CADB9" w14:textId="77777777" w:rsidR="003172D6" w:rsidRPr="003172D6" w:rsidRDefault="003172D6" w:rsidP="003172D6">
      <w:pPr>
        <w:pStyle w:val="Body"/>
        <w:rPr>
          <w:rFonts w:ascii="Arial" w:hAnsi="Arial" w:cs="Arial"/>
          <w:b/>
          <w:bCs/>
          <w:sz w:val="22"/>
          <w:szCs w:val="22"/>
        </w:rPr>
      </w:pPr>
      <w:r w:rsidRPr="003172D6">
        <w:rPr>
          <w:rFonts w:ascii="Arial" w:hAnsi="Arial" w:cs="Arial"/>
          <w:b/>
          <w:bCs/>
          <w:sz w:val="22"/>
          <w:szCs w:val="22"/>
        </w:rPr>
        <w:t>2.1.1.    Plant material</w:t>
      </w:r>
    </w:p>
    <w:p w14:paraId="6A717C61" w14:textId="77777777" w:rsidR="003172D6" w:rsidRPr="0010007D" w:rsidRDefault="003172D6" w:rsidP="003172D6">
      <w:pPr>
        <w:pStyle w:val="Body"/>
        <w:rPr>
          <w:rFonts w:ascii="Arial" w:hAnsi="Arial" w:cs="Arial"/>
          <w:bCs/>
          <w:sz w:val="22"/>
          <w:szCs w:val="22"/>
        </w:rPr>
      </w:pPr>
      <w:r w:rsidRPr="0010007D">
        <w:rPr>
          <w:rFonts w:ascii="Arial" w:hAnsi="Arial" w:cs="Arial"/>
          <w:bCs/>
          <w:sz w:val="22"/>
          <w:szCs w:val="22"/>
        </w:rPr>
        <w:t xml:space="preserve">The essential oils (EO) of </w:t>
      </w:r>
      <w:proofErr w:type="spellStart"/>
      <w:r w:rsidRPr="0010007D">
        <w:rPr>
          <w:rFonts w:ascii="Arial" w:hAnsi="Arial" w:cs="Arial"/>
          <w:bCs/>
          <w:i/>
          <w:sz w:val="22"/>
          <w:szCs w:val="22"/>
        </w:rPr>
        <w:t>Ocimum</w:t>
      </w:r>
      <w:proofErr w:type="spellEnd"/>
      <w:r w:rsidRPr="0010007D">
        <w:rPr>
          <w:rFonts w:ascii="Arial" w:hAnsi="Arial" w:cs="Arial"/>
          <w:bCs/>
          <w:i/>
          <w:sz w:val="22"/>
          <w:szCs w:val="22"/>
        </w:rPr>
        <w:t xml:space="preserve"> </w:t>
      </w:r>
      <w:proofErr w:type="spellStart"/>
      <w:r w:rsidRPr="0010007D">
        <w:rPr>
          <w:rFonts w:ascii="Arial" w:hAnsi="Arial" w:cs="Arial"/>
          <w:bCs/>
          <w:i/>
          <w:sz w:val="22"/>
          <w:szCs w:val="22"/>
        </w:rPr>
        <w:t>gratissimum</w:t>
      </w:r>
      <w:proofErr w:type="spellEnd"/>
      <w:r w:rsidRPr="0010007D">
        <w:rPr>
          <w:rFonts w:ascii="Arial" w:hAnsi="Arial" w:cs="Arial"/>
          <w:bCs/>
          <w:sz w:val="22"/>
          <w:szCs w:val="22"/>
        </w:rPr>
        <w:t xml:space="preserve"> and </w:t>
      </w:r>
      <w:proofErr w:type="spellStart"/>
      <w:r w:rsidRPr="0010007D">
        <w:rPr>
          <w:rFonts w:ascii="Arial" w:hAnsi="Arial" w:cs="Arial"/>
          <w:bCs/>
          <w:i/>
          <w:sz w:val="22"/>
          <w:szCs w:val="22"/>
        </w:rPr>
        <w:t>Lippia</w:t>
      </w:r>
      <w:proofErr w:type="spellEnd"/>
      <w:r w:rsidRPr="0010007D">
        <w:rPr>
          <w:rFonts w:ascii="Arial" w:hAnsi="Arial" w:cs="Arial"/>
          <w:bCs/>
          <w:i/>
          <w:sz w:val="22"/>
          <w:szCs w:val="22"/>
        </w:rPr>
        <w:t xml:space="preserve"> multiflora</w:t>
      </w:r>
      <w:r w:rsidRPr="0010007D">
        <w:rPr>
          <w:rFonts w:ascii="Arial" w:hAnsi="Arial" w:cs="Arial"/>
          <w:bCs/>
          <w:sz w:val="22"/>
          <w:szCs w:val="22"/>
        </w:rPr>
        <w:t xml:space="preserve"> used in the study were obtained from the Natural Substances Laboratory of the Institute for Research in Applied Science and Technology (IRSAT).</w:t>
      </w:r>
    </w:p>
    <w:p w14:paraId="1EBD7DEA" w14:textId="77777777" w:rsidR="003172D6" w:rsidRPr="003172D6" w:rsidRDefault="003172D6" w:rsidP="003172D6">
      <w:pPr>
        <w:pStyle w:val="Body"/>
        <w:rPr>
          <w:rFonts w:ascii="Arial" w:hAnsi="Arial" w:cs="Arial"/>
          <w:b/>
          <w:bCs/>
          <w:sz w:val="22"/>
          <w:szCs w:val="22"/>
        </w:rPr>
      </w:pPr>
      <w:r w:rsidRPr="003172D6">
        <w:rPr>
          <w:rFonts w:ascii="Arial" w:hAnsi="Arial" w:cs="Arial"/>
          <w:b/>
          <w:bCs/>
          <w:sz w:val="22"/>
          <w:szCs w:val="22"/>
        </w:rPr>
        <w:t xml:space="preserve">2.1.2.    Biological material </w:t>
      </w:r>
    </w:p>
    <w:p w14:paraId="1F5941BF" w14:textId="76A0F2EA" w:rsidR="002451A8" w:rsidRPr="00BD5A8B" w:rsidRDefault="003172D6" w:rsidP="002451A8">
      <w:pPr>
        <w:spacing w:line="276" w:lineRule="auto"/>
        <w:rPr>
          <w:rFonts w:ascii="Times New Roman" w:hAnsi="Times New Roman"/>
          <w:sz w:val="24"/>
          <w:szCs w:val="24"/>
        </w:rPr>
      </w:pPr>
      <w:r w:rsidRPr="0010007D">
        <w:rPr>
          <w:rFonts w:ascii="Arial" w:hAnsi="Arial" w:cs="Arial"/>
          <w:bCs/>
          <w:sz w:val="22"/>
          <w:szCs w:val="22"/>
        </w:rPr>
        <w:t xml:space="preserve">BF5Mf isolates of </w:t>
      </w:r>
      <w:proofErr w:type="spellStart"/>
      <w:r w:rsidRPr="0010007D">
        <w:rPr>
          <w:rFonts w:ascii="Arial" w:hAnsi="Arial" w:cs="Arial"/>
          <w:bCs/>
          <w:i/>
          <w:sz w:val="22"/>
          <w:szCs w:val="22"/>
        </w:rPr>
        <w:t>Mycosphaerella</w:t>
      </w:r>
      <w:proofErr w:type="spellEnd"/>
      <w:r w:rsidRPr="0010007D">
        <w:rPr>
          <w:rFonts w:ascii="Arial" w:hAnsi="Arial" w:cs="Arial"/>
          <w:bCs/>
          <w:i/>
          <w:sz w:val="22"/>
          <w:szCs w:val="22"/>
        </w:rPr>
        <w:t xml:space="preserve"> </w:t>
      </w:r>
      <w:proofErr w:type="spellStart"/>
      <w:r w:rsidRPr="0010007D">
        <w:rPr>
          <w:rFonts w:ascii="Arial" w:hAnsi="Arial" w:cs="Arial"/>
          <w:bCs/>
          <w:i/>
          <w:sz w:val="22"/>
          <w:szCs w:val="22"/>
        </w:rPr>
        <w:t>fijiensis</w:t>
      </w:r>
      <w:proofErr w:type="spellEnd"/>
      <w:r w:rsidRPr="0010007D">
        <w:rPr>
          <w:rFonts w:ascii="Arial" w:hAnsi="Arial" w:cs="Arial"/>
          <w:bCs/>
          <w:sz w:val="22"/>
          <w:szCs w:val="22"/>
        </w:rPr>
        <w:t xml:space="preserve">, obtained from the phytopathology laboratory at the </w:t>
      </w:r>
      <w:proofErr w:type="spellStart"/>
      <w:r w:rsidRPr="0010007D">
        <w:rPr>
          <w:rFonts w:ascii="Arial" w:hAnsi="Arial" w:cs="Arial"/>
          <w:bCs/>
          <w:sz w:val="22"/>
          <w:szCs w:val="22"/>
        </w:rPr>
        <w:t>Farako-Bâ</w:t>
      </w:r>
      <w:proofErr w:type="spellEnd"/>
      <w:r w:rsidRPr="0010007D">
        <w:rPr>
          <w:rFonts w:ascii="Arial" w:hAnsi="Arial" w:cs="Arial"/>
          <w:bCs/>
          <w:sz w:val="22"/>
          <w:szCs w:val="22"/>
        </w:rPr>
        <w:t xml:space="preserve"> research station of the Institute for the Environment and Agricultural Research (INERA), were used. These pathogens were isolated from symptomatic leaves sampled from banana plantations in </w:t>
      </w:r>
      <w:proofErr w:type="spellStart"/>
      <w:r w:rsidRPr="0010007D">
        <w:rPr>
          <w:rFonts w:ascii="Arial" w:hAnsi="Arial" w:cs="Arial"/>
          <w:bCs/>
          <w:sz w:val="22"/>
          <w:szCs w:val="22"/>
        </w:rPr>
        <w:t>Banakélédaga</w:t>
      </w:r>
      <w:proofErr w:type="spellEnd"/>
      <w:r w:rsidRPr="0010007D">
        <w:rPr>
          <w:rFonts w:ascii="Arial" w:hAnsi="Arial" w:cs="Arial"/>
          <w:bCs/>
          <w:sz w:val="22"/>
          <w:szCs w:val="22"/>
        </w:rPr>
        <w:t xml:space="preserve">, </w:t>
      </w:r>
      <w:r w:rsidR="001C761F">
        <w:rPr>
          <w:rFonts w:ascii="Arial" w:hAnsi="Arial" w:cs="Arial"/>
          <w:bCs/>
          <w:sz w:val="22"/>
          <w:szCs w:val="22"/>
        </w:rPr>
        <w:t>West</w:t>
      </w:r>
      <w:r w:rsidRPr="0010007D">
        <w:rPr>
          <w:rFonts w:ascii="Arial" w:hAnsi="Arial" w:cs="Arial"/>
          <w:bCs/>
          <w:sz w:val="22"/>
          <w:szCs w:val="22"/>
        </w:rPr>
        <w:t xml:space="preserve"> Africa (GPS: 11°21'40“N and 4°22'</w:t>
      </w:r>
      <w:proofErr w:type="gramStart"/>
      <w:r w:rsidRPr="0010007D">
        <w:rPr>
          <w:rFonts w:ascii="Arial" w:hAnsi="Arial" w:cs="Arial"/>
          <w:bCs/>
          <w:sz w:val="22"/>
          <w:szCs w:val="22"/>
        </w:rPr>
        <w:t>45”W</w:t>
      </w:r>
      <w:proofErr w:type="gramEnd"/>
      <w:r w:rsidRPr="0010007D">
        <w:rPr>
          <w:rFonts w:ascii="Arial" w:hAnsi="Arial" w:cs="Arial"/>
          <w:bCs/>
          <w:sz w:val="22"/>
          <w:szCs w:val="22"/>
        </w:rPr>
        <w:t>) according to the protocol of Kassankogno et al. (2016) and characterized in 2021 according to the method described by Koné (1998).</w:t>
      </w:r>
      <w:r w:rsidR="002451A8" w:rsidRPr="00BD5A8B">
        <w:rPr>
          <w:rFonts w:ascii="Times New Roman" w:hAnsi="Times New Roman"/>
          <w:noProof/>
          <w:sz w:val="24"/>
          <w:szCs w:val="24"/>
          <w:lang w:val="fr-FR" w:eastAsia="fr-FR"/>
        </w:rPr>
        <w:drawing>
          <wp:inline distT="0" distB="0" distL="0" distR="0" wp14:anchorId="371C5A95" wp14:editId="498903AC">
            <wp:extent cx="5340350" cy="248740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1650"/>
                    <a:stretch/>
                  </pic:blipFill>
                  <pic:spPr bwMode="auto">
                    <a:xfrm>
                      <a:off x="0" y="0"/>
                      <a:ext cx="5393459" cy="2512145"/>
                    </a:xfrm>
                    <a:prstGeom prst="rect">
                      <a:avLst/>
                    </a:prstGeom>
                    <a:noFill/>
                    <a:ln>
                      <a:noFill/>
                    </a:ln>
                    <a:extLst>
                      <a:ext uri="{53640926-AAD7-44D8-BBD7-CCE9431645EC}">
                        <a14:shadowObscured xmlns:a14="http://schemas.microsoft.com/office/drawing/2010/main"/>
                      </a:ext>
                    </a:extLst>
                  </pic:spPr>
                </pic:pic>
              </a:graphicData>
            </a:graphic>
          </wp:inline>
        </w:drawing>
      </w:r>
    </w:p>
    <w:p w14:paraId="3E3C0F42" w14:textId="77777777" w:rsidR="002451A8" w:rsidRPr="002451A8" w:rsidRDefault="002451A8" w:rsidP="002451A8">
      <w:pPr>
        <w:spacing w:line="276" w:lineRule="auto"/>
        <w:rPr>
          <w:rFonts w:ascii="Arial" w:hAnsi="Arial" w:cs="Arial"/>
        </w:rPr>
      </w:pPr>
      <w:r w:rsidRPr="002451A8">
        <w:rPr>
          <w:rFonts w:ascii="Arial" w:hAnsi="Arial" w:cs="Arial"/>
          <w:b/>
          <w:bCs/>
        </w:rPr>
        <w:t>Fig 1</w:t>
      </w:r>
      <w:r w:rsidRPr="002451A8">
        <w:rPr>
          <w:rFonts w:ascii="Arial" w:hAnsi="Arial" w:cs="Arial"/>
        </w:rPr>
        <w:t xml:space="preserve">. The different steps of isolation and identification of M. </w:t>
      </w:r>
      <w:proofErr w:type="spellStart"/>
      <w:r w:rsidRPr="002451A8">
        <w:rPr>
          <w:rFonts w:ascii="Arial" w:hAnsi="Arial" w:cs="Arial"/>
        </w:rPr>
        <w:t>fijiensis</w:t>
      </w:r>
      <w:proofErr w:type="spellEnd"/>
    </w:p>
    <w:p w14:paraId="21222CC6" w14:textId="77777777" w:rsidR="002451A8" w:rsidRPr="002451A8" w:rsidRDefault="002451A8" w:rsidP="002451A8">
      <w:pPr>
        <w:spacing w:line="276" w:lineRule="auto"/>
        <w:rPr>
          <w:rFonts w:ascii="Arial" w:hAnsi="Arial" w:cs="Arial"/>
        </w:rPr>
      </w:pPr>
      <w:r w:rsidRPr="002451A8">
        <w:rPr>
          <w:rFonts w:ascii="Arial" w:hAnsi="Arial" w:cs="Arial"/>
          <w:b/>
          <w:bCs/>
        </w:rPr>
        <w:t>Legend:</w:t>
      </w:r>
      <w:r w:rsidRPr="002451A8">
        <w:rPr>
          <w:rFonts w:ascii="Arial" w:hAnsi="Arial" w:cs="Arial"/>
        </w:rPr>
        <w:t xml:space="preserve"> (a) Typical symptoms of black leaf spot at stages 2 and 3; (b) Incubation of samples on agar medium (3%); (c) Transfer of conidia onto PDA medium; (d) Grayish mycelium on the upper surface; (e) Observation of microscopic characteristics; (f) Conidia viewed under the microscope (40x) between the slide and cover slip.</w:t>
      </w:r>
    </w:p>
    <w:p w14:paraId="62831CD6" w14:textId="77777777" w:rsidR="00C12433" w:rsidRPr="003172D6" w:rsidRDefault="00C12433" w:rsidP="00C12433">
      <w:pPr>
        <w:pStyle w:val="Body"/>
        <w:rPr>
          <w:rFonts w:ascii="Arial" w:hAnsi="Arial" w:cs="Arial"/>
          <w:b/>
          <w:bCs/>
          <w:sz w:val="22"/>
          <w:szCs w:val="22"/>
        </w:rPr>
      </w:pPr>
      <w:r w:rsidRPr="003172D6">
        <w:rPr>
          <w:rFonts w:ascii="Arial" w:hAnsi="Arial" w:cs="Arial"/>
          <w:b/>
          <w:bCs/>
          <w:sz w:val="22"/>
          <w:szCs w:val="22"/>
        </w:rPr>
        <w:t>2.2.    Methods</w:t>
      </w:r>
    </w:p>
    <w:p w14:paraId="5AF627D7" w14:textId="09F0759C" w:rsidR="00C12433" w:rsidRPr="003172D6" w:rsidRDefault="00C12433" w:rsidP="00C12433">
      <w:pPr>
        <w:pStyle w:val="Body"/>
        <w:rPr>
          <w:rFonts w:ascii="Arial" w:hAnsi="Arial" w:cs="Arial"/>
          <w:b/>
          <w:bCs/>
          <w:sz w:val="22"/>
          <w:szCs w:val="22"/>
        </w:rPr>
      </w:pPr>
      <w:r w:rsidRPr="003172D6">
        <w:rPr>
          <w:rFonts w:ascii="Arial" w:hAnsi="Arial" w:cs="Arial"/>
          <w:b/>
          <w:bCs/>
          <w:sz w:val="22"/>
          <w:szCs w:val="22"/>
        </w:rPr>
        <w:t xml:space="preserve">2.2.1.  Fungal culture </w:t>
      </w:r>
    </w:p>
    <w:p w14:paraId="14C6A27F" w14:textId="16E71583" w:rsidR="002451A8" w:rsidRPr="0010007D" w:rsidRDefault="00C12433" w:rsidP="00080D8F">
      <w:pPr>
        <w:pStyle w:val="Body"/>
        <w:rPr>
          <w:rFonts w:ascii="Arial" w:hAnsi="Arial" w:cs="Arial"/>
          <w:bCs/>
          <w:sz w:val="22"/>
          <w:szCs w:val="22"/>
        </w:rPr>
      </w:pPr>
      <w:r w:rsidRPr="0010007D">
        <w:rPr>
          <w:rFonts w:ascii="Arial" w:hAnsi="Arial" w:cs="Arial"/>
          <w:bCs/>
          <w:sz w:val="22"/>
          <w:szCs w:val="22"/>
        </w:rPr>
        <w:t xml:space="preserve">BF5Mf isolates of </w:t>
      </w:r>
      <w:proofErr w:type="spellStart"/>
      <w:r w:rsidRPr="0010007D">
        <w:rPr>
          <w:rFonts w:ascii="Arial" w:hAnsi="Arial" w:cs="Arial"/>
          <w:bCs/>
          <w:sz w:val="22"/>
          <w:szCs w:val="22"/>
        </w:rPr>
        <w:t>Mycosphaerella</w:t>
      </w:r>
      <w:proofErr w:type="spellEnd"/>
      <w:r w:rsidRPr="0010007D">
        <w:rPr>
          <w:rFonts w:ascii="Arial" w:hAnsi="Arial" w:cs="Arial"/>
          <w:bCs/>
          <w:sz w:val="22"/>
          <w:szCs w:val="22"/>
        </w:rPr>
        <w:t xml:space="preserve"> </w:t>
      </w:r>
      <w:proofErr w:type="spellStart"/>
      <w:r w:rsidRPr="0010007D">
        <w:rPr>
          <w:rFonts w:ascii="Arial" w:hAnsi="Arial" w:cs="Arial"/>
          <w:bCs/>
          <w:sz w:val="22"/>
          <w:szCs w:val="22"/>
        </w:rPr>
        <w:t>fijiensis</w:t>
      </w:r>
      <w:proofErr w:type="spellEnd"/>
      <w:r w:rsidRPr="0010007D">
        <w:rPr>
          <w:rFonts w:ascii="Arial" w:hAnsi="Arial" w:cs="Arial"/>
          <w:bCs/>
          <w:sz w:val="22"/>
          <w:szCs w:val="22"/>
        </w:rPr>
        <w:t xml:space="preserve">, stored in conservation, were inoculated into Petri dishes containing rice flour and potato dextrose agar (PDA) culture medium according to the protocol described by Kassankogno et al. (2016). The inoculated dishes were incubated in a growth chamber at 25°C, under alternating white light and darkness (12 h/12 h), conditions favorable for the development of M. </w:t>
      </w:r>
      <w:proofErr w:type="spellStart"/>
      <w:r w:rsidRPr="0010007D">
        <w:rPr>
          <w:rFonts w:ascii="Arial" w:hAnsi="Arial" w:cs="Arial"/>
          <w:bCs/>
          <w:sz w:val="22"/>
          <w:szCs w:val="22"/>
        </w:rPr>
        <w:t>fijiensis</w:t>
      </w:r>
      <w:proofErr w:type="spellEnd"/>
      <w:r w:rsidRPr="0010007D">
        <w:rPr>
          <w:rFonts w:ascii="Arial" w:hAnsi="Arial" w:cs="Arial"/>
          <w:bCs/>
          <w:sz w:val="22"/>
          <w:szCs w:val="22"/>
        </w:rPr>
        <w:t xml:space="preserve"> for seven days (Carlier et al., 2003). Seven-day-old colonies were used for biological evaluations.</w:t>
      </w:r>
    </w:p>
    <w:p w14:paraId="6684BBE4" w14:textId="77777777" w:rsidR="00C12433" w:rsidRPr="00C12433" w:rsidRDefault="00C12433" w:rsidP="00C12433">
      <w:pPr>
        <w:pStyle w:val="Body"/>
        <w:rPr>
          <w:rFonts w:ascii="Arial" w:hAnsi="Arial" w:cs="Arial"/>
          <w:b/>
          <w:bCs/>
          <w:sz w:val="22"/>
          <w:szCs w:val="22"/>
        </w:rPr>
      </w:pPr>
      <w:r w:rsidRPr="00C12433">
        <w:rPr>
          <w:rFonts w:ascii="Arial" w:hAnsi="Arial" w:cs="Arial"/>
          <w:b/>
          <w:bCs/>
          <w:sz w:val="22"/>
          <w:szCs w:val="22"/>
        </w:rPr>
        <w:t>2.2.2.    Preparation of poisoned media and inoculation</w:t>
      </w:r>
    </w:p>
    <w:p w14:paraId="0D28FE63" w14:textId="77777777" w:rsidR="00C12433" w:rsidRPr="0010007D" w:rsidRDefault="00C12433" w:rsidP="00C12433">
      <w:pPr>
        <w:pStyle w:val="Body"/>
        <w:rPr>
          <w:rFonts w:ascii="Arial" w:hAnsi="Arial" w:cs="Arial"/>
          <w:bCs/>
          <w:sz w:val="22"/>
          <w:szCs w:val="22"/>
        </w:rPr>
      </w:pPr>
      <w:r w:rsidRPr="0010007D">
        <w:rPr>
          <w:rFonts w:ascii="Arial" w:hAnsi="Arial" w:cs="Arial"/>
          <w:bCs/>
          <w:sz w:val="22"/>
          <w:szCs w:val="22"/>
        </w:rPr>
        <w:t xml:space="preserve">The culture medium was first prepared in an autoclave for 20 min at 121°C. After cooling in a water bath to a temperature of 40°C to 45°C, essential oils (EO) and chemical pesticides </w:t>
      </w:r>
      <w:r w:rsidRPr="0010007D">
        <w:rPr>
          <w:rFonts w:ascii="Arial" w:hAnsi="Arial" w:cs="Arial"/>
          <w:bCs/>
          <w:sz w:val="22"/>
          <w:szCs w:val="22"/>
        </w:rPr>
        <w:lastRenderedPageBreak/>
        <w:t xml:space="preserve">were then added to the culture medium as phytosanitary treatments. All phytosanitary treatments were emulsified under magnetic stirring for 20-30 minutes, then distributed into Petri dishes. The dishes containing the poisoned medium were left under the hood at room temperature to allow for better solidification. The control was prepared with medium without phytosanitary treatments under the same conditions. </w:t>
      </w:r>
    </w:p>
    <w:p w14:paraId="0C166DE7" w14:textId="77777777" w:rsidR="0010007D" w:rsidRDefault="00C12433" w:rsidP="002451A8">
      <w:pPr>
        <w:spacing w:line="276" w:lineRule="auto"/>
        <w:rPr>
          <w:rFonts w:ascii="Arial" w:hAnsi="Arial" w:cs="Arial"/>
          <w:bCs/>
          <w:sz w:val="22"/>
          <w:szCs w:val="22"/>
        </w:rPr>
      </w:pPr>
      <w:r w:rsidRPr="0010007D">
        <w:rPr>
          <w:rFonts w:ascii="Arial" w:hAnsi="Arial" w:cs="Arial"/>
          <w:bCs/>
          <w:sz w:val="22"/>
          <w:szCs w:val="22"/>
        </w:rPr>
        <w:t xml:space="preserve">Inoculation was carried out under a fume hood, using a cookie cutter to remove eight-day-old (08) </w:t>
      </w:r>
      <w:proofErr w:type="spellStart"/>
      <w:r w:rsidRPr="0010007D">
        <w:rPr>
          <w:rFonts w:ascii="Arial" w:hAnsi="Arial" w:cs="Arial"/>
          <w:bCs/>
          <w:sz w:val="22"/>
          <w:szCs w:val="22"/>
        </w:rPr>
        <w:t>Mycosphaerella</w:t>
      </w:r>
      <w:proofErr w:type="spellEnd"/>
      <w:r w:rsidRPr="0010007D">
        <w:rPr>
          <w:rFonts w:ascii="Arial" w:hAnsi="Arial" w:cs="Arial"/>
          <w:bCs/>
          <w:sz w:val="22"/>
          <w:szCs w:val="22"/>
        </w:rPr>
        <w:t xml:space="preserve"> </w:t>
      </w:r>
      <w:proofErr w:type="spellStart"/>
      <w:r w:rsidRPr="0010007D">
        <w:rPr>
          <w:rFonts w:ascii="Arial" w:hAnsi="Arial" w:cs="Arial"/>
          <w:bCs/>
          <w:sz w:val="22"/>
          <w:szCs w:val="22"/>
        </w:rPr>
        <w:t>fijiensis</w:t>
      </w:r>
      <w:proofErr w:type="spellEnd"/>
      <w:r w:rsidRPr="0010007D">
        <w:rPr>
          <w:rFonts w:ascii="Arial" w:hAnsi="Arial" w:cs="Arial"/>
          <w:bCs/>
          <w:sz w:val="22"/>
          <w:szCs w:val="22"/>
        </w:rPr>
        <w:t xml:space="preserve"> mycelial discs with a diameter of 5 mm, which were then placed in the center of Petri dishes containing media poisoned with an essential oil or fungicide. The cultures were incubated in a growth chamber at 25°C, alternating between white light and darkness (12 h/12 h), conditions favorable to the development of M. </w:t>
      </w:r>
      <w:proofErr w:type="spellStart"/>
      <w:r w:rsidRPr="0010007D">
        <w:rPr>
          <w:rFonts w:ascii="Arial" w:hAnsi="Arial" w:cs="Arial"/>
          <w:bCs/>
          <w:sz w:val="22"/>
          <w:szCs w:val="22"/>
        </w:rPr>
        <w:t>fijiensis</w:t>
      </w:r>
      <w:proofErr w:type="spellEnd"/>
      <w:r w:rsidRPr="0010007D">
        <w:rPr>
          <w:rFonts w:ascii="Arial" w:hAnsi="Arial" w:cs="Arial"/>
          <w:bCs/>
          <w:sz w:val="22"/>
          <w:szCs w:val="22"/>
        </w:rPr>
        <w:t xml:space="preserve"> (</w:t>
      </w:r>
      <w:proofErr w:type="spellStart"/>
      <w:r w:rsidRPr="0010007D">
        <w:rPr>
          <w:rFonts w:ascii="Arial" w:hAnsi="Arial" w:cs="Arial"/>
          <w:bCs/>
          <w:sz w:val="22"/>
          <w:szCs w:val="22"/>
        </w:rPr>
        <w:t>Carlier</w:t>
      </w:r>
      <w:proofErr w:type="spellEnd"/>
      <w:r w:rsidRPr="0010007D">
        <w:rPr>
          <w:rFonts w:ascii="Arial" w:hAnsi="Arial" w:cs="Arial"/>
          <w:bCs/>
          <w:sz w:val="22"/>
          <w:szCs w:val="22"/>
        </w:rPr>
        <w:t xml:space="preserve"> et al., 2003).</w:t>
      </w:r>
    </w:p>
    <w:p w14:paraId="1094B127" w14:textId="05A8DA25" w:rsidR="002451A8" w:rsidRPr="002451A8" w:rsidRDefault="002451A8" w:rsidP="002451A8">
      <w:pPr>
        <w:spacing w:line="276" w:lineRule="auto"/>
        <w:rPr>
          <w:rFonts w:ascii="Arial" w:hAnsi="Arial" w:cs="Arial"/>
        </w:rPr>
      </w:pPr>
      <w:r w:rsidRPr="002451A8">
        <w:rPr>
          <w:rFonts w:ascii="Arial" w:hAnsi="Arial" w:cs="Arial"/>
          <w:b/>
          <w:bCs/>
        </w:rPr>
        <w:t xml:space="preserve">Table </w:t>
      </w:r>
      <w:r w:rsidR="00092897">
        <w:rPr>
          <w:rFonts w:ascii="Arial" w:hAnsi="Arial" w:cs="Arial"/>
          <w:b/>
          <w:bCs/>
        </w:rPr>
        <w:t>1</w:t>
      </w:r>
      <w:r w:rsidRPr="002451A8">
        <w:rPr>
          <w:rFonts w:ascii="Arial" w:hAnsi="Arial" w:cs="Arial"/>
        </w:rPr>
        <w:t>. Characteristics of the treatments used in the study</w:t>
      </w:r>
    </w:p>
    <w:tbl>
      <w:tblPr>
        <w:tblStyle w:val="Tableausimple21"/>
        <w:tblW w:w="8928" w:type="dxa"/>
        <w:tblBorders>
          <w:top w:val="single" w:sz="12" w:space="0" w:color="auto"/>
          <w:bottom w:val="single" w:sz="12" w:space="0" w:color="auto"/>
          <w:insideH w:val="single" w:sz="4" w:space="0" w:color="7F7F7F"/>
        </w:tblBorders>
        <w:tblLook w:val="04A0" w:firstRow="1" w:lastRow="0" w:firstColumn="1" w:lastColumn="0" w:noHBand="0" w:noVBand="1"/>
      </w:tblPr>
      <w:tblGrid>
        <w:gridCol w:w="1826"/>
        <w:gridCol w:w="2924"/>
        <w:gridCol w:w="1196"/>
        <w:gridCol w:w="1851"/>
        <w:gridCol w:w="1131"/>
      </w:tblGrid>
      <w:tr w:rsidR="002451A8" w:rsidRPr="002451A8" w14:paraId="4A458D74" w14:textId="77777777" w:rsidTr="00A76C67">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750" w:type="dxa"/>
            <w:gridSpan w:val="2"/>
            <w:tcBorders>
              <w:top w:val="single" w:sz="12" w:space="0" w:color="auto"/>
              <w:bottom w:val="single" w:sz="8" w:space="0" w:color="auto"/>
              <w:right w:val="single" w:sz="8" w:space="0" w:color="auto"/>
            </w:tcBorders>
            <w:noWrap/>
            <w:hideMark/>
          </w:tcPr>
          <w:p w14:paraId="335CF14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Factor 1</w:t>
            </w:r>
          </w:p>
        </w:tc>
        <w:tc>
          <w:tcPr>
            <w:tcW w:w="4178" w:type="dxa"/>
            <w:gridSpan w:val="3"/>
            <w:tcBorders>
              <w:top w:val="single" w:sz="12" w:space="0" w:color="auto"/>
              <w:left w:val="single" w:sz="8" w:space="0" w:color="auto"/>
              <w:bottom w:val="single" w:sz="8" w:space="0" w:color="auto"/>
            </w:tcBorders>
            <w:noWrap/>
            <w:hideMark/>
          </w:tcPr>
          <w:p w14:paraId="0FA1B911"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Facteur 2 (Doses)</w:t>
            </w:r>
          </w:p>
        </w:tc>
      </w:tr>
      <w:tr w:rsidR="002451A8" w:rsidRPr="002451A8" w14:paraId="2DFA8FAE" w14:textId="77777777" w:rsidTr="00A76C6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26" w:type="dxa"/>
            <w:tcBorders>
              <w:top w:val="single" w:sz="8" w:space="0" w:color="auto"/>
              <w:bottom w:val="single" w:sz="12" w:space="0" w:color="auto"/>
            </w:tcBorders>
            <w:noWrap/>
            <w:hideMark/>
          </w:tcPr>
          <w:p w14:paraId="69507188"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Fungicides/HE </w:t>
            </w:r>
          </w:p>
        </w:tc>
        <w:tc>
          <w:tcPr>
            <w:tcW w:w="2924" w:type="dxa"/>
            <w:tcBorders>
              <w:top w:val="single" w:sz="8" w:space="0" w:color="auto"/>
              <w:bottom w:val="single" w:sz="12" w:space="0" w:color="auto"/>
              <w:right w:val="single" w:sz="8" w:space="0" w:color="auto"/>
            </w:tcBorders>
            <w:noWrap/>
            <w:hideMark/>
          </w:tcPr>
          <w:p w14:paraId="4E2058CE"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Composition</w:t>
            </w:r>
          </w:p>
        </w:tc>
        <w:tc>
          <w:tcPr>
            <w:tcW w:w="1196" w:type="dxa"/>
            <w:tcBorders>
              <w:top w:val="single" w:sz="8" w:space="0" w:color="auto"/>
              <w:left w:val="single" w:sz="8" w:space="0" w:color="auto"/>
              <w:bottom w:val="single" w:sz="12" w:space="0" w:color="auto"/>
            </w:tcBorders>
            <w:noWrap/>
            <w:hideMark/>
          </w:tcPr>
          <w:p w14:paraId="49FBADF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 xml:space="preserve">Lower dose </w:t>
            </w:r>
          </w:p>
        </w:tc>
        <w:tc>
          <w:tcPr>
            <w:tcW w:w="1851" w:type="dxa"/>
            <w:tcBorders>
              <w:top w:val="single" w:sz="8" w:space="0" w:color="auto"/>
              <w:bottom w:val="single" w:sz="12" w:space="0" w:color="auto"/>
            </w:tcBorders>
            <w:noWrap/>
            <w:hideMark/>
          </w:tcPr>
          <w:p w14:paraId="574E332D"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Recommended dose</w:t>
            </w:r>
          </w:p>
        </w:tc>
        <w:tc>
          <w:tcPr>
            <w:tcW w:w="1131" w:type="dxa"/>
            <w:tcBorders>
              <w:top w:val="single" w:sz="8" w:space="0" w:color="auto"/>
              <w:bottom w:val="single" w:sz="12" w:space="0" w:color="auto"/>
            </w:tcBorders>
            <w:noWrap/>
            <w:hideMark/>
          </w:tcPr>
          <w:p w14:paraId="6E0E19A4"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Higher dose</w:t>
            </w:r>
          </w:p>
        </w:tc>
      </w:tr>
      <w:tr w:rsidR="002451A8" w:rsidRPr="002451A8" w14:paraId="72540921" w14:textId="77777777" w:rsidTr="00A76C67">
        <w:trPr>
          <w:trHeight w:val="517"/>
        </w:trPr>
        <w:tc>
          <w:tcPr>
            <w:cnfStyle w:val="001000000000" w:firstRow="0" w:lastRow="0" w:firstColumn="1" w:lastColumn="0" w:oddVBand="0" w:evenVBand="0" w:oddHBand="0" w:evenHBand="0" w:firstRowFirstColumn="0" w:firstRowLastColumn="0" w:lastRowFirstColumn="0" w:lastRowLastColumn="0"/>
            <w:tcW w:w="1826" w:type="dxa"/>
            <w:tcBorders>
              <w:top w:val="single" w:sz="12" w:space="0" w:color="auto"/>
              <w:bottom w:val="nil"/>
            </w:tcBorders>
            <w:noWrap/>
            <w:hideMark/>
          </w:tcPr>
          <w:p w14:paraId="0066DDA8"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Control</w:t>
            </w:r>
          </w:p>
        </w:tc>
        <w:tc>
          <w:tcPr>
            <w:tcW w:w="2924" w:type="dxa"/>
            <w:tcBorders>
              <w:top w:val="single" w:sz="12" w:space="0" w:color="auto"/>
              <w:bottom w:val="nil"/>
              <w:right w:val="single" w:sz="8" w:space="0" w:color="auto"/>
            </w:tcBorders>
            <w:noWrap/>
            <w:hideMark/>
          </w:tcPr>
          <w:p w14:paraId="05522889"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Sterile distilled water</w:t>
            </w:r>
          </w:p>
        </w:tc>
        <w:tc>
          <w:tcPr>
            <w:tcW w:w="1196" w:type="dxa"/>
            <w:tcBorders>
              <w:top w:val="single" w:sz="12" w:space="0" w:color="auto"/>
              <w:left w:val="single" w:sz="8" w:space="0" w:color="auto"/>
              <w:bottom w:val="nil"/>
            </w:tcBorders>
            <w:noWrap/>
            <w:hideMark/>
          </w:tcPr>
          <w:p w14:paraId="3BE9D395"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c>
          <w:tcPr>
            <w:tcW w:w="1851" w:type="dxa"/>
            <w:tcBorders>
              <w:top w:val="single" w:sz="12" w:space="0" w:color="auto"/>
              <w:bottom w:val="nil"/>
            </w:tcBorders>
            <w:noWrap/>
            <w:hideMark/>
          </w:tcPr>
          <w:p w14:paraId="1466CBB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c>
          <w:tcPr>
            <w:tcW w:w="1131" w:type="dxa"/>
            <w:tcBorders>
              <w:top w:val="single" w:sz="12" w:space="0" w:color="auto"/>
              <w:bottom w:val="nil"/>
            </w:tcBorders>
            <w:noWrap/>
            <w:hideMark/>
          </w:tcPr>
          <w:p w14:paraId="46A2E5BB"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r>
      <w:tr w:rsidR="002451A8" w:rsidRPr="002451A8" w14:paraId="1842FBD4" w14:textId="77777777" w:rsidTr="00A76C6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1CEF1AC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HE of </w:t>
            </w:r>
            <w:proofErr w:type="spellStart"/>
            <w:proofErr w:type="gramStart"/>
            <w:r w:rsidRPr="002451A8">
              <w:rPr>
                <w:rFonts w:ascii="Arial" w:eastAsia="Times New Roman" w:hAnsi="Arial" w:cs="Arial"/>
                <w:b w:val="0"/>
                <w:bCs w:val="0"/>
                <w:sz w:val="20"/>
                <w:szCs w:val="20"/>
                <w:lang w:val="en-US"/>
              </w:rPr>
              <w:t>L.multiflora</w:t>
            </w:r>
            <w:proofErr w:type="spellEnd"/>
            <w:proofErr w:type="gramEnd"/>
          </w:p>
        </w:tc>
        <w:tc>
          <w:tcPr>
            <w:tcW w:w="2924" w:type="dxa"/>
            <w:tcBorders>
              <w:top w:val="nil"/>
              <w:bottom w:val="nil"/>
              <w:right w:val="single" w:sz="8" w:space="0" w:color="auto"/>
            </w:tcBorders>
            <w:noWrap/>
            <w:hideMark/>
          </w:tcPr>
          <w:p w14:paraId="1BE3B57D" w14:textId="77777777" w:rsidR="002451A8" w:rsidRPr="0010007D"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10007D">
              <w:rPr>
                <w:rFonts w:ascii="Arial" w:eastAsia="Times New Roman" w:hAnsi="Arial" w:cs="Arial"/>
                <w:sz w:val="20"/>
                <w:szCs w:val="20"/>
              </w:rPr>
              <w:t xml:space="preserve">Thymol (30,8%) et </w:t>
            </w:r>
            <w:proofErr w:type="spellStart"/>
            <w:r w:rsidRPr="0010007D">
              <w:rPr>
                <w:rFonts w:ascii="Arial" w:eastAsia="Times New Roman" w:hAnsi="Arial" w:cs="Arial"/>
                <w:sz w:val="20"/>
                <w:szCs w:val="20"/>
              </w:rPr>
              <w:t>acetate</w:t>
            </w:r>
            <w:proofErr w:type="spellEnd"/>
            <w:r w:rsidRPr="0010007D">
              <w:rPr>
                <w:rFonts w:ascii="Arial" w:eastAsia="Times New Roman" w:hAnsi="Arial" w:cs="Arial"/>
                <w:sz w:val="20"/>
                <w:szCs w:val="20"/>
              </w:rPr>
              <w:t xml:space="preserve"> (20,8%), ƴ-</w:t>
            </w:r>
            <w:proofErr w:type="spellStart"/>
            <w:r w:rsidRPr="0010007D">
              <w:rPr>
                <w:rFonts w:ascii="Arial" w:eastAsia="Times New Roman" w:hAnsi="Arial" w:cs="Arial"/>
                <w:sz w:val="20"/>
                <w:szCs w:val="20"/>
              </w:rPr>
              <w:t>Terpinene</w:t>
            </w:r>
            <w:proofErr w:type="spellEnd"/>
            <w:r w:rsidRPr="0010007D">
              <w:rPr>
                <w:rFonts w:ascii="Arial" w:eastAsia="Times New Roman" w:hAnsi="Arial" w:cs="Arial"/>
                <w:sz w:val="20"/>
                <w:szCs w:val="20"/>
              </w:rPr>
              <w:t xml:space="preserve"> (3,1%)</w:t>
            </w:r>
          </w:p>
        </w:tc>
        <w:tc>
          <w:tcPr>
            <w:tcW w:w="1196" w:type="dxa"/>
            <w:tcBorders>
              <w:top w:val="nil"/>
              <w:left w:val="single" w:sz="8" w:space="0" w:color="auto"/>
              <w:bottom w:val="nil"/>
            </w:tcBorders>
            <w:noWrap/>
            <w:hideMark/>
          </w:tcPr>
          <w:p w14:paraId="09B64AC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 ppm</w:t>
            </w:r>
          </w:p>
        </w:tc>
        <w:tc>
          <w:tcPr>
            <w:tcW w:w="1851" w:type="dxa"/>
            <w:tcBorders>
              <w:top w:val="nil"/>
              <w:bottom w:val="nil"/>
            </w:tcBorders>
            <w:noWrap/>
            <w:hideMark/>
          </w:tcPr>
          <w:p w14:paraId="315FDAB6"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 ppm</w:t>
            </w:r>
          </w:p>
        </w:tc>
        <w:tc>
          <w:tcPr>
            <w:tcW w:w="1131" w:type="dxa"/>
            <w:tcBorders>
              <w:top w:val="nil"/>
              <w:bottom w:val="nil"/>
            </w:tcBorders>
            <w:noWrap/>
            <w:hideMark/>
          </w:tcPr>
          <w:p w14:paraId="45563BD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4000 ppm</w:t>
            </w:r>
          </w:p>
        </w:tc>
      </w:tr>
      <w:tr w:rsidR="002451A8" w:rsidRPr="002451A8" w14:paraId="65BF3D56" w14:textId="77777777" w:rsidTr="00A76C67">
        <w:trPr>
          <w:trHeight w:val="696"/>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5CC3C17D"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HE of O. </w:t>
            </w:r>
            <w:proofErr w:type="spellStart"/>
            <w:r w:rsidRPr="002451A8">
              <w:rPr>
                <w:rFonts w:ascii="Arial" w:eastAsia="Times New Roman" w:hAnsi="Arial" w:cs="Arial"/>
                <w:b w:val="0"/>
                <w:bCs w:val="0"/>
                <w:sz w:val="20"/>
                <w:szCs w:val="20"/>
                <w:lang w:val="en-US"/>
              </w:rPr>
              <w:t>gratissimum</w:t>
            </w:r>
            <w:proofErr w:type="spellEnd"/>
          </w:p>
        </w:tc>
        <w:tc>
          <w:tcPr>
            <w:tcW w:w="2924" w:type="dxa"/>
            <w:tcBorders>
              <w:top w:val="nil"/>
              <w:bottom w:val="nil"/>
              <w:right w:val="single" w:sz="8" w:space="0" w:color="auto"/>
            </w:tcBorders>
            <w:noWrap/>
            <w:hideMark/>
          </w:tcPr>
          <w:p w14:paraId="5CE2D191" w14:textId="77777777" w:rsidR="002451A8" w:rsidRPr="0010007D"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10007D">
              <w:rPr>
                <w:rFonts w:ascii="Arial" w:eastAsia="Times New Roman" w:hAnsi="Arial" w:cs="Arial"/>
                <w:sz w:val="20"/>
                <w:szCs w:val="20"/>
              </w:rPr>
              <w:t>Thymol (29,5%), ƴ-</w:t>
            </w:r>
            <w:proofErr w:type="spellStart"/>
            <w:r w:rsidRPr="0010007D">
              <w:rPr>
                <w:rFonts w:ascii="Arial" w:eastAsia="Times New Roman" w:hAnsi="Arial" w:cs="Arial"/>
                <w:sz w:val="20"/>
                <w:szCs w:val="20"/>
              </w:rPr>
              <w:t>terpinene</w:t>
            </w:r>
            <w:proofErr w:type="spellEnd"/>
            <w:r w:rsidRPr="0010007D">
              <w:rPr>
                <w:rFonts w:ascii="Arial" w:eastAsia="Times New Roman" w:hAnsi="Arial" w:cs="Arial"/>
                <w:sz w:val="20"/>
                <w:szCs w:val="20"/>
              </w:rPr>
              <w:t xml:space="preserve"> (20,5%) et p-</w:t>
            </w:r>
            <w:proofErr w:type="spellStart"/>
            <w:r w:rsidRPr="0010007D">
              <w:rPr>
                <w:rFonts w:ascii="Arial" w:eastAsia="Times New Roman" w:hAnsi="Arial" w:cs="Arial"/>
                <w:sz w:val="20"/>
                <w:szCs w:val="20"/>
              </w:rPr>
              <w:t>cymene</w:t>
            </w:r>
            <w:proofErr w:type="spellEnd"/>
            <w:r w:rsidRPr="0010007D">
              <w:rPr>
                <w:rFonts w:ascii="Arial" w:eastAsia="Times New Roman" w:hAnsi="Arial" w:cs="Arial"/>
                <w:sz w:val="20"/>
                <w:szCs w:val="20"/>
              </w:rPr>
              <w:t xml:space="preserve"> (12,9%)</w:t>
            </w:r>
          </w:p>
        </w:tc>
        <w:tc>
          <w:tcPr>
            <w:tcW w:w="1196" w:type="dxa"/>
            <w:tcBorders>
              <w:top w:val="nil"/>
              <w:left w:val="single" w:sz="8" w:space="0" w:color="auto"/>
              <w:bottom w:val="nil"/>
            </w:tcBorders>
            <w:noWrap/>
            <w:hideMark/>
          </w:tcPr>
          <w:p w14:paraId="048E9CD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 ppm</w:t>
            </w:r>
          </w:p>
        </w:tc>
        <w:tc>
          <w:tcPr>
            <w:tcW w:w="1851" w:type="dxa"/>
            <w:tcBorders>
              <w:top w:val="nil"/>
              <w:bottom w:val="nil"/>
            </w:tcBorders>
            <w:noWrap/>
            <w:hideMark/>
          </w:tcPr>
          <w:p w14:paraId="6E24A76B"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 ppm</w:t>
            </w:r>
          </w:p>
        </w:tc>
        <w:tc>
          <w:tcPr>
            <w:tcW w:w="1131" w:type="dxa"/>
            <w:tcBorders>
              <w:top w:val="nil"/>
              <w:bottom w:val="nil"/>
            </w:tcBorders>
            <w:noWrap/>
            <w:hideMark/>
          </w:tcPr>
          <w:p w14:paraId="0F37AB9C"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4000 ppm</w:t>
            </w:r>
          </w:p>
        </w:tc>
      </w:tr>
      <w:tr w:rsidR="002451A8" w:rsidRPr="002451A8" w14:paraId="361E4C2B" w14:textId="77777777" w:rsidTr="00A76C6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74A0F8E3"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Copper hydroxide</w:t>
            </w:r>
          </w:p>
        </w:tc>
        <w:tc>
          <w:tcPr>
            <w:tcW w:w="2924" w:type="dxa"/>
            <w:tcBorders>
              <w:top w:val="nil"/>
              <w:bottom w:val="nil"/>
              <w:right w:val="single" w:sz="8" w:space="0" w:color="auto"/>
            </w:tcBorders>
            <w:noWrap/>
            <w:hideMark/>
          </w:tcPr>
          <w:p w14:paraId="5E7904D7"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65,5 % Copper hydroxide, WP</w:t>
            </w:r>
          </w:p>
        </w:tc>
        <w:tc>
          <w:tcPr>
            <w:tcW w:w="1196" w:type="dxa"/>
            <w:tcBorders>
              <w:top w:val="nil"/>
              <w:left w:val="single" w:sz="8" w:space="0" w:color="auto"/>
              <w:bottom w:val="nil"/>
            </w:tcBorders>
            <w:noWrap/>
            <w:hideMark/>
          </w:tcPr>
          <w:p w14:paraId="63BB86FE"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7500 ppm</w:t>
            </w:r>
          </w:p>
        </w:tc>
        <w:tc>
          <w:tcPr>
            <w:tcW w:w="1851" w:type="dxa"/>
            <w:tcBorders>
              <w:top w:val="nil"/>
              <w:bottom w:val="nil"/>
            </w:tcBorders>
            <w:noWrap/>
            <w:hideMark/>
          </w:tcPr>
          <w:p w14:paraId="2C36A4C7"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10000 ppm</w:t>
            </w:r>
          </w:p>
        </w:tc>
        <w:tc>
          <w:tcPr>
            <w:tcW w:w="1131" w:type="dxa"/>
            <w:tcBorders>
              <w:top w:val="nil"/>
              <w:bottom w:val="nil"/>
            </w:tcBorders>
            <w:noWrap/>
            <w:hideMark/>
          </w:tcPr>
          <w:p w14:paraId="475C2C5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12500 ppm</w:t>
            </w:r>
          </w:p>
        </w:tc>
      </w:tr>
      <w:tr w:rsidR="002451A8" w:rsidRPr="002451A8" w14:paraId="4BBDA2F6" w14:textId="77777777" w:rsidTr="00A76C67">
        <w:trPr>
          <w:trHeight w:val="331"/>
        </w:trPr>
        <w:tc>
          <w:tcPr>
            <w:cnfStyle w:val="001000000000" w:firstRow="0" w:lastRow="0" w:firstColumn="1" w:lastColumn="0" w:oddVBand="0" w:evenVBand="0" w:oddHBand="0" w:evenHBand="0" w:firstRowFirstColumn="0" w:firstRowLastColumn="0" w:lastRowFirstColumn="0" w:lastRowLastColumn="0"/>
            <w:tcW w:w="1826" w:type="dxa"/>
            <w:tcBorders>
              <w:top w:val="nil"/>
              <w:bottom w:val="single" w:sz="12" w:space="0" w:color="auto"/>
            </w:tcBorders>
            <w:noWrap/>
            <w:hideMark/>
          </w:tcPr>
          <w:p w14:paraId="435CCE6F"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Mancozeb</w:t>
            </w:r>
          </w:p>
          <w:p w14:paraId="5A6856BC" w14:textId="77777777" w:rsidR="002451A8" w:rsidRPr="002451A8" w:rsidRDefault="002451A8" w:rsidP="00A76C67">
            <w:pPr>
              <w:spacing w:line="276" w:lineRule="auto"/>
              <w:rPr>
                <w:rFonts w:ascii="Arial" w:eastAsia="Times New Roman" w:hAnsi="Arial" w:cs="Arial"/>
                <w:b w:val="0"/>
                <w:bCs w:val="0"/>
                <w:sz w:val="20"/>
                <w:szCs w:val="20"/>
                <w:lang w:val="en-US"/>
              </w:rPr>
            </w:pPr>
          </w:p>
        </w:tc>
        <w:tc>
          <w:tcPr>
            <w:tcW w:w="2924" w:type="dxa"/>
            <w:tcBorders>
              <w:top w:val="nil"/>
              <w:bottom w:val="single" w:sz="12" w:space="0" w:color="auto"/>
              <w:right w:val="single" w:sz="8" w:space="0" w:color="auto"/>
            </w:tcBorders>
            <w:noWrap/>
            <w:hideMark/>
          </w:tcPr>
          <w:p w14:paraId="6FD43F0A"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Mancozeb, 800g/Kg, WP</w:t>
            </w:r>
          </w:p>
        </w:tc>
        <w:tc>
          <w:tcPr>
            <w:tcW w:w="1196" w:type="dxa"/>
            <w:tcBorders>
              <w:top w:val="nil"/>
              <w:left w:val="single" w:sz="8" w:space="0" w:color="auto"/>
              <w:bottom w:val="single" w:sz="12" w:space="0" w:color="auto"/>
            </w:tcBorders>
            <w:noWrap/>
            <w:hideMark/>
          </w:tcPr>
          <w:p w14:paraId="3C834D2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5000 ppm</w:t>
            </w:r>
          </w:p>
        </w:tc>
        <w:tc>
          <w:tcPr>
            <w:tcW w:w="1851" w:type="dxa"/>
            <w:tcBorders>
              <w:top w:val="nil"/>
              <w:bottom w:val="single" w:sz="12" w:space="0" w:color="auto"/>
            </w:tcBorders>
            <w:noWrap/>
            <w:hideMark/>
          </w:tcPr>
          <w:p w14:paraId="1434C2F1"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6700 ppm</w:t>
            </w:r>
          </w:p>
        </w:tc>
        <w:tc>
          <w:tcPr>
            <w:tcW w:w="1131" w:type="dxa"/>
            <w:tcBorders>
              <w:top w:val="nil"/>
              <w:bottom w:val="single" w:sz="12" w:space="0" w:color="auto"/>
            </w:tcBorders>
            <w:noWrap/>
            <w:hideMark/>
          </w:tcPr>
          <w:p w14:paraId="47275A3D"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8400 ppm</w:t>
            </w:r>
          </w:p>
        </w:tc>
      </w:tr>
    </w:tbl>
    <w:p w14:paraId="4521982D" w14:textId="77777777" w:rsidR="002451A8" w:rsidRPr="002451A8" w:rsidRDefault="002451A8" w:rsidP="002451A8">
      <w:pPr>
        <w:spacing w:line="276" w:lineRule="auto"/>
        <w:rPr>
          <w:rFonts w:ascii="Arial" w:hAnsi="Arial" w:cs="Arial"/>
        </w:rPr>
      </w:pPr>
      <w:bookmarkStart w:id="0" w:name="_Toc149127412"/>
      <w:r w:rsidRPr="002451A8">
        <w:rPr>
          <w:rFonts w:ascii="Arial" w:hAnsi="Arial" w:cs="Arial"/>
          <w:b/>
          <w:bCs/>
        </w:rPr>
        <w:t>Legend:</w:t>
      </w:r>
      <w:r w:rsidRPr="002451A8">
        <w:rPr>
          <w:rFonts w:ascii="Arial" w:hAnsi="Arial" w:cs="Arial"/>
        </w:rPr>
        <w:t xml:space="preserve"> Control: untreated indicator; ppm: parts per million; HE: essential oil.</w:t>
      </w:r>
    </w:p>
    <w:bookmarkEnd w:id="0"/>
    <w:p w14:paraId="65996C79" w14:textId="7D06EE88" w:rsidR="00080D8F" w:rsidRPr="008E6208" w:rsidRDefault="00C12433" w:rsidP="00080D8F">
      <w:pPr>
        <w:pStyle w:val="Body"/>
        <w:rPr>
          <w:rFonts w:ascii="Arial" w:hAnsi="Arial" w:cs="Arial"/>
          <w:b/>
          <w:bCs/>
          <w:sz w:val="22"/>
          <w:szCs w:val="22"/>
        </w:rPr>
      </w:pPr>
      <w:r>
        <w:rPr>
          <w:rFonts w:ascii="Arial" w:hAnsi="Arial" w:cs="Arial"/>
          <w:b/>
          <w:bCs/>
          <w:sz w:val="22"/>
          <w:szCs w:val="22"/>
        </w:rPr>
        <w:t>2.2.3</w:t>
      </w:r>
      <w:r w:rsidRPr="00C12433">
        <w:rPr>
          <w:rFonts w:ascii="Arial" w:hAnsi="Arial" w:cs="Arial"/>
          <w:b/>
          <w:bCs/>
          <w:sz w:val="22"/>
          <w:szCs w:val="22"/>
        </w:rPr>
        <w:t xml:space="preserve">.    </w:t>
      </w:r>
      <w:r w:rsidR="00080D8F" w:rsidRPr="008E6208">
        <w:rPr>
          <w:rFonts w:ascii="Arial" w:hAnsi="Arial" w:cs="Arial"/>
          <w:b/>
          <w:bCs/>
          <w:sz w:val="22"/>
          <w:szCs w:val="22"/>
        </w:rPr>
        <w:t>Assessment of mycelial radial growth and sporulation based on treatments</w:t>
      </w:r>
    </w:p>
    <w:p w14:paraId="49E34ECC" w14:textId="77777777" w:rsidR="00080D8F" w:rsidRPr="00080D8F" w:rsidRDefault="00080D8F" w:rsidP="00080D8F">
      <w:pPr>
        <w:pStyle w:val="Body"/>
        <w:rPr>
          <w:rFonts w:ascii="Arial" w:hAnsi="Arial" w:cs="Arial"/>
        </w:rPr>
      </w:pPr>
      <w:r w:rsidRPr="00080D8F">
        <w:rPr>
          <w:rFonts w:ascii="Arial" w:hAnsi="Arial" w:cs="Arial"/>
        </w:rPr>
        <w:t>The radial growth of fungal colony mycelium was assessed every two (02) days until the complete coverage of the culture medium surface in the control Petri dish, which was eight (08) days after inoculation. The measurements of the mycelial radial growth were performed using two perpendicular lines drawn on each Petri dish that intersect at a point at the center of the mycelial disk. The effect of fungicides/essential oils on the radial growth of the fungus was determined based on the inhibition rate (</w:t>
      </w:r>
      <w:proofErr w:type="spellStart"/>
      <w:r w:rsidRPr="00080D8F">
        <w:rPr>
          <w:rFonts w:ascii="Arial" w:hAnsi="Arial" w:cs="Arial"/>
        </w:rPr>
        <w:t>TIc</w:t>
      </w:r>
      <w:proofErr w:type="spellEnd"/>
      <w:r w:rsidRPr="00080D8F">
        <w:rPr>
          <w:rFonts w:ascii="Arial" w:hAnsi="Arial" w:cs="Arial"/>
        </w:rPr>
        <w:t>) of mycelial growth using the following equation (Koné et al., 2009):</w:t>
      </w:r>
    </w:p>
    <w:p w14:paraId="3052D714" w14:textId="77777777" w:rsidR="00080D8F" w:rsidRPr="00080D8F" w:rsidRDefault="00080D8F" w:rsidP="00080D8F">
      <w:pPr>
        <w:pStyle w:val="Body"/>
        <w:rPr>
          <w:rFonts w:ascii="Arial" w:hAnsi="Arial" w:cs="Arial"/>
        </w:rPr>
      </w:pPr>
      <w:r w:rsidRPr="00080D8F">
        <w:rPr>
          <w:rFonts w:ascii="Arial" w:hAnsi="Arial" w:cs="Arial"/>
        </w:rPr>
        <w:t xml:space="preserve"> </w:t>
      </w:r>
      <w:proofErr w:type="spellStart"/>
      <w:r w:rsidRPr="00080D8F">
        <w:rPr>
          <w:rFonts w:ascii="Arial" w:hAnsi="Arial" w:cs="Arial"/>
        </w:rPr>
        <w:t>TIc</w:t>
      </w:r>
      <w:proofErr w:type="spellEnd"/>
      <w:r w:rsidRPr="00080D8F">
        <w:rPr>
          <w:rFonts w:ascii="Arial" w:hAnsi="Arial" w:cs="Arial"/>
        </w:rPr>
        <w:t xml:space="preserve"> (</w:t>
      </w:r>
      <w:proofErr w:type="gramStart"/>
      <w:r w:rsidRPr="00080D8F">
        <w:rPr>
          <w:rFonts w:ascii="Arial" w:hAnsi="Arial" w:cs="Arial"/>
        </w:rPr>
        <w:t>%)=</w:t>
      </w:r>
      <w:proofErr w:type="gramEnd"/>
      <w:r w:rsidRPr="00080D8F">
        <w:rPr>
          <w:rFonts w:ascii="Arial" w:hAnsi="Arial" w:cs="Arial"/>
        </w:rPr>
        <w:t xml:space="preserve">((D0-Dc))/D0 x 100 ; with: D0: radial growth in the culture medium without fungicide (in cm); Dc: radial growth in the culture medium with fungicides or essential oils (in cm). </w:t>
      </w:r>
    </w:p>
    <w:p w14:paraId="7511F47A" w14:textId="77777777" w:rsidR="00080D8F" w:rsidRPr="00080D8F" w:rsidRDefault="00080D8F" w:rsidP="00080D8F">
      <w:pPr>
        <w:pStyle w:val="Body"/>
        <w:rPr>
          <w:rFonts w:ascii="Arial" w:hAnsi="Arial" w:cs="Arial"/>
        </w:rPr>
      </w:pPr>
      <w:r w:rsidRPr="00080D8F">
        <w:rPr>
          <w:rFonts w:ascii="Arial" w:hAnsi="Arial" w:cs="Arial"/>
        </w:rPr>
        <w:t xml:space="preserve">At the end of the radial mycelial growth measurements, the anti-sporulating activity of essential oils and synthetic fungicides was evaluated on 14-day-old fungal colonies. To do this, 10 mL of sterile distilled water was added to each Petri dish, and the spores were gently scraped from the surface with a brush. The resulting spore suspension was placed in a tube and vortexed for 30 seconds to detach the spores from the conidiophores. The suspension was then filtered to remove mycelial debris. The total spore count was performed using a </w:t>
      </w:r>
      <w:proofErr w:type="spellStart"/>
      <w:r w:rsidRPr="00080D8F">
        <w:rPr>
          <w:rFonts w:ascii="Arial" w:hAnsi="Arial" w:cs="Arial"/>
        </w:rPr>
        <w:t>Malassez</w:t>
      </w:r>
      <w:proofErr w:type="spellEnd"/>
      <w:r w:rsidRPr="00080D8F">
        <w:rPr>
          <w:rFonts w:ascii="Arial" w:hAnsi="Arial" w:cs="Arial"/>
        </w:rPr>
        <w:t xml:space="preserve"> cell under a '</w:t>
      </w:r>
      <w:proofErr w:type="spellStart"/>
      <w:r w:rsidRPr="00080D8F">
        <w:rPr>
          <w:rFonts w:ascii="Arial" w:hAnsi="Arial" w:cs="Arial"/>
        </w:rPr>
        <w:t>Euromex</w:t>
      </w:r>
      <w:proofErr w:type="spellEnd"/>
      <w:r w:rsidRPr="00080D8F">
        <w:rPr>
          <w:rFonts w:ascii="Arial" w:hAnsi="Arial" w:cs="Arial"/>
        </w:rPr>
        <w:t>' brand photon microscope. Ten (10) counts were carried out in 10 squares of the cell for each suspension. The spore concentration (Cs), number of spores per milliliter, was calculated according to the formula used by Kassankogno et al. (2021).</w:t>
      </w:r>
    </w:p>
    <w:p w14:paraId="4CDCE0D5" w14:textId="77777777" w:rsidR="00080D8F" w:rsidRPr="00080D8F" w:rsidRDefault="00080D8F" w:rsidP="00080D8F">
      <w:pPr>
        <w:pStyle w:val="Body"/>
        <w:rPr>
          <w:rFonts w:ascii="Arial" w:hAnsi="Arial" w:cs="Arial"/>
        </w:rPr>
      </w:pPr>
      <w:r w:rsidRPr="00080D8F">
        <w:rPr>
          <w:rFonts w:ascii="Arial" w:hAnsi="Arial" w:cs="Arial"/>
        </w:rPr>
        <w:t xml:space="preserve">  Cs</w:t>
      </w:r>
      <w:proofErr w:type="gramStart"/>
      <w:r w:rsidRPr="00080D8F">
        <w:rPr>
          <w:rFonts w:ascii="Arial" w:hAnsi="Arial" w:cs="Arial"/>
        </w:rPr>
        <w:t>=(</w:t>
      </w:r>
      <w:proofErr w:type="gramEnd"/>
      <w:r w:rsidRPr="00080D8F">
        <w:rPr>
          <w:rFonts w:ascii="Arial" w:hAnsi="Arial" w:cs="Arial"/>
        </w:rPr>
        <w:t>Number of spores in 10 squares X 10000)/10</w:t>
      </w:r>
    </w:p>
    <w:p w14:paraId="157E147B" w14:textId="0C8B2BAD" w:rsidR="00080D8F" w:rsidRPr="00080D8F" w:rsidRDefault="00080D8F" w:rsidP="00080D8F">
      <w:pPr>
        <w:pStyle w:val="Body"/>
        <w:rPr>
          <w:rFonts w:ascii="Arial" w:hAnsi="Arial" w:cs="Arial"/>
        </w:rPr>
      </w:pPr>
      <w:r w:rsidRPr="00080D8F">
        <w:rPr>
          <w:rFonts w:ascii="Arial" w:hAnsi="Arial" w:cs="Arial"/>
        </w:rPr>
        <w:lastRenderedPageBreak/>
        <w:t>The sporulation inhibition rate (TIs) was calculated using the formula employed by Doumbouya et al. (2012</w:t>
      </w:r>
      <w:proofErr w:type="gramStart"/>
      <w:r w:rsidRPr="00080D8F">
        <w:rPr>
          <w:rFonts w:ascii="Arial" w:hAnsi="Arial" w:cs="Arial"/>
        </w:rPr>
        <w:t>) :</w:t>
      </w:r>
      <w:proofErr w:type="gramEnd"/>
      <w:r w:rsidRPr="00080D8F">
        <w:rPr>
          <w:rFonts w:ascii="Arial" w:hAnsi="Arial" w:cs="Arial"/>
        </w:rPr>
        <w:t xml:space="preserve"> TIs (%)=((</w:t>
      </w:r>
      <w:proofErr w:type="spellStart"/>
      <w:r w:rsidRPr="00080D8F">
        <w:rPr>
          <w:rFonts w:ascii="Arial" w:hAnsi="Arial" w:cs="Arial"/>
        </w:rPr>
        <w:t>NSo-NSt</w:t>
      </w:r>
      <w:proofErr w:type="spellEnd"/>
      <w:r w:rsidRPr="00080D8F">
        <w:rPr>
          <w:rFonts w:ascii="Arial" w:hAnsi="Arial" w:cs="Arial"/>
        </w:rPr>
        <w:t>))/</w:t>
      </w:r>
      <w:proofErr w:type="spellStart"/>
      <w:r w:rsidRPr="00080D8F">
        <w:rPr>
          <w:rFonts w:ascii="Arial" w:hAnsi="Arial" w:cs="Arial"/>
        </w:rPr>
        <w:t>NSo</w:t>
      </w:r>
      <w:proofErr w:type="spellEnd"/>
      <w:r w:rsidRPr="00080D8F">
        <w:rPr>
          <w:rFonts w:ascii="Arial" w:hAnsi="Arial" w:cs="Arial"/>
        </w:rPr>
        <w:t xml:space="preserve"> x 100 ;with </w:t>
      </w:r>
      <w:proofErr w:type="spellStart"/>
      <w:r w:rsidRPr="00080D8F">
        <w:rPr>
          <w:rFonts w:ascii="Arial" w:hAnsi="Arial" w:cs="Arial"/>
        </w:rPr>
        <w:t>NSo</w:t>
      </w:r>
      <w:proofErr w:type="spellEnd"/>
      <w:r w:rsidRPr="00080D8F">
        <w:rPr>
          <w:rFonts w:ascii="Arial" w:hAnsi="Arial" w:cs="Arial"/>
        </w:rPr>
        <w:t xml:space="preserve">: estimated number of spores in the control; </w:t>
      </w:r>
      <w:proofErr w:type="spellStart"/>
      <w:r w:rsidRPr="00080D8F">
        <w:rPr>
          <w:rFonts w:ascii="Arial" w:hAnsi="Arial" w:cs="Arial"/>
        </w:rPr>
        <w:t>NSt</w:t>
      </w:r>
      <w:proofErr w:type="spellEnd"/>
      <w:r w:rsidRPr="00080D8F">
        <w:rPr>
          <w:rFonts w:ascii="Arial" w:hAnsi="Arial" w:cs="Arial"/>
        </w:rPr>
        <w:t>: estimated number of spores in the presence of the fungicide or essential oil.</w:t>
      </w:r>
    </w:p>
    <w:p w14:paraId="20E464BD" w14:textId="46A01886" w:rsidR="00080D8F" w:rsidRPr="00B459F4" w:rsidRDefault="00C12433" w:rsidP="00080D8F">
      <w:pPr>
        <w:pStyle w:val="Body"/>
        <w:rPr>
          <w:rFonts w:ascii="Arial" w:hAnsi="Arial" w:cs="Arial"/>
          <w:b/>
          <w:bCs/>
          <w:sz w:val="22"/>
          <w:szCs w:val="22"/>
        </w:rPr>
      </w:pPr>
      <w:r>
        <w:rPr>
          <w:rFonts w:ascii="Arial" w:hAnsi="Arial" w:cs="Arial"/>
          <w:b/>
          <w:bCs/>
          <w:sz w:val="22"/>
          <w:szCs w:val="22"/>
        </w:rPr>
        <w:t>2.2.4</w:t>
      </w:r>
      <w:r w:rsidRPr="00C12433">
        <w:rPr>
          <w:rFonts w:ascii="Arial" w:hAnsi="Arial" w:cs="Arial"/>
          <w:b/>
          <w:bCs/>
          <w:sz w:val="22"/>
          <w:szCs w:val="22"/>
        </w:rPr>
        <w:t xml:space="preserve">.    </w:t>
      </w:r>
      <w:r w:rsidR="00080D8F" w:rsidRPr="00B459F4">
        <w:rPr>
          <w:rFonts w:ascii="Arial" w:hAnsi="Arial" w:cs="Arial"/>
          <w:b/>
          <w:bCs/>
          <w:sz w:val="22"/>
          <w:szCs w:val="22"/>
        </w:rPr>
        <w:t>Assessment of the germinative power of spores based on treatments</w:t>
      </w:r>
    </w:p>
    <w:p w14:paraId="74F96705" w14:textId="77777777" w:rsidR="00080D8F" w:rsidRPr="00080D8F" w:rsidRDefault="00080D8F" w:rsidP="00080D8F">
      <w:pPr>
        <w:pStyle w:val="Body"/>
        <w:rPr>
          <w:rFonts w:ascii="Arial" w:hAnsi="Arial" w:cs="Arial"/>
        </w:rPr>
      </w:pPr>
      <w:r w:rsidRPr="00080D8F">
        <w:rPr>
          <w:rFonts w:ascii="Arial" w:hAnsi="Arial" w:cs="Arial"/>
        </w:rPr>
        <w:t xml:space="preserve">The anti-germination activity of essential oils and synthetic fungicides on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is studied by measuring the germination inhibition rate, compared to control batches. Fungal colonies grown on a normal medium without treatment were sampled from young cultures of 14 days and placed in a tube containing 10 mL of sterile distilled water. The spores released after agitation were counted using a </w:t>
      </w:r>
      <w:proofErr w:type="spellStart"/>
      <w:r w:rsidRPr="00080D8F">
        <w:rPr>
          <w:rFonts w:ascii="Arial" w:hAnsi="Arial" w:cs="Arial"/>
        </w:rPr>
        <w:t>Malassez</w:t>
      </w:r>
      <w:proofErr w:type="spellEnd"/>
      <w:r w:rsidRPr="00080D8F">
        <w:rPr>
          <w:rFonts w:ascii="Arial" w:hAnsi="Arial" w:cs="Arial"/>
        </w:rPr>
        <w:t xml:space="preserve"> cell to determine the initial density, which was then adjusted to 105 spores/mL after dilution. Suspensions of 0.4 mL were spread onto Petri dishes containing PDA medium, supplemented with different doses of fungicides and essential oils (figures b and c). Three replicates per concentration were performed. Control plates without fungicides or essential oils were also prepared. These plates were then incubated at 26°C with a 12-hour light/12-hour dark photoperiod. For each dose level, 100 spores were observed using an </w:t>
      </w:r>
      <w:proofErr w:type="spellStart"/>
      <w:r w:rsidRPr="00080D8F">
        <w:rPr>
          <w:rFonts w:ascii="Arial" w:hAnsi="Arial" w:cs="Arial"/>
        </w:rPr>
        <w:t>Euromex</w:t>
      </w:r>
      <w:proofErr w:type="spellEnd"/>
      <w:r w:rsidRPr="00080D8F">
        <w:rPr>
          <w:rFonts w:ascii="Arial" w:hAnsi="Arial" w:cs="Arial"/>
        </w:rPr>
        <w:t xml:space="preserve"> microscope equipped with a camera at 12 and 24 hours after incubation. A spore is considered germinated if the germ tube length appears. The percentage of spore germination inhibition compared to the control was calculated using the data from the last assessment (24 hours after incubation) according to the formula used by Doumbouya et al. (2012).</w:t>
      </w:r>
    </w:p>
    <w:p w14:paraId="1EF22C25" w14:textId="77777777" w:rsidR="00080D8F" w:rsidRDefault="00080D8F" w:rsidP="00080D8F">
      <w:pPr>
        <w:pStyle w:val="Body"/>
        <w:rPr>
          <w:rFonts w:ascii="Arial" w:hAnsi="Arial" w:cs="Arial"/>
        </w:rPr>
      </w:pPr>
      <w:r w:rsidRPr="00080D8F">
        <w:rPr>
          <w:rFonts w:ascii="Arial" w:hAnsi="Arial" w:cs="Arial"/>
        </w:rPr>
        <w:t xml:space="preserve"> </w:t>
      </w:r>
      <w:proofErr w:type="spellStart"/>
      <w:r w:rsidRPr="00080D8F">
        <w:rPr>
          <w:rFonts w:ascii="Arial" w:hAnsi="Arial" w:cs="Arial"/>
        </w:rPr>
        <w:t>TIg</w:t>
      </w:r>
      <w:proofErr w:type="spellEnd"/>
      <w:r w:rsidRPr="00080D8F">
        <w:rPr>
          <w:rFonts w:ascii="Arial" w:hAnsi="Arial" w:cs="Arial"/>
        </w:rPr>
        <w:t xml:space="preserve"> (</w:t>
      </w:r>
      <w:proofErr w:type="gramStart"/>
      <w:r w:rsidRPr="00080D8F">
        <w:rPr>
          <w:rFonts w:ascii="Arial" w:hAnsi="Arial" w:cs="Arial"/>
        </w:rPr>
        <w:t>%)=</w:t>
      </w:r>
      <w:proofErr w:type="gramEnd"/>
      <w:r w:rsidRPr="00080D8F">
        <w:rPr>
          <w:rFonts w:ascii="Arial" w:hAnsi="Arial" w:cs="Arial"/>
        </w:rPr>
        <w:t>((</w:t>
      </w:r>
      <w:proofErr w:type="spellStart"/>
      <w:r w:rsidRPr="00080D8F">
        <w:rPr>
          <w:rFonts w:ascii="Arial" w:hAnsi="Arial" w:cs="Arial"/>
        </w:rPr>
        <w:t>NSGo-NSGt</w:t>
      </w:r>
      <w:proofErr w:type="spellEnd"/>
      <w:r w:rsidRPr="00080D8F">
        <w:rPr>
          <w:rFonts w:ascii="Arial" w:hAnsi="Arial" w:cs="Arial"/>
        </w:rPr>
        <w:t>))/</w:t>
      </w:r>
      <w:proofErr w:type="spellStart"/>
      <w:r w:rsidRPr="00080D8F">
        <w:rPr>
          <w:rFonts w:ascii="Arial" w:hAnsi="Arial" w:cs="Arial"/>
        </w:rPr>
        <w:t>NSGo</w:t>
      </w:r>
      <w:proofErr w:type="spellEnd"/>
      <w:r w:rsidRPr="00080D8F">
        <w:rPr>
          <w:rFonts w:ascii="Arial" w:hAnsi="Arial" w:cs="Arial"/>
        </w:rPr>
        <w:t xml:space="preserve"> x 100 ; with : </w:t>
      </w:r>
      <w:proofErr w:type="spellStart"/>
      <w:r w:rsidRPr="00080D8F">
        <w:rPr>
          <w:rFonts w:ascii="Arial" w:hAnsi="Arial" w:cs="Arial"/>
        </w:rPr>
        <w:t>NSGo</w:t>
      </w:r>
      <w:proofErr w:type="spellEnd"/>
      <w:r w:rsidRPr="00080D8F">
        <w:rPr>
          <w:rFonts w:ascii="Arial" w:hAnsi="Arial" w:cs="Arial"/>
        </w:rPr>
        <w:t xml:space="preserve">: number of spores germinated in the culture medium without fungicide or oils, </w:t>
      </w:r>
      <w:proofErr w:type="spellStart"/>
      <w:r w:rsidRPr="00080D8F">
        <w:rPr>
          <w:rFonts w:ascii="Arial" w:hAnsi="Arial" w:cs="Arial"/>
        </w:rPr>
        <w:t>NSGt</w:t>
      </w:r>
      <w:proofErr w:type="spellEnd"/>
      <w:r w:rsidRPr="00080D8F">
        <w:rPr>
          <w:rFonts w:ascii="Arial" w:hAnsi="Arial" w:cs="Arial"/>
        </w:rPr>
        <w:t>: number of spores germinated in the medium supplemented with fungicides and oils.</w:t>
      </w:r>
    </w:p>
    <w:p w14:paraId="180968F5" w14:textId="77777777" w:rsidR="004663BA" w:rsidRPr="00080D8F" w:rsidRDefault="004663BA" w:rsidP="00080D8F">
      <w:pPr>
        <w:pStyle w:val="Body"/>
        <w:rPr>
          <w:rFonts w:ascii="Arial" w:hAnsi="Arial" w:cs="Arial"/>
        </w:rPr>
      </w:pPr>
    </w:p>
    <w:p w14:paraId="4B944EB3" w14:textId="06D99AC2" w:rsidR="00080D8F" w:rsidRPr="00B459F4" w:rsidRDefault="00C12433" w:rsidP="00080D8F">
      <w:pPr>
        <w:pStyle w:val="Body"/>
        <w:rPr>
          <w:rFonts w:ascii="Arial" w:hAnsi="Arial" w:cs="Arial"/>
          <w:b/>
          <w:bCs/>
          <w:sz w:val="22"/>
          <w:szCs w:val="22"/>
        </w:rPr>
      </w:pPr>
      <w:r>
        <w:rPr>
          <w:rFonts w:ascii="Arial" w:hAnsi="Arial" w:cs="Arial"/>
          <w:b/>
          <w:bCs/>
          <w:sz w:val="22"/>
          <w:szCs w:val="22"/>
        </w:rPr>
        <w:t>2.2.5</w:t>
      </w:r>
      <w:r w:rsidRPr="00C12433">
        <w:rPr>
          <w:rFonts w:ascii="Arial" w:hAnsi="Arial" w:cs="Arial"/>
          <w:b/>
          <w:bCs/>
          <w:sz w:val="22"/>
          <w:szCs w:val="22"/>
        </w:rPr>
        <w:t xml:space="preserve">.    </w:t>
      </w:r>
      <w:r w:rsidR="00080D8F" w:rsidRPr="00B459F4">
        <w:rPr>
          <w:rFonts w:ascii="Arial" w:hAnsi="Arial" w:cs="Arial"/>
          <w:b/>
          <w:bCs/>
          <w:sz w:val="22"/>
          <w:szCs w:val="22"/>
        </w:rPr>
        <w:t xml:space="preserve">Determination of the effectiveness level of synthetic fungicides and essential oils </w:t>
      </w:r>
    </w:p>
    <w:p w14:paraId="242E8D7E" w14:textId="29A37BC5" w:rsidR="002451A8" w:rsidRPr="002451A8" w:rsidRDefault="00080D8F" w:rsidP="002451A8">
      <w:pPr>
        <w:pStyle w:val="Body"/>
        <w:rPr>
          <w:rFonts w:ascii="Arial" w:hAnsi="Arial" w:cs="Arial"/>
        </w:rPr>
      </w:pPr>
      <w:r w:rsidRPr="00080D8F">
        <w:rPr>
          <w:rFonts w:ascii="Arial" w:hAnsi="Arial" w:cs="Arial"/>
        </w:rPr>
        <w:t xml:space="preserve">The level of sensitivity or resistance of the fungus to synthetic fungicides and essential oils was determined according to the </w:t>
      </w:r>
      <w:proofErr w:type="spellStart"/>
      <w:r w:rsidRPr="00080D8F">
        <w:rPr>
          <w:rFonts w:ascii="Arial" w:hAnsi="Arial" w:cs="Arial"/>
        </w:rPr>
        <w:t>Paranagama</w:t>
      </w:r>
      <w:proofErr w:type="spellEnd"/>
      <w:r w:rsidRPr="00080D8F">
        <w:rPr>
          <w:rFonts w:ascii="Arial" w:hAnsi="Arial" w:cs="Arial"/>
        </w:rPr>
        <w:t xml:space="preserve"> et al. (2003) scale (</w:t>
      </w:r>
      <w:r w:rsidRPr="002451A8">
        <w:rPr>
          <w:rFonts w:ascii="Arial" w:hAnsi="Arial" w:cs="Arial"/>
          <w:b/>
          <w:bCs/>
        </w:rPr>
        <w:t xml:space="preserve">Table. </w:t>
      </w:r>
      <w:r w:rsidR="00092897">
        <w:rPr>
          <w:rFonts w:ascii="Arial" w:hAnsi="Arial" w:cs="Arial"/>
          <w:b/>
          <w:bCs/>
        </w:rPr>
        <w:t>2)</w:t>
      </w:r>
      <w:r w:rsidRPr="002451A8">
        <w:rPr>
          <w:rFonts w:ascii="Arial" w:hAnsi="Arial" w:cs="Arial"/>
          <w:b/>
          <w:bCs/>
        </w:rPr>
        <w:t>.</w:t>
      </w:r>
      <w:r w:rsidRPr="00080D8F">
        <w:rPr>
          <w:rFonts w:ascii="Arial" w:hAnsi="Arial" w:cs="Arial"/>
        </w:rPr>
        <w:t xml:space="preserve"> The assessment of the effectiveness of synthetic fungicides and essential oils was based on the percentage of overall inhibition, with the mean inhibition percentage calculated for each dose.</w:t>
      </w:r>
      <w:r w:rsidRPr="00080D8F">
        <w:rPr>
          <w:rFonts w:ascii="Arial" w:hAnsi="Arial" w:cs="Arial"/>
        </w:rPr>
        <w:tab/>
      </w:r>
    </w:p>
    <w:p w14:paraId="28F6EB9F" w14:textId="672DA402" w:rsidR="002451A8" w:rsidRPr="002451A8" w:rsidRDefault="002451A8" w:rsidP="002451A8">
      <w:pPr>
        <w:spacing w:line="276" w:lineRule="auto"/>
        <w:rPr>
          <w:rFonts w:ascii="Arial" w:hAnsi="Arial" w:cs="Arial"/>
        </w:rPr>
      </w:pPr>
      <w:bookmarkStart w:id="1" w:name="_Hlk217434531"/>
      <w:r w:rsidRPr="002451A8">
        <w:rPr>
          <w:rFonts w:ascii="Arial" w:hAnsi="Arial" w:cs="Arial"/>
          <w:b/>
          <w:bCs/>
        </w:rPr>
        <w:t xml:space="preserve">Table </w:t>
      </w:r>
      <w:r w:rsidR="00092897">
        <w:rPr>
          <w:rFonts w:ascii="Arial" w:hAnsi="Arial" w:cs="Arial"/>
          <w:b/>
          <w:bCs/>
        </w:rPr>
        <w:t>2</w:t>
      </w:r>
      <w:r w:rsidRPr="002451A8">
        <w:rPr>
          <w:rFonts w:ascii="Arial" w:hAnsi="Arial" w:cs="Arial"/>
        </w:rPr>
        <w:t xml:space="preserve">. Level of effectiveness of synthetic fungicides and essential oils based on the scale used by </w:t>
      </w:r>
      <w:proofErr w:type="spellStart"/>
      <w:r w:rsidRPr="002451A8">
        <w:rPr>
          <w:rFonts w:ascii="Arial" w:hAnsi="Arial" w:cs="Arial"/>
        </w:rPr>
        <w:t>Paranagama</w:t>
      </w:r>
      <w:proofErr w:type="spellEnd"/>
      <w:r w:rsidRPr="002451A8">
        <w:rPr>
          <w:rFonts w:ascii="Arial" w:hAnsi="Arial" w:cs="Arial"/>
        </w:rPr>
        <w:t xml:space="preserve"> et al. (2003)</w:t>
      </w:r>
    </w:p>
    <w:tbl>
      <w:tblPr>
        <w:tblStyle w:val="PlainTable2"/>
        <w:tblW w:w="9120" w:type="dxa"/>
        <w:tblBorders>
          <w:top w:val="single" w:sz="12" w:space="0" w:color="000000" w:themeColor="text1"/>
          <w:bottom w:val="single" w:sz="12" w:space="0" w:color="000000" w:themeColor="text1"/>
        </w:tblBorders>
        <w:tblLook w:val="04A0" w:firstRow="1" w:lastRow="0" w:firstColumn="1" w:lastColumn="0" w:noHBand="0" w:noVBand="1"/>
      </w:tblPr>
      <w:tblGrid>
        <w:gridCol w:w="1018"/>
        <w:gridCol w:w="2051"/>
        <w:gridCol w:w="2784"/>
        <w:gridCol w:w="3267"/>
      </w:tblGrid>
      <w:tr w:rsidR="002451A8" w:rsidRPr="002451A8" w14:paraId="235B1585" w14:textId="77777777" w:rsidTr="00A76C67">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018" w:type="dxa"/>
            <w:tcBorders>
              <w:top w:val="single" w:sz="12" w:space="0" w:color="000000" w:themeColor="text1"/>
              <w:bottom w:val="single" w:sz="12" w:space="0" w:color="000000" w:themeColor="text1"/>
            </w:tcBorders>
          </w:tcPr>
          <w:p w14:paraId="23BA0C3A"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Scale</w:t>
            </w:r>
          </w:p>
          <w:p w14:paraId="3373E244" w14:textId="77777777" w:rsidR="002451A8" w:rsidRPr="002451A8" w:rsidRDefault="002451A8" w:rsidP="00A76C67">
            <w:pPr>
              <w:spacing w:line="276" w:lineRule="auto"/>
              <w:rPr>
                <w:rFonts w:ascii="Arial" w:eastAsia="Times New Roman" w:hAnsi="Arial" w:cs="Arial"/>
                <w:b w:val="0"/>
                <w:bCs w:val="0"/>
                <w:sz w:val="20"/>
                <w:szCs w:val="20"/>
                <w:lang w:val="en-US"/>
              </w:rPr>
            </w:pPr>
          </w:p>
        </w:tc>
        <w:tc>
          <w:tcPr>
            <w:tcW w:w="2051" w:type="dxa"/>
            <w:tcBorders>
              <w:top w:val="single" w:sz="12" w:space="0" w:color="000000" w:themeColor="text1"/>
              <w:bottom w:val="single" w:sz="12" w:space="0" w:color="000000" w:themeColor="text1"/>
            </w:tcBorders>
          </w:tcPr>
          <w:p w14:paraId="7FBC1255"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Mycelial inhibition rate class I (%)</w:t>
            </w:r>
          </w:p>
          <w:p w14:paraId="6D18399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p>
        </w:tc>
        <w:tc>
          <w:tcPr>
            <w:tcW w:w="2784" w:type="dxa"/>
            <w:tcBorders>
              <w:top w:val="single" w:sz="12" w:space="0" w:color="000000" w:themeColor="text1"/>
              <w:bottom w:val="single" w:sz="12" w:space="0" w:color="000000" w:themeColor="text1"/>
            </w:tcBorders>
          </w:tcPr>
          <w:p w14:paraId="556659A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Fungal sensitivity/resistance level</w:t>
            </w:r>
          </w:p>
          <w:p w14:paraId="528A48FD"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p>
        </w:tc>
        <w:tc>
          <w:tcPr>
            <w:tcW w:w="3267" w:type="dxa"/>
            <w:tcBorders>
              <w:top w:val="single" w:sz="12" w:space="0" w:color="000000" w:themeColor="text1"/>
              <w:bottom w:val="single" w:sz="12" w:space="0" w:color="000000" w:themeColor="text1"/>
            </w:tcBorders>
          </w:tcPr>
          <w:p w14:paraId="1E1EEC4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Fungicide/essential oil efficacy level</w:t>
            </w:r>
          </w:p>
        </w:tc>
      </w:tr>
      <w:tr w:rsidR="002451A8" w:rsidRPr="002451A8" w14:paraId="02FE98D8" w14:textId="77777777" w:rsidTr="00A76C6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18" w:type="dxa"/>
            <w:tcBorders>
              <w:top w:val="single" w:sz="12" w:space="0" w:color="000000" w:themeColor="text1"/>
              <w:bottom w:val="none" w:sz="0" w:space="0" w:color="auto"/>
            </w:tcBorders>
          </w:tcPr>
          <w:p w14:paraId="78554BDB"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1</w:t>
            </w:r>
          </w:p>
        </w:tc>
        <w:tc>
          <w:tcPr>
            <w:tcW w:w="2051" w:type="dxa"/>
            <w:tcBorders>
              <w:top w:val="single" w:sz="12" w:space="0" w:color="000000" w:themeColor="text1"/>
              <w:bottom w:val="none" w:sz="0" w:space="0" w:color="auto"/>
            </w:tcBorders>
          </w:tcPr>
          <w:p w14:paraId="7B4C07C4"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75 % ˂ I ≤ 100 %</w:t>
            </w:r>
          </w:p>
        </w:tc>
        <w:tc>
          <w:tcPr>
            <w:tcW w:w="2784" w:type="dxa"/>
            <w:tcBorders>
              <w:top w:val="single" w:sz="12" w:space="0" w:color="000000" w:themeColor="text1"/>
              <w:bottom w:val="none" w:sz="0" w:space="0" w:color="auto"/>
            </w:tcBorders>
          </w:tcPr>
          <w:p w14:paraId="2ED2EA1B"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Very Sensitive</w:t>
            </w:r>
          </w:p>
        </w:tc>
        <w:tc>
          <w:tcPr>
            <w:tcW w:w="3267" w:type="dxa"/>
            <w:tcBorders>
              <w:top w:val="single" w:sz="12" w:space="0" w:color="000000" w:themeColor="text1"/>
              <w:bottom w:val="none" w:sz="0" w:space="0" w:color="auto"/>
            </w:tcBorders>
          </w:tcPr>
          <w:p w14:paraId="6C6BEA0B"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Very effective (VE)</w:t>
            </w:r>
          </w:p>
        </w:tc>
      </w:tr>
      <w:tr w:rsidR="002451A8" w:rsidRPr="002451A8" w14:paraId="2C62A176" w14:textId="77777777" w:rsidTr="00A76C67">
        <w:trPr>
          <w:trHeight w:val="371"/>
        </w:trPr>
        <w:tc>
          <w:tcPr>
            <w:cnfStyle w:val="001000000000" w:firstRow="0" w:lastRow="0" w:firstColumn="1" w:lastColumn="0" w:oddVBand="0" w:evenVBand="0" w:oddHBand="0" w:evenHBand="0" w:firstRowFirstColumn="0" w:firstRowLastColumn="0" w:lastRowFirstColumn="0" w:lastRowLastColumn="0"/>
            <w:tcW w:w="1018" w:type="dxa"/>
          </w:tcPr>
          <w:p w14:paraId="7C3A38D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2</w:t>
            </w:r>
          </w:p>
        </w:tc>
        <w:tc>
          <w:tcPr>
            <w:tcW w:w="2051" w:type="dxa"/>
          </w:tcPr>
          <w:p w14:paraId="60A43813"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50 % ˂ I ≤ 75 %</w:t>
            </w:r>
          </w:p>
        </w:tc>
        <w:tc>
          <w:tcPr>
            <w:tcW w:w="2784" w:type="dxa"/>
          </w:tcPr>
          <w:p w14:paraId="17080DE4"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Sensitive</w:t>
            </w:r>
          </w:p>
        </w:tc>
        <w:tc>
          <w:tcPr>
            <w:tcW w:w="3267" w:type="dxa"/>
          </w:tcPr>
          <w:p w14:paraId="2B09A744"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Effective (E)</w:t>
            </w:r>
          </w:p>
        </w:tc>
      </w:tr>
      <w:tr w:rsidR="002451A8" w:rsidRPr="002451A8" w14:paraId="567C0FC3" w14:textId="77777777" w:rsidTr="00A76C6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18" w:type="dxa"/>
            <w:tcBorders>
              <w:top w:val="none" w:sz="0" w:space="0" w:color="auto"/>
              <w:bottom w:val="none" w:sz="0" w:space="0" w:color="auto"/>
            </w:tcBorders>
          </w:tcPr>
          <w:p w14:paraId="5ED909D3"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3</w:t>
            </w:r>
          </w:p>
        </w:tc>
        <w:tc>
          <w:tcPr>
            <w:tcW w:w="2051" w:type="dxa"/>
            <w:tcBorders>
              <w:top w:val="none" w:sz="0" w:space="0" w:color="auto"/>
              <w:bottom w:val="none" w:sz="0" w:space="0" w:color="auto"/>
            </w:tcBorders>
          </w:tcPr>
          <w:p w14:paraId="475ADB50"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25 % ≤ I ≤ 50 %</w:t>
            </w:r>
          </w:p>
        </w:tc>
        <w:tc>
          <w:tcPr>
            <w:tcW w:w="2784" w:type="dxa"/>
            <w:tcBorders>
              <w:top w:val="none" w:sz="0" w:space="0" w:color="auto"/>
              <w:bottom w:val="none" w:sz="0" w:space="0" w:color="auto"/>
            </w:tcBorders>
          </w:tcPr>
          <w:p w14:paraId="039C68F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Moderately Resistant</w:t>
            </w:r>
          </w:p>
        </w:tc>
        <w:tc>
          <w:tcPr>
            <w:tcW w:w="3267" w:type="dxa"/>
            <w:tcBorders>
              <w:top w:val="none" w:sz="0" w:space="0" w:color="auto"/>
              <w:bottom w:val="none" w:sz="0" w:space="0" w:color="auto"/>
            </w:tcBorders>
          </w:tcPr>
          <w:p w14:paraId="2273FB4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Moderately effective (ME)</w:t>
            </w:r>
          </w:p>
        </w:tc>
      </w:tr>
      <w:tr w:rsidR="002451A8" w:rsidRPr="002451A8" w14:paraId="61398433" w14:textId="77777777" w:rsidTr="00A76C67">
        <w:trPr>
          <w:trHeight w:val="371"/>
        </w:trPr>
        <w:tc>
          <w:tcPr>
            <w:cnfStyle w:val="001000000000" w:firstRow="0" w:lastRow="0" w:firstColumn="1" w:lastColumn="0" w:oddVBand="0" w:evenVBand="0" w:oddHBand="0" w:evenHBand="0" w:firstRowFirstColumn="0" w:firstRowLastColumn="0" w:lastRowFirstColumn="0" w:lastRowLastColumn="0"/>
            <w:tcW w:w="1018" w:type="dxa"/>
          </w:tcPr>
          <w:p w14:paraId="7075896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4</w:t>
            </w:r>
          </w:p>
        </w:tc>
        <w:tc>
          <w:tcPr>
            <w:tcW w:w="2051" w:type="dxa"/>
          </w:tcPr>
          <w:p w14:paraId="6825EF6A"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 ≤ I ≤ 25 %</w:t>
            </w:r>
          </w:p>
        </w:tc>
        <w:tc>
          <w:tcPr>
            <w:tcW w:w="2784" w:type="dxa"/>
          </w:tcPr>
          <w:p w14:paraId="125EA707"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Resistant</w:t>
            </w:r>
          </w:p>
        </w:tc>
        <w:tc>
          <w:tcPr>
            <w:tcW w:w="3267" w:type="dxa"/>
          </w:tcPr>
          <w:p w14:paraId="543A7223"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Not effective (NE)</w:t>
            </w:r>
          </w:p>
        </w:tc>
      </w:tr>
    </w:tbl>
    <w:p w14:paraId="400AA0AF" w14:textId="5E26BC53" w:rsidR="002451A8" w:rsidRPr="00080D8F" w:rsidRDefault="002451A8" w:rsidP="008E6208">
      <w:pPr>
        <w:spacing w:line="276" w:lineRule="auto"/>
        <w:rPr>
          <w:rFonts w:ascii="Arial" w:hAnsi="Arial" w:cs="Arial"/>
        </w:rPr>
      </w:pPr>
      <w:bookmarkStart w:id="2" w:name="_Toc101436992"/>
      <w:bookmarkStart w:id="3" w:name="_Toc118478412"/>
      <w:bookmarkEnd w:id="1"/>
      <w:r w:rsidRPr="002451A8">
        <w:rPr>
          <w:rFonts w:ascii="Arial" w:hAnsi="Arial" w:cs="Arial"/>
        </w:rPr>
        <w:tab/>
      </w:r>
      <w:bookmarkEnd w:id="2"/>
      <w:bookmarkEnd w:id="3"/>
    </w:p>
    <w:p w14:paraId="61A88185" w14:textId="6512C24A"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t>2.</w:t>
      </w:r>
      <w:r w:rsidR="00C12433">
        <w:rPr>
          <w:rFonts w:ascii="Arial" w:hAnsi="Arial" w:cs="Arial"/>
          <w:b/>
          <w:bCs/>
          <w:sz w:val="22"/>
          <w:szCs w:val="22"/>
        </w:rPr>
        <w:t>3</w:t>
      </w:r>
      <w:r w:rsidRPr="00B459F4">
        <w:rPr>
          <w:rFonts w:ascii="Arial" w:hAnsi="Arial" w:cs="Arial"/>
          <w:b/>
          <w:bCs/>
          <w:sz w:val="22"/>
          <w:szCs w:val="22"/>
        </w:rPr>
        <w:t xml:space="preserve">. </w:t>
      </w:r>
      <w:r w:rsidR="00080D8F" w:rsidRPr="00B459F4">
        <w:rPr>
          <w:rFonts w:ascii="Arial" w:hAnsi="Arial" w:cs="Arial"/>
          <w:b/>
          <w:bCs/>
          <w:sz w:val="22"/>
          <w:szCs w:val="22"/>
        </w:rPr>
        <w:t>Data processing and analysis</w:t>
      </w:r>
    </w:p>
    <w:p w14:paraId="669B5451" w14:textId="187DAFB9" w:rsidR="00080D8F" w:rsidRDefault="00080D8F" w:rsidP="00080D8F">
      <w:pPr>
        <w:pStyle w:val="Body"/>
        <w:spacing w:after="0"/>
        <w:rPr>
          <w:rFonts w:ascii="Arial" w:hAnsi="Arial" w:cs="Arial"/>
        </w:rPr>
      </w:pPr>
      <w:r w:rsidRPr="00080D8F">
        <w:rPr>
          <w:rFonts w:ascii="Arial" w:hAnsi="Arial" w:cs="Arial"/>
        </w:rPr>
        <w:t>The data were entered and processed using Excel 2016. The XLSTAT 2016.02.27444-ANOVA software was used for variance analysis, followed by mean comparison using the Newman-Keuls (SNK) statistical test at a 5% significance level.</w:t>
      </w:r>
    </w:p>
    <w:p w14:paraId="5012C655" w14:textId="77777777" w:rsidR="00080D8F" w:rsidRDefault="00080D8F" w:rsidP="00441B6F">
      <w:pPr>
        <w:pStyle w:val="Body"/>
        <w:spacing w:after="0"/>
        <w:rPr>
          <w:rFonts w:ascii="Arial" w:hAnsi="Arial" w:cs="Arial"/>
        </w:rPr>
      </w:pPr>
    </w:p>
    <w:p w14:paraId="22631BB1" w14:textId="77777777" w:rsidR="00790ADA" w:rsidRPr="00FB3A86" w:rsidRDefault="00790ADA" w:rsidP="00441B6F">
      <w:pPr>
        <w:pStyle w:val="Body"/>
        <w:spacing w:after="0"/>
        <w:rPr>
          <w:rFonts w:ascii="Arial" w:hAnsi="Arial" w:cs="Arial"/>
        </w:rPr>
      </w:pPr>
    </w:p>
    <w:p w14:paraId="4F2A10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2A7496D" w14:textId="77777777" w:rsidR="009E5F17" w:rsidRDefault="009E5F17" w:rsidP="00441B6F">
      <w:pPr>
        <w:pStyle w:val="Head1"/>
        <w:spacing w:after="0"/>
        <w:jc w:val="both"/>
        <w:rPr>
          <w:rFonts w:ascii="Arial" w:hAnsi="Arial" w:cs="Arial"/>
        </w:rPr>
      </w:pPr>
    </w:p>
    <w:p w14:paraId="63CF9D40" w14:textId="0037AC01" w:rsidR="009E5F17" w:rsidRPr="00B459F4" w:rsidRDefault="008A5574" w:rsidP="009E5F17">
      <w:pPr>
        <w:spacing w:line="276" w:lineRule="auto"/>
        <w:rPr>
          <w:rFonts w:ascii="Arial" w:hAnsi="Arial" w:cs="Arial"/>
          <w:sz w:val="22"/>
          <w:szCs w:val="22"/>
        </w:rPr>
      </w:pPr>
      <w:r w:rsidRPr="00B459F4">
        <w:rPr>
          <w:rFonts w:ascii="Arial" w:hAnsi="Arial" w:cs="Arial"/>
          <w:b/>
          <w:bCs/>
          <w:sz w:val="22"/>
          <w:szCs w:val="22"/>
        </w:rPr>
        <w:t xml:space="preserve">3.1. </w:t>
      </w:r>
      <w:r w:rsidR="009E5F17" w:rsidRPr="00B459F4">
        <w:rPr>
          <w:rFonts w:ascii="Arial" w:hAnsi="Arial" w:cs="Arial"/>
          <w:b/>
          <w:bCs/>
          <w:sz w:val="22"/>
          <w:szCs w:val="22"/>
        </w:rPr>
        <w:t>Results</w:t>
      </w:r>
    </w:p>
    <w:p w14:paraId="2ED0828F" w14:textId="79D3FBB3" w:rsidR="009E5F17" w:rsidRPr="003263A3" w:rsidRDefault="008A5574" w:rsidP="009E5F17">
      <w:pPr>
        <w:spacing w:line="276" w:lineRule="auto"/>
        <w:rPr>
          <w:rFonts w:ascii="Arial" w:hAnsi="Arial" w:cs="Arial"/>
          <w:b/>
          <w:bCs/>
        </w:rPr>
      </w:pPr>
      <w:r>
        <w:rPr>
          <w:rFonts w:ascii="Arial" w:hAnsi="Arial" w:cs="Arial"/>
          <w:b/>
          <w:bCs/>
        </w:rPr>
        <w:lastRenderedPageBreak/>
        <w:t xml:space="preserve">3.1.1. </w:t>
      </w:r>
      <w:r w:rsidR="009E5F17" w:rsidRPr="003263A3">
        <w:rPr>
          <w:rFonts w:ascii="Arial" w:hAnsi="Arial" w:cs="Arial"/>
          <w:b/>
          <w:bCs/>
        </w:rPr>
        <w:t xml:space="preserve">In vitro effect of essential oils and synthetic fungicides on the radial mycelial growth of </w:t>
      </w:r>
      <w:proofErr w:type="spellStart"/>
      <w:r w:rsidR="009E5F17" w:rsidRPr="003263A3">
        <w:rPr>
          <w:rFonts w:ascii="Arial" w:hAnsi="Arial" w:cs="Arial"/>
          <w:b/>
          <w:bCs/>
          <w:i/>
          <w:iCs/>
        </w:rPr>
        <w:t>Mycosphaerella</w:t>
      </w:r>
      <w:proofErr w:type="spellEnd"/>
      <w:r w:rsidR="009E5F17" w:rsidRPr="003263A3">
        <w:rPr>
          <w:rFonts w:ascii="Arial" w:hAnsi="Arial" w:cs="Arial"/>
          <w:b/>
          <w:bCs/>
          <w:i/>
          <w:iCs/>
        </w:rPr>
        <w:t xml:space="preserve"> </w:t>
      </w:r>
      <w:proofErr w:type="spellStart"/>
      <w:r w:rsidR="009E5F17" w:rsidRPr="003263A3">
        <w:rPr>
          <w:rFonts w:ascii="Arial" w:hAnsi="Arial" w:cs="Arial"/>
          <w:b/>
          <w:bCs/>
          <w:i/>
          <w:iCs/>
        </w:rPr>
        <w:t>fijiensis</w:t>
      </w:r>
      <w:proofErr w:type="spellEnd"/>
      <w:r w:rsidR="009E5F17" w:rsidRPr="003263A3">
        <w:rPr>
          <w:rFonts w:ascii="Arial" w:hAnsi="Arial" w:cs="Arial"/>
          <w:b/>
          <w:bCs/>
        </w:rPr>
        <w:t xml:space="preserve">. </w:t>
      </w:r>
    </w:p>
    <w:p w14:paraId="102D676B" w14:textId="20D9DE42" w:rsidR="009E5F17" w:rsidRDefault="009E5F17" w:rsidP="009E5F17">
      <w:pPr>
        <w:spacing w:line="276" w:lineRule="auto"/>
        <w:jc w:val="both"/>
        <w:rPr>
          <w:rFonts w:ascii="Arial" w:hAnsi="Arial" w:cs="Arial"/>
        </w:rPr>
      </w:pPr>
      <w:r w:rsidRPr="003263A3">
        <w:rPr>
          <w:rFonts w:ascii="Arial" w:hAnsi="Arial" w:cs="Arial"/>
        </w:rPr>
        <w:t>The effects of essential oils and fungicides on mycelial growth vary with product type and the dose, with highly significant differences (P &lt; 0.001). From the 2nd to the 8th day after inoculation, all treatments, except for the control, caused partial or complete growth inhibition (</w:t>
      </w:r>
      <w:r w:rsidRPr="003263A3">
        <w:rPr>
          <w:rFonts w:ascii="Arial" w:hAnsi="Arial" w:cs="Arial"/>
          <w:b/>
          <w:bCs/>
        </w:rPr>
        <w:t>Fig. 2</w:t>
      </w:r>
      <w:r w:rsidRPr="003263A3">
        <w:rPr>
          <w:rFonts w:ascii="Arial" w:hAnsi="Arial" w:cs="Arial"/>
        </w:rPr>
        <w:t xml:space="preserve">). On the eighth day, the low-dose treatment showed the highest growth in the control (8.5 cm), followed by the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treatment (6.5 cm). In comparison, Mancozeb, copper hydroxide, and </w:t>
      </w:r>
      <w:proofErr w:type="spellStart"/>
      <w:r w:rsidRPr="003263A3">
        <w:rPr>
          <w:rFonts w:ascii="Arial" w:hAnsi="Arial" w:cs="Arial"/>
          <w:i/>
          <w:iCs/>
        </w:rPr>
        <w:t>Ocimum</w:t>
      </w:r>
      <w:proofErr w:type="spellEnd"/>
      <w:r w:rsidRPr="003263A3">
        <w:rPr>
          <w:rFonts w:ascii="Arial" w:hAnsi="Arial" w:cs="Arial"/>
          <w:i/>
          <w:iCs/>
        </w:rPr>
        <w:t xml:space="preserve"> </w:t>
      </w:r>
      <w:proofErr w:type="spellStart"/>
      <w:r w:rsidRPr="003263A3">
        <w:rPr>
          <w:rFonts w:ascii="Arial" w:hAnsi="Arial" w:cs="Arial"/>
          <w:i/>
          <w:iCs/>
        </w:rPr>
        <w:t>gratissimum</w:t>
      </w:r>
      <w:proofErr w:type="spellEnd"/>
      <w:r w:rsidRPr="003263A3">
        <w:rPr>
          <w:rFonts w:ascii="Arial" w:hAnsi="Arial" w:cs="Arial"/>
        </w:rPr>
        <w:t xml:space="preserve"> showed significantly reduced growth (0 cm, 1.05 cm, and 3.2 cm, respectively). The inhibitory power of essential oils increases with the dose, while Mancozeb completely inhibits growth even at the lowest dose, unlike copper hydroxide.</w:t>
      </w:r>
    </w:p>
    <w:p w14:paraId="40A331CA" w14:textId="77777777" w:rsidR="0010450C" w:rsidRPr="00444226" w:rsidRDefault="0010450C" w:rsidP="0010450C">
      <w:pPr>
        <w:spacing w:line="276" w:lineRule="auto"/>
        <w:rPr>
          <w:rFonts w:ascii="Times New Roman" w:hAnsi="Times New Roman"/>
          <w:sz w:val="26"/>
          <w:szCs w:val="26"/>
        </w:rPr>
      </w:pPr>
    </w:p>
    <w:p w14:paraId="4FB9FBF5" w14:textId="77777777" w:rsidR="0010450C" w:rsidRPr="00444226" w:rsidRDefault="0010450C" w:rsidP="0010450C">
      <w:pPr>
        <w:spacing w:line="276" w:lineRule="auto"/>
        <w:rPr>
          <w:rStyle w:val="fontstyle01"/>
          <w:rFonts w:ascii="Times New Roman" w:hAnsi="Times New Roman"/>
          <w:sz w:val="26"/>
          <w:szCs w:val="26"/>
        </w:rPr>
      </w:pPr>
      <w:r w:rsidRPr="00444226">
        <w:rPr>
          <w:rStyle w:val="fontstyle01"/>
          <w:rFonts w:ascii="Times New Roman" w:hAnsi="Times New Roman"/>
          <w:noProof/>
          <w:sz w:val="26"/>
          <w:szCs w:val="26"/>
          <w:lang w:val="fr-FR" w:eastAsia="fr-FR"/>
        </w:rPr>
        <w:drawing>
          <wp:inline distT="0" distB="0" distL="0" distR="0" wp14:anchorId="70B9C3B8" wp14:editId="2CE43319">
            <wp:extent cx="5594350" cy="12518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49896" cy="1264270"/>
                    </a:xfrm>
                    <a:prstGeom prst="rect">
                      <a:avLst/>
                    </a:prstGeom>
                    <a:noFill/>
                  </pic:spPr>
                </pic:pic>
              </a:graphicData>
            </a:graphic>
          </wp:inline>
        </w:drawing>
      </w:r>
    </w:p>
    <w:p w14:paraId="2D03BD39" w14:textId="77777777" w:rsidR="0010450C" w:rsidRPr="0010450C" w:rsidRDefault="0010450C" w:rsidP="0010450C">
      <w:pPr>
        <w:spacing w:line="276" w:lineRule="auto"/>
        <w:rPr>
          <w:rFonts w:ascii="Arial" w:hAnsi="Arial" w:cs="Arial"/>
        </w:rPr>
      </w:pPr>
      <w:r w:rsidRPr="00B459F4">
        <w:rPr>
          <w:rFonts w:ascii="Arial" w:hAnsi="Arial" w:cs="Arial"/>
          <w:b/>
          <w:bCs/>
        </w:rPr>
        <w:t>Fig 2.</w:t>
      </w:r>
      <w:r w:rsidRPr="0010450C">
        <w:rPr>
          <w:rFonts w:ascii="Arial" w:hAnsi="Arial" w:cs="Arial"/>
        </w:rPr>
        <w:t xml:space="preserve"> Mycelial radial growth according to treatments at 8 days after emergence</w:t>
      </w:r>
    </w:p>
    <w:p w14:paraId="037EF7AC" w14:textId="77777777" w:rsidR="0010450C" w:rsidRPr="0010450C" w:rsidRDefault="0010450C" w:rsidP="0010450C">
      <w:pPr>
        <w:spacing w:line="276" w:lineRule="auto"/>
        <w:rPr>
          <w:rFonts w:ascii="Arial" w:hAnsi="Arial" w:cs="Arial"/>
        </w:rPr>
      </w:pPr>
      <w:r w:rsidRPr="0010450C">
        <w:rPr>
          <w:rFonts w:ascii="Arial" w:hAnsi="Arial" w:cs="Arial"/>
        </w:rPr>
        <w:t xml:space="preserve">Legend. (a) Radial growth on treatment with </w:t>
      </w:r>
      <w:proofErr w:type="spellStart"/>
      <w:r w:rsidRPr="0010450C">
        <w:rPr>
          <w:rFonts w:ascii="Arial" w:hAnsi="Arial" w:cs="Arial"/>
        </w:rPr>
        <w:t>Lippia</w:t>
      </w:r>
      <w:proofErr w:type="spellEnd"/>
      <w:r w:rsidRPr="0010450C">
        <w:rPr>
          <w:rFonts w:ascii="Arial" w:hAnsi="Arial" w:cs="Arial"/>
        </w:rPr>
        <w:t xml:space="preserve"> multiflora; (b) Radial growth on treatment with Copper Hydroxide; (c) Radial growth on treatment with Mancozeb; (d) Radial growth on treatment with </w:t>
      </w:r>
      <w:proofErr w:type="spellStart"/>
      <w:r w:rsidRPr="0010450C">
        <w:rPr>
          <w:rFonts w:ascii="Arial" w:hAnsi="Arial" w:cs="Arial"/>
        </w:rPr>
        <w:t>Ocimum</w:t>
      </w:r>
      <w:proofErr w:type="spellEnd"/>
      <w:r w:rsidRPr="0010450C">
        <w:rPr>
          <w:rFonts w:ascii="Arial" w:hAnsi="Arial" w:cs="Arial"/>
        </w:rPr>
        <w:t xml:space="preserve"> </w:t>
      </w:r>
      <w:proofErr w:type="spellStart"/>
      <w:r w:rsidRPr="0010450C">
        <w:rPr>
          <w:rFonts w:ascii="Arial" w:hAnsi="Arial" w:cs="Arial"/>
        </w:rPr>
        <w:t>gratissimum</w:t>
      </w:r>
      <w:proofErr w:type="spellEnd"/>
      <w:r w:rsidRPr="0010450C">
        <w:rPr>
          <w:rFonts w:ascii="Arial" w:hAnsi="Arial" w:cs="Arial"/>
        </w:rPr>
        <w:t xml:space="preserve"> </w:t>
      </w:r>
    </w:p>
    <w:p w14:paraId="29A52C5A" w14:textId="77777777" w:rsidR="0010450C" w:rsidRPr="003263A3" w:rsidRDefault="0010450C" w:rsidP="009E5F17">
      <w:pPr>
        <w:spacing w:line="276" w:lineRule="auto"/>
        <w:jc w:val="both"/>
        <w:rPr>
          <w:rFonts w:ascii="Arial" w:hAnsi="Arial" w:cs="Arial"/>
        </w:rPr>
      </w:pPr>
    </w:p>
    <w:p w14:paraId="6C99C2B7" w14:textId="20CB755A" w:rsidR="009E5F17" w:rsidRDefault="009E5F17" w:rsidP="009E5F17">
      <w:pPr>
        <w:spacing w:line="276" w:lineRule="auto"/>
        <w:jc w:val="both"/>
        <w:rPr>
          <w:rFonts w:ascii="Arial" w:hAnsi="Arial" w:cs="Arial"/>
          <w:iCs/>
        </w:rPr>
      </w:pPr>
      <w:r w:rsidRPr="003263A3">
        <w:rPr>
          <w:rFonts w:ascii="Arial" w:hAnsi="Arial" w:cs="Arial"/>
          <w:iCs/>
        </w:rPr>
        <w:t>Analysis of radial growth inhibition rates by treatments (</w:t>
      </w:r>
      <w:r w:rsidRPr="003263A3">
        <w:rPr>
          <w:rFonts w:ascii="Arial" w:hAnsi="Arial" w:cs="Arial"/>
          <w:b/>
          <w:bCs/>
          <w:iCs/>
        </w:rPr>
        <w:t xml:space="preserve">Table. </w:t>
      </w:r>
      <w:r w:rsidR="00092897">
        <w:rPr>
          <w:rFonts w:ascii="Arial" w:hAnsi="Arial" w:cs="Arial"/>
          <w:b/>
          <w:bCs/>
          <w:iCs/>
        </w:rPr>
        <w:t>3</w:t>
      </w:r>
      <w:r w:rsidRPr="003263A3">
        <w:rPr>
          <w:rFonts w:ascii="Arial" w:hAnsi="Arial" w:cs="Arial"/>
          <w:iCs/>
        </w:rPr>
        <w:t xml:space="preserve">) reveals highly significant differences (P &lt; 0.001). On the 8th day, Mancozeb shows complete inhibition (100%) at all doses. The essential oil of </w:t>
      </w:r>
      <w:proofErr w:type="spellStart"/>
      <w:r w:rsidRPr="003263A3">
        <w:rPr>
          <w:rFonts w:ascii="Arial" w:hAnsi="Arial" w:cs="Arial"/>
          <w:i/>
        </w:rPr>
        <w:t>Ocimum</w:t>
      </w:r>
      <w:proofErr w:type="spellEnd"/>
      <w:r w:rsidRPr="003263A3">
        <w:rPr>
          <w:rFonts w:ascii="Arial" w:hAnsi="Arial" w:cs="Arial"/>
          <w:i/>
        </w:rPr>
        <w:t xml:space="preserve"> </w:t>
      </w:r>
      <w:proofErr w:type="spellStart"/>
      <w:r w:rsidRPr="003263A3">
        <w:rPr>
          <w:rFonts w:ascii="Arial" w:hAnsi="Arial" w:cs="Arial"/>
          <w:i/>
        </w:rPr>
        <w:t>gratissimum</w:t>
      </w:r>
      <w:proofErr w:type="spellEnd"/>
      <w:r w:rsidRPr="003263A3">
        <w:rPr>
          <w:rFonts w:ascii="Arial" w:hAnsi="Arial" w:cs="Arial"/>
          <w:iCs/>
        </w:rPr>
        <w:t xml:space="preserve"> reduces growth by 62.35% at a low dose and by 100% at medium and high doses. Copper hydroxide shows relatively consistent inhibition rates (85–87%) regardless of the dose level, while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exhibits 23%, 62%, and 100% inhibition at low, medium, and high doses, respectively. Overall, Mancozeb appears to be the most fungitoxic product (100%), followed by the essential oil of </w:t>
      </w:r>
      <w:r w:rsidRPr="003263A3">
        <w:rPr>
          <w:rFonts w:ascii="Arial" w:hAnsi="Arial" w:cs="Arial"/>
          <w:i/>
        </w:rPr>
        <w:t xml:space="preserve">O. </w:t>
      </w:r>
      <w:proofErr w:type="spellStart"/>
      <w:r w:rsidRPr="003263A3">
        <w:rPr>
          <w:rFonts w:ascii="Arial" w:hAnsi="Arial" w:cs="Arial"/>
          <w:i/>
        </w:rPr>
        <w:t>gratissimum</w:t>
      </w:r>
      <w:proofErr w:type="spellEnd"/>
      <w:r w:rsidRPr="003263A3">
        <w:rPr>
          <w:rFonts w:ascii="Arial" w:hAnsi="Arial" w:cs="Arial"/>
          <w:iCs/>
        </w:rPr>
        <w:t xml:space="preserve"> (87.45%), copper hydroxide (86.34%), and the essential oil of L. multiflora (61.76%). Dose analysis confirms that Mancozeb and copper hydroxide are highly effective at all concentrations. The essential oil of </w:t>
      </w:r>
      <w:r w:rsidRPr="003263A3">
        <w:rPr>
          <w:rFonts w:ascii="Arial" w:hAnsi="Arial" w:cs="Arial"/>
          <w:i/>
        </w:rPr>
        <w:t xml:space="preserve">O. </w:t>
      </w:r>
      <w:proofErr w:type="spellStart"/>
      <w:r w:rsidRPr="003263A3">
        <w:rPr>
          <w:rFonts w:ascii="Arial" w:hAnsi="Arial" w:cs="Arial"/>
          <w:i/>
        </w:rPr>
        <w:t>gratissimum</w:t>
      </w:r>
      <w:proofErr w:type="spellEnd"/>
      <w:r w:rsidRPr="003263A3">
        <w:rPr>
          <w:rFonts w:ascii="Arial" w:hAnsi="Arial" w:cs="Arial"/>
          <w:iCs/>
        </w:rPr>
        <w:t xml:space="preserve"> becomes very effective starting at the medium dose, while L. multiflora is only effective from the medium dose onward and becomes very effective at the high dose (</w:t>
      </w:r>
      <w:r w:rsidRPr="003263A3">
        <w:rPr>
          <w:rFonts w:ascii="Arial" w:hAnsi="Arial" w:cs="Arial"/>
          <w:b/>
          <w:bCs/>
          <w:iCs/>
        </w:rPr>
        <w:t>Fig. 3</w:t>
      </w:r>
      <w:r w:rsidRPr="003263A3">
        <w:rPr>
          <w:rFonts w:ascii="Arial" w:hAnsi="Arial" w:cs="Arial"/>
          <w:iCs/>
        </w:rPr>
        <w:t>).</w:t>
      </w:r>
    </w:p>
    <w:p w14:paraId="773276F3" w14:textId="77777777" w:rsidR="00AB20BB" w:rsidRPr="003C6DFD" w:rsidRDefault="00AB20BB" w:rsidP="00AB20BB">
      <w:pPr>
        <w:spacing w:line="276" w:lineRule="auto"/>
        <w:rPr>
          <w:rFonts w:ascii="Times New Roman" w:hAnsi="Times New Roman"/>
          <w:b/>
          <w:bCs/>
          <w:sz w:val="26"/>
          <w:szCs w:val="26"/>
        </w:rPr>
      </w:pPr>
    </w:p>
    <w:p w14:paraId="660A446E" w14:textId="18EAF993" w:rsidR="00AB20BB" w:rsidRPr="00AB20BB" w:rsidRDefault="00AB20BB" w:rsidP="00AB20BB">
      <w:pPr>
        <w:spacing w:line="276" w:lineRule="auto"/>
        <w:rPr>
          <w:rFonts w:ascii="Arial" w:hAnsi="Arial" w:cs="Arial"/>
          <w:iCs/>
        </w:rPr>
      </w:pPr>
      <w:r w:rsidRPr="00AB20BB">
        <w:rPr>
          <w:rFonts w:ascii="Arial" w:hAnsi="Arial" w:cs="Arial"/>
          <w:b/>
          <w:bCs/>
          <w:iCs/>
        </w:rPr>
        <w:t xml:space="preserve">Table </w:t>
      </w:r>
      <w:r w:rsidR="00092897">
        <w:rPr>
          <w:rFonts w:ascii="Arial" w:hAnsi="Arial" w:cs="Arial"/>
          <w:b/>
          <w:bCs/>
          <w:iCs/>
        </w:rPr>
        <w:t>3</w:t>
      </w:r>
      <w:r w:rsidRPr="00AB20BB">
        <w:rPr>
          <w:rFonts w:ascii="Arial" w:hAnsi="Arial" w:cs="Arial"/>
          <w:b/>
          <w:bCs/>
          <w:iCs/>
        </w:rPr>
        <w:t>.</w:t>
      </w:r>
      <w:r w:rsidRPr="00AB20BB">
        <w:rPr>
          <w:rFonts w:ascii="Arial" w:hAnsi="Arial" w:cs="Arial"/>
          <w:iCs/>
        </w:rPr>
        <w:t xml:space="preserve"> Effects of treatments and doses on the radial growth of </w:t>
      </w:r>
      <w:proofErr w:type="spellStart"/>
      <w:r w:rsidRPr="00AB20BB">
        <w:rPr>
          <w:rFonts w:ascii="Arial" w:hAnsi="Arial" w:cs="Arial"/>
          <w:iCs/>
        </w:rPr>
        <w:t>Mycosphaerella</w:t>
      </w:r>
      <w:proofErr w:type="spellEnd"/>
      <w:r w:rsidRPr="00AB20BB">
        <w:rPr>
          <w:rFonts w:ascii="Arial" w:hAnsi="Arial" w:cs="Arial"/>
          <w:iCs/>
        </w:rPr>
        <w:t xml:space="preserve"> </w:t>
      </w:r>
      <w:proofErr w:type="spellStart"/>
      <w:r w:rsidRPr="00AB20BB">
        <w:rPr>
          <w:rFonts w:ascii="Arial" w:hAnsi="Arial" w:cs="Arial"/>
          <w:iCs/>
        </w:rPr>
        <w:t>fijiensis</w:t>
      </w:r>
      <w:proofErr w:type="spellEnd"/>
      <w:r w:rsidRPr="00AB20BB">
        <w:rPr>
          <w:rFonts w:ascii="Arial" w:hAnsi="Arial" w:cs="Arial"/>
          <w:iCs/>
        </w:rPr>
        <w:t xml:space="preserve"> mycelium.</w:t>
      </w:r>
    </w:p>
    <w:p w14:paraId="32F02F6A" w14:textId="77777777" w:rsidR="00AB20BB" w:rsidRPr="00AB20BB" w:rsidRDefault="00AB20BB" w:rsidP="00AB20BB">
      <w:pPr>
        <w:spacing w:line="276" w:lineRule="auto"/>
        <w:rPr>
          <w:rFonts w:ascii="Arial" w:hAnsi="Arial" w:cs="Arial"/>
          <w:iCs/>
        </w:rPr>
      </w:pPr>
    </w:p>
    <w:tbl>
      <w:tblPr>
        <w:tblStyle w:val="Tableausimple21"/>
        <w:tblW w:w="0" w:type="auto"/>
        <w:tblBorders>
          <w:top w:val="single" w:sz="4" w:space="0" w:color="auto"/>
          <w:bottom w:val="single" w:sz="4" w:space="0" w:color="auto"/>
          <w:insideH w:val="single" w:sz="4" w:space="0" w:color="7F7F7F"/>
        </w:tblBorders>
        <w:tblLook w:val="04A0" w:firstRow="1" w:lastRow="0" w:firstColumn="1" w:lastColumn="0" w:noHBand="0" w:noVBand="1"/>
      </w:tblPr>
      <w:tblGrid>
        <w:gridCol w:w="1755"/>
        <w:gridCol w:w="597"/>
        <w:gridCol w:w="597"/>
        <w:gridCol w:w="597"/>
        <w:gridCol w:w="598"/>
        <w:gridCol w:w="598"/>
        <w:gridCol w:w="598"/>
        <w:gridCol w:w="598"/>
        <w:gridCol w:w="598"/>
        <w:gridCol w:w="598"/>
        <w:gridCol w:w="598"/>
        <w:gridCol w:w="598"/>
        <w:gridCol w:w="598"/>
      </w:tblGrid>
      <w:tr w:rsidR="00AB20BB" w:rsidRPr="00AB20BB" w14:paraId="7BA4C6D2" w14:textId="77777777" w:rsidTr="0018352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tcBorders>
            <w:noWrap/>
            <w:vAlign w:val="center"/>
            <w:hideMark/>
          </w:tcPr>
          <w:p w14:paraId="4357CE39" w14:textId="77777777" w:rsidR="00AB20BB" w:rsidRPr="00AB20BB" w:rsidRDefault="00AB20BB" w:rsidP="00A76C67">
            <w:pPr>
              <w:spacing w:line="276" w:lineRule="auto"/>
              <w:rPr>
                <w:rFonts w:ascii="Arial" w:eastAsia="Times New Roman" w:hAnsi="Arial" w:cs="Arial"/>
                <w:b w:val="0"/>
                <w:bCs w:val="0"/>
                <w:iCs/>
                <w:sz w:val="20"/>
                <w:szCs w:val="20"/>
                <w:lang w:val="en-US"/>
              </w:rPr>
            </w:pPr>
            <w:proofErr w:type="spellStart"/>
            <w:r w:rsidRPr="00AB20BB">
              <w:rPr>
                <w:rFonts w:ascii="Arial" w:eastAsia="Times New Roman" w:hAnsi="Arial" w:cs="Arial"/>
                <w:b w:val="0"/>
                <w:bCs w:val="0"/>
                <w:iCs/>
                <w:sz w:val="20"/>
                <w:szCs w:val="20"/>
                <w:lang w:val="en-US"/>
              </w:rPr>
              <w:t>Fongicides</w:t>
            </w:r>
            <w:proofErr w:type="spellEnd"/>
            <w:r w:rsidRPr="00AB20BB">
              <w:rPr>
                <w:rFonts w:ascii="Arial" w:eastAsia="Times New Roman" w:hAnsi="Arial" w:cs="Arial"/>
                <w:b w:val="0"/>
                <w:bCs w:val="0"/>
                <w:iCs/>
                <w:sz w:val="20"/>
                <w:szCs w:val="20"/>
                <w:lang w:val="en-US"/>
              </w:rPr>
              <w:t>/HE</w:t>
            </w:r>
          </w:p>
        </w:tc>
        <w:tc>
          <w:tcPr>
            <w:tcW w:w="0" w:type="auto"/>
            <w:gridSpan w:val="4"/>
            <w:tcBorders>
              <w:top w:val="single" w:sz="12" w:space="0" w:color="auto"/>
              <w:bottom w:val="nil"/>
            </w:tcBorders>
            <w:noWrap/>
            <w:hideMark/>
          </w:tcPr>
          <w:p w14:paraId="1A8F3CF2"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Lower dose </w:t>
            </w:r>
          </w:p>
        </w:tc>
        <w:tc>
          <w:tcPr>
            <w:tcW w:w="0" w:type="auto"/>
            <w:gridSpan w:val="4"/>
            <w:tcBorders>
              <w:top w:val="single" w:sz="12" w:space="0" w:color="auto"/>
              <w:bottom w:val="nil"/>
            </w:tcBorders>
            <w:noWrap/>
            <w:hideMark/>
          </w:tcPr>
          <w:p w14:paraId="0421DA66"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Recommended dose</w:t>
            </w:r>
          </w:p>
        </w:tc>
        <w:tc>
          <w:tcPr>
            <w:tcW w:w="0" w:type="auto"/>
            <w:gridSpan w:val="4"/>
            <w:tcBorders>
              <w:top w:val="single" w:sz="12" w:space="0" w:color="auto"/>
              <w:bottom w:val="nil"/>
            </w:tcBorders>
            <w:noWrap/>
            <w:hideMark/>
          </w:tcPr>
          <w:p w14:paraId="21C41D4D"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Higher dose</w:t>
            </w:r>
          </w:p>
        </w:tc>
      </w:tr>
      <w:tr w:rsidR="009C370A" w:rsidRPr="00D2185F" w14:paraId="216A1384"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2" w:space="0" w:color="auto"/>
            </w:tcBorders>
            <w:hideMark/>
          </w:tcPr>
          <w:p w14:paraId="7B6C5ACD" w14:textId="77777777" w:rsidR="00AB20BB" w:rsidRPr="00AB20BB" w:rsidRDefault="00AB20BB" w:rsidP="00A76C67">
            <w:pPr>
              <w:spacing w:line="276" w:lineRule="auto"/>
              <w:rPr>
                <w:rFonts w:ascii="Arial" w:eastAsia="Times New Roman" w:hAnsi="Arial" w:cs="Arial"/>
                <w:b w:val="0"/>
                <w:bCs w:val="0"/>
                <w:iCs/>
                <w:sz w:val="20"/>
                <w:szCs w:val="20"/>
                <w:lang w:val="en-US"/>
              </w:rPr>
            </w:pPr>
          </w:p>
        </w:tc>
        <w:tc>
          <w:tcPr>
            <w:tcW w:w="0" w:type="auto"/>
            <w:tcBorders>
              <w:top w:val="single" w:sz="6" w:space="0" w:color="000000" w:themeColor="text1"/>
              <w:bottom w:val="single" w:sz="12" w:space="0" w:color="auto"/>
            </w:tcBorders>
            <w:noWrap/>
            <w:hideMark/>
          </w:tcPr>
          <w:p w14:paraId="06E455B3"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6" w:space="0" w:color="000000" w:themeColor="text1"/>
              <w:bottom w:val="single" w:sz="12" w:space="0" w:color="auto"/>
            </w:tcBorders>
            <w:noWrap/>
            <w:hideMark/>
          </w:tcPr>
          <w:p w14:paraId="00B864CF"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6" w:space="0" w:color="000000" w:themeColor="text1"/>
              <w:bottom w:val="single" w:sz="12" w:space="0" w:color="auto"/>
            </w:tcBorders>
            <w:noWrap/>
            <w:hideMark/>
          </w:tcPr>
          <w:p w14:paraId="3D001631"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7602A19"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F3BCD49"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43F38F2"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8786412"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DA3DD4E"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226DE037"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6C3F6084"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56668D2E"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374306D6"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r>
      <w:tr w:rsidR="00183529" w:rsidRPr="00AB20BB" w14:paraId="7423D145"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noWrap/>
            <w:hideMark/>
          </w:tcPr>
          <w:p w14:paraId="7D7B654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Control</w:t>
            </w:r>
          </w:p>
        </w:tc>
        <w:tc>
          <w:tcPr>
            <w:tcW w:w="0" w:type="auto"/>
            <w:tcBorders>
              <w:top w:val="single" w:sz="12" w:space="0" w:color="auto"/>
              <w:bottom w:val="nil"/>
            </w:tcBorders>
            <w:noWrap/>
            <w:hideMark/>
          </w:tcPr>
          <w:p w14:paraId="01E922B9" w14:textId="47207D3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 d</w:t>
            </w:r>
          </w:p>
        </w:tc>
        <w:tc>
          <w:tcPr>
            <w:tcW w:w="0" w:type="auto"/>
            <w:tcBorders>
              <w:top w:val="single" w:sz="12" w:space="0" w:color="auto"/>
              <w:bottom w:val="nil"/>
            </w:tcBorders>
            <w:noWrap/>
            <w:hideMark/>
          </w:tcPr>
          <w:p w14:paraId="67E5C316" w14:textId="4470325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 c</w:t>
            </w:r>
          </w:p>
        </w:tc>
        <w:tc>
          <w:tcPr>
            <w:tcW w:w="0" w:type="auto"/>
            <w:tcBorders>
              <w:top w:val="single" w:sz="12" w:space="0" w:color="auto"/>
              <w:bottom w:val="nil"/>
            </w:tcBorders>
            <w:noWrap/>
            <w:hideMark/>
          </w:tcPr>
          <w:p w14:paraId="7479FF74" w14:textId="1F49485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d</w:t>
            </w:r>
          </w:p>
        </w:tc>
        <w:tc>
          <w:tcPr>
            <w:tcW w:w="0" w:type="auto"/>
            <w:tcBorders>
              <w:top w:val="single" w:sz="12" w:space="0" w:color="auto"/>
              <w:bottom w:val="nil"/>
            </w:tcBorders>
            <w:noWrap/>
            <w:hideMark/>
          </w:tcPr>
          <w:p w14:paraId="0749FB88" w14:textId="596A208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e</w:t>
            </w:r>
          </w:p>
        </w:tc>
        <w:tc>
          <w:tcPr>
            <w:tcW w:w="0" w:type="auto"/>
            <w:tcBorders>
              <w:top w:val="single" w:sz="12" w:space="0" w:color="auto"/>
              <w:bottom w:val="nil"/>
            </w:tcBorders>
            <w:noWrap/>
            <w:hideMark/>
          </w:tcPr>
          <w:p w14:paraId="3C434395" w14:textId="576EC7D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 b</w:t>
            </w:r>
          </w:p>
        </w:tc>
        <w:tc>
          <w:tcPr>
            <w:tcW w:w="0" w:type="auto"/>
            <w:tcBorders>
              <w:top w:val="single" w:sz="12" w:space="0" w:color="auto"/>
              <w:bottom w:val="nil"/>
            </w:tcBorders>
            <w:noWrap/>
            <w:hideMark/>
          </w:tcPr>
          <w:p w14:paraId="7B84874A" w14:textId="4FF5530E"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4,033c</w:t>
            </w:r>
          </w:p>
        </w:tc>
        <w:tc>
          <w:tcPr>
            <w:tcW w:w="0" w:type="auto"/>
            <w:tcBorders>
              <w:top w:val="single" w:sz="12" w:space="0" w:color="auto"/>
              <w:bottom w:val="nil"/>
            </w:tcBorders>
            <w:noWrap/>
            <w:hideMark/>
          </w:tcPr>
          <w:p w14:paraId="26470BC2" w14:textId="118012A9"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c</w:t>
            </w:r>
          </w:p>
        </w:tc>
        <w:tc>
          <w:tcPr>
            <w:tcW w:w="0" w:type="auto"/>
            <w:tcBorders>
              <w:top w:val="single" w:sz="12" w:space="0" w:color="auto"/>
              <w:bottom w:val="nil"/>
            </w:tcBorders>
            <w:noWrap/>
            <w:hideMark/>
          </w:tcPr>
          <w:p w14:paraId="0E9ADE48" w14:textId="7958975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d</w:t>
            </w:r>
          </w:p>
        </w:tc>
        <w:tc>
          <w:tcPr>
            <w:tcW w:w="0" w:type="auto"/>
            <w:tcBorders>
              <w:top w:val="single" w:sz="12" w:space="0" w:color="auto"/>
              <w:bottom w:val="nil"/>
            </w:tcBorders>
            <w:noWrap/>
            <w:hideMark/>
          </w:tcPr>
          <w:p w14:paraId="664E2A99" w14:textId="7C5B818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3,00b</w:t>
            </w:r>
          </w:p>
        </w:tc>
        <w:tc>
          <w:tcPr>
            <w:tcW w:w="0" w:type="auto"/>
            <w:tcBorders>
              <w:top w:val="single" w:sz="12" w:space="0" w:color="auto"/>
              <w:bottom w:val="nil"/>
            </w:tcBorders>
            <w:noWrap/>
            <w:hideMark/>
          </w:tcPr>
          <w:p w14:paraId="5FC5237F" w14:textId="5D86396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 b</w:t>
            </w:r>
          </w:p>
        </w:tc>
        <w:tc>
          <w:tcPr>
            <w:tcW w:w="0" w:type="auto"/>
            <w:tcBorders>
              <w:top w:val="single" w:sz="12" w:space="0" w:color="auto"/>
              <w:bottom w:val="nil"/>
            </w:tcBorders>
            <w:noWrap/>
            <w:hideMark/>
          </w:tcPr>
          <w:p w14:paraId="28EF98E7" w14:textId="0154A7A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c</w:t>
            </w:r>
          </w:p>
        </w:tc>
        <w:tc>
          <w:tcPr>
            <w:tcW w:w="0" w:type="auto"/>
            <w:tcBorders>
              <w:top w:val="single" w:sz="12" w:space="0" w:color="auto"/>
              <w:bottom w:val="nil"/>
            </w:tcBorders>
            <w:noWrap/>
            <w:hideMark/>
          </w:tcPr>
          <w:p w14:paraId="0AC9A0A0" w14:textId="27B0112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c</w:t>
            </w:r>
          </w:p>
        </w:tc>
      </w:tr>
      <w:tr w:rsidR="00183529" w:rsidRPr="00AB20BB" w14:paraId="13306F0A"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203848"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HE of </w:t>
            </w:r>
            <w:proofErr w:type="spellStart"/>
            <w:proofErr w:type="gramStart"/>
            <w:r w:rsidRPr="00AB20BB">
              <w:rPr>
                <w:rFonts w:ascii="Arial" w:eastAsia="Times New Roman" w:hAnsi="Arial" w:cs="Arial"/>
                <w:b w:val="0"/>
                <w:bCs w:val="0"/>
                <w:iCs/>
                <w:sz w:val="20"/>
                <w:szCs w:val="20"/>
                <w:lang w:val="en-US"/>
              </w:rPr>
              <w:t>L.multiflora</w:t>
            </w:r>
            <w:proofErr w:type="spellEnd"/>
            <w:proofErr w:type="gramEnd"/>
          </w:p>
        </w:tc>
        <w:tc>
          <w:tcPr>
            <w:tcW w:w="0" w:type="auto"/>
            <w:tcBorders>
              <w:top w:val="nil"/>
              <w:bottom w:val="nil"/>
            </w:tcBorders>
            <w:noWrap/>
            <w:hideMark/>
          </w:tcPr>
          <w:p w14:paraId="781BF181" w14:textId="288EBF17"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2,06 c</w:t>
            </w:r>
          </w:p>
        </w:tc>
        <w:tc>
          <w:tcPr>
            <w:tcW w:w="0" w:type="auto"/>
            <w:tcBorders>
              <w:top w:val="nil"/>
              <w:bottom w:val="nil"/>
            </w:tcBorders>
            <w:noWrap/>
            <w:hideMark/>
          </w:tcPr>
          <w:p w14:paraId="630CC96A" w14:textId="0745A3FF"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3,36 c</w:t>
            </w:r>
          </w:p>
        </w:tc>
        <w:tc>
          <w:tcPr>
            <w:tcW w:w="0" w:type="auto"/>
            <w:tcBorders>
              <w:top w:val="nil"/>
              <w:bottom w:val="nil"/>
            </w:tcBorders>
            <w:noWrap/>
            <w:hideMark/>
          </w:tcPr>
          <w:p w14:paraId="7C97C28B" w14:textId="15B1262C"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4,33 c</w:t>
            </w:r>
          </w:p>
        </w:tc>
        <w:tc>
          <w:tcPr>
            <w:tcW w:w="0" w:type="auto"/>
            <w:tcBorders>
              <w:top w:val="nil"/>
              <w:bottom w:val="nil"/>
            </w:tcBorders>
            <w:noWrap/>
            <w:hideMark/>
          </w:tcPr>
          <w:p w14:paraId="650F42EF" w14:textId="48122E7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6,50 d</w:t>
            </w:r>
          </w:p>
        </w:tc>
        <w:tc>
          <w:tcPr>
            <w:tcW w:w="0" w:type="auto"/>
            <w:tcBorders>
              <w:top w:val="nil"/>
              <w:bottom w:val="nil"/>
            </w:tcBorders>
            <w:noWrap/>
            <w:hideMark/>
          </w:tcPr>
          <w:p w14:paraId="1587AF28" w14:textId="7C8DE142"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1574D54" w14:textId="6A07AEE3"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1,11 b</w:t>
            </w:r>
          </w:p>
        </w:tc>
        <w:tc>
          <w:tcPr>
            <w:tcW w:w="0" w:type="auto"/>
            <w:tcBorders>
              <w:top w:val="nil"/>
              <w:bottom w:val="nil"/>
            </w:tcBorders>
            <w:noWrap/>
            <w:hideMark/>
          </w:tcPr>
          <w:p w14:paraId="5D3E410B" w14:textId="43CD3BDE"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1,73 b</w:t>
            </w:r>
          </w:p>
        </w:tc>
        <w:tc>
          <w:tcPr>
            <w:tcW w:w="0" w:type="auto"/>
            <w:tcBorders>
              <w:top w:val="nil"/>
              <w:bottom w:val="nil"/>
            </w:tcBorders>
            <w:noWrap/>
            <w:hideMark/>
          </w:tcPr>
          <w:p w14:paraId="38521F4F" w14:textId="337E81B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3,25 c</w:t>
            </w:r>
          </w:p>
        </w:tc>
        <w:tc>
          <w:tcPr>
            <w:tcW w:w="0" w:type="auto"/>
            <w:tcBorders>
              <w:top w:val="nil"/>
              <w:bottom w:val="nil"/>
            </w:tcBorders>
            <w:noWrap/>
            <w:hideMark/>
          </w:tcPr>
          <w:p w14:paraId="4187EB26" w14:textId="12BAFC30"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0,00a</w:t>
            </w:r>
          </w:p>
        </w:tc>
        <w:tc>
          <w:tcPr>
            <w:tcW w:w="0" w:type="auto"/>
            <w:tcBorders>
              <w:top w:val="nil"/>
              <w:bottom w:val="nil"/>
            </w:tcBorders>
            <w:noWrap/>
            <w:hideMark/>
          </w:tcPr>
          <w:p w14:paraId="1654D54B" w14:textId="2A697735"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4F875278" w14:textId="2B0F07D1"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573B697" w14:textId="7AABB56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AB20BB" w14:paraId="2EB88F90"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4207E3E"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HE of O. </w:t>
            </w:r>
            <w:proofErr w:type="spellStart"/>
            <w:r w:rsidRPr="00AB20BB">
              <w:rPr>
                <w:rFonts w:ascii="Arial" w:eastAsia="Times New Roman" w:hAnsi="Arial" w:cs="Arial"/>
                <w:b w:val="0"/>
                <w:bCs w:val="0"/>
                <w:iCs/>
                <w:sz w:val="20"/>
                <w:szCs w:val="20"/>
                <w:lang w:val="en-US"/>
              </w:rPr>
              <w:t>gratissimum</w:t>
            </w:r>
            <w:proofErr w:type="spellEnd"/>
          </w:p>
        </w:tc>
        <w:tc>
          <w:tcPr>
            <w:tcW w:w="0" w:type="auto"/>
            <w:tcBorders>
              <w:top w:val="nil"/>
              <w:bottom w:val="nil"/>
            </w:tcBorders>
            <w:noWrap/>
            <w:hideMark/>
          </w:tcPr>
          <w:p w14:paraId="2D97DF6D" w14:textId="285B913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0,86 b</w:t>
            </w:r>
          </w:p>
        </w:tc>
        <w:tc>
          <w:tcPr>
            <w:tcW w:w="0" w:type="auto"/>
            <w:tcBorders>
              <w:top w:val="nil"/>
              <w:bottom w:val="nil"/>
            </w:tcBorders>
            <w:noWrap/>
            <w:hideMark/>
          </w:tcPr>
          <w:p w14:paraId="36631657" w14:textId="7A7F49C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1,60b</w:t>
            </w:r>
          </w:p>
        </w:tc>
        <w:tc>
          <w:tcPr>
            <w:tcW w:w="0" w:type="auto"/>
            <w:tcBorders>
              <w:top w:val="nil"/>
              <w:bottom w:val="nil"/>
            </w:tcBorders>
            <w:noWrap/>
            <w:hideMark/>
          </w:tcPr>
          <w:p w14:paraId="125CD4DC" w14:textId="003E3C13"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2,36 b</w:t>
            </w:r>
          </w:p>
        </w:tc>
        <w:tc>
          <w:tcPr>
            <w:tcW w:w="0" w:type="auto"/>
            <w:tcBorders>
              <w:top w:val="nil"/>
              <w:bottom w:val="nil"/>
            </w:tcBorders>
            <w:noWrap/>
            <w:hideMark/>
          </w:tcPr>
          <w:p w14:paraId="0E5EB9D1" w14:textId="6E93643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3,20 c</w:t>
            </w:r>
          </w:p>
        </w:tc>
        <w:tc>
          <w:tcPr>
            <w:tcW w:w="0" w:type="auto"/>
            <w:tcBorders>
              <w:top w:val="nil"/>
              <w:bottom w:val="nil"/>
            </w:tcBorders>
            <w:noWrap/>
            <w:hideMark/>
          </w:tcPr>
          <w:p w14:paraId="630B3BC0" w14:textId="27787E7B"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410010C3" w14:textId="5498F72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A8FE4C7" w14:textId="0B4E24B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D487B43" w14:textId="4FE2D43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20AD926F" w14:textId="4BF374F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DD75EAD" w14:textId="55DA98F8"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0A57EF17" w14:textId="3E2B444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6A7BE978" w14:textId="1CE6232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AB20BB" w14:paraId="6D8B83A8"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968618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Copper hydroxide</w:t>
            </w:r>
          </w:p>
        </w:tc>
        <w:tc>
          <w:tcPr>
            <w:tcW w:w="0" w:type="auto"/>
            <w:tcBorders>
              <w:top w:val="nil"/>
              <w:bottom w:val="nil"/>
            </w:tcBorders>
            <w:noWrap/>
            <w:hideMark/>
          </w:tcPr>
          <w:p w14:paraId="34724632" w14:textId="43DEF864"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EFBB107" w14:textId="5BEBE5C6"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0,36 a</w:t>
            </w:r>
          </w:p>
        </w:tc>
        <w:tc>
          <w:tcPr>
            <w:tcW w:w="0" w:type="auto"/>
            <w:tcBorders>
              <w:top w:val="nil"/>
              <w:bottom w:val="nil"/>
            </w:tcBorders>
            <w:noWrap/>
            <w:hideMark/>
          </w:tcPr>
          <w:p w14:paraId="38C30A3F" w14:textId="03DAC7C8"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0,56 a</w:t>
            </w:r>
          </w:p>
        </w:tc>
        <w:tc>
          <w:tcPr>
            <w:tcW w:w="0" w:type="auto"/>
            <w:tcBorders>
              <w:top w:val="nil"/>
              <w:bottom w:val="nil"/>
            </w:tcBorders>
            <w:noWrap/>
            <w:hideMark/>
          </w:tcPr>
          <w:p w14:paraId="2D6CEF46" w14:textId="53E863B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1,05b</w:t>
            </w:r>
          </w:p>
        </w:tc>
        <w:tc>
          <w:tcPr>
            <w:tcW w:w="0" w:type="auto"/>
            <w:tcBorders>
              <w:top w:val="nil"/>
              <w:bottom w:val="nil"/>
            </w:tcBorders>
            <w:noWrap/>
            <w:hideMark/>
          </w:tcPr>
          <w:p w14:paraId="472428D8" w14:textId="1546D37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513FCD32" w14:textId="592BC14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0,48 a</w:t>
            </w:r>
          </w:p>
        </w:tc>
        <w:tc>
          <w:tcPr>
            <w:tcW w:w="0" w:type="auto"/>
            <w:tcBorders>
              <w:top w:val="nil"/>
              <w:bottom w:val="nil"/>
            </w:tcBorders>
            <w:noWrap/>
            <w:hideMark/>
          </w:tcPr>
          <w:p w14:paraId="17AFD221" w14:textId="7EA32924"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0,58 a</w:t>
            </w:r>
          </w:p>
        </w:tc>
        <w:tc>
          <w:tcPr>
            <w:tcW w:w="0" w:type="auto"/>
            <w:tcBorders>
              <w:top w:val="nil"/>
              <w:bottom w:val="nil"/>
            </w:tcBorders>
            <w:noWrap/>
            <w:hideMark/>
          </w:tcPr>
          <w:p w14:paraId="4F1D0318" w14:textId="546E548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1,25 b</w:t>
            </w:r>
          </w:p>
        </w:tc>
        <w:tc>
          <w:tcPr>
            <w:tcW w:w="0" w:type="auto"/>
            <w:tcBorders>
              <w:top w:val="nil"/>
              <w:bottom w:val="nil"/>
            </w:tcBorders>
            <w:noWrap/>
            <w:hideMark/>
          </w:tcPr>
          <w:p w14:paraId="270C9805" w14:textId="27AE4C1D"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2930CBAA" w14:textId="64AAB26D"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0,53 a</w:t>
            </w:r>
          </w:p>
        </w:tc>
        <w:tc>
          <w:tcPr>
            <w:tcW w:w="0" w:type="auto"/>
            <w:tcBorders>
              <w:top w:val="nil"/>
              <w:bottom w:val="nil"/>
            </w:tcBorders>
            <w:noWrap/>
            <w:hideMark/>
          </w:tcPr>
          <w:p w14:paraId="5001F60C" w14:textId="038BDAC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0,80 b</w:t>
            </w:r>
          </w:p>
        </w:tc>
        <w:tc>
          <w:tcPr>
            <w:tcW w:w="0" w:type="auto"/>
            <w:tcBorders>
              <w:top w:val="nil"/>
              <w:bottom w:val="nil"/>
            </w:tcBorders>
            <w:noWrap/>
            <w:hideMark/>
          </w:tcPr>
          <w:p w14:paraId="76491A86" w14:textId="27552D09"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1,18 b</w:t>
            </w:r>
          </w:p>
        </w:tc>
      </w:tr>
      <w:tr w:rsidR="00183529" w:rsidRPr="00AB20BB" w14:paraId="65B8B21E"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noWrap/>
            <w:hideMark/>
          </w:tcPr>
          <w:p w14:paraId="1C46C35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Mancozeb</w:t>
            </w:r>
          </w:p>
          <w:p w14:paraId="61C08518" w14:textId="77777777" w:rsidR="00AB20BB" w:rsidRPr="00AB20BB" w:rsidRDefault="00AB20BB" w:rsidP="00A76C67">
            <w:pPr>
              <w:spacing w:line="276" w:lineRule="auto"/>
              <w:rPr>
                <w:rFonts w:ascii="Arial" w:eastAsia="Times New Roman" w:hAnsi="Arial" w:cs="Arial"/>
                <w:b w:val="0"/>
                <w:bCs w:val="0"/>
                <w:iCs/>
                <w:sz w:val="20"/>
                <w:szCs w:val="20"/>
                <w:lang w:val="en-US"/>
              </w:rPr>
            </w:pPr>
          </w:p>
        </w:tc>
        <w:tc>
          <w:tcPr>
            <w:tcW w:w="0" w:type="auto"/>
            <w:tcBorders>
              <w:top w:val="nil"/>
              <w:bottom w:val="single" w:sz="12" w:space="0" w:color="auto"/>
            </w:tcBorders>
            <w:noWrap/>
            <w:hideMark/>
          </w:tcPr>
          <w:p w14:paraId="31BED52B" w14:textId="09AD67D9"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0104983C" w14:textId="5C759E7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850DF75" w14:textId="274C07C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4199650B" w14:textId="2AD3360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34C63EA9" w14:textId="03CBC6F8"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345EAB84" w14:textId="3B9CBC3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EE6C3CA" w14:textId="06ED2C3A"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65F1F83E" w14:textId="53C660EB"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0ECD56E4" w14:textId="7C810BE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768B1FAC" w14:textId="7DB1C83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524B0830" w14:textId="285C0F8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385F946" w14:textId="6ECB69A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C271F3" w14:paraId="46C09425"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noWrap/>
          </w:tcPr>
          <w:p w14:paraId="799611DF" w14:textId="79A7B9AC" w:rsidR="00AB20BB" w:rsidRPr="00D2185F" w:rsidRDefault="00AB20BB" w:rsidP="00A76C67">
            <w:pPr>
              <w:spacing w:line="276" w:lineRule="auto"/>
              <w:rPr>
                <w:rFonts w:ascii="Arial" w:eastAsia="Times New Roman" w:hAnsi="Arial" w:cs="Arial"/>
                <w:b w:val="0"/>
                <w:bCs w:val="0"/>
                <w:iCs/>
                <w:sz w:val="14"/>
                <w:szCs w:val="14"/>
                <w:lang w:val="en-US"/>
              </w:rPr>
            </w:pPr>
            <w:proofErr w:type="spellStart"/>
            <w:r w:rsidRPr="00D2185F">
              <w:rPr>
                <w:rFonts w:ascii="Arial" w:eastAsia="Times New Roman" w:hAnsi="Arial" w:cs="Arial"/>
                <w:b w:val="0"/>
                <w:bCs w:val="0"/>
                <w:iCs/>
                <w:sz w:val="14"/>
                <w:szCs w:val="14"/>
                <w:lang w:val="en-US"/>
              </w:rPr>
              <w:t>Pr</w:t>
            </w:r>
            <w:proofErr w:type="spellEnd"/>
            <w:r w:rsidRPr="00D2185F">
              <w:rPr>
                <w:rFonts w:ascii="Arial" w:eastAsia="Times New Roman" w:hAnsi="Arial" w:cs="Arial"/>
                <w:b w:val="0"/>
                <w:bCs w:val="0"/>
                <w:iCs/>
                <w:sz w:val="14"/>
                <w:szCs w:val="14"/>
                <w:lang w:val="en-US"/>
              </w:rPr>
              <w:t xml:space="preserve"> &gt; F</w:t>
            </w:r>
          </w:p>
        </w:tc>
        <w:tc>
          <w:tcPr>
            <w:tcW w:w="0" w:type="auto"/>
            <w:tcBorders>
              <w:top w:val="single" w:sz="12" w:space="0" w:color="auto"/>
              <w:bottom w:val="nil"/>
            </w:tcBorders>
            <w:noWrap/>
          </w:tcPr>
          <w:p w14:paraId="0D388436" w14:textId="52046DC2"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4C34CA2F" w14:textId="0EF3938E"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203D3A41" w14:textId="31706D8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67F08689" w14:textId="41269DB3"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11661515" w14:textId="017CA4B6"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14437BE8" w14:textId="25C794F0"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7BF52C60" w14:textId="74A9853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07B44874" w14:textId="26688602"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2A4C3B12" w14:textId="12E9AFB4"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4982EC78" w14:textId="2A064FFA"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3EB683A5" w14:textId="4F36FD84"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7AE538CA" w14:textId="0BA886AD"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r>
      <w:tr w:rsidR="00183529" w:rsidRPr="00C271F3" w14:paraId="5090584E" w14:textId="77777777" w:rsidTr="00183529">
        <w:trPr>
          <w:trHeight w:val="19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noWrap/>
          </w:tcPr>
          <w:p w14:paraId="65002588" w14:textId="77777777" w:rsidR="009C370A" w:rsidRPr="00D2185F" w:rsidRDefault="009C370A" w:rsidP="009C370A">
            <w:pPr>
              <w:spacing w:line="276" w:lineRule="auto"/>
              <w:rPr>
                <w:rFonts w:ascii="Arial" w:eastAsia="Times New Roman" w:hAnsi="Arial" w:cs="Arial"/>
                <w:b w:val="0"/>
                <w:bCs w:val="0"/>
                <w:iCs/>
                <w:sz w:val="14"/>
                <w:szCs w:val="14"/>
                <w:lang w:val="en-US"/>
              </w:rPr>
            </w:pPr>
            <w:r w:rsidRPr="00D2185F">
              <w:rPr>
                <w:rFonts w:ascii="Arial" w:eastAsia="Times New Roman" w:hAnsi="Arial" w:cs="Arial"/>
                <w:b w:val="0"/>
                <w:bCs w:val="0"/>
                <w:iCs/>
                <w:sz w:val="14"/>
                <w:szCs w:val="14"/>
                <w:lang w:val="en-US"/>
              </w:rPr>
              <w:t>Significance</w:t>
            </w:r>
          </w:p>
        </w:tc>
        <w:tc>
          <w:tcPr>
            <w:tcW w:w="0" w:type="auto"/>
            <w:tcBorders>
              <w:top w:val="nil"/>
              <w:bottom w:val="single" w:sz="12" w:space="0" w:color="auto"/>
            </w:tcBorders>
            <w:noWrap/>
          </w:tcPr>
          <w:p w14:paraId="51ACC74B" w14:textId="173016EC"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C666FDF" w14:textId="40E7700F"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0DE9FDF" w14:textId="1220DD01"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7A7EA2D" w14:textId="3A631400"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2FCFBB15" w14:textId="3FF01A8A"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4F48DC56" w14:textId="49DEFCA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939A290" w14:textId="1F52CAAA"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731E478D" w14:textId="113A71A9"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BABD2DF" w14:textId="1854A22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9C5AF85" w14:textId="0CD79964"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FEB5A8E" w14:textId="7B7E585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2FDE03D" w14:textId="1A29D606"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r>
    </w:tbl>
    <w:p w14:paraId="0EB0AC1D" w14:textId="52579181" w:rsidR="00AB20BB" w:rsidRDefault="00AB20BB" w:rsidP="005A59E1">
      <w:pPr>
        <w:spacing w:line="276" w:lineRule="auto"/>
        <w:rPr>
          <w:rFonts w:ascii="Arial" w:hAnsi="Arial" w:cs="Arial"/>
          <w:iCs/>
        </w:rPr>
      </w:pPr>
      <w:r w:rsidRPr="00D2185F">
        <w:rPr>
          <w:rFonts w:ascii="Arial" w:hAnsi="Arial" w:cs="Arial"/>
          <w:b/>
          <w:bCs/>
          <w:iCs/>
        </w:rPr>
        <w:lastRenderedPageBreak/>
        <w:t>Legend</w:t>
      </w:r>
      <w:r w:rsidRPr="00AB20BB">
        <w:rPr>
          <w:rFonts w:ascii="Arial" w:hAnsi="Arial" w:cs="Arial"/>
          <w:iCs/>
        </w:rPr>
        <w:t>. DAS: Day after sowing; Control: Untreated control; NB: In the same column, means assigned the same letter are not significantly different at the 5% level (Newman-Keuls test</w:t>
      </w:r>
      <w:proofErr w:type="gramStart"/>
      <w:r w:rsidRPr="00AB20BB">
        <w:rPr>
          <w:rFonts w:ascii="Arial" w:hAnsi="Arial" w:cs="Arial"/>
          <w:iCs/>
        </w:rPr>
        <w:t>)</w:t>
      </w:r>
      <w:r w:rsidR="005A59E1">
        <w:rPr>
          <w:rFonts w:ascii="Arial" w:hAnsi="Arial" w:cs="Arial"/>
          <w:iCs/>
        </w:rPr>
        <w:t xml:space="preserve"> </w:t>
      </w:r>
      <w:r w:rsidR="00D2185F">
        <w:rPr>
          <w:rFonts w:ascii="Arial" w:hAnsi="Arial" w:cs="Arial"/>
          <w:i/>
          <w:iCs/>
        </w:rPr>
        <w:t>,</w:t>
      </w:r>
      <w:r w:rsidR="005A59E1" w:rsidRPr="005A59E1">
        <w:rPr>
          <w:rFonts w:ascii="Arial" w:hAnsi="Arial" w:cs="Arial"/>
          <w:i/>
          <w:iCs/>
        </w:rPr>
        <w:t>P</w:t>
      </w:r>
      <w:proofErr w:type="gramEnd"/>
      <w:r w:rsidR="005A59E1" w:rsidRPr="005A59E1">
        <w:rPr>
          <w:rFonts w:ascii="Arial" w:hAnsi="Arial" w:cs="Arial"/>
          <w:i/>
          <w:iCs/>
        </w:rPr>
        <w:t xml:space="preserve"> &lt; 0.001 (highly significant</w:t>
      </w:r>
      <w:r w:rsidR="005A59E1" w:rsidRPr="005A59E1">
        <w:rPr>
          <w:rFonts w:ascii="Arial" w:hAnsi="Arial" w:cs="Arial"/>
          <w:b/>
          <w:bCs/>
          <w:i/>
          <w:iCs/>
        </w:rPr>
        <w:t>)</w:t>
      </w:r>
      <w:r w:rsidR="00D2185F">
        <w:rPr>
          <w:rFonts w:ascii="Arial" w:hAnsi="Arial" w:cs="Arial"/>
          <w:b/>
          <w:bCs/>
          <w:i/>
          <w:iCs/>
        </w:rPr>
        <w:t>.</w:t>
      </w:r>
      <w:r w:rsidR="005A59E1" w:rsidRPr="005A59E1">
        <w:rPr>
          <w:rFonts w:ascii="Arial" w:hAnsi="Arial" w:cs="Arial"/>
          <w:b/>
          <w:bCs/>
          <w:i/>
          <w:iCs/>
        </w:rPr>
        <w:t xml:space="preserve"> </w:t>
      </w:r>
    </w:p>
    <w:p w14:paraId="4720A593" w14:textId="77777777" w:rsidR="00AB20BB" w:rsidRDefault="00AB20BB" w:rsidP="00AB20BB">
      <w:pPr>
        <w:rPr>
          <w:rFonts w:ascii="Arial" w:hAnsi="Arial" w:cs="Arial"/>
          <w:iCs/>
        </w:rPr>
      </w:pPr>
    </w:p>
    <w:p w14:paraId="35C871DA" w14:textId="77777777" w:rsidR="00AB20BB" w:rsidRPr="00AB20BB" w:rsidRDefault="00AB20BB" w:rsidP="00AB20BB">
      <w:pPr>
        <w:spacing w:line="276" w:lineRule="auto"/>
        <w:rPr>
          <w:rFonts w:ascii="Arial" w:hAnsi="Arial" w:cs="Arial"/>
          <w:iCs/>
        </w:rPr>
      </w:pPr>
      <w:bookmarkStart w:id="4" w:name="_Hlk217486411"/>
      <w:bookmarkStart w:id="5" w:name="_Hlk217434769"/>
      <w:r w:rsidRPr="00AB20BB">
        <w:rPr>
          <w:rFonts w:ascii="Arial" w:hAnsi="Arial" w:cs="Arial"/>
          <w:iCs/>
          <w:noProof/>
          <w:lang w:val="fr-FR" w:eastAsia="fr-FR"/>
        </w:rPr>
        <w:drawing>
          <wp:inline distT="0" distB="0" distL="0" distR="0" wp14:anchorId="45B8507C" wp14:editId="4AF47FC9">
            <wp:extent cx="5669280" cy="3428365"/>
            <wp:effectExtent l="0" t="0" r="7620" b="635"/>
            <wp:docPr id="477822777" name="Graphique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C48CDD" w14:textId="0492A1B6" w:rsidR="00AB20BB" w:rsidRPr="00AB20BB" w:rsidRDefault="006D15FD" w:rsidP="00AB20BB">
      <w:pPr>
        <w:spacing w:line="276" w:lineRule="auto"/>
        <w:rPr>
          <w:rFonts w:ascii="Arial" w:hAnsi="Arial" w:cs="Arial"/>
          <w:iCs/>
        </w:rPr>
      </w:pPr>
      <w:r>
        <w:rPr>
          <w:rFonts w:ascii="Arial" w:hAnsi="Arial" w:cs="Arial"/>
          <w:b/>
          <w:bCs/>
          <w:iCs/>
        </w:rPr>
        <w:t>Fig</w:t>
      </w:r>
      <w:r w:rsidR="00AB20BB" w:rsidRPr="00B459F4">
        <w:rPr>
          <w:rFonts w:ascii="Arial" w:hAnsi="Arial" w:cs="Arial"/>
          <w:b/>
          <w:bCs/>
          <w:iCs/>
        </w:rPr>
        <w:t xml:space="preserve">. </w:t>
      </w:r>
      <w:r>
        <w:rPr>
          <w:rFonts w:ascii="Arial" w:hAnsi="Arial" w:cs="Arial"/>
          <w:b/>
          <w:bCs/>
          <w:iCs/>
        </w:rPr>
        <w:t>3</w:t>
      </w:r>
      <w:r w:rsidR="00AB20BB" w:rsidRPr="00AB20BB">
        <w:rPr>
          <w:rFonts w:ascii="Arial" w:hAnsi="Arial" w:cs="Arial"/>
          <w:iCs/>
        </w:rPr>
        <w:t xml:space="preserve">: Radial mycelial growth inhibition rate of </w:t>
      </w:r>
      <w:proofErr w:type="spellStart"/>
      <w:r w:rsidR="00AB20BB" w:rsidRPr="00AB20BB">
        <w:rPr>
          <w:rFonts w:ascii="Arial" w:hAnsi="Arial" w:cs="Arial"/>
          <w:iCs/>
        </w:rPr>
        <w:t>Mycosphaerella</w:t>
      </w:r>
      <w:proofErr w:type="spellEnd"/>
      <w:r w:rsidR="00AB20BB" w:rsidRPr="00AB20BB">
        <w:rPr>
          <w:rFonts w:ascii="Arial" w:hAnsi="Arial" w:cs="Arial"/>
          <w:iCs/>
        </w:rPr>
        <w:t xml:space="preserve"> </w:t>
      </w:r>
      <w:proofErr w:type="spellStart"/>
      <w:r w:rsidR="00AB20BB" w:rsidRPr="00AB20BB">
        <w:rPr>
          <w:rFonts w:ascii="Arial" w:hAnsi="Arial" w:cs="Arial"/>
          <w:iCs/>
        </w:rPr>
        <w:t>fijiensis</w:t>
      </w:r>
      <w:proofErr w:type="spellEnd"/>
      <w:r w:rsidR="00AB20BB" w:rsidRPr="00AB20BB">
        <w:rPr>
          <w:rFonts w:ascii="Arial" w:hAnsi="Arial" w:cs="Arial"/>
          <w:iCs/>
        </w:rPr>
        <w:t xml:space="preserve"> depending on products and doses</w:t>
      </w:r>
    </w:p>
    <w:p w14:paraId="43379C39" w14:textId="345680D3" w:rsidR="006D15FD" w:rsidRDefault="00AB20BB" w:rsidP="00AB20BB">
      <w:pPr>
        <w:spacing w:line="276" w:lineRule="auto"/>
        <w:rPr>
          <w:rFonts w:ascii="Arial" w:hAnsi="Arial" w:cs="Arial"/>
          <w:iCs/>
        </w:rPr>
      </w:pPr>
      <w:bookmarkStart w:id="6" w:name="_Hlk217486428"/>
      <w:bookmarkEnd w:id="4"/>
      <w:r w:rsidRPr="00D2185F">
        <w:rPr>
          <w:rFonts w:ascii="Arial" w:hAnsi="Arial" w:cs="Arial"/>
          <w:b/>
          <w:bCs/>
          <w:iCs/>
        </w:rPr>
        <w:t>Legend</w:t>
      </w:r>
      <w:r w:rsidRPr="00AB20BB">
        <w:rPr>
          <w:rFonts w:ascii="Arial" w:hAnsi="Arial" w:cs="Arial"/>
          <w:iCs/>
        </w:rPr>
        <w:t xml:space="preserve">. PIG: Overall inhibition percentage; </w:t>
      </w:r>
      <w:r w:rsidR="00770A6A">
        <w:rPr>
          <w:rFonts w:ascii="Arial" w:hAnsi="Arial" w:cs="Arial"/>
          <w:iCs/>
        </w:rPr>
        <w:t>***P</w:t>
      </w:r>
      <w:r w:rsidRPr="00AB20BB">
        <w:rPr>
          <w:rFonts w:ascii="Arial" w:hAnsi="Arial" w:cs="Arial"/>
          <w:iCs/>
        </w:rPr>
        <w:t xml:space="preserve"> significant (P&lt;0.001)</w:t>
      </w:r>
    </w:p>
    <w:p w14:paraId="080ED09F" w14:textId="77777777" w:rsidR="00BA6EF2" w:rsidRDefault="00BA6EF2" w:rsidP="00AB20BB">
      <w:pPr>
        <w:spacing w:line="276" w:lineRule="auto"/>
        <w:rPr>
          <w:rFonts w:ascii="Arial" w:hAnsi="Arial" w:cs="Arial"/>
          <w:iCs/>
        </w:rPr>
      </w:pPr>
    </w:p>
    <w:p w14:paraId="1E9C4B0B" w14:textId="77777777" w:rsidR="006D15FD" w:rsidRPr="003263A3" w:rsidRDefault="006D15FD" w:rsidP="006D15FD">
      <w:pPr>
        <w:spacing w:line="276" w:lineRule="auto"/>
        <w:rPr>
          <w:rFonts w:ascii="Arial" w:hAnsi="Arial" w:cs="Arial"/>
          <w:b/>
          <w:bCs/>
          <w:iCs/>
        </w:rPr>
      </w:pPr>
      <w:r>
        <w:rPr>
          <w:rFonts w:ascii="Arial" w:hAnsi="Arial" w:cs="Arial"/>
          <w:b/>
          <w:bCs/>
          <w:iCs/>
        </w:rPr>
        <w:t xml:space="preserve">3.1.2. </w:t>
      </w:r>
      <w:r w:rsidRPr="003263A3">
        <w:rPr>
          <w:rFonts w:ascii="Arial" w:hAnsi="Arial" w:cs="Arial"/>
          <w:b/>
          <w:bCs/>
          <w:iCs/>
        </w:rPr>
        <w:t xml:space="preserve">In vitro effects of treatments on the sporulation of </w:t>
      </w:r>
      <w:proofErr w:type="spellStart"/>
      <w:r w:rsidRPr="003263A3">
        <w:rPr>
          <w:rFonts w:ascii="Arial" w:hAnsi="Arial" w:cs="Arial"/>
          <w:b/>
          <w:bCs/>
          <w:i/>
        </w:rPr>
        <w:t>Mycosphaerella</w:t>
      </w:r>
      <w:proofErr w:type="spellEnd"/>
      <w:r w:rsidRPr="003263A3">
        <w:rPr>
          <w:rFonts w:ascii="Arial" w:hAnsi="Arial" w:cs="Arial"/>
          <w:b/>
          <w:bCs/>
          <w:i/>
        </w:rPr>
        <w:t xml:space="preserve"> </w:t>
      </w:r>
      <w:proofErr w:type="spellStart"/>
      <w:r w:rsidRPr="003263A3">
        <w:rPr>
          <w:rFonts w:ascii="Arial" w:hAnsi="Arial" w:cs="Arial"/>
          <w:b/>
          <w:bCs/>
          <w:i/>
        </w:rPr>
        <w:t>fijiensis</w:t>
      </w:r>
      <w:proofErr w:type="spellEnd"/>
    </w:p>
    <w:p w14:paraId="6CF794F3" w14:textId="6408B877" w:rsidR="006D15FD" w:rsidRPr="00DB2049" w:rsidRDefault="006D15FD" w:rsidP="006D15FD">
      <w:pPr>
        <w:spacing w:line="276" w:lineRule="auto"/>
        <w:jc w:val="both"/>
        <w:rPr>
          <w:rFonts w:ascii="Arial" w:hAnsi="Arial" w:cs="DokChampa"/>
          <w:iCs/>
          <w:cs/>
          <w:lang w:bidi="lo-LA"/>
        </w:rPr>
      </w:pPr>
      <w:r w:rsidRPr="003263A3">
        <w:rPr>
          <w:rFonts w:ascii="Arial" w:hAnsi="Arial" w:cs="Arial"/>
          <w:iCs/>
        </w:rPr>
        <w:t xml:space="preserve">The analysis of the results related to sporulation highlights highly significant effects (P&lt;0.0001) of all the factors studied, namely the fungicides/HE and their doses. Sporulation varied with dose and product. The sporulation of </w:t>
      </w:r>
      <w:proofErr w:type="spellStart"/>
      <w:r w:rsidRPr="003263A3">
        <w:rPr>
          <w:rFonts w:ascii="Arial" w:hAnsi="Arial" w:cs="Arial"/>
          <w:i/>
        </w:rPr>
        <w:t>Mycosphaerella</w:t>
      </w:r>
      <w:proofErr w:type="spellEnd"/>
      <w:r w:rsidRPr="003263A3">
        <w:rPr>
          <w:rFonts w:ascii="Arial" w:hAnsi="Arial" w:cs="Arial"/>
          <w:i/>
        </w:rPr>
        <w:t xml:space="preserve"> </w:t>
      </w:r>
      <w:proofErr w:type="spellStart"/>
      <w:r w:rsidRPr="003263A3">
        <w:rPr>
          <w:rFonts w:ascii="Arial" w:hAnsi="Arial" w:cs="Arial"/>
          <w:i/>
        </w:rPr>
        <w:t>fijiensis</w:t>
      </w:r>
      <w:proofErr w:type="spellEnd"/>
      <w:r w:rsidRPr="003263A3">
        <w:rPr>
          <w:rFonts w:ascii="Arial" w:hAnsi="Arial" w:cs="Arial"/>
          <w:iCs/>
        </w:rPr>
        <w:t xml:space="preserve"> was inhibited by treatment with Mancozeb, copper hydroxide, and the essential oil of </w:t>
      </w:r>
      <w:proofErr w:type="spellStart"/>
      <w:r w:rsidRPr="003263A3">
        <w:rPr>
          <w:rFonts w:ascii="Arial" w:hAnsi="Arial" w:cs="Arial"/>
          <w:i/>
        </w:rPr>
        <w:t>Ocimum</w:t>
      </w:r>
      <w:proofErr w:type="spellEnd"/>
      <w:r w:rsidRPr="003263A3">
        <w:rPr>
          <w:rFonts w:ascii="Arial" w:hAnsi="Arial" w:cs="Arial"/>
          <w:i/>
        </w:rPr>
        <w:t xml:space="preserve"> </w:t>
      </w:r>
      <w:proofErr w:type="spellStart"/>
      <w:r w:rsidRPr="003263A3">
        <w:rPr>
          <w:rFonts w:ascii="Arial" w:hAnsi="Arial" w:cs="Arial"/>
          <w:i/>
        </w:rPr>
        <w:t>gratissimum</w:t>
      </w:r>
      <w:proofErr w:type="spellEnd"/>
      <w:r w:rsidRPr="003263A3">
        <w:rPr>
          <w:rFonts w:ascii="Arial" w:hAnsi="Arial" w:cs="Arial"/>
          <w:iCs/>
        </w:rPr>
        <w:t xml:space="preserve"> compared to treatment with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oil (2.77 × 10</w:t>
      </w:r>
      <w:r w:rsidRPr="003263A3">
        <w:rPr>
          <w:rFonts w:ascii="Arial" w:hAnsi="Arial" w:cs="Arial"/>
          <w:iCs/>
          <w:vertAlign w:val="superscript"/>
        </w:rPr>
        <w:t xml:space="preserve">5 </w:t>
      </w:r>
      <w:r w:rsidRPr="003263A3">
        <w:rPr>
          <w:rFonts w:ascii="Arial" w:hAnsi="Arial" w:cs="Arial"/>
          <w:iCs/>
        </w:rPr>
        <w:t>spores/mL) and the control treatment (4.38 × 10</w:t>
      </w:r>
      <w:r w:rsidRPr="003263A3">
        <w:rPr>
          <w:rFonts w:ascii="Arial" w:hAnsi="Arial" w:cs="Arial"/>
          <w:iCs/>
          <w:vertAlign w:val="superscript"/>
        </w:rPr>
        <w:t xml:space="preserve">5 </w:t>
      </w:r>
      <w:r w:rsidRPr="003263A3">
        <w:rPr>
          <w:rFonts w:ascii="Arial" w:hAnsi="Arial" w:cs="Arial"/>
          <w:iCs/>
        </w:rPr>
        <w:t xml:space="preserve">spores/mL). Furthermore, the essential oil of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inhibited sporulation at the high dose (</w:t>
      </w:r>
      <w:r w:rsidRPr="003263A3">
        <w:rPr>
          <w:rFonts w:ascii="Arial" w:hAnsi="Arial" w:cs="Arial"/>
          <w:b/>
          <w:bCs/>
          <w:iCs/>
        </w:rPr>
        <w:t xml:space="preserve">Table. </w:t>
      </w:r>
      <w:r w:rsidR="00092897">
        <w:rPr>
          <w:rFonts w:ascii="Arial" w:hAnsi="Arial" w:cs="Arial"/>
          <w:b/>
          <w:bCs/>
          <w:iCs/>
        </w:rPr>
        <w:t>4</w:t>
      </w:r>
      <w:r w:rsidRPr="003263A3">
        <w:rPr>
          <w:rFonts w:ascii="Arial" w:hAnsi="Arial" w:cs="Arial"/>
          <w:iCs/>
        </w:rPr>
        <w:t xml:space="preserve">). </w:t>
      </w:r>
    </w:p>
    <w:p w14:paraId="405CDDDD" w14:textId="49FB47BB" w:rsidR="00AB20BB" w:rsidRPr="00AB20BB" w:rsidRDefault="00AB20BB" w:rsidP="00AB20BB">
      <w:pPr>
        <w:spacing w:line="276" w:lineRule="auto"/>
        <w:rPr>
          <w:rFonts w:ascii="Arial" w:hAnsi="Arial" w:cs="Arial"/>
          <w:iCs/>
        </w:rPr>
      </w:pPr>
      <w:r w:rsidRPr="00AB20BB">
        <w:rPr>
          <w:rFonts w:ascii="Arial" w:hAnsi="Arial" w:cs="Arial"/>
          <w:iCs/>
        </w:rPr>
        <w:t> </w:t>
      </w:r>
    </w:p>
    <w:bookmarkEnd w:id="5"/>
    <w:bookmarkEnd w:id="6"/>
    <w:p w14:paraId="38E52194" w14:textId="2C8ADEF0" w:rsidR="00AB20BB" w:rsidRPr="00AB20BB" w:rsidRDefault="00AB20BB" w:rsidP="00AB20BB">
      <w:pPr>
        <w:rPr>
          <w:rFonts w:ascii="Arial" w:hAnsi="Arial" w:cs="Arial"/>
        </w:rPr>
        <w:sectPr w:rsidR="00AB20BB" w:rsidRPr="00AB20BB" w:rsidSect="009E5F17">
          <w:headerReference w:type="even" r:id="rId13"/>
          <w:headerReference w:type="default" r:id="rId14"/>
          <w:headerReference w:type="first" r:id="rId15"/>
          <w:footerReference w:type="first" r:id="rId16"/>
          <w:type w:val="continuous"/>
          <w:pgSz w:w="11906" w:h="16838"/>
          <w:pgMar w:top="1418" w:right="1418" w:bottom="1418" w:left="1560" w:header="709" w:footer="709" w:gutter="0"/>
          <w:pgNumType w:start="1"/>
          <w:cols w:space="708"/>
          <w:titlePg/>
          <w:docGrid w:linePitch="360"/>
        </w:sectPr>
      </w:pPr>
    </w:p>
    <w:p w14:paraId="0A489EE2" w14:textId="77777777" w:rsidR="00C86AC7" w:rsidRDefault="00C86AC7" w:rsidP="009E5F17">
      <w:pPr>
        <w:spacing w:line="276" w:lineRule="auto"/>
        <w:jc w:val="both"/>
        <w:rPr>
          <w:rFonts w:ascii="Arial" w:hAnsi="Arial" w:cs="Arial"/>
          <w:iCs/>
        </w:rPr>
      </w:pPr>
    </w:p>
    <w:p w14:paraId="13780514" w14:textId="77777777" w:rsidR="00C86AC7" w:rsidRPr="00C86AC7" w:rsidRDefault="00C86AC7" w:rsidP="00C86AC7">
      <w:pPr>
        <w:spacing w:line="276" w:lineRule="auto"/>
        <w:rPr>
          <w:rFonts w:ascii="Arial" w:hAnsi="Arial" w:cs="Arial"/>
          <w:iCs/>
        </w:rPr>
      </w:pPr>
    </w:p>
    <w:p w14:paraId="7E678730" w14:textId="655AD090" w:rsidR="00C86AC7" w:rsidRPr="00C86AC7" w:rsidRDefault="00C86AC7" w:rsidP="00C86AC7">
      <w:pPr>
        <w:spacing w:line="276" w:lineRule="auto"/>
        <w:rPr>
          <w:rFonts w:ascii="Arial" w:hAnsi="Arial" w:cs="Arial"/>
          <w:iCs/>
        </w:rPr>
      </w:pPr>
      <w:r w:rsidRPr="008A5574">
        <w:rPr>
          <w:rFonts w:ascii="Arial" w:hAnsi="Arial" w:cs="Arial"/>
          <w:b/>
          <w:bCs/>
          <w:iCs/>
        </w:rPr>
        <w:t xml:space="preserve">Table </w:t>
      </w:r>
      <w:r w:rsidR="00092897">
        <w:rPr>
          <w:rFonts w:ascii="Arial" w:hAnsi="Arial" w:cs="Arial"/>
          <w:b/>
          <w:bCs/>
          <w:iCs/>
        </w:rPr>
        <w:t>4</w:t>
      </w:r>
      <w:r w:rsidRPr="008A5574">
        <w:rPr>
          <w:rFonts w:ascii="Arial" w:hAnsi="Arial" w:cs="Arial"/>
          <w:b/>
          <w:bCs/>
          <w:iCs/>
        </w:rPr>
        <w:t>.</w:t>
      </w:r>
      <w:r w:rsidRPr="00C86AC7">
        <w:rPr>
          <w:rFonts w:ascii="Arial" w:hAnsi="Arial" w:cs="Arial"/>
          <w:iCs/>
        </w:rPr>
        <w:t xml:space="preserve"> Effects of different treatments on the sporulation of </w:t>
      </w:r>
      <w:proofErr w:type="spellStart"/>
      <w:r w:rsidRPr="00C86AC7">
        <w:rPr>
          <w:rFonts w:ascii="Arial" w:hAnsi="Arial" w:cs="Arial"/>
          <w:iCs/>
        </w:rPr>
        <w:t>Mycosphaerella</w:t>
      </w:r>
      <w:proofErr w:type="spellEnd"/>
      <w:r w:rsidRPr="00C86AC7">
        <w:rPr>
          <w:rFonts w:ascii="Arial" w:hAnsi="Arial" w:cs="Arial"/>
          <w:iCs/>
        </w:rPr>
        <w:t xml:space="preserve"> </w:t>
      </w:r>
      <w:proofErr w:type="spellStart"/>
      <w:r w:rsidRPr="00C86AC7">
        <w:rPr>
          <w:rFonts w:ascii="Arial" w:hAnsi="Arial" w:cs="Arial"/>
          <w:iCs/>
        </w:rPr>
        <w:t>fijiensis</w:t>
      </w:r>
      <w:proofErr w:type="spellEnd"/>
    </w:p>
    <w:p w14:paraId="64BA273F" w14:textId="77777777" w:rsidR="00C86AC7" w:rsidRPr="00C86AC7" w:rsidRDefault="00C86AC7" w:rsidP="00C86AC7">
      <w:pPr>
        <w:spacing w:line="276" w:lineRule="auto"/>
        <w:rPr>
          <w:rFonts w:ascii="Arial" w:hAnsi="Arial" w:cs="Arial"/>
          <w:iCs/>
        </w:rPr>
      </w:pPr>
    </w:p>
    <w:tbl>
      <w:tblPr>
        <w:tblStyle w:val="Tableausimple21"/>
        <w:tblW w:w="8876" w:type="dxa"/>
        <w:tblBorders>
          <w:top w:val="single" w:sz="12" w:space="0" w:color="auto"/>
          <w:bottom w:val="single" w:sz="12" w:space="0" w:color="auto"/>
        </w:tblBorders>
        <w:tblLook w:val="04A0" w:firstRow="1" w:lastRow="0" w:firstColumn="1" w:lastColumn="0" w:noHBand="0" w:noVBand="1"/>
      </w:tblPr>
      <w:tblGrid>
        <w:gridCol w:w="2117"/>
        <w:gridCol w:w="2268"/>
        <w:gridCol w:w="2268"/>
        <w:gridCol w:w="2223"/>
      </w:tblGrid>
      <w:tr w:rsidR="00C86AC7" w:rsidRPr="00C86AC7" w14:paraId="030B56BC" w14:textId="77777777" w:rsidTr="00A76C67">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117" w:type="dxa"/>
            <w:vMerge w:val="restart"/>
            <w:tcBorders>
              <w:top w:val="single" w:sz="12" w:space="0" w:color="auto"/>
              <w:bottom w:val="nil"/>
            </w:tcBorders>
            <w:noWrap/>
            <w:vAlign w:val="center"/>
            <w:hideMark/>
          </w:tcPr>
          <w:p w14:paraId="54808636"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Fongicides/HE</w:t>
            </w:r>
          </w:p>
        </w:tc>
        <w:tc>
          <w:tcPr>
            <w:tcW w:w="2268" w:type="dxa"/>
            <w:tcBorders>
              <w:top w:val="single" w:sz="12" w:space="0" w:color="auto"/>
              <w:bottom w:val="single" w:sz="8" w:space="0" w:color="auto"/>
            </w:tcBorders>
            <w:noWrap/>
            <w:hideMark/>
          </w:tcPr>
          <w:p w14:paraId="61A995CA"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Lower dose </w:t>
            </w:r>
          </w:p>
        </w:tc>
        <w:tc>
          <w:tcPr>
            <w:tcW w:w="2268" w:type="dxa"/>
            <w:tcBorders>
              <w:top w:val="single" w:sz="12" w:space="0" w:color="auto"/>
              <w:bottom w:val="single" w:sz="8" w:space="0" w:color="auto"/>
            </w:tcBorders>
            <w:noWrap/>
            <w:hideMark/>
          </w:tcPr>
          <w:p w14:paraId="41E44DDC"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Recommended dose</w:t>
            </w:r>
          </w:p>
        </w:tc>
        <w:tc>
          <w:tcPr>
            <w:tcW w:w="2223" w:type="dxa"/>
            <w:tcBorders>
              <w:top w:val="single" w:sz="12" w:space="0" w:color="auto"/>
              <w:bottom w:val="single" w:sz="8" w:space="0" w:color="auto"/>
            </w:tcBorders>
            <w:noWrap/>
            <w:hideMark/>
          </w:tcPr>
          <w:p w14:paraId="6E8BC4D7"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Higher dose</w:t>
            </w:r>
          </w:p>
        </w:tc>
      </w:tr>
      <w:tr w:rsidR="00C86AC7" w:rsidRPr="00C86AC7" w14:paraId="6B20ED77" w14:textId="77777777" w:rsidTr="00A76C67">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117" w:type="dxa"/>
            <w:vMerge/>
            <w:tcBorders>
              <w:top w:val="nil"/>
              <w:bottom w:val="single" w:sz="12" w:space="0" w:color="auto"/>
            </w:tcBorders>
            <w:hideMark/>
          </w:tcPr>
          <w:p w14:paraId="650B09B1" w14:textId="77777777" w:rsidR="00C86AC7" w:rsidRPr="00C86AC7" w:rsidRDefault="00C86AC7" w:rsidP="00A76C67">
            <w:pPr>
              <w:spacing w:line="276" w:lineRule="auto"/>
              <w:rPr>
                <w:rFonts w:ascii="Arial" w:eastAsia="Times New Roman" w:hAnsi="Arial" w:cs="Arial"/>
                <w:b w:val="0"/>
                <w:bCs w:val="0"/>
                <w:iCs/>
                <w:sz w:val="20"/>
                <w:szCs w:val="20"/>
                <w:lang w:val="en-US"/>
              </w:rPr>
            </w:pPr>
          </w:p>
        </w:tc>
        <w:tc>
          <w:tcPr>
            <w:tcW w:w="2268" w:type="dxa"/>
            <w:tcBorders>
              <w:top w:val="single" w:sz="8" w:space="0" w:color="auto"/>
              <w:bottom w:val="single" w:sz="12" w:space="0" w:color="auto"/>
            </w:tcBorders>
            <w:noWrap/>
            <w:hideMark/>
          </w:tcPr>
          <w:p w14:paraId="737FA943"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p w14:paraId="038D57A5"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p>
        </w:tc>
        <w:tc>
          <w:tcPr>
            <w:tcW w:w="2268" w:type="dxa"/>
            <w:tcBorders>
              <w:top w:val="single" w:sz="8" w:space="0" w:color="auto"/>
              <w:bottom w:val="single" w:sz="12" w:space="0" w:color="auto"/>
            </w:tcBorders>
            <w:noWrap/>
            <w:hideMark/>
          </w:tcPr>
          <w:p w14:paraId="6068026C"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p w14:paraId="1131CCE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p>
        </w:tc>
        <w:tc>
          <w:tcPr>
            <w:tcW w:w="2223" w:type="dxa"/>
            <w:tcBorders>
              <w:top w:val="single" w:sz="8" w:space="0" w:color="auto"/>
              <w:bottom w:val="single" w:sz="12" w:space="0" w:color="auto"/>
            </w:tcBorders>
            <w:noWrap/>
            <w:hideMark/>
          </w:tcPr>
          <w:p w14:paraId="3E8E10A2"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tc>
      </w:tr>
      <w:tr w:rsidR="00C86AC7" w:rsidRPr="00C86AC7" w14:paraId="1F09D819"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tcBorders>
            <w:noWrap/>
            <w:hideMark/>
          </w:tcPr>
          <w:p w14:paraId="6942ED88"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Control</w:t>
            </w:r>
          </w:p>
        </w:tc>
        <w:tc>
          <w:tcPr>
            <w:tcW w:w="2268" w:type="dxa"/>
            <w:tcBorders>
              <w:top w:val="single" w:sz="12" w:space="0" w:color="auto"/>
            </w:tcBorders>
            <w:noWrap/>
            <w:hideMark/>
          </w:tcPr>
          <w:p w14:paraId="479F6B9F"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c</w:t>
            </w:r>
          </w:p>
        </w:tc>
        <w:tc>
          <w:tcPr>
            <w:tcW w:w="2268" w:type="dxa"/>
            <w:tcBorders>
              <w:top w:val="single" w:sz="12" w:space="0" w:color="auto"/>
            </w:tcBorders>
            <w:noWrap/>
            <w:hideMark/>
          </w:tcPr>
          <w:p w14:paraId="49F09E35"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c</w:t>
            </w:r>
          </w:p>
        </w:tc>
        <w:tc>
          <w:tcPr>
            <w:tcW w:w="2223" w:type="dxa"/>
            <w:tcBorders>
              <w:top w:val="single" w:sz="12" w:space="0" w:color="auto"/>
            </w:tcBorders>
            <w:noWrap/>
            <w:hideMark/>
          </w:tcPr>
          <w:p w14:paraId="2EF2433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b</w:t>
            </w:r>
          </w:p>
        </w:tc>
      </w:tr>
      <w:tr w:rsidR="00C86AC7" w:rsidRPr="00C86AC7" w14:paraId="0472F8F9"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bottom w:val="none" w:sz="0" w:space="0" w:color="auto"/>
            </w:tcBorders>
            <w:noWrap/>
            <w:hideMark/>
          </w:tcPr>
          <w:p w14:paraId="57B3EA42"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HE of </w:t>
            </w:r>
            <w:proofErr w:type="spellStart"/>
            <w:proofErr w:type="gramStart"/>
            <w:r w:rsidRPr="00C86AC7">
              <w:rPr>
                <w:rFonts w:ascii="Arial" w:eastAsia="Times New Roman" w:hAnsi="Arial" w:cs="Arial"/>
                <w:b w:val="0"/>
                <w:bCs w:val="0"/>
                <w:iCs/>
                <w:sz w:val="20"/>
                <w:szCs w:val="20"/>
                <w:lang w:val="en-US"/>
              </w:rPr>
              <w:t>L.multiflora</w:t>
            </w:r>
            <w:proofErr w:type="spellEnd"/>
            <w:proofErr w:type="gramEnd"/>
          </w:p>
        </w:tc>
        <w:tc>
          <w:tcPr>
            <w:tcW w:w="2268" w:type="dxa"/>
            <w:tcBorders>
              <w:top w:val="none" w:sz="0" w:space="0" w:color="auto"/>
              <w:bottom w:val="none" w:sz="0" w:space="0" w:color="auto"/>
            </w:tcBorders>
            <w:noWrap/>
            <w:hideMark/>
          </w:tcPr>
          <w:p w14:paraId="2C2EC22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2,77.105 b</w:t>
            </w:r>
          </w:p>
        </w:tc>
        <w:tc>
          <w:tcPr>
            <w:tcW w:w="2268" w:type="dxa"/>
            <w:tcBorders>
              <w:top w:val="none" w:sz="0" w:space="0" w:color="auto"/>
              <w:bottom w:val="none" w:sz="0" w:space="0" w:color="auto"/>
            </w:tcBorders>
            <w:noWrap/>
            <w:hideMark/>
          </w:tcPr>
          <w:p w14:paraId="18DAA297"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0,84 105 b</w:t>
            </w:r>
          </w:p>
        </w:tc>
        <w:tc>
          <w:tcPr>
            <w:tcW w:w="2223" w:type="dxa"/>
            <w:tcBorders>
              <w:top w:val="none" w:sz="0" w:space="0" w:color="auto"/>
              <w:bottom w:val="none" w:sz="0" w:space="0" w:color="auto"/>
            </w:tcBorders>
            <w:noWrap/>
            <w:hideMark/>
          </w:tcPr>
          <w:p w14:paraId="169C4796"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1B32929A"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noWrap/>
            <w:hideMark/>
          </w:tcPr>
          <w:p w14:paraId="49C613C4"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HE of O. </w:t>
            </w:r>
            <w:proofErr w:type="spellStart"/>
            <w:r w:rsidRPr="00C86AC7">
              <w:rPr>
                <w:rFonts w:ascii="Arial" w:eastAsia="Times New Roman" w:hAnsi="Arial" w:cs="Arial"/>
                <w:b w:val="0"/>
                <w:bCs w:val="0"/>
                <w:iCs/>
                <w:sz w:val="20"/>
                <w:szCs w:val="20"/>
                <w:lang w:val="en-US"/>
              </w:rPr>
              <w:t>gratissimum</w:t>
            </w:r>
            <w:proofErr w:type="spellEnd"/>
          </w:p>
        </w:tc>
        <w:tc>
          <w:tcPr>
            <w:tcW w:w="2268" w:type="dxa"/>
            <w:noWrap/>
            <w:hideMark/>
          </w:tcPr>
          <w:p w14:paraId="4EF11F98"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noWrap/>
            <w:hideMark/>
          </w:tcPr>
          <w:p w14:paraId="1355D872"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noWrap/>
            <w:hideMark/>
          </w:tcPr>
          <w:p w14:paraId="5F5D592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6D5ED08E"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bottom w:val="none" w:sz="0" w:space="0" w:color="auto"/>
            </w:tcBorders>
            <w:noWrap/>
            <w:hideMark/>
          </w:tcPr>
          <w:p w14:paraId="7E2ED876"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Copper hydroxide</w:t>
            </w:r>
          </w:p>
        </w:tc>
        <w:tc>
          <w:tcPr>
            <w:tcW w:w="2268" w:type="dxa"/>
            <w:tcBorders>
              <w:top w:val="none" w:sz="0" w:space="0" w:color="auto"/>
              <w:bottom w:val="none" w:sz="0" w:space="0" w:color="auto"/>
            </w:tcBorders>
            <w:noWrap/>
            <w:hideMark/>
          </w:tcPr>
          <w:p w14:paraId="663321BF"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tcBorders>
              <w:top w:val="none" w:sz="0" w:space="0" w:color="auto"/>
              <w:bottom w:val="none" w:sz="0" w:space="0" w:color="auto"/>
            </w:tcBorders>
            <w:noWrap/>
            <w:hideMark/>
          </w:tcPr>
          <w:p w14:paraId="52A2986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tcBorders>
              <w:top w:val="none" w:sz="0" w:space="0" w:color="auto"/>
              <w:bottom w:val="none" w:sz="0" w:space="0" w:color="auto"/>
            </w:tcBorders>
            <w:noWrap/>
            <w:hideMark/>
          </w:tcPr>
          <w:p w14:paraId="42BD25C5"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7F9B62B5"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bottom w:val="single" w:sz="12" w:space="0" w:color="auto"/>
            </w:tcBorders>
            <w:noWrap/>
            <w:hideMark/>
          </w:tcPr>
          <w:p w14:paraId="6973B731"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Mancozeb</w:t>
            </w:r>
          </w:p>
          <w:p w14:paraId="1747CA50" w14:textId="77777777" w:rsidR="00C86AC7" w:rsidRPr="00C86AC7" w:rsidRDefault="00C86AC7" w:rsidP="00A76C67">
            <w:pPr>
              <w:spacing w:line="276" w:lineRule="auto"/>
              <w:rPr>
                <w:rFonts w:ascii="Arial" w:eastAsia="Times New Roman" w:hAnsi="Arial" w:cs="Arial"/>
                <w:b w:val="0"/>
                <w:bCs w:val="0"/>
                <w:iCs/>
                <w:sz w:val="20"/>
                <w:szCs w:val="20"/>
                <w:lang w:val="en-US"/>
              </w:rPr>
            </w:pPr>
          </w:p>
        </w:tc>
        <w:tc>
          <w:tcPr>
            <w:tcW w:w="2268" w:type="dxa"/>
            <w:tcBorders>
              <w:bottom w:val="single" w:sz="12" w:space="0" w:color="auto"/>
            </w:tcBorders>
            <w:noWrap/>
            <w:hideMark/>
          </w:tcPr>
          <w:p w14:paraId="38292E0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tcBorders>
              <w:bottom w:val="single" w:sz="12" w:space="0" w:color="auto"/>
            </w:tcBorders>
            <w:noWrap/>
            <w:hideMark/>
          </w:tcPr>
          <w:p w14:paraId="1ED7FA58"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tcBorders>
              <w:bottom w:val="single" w:sz="12" w:space="0" w:color="auto"/>
            </w:tcBorders>
            <w:noWrap/>
            <w:hideMark/>
          </w:tcPr>
          <w:p w14:paraId="5EABCB19"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0349AD2B"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bottom w:val="nil"/>
            </w:tcBorders>
            <w:noWrap/>
          </w:tcPr>
          <w:p w14:paraId="0726B7C9" w14:textId="0EB63EC7" w:rsidR="00C86AC7" w:rsidRPr="00C86AC7" w:rsidRDefault="00C86AC7" w:rsidP="00A76C67">
            <w:pPr>
              <w:spacing w:line="276" w:lineRule="auto"/>
              <w:rPr>
                <w:rFonts w:ascii="Arial" w:eastAsia="Times New Roman" w:hAnsi="Arial" w:cs="Arial"/>
                <w:b w:val="0"/>
                <w:bCs w:val="0"/>
                <w:iCs/>
                <w:sz w:val="20"/>
                <w:szCs w:val="20"/>
                <w:lang w:val="en-US"/>
              </w:rPr>
            </w:pPr>
            <w:proofErr w:type="spellStart"/>
            <w:r w:rsidRPr="00C86AC7">
              <w:rPr>
                <w:rFonts w:ascii="Arial" w:eastAsia="Times New Roman" w:hAnsi="Arial" w:cs="Arial"/>
                <w:b w:val="0"/>
                <w:bCs w:val="0"/>
                <w:iCs/>
                <w:sz w:val="20"/>
                <w:szCs w:val="20"/>
                <w:lang w:val="en-US"/>
              </w:rPr>
              <w:t>Pr</w:t>
            </w:r>
            <w:proofErr w:type="spellEnd"/>
            <w:r w:rsidRPr="00C86AC7">
              <w:rPr>
                <w:rFonts w:ascii="Arial" w:eastAsia="Times New Roman" w:hAnsi="Arial" w:cs="Arial"/>
                <w:b w:val="0"/>
                <w:bCs w:val="0"/>
                <w:iCs/>
                <w:sz w:val="20"/>
                <w:szCs w:val="20"/>
                <w:lang w:val="en-US"/>
              </w:rPr>
              <w:t xml:space="preserve"> &gt; F</w:t>
            </w:r>
          </w:p>
        </w:tc>
        <w:tc>
          <w:tcPr>
            <w:tcW w:w="2268" w:type="dxa"/>
            <w:tcBorders>
              <w:top w:val="single" w:sz="12" w:space="0" w:color="auto"/>
              <w:bottom w:val="nil"/>
            </w:tcBorders>
            <w:noWrap/>
          </w:tcPr>
          <w:p w14:paraId="73656193" w14:textId="1F54D65A"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c>
          <w:tcPr>
            <w:tcW w:w="2268" w:type="dxa"/>
            <w:tcBorders>
              <w:top w:val="single" w:sz="12" w:space="0" w:color="auto"/>
              <w:bottom w:val="nil"/>
            </w:tcBorders>
            <w:noWrap/>
          </w:tcPr>
          <w:p w14:paraId="135D3027" w14:textId="14AFF092"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c>
          <w:tcPr>
            <w:tcW w:w="2223" w:type="dxa"/>
            <w:tcBorders>
              <w:top w:val="single" w:sz="12" w:space="0" w:color="auto"/>
              <w:bottom w:val="nil"/>
            </w:tcBorders>
            <w:noWrap/>
          </w:tcPr>
          <w:p w14:paraId="790D036F" w14:textId="3CACDB85"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r>
      <w:tr w:rsidR="009C370A" w:rsidRPr="00C86AC7" w14:paraId="0F6766AC"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il"/>
              <w:bottom w:val="single" w:sz="12" w:space="0" w:color="auto"/>
            </w:tcBorders>
            <w:noWrap/>
          </w:tcPr>
          <w:p w14:paraId="3C84F734" w14:textId="77777777" w:rsidR="009C370A" w:rsidRPr="00C86AC7" w:rsidRDefault="009C370A" w:rsidP="009C370A">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Significance</w:t>
            </w:r>
          </w:p>
        </w:tc>
        <w:tc>
          <w:tcPr>
            <w:tcW w:w="2268" w:type="dxa"/>
            <w:tcBorders>
              <w:top w:val="nil"/>
              <w:bottom w:val="single" w:sz="12" w:space="0" w:color="auto"/>
            </w:tcBorders>
            <w:noWrap/>
          </w:tcPr>
          <w:p w14:paraId="540C62A7" w14:textId="4887C997"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c>
          <w:tcPr>
            <w:tcW w:w="2268" w:type="dxa"/>
            <w:tcBorders>
              <w:top w:val="nil"/>
              <w:bottom w:val="single" w:sz="12" w:space="0" w:color="auto"/>
            </w:tcBorders>
            <w:noWrap/>
          </w:tcPr>
          <w:p w14:paraId="7A318C90" w14:textId="63B5A682"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c>
          <w:tcPr>
            <w:tcW w:w="2223" w:type="dxa"/>
            <w:tcBorders>
              <w:top w:val="nil"/>
              <w:bottom w:val="single" w:sz="12" w:space="0" w:color="auto"/>
            </w:tcBorders>
            <w:noWrap/>
          </w:tcPr>
          <w:p w14:paraId="59EA5FBB" w14:textId="033D41F8"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r>
    </w:tbl>
    <w:p w14:paraId="0CDA90E1" w14:textId="6D6C9499" w:rsidR="00C86AC7" w:rsidRPr="00C86AC7" w:rsidRDefault="00C86AC7" w:rsidP="00C86AC7">
      <w:pPr>
        <w:spacing w:line="276" w:lineRule="auto"/>
        <w:rPr>
          <w:rFonts w:ascii="Arial" w:hAnsi="Arial" w:cs="Arial"/>
          <w:iCs/>
        </w:rPr>
      </w:pPr>
      <w:r w:rsidRPr="00C86AC7">
        <w:rPr>
          <w:rFonts w:ascii="Arial" w:hAnsi="Arial" w:cs="Arial"/>
          <w:b/>
          <w:bCs/>
          <w:iCs/>
        </w:rPr>
        <w:t>Legend</w:t>
      </w:r>
      <w:r w:rsidRPr="00C86AC7">
        <w:rPr>
          <w:rFonts w:ascii="Arial" w:hAnsi="Arial" w:cs="Arial"/>
          <w:iCs/>
        </w:rPr>
        <w:t xml:space="preserve">. DAS: Day after sowing; </w:t>
      </w:r>
      <w:r w:rsidR="00A36275">
        <w:rPr>
          <w:rFonts w:ascii="Arial" w:hAnsi="Arial" w:cs="Arial"/>
          <w:iCs/>
        </w:rPr>
        <w:t xml:space="preserve">***P </w:t>
      </w:r>
      <w:r w:rsidRPr="00C86AC7">
        <w:rPr>
          <w:rFonts w:ascii="Arial" w:hAnsi="Arial" w:cs="Arial"/>
          <w:iCs/>
        </w:rPr>
        <w:t>significant; 14DAS: 14th Day after sowing; Control: Untreated control.</w:t>
      </w:r>
    </w:p>
    <w:p w14:paraId="5AEBA91A" w14:textId="77777777" w:rsidR="00C86AC7" w:rsidRDefault="00C86AC7" w:rsidP="009E5F17">
      <w:pPr>
        <w:spacing w:line="276" w:lineRule="auto"/>
        <w:jc w:val="both"/>
        <w:rPr>
          <w:rFonts w:ascii="Arial" w:hAnsi="Arial" w:cs="Arial"/>
          <w:iCs/>
        </w:rPr>
      </w:pPr>
    </w:p>
    <w:p w14:paraId="15CB68BA" w14:textId="1B3BA9BE" w:rsidR="009E5F17" w:rsidRDefault="009E5F17" w:rsidP="009E5F17">
      <w:pPr>
        <w:spacing w:line="276" w:lineRule="auto"/>
        <w:jc w:val="both"/>
        <w:rPr>
          <w:rFonts w:ascii="Arial" w:hAnsi="Arial" w:cs="Arial"/>
          <w:iCs/>
        </w:rPr>
      </w:pPr>
      <w:r w:rsidRPr="003263A3">
        <w:rPr>
          <w:rFonts w:ascii="Arial" w:hAnsi="Arial" w:cs="Arial"/>
          <w:iCs/>
        </w:rPr>
        <w:t xml:space="preserve">The essential oil of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in turn, inhibited sporulation by 36.73%, 80.76%, and 100% at low, medium, and high doses, respectively. Thus, </w:t>
      </w:r>
      <w:r w:rsidRPr="003263A3">
        <w:rPr>
          <w:rFonts w:ascii="Arial" w:hAnsi="Arial" w:cs="Arial"/>
          <w:i/>
        </w:rPr>
        <w:t>L. multiflora</w:t>
      </w:r>
      <w:r w:rsidRPr="003263A3">
        <w:rPr>
          <w:rFonts w:ascii="Arial" w:hAnsi="Arial" w:cs="Arial"/>
          <w:iCs/>
        </w:rPr>
        <w:t xml:space="preserve"> proved to be moderately effective at low doses and highly effective at medium and high doses (</w:t>
      </w:r>
      <w:r w:rsidRPr="003263A3">
        <w:rPr>
          <w:rFonts w:ascii="Arial" w:hAnsi="Arial" w:cs="Arial"/>
          <w:b/>
          <w:bCs/>
          <w:iCs/>
        </w:rPr>
        <w:t>Fig. 4</w:t>
      </w:r>
      <w:r w:rsidRPr="003263A3">
        <w:rPr>
          <w:rFonts w:ascii="Arial" w:hAnsi="Arial" w:cs="Arial"/>
          <w:iCs/>
        </w:rPr>
        <w:t>).</w:t>
      </w:r>
    </w:p>
    <w:p w14:paraId="6C2A6133" w14:textId="77777777" w:rsidR="00C86AC7" w:rsidRDefault="00C86AC7" w:rsidP="00C86AC7">
      <w:pPr>
        <w:spacing w:line="276" w:lineRule="auto"/>
        <w:rPr>
          <w:rFonts w:ascii="Times New Roman" w:hAnsi="Times New Roman"/>
          <w:iCs/>
          <w:sz w:val="26"/>
          <w:szCs w:val="26"/>
        </w:rPr>
      </w:pPr>
    </w:p>
    <w:p w14:paraId="30DFE34E" w14:textId="77777777" w:rsidR="00C86AC7" w:rsidRPr="00D35FAE" w:rsidRDefault="00C86AC7" w:rsidP="00C86AC7">
      <w:pPr>
        <w:spacing w:line="276" w:lineRule="auto"/>
        <w:rPr>
          <w:rFonts w:ascii="Times New Roman" w:hAnsi="Times New Roman"/>
          <w:iCs/>
          <w:sz w:val="26"/>
          <w:szCs w:val="26"/>
        </w:rPr>
      </w:pPr>
    </w:p>
    <w:p w14:paraId="181FF1E4" w14:textId="77777777" w:rsidR="00C86AC7" w:rsidRPr="00C86AC7" w:rsidRDefault="00C86AC7" w:rsidP="00C86AC7">
      <w:pPr>
        <w:spacing w:line="276" w:lineRule="auto"/>
        <w:rPr>
          <w:rFonts w:ascii="Arial" w:hAnsi="Arial" w:cs="Arial"/>
          <w:iCs/>
        </w:rPr>
      </w:pPr>
      <w:r w:rsidRPr="00C86AC7">
        <w:rPr>
          <w:rFonts w:ascii="Arial" w:hAnsi="Arial" w:cs="Arial"/>
          <w:iCs/>
          <w:noProof/>
          <w:lang w:val="fr-FR" w:eastAsia="fr-FR"/>
        </w:rPr>
        <w:drawing>
          <wp:inline distT="0" distB="0" distL="0" distR="0" wp14:anchorId="494A5083" wp14:editId="63A08E29">
            <wp:extent cx="5403850" cy="3162300"/>
            <wp:effectExtent l="0" t="0" r="0" b="0"/>
            <wp:docPr id="916700645" name="Graphique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8F8768" w14:textId="77777777" w:rsidR="00C86AC7" w:rsidRPr="00C86AC7" w:rsidRDefault="00C86AC7" w:rsidP="00C86AC7">
      <w:pPr>
        <w:spacing w:line="276" w:lineRule="auto"/>
        <w:rPr>
          <w:rFonts w:ascii="Arial" w:hAnsi="Arial" w:cs="Arial"/>
          <w:iCs/>
        </w:rPr>
      </w:pPr>
      <w:r w:rsidRPr="00C86AC7">
        <w:rPr>
          <w:rFonts w:ascii="Arial" w:hAnsi="Arial" w:cs="Arial"/>
          <w:b/>
          <w:bCs/>
          <w:iCs/>
        </w:rPr>
        <w:t>Fig 4</w:t>
      </w:r>
      <w:r w:rsidRPr="00C86AC7">
        <w:rPr>
          <w:rFonts w:ascii="Arial" w:hAnsi="Arial" w:cs="Arial"/>
          <w:iCs/>
        </w:rPr>
        <w:t>. Inhibition rate of sporulation depending on products and doses</w:t>
      </w:r>
    </w:p>
    <w:p w14:paraId="7FF68E9B" w14:textId="77777777" w:rsidR="00C86AC7" w:rsidRPr="003263A3" w:rsidRDefault="00C86AC7" w:rsidP="009E5F17">
      <w:pPr>
        <w:spacing w:line="276" w:lineRule="auto"/>
        <w:jc w:val="both"/>
        <w:rPr>
          <w:rFonts w:ascii="Arial" w:hAnsi="Arial" w:cs="Arial"/>
          <w:lang w:eastAsia="fr-FR"/>
        </w:rPr>
      </w:pPr>
    </w:p>
    <w:p w14:paraId="377D75F2" w14:textId="77777777" w:rsidR="009E5F17" w:rsidRPr="003263A3" w:rsidRDefault="009E5F17" w:rsidP="009E5F17">
      <w:pPr>
        <w:spacing w:line="276" w:lineRule="auto"/>
        <w:rPr>
          <w:rFonts w:ascii="Arial" w:hAnsi="Arial" w:cs="Arial"/>
          <w:lang w:eastAsia="fr-FR"/>
        </w:rPr>
      </w:pPr>
    </w:p>
    <w:p w14:paraId="63229E9A" w14:textId="7312330A" w:rsidR="009E5F17" w:rsidRPr="003263A3" w:rsidRDefault="00AE69EA" w:rsidP="009E5F17">
      <w:pPr>
        <w:spacing w:line="276" w:lineRule="auto"/>
        <w:rPr>
          <w:rFonts w:ascii="Arial" w:hAnsi="Arial" w:cs="Arial"/>
          <w:b/>
          <w:bCs/>
        </w:rPr>
      </w:pPr>
      <w:r>
        <w:rPr>
          <w:rFonts w:ascii="Arial" w:hAnsi="Arial" w:cs="Arial"/>
          <w:b/>
          <w:bCs/>
          <w:iCs/>
        </w:rPr>
        <w:t xml:space="preserve">3.1.3. </w:t>
      </w:r>
      <w:r w:rsidR="009E5F17" w:rsidRPr="003263A3">
        <w:rPr>
          <w:rFonts w:ascii="Arial" w:hAnsi="Arial" w:cs="Arial"/>
          <w:b/>
          <w:bCs/>
        </w:rPr>
        <w:t xml:space="preserve">In vitro effect of essential oils and synthetic fungicides on germination </w:t>
      </w:r>
      <w:proofErr w:type="spellStart"/>
      <w:r w:rsidR="009E5F17" w:rsidRPr="003263A3">
        <w:rPr>
          <w:rFonts w:ascii="Arial" w:hAnsi="Arial" w:cs="Arial"/>
          <w:b/>
          <w:bCs/>
          <w:i/>
          <w:iCs/>
        </w:rPr>
        <w:t>Mycosphaerella</w:t>
      </w:r>
      <w:proofErr w:type="spellEnd"/>
      <w:r w:rsidR="009E5F17" w:rsidRPr="003263A3">
        <w:rPr>
          <w:rFonts w:ascii="Arial" w:hAnsi="Arial" w:cs="Arial"/>
          <w:b/>
          <w:bCs/>
          <w:i/>
          <w:iCs/>
        </w:rPr>
        <w:t xml:space="preserve"> </w:t>
      </w:r>
      <w:proofErr w:type="spellStart"/>
      <w:r w:rsidR="009E5F17" w:rsidRPr="003263A3">
        <w:rPr>
          <w:rFonts w:ascii="Arial" w:hAnsi="Arial" w:cs="Arial"/>
          <w:b/>
          <w:bCs/>
          <w:i/>
          <w:iCs/>
        </w:rPr>
        <w:t>fijiensis</w:t>
      </w:r>
      <w:proofErr w:type="spellEnd"/>
    </w:p>
    <w:p w14:paraId="422B640B" w14:textId="77777777" w:rsidR="009E5F17" w:rsidRDefault="009E5F17" w:rsidP="009E5F17">
      <w:pPr>
        <w:spacing w:line="276" w:lineRule="auto"/>
        <w:jc w:val="both"/>
        <w:rPr>
          <w:rFonts w:ascii="Arial" w:hAnsi="Arial" w:cs="Arial"/>
        </w:rPr>
      </w:pPr>
      <w:r w:rsidRPr="003263A3">
        <w:rPr>
          <w:rFonts w:ascii="Arial" w:hAnsi="Arial" w:cs="Arial"/>
        </w:rPr>
        <w:t>The effect of different treatments on the germination capacity of spores was evaluated using the germination inhibition rate (</w:t>
      </w:r>
      <w:proofErr w:type="spellStart"/>
      <w:r w:rsidRPr="003263A3">
        <w:rPr>
          <w:rFonts w:ascii="Arial" w:hAnsi="Arial" w:cs="Arial"/>
        </w:rPr>
        <w:t>TIg</w:t>
      </w:r>
      <w:proofErr w:type="spellEnd"/>
      <w:r w:rsidRPr="003263A3">
        <w:rPr>
          <w:rFonts w:ascii="Arial" w:hAnsi="Arial" w:cs="Arial"/>
        </w:rPr>
        <w:t>). Under the microscope, we observe the non-germinated spores 10x at 24 HAS on effective treatment (a) and germinated spores 10x at 24 HAS on ineffective treatment or control (b) (</w:t>
      </w:r>
      <w:r w:rsidRPr="003263A3">
        <w:rPr>
          <w:rFonts w:ascii="Arial" w:hAnsi="Arial" w:cs="Arial"/>
          <w:b/>
          <w:bCs/>
        </w:rPr>
        <w:t>Fig. 5</w:t>
      </w:r>
      <w:r w:rsidRPr="003263A3">
        <w:rPr>
          <w:rFonts w:ascii="Arial" w:hAnsi="Arial" w:cs="Arial"/>
        </w:rPr>
        <w:t>)</w:t>
      </w:r>
    </w:p>
    <w:p w14:paraId="381755B8" w14:textId="77777777" w:rsidR="00C86AC7" w:rsidRDefault="00C86AC7" w:rsidP="009E5F17">
      <w:pPr>
        <w:spacing w:line="276" w:lineRule="auto"/>
        <w:jc w:val="both"/>
        <w:rPr>
          <w:rFonts w:ascii="Arial" w:hAnsi="Arial" w:cs="Arial"/>
        </w:rPr>
      </w:pPr>
    </w:p>
    <w:p w14:paraId="1CB654EF" w14:textId="77777777" w:rsidR="00C86AC7" w:rsidRPr="00C86AC7" w:rsidRDefault="00C86AC7" w:rsidP="00C86AC7">
      <w:pPr>
        <w:spacing w:line="276" w:lineRule="auto"/>
        <w:rPr>
          <w:rFonts w:ascii="Arial" w:hAnsi="Arial" w:cs="Arial"/>
        </w:rPr>
      </w:pPr>
    </w:p>
    <w:p w14:paraId="19E504C8" w14:textId="77777777" w:rsidR="00C86AC7" w:rsidRPr="00C86AC7" w:rsidRDefault="00C86AC7" w:rsidP="00C86AC7">
      <w:pPr>
        <w:spacing w:line="276" w:lineRule="auto"/>
        <w:rPr>
          <w:rFonts w:ascii="Arial" w:hAnsi="Arial" w:cs="Arial"/>
        </w:rPr>
      </w:pPr>
    </w:p>
    <w:p w14:paraId="01F529BA" w14:textId="77777777" w:rsidR="00C86AC7" w:rsidRPr="00C86AC7" w:rsidRDefault="00C86AC7" w:rsidP="00C86AC7">
      <w:pPr>
        <w:spacing w:line="276" w:lineRule="auto"/>
        <w:rPr>
          <w:rFonts w:ascii="Arial" w:hAnsi="Arial" w:cs="Arial"/>
        </w:rPr>
      </w:pPr>
      <w:r w:rsidRPr="00C86AC7">
        <w:rPr>
          <w:rFonts w:ascii="Arial" w:hAnsi="Arial" w:cs="Arial"/>
          <w:noProof/>
          <w:lang w:val="fr-FR" w:eastAsia="fr-FR"/>
        </w:rPr>
        <w:drawing>
          <wp:inline distT="0" distB="0" distL="0" distR="0" wp14:anchorId="1B3F9D39" wp14:editId="196A9453">
            <wp:extent cx="5194300" cy="14615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1380" cy="1500136"/>
                    </a:xfrm>
                    <a:prstGeom prst="rect">
                      <a:avLst/>
                    </a:prstGeom>
                    <a:noFill/>
                  </pic:spPr>
                </pic:pic>
              </a:graphicData>
            </a:graphic>
          </wp:inline>
        </w:drawing>
      </w:r>
    </w:p>
    <w:p w14:paraId="2973E5BC" w14:textId="00D14142" w:rsidR="00C86AC7" w:rsidRDefault="00C86AC7" w:rsidP="00C53997">
      <w:pPr>
        <w:spacing w:line="276" w:lineRule="auto"/>
        <w:rPr>
          <w:rFonts w:ascii="Arial" w:hAnsi="Arial" w:cs="Arial"/>
        </w:rPr>
      </w:pPr>
      <w:r w:rsidRPr="00C86AC7">
        <w:rPr>
          <w:rFonts w:ascii="Arial" w:hAnsi="Arial" w:cs="Arial"/>
          <w:b/>
          <w:bCs/>
        </w:rPr>
        <w:t>Fig 5</w:t>
      </w:r>
      <w:r w:rsidRPr="00C86AC7">
        <w:rPr>
          <w:rFonts w:ascii="Arial" w:hAnsi="Arial" w:cs="Arial"/>
        </w:rPr>
        <w:t xml:space="preserve">. Non-germinated spores 10x at 24 HAS on effective treatment (a) and germinated spores 10x at 24 HAS on ineffective treatment or control (b) </w:t>
      </w:r>
    </w:p>
    <w:p w14:paraId="5784BAF0" w14:textId="77777777" w:rsidR="00C53997" w:rsidRPr="003263A3" w:rsidRDefault="00C53997" w:rsidP="00C53997">
      <w:pPr>
        <w:spacing w:line="276" w:lineRule="auto"/>
        <w:rPr>
          <w:rFonts w:ascii="Arial" w:hAnsi="Arial" w:cs="Arial"/>
        </w:rPr>
      </w:pPr>
    </w:p>
    <w:p w14:paraId="15A9DBA1" w14:textId="1DC52C69" w:rsidR="009E5F17" w:rsidRDefault="009E5F17" w:rsidP="009E5F17">
      <w:pPr>
        <w:spacing w:line="276" w:lineRule="auto"/>
        <w:jc w:val="both"/>
        <w:rPr>
          <w:rFonts w:ascii="Arial" w:hAnsi="Arial" w:cs="Arial"/>
        </w:rPr>
      </w:pPr>
      <w:r w:rsidRPr="003263A3">
        <w:rPr>
          <w:rFonts w:ascii="Arial" w:hAnsi="Arial" w:cs="Arial"/>
        </w:rPr>
        <w:t xml:space="preserve">It appears that the anti-germination activity of spores from the four tested products in vitro on </w:t>
      </w:r>
      <w:proofErr w:type="spellStart"/>
      <w:r w:rsidRPr="003263A3">
        <w:rPr>
          <w:rFonts w:ascii="Arial" w:hAnsi="Arial" w:cs="Arial"/>
          <w:i/>
          <w:iCs/>
        </w:rPr>
        <w:t>Mycosphaerella</w:t>
      </w:r>
      <w:proofErr w:type="spellEnd"/>
      <w:r w:rsidRPr="003263A3">
        <w:rPr>
          <w:rFonts w:ascii="Arial" w:hAnsi="Arial" w:cs="Arial"/>
          <w:i/>
          <w:iCs/>
        </w:rPr>
        <w:t xml:space="preserve"> </w:t>
      </w:r>
      <w:proofErr w:type="spellStart"/>
      <w:r w:rsidRPr="003263A3">
        <w:rPr>
          <w:rFonts w:ascii="Arial" w:hAnsi="Arial" w:cs="Arial"/>
          <w:i/>
          <w:iCs/>
        </w:rPr>
        <w:t>fijiensis</w:t>
      </w:r>
      <w:proofErr w:type="spellEnd"/>
      <w:r w:rsidRPr="003263A3">
        <w:rPr>
          <w:rFonts w:ascii="Arial" w:hAnsi="Arial" w:cs="Arial"/>
        </w:rPr>
        <w:t xml:space="preserve"> varies depending on the product and dose. Statistical analysis reveals a highly significant difference between the factors studied (P &lt; 0.0001). The control treatment recorded the highest number of germinated spores (100%) compared to the other treatments 24 hours after inoculation (</w:t>
      </w:r>
      <w:r w:rsidRPr="003263A3">
        <w:rPr>
          <w:rFonts w:ascii="Arial" w:hAnsi="Arial" w:cs="Arial"/>
          <w:b/>
          <w:bCs/>
        </w:rPr>
        <w:t>Table</w:t>
      </w:r>
      <w:r w:rsidR="00290BFA">
        <w:rPr>
          <w:rFonts w:ascii="Arial" w:hAnsi="Arial" w:cs="Arial"/>
          <w:b/>
          <w:bCs/>
        </w:rPr>
        <w:t>. 5</w:t>
      </w:r>
      <w:r w:rsidRPr="003263A3">
        <w:rPr>
          <w:rFonts w:ascii="Arial" w:hAnsi="Arial" w:cs="Arial"/>
        </w:rPr>
        <w:t xml:space="preserve">). </w:t>
      </w:r>
    </w:p>
    <w:p w14:paraId="19AD233F" w14:textId="77777777" w:rsidR="00306AC5" w:rsidRDefault="00306AC5" w:rsidP="00306AC5">
      <w:pPr>
        <w:rPr>
          <w:rFonts w:ascii="Arial" w:hAnsi="Arial" w:cs="Arial"/>
        </w:rPr>
      </w:pPr>
    </w:p>
    <w:p w14:paraId="56BAD422" w14:textId="437E7193" w:rsidR="00306AC5" w:rsidRPr="00306AC5" w:rsidRDefault="00306AC5" w:rsidP="00306AC5">
      <w:pPr>
        <w:spacing w:line="276" w:lineRule="auto"/>
        <w:rPr>
          <w:rFonts w:ascii="Arial" w:hAnsi="Arial" w:cs="Arial"/>
        </w:rPr>
      </w:pPr>
      <w:bookmarkStart w:id="7" w:name="_Hlk216484719"/>
      <w:r w:rsidRPr="00306AC5">
        <w:rPr>
          <w:rFonts w:ascii="Arial" w:hAnsi="Arial" w:cs="Arial"/>
          <w:b/>
          <w:bCs/>
        </w:rPr>
        <w:t xml:space="preserve">Table </w:t>
      </w:r>
      <w:r w:rsidR="00290BFA">
        <w:rPr>
          <w:rFonts w:ascii="Arial" w:hAnsi="Arial" w:cs="Arial"/>
          <w:b/>
          <w:bCs/>
        </w:rPr>
        <w:t>5</w:t>
      </w:r>
      <w:r w:rsidRPr="00306AC5">
        <w:rPr>
          <w:rFonts w:ascii="Arial" w:hAnsi="Arial" w:cs="Arial"/>
        </w:rPr>
        <w:t xml:space="preserve">. Effects of treatments on the germination of </w:t>
      </w:r>
      <w:proofErr w:type="spellStart"/>
      <w:r w:rsidRPr="00306AC5">
        <w:rPr>
          <w:rFonts w:ascii="Arial" w:hAnsi="Arial" w:cs="Arial"/>
        </w:rPr>
        <w:t>Mycosphaerella</w:t>
      </w:r>
      <w:proofErr w:type="spellEnd"/>
      <w:r w:rsidRPr="00306AC5">
        <w:rPr>
          <w:rFonts w:ascii="Arial" w:hAnsi="Arial" w:cs="Arial"/>
        </w:rPr>
        <w:t xml:space="preserve"> </w:t>
      </w:r>
      <w:proofErr w:type="spellStart"/>
      <w:r w:rsidRPr="00306AC5">
        <w:rPr>
          <w:rFonts w:ascii="Arial" w:hAnsi="Arial" w:cs="Arial"/>
        </w:rPr>
        <w:t>fijiensis</w:t>
      </w:r>
      <w:proofErr w:type="spellEnd"/>
      <w:r w:rsidRPr="00306AC5">
        <w:rPr>
          <w:rFonts w:ascii="Arial" w:hAnsi="Arial" w:cs="Arial"/>
        </w:rPr>
        <w:t xml:space="preserve"> spores</w:t>
      </w:r>
    </w:p>
    <w:p w14:paraId="586907F3" w14:textId="77777777" w:rsidR="00306AC5" w:rsidRPr="00306AC5" w:rsidRDefault="00306AC5" w:rsidP="00306AC5">
      <w:pPr>
        <w:spacing w:line="276" w:lineRule="auto"/>
        <w:rPr>
          <w:rFonts w:ascii="Arial" w:hAnsi="Arial" w:cs="Arial"/>
        </w:rPr>
      </w:pPr>
    </w:p>
    <w:tbl>
      <w:tblPr>
        <w:tblStyle w:val="Tableausimple22"/>
        <w:tblW w:w="5000" w:type="pct"/>
        <w:tblBorders>
          <w:top w:val="single" w:sz="12" w:space="0" w:color="auto"/>
          <w:bottom w:val="single" w:sz="12" w:space="0" w:color="auto"/>
        </w:tblBorders>
        <w:tblLook w:val="04A0" w:firstRow="1" w:lastRow="0" w:firstColumn="1" w:lastColumn="0" w:noHBand="0" w:noVBand="1"/>
      </w:tblPr>
      <w:tblGrid>
        <w:gridCol w:w="2340"/>
        <w:gridCol w:w="1411"/>
        <w:gridCol w:w="1411"/>
        <w:gridCol w:w="1410"/>
        <w:gridCol w:w="1410"/>
        <w:gridCol w:w="1410"/>
        <w:gridCol w:w="1408"/>
      </w:tblGrid>
      <w:tr w:rsidR="00306AC5" w:rsidRPr="00306AC5" w14:paraId="1850AD11" w14:textId="77777777" w:rsidTr="0053588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vMerge w:val="restart"/>
            <w:tcBorders>
              <w:top w:val="single" w:sz="12" w:space="0" w:color="auto"/>
              <w:bottom w:val="nil"/>
            </w:tcBorders>
            <w:noWrap/>
            <w:vAlign w:val="center"/>
            <w:hideMark/>
          </w:tcPr>
          <w:bookmarkEnd w:id="7"/>
          <w:p w14:paraId="5062C8D2" w14:textId="77777777" w:rsidR="00306AC5" w:rsidRPr="00306AC5" w:rsidRDefault="00306AC5" w:rsidP="00A76C67">
            <w:pPr>
              <w:spacing w:line="276" w:lineRule="auto"/>
              <w:rPr>
                <w:rFonts w:ascii="Arial" w:eastAsia="Times New Roman" w:hAnsi="Arial" w:cs="Arial"/>
                <w:b w:val="0"/>
                <w:bCs w:val="0"/>
                <w:sz w:val="20"/>
                <w:szCs w:val="20"/>
                <w:lang w:val="en-US"/>
              </w:rPr>
            </w:pPr>
            <w:proofErr w:type="spellStart"/>
            <w:r w:rsidRPr="00306AC5">
              <w:rPr>
                <w:rFonts w:ascii="Arial" w:eastAsia="Times New Roman" w:hAnsi="Arial" w:cs="Arial"/>
                <w:b w:val="0"/>
                <w:bCs w:val="0"/>
                <w:sz w:val="20"/>
                <w:szCs w:val="20"/>
                <w:lang w:val="en-US"/>
              </w:rPr>
              <w:t>Fongicides</w:t>
            </w:r>
            <w:proofErr w:type="spellEnd"/>
            <w:r w:rsidRPr="00306AC5">
              <w:rPr>
                <w:rFonts w:ascii="Arial" w:eastAsia="Times New Roman" w:hAnsi="Arial" w:cs="Arial"/>
                <w:b w:val="0"/>
                <w:bCs w:val="0"/>
                <w:sz w:val="20"/>
                <w:szCs w:val="20"/>
                <w:lang w:val="en-US"/>
              </w:rPr>
              <w:t>/HE</w:t>
            </w:r>
          </w:p>
        </w:tc>
        <w:tc>
          <w:tcPr>
            <w:tcW w:w="1306" w:type="pct"/>
            <w:gridSpan w:val="2"/>
            <w:tcBorders>
              <w:top w:val="single" w:sz="12" w:space="0" w:color="auto"/>
              <w:bottom w:val="single" w:sz="8" w:space="0" w:color="auto"/>
            </w:tcBorders>
            <w:noWrap/>
            <w:hideMark/>
          </w:tcPr>
          <w:p w14:paraId="78BF0E6E"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Lower dose</w:t>
            </w:r>
          </w:p>
        </w:tc>
        <w:tc>
          <w:tcPr>
            <w:tcW w:w="1306" w:type="pct"/>
            <w:gridSpan w:val="2"/>
            <w:tcBorders>
              <w:top w:val="single" w:sz="12" w:space="0" w:color="auto"/>
              <w:bottom w:val="single" w:sz="8" w:space="0" w:color="auto"/>
            </w:tcBorders>
            <w:noWrap/>
            <w:hideMark/>
          </w:tcPr>
          <w:p w14:paraId="5499929D"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Recommended dose</w:t>
            </w:r>
          </w:p>
        </w:tc>
        <w:tc>
          <w:tcPr>
            <w:tcW w:w="1306" w:type="pct"/>
            <w:gridSpan w:val="2"/>
            <w:tcBorders>
              <w:top w:val="single" w:sz="12" w:space="0" w:color="auto"/>
              <w:bottom w:val="single" w:sz="8" w:space="0" w:color="auto"/>
            </w:tcBorders>
            <w:noWrap/>
            <w:hideMark/>
          </w:tcPr>
          <w:p w14:paraId="229A663B"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Higher dose</w:t>
            </w:r>
          </w:p>
        </w:tc>
      </w:tr>
      <w:tr w:rsidR="00306AC5" w:rsidRPr="00306AC5" w14:paraId="39FED5F2" w14:textId="77777777" w:rsidTr="005358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vMerge/>
            <w:tcBorders>
              <w:top w:val="nil"/>
              <w:bottom w:val="single" w:sz="12" w:space="0" w:color="auto"/>
            </w:tcBorders>
            <w:hideMark/>
          </w:tcPr>
          <w:p w14:paraId="6A0C3187" w14:textId="77777777" w:rsidR="00306AC5" w:rsidRPr="00306AC5" w:rsidRDefault="00306AC5" w:rsidP="00A76C67">
            <w:pPr>
              <w:spacing w:line="276" w:lineRule="auto"/>
              <w:rPr>
                <w:rFonts w:ascii="Arial" w:eastAsia="Times New Roman" w:hAnsi="Arial" w:cs="Arial"/>
                <w:b w:val="0"/>
                <w:bCs w:val="0"/>
                <w:sz w:val="20"/>
                <w:szCs w:val="20"/>
                <w:lang w:val="en-US"/>
              </w:rPr>
            </w:pPr>
          </w:p>
        </w:tc>
        <w:tc>
          <w:tcPr>
            <w:tcW w:w="653" w:type="pct"/>
            <w:tcBorders>
              <w:top w:val="single" w:sz="8" w:space="0" w:color="auto"/>
              <w:bottom w:val="single" w:sz="12" w:space="0" w:color="auto"/>
            </w:tcBorders>
            <w:noWrap/>
            <w:hideMark/>
          </w:tcPr>
          <w:p w14:paraId="70D4E567"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327186B2"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48493241"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3B19CE6A"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68109A7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6001A409"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r>
      <w:tr w:rsidR="00306AC5" w:rsidRPr="00306AC5" w14:paraId="4FC93021" w14:textId="77777777" w:rsidTr="00535889">
        <w:trPr>
          <w:trHeight w:val="360"/>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tcBorders>
            <w:noWrap/>
            <w:hideMark/>
          </w:tcPr>
          <w:p w14:paraId="0062753E"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Control</w:t>
            </w:r>
          </w:p>
        </w:tc>
        <w:tc>
          <w:tcPr>
            <w:tcW w:w="653" w:type="pct"/>
            <w:tcBorders>
              <w:top w:val="single" w:sz="12" w:space="0" w:color="auto"/>
            </w:tcBorders>
            <w:noWrap/>
            <w:hideMark/>
          </w:tcPr>
          <w:p w14:paraId="5C387435"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7CCF074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2D57C202"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1ABA80A6"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d</w:t>
            </w:r>
          </w:p>
        </w:tc>
        <w:tc>
          <w:tcPr>
            <w:tcW w:w="653" w:type="pct"/>
            <w:tcBorders>
              <w:top w:val="single" w:sz="12" w:space="0" w:color="auto"/>
            </w:tcBorders>
            <w:noWrap/>
            <w:hideMark/>
          </w:tcPr>
          <w:p w14:paraId="7FE62370"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b</w:t>
            </w:r>
          </w:p>
        </w:tc>
        <w:tc>
          <w:tcPr>
            <w:tcW w:w="653" w:type="pct"/>
            <w:tcBorders>
              <w:top w:val="single" w:sz="12" w:space="0" w:color="auto"/>
            </w:tcBorders>
            <w:noWrap/>
            <w:hideMark/>
          </w:tcPr>
          <w:p w14:paraId="3AEA764D"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r>
      <w:tr w:rsidR="00306AC5" w:rsidRPr="00306AC5" w14:paraId="4F3712EE" w14:textId="77777777" w:rsidTr="005358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083" w:type="pct"/>
            <w:tcBorders>
              <w:top w:val="none" w:sz="0" w:space="0" w:color="auto"/>
              <w:bottom w:val="none" w:sz="0" w:space="0" w:color="auto"/>
            </w:tcBorders>
            <w:noWrap/>
            <w:hideMark/>
          </w:tcPr>
          <w:p w14:paraId="744838C1"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 xml:space="preserve">HE of </w:t>
            </w:r>
            <w:proofErr w:type="spellStart"/>
            <w:proofErr w:type="gramStart"/>
            <w:r w:rsidRPr="00306AC5">
              <w:rPr>
                <w:rFonts w:ascii="Arial" w:eastAsia="Times New Roman" w:hAnsi="Arial" w:cs="Arial"/>
                <w:b w:val="0"/>
                <w:bCs w:val="0"/>
                <w:sz w:val="20"/>
                <w:szCs w:val="20"/>
                <w:lang w:val="en-US"/>
              </w:rPr>
              <w:t>L.multiflora</w:t>
            </w:r>
            <w:proofErr w:type="spellEnd"/>
            <w:proofErr w:type="gramEnd"/>
          </w:p>
        </w:tc>
        <w:tc>
          <w:tcPr>
            <w:tcW w:w="653" w:type="pct"/>
            <w:tcBorders>
              <w:top w:val="none" w:sz="0" w:space="0" w:color="auto"/>
              <w:bottom w:val="none" w:sz="0" w:space="0" w:color="auto"/>
            </w:tcBorders>
            <w:noWrap/>
            <w:hideMark/>
          </w:tcPr>
          <w:p w14:paraId="11B62AFE"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96,33 c</w:t>
            </w:r>
          </w:p>
        </w:tc>
        <w:tc>
          <w:tcPr>
            <w:tcW w:w="653" w:type="pct"/>
            <w:tcBorders>
              <w:top w:val="none" w:sz="0" w:space="0" w:color="auto"/>
              <w:bottom w:val="none" w:sz="0" w:space="0" w:color="auto"/>
            </w:tcBorders>
            <w:noWrap/>
            <w:hideMark/>
          </w:tcPr>
          <w:p w14:paraId="149C14E3"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97,66 c</w:t>
            </w:r>
          </w:p>
        </w:tc>
        <w:tc>
          <w:tcPr>
            <w:tcW w:w="653" w:type="pct"/>
            <w:tcBorders>
              <w:top w:val="none" w:sz="0" w:space="0" w:color="auto"/>
              <w:bottom w:val="none" w:sz="0" w:space="0" w:color="auto"/>
            </w:tcBorders>
            <w:noWrap/>
            <w:hideMark/>
          </w:tcPr>
          <w:p w14:paraId="42DA0E4C"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67,66 b</w:t>
            </w:r>
          </w:p>
        </w:tc>
        <w:tc>
          <w:tcPr>
            <w:tcW w:w="653" w:type="pct"/>
            <w:tcBorders>
              <w:top w:val="none" w:sz="0" w:space="0" w:color="auto"/>
              <w:bottom w:val="none" w:sz="0" w:space="0" w:color="auto"/>
            </w:tcBorders>
            <w:noWrap/>
            <w:hideMark/>
          </w:tcPr>
          <w:p w14:paraId="42635E8A"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77,33 b</w:t>
            </w:r>
          </w:p>
        </w:tc>
        <w:tc>
          <w:tcPr>
            <w:tcW w:w="653" w:type="pct"/>
            <w:tcBorders>
              <w:top w:val="none" w:sz="0" w:space="0" w:color="auto"/>
              <w:bottom w:val="none" w:sz="0" w:space="0" w:color="auto"/>
            </w:tcBorders>
            <w:noWrap/>
            <w:hideMark/>
          </w:tcPr>
          <w:p w14:paraId="792EA14E"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top w:val="none" w:sz="0" w:space="0" w:color="auto"/>
              <w:bottom w:val="none" w:sz="0" w:space="0" w:color="auto"/>
            </w:tcBorders>
            <w:noWrap/>
            <w:hideMark/>
          </w:tcPr>
          <w:p w14:paraId="0CEF30FD"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306AC5" w:rsidRPr="00306AC5" w14:paraId="72EF4BD5" w14:textId="77777777" w:rsidTr="00535889">
        <w:trPr>
          <w:trHeight w:val="323"/>
        </w:trPr>
        <w:tc>
          <w:tcPr>
            <w:cnfStyle w:val="001000000000" w:firstRow="0" w:lastRow="0" w:firstColumn="1" w:lastColumn="0" w:oddVBand="0" w:evenVBand="0" w:oddHBand="0" w:evenHBand="0" w:firstRowFirstColumn="0" w:firstRowLastColumn="0" w:lastRowFirstColumn="0" w:lastRowLastColumn="0"/>
            <w:tcW w:w="1083" w:type="pct"/>
            <w:noWrap/>
            <w:hideMark/>
          </w:tcPr>
          <w:p w14:paraId="0EDE1712"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 xml:space="preserve">HE of O. </w:t>
            </w:r>
            <w:proofErr w:type="spellStart"/>
            <w:r w:rsidRPr="00306AC5">
              <w:rPr>
                <w:rFonts w:ascii="Arial" w:eastAsia="Times New Roman" w:hAnsi="Arial" w:cs="Arial"/>
                <w:b w:val="0"/>
                <w:bCs w:val="0"/>
                <w:sz w:val="20"/>
                <w:szCs w:val="20"/>
                <w:lang w:val="en-US"/>
              </w:rPr>
              <w:t>gratissimum</w:t>
            </w:r>
            <w:proofErr w:type="spellEnd"/>
          </w:p>
        </w:tc>
        <w:tc>
          <w:tcPr>
            <w:tcW w:w="653" w:type="pct"/>
            <w:noWrap/>
            <w:hideMark/>
          </w:tcPr>
          <w:p w14:paraId="7927C283"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54 b</w:t>
            </w:r>
          </w:p>
        </w:tc>
        <w:tc>
          <w:tcPr>
            <w:tcW w:w="653" w:type="pct"/>
            <w:noWrap/>
            <w:hideMark/>
          </w:tcPr>
          <w:p w14:paraId="055E058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56,66 b</w:t>
            </w:r>
          </w:p>
        </w:tc>
        <w:tc>
          <w:tcPr>
            <w:tcW w:w="653" w:type="pct"/>
            <w:noWrap/>
            <w:hideMark/>
          </w:tcPr>
          <w:p w14:paraId="030752F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4B072479"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6C0F2620"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1C36873F"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306AC5" w:rsidRPr="00306AC5" w14:paraId="596D906B" w14:textId="77777777" w:rsidTr="005358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tcBorders>
              <w:top w:val="none" w:sz="0" w:space="0" w:color="auto"/>
              <w:bottom w:val="none" w:sz="0" w:space="0" w:color="auto"/>
            </w:tcBorders>
            <w:noWrap/>
            <w:hideMark/>
          </w:tcPr>
          <w:p w14:paraId="613D2350"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Copper hydroxide</w:t>
            </w:r>
          </w:p>
        </w:tc>
        <w:tc>
          <w:tcPr>
            <w:tcW w:w="653" w:type="pct"/>
            <w:tcBorders>
              <w:top w:val="none" w:sz="0" w:space="0" w:color="auto"/>
              <w:bottom w:val="none" w:sz="0" w:space="0" w:color="auto"/>
            </w:tcBorders>
            <w:noWrap/>
            <w:hideMark/>
          </w:tcPr>
          <w:p w14:paraId="0180948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56 b</w:t>
            </w:r>
          </w:p>
        </w:tc>
        <w:tc>
          <w:tcPr>
            <w:tcW w:w="653" w:type="pct"/>
            <w:tcBorders>
              <w:top w:val="none" w:sz="0" w:space="0" w:color="auto"/>
              <w:bottom w:val="none" w:sz="0" w:space="0" w:color="auto"/>
            </w:tcBorders>
            <w:noWrap/>
            <w:hideMark/>
          </w:tcPr>
          <w:p w14:paraId="3CCD9D36"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60,66 b</w:t>
            </w:r>
          </w:p>
        </w:tc>
        <w:tc>
          <w:tcPr>
            <w:tcW w:w="653" w:type="pct"/>
            <w:tcBorders>
              <w:top w:val="none" w:sz="0" w:space="0" w:color="auto"/>
              <w:bottom w:val="none" w:sz="0" w:space="0" w:color="auto"/>
            </w:tcBorders>
            <w:noWrap/>
            <w:hideMark/>
          </w:tcPr>
          <w:p w14:paraId="3714E8A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62,66 b</w:t>
            </w:r>
          </w:p>
        </w:tc>
        <w:tc>
          <w:tcPr>
            <w:tcW w:w="653" w:type="pct"/>
            <w:tcBorders>
              <w:top w:val="none" w:sz="0" w:space="0" w:color="auto"/>
              <w:bottom w:val="none" w:sz="0" w:space="0" w:color="auto"/>
            </w:tcBorders>
            <w:noWrap/>
            <w:hideMark/>
          </w:tcPr>
          <w:p w14:paraId="382D166C"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64,33 c</w:t>
            </w:r>
          </w:p>
        </w:tc>
        <w:tc>
          <w:tcPr>
            <w:tcW w:w="653" w:type="pct"/>
            <w:tcBorders>
              <w:top w:val="none" w:sz="0" w:space="0" w:color="auto"/>
              <w:bottom w:val="none" w:sz="0" w:space="0" w:color="auto"/>
            </w:tcBorders>
            <w:noWrap/>
            <w:hideMark/>
          </w:tcPr>
          <w:p w14:paraId="34C1EDF9"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2,00 a</w:t>
            </w:r>
          </w:p>
        </w:tc>
        <w:tc>
          <w:tcPr>
            <w:tcW w:w="653" w:type="pct"/>
            <w:tcBorders>
              <w:top w:val="none" w:sz="0" w:space="0" w:color="auto"/>
              <w:bottom w:val="none" w:sz="0" w:space="0" w:color="auto"/>
            </w:tcBorders>
            <w:noWrap/>
            <w:hideMark/>
          </w:tcPr>
          <w:p w14:paraId="0ED340E7"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28,49 b</w:t>
            </w:r>
          </w:p>
        </w:tc>
      </w:tr>
      <w:tr w:rsidR="00306AC5" w:rsidRPr="00306AC5" w14:paraId="5CDFE8CF" w14:textId="77777777" w:rsidTr="00535889">
        <w:trPr>
          <w:trHeight w:val="323"/>
        </w:trPr>
        <w:tc>
          <w:tcPr>
            <w:cnfStyle w:val="001000000000" w:firstRow="0" w:lastRow="0" w:firstColumn="1" w:lastColumn="0" w:oddVBand="0" w:evenVBand="0" w:oddHBand="0" w:evenHBand="0" w:firstRowFirstColumn="0" w:firstRowLastColumn="0" w:lastRowFirstColumn="0" w:lastRowLastColumn="0"/>
            <w:tcW w:w="1083" w:type="pct"/>
            <w:tcBorders>
              <w:bottom w:val="single" w:sz="12" w:space="0" w:color="auto"/>
            </w:tcBorders>
            <w:noWrap/>
            <w:hideMark/>
          </w:tcPr>
          <w:p w14:paraId="5B4A430B"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Mancozeb</w:t>
            </w:r>
          </w:p>
          <w:p w14:paraId="4AFAE598" w14:textId="77777777" w:rsidR="00306AC5" w:rsidRPr="00306AC5" w:rsidRDefault="00306AC5" w:rsidP="00A76C67">
            <w:pPr>
              <w:spacing w:line="276" w:lineRule="auto"/>
              <w:rPr>
                <w:rFonts w:ascii="Arial" w:eastAsia="Times New Roman" w:hAnsi="Arial" w:cs="Arial"/>
                <w:b w:val="0"/>
                <w:bCs w:val="0"/>
                <w:sz w:val="20"/>
                <w:szCs w:val="20"/>
                <w:lang w:val="en-US"/>
              </w:rPr>
            </w:pPr>
          </w:p>
        </w:tc>
        <w:tc>
          <w:tcPr>
            <w:tcW w:w="653" w:type="pct"/>
            <w:tcBorders>
              <w:bottom w:val="single" w:sz="12" w:space="0" w:color="auto"/>
            </w:tcBorders>
            <w:noWrap/>
            <w:hideMark/>
          </w:tcPr>
          <w:p w14:paraId="1646E7F1"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393CB55C"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690655B9"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3313891A"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0F7F7DB2"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2905C193"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535889" w:rsidRPr="00535889" w14:paraId="067F9AE8" w14:textId="77777777" w:rsidTr="00C539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12" w:space="0" w:color="auto"/>
            </w:tcBorders>
            <w:noWrap/>
          </w:tcPr>
          <w:p w14:paraId="14F3472F" w14:textId="708312C4" w:rsidR="00535889" w:rsidRPr="00535889" w:rsidRDefault="00535889" w:rsidP="00A76C67">
            <w:pPr>
              <w:spacing w:line="276" w:lineRule="auto"/>
              <w:rPr>
                <w:rFonts w:ascii="Arial" w:eastAsia="Times New Roman" w:hAnsi="Arial" w:cs="Arial"/>
                <w:sz w:val="20"/>
                <w:szCs w:val="20"/>
                <w:lang w:val="en-US"/>
              </w:rPr>
            </w:pPr>
            <w:proofErr w:type="spellStart"/>
            <w:r w:rsidRPr="00535889">
              <w:rPr>
                <w:rFonts w:ascii="Arial" w:eastAsia="Times New Roman" w:hAnsi="Arial" w:cs="Arial"/>
                <w:b w:val="0"/>
                <w:bCs w:val="0"/>
                <w:sz w:val="20"/>
                <w:szCs w:val="20"/>
                <w:lang w:val="en-US"/>
              </w:rPr>
              <w:t>Pr</w:t>
            </w:r>
            <w:proofErr w:type="spellEnd"/>
            <w:r w:rsidRPr="00535889">
              <w:rPr>
                <w:rFonts w:ascii="Arial" w:eastAsia="Times New Roman" w:hAnsi="Arial" w:cs="Arial"/>
                <w:b w:val="0"/>
                <w:bCs w:val="0"/>
                <w:sz w:val="20"/>
                <w:szCs w:val="20"/>
                <w:lang w:val="en-US"/>
              </w:rPr>
              <w:t>&gt; F</w:t>
            </w:r>
          </w:p>
        </w:tc>
        <w:tc>
          <w:tcPr>
            <w:tcW w:w="653" w:type="pct"/>
            <w:tcBorders>
              <w:top w:val="single" w:sz="12" w:space="0" w:color="auto"/>
              <w:bottom w:val="single" w:sz="12" w:space="0" w:color="auto"/>
            </w:tcBorders>
            <w:noWrap/>
          </w:tcPr>
          <w:p w14:paraId="53FEA4D3" w14:textId="585D7BE2"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6B0608D1" w14:textId="5CA5FD99"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618D35C8" w14:textId="4A067BEE"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01551D3D" w14:textId="18D81938"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394F6FFF" w14:textId="0E8CC6D1" w:rsidR="00535889" w:rsidRPr="00535889" w:rsidRDefault="00535889" w:rsidP="0053588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37886460" w14:textId="33397150" w:rsidR="00535889" w:rsidRPr="00535889" w:rsidRDefault="00535889" w:rsidP="0053588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r>
      <w:tr w:rsidR="00C53997" w:rsidRPr="00535889" w14:paraId="3D0E714E" w14:textId="77777777" w:rsidTr="00535889">
        <w:trPr>
          <w:trHeight w:val="292"/>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4" w:space="0" w:color="auto"/>
            </w:tcBorders>
            <w:noWrap/>
          </w:tcPr>
          <w:p w14:paraId="181ED394" w14:textId="3C9E7515" w:rsidR="00C53997" w:rsidRPr="009C370A" w:rsidRDefault="009C370A" w:rsidP="00A76C67">
            <w:pPr>
              <w:spacing w:line="276" w:lineRule="auto"/>
              <w:rPr>
                <w:rFonts w:ascii="Arial" w:hAnsi="Arial" w:cs="Arial"/>
                <w:b w:val="0"/>
                <w:bCs w:val="0"/>
              </w:rPr>
            </w:pPr>
            <w:proofErr w:type="spellStart"/>
            <w:r>
              <w:rPr>
                <w:rFonts w:ascii="Arial" w:hAnsi="Arial" w:cs="Arial"/>
                <w:b w:val="0"/>
                <w:bCs w:val="0"/>
                <w:i/>
                <w:iCs/>
              </w:rPr>
              <w:t>S</w:t>
            </w:r>
            <w:r w:rsidRPr="009C370A">
              <w:rPr>
                <w:rFonts w:ascii="Arial" w:hAnsi="Arial" w:cs="Arial"/>
                <w:b w:val="0"/>
                <w:bCs w:val="0"/>
                <w:i/>
                <w:iCs/>
              </w:rPr>
              <w:t>ignifican</w:t>
            </w:r>
            <w:r>
              <w:rPr>
                <w:rFonts w:ascii="Arial" w:hAnsi="Arial" w:cs="Arial"/>
                <w:b w:val="0"/>
                <w:bCs w:val="0"/>
                <w:i/>
                <w:iCs/>
              </w:rPr>
              <w:t>ce</w:t>
            </w:r>
            <w:proofErr w:type="spellEnd"/>
          </w:p>
        </w:tc>
        <w:tc>
          <w:tcPr>
            <w:tcW w:w="653" w:type="pct"/>
            <w:tcBorders>
              <w:top w:val="single" w:sz="12" w:space="0" w:color="auto"/>
              <w:bottom w:val="single" w:sz="4" w:space="0" w:color="auto"/>
            </w:tcBorders>
            <w:noWrap/>
          </w:tcPr>
          <w:p w14:paraId="71A7A4DC" w14:textId="66C70156"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476C92CB" w14:textId="48639321"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2B484DCA" w14:textId="43A77E7C"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0FDD0245" w14:textId="68DA559C"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2CACDA46" w14:textId="472B007D" w:rsidR="00C53997" w:rsidRPr="00535889" w:rsidRDefault="009C370A" w:rsidP="0053588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7E3E74A9" w14:textId="1612F9DA" w:rsidR="00C53997" w:rsidRPr="00535889" w:rsidRDefault="009C370A" w:rsidP="0053588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bl>
    <w:p w14:paraId="32A6B2D4" w14:textId="11F1FC1D" w:rsidR="00535889" w:rsidRPr="004B78FE" w:rsidRDefault="004B78FE" w:rsidP="00306AC5">
      <w:pPr>
        <w:spacing w:line="276" w:lineRule="auto"/>
        <w:rPr>
          <w:rFonts w:ascii="Arial" w:hAnsi="Arial" w:cs="Arial"/>
        </w:rPr>
      </w:pPr>
      <w:proofErr w:type="spellStart"/>
      <w:r w:rsidRPr="004B78FE">
        <w:rPr>
          <w:rFonts w:ascii="Arial" w:hAnsi="Arial" w:cs="Arial"/>
          <w:i/>
          <w:iCs/>
        </w:rPr>
        <w:t>Pr</w:t>
      </w:r>
      <w:proofErr w:type="spellEnd"/>
      <w:r w:rsidRPr="004B78FE">
        <w:rPr>
          <w:rFonts w:ascii="Arial" w:hAnsi="Arial" w:cs="Arial"/>
          <w:i/>
          <w:iCs/>
        </w:rPr>
        <w:t>(&gt;F): critical probability; F: variability between factors; Significance: ***P &lt; 0.001 (highly significant</w:t>
      </w:r>
      <w:proofErr w:type="gramStart"/>
      <w:r w:rsidRPr="004B78FE">
        <w:rPr>
          <w:rFonts w:ascii="Arial" w:hAnsi="Arial" w:cs="Arial"/>
          <w:i/>
          <w:iCs/>
        </w:rPr>
        <w:t>) ;</w:t>
      </w:r>
      <w:proofErr w:type="gramEnd"/>
      <w:r w:rsidRPr="004B78FE">
        <w:rPr>
          <w:rFonts w:ascii="Arial" w:hAnsi="Arial" w:cs="Arial"/>
          <w:i/>
          <w:iCs/>
        </w:rPr>
        <w:t xml:space="preserve"> **P &lt; 0.01 (very significant difference); </w:t>
      </w:r>
      <w:proofErr w:type="spellStart"/>
      <w:r w:rsidRPr="004B78FE">
        <w:rPr>
          <w:rFonts w:ascii="Arial" w:hAnsi="Arial" w:cs="Arial"/>
          <w:i/>
          <w:iCs/>
        </w:rPr>
        <w:t>nsP</w:t>
      </w:r>
      <w:proofErr w:type="spellEnd"/>
      <w:r w:rsidRPr="004B78FE">
        <w:rPr>
          <w:rFonts w:ascii="Arial" w:hAnsi="Arial" w:cs="Arial"/>
          <w:i/>
          <w:iCs/>
        </w:rPr>
        <w:t xml:space="preserve"> &gt; 0.05 (non-significant)</w:t>
      </w:r>
    </w:p>
    <w:p w14:paraId="253646B0" w14:textId="176A0B76" w:rsidR="00306AC5" w:rsidRPr="00306AC5" w:rsidRDefault="00306AC5" w:rsidP="00306AC5">
      <w:pPr>
        <w:spacing w:line="276" w:lineRule="auto"/>
        <w:rPr>
          <w:rFonts w:ascii="Arial" w:hAnsi="Arial" w:cs="Arial"/>
        </w:rPr>
      </w:pPr>
      <w:r w:rsidRPr="00306AC5">
        <w:rPr>
          <w:rFonts w:ascii="Arial" w:hAnsi="Arial" w:cs="Arial"/>
          <w:b/>
          <w:bCs/>
        </w:rPr>
        <w:t>Legend</w:t>
      </w:r>
      <w:r w:rsidRPr="00306AC5">
        <w:rPr>
          <w:rFonts w:ascii="Arial" w:hAnsi="Arial" w:cs="Arial"/>
        </w:rPr>
        <w:t xml:space="preserve">. HAS: Hour after seeding; Sg: Germinated spores; </w:t>
      </w:r>
      <w:r w:rsidR="004B78FE">
        <w:rPr>
          <w:rFonts w:ascii="Arial" w:hAnsi="Arial" w:cs="Arial"/>
        </w:rPr>
        <w:t>Control</w:t>
      </w:r>
      <w:r w:rsidRPr="00306AC5">
        <w:rPr>
          <w:rFonts w:ascii="Arial" w:hAnsi="Arial" w:cs="Arial"/>
        </w:rPr>
        <w:t>: Untreated control.</w:t>
      </w:r>
    </w:p>
    <w:p w14:paraId="2C0BDDAC" w14:textId="77777777" w:rsidR="00306AC5" w:rsidRPr="003263A3" w:rsidRDefault="00306AC5" w:rsidP="009E5F17">
      <w:pPr>
        <w:spacing w:line="276" w:lineRule="auto"/>
        <w:jc w:val="both"/>
        <w:rPr>
          <w:rFonts w:ascii="Arial" w:hAnsi="Arial" w:cs="Arial"/>
        </w:rPr>
      </w:pPr>
    </w:p>
    <w:p w14:paraId="305B7CF7" w14:textId="77777777" w:rsidR="009E5F17" w:rsidRPr="003263A3" w:rsidRDefault="009E5F17" w:rsidP="009E5F17">
      <w:pPr>
        <w:spacing w:line="276" w:lineRule="auto"/>
        <w:jc w:val="both"/>
        <w:rPr>
          <w:rFonts w:ascii="Arial" w:hAnsi="Arial" w:cs="Arial"/>
        </w:rPr>
      </w:pPr>
      <w:r w:rsidRPr="003263A3">
        <w:rPr>
          <w:rFonts w:ascii="Arial" w:hAnsi="Arial" w:cs="Arial"/>
        </w:rPr>
        <w:t xml:space="preserve">Germination percentages based on doses are as follows: for the low dose of copper hydroxide (60%),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(97%), and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(56%). At higher doses, a complete absence of spore germination was observed for treatments with Mancozeb,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and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compared to the copper hydroxide treatment (28.49%). The anti-germination activity varied depending on the treatments and doses applied. At low doses, inhibition rates were 43.33% for </w:t>
      </w:r>
      <w:proofErr w:type="spellStart"/>
      <w:r w:rsidRPr="003263A3">
        <w:rPr>
          <w:rFonts w:ascii="Arial" w:hAnsi="Arial" w:cs="Arial"/>
          <w:i/>
          <w:iCs/>
        </w:rPr>
        <w:t>Ocimum</w:t>
      </w:r>
      <w:proofErr w:type="spellEnd"/>
      <w:r w:rsidRPr="003263A3">
        <w:rPr>
          <w:rFonts w:ascii="Arial" w:hAnsi="Arial" w:cs="Arial"/>
          <w:i/>
          <w:iCs/>
        </w:rPr>
        <w:t xml:space="preserve"> </w:t>
      </w:r>
      <w:proofErr w:type="spellStart"/>
      <w:r w:rsidRPr="003263A3">
        <w:rPr>
          <w:rFonts w:ascii="Arial" w:hAnsi="Arial" w:cs="Arial"/>
          <w:i/>
          <w:iCs/>
        </w:rPr>
        <w:t>gratissimum</w:t>
      </w:r>
      <w:proofErr w:type="spellEnd"/>
      <w:r w:rsidRPr="003263A3">
        <w:rPr>
          <w:rFonts w:ascii="Arial" w:hAnsi="Arial" w:cs="Arial"/>
        </w:rPr>
        <w:t xml:space="preserve">, 2.33% for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and 39.33% for copper hydroxide. At medium doses,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showed complete inhibition (100%), compared to 22.66% for L. multiflora and 35.67% for copper hydroxide. At high doses,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and </w:t>
      </w:r>
      <w:r w:rsidRPr="003263A3">
        <w:rPr>
          <w:rFonts w:ascii="Arial" w:hAnsi="Arial" w:cs="Arial"/>
          <w:i/>
          <w:iCs/>
        </w:rPr>
        <w:t>L. multiflora</w:t>
      </w:r>
      <w:r w:rsidRPr="003263A3">
        <w:rPr>
          <w:rFonts w:ascii="Arial" w:hAnsi="Arial" w:cs="Arial"/>
        </w:rPr>
        <w:t xml:space="preserve"> reached 100% inhibition, while copper hydroxide reached 71.5%. The overall effectiveness assessment distinguished two groups: (</w:t>
      </w:r>
      <w:proofErr w:type="spellStart"/>
      <w:r w:rsidRPr="003263A3">
        <w:rPr>
          <w:rFonts w:ascii="Arial" w:hAnsi="Arial" w:cs="Arial"/>
        </w:rPr>
        <w:t>i</w:t>
      </w:r>
      <w:proofErr w:type="spellEnd"/>
      <w:r w:rsidRPr="003263A3">
        <w:rPr>
          <w:rFonts w:ascii="Arial" w:hAnsi="Arial" w:cs="Arial"/>
        </w:rPr>
        <w:t xml:space="preserve">) highly effective treatments, including Mancozeb (100%) and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essential oil (81.11%), and (ii) moderately effective treatments, represented by copper hydroxide (48.83%) and </w:t>
      </w:r>
      <w:r w:rsidRPr="003263A3">
        <w:rPr>
          <w:rFonts w:ascii="Arial" w:hAnsi="Arial" w:cs="Arial"/>
          <w:i/>
          <w:iCs/>
        </w:rPr>
        <w:t>L. multiflora</w:t>
      </w:r>
      <w:r w:rsidRPr="003263A3">
        <w:rPr>
          <w:rFonts w:ascii="Arial" w:hAnsi="Arial" w:cs="Arial"/>
        </w:rPr>
        <w:t xml:space="preserve"> (41.66%). (</w:t>
      </w:r>
      <w:bookmarkStart w:id="8" w:name="_GoBack"/>
      <w:r w:rsidRPr="003263A3">
        <w:rPr>
          <w:rFonts w:ascii="Arial" w:hAnsi="Arial" w:cs="Arial"/>
          <w:b/>
          <w:bCs/>
        </w:rPr>
        <w:t>Fig</w:t>
      </w:r>
      <w:bookmarkEnd w:id="8"/>
      <w:r w:rsidRPr="003263A3">
        <w:rPr>
          <w:rFonts w:ascii="Arial" w:hAnsi="Arial" w:cs="Arial"/>
          <w:b/>
          <w:bCs/>
        </w:rPr>
        <w:t>. 6</w:t>
      </w:r>
      <w:r w:rsidRPr="003263A3">
        <w:rPr>
          <w:rFonts w:ascii="Arial" w:hAnsi="Arial" w:cs="Arial"/>
        </w:rPr>
        <w:t>).</w:t>
      </w:r>
    </w:p>
    <w:p w14:paraId="58A91007" w14:textId="77777777" w:rsidR="00306AC5" w:rsidRPr="00306AC5" w:rsidRDefault="00306AC5" w:rsidP="00306AC5">
      <w:pPr>
        <w:spacing w:line="276" w:lineRule="auto"/>
        <w:rPr>
          <w:rFonts w:ascii="Arial" w:hAnsi="Arial" w:cs="Arial"/>
        </w:rPr>
      </w:pPr>
    </w:p>
    <w:p w14:paraId="68D8BAE0" w14:textId="77777777" w:rsidR="00306AC5" w:rsidRPr="00306AC5" w:rsidRDefault="00306AC5" w:rsidP="00306AC5">
      <w:pPr>
        <w:spacing w:line="276" w:lineRule="auto"/>
        <w:rPr>
          <w:rFonts w:ascii="Arial" w:hAnsi="Arial" w:cs="Arial"/>
        </w:rPr>
      </w:pPr>
      <w:r w:rsidRPr="00306AC5">
        <w:rPr>
          <w:rFonts w:ascii="Arial" w:hAnsi="Arial" w:cs="Arial"/>
          <w:noProof/>
          <w:lang w:val="fr-FR" w:eastAsia="fr-FR"/>
        </w:rPr>
        <w:lastRenderedPageBreak/>
        <w:drawing>
          <wp:inline distT="0" distB="0" distL="0" distR="0" wp14:anchorId="25951CD9" wp14:editId="207FDB3E">
            <wp:extent cx="5213350" cy="3816350"/>
            <wp:effectExtent l="0" t="0" r="0" b="0"/>
            <wp:docPr id="1021708015" name="Graphique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861783" w14:textId="77777777" w:rsidR="00306AC5" w:rsidRPr="00306AC5" w:rsidRDefault="00306AC5" w:rsidP="00306AC5">
      <w:pPr>
        <w:spacing w:line="276" w:lineRule="auto"/>
        <w:rPr>
          <w:rFonts w:ascii="Arial" w:hAnsi="Arial" w:cs="Arial"/>
        </w:rPr>
      </w:pPr>
      <w:r w:rsidRPr="00306AC5">
        <w:rPr>
          <w:rFonts w:ascii="Arial" w:hAnsi="Arial" w:cs="Arial"/>
          <w:b/>
          <w:bCs/>
        </w:rPr>
        <w:t>Fig 6</w:t>
      </w:r>
      <w:r w:rsidRPr="00306AC5">
        <w:rPr>
          <w:rFonts w:ascii="Arial" w:hAnsi="Arial" w:cs="Arial"/>
        </w:rPr>
        <w:t>. Inhibition rate of spore germination depending on products and doses</w:t>
      </w:r>
    </w:p>
    <w:p w14:paraId="7C40EB41" w14:textId="645C4B4D" w:rsidR="00306AC5" w:rsidRPr="00306AC5" w:rsidRDefault="00306AC5" w:rsidP="00306AC5">
      <w:pPr>
        <w:spacing w:line="276" w:lineRule="auto"/>
        <w:rPr>
          <w:rFonts w:ascii="Arial" w:hAnsi="Arial" w:cs="Arial"/>
        </w:rPr>
      </w:pPr>
      <w:r w:rsidRPr="00306AC5">
        <w:rPr>
          <w:rFonts w:ascii="Arial" w:hAnsi="Arial" w:cs="Arial"/>
        </w:rPr>
        <w:t xml:space="preserve">Legend. PIG: Overall inhibition percentage; </w:t>
      </w:r>
    </w:p>
    <w:p w14:paraId="618E27AE" w14:textId="77777777" w:rsidR="00306AC5" w:rsidRPr="001A2859" w:rsidRDefault="00306AC5" w:rsidP="00306AC5"/>
    <w:p w14:paraId="031AC068" w14:textId="3A6EEFAF" w:rsidR="00AE69EA" w:rsidRPr="00B459F4" w:rsidRDefault="00B459F4" w:rsidP="00AE69EA">
      <w:pPr>
        <w:spacing w:line="276" w:lineRule="auto"/>
        <w:rPr>
          <w:rFonts w:ascii="Arial" w:hAnsi="Arial" w:cs="Arial"/>
          <w:b/>
          <w:bCs/>
          <w:sz w:val="22"/>
          <w:szCs w:val="22"/>
        </w:rPr>
      </w:pPr>
      <w:bookmarkStart w:id="9" w:name="_Hlk219097880"/>
      <w:r>
        <w:rPr>
          <w:rFonts w:ascii="Arial" w:hAnsi="Arial" w:cs="Arial"/>
          <w:b/>
          <w:bCs/>
          <w:sz w:val="22"/>
          <w:szCs w:val="22"/>
        </w:rPr>
        <w:t xml:space="preserve">3.2. </w:t>
      </w:r>
      <w:r w:rsidR="00AE69EA" w:rsidRPr="00B459F4">
        <w:rPr>
          <w:rFonts w:ascii="Arial" w:hAnsi="Arial" w:cs="Arial"/>
          <w:b/>
          <w:bCs/>
          <w:sz w:val="22"/>
          <w:szCs w:val="22"/>
        </w:rPr>
        <w:t>Discussion</w:t>
      </w:r>
    </w:p>
    <w:p w14:paraId="34541865" w14:textId="77777777" w:rsidR="00AE69EA" w:rsidRPr="0084756A" w:rsidRDefault="00AE69EA" w:rsidP="00AE69EA">
      <w:pPr>
        <w:spacing w:line="276" w:lineRule="auto"/>
        <w:jc w:val="both"/>
        <w:rPr>
          <w:rFonts w:ascii="Arial" w:hAnsi="Arial" w:cs="Arial"/>
        </w:rPr>
      </w:pPr>
      <w:r w:rsidRPr="00AE69EA">
        <w:rPr>
          <w:rFonts w:ascii="Arial" w:hAnsi="Arial" w:cs="Arial"/>
        </w:rPr>
        <w:t xml:space="preserve">The study of the effectiveness of essential oils, compared to that of synthetic fungicides, constitutes a promising approach for integrated management of </w:t>
      </w:r>
      <w:proofErr w:type="spellStart"/>
      <w:r w:rsidRPr="00AE69EA">
        <w:rPr>
          <w:rFonts w:ascii="Arial" w:hAnsi="Arial" w:cs="Arial"/>
        </w:rPr>
        <w:t>bioaggressors</w:t>
      </w:r>
      <w:proofErr w:type="spellEnd"/>
      <w:r w:rsidRPr="00AE69EA">
        <w:rPr>
          <w:rFonts w:ascii="Arial" w:hAnsi="Arial" w:cs="Arial"/>
        </w:rPr>
        <w:t xml:space="preserve">. Given the results obtained, synthetic fungicides and essential oils acted differently on the measured biological parameters, depending on the type of product and the dose, relative to the neutral control. The most effective products on radial growth, sporulation, and spore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AE69EA">
        <w:rPr>
          <w:rFonts w:ascii="Arial" w:hAnsi="Arial" w:cs="Arial"/>
        </w:rPr>
        <w:t xml:space="preserve"> come from Mancozeb and the essential oil of </w:t>
      </w:r>
      <w:proofErr w:type="spellStart"/>
      <w:r w:rsidRPr="00AE69EA">
        <w:rPr>
          <w:rFonts w:ascii="Arial" w:hAnsi="Arial" w:cs="Arial"/>
        </w:rPr>
        <w:t>Ocimum</w:t>
      </w:r>
      <w:proofErr w:type="spellEnd"/>
      <w:r w:rsidRPr="00AE69EA">
        <w:rPr>
          <w:rFonts w:ascii="Arial" w:hAnsi="Arial" w:cs="Arial"/>
        </w:rPr>
        <w:t xml:space="preserve"> </w:t>
      </w:r>
      <w:proofErr w:type="spellStart"/>
      <w:r w:rsidRPr="00AE69EA">
        <w:rPr>
          <w:rFonts w:ascii="Arial" w:hAnsi="Arial" w:cs="Arial"/>
        </w:rPr>
        <w:t>gratissimum</w:t>
      </w:r>
      <w:proofErr w:type="spellEnd"/>
      <w:r w:rsidRPr="00AE69EA">
        <w:rPr>
          <w:rFonts w:ascii="Arial" w:hAnsi="Arial" w:cs="Arial"/>
        </w:rPr>
        <w:t xml:space="preserve">. Indeed, radial growth, sporulation, and germination were completely inhibited by Mancozeb. This result supports those of Essis et al. (2023), who showed that Mancozeb had very good efficacy against symptoms induced by the fungus, similar to </w:t>
      </w:r>
      <w:proofErr w:type="spellStart"/>
      <w:r w:rsidRPr="00AE69EA">
        <w:rPr>
          <w:rFonts w:ascii="Arial" w:hAnsi="Arial" w:cs="Arial"/>
        </w:rPr>
        <w:t>trifloxystrobin</w:t>
      </w:r>
      <w:proofErr w:type="spellEnd"/>
      <w:r w:rsidRPr="00AE69EA">
        <w:rPr>
          <w:rFonts w:ascii="Arial" w:hAnsi="Arial" w:cs="Arial"/>
        </w:rPr>
        <w:t>, propiconazole, and methyl thiophanate.</w:t>
      </w:r>
    </w:p>
    <w:p w14:paraId="7CF49ED7" w14:textId="77777777" w:rsidR="00FB21E3" w:rsidRDefault="00FB21E3" w:rsidP="00AE69EA">
      <w:pPr>
        <w:spacing w:line="276" w:lineRule="auto"/>
        <w:jc w:val="both"/>
        <w:rPr>
          <w:rFonts w:ascii="Arial" w:hAnsi="Arial" w:cs="Arial"/>
        </w:rPr>
      </w:pPr>
    </w:p>
    <w:p w14:paraId="1938A088" w14:textId="02A7DDCC" w:rsidR="00AE69EA" w:rsidRPr="0084756A" w:rsidRDefault="00AE69EA" w:rsidP="00AE69EA">
      <w:pPr>
        <w:spacing w:line="276" w:lineRule="auto"/>
        <w:jc w:val="both"/>
        <w:rPr>
          <w:rFonts w:ascii="Arial" w:hAnsi="Arial" w:cs="Arial"/>
        </w:rPr>
      </w:pPr>
      <w:r w:rsidRPr="0084756A">
        <w:rPr>
          <w:rFonts w:ascii="Arial" w:hAnsi="Arial" w:cs="Arial"/>
        </w:rPr>
        <w:t xml:space="preserve">Just like this fungicide, the essential oil of </w:t>
      </w:r>
      <w:r w:rsidRPr="00AE69EA">
        <w:rPr>
          <w:rFonts w:ascii="Arial" w:hAnsi="Arial" w:cs="Arial"/>
        </w:rPr>
        <w:t xml:space="preserve">O. </w:t>
      </w:r>
      <w:proofErr w:type="spellStart"/>
      <w:r w:rsidRPr="00AE69EA">
        <w:rPr>
          <w:rFonts w:ascii="Arial" w:hAnsi="Arial" w:cs="Arial"/>
        </w:rPr>
        <w:t>gratissimum</w:t>
      </w:r>
      <w:proofErr w:type="spellEnd"/>
      <w:r w:rsidRPr="0084756A">
        <w:rPr>
          <w:rFonts w:ascii="Arial" w:hAnsi="Arial" w:cs="Arial"/>
        </w:rPr>
        <w:t xml:space="preserve"> strongly inhibited radial growth (87.45%), sporulation (100%), and germination (81.11%) of the studied fungus. Furthermore, it was more fungitoxic on the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compared to the copper hydroxide fungicide, which was moderately effective with an inhibition rate of 48.83%. Overall, the essential oil based on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was effective on radial growth (61.76%), sporulation (72.5%), and moderately effective on germination (41.66%). Several reasons could explain the observed differences in the products' actions on the three measured parameters. For Mancozeb, its effectiveness is attributed to its multi-site mode of action. Multi-site fungicides act on multiple primary action sites, leading to the blocking of respiration and selective permeability of the plasma membrane. According to </w:t>
      </w:r>
      <w:proofErr w:type="spellStart"/>
      <w:r w:rsidRPr="0084756A">
        <w:rPr>
          <w:rFonts w:ascii="Arial" w:hAnsi="Arial" w:cs="Arial"/>
        </w:rPr>
        <w:t>Onautshu</w:t>
      </w:r>
      <w:proofErr w:type="spellEnd"/>
      <w:r w:rsidRPr="0084756A">
        <w:rPr>
          <w:rFonts w:ascii="Arial" w:hAnsi="Arial" w:cs="Arial"/>
        </w:rPr>
        <w:t xml:space="preserve"> (2013) and </w:t>
      </w:r>
      <w:proofErr w:type="spellStart"/>
      <w:r w:rsidRPr="0084756A">
        <w:rPr>
          <w:rFonts w:ascii="Arial" w:hAnsi="Arial" w:cs="Arial"/>
        </w:rPr>
        <w:t>Ngando</w:t>
      </w:r>
      <w:proofErr w:type="spellEnd"/>
      <w:r w:rsidRPr="0084756A">
        <w:rPr>
          <w:rFonts w:ascii="Arial" w:hAnsi="Arial" w:cs="Arial"/>
        </w:rPr>
        <w:t xml:space="preserve"> (2014), they interact with numerous enzymatic systems, including mechanisms involved in energy production, oxygen consumption, and the catabolism of reserve substances in spores. Similarly, Ngoh et al. (2021) reported that Mancozeb 80 WP had an inhibitory effect on radial growth, sporulation, and germination of </w:t>
      </w:r>
      <w:r w:rsidRPr="00AE69EA">
        <w:rPr>
          <w:rFonts w:ascii="Arial" w:hAnsi="Arial" w:cs="Arial"/>
        </w:rPr>
        <w:t xml:space="preserve">Colletotrichum </w:t>
      </w:r>
      <w:proofErr w:type="spellStart"/>
      <w:r w:rsidRPr="00AE69EA">
        <w:rPr>
          <w:rFonts w:ascii="Arial" w:hAnsi="Arial" w:cs="Arial"/>
        </w:rPr>
        <w:t>gloeosporioides</w:t>
      </w:r>
      <w:proofErr w:type="spellEnd"/>
      <w:r w:rsidRPr="0084756A">
        <w:rPr>
          <w:rFonts w:ascii="Arial" w:hAnsi="Arial" w:cs="Arial"/>
        </w:rPr>
        <w:t xml:space="preserve">, the agent responsible for anthracnose of cashew. Similar results were reported by Kassankogno et al. (2022) following in vitro efficacy tests of three fungicides. Their study found that Mancozeb and copper hydroxide induced 100% and 90% inhibition, respectively, on the radial growth, sporulation, and germination of </w:t>
      </w:r>
      <w:proofErr w:type="spellStart"/>
      <w:r w:rsidRPr="00AE69EA">
        <w:rPr>
          <w:rFonts w:ascii="Arial" w:hAnsi="Arial" w:cs="Arial"/>
        </w:rPr>
        <w:t>Curvularia</w:t>
      </w:r>
      <w:proofErr w:type="spellEnd"/>
      <w:r w:rsidRPr="00AE69EA">
        <w:rPr>
          <w:rFonts w:ascii="Arial" w:hAnsi="Arial" w:cs="Arial"/>
        </w:rPr>
        <w:t xml:space="preserve"> </w:t>
      </w:r>
      <w:proofErr w:type="spellStart"/>
      <w:r w:rsidRPr="00AE69EA">
        <w:rPr>
          <w:rFonts w:ascii="Arial" w:hAnsi="Arial" w:cs="Arial"/>
        </w:rPr>
        <w:t>lunata</w:t>
      </w:r>
      <w:proofErr w:type="spellEnd"/>
      <w:r w:rsidRPr="0084756A">
        <w:rPr>
          <w:rFonts w:ascii="Arial" w:hAnsi="Arial" w:cs="Arial"/>
        </w:rPr>
        <w:t xml:space="preserve">. Additionally, the low fungicidal activity of copper hydroxide on the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aligns with the work of Obanor et al. (2005), suggesting that copper hydroxide and copper sulfates were weakly effective in inhibiting spore germination in </w:t>
      </w:r>
      <w:proofErr w:type="spellStart"/>
      <w:r w:rsidRPr="00AE69EA">
        <w:rPr>
          <w:rFonts w:ascii="Arial" w:hAnsi="Arial" w:cs="Arial"/>
        </w:rPr>
        <w:t>Spilocaea</w:t>
      </w:r>
      <w:proofErr w:type="spellEnd"/>
      <w:r w:rsidRPr="00AE69EA">
        <w:rPr>
          <w:rFonts w:ascii="Arial" w:hAnsi="Arial" w:cs="Arial"/>
        </w:rPr>
        <w:t xml:space="preserve"> </w:t>
      </w:r>
      <w:proofErr w:type="spellStart"/>
      <w:r w:rsidRPr="00AE69EA">
        <w:rPr>
          <w:rFonts w:ascii="Arial" w:hAnsi="Arial" w:cs="Arial"/>
        </w:rPr>
        <w:t>oleagina</w:t>
      </w:r>
      <w:proofErr w:type="spellEnd"/>
      <w:r w:rsidRPr="0084756A">
        <w:rPr>
          <w:rFonts w:ascii="Arial" w:hAnsi="Arial" w:cs="Arial"/>
        </w:rPr>
        <w:t>.</w:t>
      </w:r>
    </w:p>
    <w:p w14:paraId="2480BEDA" w14:textId="77777777" w:rsidR="00FB21E3" w:rsidRDefault="00FB21E3" w:rsidP="00AE69EA">
      <w:pPr>
        <w:spacing w:line="276" w:lineRule="auto"/>
        <w:jc w:val="both"/>
        <w:rPr>
          <w:rFonts w:ascii="Arial" w:hAnsi="Arial" w:cs="Arial"/>
        </w:rPr>
      </w:pPr>
    </w:p>
    <w:p w14:paraId="2C73309D" w14:textId="3D69F249" w:rsidR="00AE69EA" w:rsidRPr="00AE69EA" w:rsidRDefault="00AE69EA" w:rsidP="00AE69EA">
      <w:pPr>
        <w:spacing w:line="276" w:lineRule="auto"/>
        <w:jc w:val="both"/>
        <w:rPr>
          <w:rFonts w:ascii="Arial" w:hAnsi="Arial" w:cs="Arial"/>
        </w:rPr>
      </w:pPr>
      <w:r w:rsidRPr="0084756A">
        <w:rPr>
          <w:rFonts w:ascii="Arial" w:hAnsi="Arial" w:cs="Arial"/>
        </w:rPr>
        <w:lastRenderedPageBreak/>
        <w:t xml:space="preserve">Regarding essential oils, the differences in effectiveness observed are likely because these plant species belong to different botanical families. Extracts from different plants probably have varied phytochemical profiles, particularly in terms of structure, composition, and levels of bioactive substances. As a result, there is a significant reduction in radial growth, sporulation, and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AE69EA">
        <w:rPr>
          <w:rFonts w:ascii="Arial" w:hAnsi="Arial" w:cs="Arial"/>
        </w:rPr>
        <w:t xml:space="preserve"> </w:t>
      </w:r>
      <w:r w:rsidRPr="0084756A">
        <w:rPr>
          <w:rFonts w:ascii="Arial" w:hAnsi="Arial" w:cs="Arial"/>
        </w:rPr>
        <w:t xml:space="preserve">following treatment with essential oil. Variability in the effect of the products is observed during the three life stages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depending on the dose. In our view, adding the fungicide/EO to the fungus culture medium at different doses would directly affect the concentrations of these substances, which we could attribute to the differences observed from one dose to another in terms of effectiveness levels. The essential oil of </w:t>
      </w:r>
      <w:proofErr w:type="spellStart"/>
      <w:r w:rsidRPr="00AE69EA">
        <w:rPr>
          <w:rFonts w:ascii="Arial" w:hAnsi="Arial" w:cs="Arial"/>
        </w:rPr>
        <w:t>Ocimum</w:t>
      </w:r>
      <w:proofErr w:type="spellEnd"/>
      <w:r w:rsidRPr="00AE69EA">
        <w:rPr>
          <w:rFonts w:ascii="Arial" w:hAnsi="Arial" w:cs="Arial"/>
        </w:rPr>
        <w:t xml:space="preserve"> </w:t>
      </w:r>
      <w:proofErr w:type="spellStart"/>
      <w:r w:rsidRPr="00AE69EA">
        <w:rPr>
          <w:rFonts w:ascii="Arial" w:hAnsi="Arial" w:cs="Arial"/>
        </w:rPr>
        <w:t>gratissimum</w:t>
      </w:r>
      <w:proofErr w:type="spellEnd"/>
      <w:r w:rsidRPr="0084756A">
        <w:rPr>
          <w:rFonts w:ascii="Arial" w:hAnsi="Arial" w:cs="Arial"/>
        </w:rPr>
        <w:t xml:space="preserve"> was highly effective starting from the average dose (1000 ppm) on radial growth, sporulation, and germination. Our results align with those of Kouame et al. (2015), who reported very good efficacy of </w:t>
      </w:r>
      <w:r w:rsidRPr="00AE69EA">
        <w:rPr>
          <w:rFonts w:ascii="Arial" w:hAnsi="Arial" w:cs="Arial"/>
        </w:rPr>
        <w:t xml:space="preserve">O. </w:t>
      </w:r>
      <w:proofErr w:type="spellStart"/>
      <w:r w:rsidRPr="00AE69EA">
        <w:rPr>
          <w:rFonts w:ascii="Arial" w:hAnsi="Arial" w:cs="Arial"/>
        </w:rPr>
        <w:t>gratissimum</w:t>
      </w:r>
      <w:proofErr w:type="spellEnd"/>
      <w:r w:rsidRPr="0084756A">
        <w:rPr>
          <w:rFonts w:ascii="Arial" w:hAnsi="Arial" w:cs="Arial"/>
        </w:rPr>
        <w:t xml:space="preserve"> essential oil on radial growth, sporulation, and germination of </w:t>
      </w:r>
      <w:r w:rsidRPr="00AE69EA">
        <w:rPr>
          <w:rFonts w:ascii="Arial" w:hAnsi="Arial" w:cs="Arial"/>
        </w:rPr>
        <w:t xml:space="preserve">C. </w:t>
      </w:r>
      <w:proofErr w:type="spellStart"/>
      <w:r w:rsidRPr="00AE69EA">
        <w:rPr>
          <w:rFonts w:ascii="Arial" w:hAnsi="Arial" w:cs="Arial"/>
        </w:rPr>
        <w:t>gloeosporioides</w:t>
      </w:r>
      <w:proofErr w:type="spellEnd"/>
      <w:r w:rsidRPr="0084756A">
        <w:rPr>
          <w:rFonts w:ascii="Arial" w:hAnsi="Arial" w:cs="Arial"/>
        </w:rPr>
        <w:t xml:space="preserve"> at 1000 ppm. The essential oil of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was effective at the high dose of 4000 ppm. These results are consistent with those of Doumbouya et al. (2021), who demonstrated that applying a high dose of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essential oil inhibits the growth and development of </w:t>
      </w:r>
      <w:r w:rsidRPr="00AE69EA">
        <w:rPr>
          <w:rFonts w:ascii="Arial" w:hAnsi="Arial" w:cs="Arial"/>
        </w:rPr>
        <w:t xml:space="preserve">F. </w:t>
      </w:r>
      <w:proofErr w:type="spellStart"/>
      <w:r w:rsidRPr="00AE69EA">
        <w:rPr>
          <w:rFonts w:ascii="Arial" w:hAnsi="Arial" w:cs="Arial"/>
        </w:rPr>
        <w:t>oxysporum</w:t>
      </w:r>
      <w:proofErr w:type="spellEnd"/>
      <w:r w:rsidRPr="0084756A">
        <w:rPr>
          <w:rFonts w:ascii="Arial" w:hAnsi="Arial" w:cs="Arial"/>
        </w:rPr>
        <w:t xml:space="preserve"> f. sp. </w:t>
      </w:r>
      <w:proofErr w:type="spellStart"/>
      <w:r w:rsidRPr="00AE69EA">
        <w:rPr>
          <w:rFonts w:ascii="Arial" w:hAnsi="Arial" w:cs="Arial"/>
        </w:rPr>
        <w:t>radicis</w:t>
      </w:r>
      <w:proofErr w:type="spellEnd"/>
      <w:r w:rsidRPr="00AE69EA">
        <w:rPr>
          <w:rFonts w:ascii="Arial" w:hAnsi="Arial" w:cs="Arial"/>
        </w:rPr>
        <w:t xml:space="preserve"> </w:t>
      </w:r>
      <w:proofErr w:type="spellStart"/>
      <w:r w:rsidRPr="00AE69EA">
        <w:rPr>
          <w:rFonts w:ascii="Arial" w:hAnsi="Arial" w:cs="Arial"/>
        </w:rPr>
        <w:t>lycopersici</w:t>
      </w:r>
      <w:proofErr w:type="spellEnd"/>
      <w:r w:rsidRPr="0084756A">
        <w:rPr>
          <w:rFonts w:ascii="Arial" w:hAnsi="Arial" w:cs="Arial"/>
        </w:rPr>
        <w:t xml:space="preserve">. Additionally, </w:t>
      </w:r>
      <w:proofErr w:type="spellStart"/>
      <w:r w:rsidRPr="0084756A">
        <w:rPr>
          <w:rFonts w:ascii="Arial" w:hAnsi="Arial" w:cs="Arial"/>
        </w:rPr>
        <w:t>Tiendrébeogo</w:t>
      </w:r>
      <w:proofErr w:type="spellEnd"/>
      <w:r w:rsidRPr="0084756A">
        <w:rPr>
          <w:rFonts w:ascii="Arial" w:hAnsi="Arial" w:cs="Arial"/>
        </w:rPr>
        <w:t xml:space="preserve"> et al. (2017) did not highlight complete inhibition of mycelial growth by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essential oil on </w:t>
      </w:r>
      <w:r w:rsidRPr="00AE69EA">
        <w:rPr>
          <w:rFonts w:ascii="Arial" w:hAnsi="Arial" w:cs="Arial"/>
        </w:rPr>
        <w:t xml:space="preserve">Fusarium </w:t>
      </w:r>
      <w:proofErr w:type="spellStart"/>
      <w:r w:rsidRPr="00AE69EA">
        <w:rPr>
          <w:rFonts w:ascii="Arial" w:hAnsi="Arial" w:cs="Arial"/>
        </w:rPr>
        <w:t>moniliforme</w:t>
      </w:r>
      <w:proofErr w:type="spellEnd"/>
      <w:r w:rsidRPr="0084756A">
        <w:rPr>
          <w:rFonts w:ascii="Arial" w:hAnsi="Arial" w:cs="Arial"/>
        </w:rPr>
        <w:t xml:space="preserve">, even at 100 ppm, nor on </w:t>
      </w:r>
      <w:proofErr w:type="spellStart"/>
      <w:r w:rsidRPr="00AE69EA">
        <w:rPr>
          <w:rFonts w:ascii="Arial" w:hAnsi="Arial" w:cs="Arial"/>
        </w:rPr>
        <w:t>Bipolaris</w:t>
      </w:r>
      <w:proofErr w:type="spellEnd"/>
      <w:r w:rsidRPr="00AE69EA">
        <w:rPr>
          <w:rFonts w:ascii="Arial" w:hAnsi="Arial" w:cs="Arial"/>
        </w:rPr>
        <w:t xml:space="preserve"> </w:t>
      </w:r>
      <w:proofErr w:type="spellStart"/>
      <w:r w:rsidRPr="00AE69EA">
        <w:rPr>
          <w:rFonts w:ascii="Arial" w:hAnsi="Arial" w:cs="Arial"/>
        </w:rPr>
        <w:t>oryzae</w:t>
      </w:r>
      <w:proofErr w:type="spellEnd"/>
      <w:r w:rsidRPr="0084756A">
        <w:rPr>
          <w:rFonts w:ascii="Arial" w:hAnsi="Arial" w:cs="Arial"/>
        </w:rPr>
        <w:t xml:space="preserve"> and </w:t>
      </w:r>
      <w:proofErr w:type="spellStart"/>
      <w:r w:rsidRPr="00AE69EA">
        <w:rPr>
          <w:rFonts w:ascii="Arial" w:hAnsi="Arial" w:cs="Arial"/>
        </w:rPr>
        <w:t>Pyricularia</w:t>
      </w:r>
      <w:proofErr w:type="spellEnd"/>
      <w:r w:rsidRPr="00AE69EA">
        <w:rPr>
          <w:rFonts w:ascii="Arial" w:hAnsi="Arial" w:cs="Arial"/>
        </w:rPr>
        <w:t xml:space="preserve"> oryzae</w:t>
      </w:r>
      <w:r w:rsidRPr="0084756A">
        <w:rPr>
          <w:rFonts w:ascii="Arial" w:hAnsi="Arial" w:cs="Arial"/>
        </w:rPr>
        <w:t xml:space="preserve"> at 400 ppm. Synthetic fungicides at high doses caused highly significant inhibition across all three stages of the fungus's life cycle compared with the control. However, not all of them would be effective. Indeed, the effectiveness of a fungicide depends on its ability to inhibit fungal development at relatively low doses, and the effective dose is the one at which inhibition is total (Sharma and Mohanan, 1991). Mancozeb induced total inhibition at the lowest dose (5000 ppm), revealing the extreme sensitivity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to this fungicide. This result is similar to that of Berber et al. (2006), who reported that Mancozeb at low doses inhibited the radial growth, sporulation, and germination of </w:t>
      </w:r>
      <w:proofErr w:type="spellStart"/>
      <w:r w:rsidRPr="00AE69EA">
        <w:rPr>
          <w:rFonts w:ascii="Arial" w:hAnsi="Arial" w:cs="Arial"/>
        </w:rPr>
        <w:t>Bipolaris</w:t>
      </w:r>
      <w:proofErr w:type="spellEnd"/>
      <w:r w:rsidRPr="00AE69EA">
        <w:rPr>
          <w:rFonts w:ascii="Arial" w:hAnsi="Arial" w:cs="Arial"/>
        </w:rPr>
        <w:t xml:space="preserve"> maydis</w:t>
      </w:r>
      <w:r w:rsidRPr="0084756A">
        <w:rPr>
          <w:rFonts w:ascii="Arial" w:hAnsi="Arial" w:cs="Arial"/>
        </w:rPr>
        <w:t xml:space="preserve">, </w:t>
      </w:r>
      <w:r w:rsidRPr="00AE69EA">
        <w:rPr>
          <w:rFonts w:ascii="Arial" w:hAnsi="Arial" w:cs="Arial"/>
        </w:rPr>
        <w:t xml:space="preserve">B. </w:t>
      </w:r>
      <w:proofErr w:type="spellStart"/>
      <w:r w:rsidRPr="00AE69EA">
        <w:rPr>
          <w:rFonts w:ascii="Arial" w:hAnsi="Arial" w:cs="Arial"/>
        </w:rPr>
        <w:t>sorghicola</w:t>
      </w:r>
      <w:proofErr w:type="spellEnd"/>
      <w:r w:rsidRPr="0084756A">
        <w:rPr>
          <w:rFonts w:ascii="Arial" w:hAnsi="Arial" w:cs="Arial"/>
        </w:rPr>
        <w:t xml:space="preserve">, and </w:t>
      </w:r>
      <w:proofErr w:type="spellStart"/>
      <w:r w:rsidRPr="00AE69EA">
        <w:rPr>
          <w:rFonts w:ascii="Arial" w:hAnsi="Arial" w:cs="Arial"/>
        </w:rPr>
        <w:t>Curvularia</w:t>
      </w:r>
      <w:proofErr w:type="spellEnd"/>
      <w:r w:rsidRPr="00AE69EA">
        <w:rPr>
          <w:rFonts w:ascii="Arial" w:hAnsi="Arial" w:cs="Arial"/>
        </w:rPr>
        <w:t xml:space="preserve"> </w:t>
      </w:r>
      <w:proofErr w:type="spellStart"/>
      <w:r w:rsidRPr="00AE69EA">
        <w:rPr>
          <w:rFonts w:ascii="Arial" w:hAnsi="Arial" w:cs="Arial"/>
        </w:rPr>
        <w:t>lunata</w:t>
      </w:r>
      <w:proofErr w:type="spellEnd"/>
      <w:r w:rsidRPr="0084756A">
        <w:rPr>
          <w:rFonts w:ascii="Arial" w:hAnsi="Arial" w:cs="Arial"/>
        </w:rPr>
        <w:t>. However, the study by Aguilar-Barragan et al. (2014) shows that the fungus adapts to synthetic products with decreased sensitivity, highlighting the need to adopt alternatives or combine strategies.</w:t>
      </w:r>
      <w:bookmarkEnd w:id="9"/>
      <w:r w:rsidRPr="00AE69EA">
        <w:rPr>
          <w:rFonts w:ascii="Arial" w:hAnsi="Arial" w:cs="Arial"/>
        </w:rPr>
        <w:t xml:space="preserve">  </w:t>
      </w:r>
    </w:p>
    <w:p w14:paraId="3A1B5D92" w14:textId="77777777" w:rsidR="009E5F17" w:rsidRDefault="009E5F17" w:rsidP="00441B6F">
      <w:pPr>
        <w:pStyle w:val="Head1"/>
        <w:spacing w:after="0"/>
        <w:jc w:val="both"/>
        <w:rPr>
          <w:rFonts w:ascii="Arial" w:hAnsi="Arial" w:cs="Arial"/>
        </w:rPr>
      </w:pPr>
    </w:p>
    <w:p w14:paraId="0212C558" w14:textId="5772E97E" w:rsidR="00303D7E" w:rsidRPr="0048629F" w:rsidRDefault="0048629F" w:rsidP="00303D7E">
      <w:pPr>
        <w:spacing w:line="276" w:lineRule="auto"/>
        <w:rPr>
          <w:rStyle w:val="fontstyle01"/>
          <w:rFonts w:ascii="Arial" w:hAnsi="Arial" w:cs="Arial"/>
          <w:b/>
          <w:bCs/>
          <w:sz w:val="22"/>
          <w:szCs w:val="22"/>
        </w:rPr>
      </w:pPr>
      <w:r w:rsidRPr="0048629F">
        <w:rPr>
          <w:rStyle w:val="fontstyle01"/>
          <w:rFonts w:ascii="Arial" w:hAnsi="Arial" w:cs="Arial"/>
          <w:b/>
          <w:bCs/>
          <w:sz w:val="22"/>
          <w:szCs w:val="22"/>
        </w:rPr>
        <w:t xml:space="preserve">4. CONCLUSION </w:t>
      </w:r>
    </w:p>
    <w:p w14:paraId="25297725" w14:textId="3D44EE8F" w:rsidR="00303D7E" w:rsidRDefault="00303D7E" w:rsidP="00303D7E">
      <w:pPr>
        <w:spacing w:line="276" w:lineRule="auto"/>
        <w:jc w:val="both"/>
        <w:rPr>
          <w:rStyle w:val="fontstyle01"/>
          <w:rFonts w:ascii="Arial" w:hAnsi="Arial" w:cs="Arial"/>
          <w:sz w:val="20"/>
          <w:szCs w:val="20"/>
        </w:rPr>
      </w:pPr>
      <w:r w:rsidRPr="002252AC">
        <w:rPr>
          <w:rStyle w:val="fontstyle01"/>
          <w:rFonts w:ascii="Arial" w:hAnsi="Arial" w:cs="Arial"/>
          <w:sz w:val="20"/>
          <w:szCs w:val="20"/>
        </w:rPr>
        <w:t xml:space="preserve">This study aimed to determine the effectiveness of Mancozeb, copper hydroxide, </w:t>
      </w:r>
      <w:proofErr w:type="spellStart"/>
      <w:r w:rsidRPr="002252AC">
        <w:rPr>
          <w:rStyle w:val="fontstyle01"/>
          <w:rFonts w:ascii="Arial" w:hAnsi="Arial" w:cs="Arial"/>
          <w:i/>
          <w:iCs/>
          <w:sz w:val="20"/>
          <w:szCs w:val="20"/>
        </w:rPr>
        <w:t>Ocimum</w:t>
      </w:r>
      <w:proofErr w:type="spellEnd"/>
      <w:r w:rsidRPr="002252AC">
        <w:rPr>
          <w:rStyle w:val="fontstyle01"/>
          <w:rFonts w:ascii="Arial" w:hAnsi="Arial" w:cs="Arial"/>
          <w:i/>
          <w:iCs/>
          <w:sz w:val="20"/>
          <w:szCs w:val="20"/>
        </w:rPr>
        <w:t xml:space="preserve">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and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against </w:t>
      </w:r>
      <w:proofErr w:type="spellStart"/>
      <w:r w:rsidRPr="002252AC">
        <w:rPr>
          <w:rStyle w:val="fontstyle01"/>
          <w:rFonts w:ascii="Arial" w:hAnsi="Arial" w:cs="Arial"/>
          <w:i/>
          <w:iCs/>
          <w:sz w:val="20"/>
          <w:szCs w:val="20"/>
        </w:rPr>
        <w:t>Mycosphaerella</w:t>
      </w:r>
      <w:proofErr w:type="spellEnd"/>
      <w:r w:rsidRPr="002252AC">
        <w:rPr>
          <w:rStyle w:val="fontstyle01"/>
          <w:rFonts w:ascii="Arial" w:hAnsi="Arial" w:cs="Arial"/>
          <w:i/>
          <w:iCs/>
          <w:sz w:val="20"/>
          <w:szCs w:val="20"/>
        </w:rPr>
        <w:t xml:space="preserve"> </w:t>
      </w:r>
      <w:proofErr w:type="spellStart"/>
      <w:r w:rsidRPr="002252AC">
        <w:rPr>
          <w:rStyle w:val="fontstyle01"/>
          <w:rFonts w:ascii="Arial" w:hAnsi="Arial" w:cs="Arial"/>
          <w:i/>
          <w:iCs/>
          <w:sz w:val="20"/>
          <w:szCs w:val="20"/>
        </w:rPr>
        <w:t>fijiensis</w:t>
      </w:r>
      <w:proofErr w:type="spellEnd"/>
      <w:r w:rsidRPr="002252AC">
        <w:rPr>
          <w:rStyle w:val="fontstyle01"/>
          <w:rFonts w:ascii="Arial" w:hAnsi="Arial" w:cs="Arial"/>
          <w:sz w:val="20"/>
          <w:szCs w:val="20"/>
        </w:rPr>
        <w:t xml:space="preserve">. In the laboratory, the results showed that Mancozeb and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were highly effective on radial growth, sporulation, and germination. The treatment based on copper hydroxide, although showing good activity on radial growth and sporulation, was moderately effective for spore germination of </w:t>
      </w:r>
      <w:r w:rsidRPr="002252AC">
        <w:rPr>
          <w:rStyle w:val="fontstyle01"/>
          <w:rFonts w:ascii="Arial" w:hAnsi="Arial" w:cs="Arial"/>
          <w:i/>
          <w:iCs/>
          <w:sz w:val="20"/>
          <w:szCs w:val="20"/>
        </w:rPr>
        <w:t xml:space="preserve">M. </w:t>
      </w:r>
      <w:proofErr w:type="spellStart"/>
      <w:r w:rsidRPr="002252AC">
        <w:rPr>
          <w:rStyle w:val="fontstyle01"/>
          <w:rFonts w:ascii="Arial" w:hAnsi="Arial" w:cs="Arial"/>
          <w:i/>
          <w:iCs/>
          <w:sz w:val="20"/>
          <w:szCs w:val="20"/>
        </w:rPr>
        <w:t>fijiensis</w:t>
      </w:r>
      <w:proofErr w:type="spellEnd"/>
      <w:r w:rsidRPr="002252AC">
        <w:rPr>
          <w:rStyle w:val="fontstyle01"/>
          <w:rFonts w:ascii="Arial" w:hAnsi="Arial" w:cs="Arial"/>
          <w:sz w:val="20"/>
          <w:szCs w:val="20"/>
        </w:rPr>
        <w:t xml:space="preserve">. Even though the essential oil of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appeared to have inhibitory effects on the three life stages of the fungus, its efficacy was moderate. Mancozeb was very effective starting at the minimum dose (5000 ppm).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was very effective from the medium dose (1000 ppm), and that of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at the high dose (4000 ppm). The copper hydroxide-based fungicide was effective at the high dose of 12500 ppm. Based on these results, Mancozeb and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proved to be the most effective. The lower dose of Mancozeb (5000 ppm) and the medium dose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(1000 ppm) were the most efficient. The study results are interesting as they highlight the possibility of using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as a biological control method or within an integrated pest management system with Mancozeb. </w:t>
      </w:r>
      <w:r w:rsidR="00D25D88">
        <w:rPr>
          <w:rStyle w:val="fontstyle01"/>
          <w:rFonts w:ascii="Arial" w:hAnsi="Arial" w:cs="Arial"/>
          <w:sz w:val="20"/>
          <w:szCs w:val="20"/>
        </w:rPr>
        <w:t>I</w:t>
      </w:r>
      <w:r w:rsidR="00D25D88" w:rsidRPr="00D25D88">
        <w:rPr>
          <w:rStyle w:val="fontstyle01"/>
          <w:rFonts w:ascii="Arial" w:hAnsi="Arial" w:cs="Arial"/>
          <w:sz w:val="20"/>
          <w:szCs w:val="20"/>
        </w:rPr>
        <w:t xml:space="preserve">n vitro tests do not provide an accurate picture of the actual effectiveness of products in natural environments and under agricultural practices. Further studies in semi-controlled environments and in real farming conditions are needed to assess the effectiveness of products against black Sigatoka disease, which affects banana </w:t>
      </w:r>
      <w:r w:rsidRPr="002252AC">
        <w:rPr>
          <w:rStyle w:val="fontstyle01"/>
          <w:rFonts w:ascii="Arial" w:hAnsi="Arial" w:cs="Arial"/>
          <w:sz w:val="20"/>
          <w:szCs w:val="20"/>
        </w:rPr>
        <w:t>plants.</w:t>
      </w:r>
    </w:p>
    <w:p w14:paraId="6B0E4160" w14:textId="77777777" w:rsidR="00303D7E" w:rsidRPr="002252AC" w:rsidRDefault="00303D7E" w:rsidP="00303D7E">
      <w:pPr>
        <w:spacing w:line="276" w:lineRule="auto"/>
        <w:jc w:val="both"/>
        <w:rPr>
          <w:rStyle w:val="fontstyle01"/>
          <w:rFonts w:ascii="Arial" w:hAnsi="Arial" w:cs="Arial"/>
          <w:sz w:val="20"/>
          <w:szCs w:val="20"/>
        </w:rPr>
      </w:pPr>
    </w:p>
    <w:p w14:paraId="2FB9FE31" w14:textId="77777777" w:rsidR="00573B0A" w:rsidRDefault="00573B0A" w:rsidP="00573B0A">
      <w:pPr>
        <w:spacing w:line="276" w:lineRule="auto"/>
        <w:rPr>
          <w:rFonts w:ascii="Arial" w:hAnsi="Arial" w:cs="Arial"/>
          <w:b/>
          <w:bCs/>
        </w:rPr>
      </w:pPr>
      <w:r>
        <w:rPr>
          <w:rFonts w:ascii="Arial" w:hAnsi="Arial" w:cs="Arial"/>
          <w:b/>
          <w:bCs/>
        </w:rPr>
        <w:t>D</w:t>
      </w:r>
      <w:r w:rsidRPr="00E80E89">
        <w:rPr>
          <w:rFonts w:ascii="Arial" w:hAnsi="Arial" w:cs="Arial"/>
          <w:b/>
          <w:bCs/>
        </w:rPr>
        <w:t>isclaimer (Artificial Intelligence)</w:t>
      </w:r>
    </w:p>
    <w:p w14:paraId="0D597CBD" w14:textId="77777777" w:rsidR="00573B0A" w:rsidRPr="00E80E89" w:rsidRDefault="00573B0A" w:rsidP="00573B0A">
      <w:pPr>
        <w:spacing w:line="276" w:lineRule="auto"/>
        <w:rPr>
          <w:rStyle w:val="fontstyle01"/>
          <w:rFonts w:ascii="Arial" w:hAnsi="Arial"/>
          <w:sz w:val="20"/>
          <w:szCs w:val="20"/>
        </w:rPr>
      </w:pPr>
      <w:r w:rsidRPr="00E80E89">
        <w:rPr>
          <w:rStyle w:val="fontstyle01"/>
          <w:rFonts w:ascii="Arial" w:hAnsi="Arial"/>
          <w:sz w:val="20"/>
          <w:szCs w:val="20"/>
        </w:rPr>
        <w:t>Author(s) hereby declare that NO generative AI technologies such as Large Language Models (ChatGPT, COPILOT, etc.) and text-to-image generators have been used during the writing or editing of this manuscript.</w:t>
      </w:r>
    </w:p>
    <w:p w14:paraId="3D131775" w14:textId="77777777" w:rsidR="00573B0A" w:rsidRPr="00E80E89" w:rsidRDefault="00573B0A" w:rsidP="00573B0A">
      <w:pPr>
        <w:spacing w:line="276" w:lineRule="auto"/>
        <w:rPr>
          <w:rStyle w:val="fontstyle01"/>
          <w:rFonts w:ascii="Arial" w:hAnsi="Arial"/>
          <w:sz w:val="20"/>
          <w:szCs w:val="20"/>
        </w:rPr>
      </w:pPr>
    </w:p>
    <w:p w14:paraId="2077B135" w14:textId="77777777" w:rsidR="00573B0A" w:rsidRPr="0048629F" w:rsidRDefault="00573B0A" w:rsidP="00573B0A">
      <w:pPr>
        <w:spacing w:line="276" w:lineRule="auto"/>
        <w:rPr>
          <w:rFonts w:ascii="Arial" w:hAnsi="Arial" w:cs="Arial"/>
          <w:b/>
          <w:bCs/>
        </w:rPr>
      </w:pPr>
      <w:r w:rsidRPr="0048629F">
        <w:rPr>
          <w:rFonts w:ascii="Arial" w:hAnsi="Arial" w:cs="Arial"/>
          <w:b/>
          <w:bCs/>
        </w:rPr>
        <w:t xml:space="preserve">Acknowledgements </w:t>
      </w:r>
    </w:p>
    <w:p w14:paraId="2AD5FF98" w14:textId="77777777" w:rsidR="00573B0A" w:rsidRPr="0048629F" w:rsidRDefault="00573B0A" w:rsidP="00573B0A">
      <w:pPr>
        <w:rPr>
          <w:rFonts w:ascii="Arial" w:hAnsi="Arial" w:cs="Arial"/>
          <w:lang w:eastAsia="fr-FR"/>
        </w:rPr>
      </w:pPr>
      <w:r w:rsidRPr="0048629F">
        <w:rPr>
          <w:rFonts w:ascii="Arial" w:hAnsi="Arial" w:cs="Arial"/>
        </w:rPr>
        <w:t xml:space="preserve">Our sincere thanks to the team of the Plant Pathology Laboratory at the Institute of Environment and Agricultural Research of </w:t>
      </w:r>
      <w:proofErr w:type="spellStart"/>
      <w:r w:rsidRPr="0048629F">
        <w:rPr>
          <w:rFonts w:ascii="Arial" w:hAnsi="Arial" w:cs="Arial"/>
        </w:rPr>
        <w:t>Farako</w:t>
      </w:r>
      <w:proofErr w:type="spellEnd"/>
      <w:r w:rsidRPr="0048629F">
        <w:rPr>
          <w:rFonts w:ascii="Arial" w:hAnsi="Arial" w:cs="Arial"/>
        </w:rPr>
        <w:t xml:space="preserve"> </w:t>
      </w:r>
      <w:proofErr w:type="spellStart"/>
      <w:r w:rsidRPr="0048629F">
        <w:rPr>
          <w:rFonts w:ascii="Arial" w:hAnsi="Arial" w:cs="Arial"/>
        </w:rPr>
        <w:t>Bâ</w:t>
      </w:r>
      <w:proofErr w:type="spellEnd"/>
      <w:r w:rsidRPr="0048629F">
        <w:rPr>
          <w:rFonts w:ascii="Arial" w:hAnsi="Arial" w:cs="Arial"/>
        </w:rPr>
        <w:t>.</w:t>
      </w:r>
      <w:r w:rsidRPr="0048629F">
        <w:rPr>
          <w:rFonts w:ascii="Arial" w:hAnsi="Arial" w:cs="Arial"/>
          <w:lang w:eastAsia="fr-FR"/>
        </w:rPr>
        <w:t xml:space="preserve"> </w:t>
      </w:r>
    </w:p>
    <w:p w14:paraId="6EBB2CAD" w14:textId="77777777" w:rsidR="00573B0A" w:rsidRPr="0048629F" w:rsidRDefault="00573B0A" w:rsidP="00573B0A">
      <w:pPr>
        <w:rPr>
          <w:rFonts w:ascii="Arial" w:hAnsi="Arial" w:cs="Arial"/>
          <w:lang w:eastAsia="fr-FR"/>
        </w:rPr>
      </w:pPr>
    </w:p>
    <w:p w14:paraId="1DADED79" w14:textId="77777777" w:rsidR="00573B0A" w:rsidRPr="00E80E89" w:rsidRDefault="00573B0A" w:rsidP="00573B0A">
      <w:pPr>
        <w:spacing w:line="276" w:lineRule="auto"/>
        <w:jc w:val="both"/>
        <w:rPr>
          <w:rStyle w:val="fontstyle01"/>
          <w:rFonts w:ascii="Arial" w:hAnsi="Arial"/>
          <w:b/>
          <w:bCs/>
          <w:sz w:val="20"/>
          <w:szCs w:val="20"/>
        </w:rPr>
      </w:pPr>
      <w:r w:rsidRPr="00E80E89">
        <w:rPr>
          <w:rStyle w:val="fontstyle01"/>
          <w:rFonts w:ascii="Arial" w:hAnsi="Arial"/>
          <w:b/>
          <w:bCs/>
          <w:sz w:val="20"/>
          <w:szCs w:val="20"/>
        </w:rPr>
        <w:t>Competing Interests</w:t>
      </w:r>
      <w:r w:rsidRPr="0048629F">
        <w:rPr>
          <w:rFonts w:ascii="Arial" w:hAnsi="Arial" w:cs="Arial"/>
          <w:b/>
          <w:bCs/>
        </w:rPr>
        <w:t xml:space="preserve"> </w:t>
      </w:r>
      <w:r w:rsidRPr="00E80E89">
        <w:rPr>
          <w:rStyle w:val="fontstyle01"/>
          <w:rFonts w:ascii="Arial" w:hAnsi="Arial"/>
          <w:b/>
          <w:bCs/>
          <w:sz w:val="20"/>
          <w:szCs w:val="20"/>
        </w:rPr>
        <w:t xml:space="preserve"> </w:t>
      </w:r>
    </w:p>
    <w:p w14:paraId="347C01EA" w14:textId="77777777" w:rsidR="00573B0A" w:rsidRPr="00E80E89" w:rsidRDefault="00573B0A" w:rsidP="00573B0A">
      <w:pPr>
        <w:rPr>
          <w:rFonts w:ascii="Arial" w:hAnsi="Arial" w:cs="Arial"/>
        </w:rPr>
      </w:pPr>
      <w:r w:rsidRPr="00E80E89">
        <w:rPr>
          <w:rFonts w:ascii="Arial" w:hAnsi="Arial" w:cs="Arial"/>
        </w:rPr>
        <w:t>The authors declare that they have no known competing financial interests or personal relationships that could have appeared to influence the work reported in this paper.</w:t>
      </w:r>
    </w:p>
    <w:p w14:paraId="451B0DC3" w14:textId="77777777" w:rsidR="0048629F" w:rsidRPr="0048629F" w:rsidRDefault="0048629F" w:rsidP="0048629F">
      <w:pPr>
        <w:rPr>
          <w:rFonts w:ascii="Arial" w:hAnsi="Arial" w:cs="Arial"/>
          <w:lang w:eastAsia="fr-FR"/>
        </w:rPr>
      </w:pPr>
    </w:p>
    <w:p w14:paraId="0D45679D" w14:textId="77777777" w:rsidR="00371FB6" w:rsidRDefault="00371FB6" w:rsidP="00441B6F">
      <w:pPr>
        <w:pStyle w:val="ReferHead"/>
        <w:spacing w:after="0"/>
        <w:jc w:val="both"/>
        <w:rPr>
          <w:rFonts w:ascii="Arial" w:hAnsi="Arial" w:cs="Arial"/>
          <w:bCs/>
        </w:rPr>
      </w:pPr>
    </w:p>
    <w:p w14:paraId="1FBC9BBC" w14:textId="77777777" w:rsidR="0048629F" w:rsidRDefault="0048629F" w:rsidP="00441B6F">
      <w:pPr>
        <w:pStyle w:val="ReferHead"/>
        <w:spacing w:after="0"/>
        <w:jc w:val="both"/>
        <w:rPr>
          <w:rFonts w:ascii="Arial" w:hAnsi="Arial" w:cs="Arial"/>
          <w:bCs/>
        </w:rPr>
      </w:pPr>
    </w:p>
    <w:p w14:paraId="161BBA5A" w14:textId="77777777" w:rsidR="0048629F" w:rsidRDefault="0048629F" w:rsidP="00441B6F">
      <w:pPr>
        <w:pStyle w:val="ReferHead"/>
        <w:spacing w:after="0"/>
        <w:jc w:val="both"/>
        <w:rPr>
          <w:rFonts w:ascii="Arial" w:hAnsi="Arial" w:cs="Arial"/>
          <w:bCs/>
        </w:rPr>
      </w:pPr>
    </w:p>
    <w:p w14:paraId="019327DC" w14:textId="77777777" w:rsidR="00860000" w:rsidRDefault="00860000" w:rsidP="00441B6F">
      <w:pPr>
        <w:pStyle w:val="ReferHead"/>
        <w:spacing w:after="0"/>
        <w:jc w:val="both"/>
        <w:rPr>
          <w:rFonts w:ascii="Arial" w:hAnsi="Arial" w:cs="Arial"/>
        </w:rPr>
      </w:pPr>
    </w:p>
    <w:p w14:paraId="056CD49A" w14:textId="77777777" w:rsidR="00B01FCD" w:rsidRPr="0010007D" w:rsidRDefault="00B01FCD" w:rsidP="00441B6F">
      <w:pPr>
        <w:pStyle w:val="ReferHead"/>
        <w:spacing w:after="0"/>
        <w:jc w:val="both"/>
        <w:rPr>
          <w:rFonts w:ascii="Arial" w:hAnsi="Arial" w:cs="Arial"/>
          <w:lang w:val="pt-PT"/>
        </w:rPr>
      </w:pPr>
      <w:r w:rsidRPr="0010007D">
        <w:rPr>
          <w:rFonts w:ascii="Arial" w:hAnsi="Arial" w:cs="Arial"/>
          <w:lang w:val="pt-PT"/>
        </w:rPr>
        <w:t>References</w:t>
      </w:r>
    </w:p>
    <w:p w14:paraId="35A868BF" w14:textId="77777777" w:rsidR="00D867A0" w:rsidRPr="00D867A0" w:rsidRDefault="00D867A0" w:rsidP="00A10B9B">
      <w:pPr>
        <w:pStyle w:val="Affiliation"/>
        <w:numPr>
          <w:ilvl w:val="0"/>
          <w:numId w:val="31"/>
        </w:numPr>
        <w:jc w:val="both"/>
        <w:rPr>
          <w:rFonts w:ascii="Arial" w:hAnsi="Arial" w:cs="Arial"/>
          <w:i/>
          <w:iCs/>
        </w:rPr>
      </w:pPr>
      <w:r w:rsidRPr="0010007D">
        <w:rPr>
          <w:rFonts w:ascii="Arial" w:hAnsi="Arial" w:cs="Arial"/>
          <w:i/>
          <w:iCs/>
          <w:lang w:val="pt-PT"/>
        </w:rPr>
        <w:t xml:space="preserve">Aguilar-Barragan A., García-Torres A E., Odriozola-Casas Olga., Macedo-Raygoza G, Ogura T., Manzo-Sánchez G., James C. A., Islas-Flores I., Beltrán-García J. M. 2014. </w:t>
      </w:r>
      <w:r w:rsidRPr="00D867A0">
        <w:rPr>
          <w:rFonts w:ascii="Arial" w:hAnsi="Arial" w:cs="Arial"/>
          <w:i/>
          <w:iCs/>
        </w:rPr>
        <w:t xml:space="preserve">Chemical management in fungicide sensitivity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collected from banana fields in Mexico, Brazilian Journal of Microbiology 45, 1, 359–364. 2014. Copyright © 2014, </w:t>
      </w:r>
      <w:proofErr w:type="spellStart"/>
      <w:r w:rsidRPr="00D867A0">
        <w:rPr>
          <w:rFonts w:ascii="Arial" w:hAnsi="Arial" w:cs="Arial"/>
          <w:i/>
          <w:iCs/>
        </w:rPr>
        <w:t>Sociedade</w:t>
      </w:r>
      <w:proofErr w:type="spellEnd"/>
      <w:r w:rsidRPr="00D867A0">
        <w:rPr>
          <w:rFonts w:ascii="Arial" w:hAnsi="Arial" w:cs="Arial"/>
          <w:i/>
          <w:iCs/>
        </w:rPr>
        <w:t xml:space="preserve"> </w:t>
      </w:r>
      <w:proofErr w:type="spellStart"/>
      <w:r w:rsidRPr="00D867A0">
        <w:rPr>
          <w:rFonts w:ascii="Arial" w:hAnsi="Arial" w:cs="Arial"/>
          <w:i/>
          <w:iCs/>
        </w:rPr>
        <w:t>Brasileira</w:t>
      </w:r>
      <w:proofErr w:type="spellEnd"/>
      <w:r w:rsidRPr="00D867A0">
        <w:rPr>
          <w:rFonts w:ascii="Arial" w:hAnsi="Arial" w:cs="Arial"/>
          <w:i/>
          <w:iCs/>
        </w:rPr>
        <w:t xml:space="preserve"> de </w:t>
      </w:r>
      <w:proofErr w:type="spellStart"/>
      <w:r w:rsidRPr="00D867A0">
        <w:rPr>
          <w:rFonts w:ascii="Arial" w:hAnsi="Arial" w:cs="Arial"/>
          <w:i/>
          <w:iCs/>
        </w:rPr>
        <w:t>Microbiologia</w:t>
      </w:r>
      <w:proofErr w:type="spellEnd"/>
      <w:r w:rsidRPr="00D867A0">
        <w:rPr>
          <w:rFonts w:ascii="Arial" w:hAnsi="Arial" w:cs="Arial"/>
          <w:i/>
          <w:iCs/>
        </w:rPr>
        <w:t xml:space="preserve"> ISSN 1678-4405.</w:t>
      </w:r>
    </w:p>
    <w:p w14:paraId="18C736AA" w14:textId="77777777" w:rsidR="00D867A0" w:rsidRPr="00D867A0" w:rsidRDefault="00D867A0" w:rsidP="00D867A0">
      <w:pPr>
        <w:pStyle w:val="Affiliation"/>
        <w:jc w:val="both"/>
        <w:rPr>
          <w:rFonts w:ascii="Arial" w:hAnsi="Arial" w:cs="Arial"/>
          <w:i/>
          <w:iCs/>
        </w:rPr>
      </w:pPr>
    </w:p>
    <w:p w14:paraId="2D88D1FB" w14:textId="77777777" w:rsidR="00D867A0" w:rsidRPr="0010007D" w:rsidRDefault="00D867A0" w:rsidP="00A10B9B">
      <w:pPr>
        <w:pStyle w:val="Affiliation"/>
        <w:numPr>
          <w:ilvl w:val="0"/>
          <w:numId w:val="31"/>
        </w:numPr>
        <w:jc w:val="both"/>
        <w:rPr>
          <w:rFonts w:ascii="Arial" w:hAnsi="Arial" w:cs="Arial"/>
          <w:i/>
          <w:iCs/>
          <w:lang w:val="fr-FR"/>
        </w:rPr>
      </w:pPr>
      <w:r w:rsidRPr="0010007D">
        <w:rPr>
          <w:rFonts w:ascii="Arial" w:hAnsi="Arial" w:cs="Arial"/>
          <w:i/>
          <w:iCs/>
          <w:lang w:val="fr-FR"/>
        </w:rPr>
        <w:t xml:space="preserve">Berber F., Ouazzani T., </w:t>
      </w:r>
      <w:proofErr w:type="spellStart"/>
      <w:r w:rsidRPr="0010007D">
        <w:rPr>
          <w:rFonts w:ascii="Arial" w:hAnsi="Arial" w:cs="Arial"/>
          <w:i/>
          <w:iCs/>
          <w:lang w:val="fr-FR"/>
        </w:rPr>
        <w:t>Douira</w:t>
      </w:r>
      <w:proofErr w:type="spellEnd"/>
      <w:r w:rsidRPr="0010007D">
        <w:rPr>
          <w:rFonts w:ascii="Arial" w:hAnsi="Arial" w:cs="Arial"/>
          <w:i/>
          <w:iCs/>
          <w:lang w:val="fr-FR"/>
        </w:rPr>
        <w:t xml:space="preserve"> A. 2006. </w:t>
      </w:r>
      <w:r w:rsidRPr="00D867A0">
        <w:rPr>
          <w:rFonts w:ascii="Arial" w:hAnsi="Arial" w:cs="Arial"/>
          <w:i/>
          <w:iCs/>
        </w:rPr>
        <w:t xml:space="preserve">In vitro and in vivo effects of some fungicides on different species of dematiaceous fungi pathogenic to Sorghum bicolor (L.) </w:t>
      </w:r>
      <w:r w:rsidRPr="0010007D">
        <w:rPr>
          <w:rFonts w:ascii="Arial" w:hAnsi="Arial" w:cs="Arial"/>
          <w:i/>
          <w:iCs/>
          <w:lang w:val="fr-FR"/>
        </w:rPr>
        <w:t xml:space="preserve">Moench, </w:t>
      </w:r>
      <w:proofErr w:type="gramStart"/>
      <w:r w:rsidRPr="0010007D">
        <w:rPr>
          <w:rFonts w:ascii="Arial" w:hAnsi="Arial" w:cs="Arial"/>
          <w:i/>
          <w:iCs/>
          <w:lang w:val="fr-FR"/>
        </w:rPr>
        <w:t>Bulletin</w:t>
      </w:r>
      <w:proofErr w:type="gramEnd"/>
      <w:r w:rsidRPr="0010007D">
        <w:rPr>
          <w:rFonts w:ascii="Arial" w:hAnsi="Arial" w:cs="Arial"/>
          <w:i/>
          <w:iCs/>
          <w:lang w:val="fr-FR"/>
        </w:rPr>
        <w:t xml:space="preserve"> de l’Institut Scientifique, Rabat, section Sciences de la Vie, 2008, n°30, 5-11.</w:t>
      </w:r>
    </w:p>
    <w:p w14:paraId="74EC42D4" w14:textId="77777777" w:rsidR="00D867A0" w:rsidRPr="0010007D" w:rsidRDefault="00D867A0" w:rsidP="00D867A0">
      <w:pPr>
        <w:pStyle w:val="Affiliation"/>
        <w:jc w:val="both"/>
        <w:rPr>
          <w:rFonts w:ascii="Arial" w:hAnsi="Arial" w:cs="Arial"/>
          <w:i/>
          <w:iCs/>
          <w:lang w:val="fr-FR"/>
        </w:rPr>
      </w:pPr>
    </w:p>
    <w:p w14:paraId="26CCA525"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Essis B. S., Kouadio D. L. M., Coulibaly K., Traoré S., Dibi K. E. B. 2023. Evaluation of the effectiveness of the main fungicides used against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of banana plantations in Côte d’Ivoire. World Journal of Advanced Research and Reviews, 2023, 18(01), 1080–1086 </w:t>
      </w:r>
      <w:proofErr w:type="spellStart"/>
      <w:r w:rsidRPr="00D867A0">
        <w:rPr>
          <w:rFonts w:ascii="Arial" w:hAnsi="Arial" w:cs="Arial"/>
          <w:i/>
          <w:iCs/>
        </w:rPr>
        <w:t>doi</w:t>
      </w:r>
      <w:proofErr w:type="spellEnd"/>
      <w:r w:rsidRPr="00D867A0">
        <w:rPr>
          <w:rFonts w:ascii="Arial" w:hAnsi="Arial" w:cs="Arial"/>
          <w:i/>
          <w:iCs/>
        </w:rPr>
        <w:t>: 10.30574/wjarr.2023.18.1.0726 Volume 18 - Issue 1 (April 2023). https://wjarr.com/ArchiveIssue-2023-Vol18-Issue1</w:t>
      </w:r>
    </w:p>
    <w:p w14:paraId="13E84619" w14:textId="77777777" w:rsidR="00D867A0" w:rsidRPr="00D867A0" w:rsidRDefault="00D867A0" w:rsidP="00D867A0">
      <w:pPr>
        <w:pStyle w:val="Affiliation"/>
        <w:jc w:val="both"/>
        <w:rPr>
          <w:rFonts w:ascii="Arial" w:hAnsi="Arial" w:cs="Arial"/>
          <w:i/>
          <w:iCs/>
        </w:rPr>
      </w:pPr>
    </w:p>
    <w:p w14:paraId="3B421B06" w14:textId="3EBFFE5E" w:rsidR="00D867A0" w:rsidRPr="0010007D" w:rsidRDefault="00D867A0" w:rsidP="00A10B9B">
      <w:pPr>
        <w:pStyle w:val="Affiliation"/>
        <w:numPr>
          <w:ilvl w:val="0"/>
          <w:numId w:val="31"/>
        </w:numPr>
        <w:jc w:val="both"/>
        <w:rPr>
          <w:rFonts w:ascii="Arial" w:hAnsi="Arial" w:cs="Arial"/>
          <w:i/>
          <w:iCs/>
          <w:lang w:val="fr-FR"/>
        </w:rPr>
      </w:pPr>
      <w:r w:rsidRPr="0010007D">
        <w:rPr>
          <w:rFonts w:ascii="Arial" w:hAnsi="Arial" w:cs="Arial"/>
          <w:i/>
          <w:iCs/>
          <w:lang w:val="pt-PT"/>
        </w:rPr>
        <w:t xml:space="preserve">Camara B., Koné D., Kanko C. 2010. </w:t>
      </w:r>
      <w:r w:rsidRPr="00D867A0">
        <w:rPr>
          <w:rFonts w:ascii="Arial" w:hAnsi="Arial" w:cs="Arial"/>
          <w:i/>
          <w:iCs/>
        </w:rPr>
        <w:t xml:space="preserve">Antifungal activity of the essential oils of </w:t>
      </w:r>
      <w:proofErr w:type="spellStart"/>
      <w:r w:rsidRPr="00D867A0">
        <w:rPr>
          <w:rFonts w:ascii="Arial" w:hAnsi="Arial" w:cs="Arial"/>
          <w:i/>
          <w:iCs/>
        </w:rPr>
        <w:t>Ocimum</w:t>
      </w:r>
      <w:proofErr w:type="spellEnd"/>
      <w:r w:rsidRPr="00D867A0">
        <w:rPr>
          <w:rFonts w:ascii="Arial" w:hAnsi="Arial" w:cs="Arial"/>
          <w:i/>
          <w:iCs/>
        </w:rPr>
        <w:t xml:space="preserve"> </w:t>
      </w:r>
      <w:proofErr w:type="spellStart"/>
      <w:r w:rsidRPr="00D867A0">
        <w:rPr>
          <w:rFonts w:ascii="Arial" w:hAnsi="Arial" w:cs="Arial"/>
          <w:i/>
          <w:iCs/>
        </w:rPr>
        <w:t>gratissimum</w:t>
      </w:r>
      <w:proofErr w:type="spellEnd"/>
      <w:r w:rsidRPr="00D867A0">
        <w:rPr>
          <w:rFonts w:ascii="Arial" w:hAnsi="Arial" w:cs="Arial"/>
          <w:i/>
          <w:iCs/>
        </w:rPr>
        <w:t xml:space="preserve"> L., </w:t>
      </w:r>
      <w:proofErr w:type="spellStart"/>
      <w:r w:rsidRPr="00D867A0">
        <w:rPr>
          <w:rFonts w:ascii="Arial" w:hAnsi="Arial" w:cs="Arial"/>
          <w:i/>
          <w:iCs/>
        </w:rPr>
        <w:t>Monodora</w:t>
      </w:r>
      <w:proofErr w:type="spellEnd"/>
      <w:r w:rsidRPr="00D867A0">
        <w:rPr>
          <w:rFonts w:ascii="Arial" w:hAnsi="Arial" w:cs="Arial"/>
          <w:i/>
          <w:iCs/>
        </w:rPr>
        <w:t xml:space="preserve"> </w:t>
      </w:r>
      <w:proofErr w:type="spellStart"/>
      <w:r w:rsidRPr="00D867A0">
        <w:rPr>
          <w:rFonts w:ascii="Arial" w:hAnsi="Arial" w:cs="Arial"/>
          <w:i/>
          <w:iCs/>
        </w:rPr>
        <w:t>myristica</w:t>
      </w:r>
      <w:proofErr w:type="spellEnd"/>
      <w:r w:rsidRPr="00D867A0">
        <w:rPr>
          <w:rFonts w:ascii="Arial" w:hAnsi="Arial" w:cs="Arial"/>
          <w:i/>
          <w:iCs/>
        </w:rPr>
        <w:t xml:space="preserve"> (</w:t>
      </w:r>
      <w:proofErr w:type="spellStart"/>
      <w:r w:rsidRPr="00D867A0">
        <w:rPr>
          <w:rFonts w:ascii="Arial" w:hAnsi="Arial" w:cs="Arial"/>
          <w:i/>
          <w:iCs/>
        </w:rPr>
        <w:t>Gaaertn</w:t>
      </w:r>
      <w:proofErr w:type="spellEnd"/>
      <w:r w:rsidRPr="00D867A0">
        <w:rPr>
          <w:rFonts w:ascii="Arial" w:hAnsi="Arial" w:cs="Arial"/>
          <w:i/>
          <w:iCs/>
        </w:rPr>
        <w:t xml:space="preserve">) </w:t>
      </w:r>
      <w:proofErr w:type="spellStart"/>
      <w:r w:rsidRPr="00D867A0">
        <w:rPr>
          <w:rFonts w:ascii="Arial" w:hAnsi="Arial" w:cs="Arial"/>
          <w:i/>
          <w:iCs/>
        </w:rPr>
        <w:t>Dunal</w:t>
      </w:r>
      <w:proofErr w:type="spellEnd"/>
      <w:r w:rsidRPr="00D867A0">
        <w:rPr>
          <w:rFonts w:ascii="Arial" w:hAnsi="Arial" w:cs="Arial"/>
          <w:i/>
          <w:iCs/>
        </w:rPr>
        <w:t xml:space="preserve"> and of two synthesizer products (Impulse® and </w:t>
      </w:r>
      <w:proofErr w:type="spellStart"/>
      <w:r w:rsidRPr="00D867A0">
        <w:rPr>
          <w:rFonts w:ascii="Arial" w:hAnsi="Arial" w:cs="Arial"/>
          <w:i/>
          <w:iCs/>
        </w:rPr>
        <w:t>Folicur</w:t>
      </w:r>
      <w:proofErr w:type="spellEnd"/>
      <w:r w:rsidRPr="00D867A0">
        <w:rPr>
          <w:rFonts w:ascii="Arial" w:hAnsi="Arial" w:cs="Arial"/>
          <w:i/>
          <w:iCs/>
        </w:rPr>
        <w:t xml:space="preserve">) on mycelial growth and in vitro spore production of </w:t>
      </w:r>
      <w:proofErr w:type="spellStart"/>
      <w:r w:rsidRPr="00D867A0">
        <w:rPr>
          <w:rFonts w:ascii="Arial" w:hAnsi="Arial" w:cs="Arial"/>
          <w:i/>
          <w:iCs/>
        </w:rPr>
        <w:t>Deightoniella</w:t>
      </w:r>
      <w:proofErr w:type="spellEnd"/>
      <w:r w:rsidRPr="00D867A0">
        <w:rPr>
          <w:rFonts w:ascii="Arial" w:hAnsi="Arial" w:cs="Arial"/>
          <w:i/>
          <w:iCs/>
        </w:rPr>
        <w:t xml:space="preserve"> </w:t>
      </w:r>
      <w:proofErr w:type="spellStart"/>
      <w:r w:rsidRPr="00D867A0">
        <w:rPr>
          <w:rFonts w:ascii="Arial" w:hAnsi="Arial" w:cs="Arial"/>
          <w:i/>
          <w:iCs/>
        </w:rPr>
        <w:t>torulosa</w:t>
      </w:r>
      <w:proofErr w:type="spellEnd"/>
      <w:r w:rsidRPr="00D867A0">
        <w:rPr>
          <w:rFonts w:ascii="Arial" w:hAnsi="Arial" w:cs="Arial"/>
          <w:i/>
          <w:iCs/>
        </w:rPr>
        <w:t xml:space="preserve"> (Syd.). </w:t>
      </w:r>
      <w:proofErr w:type="spellStart"/>
      <w:r w:rsidRPr="0010007D">
        <w:rPr>
          <w:rFonts w:ascii="Arial" w:hAnsi="Arial" w:cs="Arial"/>
          <w:i/>
          <w:iCs/>
          <w:lang w:val="fr-FR"/>
        </w:rPr>
        <w:t>Sci</w:t>
      </w:r>
      <w:proofErr w:type="spellEnd"/>
      <w:r w:rsidRPr="0010007D">
        <w:rPr>
          <w:rFonts w:ascii="Arial" w:hAnsi="Arial" w:cs="Arial"/>
          <w:i/>
          <w:iCs/>
          <w:lang w:val="fr-FR"/>
        </w:rPr>
        <w:t xml:space="preserve"> </w:t>
      </w:r>
      <w:proofErr w:type="spellStart"/>
      <w:r w:rsidRPr="0010007D">
        <w:rPr>
          <w:rFonts w:ascii="Arial" w:hAnsi="Arial" w:cs="Arial"/>
          <w:i/>
          <w:iCs/>
          <w:lang w:val="fr-FR"/>
        </w:rPr>
        <w:t>Technol</w:t>
      </w:r>
      <w:proofErr w:type="spellEnd"/>
      <w:r w:rsidRPr="0010007D">
        <w:rPr>
          <w:rFonts w:ascii="Arial" w:hAnsi="Arial" w:cs="Arial"/>
          <w:i/>
          <w:iCs/>
          <w:lang w:val="fr-FR"/>
        </w:rPr>
        <w:t xml:space="preserve"> </w:t>
      </w:r>
      <w:proofErr w:type="gramStart"/>
      <w:r w:rsidRPr="0010007D">
        <w:rPr>
          <w:rFonts w:ascii="Arial" w:hAnsi="Arial" w:cs="Arial"/>
          <w:i/>
          <w:iCs/>
          <w:lang w:val="fr-FR"/>
        </w:rPr>
        <w:t>9:</w:t>
      </w:r>
      <w:proofErr w:type="gramEnd"/>
      <w:r w:rsidRPr="0010007D">
        <w:rPr>
          <w:rFonts w:ascii="Arial" w:hAnsi="Arial" w:cs="Arial"/>
          <w:i/>
          <w:iCs/>
          <w:lang w:val="fr-FR"/>
        </w:rPr>
        <w:t xml:space="preserve"> 187–201p.</w:t>
      </w:r>
    </w:p>
    <w:p w14:paraId="52C5CC8D" w14:textId="77777777" w:rsidR="00D867A0" w:rsidRPr="0010007D" w:rsidRDefault="00D867A0" w:rsidP="00A10B9B">
      <w:pPr>
        <w:pStyle w:val="Affiliation"/>
        <w:numPr>
          <w:ilvl w:val="0"/>
          <w:numId w:val="31"/>
        </w:numPr>
        <w:jc w:val="both"/>
        <w:rPr>
          <w:rFonts w:ascii="Arial" w:hAnsi="Arial" w:cs="Arial"/>
          <w:i/>
          <w:iCs/>
          <w:lang w:val="fr-FR"/>
        </w:rPr>
      </w:pPr>
      <w:r w:rsidRPr="0010007D">
        <w:rPr>
          <w:rFonts w:ascii="Arial" w:hAnsi="Arial" w:cs="Arial"/>
          <w:i/>
          <w:iCs/>
          <w:lang w:val="fr-FR"/>
        </w:rPr>
        <w:t xml:space="preserve">Carlier J., De </w:t>
      </w:r>
      <w:proofErr w:type="spellStart"/>
      <w:r w:rsidRPr="0010007D">
        <w:rPr>
          <w:rFonts w:ascii="Arial" w:hAnsi="Arial" w:cs="Arial"/>
          <w:i/>
          <w:iCs/>
          <w:lang w:val="fr-FR"/>
        </w:rPr>
        <w:t>Waele</w:t>
      </w:r>
      <w:proofErr w:type="spellEnd"/>
      <w:r w:rsidRPr="0010007D">
        <w:rPr>
          <w:rFonts w:ascii="Arial" w:hAnsi="Arial" w:cs="Arial"/>
          <w:i/>
          <w:iCs/>
          <w:lang w:val="fr-FR"/>
        </w:rPr>
        <w:t xml:space="preserve"> D., Escalant J.V. 2003. </w:t>
      </w:r>
      <w:r w:rsidRPr="00D867A0">
        <w:rPr>
          <w:rFonts w:ascii="Arial" w:hAnsi="Arial" w:cs="Arial"/>
          <w:i/>
          <w:iCs/>
        </w:rPr>
        <w:t xml:space="preserve">Global evaluation of the resistance of banana trees to Fusarium wilt, foliar diseases caused by </w:t>
      </w:r>
      <w:proofErr w:type="spellStart"/>
      <w:r w:rsidRPr="00D867A0">
        <w:rPr>
          <w:rFonts w:ascii="Arial" w:hAnsi="Arial" w:cs="Arial"/>
          <w:i/>
          <w:iCs/>
        </w:rPr>
        <w:t>Mycosphaerella</w:t>
      </w:r>
      <w:proofErr w:type="spellEnd"/>
      <w:r w:rsidRPr="00D867A0">
        <w:rPr>
          <w:rFonts w:ascii="Arial" w:hAnsi="Arial" w:cs="Arial"/>
          <w:i/>
          <w:iCs/>
        </w:rPr>
        <w:t xml:space="preserve"> spp., and nematodes. International Network for the Improvement of Banana and Plantain, Montpellier, France. </w:t>
      </w:r>
      <w:r w:rsidRPr="0010007D">
        <w:rPr>
          <w:rFonts w:ascii="Arial" w:hAnsi="Arial" w:cs="Arial"/>
          <w:i/>
          <w:iCs/>
          <w:lang w:val="fr-FR"/>
        </w:rPr>
        <w:t>INIBAP. 62 p.</w:t>
      </w:r>
    </w:p>
    <w:p w14:paraId="09450E99" w14:textId="77777777" w:rsidR="00D867A0" w:rsidRPr="0010007D" w:rsidRDefault="00D867A0" w:rsidP="00D867A0">
      <w:pPr>
        <w:pStyle w:val="Affiliation"/>
        <w:jc w:val="both"/>
        <w:rPr>
          <w:rFonts w:ascii="Arial" w:hAnsi="Arial" w:cs="Arial"/>
          <w:i/>
          <w:iCs/>
          <w:lang w:val="fr-FR"/>
        </w:rPr>
      </w:pPr>
    </w:p>
    <w:p w14:paraId="394DC119" w14:textId="77777777" w:rsidR="00D867A0" w:rsidRPr="00D867A0" w:rsidRDefault="00D867A0" w:rsidP="00A10B9B">
      <w:pPr>
        <w:pStyle w:val="Affiliation"/>
        <w:numPr>
          <w:ilvl w:val="0"/>
          <w:numId w:val="31"/>
        </w:numPr>
        <w:jc w:val="both"/>
        <w:rPr>
          <w:rFonts w:ascii="Arial" w:hAnsi="Arial" w:cs="Arial"/>
          <w:i/>
          <w:iCs/>
        </w:rPr>
      </w:pPr>
      <w:proofErr w:type="spellStart"/>
      <w:r w:rsidRPr="0010007D">
        <w:rPr>
          <w:rFonts w:ascii="Arial" w:hAnsi="Arial" w:cs="Arial"/>
          <w:i/>
          <w:iCs/>
          <w:lang w:val="fr-FR"/>
        </w:rPr>
        <w:t>Chillet</w:t>
      </w:r>
      <w:proofErr w:type="spellEnd"/>
      <w:r w:rsidRPr="0010007D">
        <w:rPr>
          <w:rFonts w:ascii="Arial" w:hAnsi="Arial" w:cs="Arial"/>
          <w:i/>
          <w:iCs/>
          <w:lang w:val="fr-FR"/>
        </w:rPr>
        <w:t xml:space="preserve"> M., Abadie C., Hubert O., Chilin-Charles Y., De Lapeyre De Bellaire. </w:t>
      </w:r>
      <w:r w:rsidRPr="00D867A0">
        <w:rPr>
          <w:rFonts w:ascii="Arial" w:hAnsi="Arial" w:cs="Arial"/>
          <w:i/>
          <w:iCs/>
        </w:rPr>
        <w:t>2009. Sigatoka disease reduces the green life of bananas. Crop Protection 28(1): 41-45. https://doi.org/10.1016/j.cropro.2008.08.008.</w:t>
      </w:r>
    </w:p>
    <w:p w14:paraId="76F5BACA" w14:textId="77777777" w:rsidR="00D867A0" w:rsidRPr="00D867A0" w:rsidRDefault="00D867A0" w:rsidP="00D867A0">
      <w:pPr>
        <w:pStyle w:val="Affiliation"/>
        <w:jc w:val="both"/>
        <w:rPr>
          <w:rFonts w:ascii="Arial" w:hAnsi="Arial" w:cs="Arial"/>
          <w:i/>
          <w:iCs/>
        </w:rPr>
      </w:pPr>
    </w:p>
    <w:p w14:paraId="4C0BC800"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Doumbouya M., Abo K., </w:t>
      </w:r>
      <w:proofErr w:type="spellStart"/>
      <w:r w:rsidRPr="00D867A0">
        <w:rPr>
          <w:rFonts w:ascii="Arial" w:hAnsi="Arial" w:cs="Arial"/>
          <w:i/>
          <w:iCs/>
        </w:rPr>
        <w:t>Lepengue</w:t>
      </w:r>
      <w:proofErr w:type="spellEnd"/>
      <w:r w:rsidRPr="00D867A0">
        <w:rPr>
          <w:rFonts w:ascii="Arial" w:hAnsi="Arial" w:cs="Arial"/>
          <w:i/>
          <w:iCs/>
        </w:rPr>
        <w:t xml:space="preserve"> A.N., </w:t>
      </w:r>
      <w:proofErr w:type="spellStart"/>
      <w:r w:rsidRPr="00D867A0">
        <w:rPr>
          <w:rFonts w:ascii="Arial" w:hAnsi="Arial" w:cs="Arial"/>
          <w:i/>
          <w:iCs/>
        </w:rPr>
        <w:t>Camara</w:t>
      </w:r>
      <w:proofErr w:type="spellEnd"/>
      <w:r w:rsidRPr="00D867A0">
        <w:rPr>
          <w:rFonts w:ascii="Arial" w:hAnsi="Arial" w:cs="Arial"/>
          <w:i/>
          <w:iCs/>
        </w:rPr>
        <w:t xml:space="preserve"> B., Kanko K., Aidara D., Koné D. 2012. Comparative in vitro activities of two synthetic fungicides and two essential oils on soilborne fungi of vegetable crops in Côte d'Ivoire. Journal of Applied Biosciences 50: 3520–3532 ISSN 1997–5902.</w:t>
      </w:r>
    </w:p>
    <w:p w14:paraId="7B048223" w14:textId="77777777" w:rsidR="00D867A0" w:rsidRPr="00D867A0" w:rsidRDefault="00D867A0" w:rsidP="00D867A0">
      <w:pPr>
        <w:pStyle w:val="Affiliation"/>
        <w:jc w:val="both"/>
        <w:rPr>
          <w:rFonts w:ascii="Arial" w:hAnsi="Arial" w:cs="Arial"/>
          <w:i/>
          <w:iCs/>
        </w:rPr>
      </w:pPr>
    </w:p>
    <w:p w14:paraId="77016642"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Doumbouya M., Kouame K.G., Brou K.G., N’Guessan A.C., Kone D., </w:t>
      </w:r>
      <w:proofErr w:type="spellStart"/>
      <w:r w:rsidRPr="00D867A0">
        <w:rPr>
          <w:rFonts w:ascii="Arial" w:hAnsi="Arial" w:cs="Arial"/>
          <w:i/>
          <w:iCs/>
        </w:rPr>
        <w:t>Tiépé</w:t>
      </w:r>
      <w:proofErr w:type="spellEnd"/>
      <w:r w:rsidRPr="00D867A0">
        <w:rPr>
          <w:rFonts w:ascii="Arial" w:hAnsi="Arial" w:cs="Arial"/>
          <w:i/>
          <w:iCs/>
        </w:rPr>
        <w:t xml:space="preserve"> A., Koné D. 2021. Efficacy of four essential oils on Fusarium head blight caused by Fusarium </w:t>
      </w:r>
      <w:proofErr w:type="spellStart"/>
      <w:r w:rsidRPr="00D867A0">
        <w:rPr>
          <w:rFonts w:ascii="Arial" w:hAnsi="Arial" w:cs="Arial"/>
          <w:i/>
          <w:iCs/>
        </w:rPr>
        <w:t>oxysporum</w:t>
      </w:r>
      <w:proofErr w:type="spellEnd"/>
      <w:r w:rsidRPr="00D867A0">
        <w:rPr>
          <w:rFonts w:ascii="Arial" w:hAnsi="Arial" w:cs="Arial"/>
          <w:i/>
          <w:iCs/>
        </w:rPr>
        <w:t xml:space="preserve"> f. sp. </w:t>
      </w:r>
      <w:proofErr w:type="spellStart"/>
      <w:r w:rsidRPr="00D867A0">
        <w:rPr>
          <w:rFonts w:ascii="Arial" w:hAnsi="Arial" w:cs="Arial"/>
          <w:i/>
          <w:iCs/>
        </w:rPr>
        <w:t>radicis</w:t>
      </w:r>
      <w:proofErr w:type="spellEnd"/>
      <w:r w:rsidRPr="00D867A0">
        <w:rPr>
          <w:rFonts w:ascii="Arial" w:hAnsi="Arial" w:cs="Arial"/>
          <w:i/>
          <w:iCs/>
        </w:rPr>
        <w:t xml:space="preserve"> </w:t>
      </w:r>
      <w:proofErr w:type="spellStart"/>
      <w:r w:rsidRPr="00D867A0">
        <w:rPr>
          <w:rFonts w:ascii="Arial" w:hAnsi="Arial" w:cs="Arial"/>
          <w:i/>
          <w:iCs/>
        </w:rPr>
        <w:t>lycopersici</w:t>
      </w:r>
      <w:proofErr w:type="spellEnd"/>
      <w:r w:rsidRPr="00D867A0">
        <w:rPr>
          <w:rFonts w:ascii="Arial" w:hAnsi="Arial" w:cs="Arial"/>
          <w:i/>
          <w:iCs/>
        </w:rPr>
        <w:t xml:space="preserve"> (FORL), a soilborne fungal pathogen of tomato grown under cover. Vol. 9, No. 11, 13 p. International Journal of Advanced Research.</w:t>
      </w:r>
    </w:p>
    <w:p w14:paraId="0BBCE166" w14:textId="77777777" w:rsidR="00D867A0" w:rsidRPr="00D867A0" w:rsidRDefault="00D867A0" w:rsidP="00D867A0">
      <w:pPr>
        <w:pStyle w:val="Affiliation"/>
        <w:jc w:val="both"/>
        <w:rPr>
          <w:rFonts w:ascii="Arial" w:hAnsi="Arial" w:cs="Arial"/>
          <w:i/>
          <w:iCs/>
        </w:rPr>
      </w:pPr>
    </w:p>
    <w:p w14:paraId="681FBD6D"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FAO, 2022. Banana Market Review 2019. Rome.</w:t>
      </w:r>
    </w:p>
    <w:p w14:paraId="24B2E15B" w14:textId="77777777" w:rsidR="00D867A0" w:rsidRPr="00D867A0" w:rsidRDefault="00D867A0" w:rsidP="00D867A0">
      <w:pPr>
        <w:pStyle w:val="Affiliation"/>
        <w:jc w:val="both"/>
        <w:rPr>
          <w:rFonts w:ascii="Arial" w:hAnsi="Arial" w:cs="Arial"/>
          <w:i/>
          <w:iCs/>
        </w:rPr>
      </w:pPr>
    </w:p>
    <w:p w14:paraId="0EBC2734" w14:textId="7D7C22F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FAO, 2021. Banana Market Review 2019. Rome.</w:t>
      </w:r>
    </w:p>
    <w:p w14:paraId="6338B188"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lastRenderedPageBreak/>
        <w:t>FAOSTAT, 2022. Production, Food and agriculture organization of the united nation.</w:t>
      </w:r>
    </w:p>
    <w:p w14:paraId="10FF9EBA" w14:textId="77777777" w:rsidR="00D867A0" w:rsidRPr="00D867A0" w:rsidRDefault="00D867A0" w:rsidP="00D867A0">
      <w:pPr>
        <w:pStyle w:val="Affiliation"/>
        <w:jc w:val="both"/>
        <w:rPr>
          <w:rFonts w:ascii="Arial" w:hAnsi="Arial" w:cs="Arial"/>
          <w:i/>
          <w:iCs/>
        </w:rPr>
      </w:pPr>
    </w:p>
    <w:p w14:paraId="397903C3"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Kassankogno A.I., Sidibe G., Guigma A.K., Nikiema B.C., Nana A., Koita K.2021. Characterization of foliar symptoms and evaluation of the potential pathology of those isolates of </w:t>
      </w:r>
      <w:proofErr w:type="spellStart"/>
      <w:r w:rsidRPr="00D867A0">
        <w:rPr>
          <w:rFonts w:ascii="Arial" w:hAnsi="Arial" w:cs="Arial"/>
          <w:i/>
          <w:iCs/>
        </w:rPr>
        <w:t>Curvularia</w:t>
      </w:r>
      <w:proofErr w:type="spellEnd"/>
      <w:r w:rsidRPr="00D867A0">
        <w:rPr>
          <w:rFonts w:ascii="Arial" w:hAnsi="Arial" w:cs="Arial"/>
          <w:i/>
          <w:iCs/>
        </w:rPr>
        <w:t xml:space="preserve"> </w:t>
      </w:r>
      <w:proofErr w:type="spellStart"/>
      <w:r w:rsidRPr="00D867A0">
        <w:rPr>
          <w:rFonts w:ascii="Arial" w:hAnsi="Arial" w:cs="Arial"/>
          <w:i/>
          <w:iCs/>
        </w:rPr>
        <w:t>lunata</w:t>
      </w:r>
      <w:proofErr w:type="spellEnd"/>
      <w:r w:rsidRPr="00D867A0">
        <w:rPr>
          <w:rFonts w:ascii="Arial" w:hAnsi="Arial" w:cs="Arial"/>
          <w:i/>
          <w:iCs/>
        </w:rPr>
        <w:t xml:space="preserve"> on three varieties of rice (Oryza sativa L.) produced in Burkina Faso. Afrique Science 19(4) (2021) 106-117.</w:t>
      </w:r>
    </w:p>
    <w:p w14:paraId="72922089" w14:textId="77777777" w:rsidR="00D867A0" w:rsidRPr="00D867A0" w:rsidRDefault="00D867A0" w:rsidP="00D867A0">
      <w:pPr>
        <w:pStyle w:val="Affiliation"/>
        <w:jc w:val="both"/>
        <w:rPr>
          <w:rFonts w:ascii="Arial" w:hAnsi="Arial" w:cs="Arial"/>
          <w:i/>
          <w:iCs/>
        </w:rPr>
      </w:pPr>
    </w:p>
    <w:p w14:paraId="6AF719A9"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Kassankogno A.I., Wonni I., Guigma A.K., Koita K .2022. Evaluation of the efficiency of three fungicides on radial mycelial growth, sporulation and germination of </w:t>
      </w:r>
      <w:proofErr w:type="spellStart"/>
      <w:r w:rsidRPr="00D867A0">
        <w:rPr>
          <w:rFonts w:ascii="Arial" w:hAnsi="Arial" w:cs="Arial"/>
          <w:i/>
          <w:iCs/>
        </w:rPr>
        <w:t>Curvularia</w:t>
      </w:r>
      <w:proofErr w:type="spellEnd"/>
      <w:r w:rsidRPr="00D867A0">
        <w:rPr>
          <w:rFonts w:ascii="Arial" w:hAnsi="Arial" w:cs="Arial"/>
          <w:i/>
          <w:iCs/>
        </w:rPr>
        <w:t xml:space="preserve"> </w:t>
      </w:r>
      <w:proofErr w:type="spellStart"/>
      <w:r w:rsidRPr="00D867A0">
        <w:rPr>
          <w:rFonts w:ascii="Arial" w:hAnsi="Arial" w:cs="Arial"/>
          <w:i/>
          <w:iCs/>
        </w:rPr>
        <w:t>lunata</w:t>
      </w:r>
      <w:proofErr w:type="spellEnd"/>
      <w:r w:rsidRPr="00D867A0">
        <w:rPr>
          <w:rFonts w:ascii="Arial" w:hAnsi="Arial" w:cs="Arial"/>
          <w:i/>
          <w:iCs/>
        </w:rPr>
        <w:t xml:space="preserve">, a rice </w:t>
      </w:r>
      <w:proofErr w:type="spellStart"/>
      <w:r w:rsidRPr="00D867A0">
        <w:rPr>
          <w:rFonts w:ascii="Arial" w:hAnsi="Arial" w:cs="Arial"/>
          <w:i/>
          <w:iCs/>
        </w:rPr>
        <w:t>curvulariosis</w:t>
      </w:r>
      <w:proofErr w:type="spellEnd"/>
      <w:r w:rsidRPr="00D867A0">
        <w:rPr>
          <w:rFonts w:ascii="Arial" w:hAnsi="Arial" w:cs="Arial"/>
          <w:i/>
          <w:iCs/>
        </w:rPr>
        <w:t xml:space="preserve"> disease in Burkina Faso, Vol. 19(4), pp. 437-</w:t>
      </w:r>
      <w:proofErr w:type="gramStart"/>
      <w:r w:rsidRPr="00D867A0">
        <w:rPr>
          <w:rFonts w:ascii="Arial" w:hAnsi="Arial" w:cs="Arial"/>
          <w:i/>
          <w:iCs/>
        </w:rPr>
        <w:t>443,DOI</w:t>
      </w:r>
      <w:proofErr w:type="gramEnd"/>
      <w:r w:rsidRPr="00D867A0">
        <w:rPr>
          <w:rFonts w:ascii="Arial" w:hAnsi="Arial" w:cs="Arial"/>
          <w:i/>
          <w:iCs/>
        </w:rPr>
        <w:t>: 10.5897/AJAR2022.16308.</w:t>
      </w:r>
    </w:p>
    <w:p w14:paraId="24A045D5" w14:textId="77777777" w:rsidR="00D867A0" w:rsidRPr="00D867A0" w:rsidRDefault="00D867A0" w:rsidP="00D867A0">
      <w:pPr>
        <w:pStyle w:val="Affiliation"/>
        <w:jc w:val="both"/>
        <w:rPr>
          <w:rFonts w:ascii="Arial" w:hAnsi="Arial" w:cs="Arial"/>
          <w:i/>
          <w:iCs/>
        </w:rPr>
      </w:pPr>
    </w:p>
    <w:p w14:paraId="33A3C356"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Kassankogno A I., </w:t>
      </w:r>
      <w:proofErr w:type="spellStart"/>
      <w:r w:rsidRPr="00D867A0">
        <w:rPr>
          <w:rFonts w:ascii="Arial" w:hAnsi="Arial" w:cs="Arial"/>
          <w:i/>
          <w:iCs/>
        </w:rPr>
        <w:t>Ouedraogo</w:t>
      </w:r>
      <w:proofErr w:type="spellEnd"/>
      <w:r w:rsidRPr="00D867A0">
        <w:rPr>
          <w:rFonts w:ascii="Arial" w:hAnsi="Arial" w:cs="Arial"/>
          <w:i/>
          <w:iCs/>
        </w:rPr>
        <w:t xml:space="preserve">., </w:t>
      </w:r>
      <w:proofErr w:type="spellStart"/>
      <w:r w:rsidRPr="00D867A0">
        <w:rPr>
          <w:rFonts w:ascii="Arial" w:hAnsi="Arial" w:cs="Arial"/>
          <w:i/>
          <w:iCs/>
        </w:rPr>
        <w:t>Adreit</w:t>
      </w:r>
      <w:proofErr w:type="spellEnd"/>
      <w:r w:rsidRPr="00D867A0">
        <w:rPr>
          <w:rFonts w:ascii="Arial" w:hAnsi="Arial" w:cs="Arial"/>
          <w:i/>
          <w:iCs/>
        </w:rPr>
        <w:t xml:space="preserve"> H., Milazzo J., Ouedraogo L S., </w:t>
      </w:r>
      <w:proofErr w:type="spellStart"/>
      <w:r w:rsidRPr="00D867A0">
        <w:rPr>
          <w:rFonts w:ascii="Arial" w:hAnsi="Arial" w:cs="Arial"/>
          <w:i/>
          <w:iCs/>
        </w:rPr>
        <w:t>Sankara</w:t>
      </w:r>
      <w:proofErr w:type="spellEnd"/>
      <w:r w:rsidRPr="00D867A0">
        <w:rPr>
          <w:rFonts w:ascii="Arial" w:hAnsi="Arial" w:cs="Arial"/>
          <w:i/>
          <w:iCs/>
        </w:rPr>
        <w:t xml:space="preserve"> P et </w:t>
      </w:r>
      <w:proofErr w:type="spellStart"/>
      <w:r w:rsidRPr="00D867A0">
        <w:rPr>
          <w:rFonts w:ascii="Arial" w:hAnsi="Arial" w:cs="Arial"/>
          <w:i/>
          <w:iCs/>
        </w:rPr>
        <w:t>Tharreau</w:t>
      </w:r>
      <w:proofErr w:type="spellEnd"/>
      <w:r w:rsidRPr="00D867A0">
        <w:rPr>
          <w:rFonts w:ascii="Arial" w:hAnsi="Arial" w:cs="Arial"/>
          <w:i/>
          <w:iCs/>
        </w:rPr>
        <w:t xml:space="preserve"> D .2016. Analyze the genetic diversity of the islands of </w:t>
      </w:r>
      <w:proofErr w:type="spellStart"/>
      <w:r w:rsidRPr="00D867A0">
        <w:rPr>
          <w:rFonts w:ascii="Arial" w:hAnsi="Arial" w:cs="Arial"/>
          <w:i/>
          <w:iCs/>
        </w:rPr>
        <w:t>Magnaporthe</w:t>
      </w:r>
      <w:proofErr w:type="spellEnd"/>
      <w:r w:rsidRPr="00D867A0">
        <w:rPr>
          <w:rFonts w:ascii="Arial" w:hAnsi="Arial" w:cs="Arial"/>
          <w:i/>
          <w:iCs/>
        </w:rPr>
        <w:t xml:space="preserve"> </w:t>
      </w:r>
      <w:proofErr w:type="spellStart"/>
      <w:r w:rsidRPr="00D867A0">
        <w:rPr>
          <w:rFonts w:ascii="Arial" w:hAnsi="Arial" w:cs="Arial"/>
          <w:i/>
          <w:iCs/>
        </w:rPr>
        <w:t>oryzae</w:t>
      </w:r>
      <w:proofErr w:type="spellEnd"/>
      <w:r w:rsidRPr="00D867A0">
        <w:rPr>
          <w:rFonts w:ascii="Arial" w:hAnsi="Arial" w:cs="Arial"/>
          <w:i/>
          <w:iCs/>
        </w:rPr>
        <w:t xml:space="preserve"> of Burkina Faso and Togo by the microsatellite markers (SSRs). Int. J. Biol. Chem. Sci. 10(5): 2259-2267, October 2016 ISSN 1997-342X (Online), ISSN 1991-8631 (Print)</w:t>
      </w:r>
    </w:p>
    <w:p w14:paraId="2C89949B" w14:textId="77777777" w:rsidR="00D867A0" w:rsidRPr="00D867A0" w:rsidRDefault="00D867A0" w:rsidP="00D867A0">
      <w:pPr>
        <w:pStyle w:val="Affiliation"/>
        <w:jc w:val="both"/>
        <w:rPr>
          <w:rFonts w:ascii="Arial" w:hAnsi="Arial" w:cs="Arial"/>
          <w:i/>
          <w:iCs/>
        </w:rPr>
      </w:pPr>
    </w:p>
    <w:p w14:paraId="3516DA65" w14:textId="77777777" w:rsidR="00D867A0" w:rsidRPr="0010007D" w:rsidRDefault="00D867A0" w:rsidP="00A10B9B">
      <w:pPr>
        <w:pStyle w:val="Affiliation"/>
        <w:numPr>
          <w:ilvl w:val="0"/>
          <w:numId w:val="31"/>
        </w:numPr>
        <w:jc w:val="both"/>
        <w:rPr>
          <w:rFonts w:ascii="Arial" w:hAnsi="Arial" w:cs="Arial"/>
          <w:i/>
          <w:iCs/>
          <w:lang w:val="pt-PT"/>
        </w:rPr>
      </w:pPr>
      <w:r w:rsidRPr="0010007D">
        <w:rPr>
          <w:rFonts w:ascii="Arial" w:hAnsi="Arial" w:cs="Arial"/>
          <w:i/>
          <w:iCs/>
          <w:lang w:val="pt-PT"/>
        </w:rPr>
        <w:t>Koné D., Badou O.J., Bomisso E.L., Camara B., Ake S .2009. In vitro activities of different fungicides on the croissance of Mycosphaerella fijiensis var. difformis Stover et Dickson, Cladosporium musae Morelet et Deightoniella torulosa (Syd.) Ellis, parasites islands of the phyllosphère of bananas in Côte-d'Ivoire. C. R. Biol. 332, 448–455p. https://doi.org/10.1016/j.crvi.2008.03.013</w:t>
      </w:r>
    </w:p>
    <w:p w14:paraId="48C53799" w14:textId="77777777" w:rsidR="00D867A0" w:rsidRPr="0010007D" w:rsidRDefault="00D867A0" w:rsidP="00D867A0">
      <w:pPr>
        <w:pStyle w:val="Affiliation"/>
        <w:jc w:val="both"/>
        <w:rPr>
          <w:rFonts w:ascii="Arial" w:hAnsi="Arial" w:cs="Arial"/>
          <w:i/>
          <w:iCs/>
          <w:lang w:val="pt-PT"/>
        </w:rPr>
      </w:pPr>
    </w:p>
    <w:p w14:paraId="5E9971A3"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MAAH, 2016. Preliminary draft of the National Banana Sector Revitalization Program (PN-REDYFBANANE). Burkina Faso.14p.</w:t>
      </w:r>
    </w:p>
    <w:p w14:paraId="3FA96357"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Mathur S B., and Olga Kongsdal. (2003). « Common laboratory seed health testing methods for detecting fungi ». Danish Institute of Seed Pathology for Developing Countries, Copenhagen 425 p.</w:t>
      </w:r>
    </w:p>
    <w:p w14:paraId="6054D460" w14:textId="77777777" w:rsidR="00D867A0" w:rsidRPr="00D867A0" w:rsidRDefault="00D867A0" w:rsidP="00D867A0">
      <w:pPr>
        <w:pStyle w:val="Affiliation"/>
        <w:jc w:val="both"/>
        <w:rPr>
          <w:rFonts w:ascii="Arial" w:hAnsi="Arial" w:cs="Arial"/>
          <w:i/>
          <w:iCs/>
        </w:rPr>
      </w:pPr>
    </w:p>
    <w:p w14:paraId="31644390"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Ngando J.E., 2014. Selection and evolution of systemic fungicide resistance in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causal agent of black spot disease of bananas, 144 p.</w:t>
      </w:r>
    </w:p>
    <w:p w14:paraId="6E80B93C" w14:textId="77777777" w:rsidR="00D867A0" w:rsidRPr="00D867A0" w:rsidRDefault="00D867A0" w:rsidP="00D867A0">
      <w:pPr>
        <w:pStyle w:val="Affiliation"/>
        <w:jc w:val="both"/>
        <w:rPr>
          <w:rFonts w:ascii="Arial" w:hAnsi="Arial" w:cs="Arial"/>
          <w:i/>
          <w:iCs/>
        </w:rPr>
      </w:pPr>
    </w:p>
    <w:p w14:paraId="5B4F2F67" w14:textId="77777777" w:rsidR="00D867A0" w:rsidRPr="00D867A0" w:rsidRDefault="00D867A0" w:rsidP="00A10B9B">
      <w:pPr>
        <w:pStyle w:val="Affiliation"/>
        <w:numPr>
          <w:ilvl w:val="0"/>
          <w:numId w:val="31"/>
        </w:numPr>
        <w:jc w:val="both"/>
        <w:rPr>
          <w:rFonts w:ascii="Arial" w:hAnsi="Arial" w:cs="Arial"/>
          <w:i/>
          <w:iCs/>
        </w:rPr>
      </w:pPr>
      <w:proofErr w:type="spellStart"/>
      <w:r w:rsidRPr="00D867A0">
        <w:rPr>
          <w:rFonts w:ascii="Arial" w:hAnsi="Arial" w:cs="Arial"/>
          <w:i/>
          <w:iCs/>
        </w:rPr>
        <w:t>Ngoh</w:t>
      </w:r>
      <w:proofErr w:type="spellEnd"/>
      <w:r w:rsidRPr="00D867A0">
        <w:rPr>
          <w:rFonts w:ascii="Arial" w:hAnsi="Arial" w:cs="Arial"/>
          <w:i/>
          <w:iCs/>
        </w:rPr>
        <w:t xml:space="preserve"> D.J.P., </w:t>
      </w:r>
      <w:proofErr w:type="spellStart"/>
      <w:r w:rsidRPr="00D867A0">
        <w:rPr>
          <w:rFonts w:ascii="Arial" w:hAnsi="Arial" w:cs="Arial"/>
          <w:i/>
          <w:iCs/>
        </w:rPr>
        <w:t>Deurnaye</w:t>
      </w:r>
      <w:proofErr w:type="spellEnd"/>
      <w:r w:rsidRPr="00D867A0">
        <w:rPr>
          <w:rFonts w:ascii="Arial" w:hAnsi="Arial" w:cs="Arial"/>
          <w:i/>
          <w:iCs/>
        </w:rPr>
        <w:t xml:space="preserve"> P., </w:t>
      </w:r>
      <w:proofErr w:type="spellStart"/>
      <w:r w:rsidRPr="00D867A0">
        <w:rPr>
          <w:rFonts w:ascii="Arial" w:hAnsi="Arial" w:cs="Arial"/>
          <w:i/>
          <w:iCs/>
        </w:rPr>
        <w:t>Madjerembe</w:t>
      </w:r>
      <w:proofErr w:type="spellEnd"/>
      <w:r w:rsidRPr="00D867A0">
        <w:rPr>
          <w:rFonts w:ascii="Arial" w:hAnsi="Arial" w:cs="Arial"/>
          <w:i/>
          <w:iCs/>
        </w:rPr>
        <w:t xml:space="preserve"> A., </w:t>
      </w:r>
      <w:proofErr w:type="spellStart"/>
      <w:r w:rsidRPr="00D867A0">
        <w:rPr>
          <w:rFonts w:ascii="Arial" w:hAnsi="Arial" w:cs="Arial"/>
          <w:i/>
          <w:iCs/>
        </w:rPr>
        <w:t>Mbou</w:t>
      </w:r>
      <w:proofErr w:type="spellEnd"/>
      <w:r w:rsidRPr="00D867A0">
        <w:rPr>
          <w:rFonts w:ascii="Arial" w:hAnsi="Arial" w:cs="Arial"/>
          <w:i/>
          <w:iCs/>
        </w:rPr>
        <w:t xml:space="preserve"> T.P.R., </w:t>
      </w:r>
      <w:proofErr w:type="spellStart"/>
      <w:r w:rsidRPr="00D867A0">
        <w:rPr>
          <w:rFonts w:ascii="Arial" w:hAnsi="Arial" w:cs="Arial"/>
          <w:i/>
          <w:iCs/>
        </w:rPr>
        <w:t>Djongnang</w:t>
      </w:r>
      <w:proofErr w:type="spellEnd"/>
      <w:r w:rsidRPr="00D867A0">
        <w:rPr>
          <w:rFonts w:ascii="Arial" w:hAnsi="Arial" w:cs="Arial"/>
          <w:i/>
          <w:iCs/>
        </w:rPr>
        <w:t xml:space="preserve"> G., </w:t>
      </w:r>
      <w:proofErr w:type="spellStart"/>
      <w:r w:rsidRPr="00D867A0">
        <w:rPr>
          <w:rFonts w:ascii="Arial" w:hAnsi="Arial" w:cs="Arial"/>
          <w:i/>
          <w:iCs/>
        </w:rPr>
        <w:t>Boydoul</w:t>
      </w:r>
      <w:proofErr w:type="spellEnd"/>
      <w:r w:rsidRPr="00D867A0">
        <w:rPr>
          <w:rFonts w:ascii="Arial" w:hAnsi="Arial" w:cs="Arial"/>
          <w:i/>
          <w:iCs/>
        </w:rPr>
        <w:t xml:space="preserve"> F. Ulrich Djile B., </w:t>
      </w:r>
      <w:proofErr w:type="spellStart"/>
      <w:r w:rsidRPr="00D867A0">
        <w:rPr>
          <w:rFonts w:ascii="Arial" w:hAnsi="Arial" w:cs="Arial"/>
          <w:i/>
          <w:iCs/>
        </w:rPr>
        <w:t>Ambang</w:t>
      </w:r>
      <w:proofErr w:type="spellEnd"/>
      <w:r w:rsidRPr="00D867A0">
        <w:rPr>
          <w:rFonts w:ascii="Arial" w:hAnsi="Arial" w:cs="Arial"/>
          <w:i/>
          <w:iCs/>
        </w:rPr>
        <w:t xml:space="preserve"> Z .2021. In vitro, in vivo and in situ, Effect of Mancozeb 80 WP on Colletotrichum </w:t>
      </w:r>
      <w:proofErr w:type="spellStart"/>
      <w:r w:rsidRPr="00D867A0">
        <w:rPr>
          <w:rFonts w:ascii="Arial" w:hAnsi="Arial" w:cs="Arial"/>
          <w:i/>
          <w:iCs/>
        </w:rPr>
        <w:t>gloeosporioides</w:t>
      </w:r>
      <w:proofErr w:type="spellEnd"/>
      <w:r w:rsidRPr="00D867A0">
        <w:rPr>
          <w:rFonts w:ascii="Arial" w:hAnsi="Arial" w:cs="Arial"/>
          <w:i/>
          <w:iCs/>
        </w:rPr>
        <w:t xml:space="preserve"> (</w:t>
      </w:r>
      <w:proofErr w:type="spellStart"/>
      <w:r w:rsidRPr="00D867A0">
        <w:rPr>
          <w:rFonts w:ascii="Arial" w:hAnsi="Arial" w:cs="Arial"/>
          <w:i/>
          <w:iCs/>
        </w:rPr>
        <w:t>Penz</w:t>
      </w:r>
      <w:proofErr w:type="spellEnd"/>
      <w:r w:rsidRPr="00D867A0">
        <w:rPr>
          <w:rFonts w:ascii="Arial" w:hAnsi="Arial" w:cs="Arial"/>
          <w:i/>
          <w:iCs/>
        </w:rPr>
        <w:t xml:space="preserve">.) Penz. and </w:t>
      </w:r>
      <w:proofErr w:type="spellStart"/>
      <w:r w:rsidRPr="00D867A0">
        <w:rPr>
          <w:rFonts w:ascii="Arial" w:hAnsi="Arial" w:cs="Arial"/>
          <w:i/>
          <w:iCs/>
        </w:rPr>
        <w:t>Sacc</w:t>
      </w:r>
      <w:proofErr w:type="spellEnd"/>
      <w:r w:rsidRPr="00D867A0">
        <w:rPr>
          <w:rFonts w:ascii="Arial" w:hAnsi="Arial" w:cs="Arial"/>
          <w:i/>
          <w:iCs/>
        </w:rPr>
        <w:t>., Causative Agent of Anthracnose of Cashew (Anacardium Occidentale L.) in Chad and Cameroon, 14p.</w:t>
      </w:r>
    </w:p>
    <w:p w14:paraId="07DA5EF5" w14:textId="77777777" w:rsidR="00D867A0" w:rsidRPr="00D867A0" w:rsidRDefault="00D867A0" w:rsidP="00D867A0">
      <w:pPr>
        <w:pStyle w:val="Affiliation"/>
        <w:jc w:val="both"/>
        <w:rPr>
          <w:rFonts w:ascii="Arial" w:hAnsi="Arial" w:cs="Arial"/>
          <w:i/>
          <w:iCs/>
        </w:rPr>
      </w:pPr>
    </w:p>
    <w:p w14:paraId="5F799CFE"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Obanor F.O., Walter M., Jones E.E., Jaspers M.V .2005. In vitro effects of fungicides on conidium germination of </w:t>
      </w:r>
      <w:proofErr w:type="spellStart"/>
      <w:r w:rsidRPr="00D867A0">
        <w:rPr>
          <w:rFonts w:ascii="Arial" w:hAnsi="Arial" w:cs="Arial"/>
          <w:i/>
          <w:iCs/>
        </w:rPr>
        <w:t>Spilocaea</w:t>
      </w:r>
      <w:proofErr w:type="spellEnd"/>
      <w:r w:rsidRPr="00D867A0">
        <w:rPr>
          <w:rFonts w:ascii="Arial" w:hAnsi="Arial" w:cs="Arial"/>
          <w:i/>
          <w:iCs/>
        </w:rPr>
        <w:t xml:space="preserve"> </w:t>
      </w:r>
      <w:proofErr w:type="spellStart"/>
      <w:r w:rsidRPr="00D867A0">
        <w:rPr>
          <w:rFonts w:ascii="Arial" w:hAnsi="Arial" w:cs="Arial"/>
          <w:i/>
          <w:iCs/>
        </w:rPr>
        <w:t>oleagina</w:t>
      </w:r>
      <w:proofErr w:type="spellEnd"/>
      <w:r w:rsidRPr="00D867A0">
        <w:rPr>
          <w:rFonts w:ascii="Arial" w:hAnsi="Arial" w:cs="Arial"/>
          <w:i/>
          <w:iCs/>
        </w:rPr>
        <w:t xml:space="preserve">, the cause of Olive leaf </w:t>
      </w:r>
      <w:proofErr w:type="spellStart"/>
      <w:r w:rsidRPr="00D867A0">
        <w:rPr>
          <w:rFonts w:ascii="Arial" w:hAnsi="Arial" w:cs="Arial"/>
          <w:i/>
          <w:iCs/>
        </w:rPr>
        <w:t>spot.NZ.Plant</w:t>
      </w:r>
      <w:proofErr w:type="spellEnd"/>
      <w:r w:rsidRPr="00D867A0">
        <w:rPr>
          <w:rFonts w:ascii="Arial" w:hAnsi="Arial" w:cs="Arial"/>
          <w:i/>
          <w:iCs/>
        </w:rPr>
        <w:t xml:space="preserve"> Prot.58, 278-282. 5p.</w:t>
      </w:r>
    </w:p>
    <w:p w14:paraId="57889AC2" w14:textId="77777777" w:rsidR="00D867A0" w:rsidRPr="00D867A0" w:rsidRDefault="00D867A0" w:rsidP="00D867A0">
      <w:pPr>
        <w:pStyle w:val="Affiliation"/>
        <w:jc w:val="both"/>
        <w:rPr>
          <w:rFonts w:ascii="Arial" w:hAnsi="Arial" w:cs="Arial"/>
          <w:i/>
          <w:iCs/>
        </w:rPr>
      </w:pPr>
    </w:p>
    <w:p w14:paraId="2EA5E031" w14:textId="77777777" w:rsidR="00D867A0" w:rsidRPr="00D867A0" w:rsidRDefault="00D867A0" w:rsidP="00A10B9B">
      <w:pPr>
        <w:pStyle w:val="Affiliation"/>
        <w:numPr>
          <w:ilvl w:val="0"/>
          <w:numId w:val="31"/>
        </w:numPr>
        <w:jc w:val="both"/>
        <w:rPr>
          <w:rFonts w:ascii="Arial" w:hAnsi="Arial" w:cs="Arial"/>
          <w:i/>
          <w:iCs/>
        </w:rPr>
      </w:pPr>
      <w:proofErr w:type="spellStart"/>
      <w:r w:rsidRPr="00D867A0">
        <w:rPr>
          <w:rFonts w:ascii="Arial" w:hAnsi="Arial" w:cs="Arial"/>
          <w:i/>
          <w:iCs/>
        </w:rPr>
        <w:t>Onautshu</w:t>
      </w:r>
      <w:proofErr w:type="spellEnd"/>
      <w:r w:rsidRPr="00D867A0">
        <w:rPr>
          <w:rFonts w:ascii="Arial" w:hAnsi="Arial" w:cs="Arial"/>
          <w:i/>
          <w:iCs/>
        </w:rPr>
        <w:t xml:space="preserve"> O., </w:t>
      </w:r>
      <w:proofErr w:type="spellStart"/>
      <w:r w:rsidRPr="00D867A0">
        <w:rPr>
          <w:rFonts w:ascii="Arial" w:hAnsi="Arial" w:cs="Arial"/>
          <w:i/>
          <w:iCs/>
        </w:rPr>
        <w:t>Legreve</w:t>
      </w:r>
      <w:proofErr w:type="spellEnd"/>
      <w:r w:rsidRPr="00D867A0">
        <w:rPr>
          <w:rFonts w:ascii="Arial" w:hAnsi="Arial" w:cs="Arial"/>
          <w:i/>
          <w:iCs/>
        </w:rPr>
        <w:t xml:space="preserve"> A., </w:t>
      </w:r>
      <w:proofErr w:type="spellStart"/>
      <w:r w:rsidRPr="00D867A0">
        <w:rPr>
          <w:rFonts w:ascii="Arial" w:hAnsi="Arial" w:cs="Arial"/>
          <w:i/>
          <w:iCs/>
        </w:rPr>
        <w:t>Dhed’A</w:t>
      </w:r>
      <w:proofErr w:type="spellEnd"/>
      <w:r w:rsidRPr="00D867A0">
        <w:rPr>
          <w:rFonts w:ascii="Arial" w:hAnsi="Arial" w:cs="Arial"/>
          <w:i/>
          <w:iCs/>
        </w:rPr>
        <w:t xml:space="preserve"> D .2013. Characterization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spp</w:t>
      </w:r>
      <w:proofErr w:type="spellEnd"/>
      <w:r w:rsidRPr="00D867A0">
        <w:rPr>
          <w:rFonts w:ascii="Arial" w:hAnsi="Arial" w:cs="Arial"/>
          <w:i/>
          <w:iCs/>
        </w:rPr>
        <w:t xml:space="preserve"> populations and epidemiology of black Sigatoka of bananas in the Kisangani region, Life Sciences, DRC. Catholic University of Louvain, 309p.</w:t>
      </w:r>
    </w:p>
    <w:p w14:paraId="2C9677DE" w14:textId="7CE0CB39" w:rsidR="00D867A0" w:rsidRDefault="00D867A0" w:rsidP="00D867A0">
      <w:pPr>
        <w:pStyle w:val="Affiliation"/>
        <w:jc w:val="both"/>
        <w:rPr>
          <w:rFonts w:ascii="Arial" w:hAnsi="Arial" w:cs="Arial"/>
          <w:i/>
          <w:iCs/>
        </w:rPr>
      </w:pPr>
    </w:p>
    <w:p w14:paraId="56E14710" w14:textId="16D28745" w:rsidR="006A2B2C" w:rsidRPr="0010007D" w:rsidRDefault="006A2B2C" w:rsidP="00A10B9B">
      <w:pPr>
        <w:pStyle w:val="Affiliation"/>
        <w:numPr>
          <w:ilvl w:val="0"/>
          <w:numId w:val="31"/>
        </w:numPr>
        <w:jc w:val="both"/>
        <w:rPr>
          <w:rFonts w:ascii="Arial" w:hAnsi="Arial" w:cs="Arial"/>
          <w:bCs/>
          <w:i/>
          <w:iCs/>
        </w:rPr>
      </w:pPr>
      <w:r w:rsidRPr="0010007D">
        <w:rPr>
          <w:rFonts w:ascii="Arial" w:hAnsi="Arial" w:cs="Arial"/>
          <w:i/>
          <w:iCs/>
        </w:rPr>
        <w:lastRenderedPageBreak/>
        <w:t xml:space="preserve">Ouédraogo A.R., Bonzi S., Ouattara L.P., Sanga I., Nebie R.H.C., Somda I. 2023. </w:t>
      </w:r>
      <w:r w:rsidRPr="0010007D">
        <w:rPr>
          <w:rFonts w:ascii="Arial" w:hAnsi="Arial" w:cs="Arial"/>
          <w:bCs/>
          <w:i/>
          <w:iCs/>
        </w:rPr>
        <w:t xml:space="preserve">In vitro efficacy of five essential oils on the mycelial growth of Aspergillus </w:t>
      </w:r>
      <w:proofErr w:type="spellStart"/>
      <w:r w:rsidRPr="0010007D">
        <w:rPr>
          <w:rFonts w:ascii="Arial" w:hAnsi="Arial" w:cs="Arial"/>
          <w:bCs/>
          <w:i/>
          <w:iCs/>
        </w:rPr>
        <w:t>niger</w:t>
      </w:r>
      <w:proofErr w:type="spellEnd"/>
      <w:r w:rsidRPr="0010007D">
        <w:rPr>
          <w:rFonts w:ascii="Arial" w:hAnsi="Arial" w:cs="Arial"/>
          <w:bCs/>
          <w:i/>
          <w:iCs/>
        </w:rPr>
        <w:t xml:space="preserve"> isolates from onion bulbs.</w:t>
      </w:r>
      <w:r w:rsidRPr="0010007D">
        <w:rPr>
          <w:rFonts w:ascii="Arial" w:hAnsi="Arial" w:cs="Arial"/>
          <w:b/>
          <w:bCs/>
          <w:i/>
          <w:iCs/>
        </w:rPr>
        <w:t xml:space="preserve"> </w:t>
      </w:r>
      <w:r w:rsidRPr="0010007D">
        <w:rPr>
          <w:rFonts w:ascii="Arial" w:hAnsi="Arial" w:cs="Arial"/>
          <w:bCs/>
          <w:i/>
          <w:iCs/>
        </w:rPr>
        <w:t>Journal of Applied Biological Sciences E-ISSN: 2146-0108 17(1): 173-183, 2023 DOI: 10.5281/zenodo.7579997</w:t>
      </w:r>
    </w:p>
    <w:p w14:paraId="259C2E92" w14:textId="77777777" w:rsidR="006A2B2C" w:rsidRPr="0010007D" w:rsidRDefault="006A2B2C" w:rsidP="00D867A0">
      <w:pPr>
        <w:pStyle w:val="Affiliation"/>
        <w:jc w:val="both"/>
        <w:rPr>
          <w:rFonts w:ascii="Arial" w:hAnsi="Arial" w:cs="Arial"/>
          <w:bCs/>
          <w:i/>
          <w:iCs/>
        </w:rPr>
      </w:pPr>
    </w:p>
    <w:p w14:paraId="23813EBD" w14:textId="77777777" w:rsidR="00D867A0" w:rsidRPr="00D867A0" w:rsidRDefault="00D867A0" w:rsidP="00A10B9B">
      <w:pPr>
        <w:pStyle w:val="Affiliation"/>
        <w:numPr>
          <w:ilvl w:val="0"/>
          <w:numId w:val="31"/>
        </w:numPr>
        <w:jc w:val="both"/>
        <w:rPr>
          <w:rFonts w:ascii="Arial" w:hAnsi="Arial" w:cs="Arial"/>
          <w:i/>
          <w:iCs/>
        </w:rPr>
      </w:pPr>
      <w:proofErr w:type="spellStart"/>
      <w:r w:rsidRPr="00D867A0">
        <w:rPr>
          <w:rFonts w:ascii="Arial" w:hAnsi="Arial" w:cs="Arial"/>
          <w:i/>
          <w:iCs/>
        </w:rPr>
        <w:t>Paranagama</w:t>
      </w:r>
      <w:proofErr w:type="spellEnd"/>
      <w:r w:rsidRPr="00D867A0">
        <w:rPr>
          <w:rFonts w:ascii="Arial" w:hAnsi="Arial" w:cs="Arial"/>
          <w:i/>
          <w:iCs/>
        </w:rPr>
        <w:t xml:space="preserve"> P.A., </w:t>
      </w:r>
      <w:proofErr w:type="spellStart"/>
      <w:r w:rsidRPr="00D867A0">
        <w:rPr>
          <w:rFonts w:ascii="Arial" w:hAnsi="Arial" w:cs="Arial"/>
          <w:i/>
          <w:iCs/>
        </w:rPr>
        <w:t>Abeysekera</w:t>
      </w:r>
      <w:proofErr w:type="spellEnd"/>
      <w:r w:rsidRPr="00D867A0">
        <w:rPr>
          <w:rFonts w:ascii="Arial" w:hAnsi="Arial" w:cs="Arial"/>
          <w:i/>
          <w:iCs/>
        </w:rPr>
        <w:t xml:space="preserve"> K.H.T., Abeywickrama K., </w:t>
      </w:r>
      <w:proofErr w:type="spellStart"/>
      <w:r w:rsidRPr="00D867A0">
        <w:rPr>
          <w:rFonts w:ascii="Arial" w:hAnsi="Arial" w:cs="Arial"/>
          <w:i/>
          <w:iCs/>
        </w:rPr>
        <w:t>Nugaliyadde</w:t>
      </w:r>
      <w:proofErr w:type="spellEnd"/>
      <w:r w:rsidRPr="00D867A0">
        <w:rPr>
          <w:rFonts w:ascii="Arial" w:hAnsi="Arial" w:cs="Arial"/>
          <w:i/>
          <w:iCs/>
        </w:rPr>
        <w:t xml:space="preserve"> L.2003. Fungicidal and anti-aflatoxigenic effects of the essential oil of Cymbopogon </w:t>
      </w:r>
      <w:proofErr w:type="spellStart"/>
      <w:r w:rsidRPr="00D867A0">
        <w:rPr>
          <w:rFonts w:ascii="Arial" w:hAnsi="Arial" w:cs="Arial"/>
          <w:i/>
          <w:iCs/>
        </w:rPr>
        <w:t>citratus</w:t>
      </w:r>
      <w:proofErr w:type="spellEnd"/>
      <w:r w:rsidRPr="00D867A0">
        <w:rPr>
          <w:rFonts w:ascii="Arial" w:hAnsi="Arial" w:cs="Arial"/>
          <w:i/>
          <w:iCs/>
        </w:rPr>
        <w:t xml:space="preserve"> (DC.) Stapf. (lemongrass) against Aspergillus flavus Link. Isolated from stored rice. Letters in Applied Microbio.37(1):86-90. </w:t>
      </w:r>
      <w:proofErr w:type="spellStart"/>
      <w:r w:rsidRPr="00D867A0">
        <w:rPr>
          <w:rFonts w:ascii="Arial" w:hAnsi="Arial" w:cs="Arial"/>
          <w:i/>
          <w:iCs/>
        </w:rPr>
        <w:t>doi</w:t>
      </w:r>
      <w:proofErr w:type="spellEnd"/>
      <w:r w:rsidRPr="00D867A0">
        <w:rPr>
          <w:rFonts w:ascii="Arial" w:hAnsi="Arial" w:cs="Arial"/>
          <w:i/>
          <w:iCs/>
        </w:rPr>
        <w:t>: 10.1046/j.1472-765x.2003.</w:t>
      </w:r>
      <w:proofErr w:type="gramStart"/>
      <w:r w:rsidRPr="00D867A0">
        <w:rPr>
          <w:rFonts w:ascii="Arial" w:hAnsi="Arial" w:cs="Arial"/>
          <w:i/>
          <w:iCs/>
        </w:rPr>
        <w:t>01351.x.</w:t>
      </w:r>
      <w:proofErr w:type="gramEnd"/>
    </w:p>
    <w:p w14:paraId="3050B041" w14:textId="77777777" w:rsidR="00D867A0" w:rsidRPr="00D867A0" w:rsidRDefault="00D867A0" w:rsidP="00D867A0">
      <w:pPr>
        <w:pStyle w:val="Affiliation"/>
        <w:jc w:val="both"/>
        <w:rPr>
          <w:rFonts w:ascii="Arial" w:hAnsi="Arial" w:cs="Arial"/>
          <w:i/>
          <w:iCs/>
        </w:rPr>
      </w:pPr>
    </w:p>
    <w:p w14:paraId="22866E0E" w14:textId="77777777" w:rsidR="00D867A0" w:rsidRPr="00D867A0" w:rsidRDefault="00D867A0" w:rsidP="00A10B9B">
      <w:pPr>
        <w:pStyle w:val="Affiliation"/>
        <w:numPr>
          <w:ilvl w:val="0"/>
          <w:numId w:val="31"/>
        </w:numPr>
        <w:jc w:val="both"/>
        <w:rPr>
          <w:rFonts w:ascii="Arial" w:hAnsi="Arial" w:cs="Arial"/>
          <w:i/>
          <w:iCs/>
        </w:rPr>
      </w:pPr>
      <w:r w:rsidRPr="00D867A0">
        <w:rPr>
          <w:rFonts w:ascii="Arial" w:hAnsi="Arial" w:cs="Arial"/>
          <w:i/>
          <w:iCs/>
        </w:rPr>
        <w:t xml:space="preserve">Sharma J.K., Mohanan, C.1991. In vitro evaluation of fungicide against </w:t>
      </w:r>
      <w:proofErr w:type="spellStart"/>
      <w:r w:rsidRPr="00D867A0">
        <w:rPr>
          <w:rFonts w:ascii="Arial" w:hAnsi="Arial" w:cs="Arial"/>
          <w:i/>
          <w:iCs/>
        </w:rPr>
        <w:t>Cylindrocladium</w:t>
      </w:r>
      <w:proofErr w:type="spellEnd"/>
      <w:r w:rsidRPr="00D867A0">
        <w:rPr>
          <w:rFonts w:ascii="Arial" w:hAnsi="Arial" w:cs="Arial"/>
          <w:i/>
          <w:iCs/>
        </w:rPr>
        <w:t xml:space="preserve"> spp. causing diseases of Eucalyptus in Kerela, India. European Journal of Forest Pathology, 21:17-26 https://doi.org/10.1111/j.1439-0329.1991.tb00298.</w:t>
      </w:r>
    </w:p>
    <w:p w14:paraId="1A38CAA8" w14:textId="77777777" w:rsidR="00D867A0" w:rsidRPr="00D867A0" w:rsidRDefault="00D867A0" w:rsidP="00D867A0">
      <w:pPr>
        <w:pStyle w:val="Affiliation"/>
        <w:jc w:val="both"/>
        <w:rPr>
          <w:rFonts w:ascii="Arial" w:hAnsi="Arial" w:cs="Arial"/>
          <w:i/>
          <w:iCs/>
        </w:rPr>
      </w:pPr>
    </w:p>
    <w:p w14:paraId="0FC35205" w14:textId="77777777" w:rsidR="00D867A0" w:rsidRPr="00D867A0" w:rsidRDefault="00D867A0" w:rsidP="00A10B9B">
      <w:pPr>
        <w:pStyle w:val="Affiliation"/>
        <w:numPr>
          <w:ilvl w:val="0"/>
          <w:numId w:val="31"/>
        </w:numPr>
        <w:jc w:val="both"/>
        <w:rPr>
          <w:rFonts w:ascii="Arial" w:hAnsi="Arial" w:cs="Arial"/>
          <w:i/>
          <w:iCs/>
        </w:rPr>
      </w:pPr>
      <w:proofErr w:type="spellStart"/>
      <w:r w:rsidRPr="00D867A0">
        <w:rPr>
          <w:rFonts w:ascii="Arial" w:hAnsi="Arial" w:cs="Arial"/>
          <w:i/>
          <w:iCs/>
        </w:rPr>
        <w:t>Tiendrébeogo</w:t>
      </w:r>
      <w:proofErr w:type="spellEnd"/>
      <w:r w:rsidRPr="00D867A0">
        <w:rPr>
          <w:rFonts w:ascii="Arial" w:hAnsi="Arial" w:cs="Arial"/>
          <w:i/>
          <w:iCs/>
        </w:rPr>
        <w:t xml:space="preserve"> A., Ouédraogo I., Bonzi S., Kassankogno A.I.2017. Study of the antifungal activity of extracts of </w:t>
      </w:r>
      <w:proofErr w:type="spellStart"/>
      <w:r w:rsidRPr="00D867A0">
        <w:rPr>
          <w:rFonts w:ascii="Arial" w:hAnsi="Arial" w:cs="Arial"/>
          <w:i/>
          <w:iCs/>
        </w:rPr>
        <w:t>Cymbogon</w:t>
      </w:r>
      <w:proofErr w:type="spellEnd"/>
      <w:r w:rsidRPr="00D867A0">
        <w:rPr>
          <w:rFonts w:ascii="Arial" w:hAnsi="Arial" w:cs="Arial"/>
          <w:i/>
          <w:iCs/>
        </w:rPr>
        <w:t xml:space="preserve"> </w:t>
      </w:r>
      <w:proofErr w:type="spellStart"/>
      <w:r w:rsidRPr="00D867A0">
        <w:rPr>
          <w:rFonts w:ascii="Arial" w:hAnsi="Arial" w:cs="Arial"/>
          <w:i/>
          <w:iCs/>
        </w:rPr>
        <w:t>citratus</w:t>
      </w:r>
      <w:proofErr w:type="spellEnd"/>
      <w:r w:rsidRPr="00D867A0">
        <w:rPr>
          <w:rFonts w:ascii="Arial" w:hAnsi="Arial" w:cs="Arial"/>
          <w:i/>
          <w:iCs/>
        </w:rPr>
        <w:t xml:space="preserve"> (DC) </w:t>
      </w:r>
      <w:proofErr w:type="spellStart"/>
      <w:r w:rsidRPr="00D867A0">
        <w:rPr>
          <w:rFonts w:ascii="Arial" w:hAnsi="Arial" w:cs="Arial"/>
          <w:i/>
          <w:iCs/>
        </w:rPr>
        <w:t>stap</w:t>
      </w:r>
      <w:proofErr w:type="spellEnd"/>
      <w:r w:rsidRPr="00D867A0">
        <w:rPr>
          <w:rFonts w:ascii="Arial" w:hAnsi="Arial" w:cs="Arial"/>
          <w:i/>
          <w:iCs/>
        </w:rPr>
        <w:t xml:space="preserve">, </w:t>
      </w:r>
      <w:proofErr w:type="spellStart"/>
      <w:r w:rsidRPr="00D867A0">
        <w:rPr>
          <w:rFonts w:ascii="Arial" w:hAnsi="Arial" w:cs="Arial"/>
          <w:i/>
          <w:iCs/>
        </w:rPr>
        <w:t>Eclipta</w:t>
      </w:r>
      <w:proofErr w:type="spellEnd"/>
      <w:r w:rsidRPr="00D867A0">
        <w:rPr>
          <w:rFonts w:ascii="Arial" w:hAnsi="Arial" w:cs="Arial"/>
          <w:i/>
          <w:iCs/>
        </w:rPr>
        <w:t xml:space="preserve"> alba L., </w:t>
      </w:r>
      <w:proofErr w:type="spellStart"/>
      <w:r w:rsidRPr="00D867A0">
        <w:rPr>
          <w:rFonts w:ascii="Arial" w:hAnsi="Arial" w:cs="Arial"/>
          <w:i/>
          <w:iCs/>
        </w:rPr>
        <w:t>Lippia</w:t>
      </w:r>
      <w:proofErr w:type="spellEnd"/>
      <w:r w:rsidRPr="00D867A0">
        <w:rPr>
          <w:rFonts w:ascii="Arial" w:hAnsi="Arial" w:cs="Arial"/>
          <w:i/>
          <w:iCs/>
        </w:rPr>
        <w:t xml:space="preserve"> multiflora M. and Agave sisalana, 10p International Journal of Biological and Chemical Sciences DOI: https://dx.doi.org/10.4314/ijbcs.v112.2.</w:t>
      </w:r>
    </w:p>
    <w:p w14:paraId="532E4C21" w14:textId="77777777" w:rsidR="00D867A0" w:rsidRPr="00D867A0" w:rsidRDefault="00D867A0" w:rsidP="00D867A0">
      <w:pPr>
        <w:pStyle w:val="Affiliation"/>
        <w:jc w:val="both"/>
        <w:rPr>
          <w:rFonts w:ascii="Arial" w:hAnsi="Arial" w:cs="Arial"/>
          <w:i/>
          <w:iCs/>
        </w:rPr>
      </w:pPr>
    </w:p>
    <w:p w14:paraId="67B41E1C" w14:textId="322B5E50" w:rsidR="00B01FCD" w:rsidRPr="0048629F" w:rsidRDefault="00D867A0" w:rsidP="00A10B9B">
      <w:pPr>
        <w:pStyle w:val="Affiliation"/>
        <w:numPr>
          <w:ilvl w:val="0"/>
          <w:numId w:val="31"/>
        </w:numPr>
        <w:jc w:val="both"/>
        <w:rPr>
          <w:rFonts w:ascii="Arial" w:hAnsi="Arial" w:cs="Arial"/>
          <w:i/>
          <w:iCs/>
        </w:rPr>
      </w:pPr>
      <w:r w:rsidRPr="0010007D">
        <w:rPr>
          <w:rFonts w:ascii="Arial" w:hAnsi="Arial" w:cs="Arial"/>
          <w:i/>
          <w:iCs/>
          <w:lang w:val="pt-PT"/>
        </w:rPr>
        <w:t xml:space="preserve">Tuo S., Kassi K.J.M., Camara B., Ouédraogo S.L., Koné D.2021. </w:t>
      </w:r>
      <w:r w:rsidRPr="00D867A0">
        <w:rPr>
          <w:rFonts w:ascii="Arial" w:hAnsi="Arial" w:cs="Arial"/>
          <w:i/>
          <w:iCs/>
        </w:rPr>
        <w:t xml:space="preserve">Biocontrol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spp</w:t>
      </w:r>
      <w:proofErr w:type="spellEnd"/>
      <w:r w:rsidRPr="00D867A0">
        <w:rPr>
          <w:rFonts w:ascii="Arial" w:hAnsi="Arial" w:cs="Arial"/>
          <w:i/>
          <w:iCs/>
        </w:rPr>
        <w:t xml:space="preserve"> </w:t>
      </w:r>
      <w:proofErr w:type="spellStart"/>
      <w:r w:rsidRPr="00D867A0">
        <w:rPr>
          <w:rFonts w:ascii="Arial" w:hAnsi="Arial" w:cs="Arial"/>
          <w:i/>
          <w:iCs/>
        </w:rPr>
        <w:t>Morelet</w:t>
      </w:r>
      <w:proofErr w:type="spellEnd"/>
      <w:r w:rsidRPr="00D867A0">
        <w:rPr>
          <w:rFonts w:ascii="Arial" w:hAnsi="Arial" w:cs="Arial"/>
          <w:i/>
          <w:iCs/>
        </w:rPr>
        <w:t>, the Causal Agent of Black Sigatoka of Banana Tree (Musa spp.) Using Biopesticides in Côte d’Ivoire. Advances in Bioscience and Bioengineering. Flight. 9, no. 4, pp. 111–123. https://doi.org/10.11648/j.abb.20210904.13p.</w:t>
      </w:r>
    </w:p>
    <w:sectPr w:rsidR="00B01FCD" w:rsidRPr="0048629F" w:rsidSect="00412475">
      <w:headerReference w:type="even" r:id="rId21"/>
      <w:headerReference w:type="default" r:id="rId22"/>
      <w:footerReference w:type="default" r:id="rId23"/>
      <w:headerReference w:type="first" r:id="rId24"/>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BB297" w14:textId="77777777" w:rsidR="00D47383" w:rsidRDefault="00D47383" w:rsidP="00C37E61">
      <w:r>
        <w:separator/>
      </w:r>
    </w:p>
  </w:endnote>
  <w:endnote w:type="continuationSeparator" w:id="0">
    <w:p w14:paraId="00E9AD3D" w14:textId="77777777" w:rsidR="00D47383" w:rsidRDefault="00D473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789B" w14:textId="77777777" w:rsidR="009E048A" w:rsidRDefault="009E048A">
    <w:pPr>
      <w:pStyle w:val="Footer"/>
      <w:rPr>
        <w:rFonts w:ascii="Arial" w:hAnsi="Arial" w:cs="Arial"/>
        <w:sz w:val="16"/>
      </w:rPr>
    </w:pPr>
  </w:p>
  <w:p w14:paraId="1CB8C9D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234C43" w14:textId="77777777" w:rsidR="009E048A" w:rsidRDefault="009E048A">
    <w:pPr>
      <w:pStyle w:val="Foo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29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59C7E" w14:textId="77777777" w:rsidR="00D47383" w:rsidRDefault="00D47383" w:rsidP="00C37E61">
      <w:r>
        <w:separator/>
      </w:r>
    </w:p>
  </w:footnote>
  <w:footnote w:type="continuationSeparator" w:id="0">
    <w:p w14:paraId="5A4F3E04" w14:textId="77777777" w:rsidR="00D47383" w:rsidRDefault="00D473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4D0BD" w14:textId="10DB58CE" w:rsidR="0099413C" w:rsidRDefault="00D47383">
    <w:pPr>
      <w:pStyle w:val="Header"/>
    </w:pPr>
    <w:r>
      <w:rPr>
        <w:noProof/>
      </w:rPr>
      <w:pict w14:anchorId="0601D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8" o:spid="_x0000_s2050" type="#_x0000_t136" style="position:absolute;margin-left:0;margin-top:0;width:566.45pt;height:62.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345F" w14:textId="4890DCF0" w:rsidR="0099413C" w:rsidRDefault="00D47383">
    <w:pPr>
      <w:pStyle w:val="Header"/>
    </w:pPr>
    <w:r>
      <w:rPr>
        <w:noProof/>
      </w:rPr>
      <w:pict w14:anchorId="6EDDA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9" o:spid="_x0000_s2051" type="#_x0000_t136" style="position:absolute;margin-left:0;margin-top:0;width:566.45pt;height:62.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FE81" w14:textId="1CC11E2A" w:rsidR="00296529" w:rsidRPr="00296529" w:rsidRDefault="00D47383" w:rsidP="00296529">
    <w:pPr>
      <w:ind w:left="2160"/>
      <w:jc w:val="center"/>
      <w:rPr>
        <w:rFonts w:ascii="Times New Roman" w:eastAsia="Calibri" w:hAnsi="Times New Roman"/>
        <w:i/>
        <w:sz w:val="18"/>
        <w:szCs w:val="22"/>
      </w:rPr>
    </w:pPr>
    <w:r>
      <w:rPr>
        <w:noProof/>
      </w:rPr>
      <w:pict w14:anchorId="3EF37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7" o:spid="_x0000_s2049" type="#_x0000_t136" style="position:absolute;left:0;text-align:left;margin-left:0;margin-top:0;width:566.45pt;height:62.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46A94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E002E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DCBB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0E23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77B15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DB48D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1476" w14:textId="39467941" w:rsidR="0099413C" w:rsidRDefault="00D47383">
    <w:pPr>
      <w:pStyle w:val="Header"/>
    </w:pPr>
    <w:r>
      <w:rPr>
        <w:noProof/>
      </w:rPr>
      <w:pict w14:anchorId="7E6D1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1" o:spid="_x0000_s2053" type="#_x0000_t136" style="position:absolute;margin-left:0;margin-top:0;width:566.45pt;height:62.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8E43" w14:textId="281F7607" w:rsidR="0099413C" w:rsidRDefault="00D47383">
    <w:pPr>
      <w:pStyle w:val="Header"/>
    </w:pPr>
    <w:r>
      <w:rPr>
        <w:noProof/>
      </w:rPr>
      <w:pict w14:anchorId="20F9B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2" o:spid="_x0000_s2054" type="#_x0000_t136" style="position:absolute;margin-left:0;margin-top:0;width:566.45pt;height:62.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67645" w14:textId="6C18B44C" w:rsidR="0099413C" w:rsidRDefault="00D47383">
    <w:pPr>
      <w:pStyle w:val="Header"/>
    </w:pPr>
    <w:r>
      <w:rPr>
        <w:noProof/>
      </w:rPr>
      <w:pict w14:anchorId="7BF11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0" o:spid="_x0000_s2052" type="#_x0000_t136" style="position:absolute;margin-left:0;margin-top:0;width:566.45pt;height:62.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A94470"/>
    <w:multiLevelType w:val="hybridMultilevel"/>
    <w:tmpl w:val="9B34B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8AC"/>
    <w:rsid w:val="00030174"/>
    <w:rsid w:val="0004579C"/>
    <w:rsid w:val="000512EA"/>
    <w:rsid w:val="00080D8F"/>
    <w:rsid w:val="00092897"/>
    <w:rsid w:val="000A47FA"/>
    <w:rsid w:val="000A65D3"/>
    <w:rsid w:val="000B1E33"/>
    <w:rsid w:val="000D689F"/>
    <w:rsid w:val="000E7B7B"/>
    <w:rsid w:val="000E7D62"/>
    <w:rsid w:val="0010007D"/>
    <w:rsid w:val="00103357"/>
    <w:rsid w:val="0010450C"/>
    <w:rsid w:val="00110491"/>
    <w:rsid w:val="00116E94"/>
    <w:rsid w:val="00123C9F"/>
    <w:rsid w:val="00123F6B"/>
    <w:rsid w:val="00126190"/>
    <w:rsid w:val="00130F17"/>
    <w:rsid w:val="001320BF"/>
    <w:rsid w:val="00141DF7"/>
    <w:rsid w:val="00144D3D"/>
    <w:rsid w:val="00163BC4"/>
    <w:rsid w:val="00183529"/>
    <w:rsid w:val="00191062"/>
    <w:rsid w:val="00192B72"/>
    <w:rsid w:val="001A29D8"/>
    <w:rsid w:val="001A5CAA"/>
    <w:rsid w:val="001B0427"/>
    <w:rsid w:val="001C761F"/>
    <w:rsid w:val="001D3A51"/>
    <w:rsid w:val="001E10D2"/>
    <w:rsid w:val="001E25B4"/>
    <w:rsid w:val="001E27D5"/>
    <w:rsid w:val="001E44FE"/>
    <w:rsid w:val="001E5FA5"/>
    <w:rsid w:val="00200595"/>
    <w:rsid w:val="00204835"/>
    <w:rsid w:val="00231920"/>
    <w:rsid w:val="0023195C"/>
    <w:rsid w:val="0024282C"/>
    <w:rsid w:val="002451A8"/>
    <w:rsid w:val="002460DC"/>
    <w:rsid w:val="00250985"/>
    <w:rsid w:val="002556F6"/>
    <w:rsid w:val="00283105"/>
    <w:rsid w:val="00284C4C"/>
    <w:rsid w:val="00287E68"/>
    <w:rsid w:val="00290BFA"/>
    <w:rsid w:val="00296529"/>
    <w:rsid w:val="002A4C4B"/>
    <w:rsid w:val="002B27FB"/>
    <w:rsid w:val="002B685A"/>
    <w:rsid w:val="002C57D2"/>
    <w:rsid w:val="002E0D56"/>
    <w:rsid w:val="00303D7E"/>
    <w:rsid w:val="00306AC5"/>
    <w:rsid w:val="00315186"/>
    <w:rsid w:val="003172D6"/>
    <w:rsid w:val="00331D70"/>
    <w:rsid w:val="00331FF0"/>
    <w:rsid w:val="0033343E"/>
    <w:rsid w:val="003512C2"/>
    <w:rsid w:val="00371FB6"/>
    <w:rsid w:val="003763C1"/>
    <w:rsid w:val="00376BBE"/>
    <w:rsid w:val="0039224F"/>
    <w:rsid w:val="003A43A4"/>
    <w:rsid w:val="003A7E18"/>
    <w:rsid w:val="003C4C86"/>
    <w:rsid w:val="003C6258"/>
    <w:rsid w:val="003E2904"/>
    <w:rsid w:val="00401927"/>
    <w:rsid w:val="00403C45"/>
    <w:rsid w:val="0041027F"/>
    <w:rsid w:val="00412475"/>
    <w:rsid w:val="00423789"/>
    <w:rsid w:val="0042536B"/>
    <w:rsid w:val="00440F43"/>
    <w:rsid w:val="00441B6F"/>
    <w:rsid w:val="00446221"/>
    <w:rsid w:val="00450E62"/>
    <w:rsid w:val="004539DB"/>
    <w:rsid w:val="004636FE"/>
    <w:rsid w:val="004663BA"/>
    <w:rsid w:val="00471A80"/>
    <w:rsid w:val="004811C2"/>
    <w:rsid w:val="00484BFF"/>
    <w:rsid w:val="0048629F"/>
    <w:rsid w:val="004B78FE"/>
    <w:rsid w:val="004D305E"/>
    <w:rsid w:val="004D4277"/>
    <w:rsid w:val="00502516"/>
    <w:rsid w:val="00505F06"/>
    <w:rsid w:val="00506828"/>
    <w:rsid w:val="0053056E"/>
    <w:rsid w:val="00535889"/>
    <w:rsid w:val="00554FDA"/>
    <w:rsid w:val="005564FA"/>
    <w:rsid w:val="00573B0A"/>
    <w:rsid w:val="00573F01"/>
    <w:rsid w:val="00595B34"/>
    <w:rsid w:val="005A59E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2B2C"/>
    <w:rsid w:val="006B21D3"/>
    <w:rsid w:val="006B3049"/>
    <w:rsid w:val="006B57D0"/>
    <w:rsid w:val="006D15FD"/>
    <w:rsid w:val="006D30FF"/>
    <w:rsid w:val="006D6940"/>
    <w:rsid w:val="006E3B70"/>
    <w:rsid w:val="006F106D"/>
    <w:rsid w:val="006F11EC"/>
    <w:rsid w:val="006F4A78"/>
    <w:rsid w:val="007007B7"/>
    <w:rsid w:val="0070082C"/>
    <w:rsid w:val="007369E6"/>
    <w:rsid w:val="00744088"/>
    <w:rsid w:val="00746E59"/>
    <w:rsid w:val="00747645"/>
    <w:rsid w:val="00754C9A"/>
    <w:rsid w:val="0075599A"/>
    <w:rsid w:val="00757A6F"/>
    <w:rsid w:val="00761D52"/>
    <w:rsid w:val="00770A6A"/>
    <w:rsid w:val="0077749E"/>
    <w:rsid w:val="00790ADA"/>
    <w:rsid w:val="007D2288"/>
    <w:rsid w:val="007E088F"/>
    <w:rsid w:val="007F289D"/>
    <w:rsid w:val="007F7B32"/>
    <w:rsid w:val="00804BC2"/>
    <w:rsid w:val="0081431A"/>
    <w:rsid w:val="0083216F"/>
    <w:rsid w:val="0085059F"/>
    <w:rsid w:val="00860000"/>
    <w:rsid w:val="00863BD3"/>
    <w:rsid w:val="008641ED"/>
    <w:rsid w:val="00866946"/>
    <w:rsid w:val="00866D66"/>
    <w:rsid w:val="008671C6"/>
    <w:rsid w:val="00875803"/>
    <w:rsid w:val="008A5574"/>
    <w:rsid w:val="008B459E"/>
    <w:rsid w:val="008B70D6"/>
    <w:rsid w:val="008D507E"/>
    <w:rsid w:val="008E13AE"/>
    <w:rsid w:val="008E1506"/>
    <w:rsid w:val="008E6208"/>
    <w:rsid w:val="008E710C"/>
    <w:rsid w:val="008F69D6"/>
    <w:rsid w:val="00902823"/>
    <w:rsid w:val="00915CA6"/>
    <w:rsid w:val="00927834"/>
    <w:rsid w:val="00946CC8"/>
    <w:rsid w:val="009500A6"/>
    <w:rsid w:val="00957C18"/>
    <w:rsid w:val="009659BA"/>
    <w:rsid w:val="00983040"/>
    <w:rsid w:val="0099413C"/>
    <w:rsid w:val="009B3FB9"/>
    <w:rsid w:val="009C2465"/>
    <w:rsid w:val="009C370A"/>
    <w:rsid w:val="009D35A0"/>
    <w:rsid w:val="009D7EB7"/>
    <w:rsid w:val="009E048A"/>
    <w:rsid w:val="009E08E9"/>
    <w:rsid w:val="009E3DB9"/>
    <w:rsid w:val="009E5F17"/>
    <w:rsid w:val="009E6E35"/>
    <w:rsid w:val="009F0EDA"/>
    <w:rsid w:val="00A03B96"/>
    <w:rsid w:val="00A05B19"/>
    <w:rsid w:val="00A10B9B"/>
    <w:rsid w:val="00A1134E"/>
    <w:rsid w:val="00A24E7E"/>
    <w:rsid w:val="00A258C3"/>
    <w:rsid w:val="00A347C0"/>
    <w:rsid w:val="00A36275"/>
    <w:rsid w:val="00A408AD"/>
    <w:rsid w:val="00A51431"/>
    <w:rsid w:val="00A539AD"/>
    <w:rsid w:val="00A93B16"/>
    <w:rsid w:val="00A94063"/>
    <w:rsid w:val="00AA6219"/>
    <w:rsid w:val="00AA74E0"/>
    <w:rsid w:val="00AA7DC2"/>
    <w:rsid w:val="00AB20BB"/>
    <w:rsid w:val="00AB703F"/>
    <w:rsid w:val="00AC6119"/>
    <w:rsid w:val="00AC6BB8"/>
    <w:rsid w:val="00AC7DB1"/>
    <w:rsid w:val="00AD34F2"/>
    <w:rsid w:val="00AE008F"/>
    <w:rsid w:val="00AE69EA"/>
    <w:rsid w:val="00B01FCD"/>
    <w:rsid w:val="00B143D5"/>
    <w:rsid w:val="00B1776C"/>
    <w:rsid w:val="00B459F4"/>
    <w:rsid w:val="00B52583"/>
    <w:rsid w:val="00B52896"/>
    <w:rsid w:val="00B724DC"/>
    <w:rsid w:val="00B93BAE"/>
    <w:rsid w:val="00B95236"/>
    <w:rsid w:val="00B96BD9"/>
    <w:rsid w:val="00BA1B01"/>
    <w:rsid w:val="00BA2641"/>
    <w:rsid w:val="00BA6EF2"/>
    <w:rsid w:val="00BA78B3"/>
    <w:rsid w:val="00BB37AA"/>
    <w:rsid w:val="00BC53A0"/>
    <w:rsid w:val="00BE62AD"/>
    <w:rsid w:val="00BF121F"/>
    <w:rsid w:val="00BF1F80"/>
    <w:rsid w:val="00C12433"/>
    <w:rsid w:val="00C166EF"/>
    <w:rsid w:val="00C17EB0"/>
    <w:rsid w:val="00C2022F"/>
    <w:rsid w:val="00C271F3"/>
    <w:rsid w:val="00C27F5F"/>
    <w:rsid w:val="00C30A0F"/>
    <w:rsid w:val="00C37E61"/>
    <w:rsid w:val="00C53997"/>
    <w:rsid w:val="00C70F1B"/>
    <w:rsid w:val="00C71A47"/>
    <w:rsid w:val="00C7464C"/>
    <w:rsid w:val="00C85588"/>
    <w:rsid w:val="00C86AC7"/>
    <w:rsid w:val="00CD6755"/>
    <w:rsid w:val="00CD6856"/>
    <w:rsid w:val="00CE0089"/>
    <w:rsid w:val="00CE37E6"/>
    <w:rsid w:val="00CE793C"/>
    <w:rsid w:val="00CF193C"/>
    <w:rsid w:val="00D173F1"/>
    <w:rsid w:val="00D2185F"/>
    <w:rsid w:val="00D25D88"/>
    <w:rsid w:val="00D47383"/>
    <w:rsid w:val="00D50715"/>
    <w:rsid w:val="00D74CB0"/>
    <w:rsid w:val="00D8295D"/>
    <w:rsid w:val="00D867A0"/>
    <w:rsid w:val="00DB2049"/>
    <w:rsid w:val="00DC2A65"/>
    <w:rsid w:val="00DC5E9C"/>
    <w:rsid w:val="00DE15F0"/>
    <w:rsid w:val="00DE5663"/>
    <w:rsid w:val="00DE78AA"/>
    <w:rsid w:val="00E053D0"/>
    <w:rsid w:val="00E14420"/>
    <w:rsid w:val="00E15994"/>
    <w:rsid w:val="00E22B44"/>
    <w:rsid w:val="00E3114E"/>
    <w:rsid w:val="00E31A70"/>
    <w:rsid w:val="00E35B02"/>
    <w:rsid w:val="00E55BE8"/>
    <w:rsid w:val="00E66496"/>
    <w:rsid w:val="00E66B35"/>
    <w:rsid w:val="00E66E10"/>
    <w:rsid w:val="00E769F6"/>
    <w:rsid w:val="00E8407C"/>
    <w:rsid w:val="00E84F3C"/>
    <w:rsid w:val="00EA012C"/>
    <w:rsid w:val="00EC6A55"/>
    <w:rsid w:val="00ED0288"/>
    <w:rsid w:val="00EE52CB"/>
    <w:rsid w:val="00EE62A1"/>
    <w:rsid w:val="00EF581D"/>
    <w:rsid w:val="00EF7FD8"/>
    <w:rsid w:val="00F06F59"/>
    <w:rsid w:val="00F17988"/>
    <w:rsid w:val="00F37D6A"/>
    <w:rsid w:val="00F469F0"/>
    <w:rsid w:val="00F53273"/>
    <w:rsid w:val="00F755E4"/>
    <w:rsid w:val="00F77D02"/>
    <w:rsid w:val="00FB21E3"/>
    <w:rsid w:val="00FB3A86"/>
    <w:rsid w:val="00FD36C8"/>
    <w:rsid w:val="00FE340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ABFA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character" w:customStyle="1" w:styleId="fontstyle01">
    <w:name w:val="fontstyle01"/>
    <w:basedOn w:val="DefaultParagraphFont"/>
    <w:rsid w:val="002451A8"/>
    <w:rPr>
      <w:rFonts w:ascii="Tw Cen MT Condensed" w:hAnsi="Tw Cen MT Condensed" w:hint="default"/>
      <w:b w:val="0"/>
      <w:bCs w:val="0"/>
      <w:i w:val="0"/>
      <w:iCs w:val="0"/>
      <w:color w:val="000000"/>
      <w:sz w:val="28"/>
      <w:szCs w:val="28"/>
    </w:rPr>
  </w:style>
  <w:style w:type="table" w:customStyle="1" w:styleId="Tableausimple21">
    <w:name w:val="Tableau simple 21"/>
    <w:basedOn w:val="TableNormal"/>
    <w:next w:val="TableNormal"/>
    <w:uiPriority w:val="42"/>
    <w:rsid w:val="002451A8"/>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2451A8"/>
    <w:rPr>
      <w:rFonts w:eastAsia="Calibri" w:cs="SimSun"/>
      <w:sz w:val="22"/>
      <w:szCs w:val="22"/>
      <w:lang w:val="fr-FR"/>
    </w:rPr>
    <w:tblPr>
      <w:tblStyleRowBandSize w:val="1"/>
      <w:tblStyleColBandSize w:val="1"/>
      <w:tblBorders>
        <w:top w:val="single" w:sz="4" w:space="0" w:color="auto"/>
        <w:bottom w:val="single" w:sz="4" w:space="0" w:color="auto"/>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B20BB"/>
    <w:rPr>
      <w:rFonts w:ascii="Arial" w:hAnsi="Arial"/>
      <w:b/>
      <w:kern w:val="28"/>
      <w:sz w:val="28"/>
    </w:rPr>
  </w:style>
  <w:style w:type="table" w:customStyle="1" w:styleId="Tableausimple22">
    <w:name w:val="Tableau simple 22"/>
    <w:basedOn w:val="TableNormal"/>
    <w:uiPriority w:val="42"/>
    <w:rsid w:val="00306AC5"/>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Subject">
    <w:name w:val="annotation subject"/>
    <w:basedOn w:val="CommentText"/>
    <w:next w:val="CommentText"/>
    <w:link w:val="CommentSubjectChar"/>
    <w:semiHidden/>
    <w:unhideWhenUsed/>
    <w:rsid w:val="00144D3D"/>
    <w:rPr>
      <w:rFonts w:ascii="Helvetica" w:hAnsi="Helvetica"/>
      <w:b/>
      <w:bCs/>
      <w:lang w:val="en-US" w:eastAsia="en-US"/>
    </w:rPr>
  </w:style>
  <w:style w:type="character" w:customStyle="1" w:styleId="CommentSubjectChar">
    <w:name w:val="Comment Subject Char"/>
    <w:basedOn w:val="CommentTextChar"/>
    <w:link w:val="CommentSubject"/>
    <w:semiHidden/>
    <w:rsid w:val="00144D3D"/>
    <w:rPr>
      <w:rFonts w:ascii="Helvetica" w:hAnsi="Helvetica"/>
      <w:b/>
      <w:bCs/>
      <w:lang w:val="nb-NO" w:eastAsia="nb-NO"/>
    </w:rPr>
  </w:style>
  <w:style w:type="paragraph" w:styleId="Revision">
    <w:name w:val="Revision"/>
    <w:hidden/>
    <w:uiPriority w:val="99"/>
    <w:semiHidden/>
    <w:rsid w:val="0010007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600" b="1" i="0" u="none" strike="noStrike" cap="none" normalizeH="0" baseline="0"/>
              <a:t>Rate of radial growth inhibition </a:t>
            </a:r>
            <a:endParaRPr lang="fr-F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'Taux d''inbition_croissance '!$M$56</c:f>
              <c:strCache>
                <c:ptCount val="1"/>
                <c:pt idx="0">
                  <c:v>Control</c:v>
                </c:pt>
              </c:strCache>
            </c:strRef>
          </c:tx>
          <c:spPr>
            <a:pattFill prst="pct70">
              <a:fgClr>
                <a:schemeClr val="tx1"/>
              </a:fgClr>
              <a:bgClr>
                <a:schemeClr val="bg1"/>
              </a:bgClr>
            </a:pattFill>
            <a:ln>
              <a:noFill/>
            </a:ln>
            <a:effectLst/>
          </c:spPr>
          <c:invertIfNegative val="0"/>
          <c:dLbls>
            <c:spPr>
              <a:pattFill prst="pct50">
                <a:fgClr>
                  <a:schemeClr val="tx1"/>
                </a:fgClr>
                <a:bgClr>
                  <a:schemeClr val="bg1"/>
                </a:bgClr>
              </a:pattFill>
              <a:ln cap="sq">
                <a:solidFill>
                  <a:schemeClr val="accent1"/>
                </a:solidFill>
                <a:prstDash val="dash"/>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'!$M$57:$M$60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C5CF-4E27-8FFD-61C83E0CE866}"/>
            </c:ext>
          </c:extLst>
        </c:ser>
        <c:ser>
          <c:idx val="1"/>
          <c:order val="1"/>
          <c:tx>
            <c:strRef>
              <c:f>'Taux d''inbition_croissance '!$N$56</c:f>
              <c:strCache>
                <c:ptCount val="1"/>
                <c:pt idx="0">
                  <c:v>L.multiflora</c:v>
                </c:pt>
              </c:strCache>
            </c:strRef>
          </c:tx>
          <c:spPr>
            <a:pattFill prst="lgCheck">
              <a:fgClr>
                <a:schemeClr val="tx1"/>
              </a:fgClr>
              <a:bgClr>
                <a:schemeClr val="bg1"/>
              </a:bgClr>
            </a:pattFill>
            <a:ln cap="sq">
              <a:gradFill>
                <a:gsLst>
                  <a:gs pos="20000">
                    <a:schemeClr val="accent1">
                      <a:lumMod val="3000"/>
                      <a:lumOff val="9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'!$N$57:$N$60</c:f>
              <c:numCache>
                <c:formatCode>0.00</c:formatCode>
                <c:ptCount val="4"/>
                <c:pt idx="0">
                  <c:v>23.53</c:v>
                </c:pt>
                <c:pt idx="1">
                  <c:v>61.762999999999998</c:v>
                </c:pt>
                <c:pt idx="2" formatCode="0">
                  <c:v>100</c:v>
                </c:pt>
                <c:pt idx="3">
                  <c:v>61.764333333333333</c:v>
                </c:pt>
              </c:numCache>
            </c:numRef>
          </c:val>
          <c:extLst>
            <c:ext xmlns:c16="http://schemas.microsoft.com/office/drawing/2014/chart" uri="{C3380CC4-5D6E-409C-BE32-E72D297353CC}">
              <c16:uniqueId val="{00000001-C5CF-4E27-8FFD-61C83E0CE866}"/>
            </c:ext>
          </c:extLst>
        </c:ser>
        <c:ser>
          <c:idx val="2"/>
          <c:order val="2"/>
          <c:tx>
            <c:strRef>
              <c:f>'Taux d''inbition_croissance '!$O$56</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'!$O$57:$O$60</c:f>
              <c:numCache>
                <c:formatCode>0</c:formatCode>
                <c:ptCount val="4"/>
                <c:pt idx="0" formatCode="0.00">
                  <c:v>62.353000000000002</c:v>
                </c:pt>
                <c:pt idx="1">
                  <c:v>100</c:v>
                </c:pt>
                <c:pt idx="2">
                  <c:v>100</c:v>
                </c:pt>
                <c:pt idx="3" formatCode="0.00">
                  <c:v>87.451000000000008</c:v>
                </c:pt>
              </c:numCache>
            </c:numRef>
          </c:val>
          <c:extLst>
            <c:ext xmlns:c16="http://schemas.microsoft.com/office/drawing/2014/chart" uri="{C3380CC4-5D6E-409C-BE32-E72D297353CC}">
              <c16:uniqueId val="{00000002-C5CF-4E27-8FFD-61C83E0CE866}"/>
            </c:ext>
          </c:extLst>
        </c:ser>
        <c:ser>
          <c:idx val="3"/>
          <c:order val="3"/>
          <c:tx>
            <c:strRef>
              <c:f>'Taux d''inbition_croissance '!$P$56</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'!$P$57:$P$60</c:f>
              <c:numCache>
                <c:formatCode>0</c:formatCode>
                <c:ptCount val="4"/>
                <c:pt idx="0">
                  <c:v>100</c:v>
                </c:pt>
                <c:pt idx="1">
                  <c:v>100</c:v>
                </c:pt>
                <c:pt idx="2">
                  <c:v>100</c:v>
                </c:pt>
                <c:pt idx="3">
                  <c:v>100</c:v>
                </c:pt>
              </c:numCache>
            </c:numRef>
          </c:val>
          <c:extLst>
            <c:ext xmlns:c16="http://schemas.microsoft.com/office/drawing/2014/chart" uri="{C3380CC4-5D6E-409C-BE32-E72D297353CC}">
              <c16:uniqueId val="{00000003-C5CF-4E27-8FFD-61C83E0CE866}"/>
            </c:ext>
          </c:extLst>
        </c:ser>
        <c:ser>
          <c:idx val="4"/>
          <c:order val="4"/>
          <c:tx>
            <c:strRef>
              <c:f>'Taux d''inbition_croissance '!$Q$56</c:f>
              <c:strCache>
                <c:ptCount val="1"/>
                <c:pt idx="0">
                  <c:v>copper hydroxide </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'!$Q$57:$Q$60</c:f>
              <c:numCache>
                <c:formatCode>0.00</c:formatCode>
                <c:ptCount val="4"/>
                <c:pt idx="0">
                  <c:v>87.647000000000006</c:v>
                </c:pt>
                <c:pt idx="1">
                  <c:v>85.293000000000006</c:v>
                </c:pt>
                <c:pt idx="2">
                  <c:v>86.08</c:v>
                </c:pt>
                <c:pt idx="3">
                  <c:v>86.339999999999989</c:v>
                </c:pt>
              </c:numCache>
            </c:numRef>
          </c:val>
          <c:extLst>
            <c:ext xmlns:c16="http://schemas.microsoft.com/office/drawing/2014/chart" uri="{C3380CC4-5D6E-409C-BE32-E72D297353CC}">
              <c16:uniqueId val="{00000004-C5CF-4E27-8FFD-61C83E0CE866}"/>
            </c:ext>
          </c:extLst>
        </c:ser>
        <c:dLbls>
          <c:showLegendKey val="0"/>
          <c:showVal val="1"/>
          <c:showCatName val="0"/>
          <c:showSerName val="0"/>
          <c:showPercent val="0"/>
          <c:showBubbleSize val="0"/>
        </c:dLbls>
        <c:gapWidth val="267"/>
        <c:overlap val="-43"/>
        <c:axId val="1735218832"/>
        <c:axId val="1735228624"/>
      </c:barChart>
      <c:catAx>
        <c:axId val="1735218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35228624"/>
        <c:crosses val="autoZero"/>
        <c:auto val="1"/>
        <c:lblAlgn val="ctr"/>
        <c:lblOffset val="100"/>
        <c:noMultiLvlLbl val="0"/>
      </c:catAx>
      <c:valAx>
        <c:axId val="17352286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baseline="0"/>
                  <a:t>% inhibition (TIc) </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35218832"/>
        <c:crosses val="autoZero"/>
        <c:crossBetween val="between"/>
      </c:valAx>
      <c:spPr>
        <a:noFill/>
        <a:ln>
          <a:noFill/>
        </a:ln>
        <a:effectLst/>
      </c:spPr>
    </c:plotArea>
    <c:legend>
      <c:legendPos val="b"/>
      <c:layout>
        <c:manualLayout>
          <c:xMode val="edge"/>
          <c:yMode val="edge"/>
          <c:x val="0.16119020619379981"/>
          <c:y val="0.90097651753779162"/>
          <c:w val="0.68776157544201499"/>
          <c:h val="9.90235434323496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of sporulation inhibition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'Taux d''inbition_sporulation'!$B$15</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d''inbition_sporulation'!$C$15:$F$15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B505-4155-802F-E38885D47745}"/>
            </c:ext>
          </c:extLst>
        </c:ser>
        <c:ser>
          <c:idx val="1"/>
          <c:order val="1"/>
          <c:tx>
            <c:strRef>
              <c:f>'Taux d''inbition_sporulation'!$B$16</c:f>
              <c:strCache>
                <c:ptCount val="1"/>
                <c:pt idx="0">
                  <c:v>Copper hydroxide </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d''inbition_sporulation'!$C$16:$F$16</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B505-4155-802F-E38885D47745}"/>
            </c:ext>
          </c:extLst>
        </c:ser>
        <c:ser>
          <c:idx val="2"/>
          <c:order val="2"/>
          <c:tx>
            <c:strRef>
              <c:f>'Taux d''inbition_sporulation'!$B$17</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d''inbition_sporulation'!$C$17:$F$17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2-B505-4155-802F-E38885D47745}"/>
            </c:ext>
          </c:extLst>
        </c:ser>
        <c:ser>
          <c:idx val="3"/>
          <c:order val="3"/>
          <c:tx>
            <c:strRef>
              <c:f>'Taux d''inbition_sporulation'!$B$18</c:f>
              <c:strCache>
                <c:ptCount val="1"/>
                <c:pt idx="0">
                  <c:v>L.Multiflora</c:v>
                </c:pt>
              </c:strCache>
            </c:strRef>
          </c:tx>
          <c:spPr>
            <a:pattFill prst="lgCheck">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d''inbition_sporulation'!$C$18:$F$18</c:f>
              <c:numCache>
                <c:formatCode>General</c:formatCode>
                <c:ptCount val="4"/>
                <c:pt idx="0">
                  <c:v>36.729999999999997</c:v>
                </c:pt>
                <c:pt idx="1">
                  <c:v>80.760000000000005</c:v>
                </c:pt>
                <c:pt idx="2">
                  <c:v>100</c:v>
                </c:pt>
                <c:pt idx="3">
                  <c:v>72.49666666666667</c:v>
                </c:pt>
              </c:numCache>
            </c:numRef>
          </c:val>
          <c:extLst>
            <c:ext xmlns:c16="http://schemas.microsoft.com/office/drawing/2014/chart" uri="{C3380CC4-5D6E-409C-BE32-E72D297353CC}">
              <c16:uniqueId val="{00000003-B505-4155-802F-E38885D47745}"/>
            </c:ext>
          </c:extLst>
        </c:ser>
        <c:ser>
          <c:idx val="4"/>
          <c:order val="4"/>
          <c:tx>
            <c:strRef>
              <c:f>'Taux d''inbition_sporulation'!$B$19</c:f>
              <c:strCache>
                <c:ptCount val="1"/>
                <c:pt idx="0">
                  <c:v>Control</c:v>
                </c:pt>
              </c:strCache>
            </c:strRef>
          </c:tx>
          <c:spPr>
            <a:solidFill>
              <a:schemeClr val="accent5"/>
            </a:solidFill>
            <a:ln>
              <a:noFill/>
            </a:ln>
            <a:effectLst/>
          </c:spPr>
          <c:invertIfNegative val="0"/>
          <c:dLbls>
            <c:spPr>
              <a:pattFill prst="pct50">
                <a:fgClr>
                  <a:schemeClr val="tx1"/>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d''inbition_sporulation'!$C$19:$F$19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B505-4155-802F-E38885D47745}"/>
            </c:ext>
          </c:extLst>
        </c:ser>
        <c:dLbls>
          <c:dLblPos val="outEnd"/>
          <c:showLegendKey val="0"/>
          <c:showVal val="1"/>
          <c:showCatName val="0"/>
          <c:showSerName val="0"/>
          <c:showPercent val="0"/>
          <c:showBubbleSize val="0"/>
        </c:dLbls>
        <c:gapWidth val="219"/>
        <c:overlap val="-27"/>
        <c:axId val="1735219376"/>
        <c:axId val="1735219920"/>
      </c:barChart>
      <c:catAx>
        <c:axId val="173521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9920"/>
        <c:crosses val="autoZero"/>
        <c:auto val="1"/>
        <c:lblAlgn val="ctr"/>
        <c:lblOffset val="100"/>
        <c:noMultiLvlLbl val="0"/>
      </c:catAx>
      <c:valAx>
        <c:axId val="173521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inhibition</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Germination inhibition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36564267416034E-2"/>
          <c:y val="0.19179635804947887"/>
          <c:w val="0.88593168517273857"/>
          <c:h val="0.631170161379495"/>
        </c:manualLayout>
      </c:layout>
      <c:barChart>
        <c:barDir val="col"/>
        <c:grouping val="clustered"/>
        <c:varyColors val="0"/>
        <c:ser>
          <c:idx val="0"/>
          <c:order val="0"/>
          <c:tx>
            <c:strRef>
              <c:f>'Spores germés_inhibition'!$E$18</c:f>
              <c:strCache>
                <c:ptCount val="1"/>
                <c:pt idx="0">
                  <c:v>Control</c:v>
                </c:pt>
              </c:strCache>
            </c:strRef>
          </c:tx>
          <c:spPr>
            <a:pattFill prst="pct50">
              <a:fgClr>
                <a:schemeClr val="tx1"/>
              </a:fgClr>
              <a:bgClr>
                <a:schemeClr val="bg1"/>
              </a:bgClr>
            </a:pattFill>
            <a:ln>
              <a:noFill/>
            </a:ln>
            <a:effectLst/>
          </c:spPr>
          <c:invertIfNegative val="0"/>
          <c:dLbls>
            <c:spPr>
              <a:pattFill prst="pct50">
                <a:fgClr>
                  <a:schemeClr val="tx1"/>
                </a:fgClr>
                <a:bgClr>
                  <a:schemeClr val="bg1"/>
                </a:bgClr>
              </a:patt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germés_inhibition'!$E$19:$E$22</c:f>
              <c:numCache>
                <c:formatCode>0</c:formatCode>
                <c:ptCount val="4"/>
                <c:pt idx="0">
                  <c:v>0</c:v>
                </c:pt>
                <c:pt idx="1">
                  <c:v>0</c:v>
                </c:pt>
                <c:pt idx="2">
                  <c:v>0</c:v>
                </c:pt>
                <c:pt idx="3">
                  <c:v>0</c:v>
                </c:pt>
              </c:numCache>
            </c:numRef>
          </c:val>
          <c:extLst>
            <c:ext xmlns:c16="http://schemas.microsoft.com/office/drawing/2014/chart" uri="{C3380CC4-5D6E-409C-BE32-E72D297353CC}">
              <c16:uniqueId val="{00000000-76AB-441A-BA51-30A3993F972C}"/>
            </c:ext>
          </c:extLst>
        </c:ser>
        <c:ser>
          <c:idx val="1"/>
          <c:order val="1"/>
          <c:tx>
            <c:strRef>
              <c:f>'Spores germés_inhibition'!$F$18</c:f>
              <c:strCache>
                <c:ptCount val="1"/>
                <c:pt idx="0">
                  <c:v>L. multiflora</c:v>
                </c:pt>
              </c:strCache>
            </c:strRef>
          </c:tx>
          <c:spPr>
            <a:pattFill prst="lgCheck">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germés_inhibition'!$F$19:$F$22</c:f>
              <c:numCache>
                <c:formatCode>0.00</c:formatCode>
                <c:ptCount val="4"/>
                <c:pt idx="0">
                  <c:v>2.3330000000000002</c:v>
                </c:pt>
                <c:pt idx="1">
                  <c:v>22.66</c:v>
                </c:pt>
                <c:pt idx="2">
                  <c:v>100</c:v>
                </c:pt>
                <c:pt idx="3">
                  <c:v>41.664333333333332</c:v>
                </c:pt>
              </c:numCache>
            </c:numRef>
          </c:val>
          <c:extLst>
            <c:ext xmlns:c16="http://schemas.microsoft.com/office/drawing/2014/chart" uri="{C3380CC4-5D6E-409C-BE32-E72D297353CC}">
              <c16:uniqueId val="{00000001-76AB-441A-BA51-30A3993F972C}"/>
            </c:ext>
          </c:extLst>
        </c:ser>
        <c:ser>
          <c:idx val="2"/>
          <c:order val="2"/>
          <c:tx>
            <c:strRef>
              <c:f>'Spores germés_inhibition'!$G$18</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germés_inhibition'!$G$19:$G$22</c:f>
              <c:numCache>
                <c:formatCode>0.00</c:formatCode>
                <c:ptCount val="4"/>
                <c:pt idx="0">
                  <c:v>43.332999999999998</c:v>
                </c:pt>
                <c:pt idx="1">
                  <c:v>100</c:v>
                </c:pt>
                <c:pt idx="2">
                  <c:v>100</c:v>
                </c:pt>
                <c:pt idx="3">
                  <c:v>81.111000000000004</c:v>
                </c:pt>
              </c:numCache>
            </c:numRef>
          </c:val>
          <c:extLst>
            <c:ext xmlns:c16="http://schemas.microsoft.com/office/drawing/2014/chart" uri="{C3380CC4-5D6E-409C-BE32-E72D297353CC}">
              <c16:uniqueId val="{00000002-76AB-441A-BA51-30A3993F972C}"/>
            </c:ext>
          </c:extLst>
        </c:ser>
        <c:ser>
          <c:idx val="3"/>
          <c:order val="3"/>
          <c:tx>
            <c:strRef>
              <c:f>'Spores germés_inhibition'!$H$18</c:f>
              <c:strCache>
                <c:ptCount val="1"/>
                <c:pt idx="0">
                  <c:v>Copper hydroxide</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germés_inhibition'!$H$19:$H$22</c:f>
              <c:numCache>
                <c:formatCode>0.00</c:formatCode>
                <c:ptCount val="4"/>
                <c:pt idx="0">
                  <c:v>39.332999999999998</c:v>
                </c:pt>
                <c:pt idx="1">
                  <c:v>35.659999999999997</c:v>
                </c:pt>
                <c:pt idx="2">
                  <c:v>71.5</c:v>
                </c:pt>
                <c:pt idx="3">
                  <c:v>48.830999999999996</c:v>
                </c:pt>
              </c:numCache>
            </c:numRef>
          </c:val>
          <c:extLst>
            <c:ext xmlns:c16="http://schemas.microsoft.com/office/drawing/2014/chart" uri="{C3380CC4-5D6E-409C-BE32-E72D297353CC}">
              <c16:uniqueId val="{00000003-76AB-441A-BA51-30A3993F972C}"/>
            </c:ext>
          </c:extLst>
        </c:ser>
        <c:ser>
          <c:idx val="4"/>
          <c:order val="4"/>
          <c:tx>
            <c:strRef>
              <c:f>'Spores germés_inhibition'!$I$18</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germés_inhibition'!$I$19:$I$22</c:f>
              <c:numCache>
                <c:formatCode>0.00</c:formatCode>
                <c:ptCount val="4"/>
                <c:pt idx="0">
                  <c:v>100</c:v>
                </c:pt>
                <c:pt idx="1">
                  <c:v>100</c:v>
                </c:pt>
                <c:pt idx="2">
                  <c:v>100</c:v>
                </c:pt>
                <c:pt idx="3">
                  <c:v>100</c:v>
                </c:pt>
              </c:numCache>
            </c:numRef>
          </c:val>
          <c:extLst>
            <c:ext xmlns:c16="http://schemas.microsoft.com/office/drawing/2014/chart" uri="{C3380CC4-5D6E-409C-BE32-E72D297353CC}">
              <c16:uniqueId val="{00000004-76AB-441A-BA51-30A3993F972C}"/>
            </c:ext>
          </c:extLst>
        </c:ser>
        <c:dLbls>
          <c:dLblPos val="outEnd"/>
          <c:showLegendKey val="0"/>
          <c:showVal val="1"/>
          <c:showCatName val="0"/>
          <c:showSerName val="0"/>
          <c:showPercent val="0"/>
          <c:showBubbleSize val="0"/>
        </c:dLbls>
        <c:gapWidth val="219"/>
        <c:overlap val="-27"/>
        <c:axId val="1735215568"/>
        <c:axId val="1735220464"/>
      </c:barChart>
      <c:catAx>
        <c:axId val="17352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20464"/>
        <c:crosses val="autoZero"/>
        <c:auto val="1"/>
        <c:lblAlgn val="ctr"/>
        <c:lblOffset val="100"/>
        <c:noMultiLvlLbl val="0"/>
      </c:catAx>
      <c:valAx>
        <c:axId val="17352204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5568"/>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DADB6-04BB-41E2-AE2A-1AB5D25F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13</Pages>
  <Words>5025</Words>
  <Characters>28644</Characters>
  <Application>Microsoft Office Word</Application>
  <DocSecurity>0</DocSecurity>
  <Lines>238</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33602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6</cp:revision>
  <cp:lastPrinted>1999-07-06T11:00:00Z</cp:lastPrinted>
  <dcterms:created xsi:type="dcterms:W3CDTF">2026-01-23T05:56:00Z</dcterms:created>
  <dcterms:modified xsi:type="dcterms:W3CDTF">2026-01-28T12:34:00Z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0ecfd225-5b49-40aa-85f2-2671f07d931a</vt:lpwstr>
  </property>
</Properties>
</file>