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FF3C7" w14:textId="192A2EED" w:rsidR="00FC632A" w:rsidRPr="00421969" w:rsidRDefault="00FC632A" w:rsidP="000D63C5">
      <w:pPr>
        <w:spacing w:before="100" w:beforeAutospacing="1" w:after="100" w:afterAutospacing="1" w:line="360" w:lineRule="auto"/>
        <w:jc w:val="both"/>
        <w:rPr>
          <w:rFonts w:ascii="Times New Roman" w:eastAsia="Times New Roman" w:hAnsi="Times New Roman" w:cs="Times New Roman"/>
          <w:b/>
          <w:sz w:val="28"/>
          <w:szCs w:val="28"/>
          <w:lang w:val="en-US" w:eastAsia="fr-FR"/>
        </w:rPr>
      </w:pPr>
      <w:r w:rsidRPr="00FC632A">
        <w:rPr>
          <w:rFonts w:ascii="Times New Roman" w:eastAsia="Times New Roman" w:hAnsi="Times New Roman" w:cs="Times New Roman"/>
          <w:b/>
          <w:sz w:val="28"/>
          <w:szCs w:val="28"/>
          <w:highlight w:val="yellow"/>
          <w:lang w:val="en-US" w:eastAsia="fr-FR"/>
        </w:rPr>
        <w:t xml:space="preserve">Molecular </w:t>
      </w:r>
      <w:r w:rsidR="00AA6512" w:rsidRPr="00FC632A">
        <w:rPr>
          <w:rFonts w:ascii="Times New Roman" w:eastAsia="Times New Roman" w:hAnsi="Times New Roman" w:cs="Times New Roman"/>
          <w:b/>
          <w:sz w:val="28"/>
          <w:szCs w:val="28"/>
          <w:highlight w:val="yellow"/>
          <w:lang w:val="en-US" w:eastAsia="fr-FR"/>
        </w:rPr>
        <w:t>Characteri</w:t>
      </w:r>
      <w:r w:rsidR="00AA6512">
        <w:rPr>
          <w:rFonts w:ascii="Times New Roman" w:eastAsia="Times New Roman" w:hAnsi="Times New Roman" w:cs="Times New Roman"/>
          <w:b/>
          <w:sz w:val="28"/>
          <w:szCs w:val="28"/>
          <w:highlight w:val="yellow"/>
          <w:lang w:val="en-US" w:eastAsia="fr-FR"/>
        </w:rPr>
        <w:t>s</w:t>
      </w:r>
      <w:r w:rsidR="00AA6512" w:rsidRPr="00FC632A">
        <w:rPr>
          <w:rFonts w:ascii="Times New Roman" w:eastAsia="Times New Roman" w:hAnsi="Times New Roman" w:cs="Times New Roman"/>
          <w:b/>
          <w:sz w:val="28"/>
          <w:szCs w:val="28"/>
          <w:highlight w:val="yellow"/>
          <w:lang w:val="en-US" w:eastAsia="fr-FR"/>
        </w:rPr>
        <w:t xml:space="preserve">ation </w:t>
      </w:r>
      <w:r w:rsidRPr="00FC632A">
        <w:rPr>
          <w:rFonts w:ascii="Times New Roman" w:eastAsia="Times New Roman" w:hAnsi="Times New Roman" w:cs="Times New Roman"/>
          <w:b/>
          <w:sz w:val="28"/>
          <w:szCs w:val="28"/>
          <w:highlight w:val="yellow"/>
          <w:lang w:val="en-US" w:eastAsia="fr-FR"/>
        </w:rPr>
        <w:t xml:space="preserve">of </w:t>
      </w:r>
      <w:r w:rsidRPr="004A29A5">
        <w:rPr>
          <w:rFonts w:ascii="Times New Roman" w:eastAsia="Times New Roman" w:hAnsi="Times New Roman" w:cs="Times New Roman"/>
          <w:b/>
          <w:i/>
          <w:sz w:val="28"/>
          <w:szCs w:val="28"/>
          <w:highlight w:val="yellow"/>
          <w:lang w:val="en-US" w:eastAsia="fr-FR"/>
        </w:rPr>
        <w:t>Striga hermonthica</w:t>
      </w:r>
      <w:r w:rsidRPr="00FC632A">
        <w:rPr>
          <w:rFonts w:ascii="Times New Roman" w:eastAsia="Times New Roman" w:hAnsi="Times New Roman" w:cs="Times New Roman"/>
          <w:b/>
          <w:sz w:val="28"/>
          <w:szCs w:val="28"/>
          <w:highlight w:val="yellow"/>
          <w:lang w:val="en-US" w:eastAsia="fr-FR"/>
        </w:rPr>
        <w:t xml:space="preserve"> Populations from Major Agricultural Regions of Niger</w:t>
      </w:r>
    </w:p>
    <w:p w14:paraId="25133FC8" w14:textId="77777777" w:rsidR="003414C8" w:rsidRDefault="003414C8" w:rsidP="000D63C5">
      <w:pPr>
        <w:pStyle w:val="NormalWeb"/>
        <w:spacing w:line="360" w:lineRule="auto"/>
        <w:jc w:val="both"/>
        <w:rPr>
          <w:rFonts w:eastAsiaTheme="minorHAnsi"/>
          <w:b/>
          <w:bCs/>
          <w:lang w:val="en-US"/>
        </w:rPr>
      </w:pPr>
    </w:p>
    <w:p w14:paraId="49466804" w14:textId="1C05C996" w:rsidR="00CF39F8" w:rsidRPr="00A67EAE" w:rsidRDefault="00CF39F8" w:rsidP="000D63C5">
      <w:pPr>
        <w:pStyle w:val="NormalWeb"/>
        <w:spacing w:line="360" w:lineRule="auto"/>
        <w:jc w:val="both"/>
        <w:rPr>
          <w:b/>
          <w:lang w:val="en-US"/>
        </w:rPr>
      </w:pPr>
      <w:r w:rsidRPr="00A67EAE">
        <w:rPr>
          <w:rFonts w:eastAsiaTheme="minorHAnsi"/>
          <w:b/>
          <w:bCs/>
          <w:lang w:val="en-US"/>
        </w:rPr>
        <w:t>ABSTRACT</w:t>
      </w:r>
    </w:p>
    <w:p w14:paraId="0BBFFF88" w14:textId="5C664C41" w:rsidR="00821A30" w:rsidRPr="00A67EAE" w:rsidRDefault="000569F7" w:rsidP="00F700F4">
      <w:pPr>
        <w:pStyle w:val="NormalWeb"/>
        <w:spacing w:line="360" w:lineRule="auto"/>
        <w:jc w:val="both"/>
        <w:rPr>
          <w:lang w:val="en-US"/>
        </w:rPr>
      </w:pPr>
      <w:r w:rsidRPr="000569F7">
        <w:rPr>
          <w:i/>
          <w:iCs/>
          <w:lang w:val="en-US"/>
        </w:rPr>
        <w:t>Striga hermonthica</w:t>
      </w:r>
      <w:r w:rsidRPr="000569F7">
        <w:rPr>
          <w:lang w:val="en-US"/>
        </w:rPr>
        <w:t xml:space="preserve"> is one of the most destructive parasitic weeds affecting cereal production in sub-Saharan Africa, particularly in Sahelian </w:t>
      </w:r>
      <w:r>
        <w:rPr>
          <w:lang w:val="en-US"/>
        </w:rPr>
        <w:t>agricultural systems</w:t>
      </w:r>
      <w:r w:rsidRPr="000569F7">
        <w:rPr>
          <w:lang w:val="en-US"/>
        </w:rPr>
        <w:t xml:space="preserve">. Despite its major impact, information on the genetic diversity of </w:t>
      </w:r>
      <w:r w:rsidRPr="000569F7">
        <w:rPr>
          <w:i/>
          <w:iCs/>
          <w:lang w:val="en-US"/>
        </w:rPr>
        <w:t>S. hermonthica</w:t>
      </w:r>
      <w:r w:rsidRPr="000569F7">
        <w:rPr>
          <w:lang w:val="en-US"/>
        </w:rPr>
        <w:t xml:space="preserve"> in Niger remains limited. This study assessed the genetic diversity and population structure of 25 </w:t>
      </w:r>
      <w:r w:rsidRPr="000569F7">
        <w:rPr>
          <w:i/>
          <w:iCs/>
          <w:lang w:val="en-US"/>
        </w:rPr>
        <w:t>S. hermonthica</w:t>
      </w:r>
      <w:r w:rsidRPr="000569F7">
        <w:rPr>
          <w:lang w:val="en-US"/>
        </w:rPr>
        <w:t xml:space="preserve"> ecotypes from five major agricultural regions of Niger using five microsatellite (SSR) markers. </w:t>
      </w:r>
      <w:r>
        <w:rPr>
          <w:lang w:val="en-US"/>
        </w:rPr>
        <w:t>T</w:t>
      </w:r>
      <w:r w:rsidRPr="000569F7">
        <w:rPr>
          <w:lang w:val="en-US"/>
        </w:rPr>
        <w:t>he results reveal substantial genetic diversity</w:t>
      </w:r>
      <w:r w:rsidR="00747CC1">
        <w:rPr>
          <w:lang w:val="en-US"/>
        </w:rPr>
        <w:t xml:space="preserve"> among the </w:t>
      </w:r>
      <w:r w:rsidR="00747CC1" w:rsidRPr="00747CC1">
        <w:rPr>
          <w:i/>
          <w:iCs/>
          <w:lang w:val="en-US"/>
        </w:rPr>
        <w:t xml:space="preserve">S. </w:t>
      </w:r>
      <w:r w:rsidR="00747CC1" w:rsidRPr="00DA4234">
        <w:rPr>
          <w:i/>
          <w:iCs/>
          <w:highlight w:val="yellow"/>
          <w:lang w:val="en-US"/>
        </w:rPr>
        <w:t>hermonthica</w:t>
      </w:r>
      <w:r w:rsidR="00747CC1" w:rsidRPr="00DA4234">
        <w:rPr>
          <w:highlight w:val="yellow"/>
          <w:lang w:val="en-US"/>
        </w:rPr>
        <w:t xml:space="preserve"> </w:t>
      </w:r>
      <w:r w:rsidR="00AA6512" w:rsidRPr="00DA4234">
        <w:rPr>
          <w:highlight w:val="yellow"/>
          <w:lang w:val="en-US"/>
        </w:rPr>
        <w:t>characterised</w:t>
      </w:r>
      <w:r w:rsidR="00747CC1" w:rsidRPr="00DA4234">
        <w:rPr>
          <w:highlight w:val="yellow"/>
          <w:lang w:val="en-US"/>
        </w:rPr>
        <w:t>.</w:t>
      </w:r>
      <w:r w:rsidRPr="00DA4234">
        <w:rPr>
          <w:highlight w:val="yellow"/>
          <w:lang w:val="en-US"/>
        </w:rPr>
        <w:t xml:space="preserve"> All loci</w:t>
      </w:r>
      <w:r w:rsidRPr="000569F7">
        <w:rPr>
          <w:lang w:val="en-US"/>
        </w:rPr>
        <w:t xml:space="preserve"> were polymorphic, with regional polymorphism rates ranging from 60% to 100%. The mean observed heterozygosity (Ho = 0.530) exceeded the expected heterozygosity (He = 0.344), resulting in a negative inbreeding coefficient (F =</w:t>
      </w:r>
      <w:r>
        <w:rPr>
          <w:lang w:val="en-US"/>
        </w:rPr>
        <w:t xml:space="preserve"> -</w:t>
      </w:r>
      <w:r w:rsidRPr="000569F7">
        <w:rPr>
          <w:lang w:val="en-US"/>
        </w:rPr>
        <w:t>0.442)</w:t>
      </w:r>
      <w:r>
        <w:rPr>
          <w:lang w:val="en-US"/>
        </w:rPr>
        <w:t xml:space="preserve"> </w:t>
      </w:r>
      <w:r w:rsidRPr="000569F7">
        <w:rPr>
          <w:lang w:val="en-US"/>
        </w:rPr>
        <w:t>and indicating an excess of heterozygotes and deviation from Hardy</w:t>
      </w:r>
      <w:r>
        <w:rPr>
          <w:lang w:val="en-US"/>
        </w:rPr>
        <w:t>-</w:t>
      </w:r>
      <w:r w:rsidRPr="000569F7">
        <w:rPr>
          <w:lang w:val="en-US"/>
        </w:rPr>
        <w:t xml:space="preserve">Weinberg equilibrium. Moderate genetic differentiation among regions was detected (mean Fst = 0.167), suggesting structured populations influenced by geographic origin. </w:t>
      </w:r>
      <w:r>
        <w:rPr>
          <w:lang w:val="en-US"/>
        </w:rPr>
        <w:t>C</w:t>
      </w:r>
      <w:r w:rsidRPr="000569F7">
        <w:rPr>
          <w:lang w:val="en-US"/>
        </w:rPr>
        <w:t>luster analyses consistently separated genotypes from the Dosso region from those of the other regions, while closer genetic relationships were observed between Tahoua and Tillabéry, and between Maradi and Zinder. These findings provide a valuable genetic baseline for understanding the adaptive potential of the species and support the development of region-specific and sustainable management strategies against this parasitic weed</w:t>
      </w:r>
      <w:r w:rsidR="00F700F4" w:rsidRPr="00F700F4">
        <w:rPr>
          <w:lang w:val="en-US"/>
        </w:rPr>
        <w:t>.</w:t>
      </w:r>
    </w:p>
    <w:p w14:paraId="5FBAAE11" w14:textId="3F583C6E" w:rsidR="00CF39F8" w:rsidRDefault="00CF39F8" w:rsidP="000D63C5">
      <w:pPr>
        <w:pStyle w:val="NormalWeb"/>
        <w:spacing w:line="360" w:lineRule="auto"/>
        <w:jc w:val="both"/>
        <w:rPr>
          <w:lang w:val="en-US"/>
        </w:rPr>
      </w:pPr>
      <w:r w:rsidRPr="00256C9F">
        <w:rPr>
          <w:rStyle w:val="Strong"/>
          <w:highlight w:val="yellow"/>
          <w:lang w:val="en-US"/>
        </w:rPr>
        <w:t>Keywords:</w:t>
      </w:r>
      <w:r w:rsidRPr="00256C9F">
        <w:rPr>
          <w:highlight w:val="yellow"/>
          <w:lang w:val="en-US"/>
        </w:rPr>
        <w:t xml:space="preserve"> </w:t>
      </w:r>
      <w:r w:rsidR="00F85063" w:rsidRPr="00256C9F">
        <w:rPr>
          <w:highlight w:val="yellow"/>
          <w:lang w:val="en-US"/>
        </w:rPr>
        <w:t>G</w:t>
      </w:r>
      <w:r w:rsidRPr="00256C9F">
        <w:rPr>
          <w:highlight w:val="yellow"/>
          <w:lang w:val="en-US"/>
        </w:rPr>
        <w:t xml:space="preserve">enetic diversity, </w:t>
      </w:r>
      <w:r w:rsidRPr="00256C9F">
        <w:rPr>
          <w:i/>
          <w:highlight w:val="yellow"/>
          <w:lang w:val="en-US"/>
        </w:rPr>
        <w:t>Striga hermonthica</w:t>
      </w:r>
      <w:r w:rsidRPr="00256C9F">
        <w:rPr>
          <w:highlight w:val="yellow"/>
          <w:lang w:val="en-US"/>
        </w:rPr>
        <w:t xml:space="preserve">, </w:t>
      </w:r>
      <w:r w:rsidR="00F85063" w:rsidRPr="00256C9F">
        <w:rPr>
          <w:highlight w:val="yellow"/>
          <w:lang w:val="en-US"/>
        </w:rPr>
        <w:t xml:space="preserve">SSR markers, Population structure, </w:t>
      </w:r>
      <w:r w:rsidRPr="00256C9F">
        <w:rPr>
          <w:highlight w:val="yellow"/>
          <w:lang w:val="en-US"/>
        </w:rPr>
        <w:t>Niger.</w:t>
      </w:r>
    </w:p>
    <w:p w14:paraId="06C697A5" w14:textId="77777777" w:rsidR="00200421" w:rsidRPr="00A67EAE" w:rsidRDefault="00200421"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INTRODUCTION</w:t>
      </w:r>
    </w:p>
    <w:p w14:paraId="1CE719EF" w14:textId="1C4DD840" w:rsidR="0037611B" w:rsidRDefault="005D6015" w:rsidP="005D601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5D6015">
        <w:rPr>
          <w:rFonts w:ascii="Times New Roman" w:eastAsia="Times New Roman" w:hAnsi="Times New Roman" w:cs="Times New Roman"/>
          <w:sz w:val="24"/>
          <w:szCs w:val="24"/>
          <w:lang w:val="en-US" w:eastAsia="fr-FR"/>
        </w:rPr>
        <w:t>Striga, commonly known as</w:t>
      </w:r>
      <w:r w:rsidR="009866AC">
        <w:rPr>
          <w:rFonts w:ascii="Times New Roman" w:eastAsia="Times New Roman" w:hAnsi="Times New Roman" w:cs="Times New Roman"/>
          <w:sz w:val="24"/>
          <w:szCs w:val="24"/>
          <w:lang w:val="en-US" w:eastAsia="fr-FR"/>
        </w:rPr>
        <w:t xml:space="preserve"> </w:t>
      </w:r>
      <w:r w:rsidR="009866AC" w:rsidRPr="002A14F9">
        <w:rPr>
          <w:rFonts w:ascii="Times New Roman" w:eastAsia="Times New Roman" w:hAnsi="Times New Roman" w:cs="Times New Roman"/>
          <w:b/>
          <w:sz w:val="24"/>
          <w:szCs w:val="24"/>
          <w:lang w:val="en-US" w:eastAsia="fr-FR"/>
        </w:rPr>
        <w:t>witchweed</w:t>
      </w:r>
      <w:r w:rsidRPr="005D6015">
        <w:rPr>
          <w:rFonts w:ascii="Times New Roman" w:eastAsia="Times New Roman" w:hAnsi="Times New Roman" w:cs="Times New Roman"/>
          <w:sz w:val="24"/>
          <w:szCs w:val="24"/>
          <w:lang w:val="en-US" w:eastAsia="fr-FR"/>
        </w:rPr>
        <w:t xml:space="preserve">, is a detrimental hemiparasitic plant that severely limits cereal production across Sub-Saharan Africa (SSA) (Runo et al., 2012). The genus Striga, which comprises approximately 30 to 35 species, is currently classified within the Orobanchaceae family, although earlier classifications placed it in the Scrophulariaceae family (Gethi et al., 2005). Striga species are widely distributed in tropical and semi-arid regions of Africa, the Middle East, Asia, and Australia (Cochrane </w:t>
      </w:r>
      <w:r w:rsidR="0054253A">
        <w:rPr>
          <w:rFonts w:ascii="Times New Roman" w:eastAsia="Times New Roman" w:hAnsi="Times New Roman" w:cs="Times New Roman"/>
          <w:sz w:val="24"/>
          <w:szCs w:val="24"/>
          <w:lang w:val="en-US" w:eastAsia="fr-FR"/>
        </w:rPr>
        <w:t>and</w:t>
      </w:r>
      <w:r w:rsidRPr="005D6015">
        <w:rPr>
          <w:rFonts w:ascii="Times New Roman" w:eastAsia="Times New Roman" w:hAnsi="Times New Roman" w:cs="Times New Roman"/>
          <w:sz w:val="24"/>
          <w:szCs w:val="24"/>
          <w:lang w:val="en-US" w:eastAsia="fr-FR"/>
        </w:rPr>
        <w:t xml:space="preserve"> Press, 1997; Teka, 2014), and their </w:t>
      </w:r>
      <w:r w:rsidRPr="005D6015">
        <w:rPr>
          <w:rFonts w:ascii="Times New Roman" w:eastAsia="Times New Roman" w:hAnsi="Times New Roman" w:cs="Times New Roman"/>
          <w:sz w:val="24"/>
          <w:szCs w:val="24"/>
          <w:lang w:val="en-US" w:eastAsia="fr-FR"/>
        </w:rPr>
        <w:lastRenderedPageBreak/>
        <w:t xml:space="preserve">presence has been reported in more than 40 countries worldwide. In Africa, Striga infestations occur in at least 25 countries, with the most severely affected areas located in SSA (Ejeta, 2007; De Groote et al., </w:t>
      </w:r>
      <w:r w:rsidRPr="00DA4234">
        <w:rPr>
          <w:rFonts w:ascii="Times New Roman" w:eastAsia="Times New Roman" w:hAnsi="Times New Roman" w:cs="Times New Roman"/>
          <w:sz w:val="24"/>
          <w:szCs w:val="24"/>
          <w:highlight w:val="yellow"/>
          <w:lang w:val="en-US" w:eastAsia="fr-FR"/>
        </w:rPr>
        <w:t>2008; Parker, 2012).</w:t>
      </w:r>
      <w:r w:rsidR="00F22D12" w:rsidRPr="00DA4234">
        <w:rPr>
          <w:rFonts w:ascii="Times New Roman" w:eastAsia="Times New Roman" w:hAnsi="Times New Roman" w:cs="Times New Roman"/>
          <w:sz w:val="24"/>
          <w:szCs w:val="24"/>
          <w:highlight w:val="yellow"/>
          <w:lang w:val="en-US" w:eastAsia="fr-FR"/>
        </w:rPr>
        <w:t xml:space="preserve"> </w:t>
      </w:r>
      <w:r w:rsidR="002D650B" w:rsidRPr="002D650B">
        <w:rPr>
          <w:rFonts w:ascii="Times New Roman" w:eastAsia="Times New Roman" w:hAnsi="Times New Roman" w:cs="Times New Roman"/>
          <w:sz w:val="24"/>
          <w:szCs w:val="24"/>
          <w:highlight w:val="yellow"/>
          <w:lang w:val="en-US" w:eastAsia="fr-FR"/>
        </w:rPr>
        <w:t xml:space="preserve">Though Striga is less problematic in developed countries, it is still a severe problem leading to food insecurity for resource poor smallholder farmers in the majority of African and Asian countries. More than 50 species of Striga have been reported across the globe with </w:t>
      </w:r>
      <w:r w:rsidR="002D650B" w:rsidRPr="00343B09">
        <w:rPr>
          <w:rFonts w:ascii="Times New Roman" w:eastAsia="Times New Roman" w:hAnsi="Times New Roman" w:cs="Times New Roman"/>
          <w:i/>
          <w:sz w:val="24"/>
          <w:szCs w:val="24"/>
          <w:highlight w:val="yellow"/>
          <w:lang w:val="en-US" w:eastAsia="fr-FR"/>
        </w:rPr>
        <w:t>S. hermonthica, S. asiatica, S. gesneroides, S. aspera and S. forbesii</w:t>
      </w:r>
      <w:r w:rsidR="002D650B" w:rsidRPr="002D650B">
        <w:rPr>
          <w:rFonts w:ascii="Times New Roman" w:eastAsia="Times New Roman" w:hAnsi="Times New Roman" w:cs="Times New Roman"/>
          <w:sz w:val="24"/>
          <w:szCs w:val="24"/>
          <w:highlight w:val="yellow"/>
          <w:lang w:val="en-US" w:eastAsia="fr-FR"/>
        </w:rPr>
        <w:t xml:space="preserve"> as the most common and destructive in cultivated cereal and legume crops (</w:t>
      </w:r>
      <w:r w:rsidR="00AC6182" w:rsidRPr="00AC6182">
        <w:rPr>
          <w:rFonts w:ascii="Times New Roman" w:eastAsia="Times New Roman" w:hAnsi="Times New Roman" w:cs="Times New Roman"/>
          <w:sz w:val="24"/>
          <w:szCs w:val="24"/>
          <w:lang w:val="en-US" w:eastAsia="fr-FR"/>
        </w:rPr>
        <w:t>Mitiku</w:t>
      </w:r>
      <w:r w:rsidR="00AC6182">
        <w:rPr>
          <w:rFonts w:ascii="Times New Roman" w:eastAsia="Times New Roman" w:hAnsi="Times New Roman" w:cs="Times New Roman"/>
          <w:sz w:val="24"/>
          <w:szCs w:val="24"/>
          <w:lang w:val="en-US" w:eastAsia="fr-FR"/>
        </w:rPr>
        <w:t xml:space="preserve"> et al., 2022;</w:t>
      </w:r>
      <w:r w:rsidR="00727603" w:rsidRPr="00727603">
        <w:t xml:space="preserve"> </w:t>
      </w:r>
      <w:r w:rsidR="00727603" w:rsidRPr="00727603">
        <w:rPr>
          <w:rFonts w:ascii="Times New Roman" w:eastAsia="Times New Roman" w:hAnsi="Times New Roman" w:cs="Times New Roman"/>
          <w:sz w:val="24"/>
          <w:szCs w:val="24"/>
          <w:lang w:val="en-US" w:eastAsia="fr-FR"/>
        </w:rPr>
        <w:t>Ahmed</w:t>
      </w:r>
      <w:r w:rsidR="00727603">
        <w:rPr>
          <w:rFonts w:ascii="Times New Roman" w:eastAsia="Times New Roman" w:hAnsi="Times New Roman" w:cs="Times New Roman"/>
          <w:sz w:val="24"/>
          <w:szCs w:val="24"/>
          <w:lang w:val="en-US" w:eastAsia="fr-FR"/>
        </w:rPr>
        <w:t xml:space="preserve">  et  al., 2025</w:t>
      </w:r>
      <w:r w:rsidR="00AC6182">
        <w:rPr>
          <w:rFonts w:ascii="Times New Roman" w:eastAsia="Times New Roman" w:hAnsi="Times New Roman" w:cs="Times New Roman"/>
          <w:sz w:val="24"/>
          <w:szCs w:val="24"/>
          <w:lang w:val="en-US" w:eastAsia="fr-FR"/>
        </w:rPr>
        <w:t xml:space="preserve"> </w:t>
      </w:r>
      <w:r w:rsidR="002D650B" w:rsidRPr="002D650B">
        <w:rPr>
          <w:rFonts w:ascii="Times New Roman" w:eastAsia="Times New Roman" w:hAnsi="Times New Roman" w:cs="Times New Roman"/>
          <w:sz w:val="24"/>
          <w:szCs w:val="24"/>
          <w:highlight w:val="yellow"/>
          <w:lang w:val="en-US" w:eastAsia="fr-FR"/>
        </w:rPr>
        <w:t xml:space="preserve">). </w:t>
      </w:r>
      <w:r w:rsidRPr="00DA4234">
        <w:rPr>
          <w:rFonts w:ascii="Times New Roman" w:eastAsia="Times New Roman" w:hAnsi="Times New Roman" w:cs="Times New Roman"/>
          <w:sz w:val="24"/>
          <w:szCs w:val="24"/>
          <w:highlight w:val="yellow"/>
          <w:lang w:val="en-US" w:eastAsia="fr-FR"/>
        </w:rPr>
        <w:t xml:space="preserve">Among the species, </w:t>
      </w:r>
      <w:r w:rsidRPr="00DA4234">
        <w:rPr>
          <w:rFonts w:ascii="Times New Roman" w:eastAsia="Times New Roman" w:hAnsi="Times New Roman" w:cs="Times New Roman"/>
          <w:i/>
          <w:iCs/>
          <w:sz w:val="24"/>
          <w:szCs w:val="24"/>
          <w:highlight w:val="yellow"/>
          <w:lang w:val="en-US" w:eastAsia="fr-FR"/>
        </w:rPr>
        <w:t>Striga hermonthica</w:t>
      </w:r>
      <w:r w:rsidRPr="00DA4234">
        <w:rPr>
          <w:rFonts w:ascii="Times New Roman" w:eastAsia="Times New Roman" w:hAnsi="Times New Roman" w:cs="Times New Roman"/>
          <w:sz w:val="24"/>
          <w:szCs w:val="24"/>
          <w:highlight w:val="yellow"/>
          <w:lang w:val="en-US" w:eastAsia="fr-FR"/>
        </w:rPr>
        <w:t xml:space="preserve"> (Del.) Benth. and </w:t>
      </w:r>
      <w:r w:rsidRPr="00DA4234">
        <w:rPr>
          <w:rFonts w:ascii="Times New Roman" w:eastAsia="Times New Roman" w:hAnsi="Times New Roman" w:cs="Times New Roman"/>
          <w:i/>
          <w:iCs/>
          <w:sz w:val="24"/>
          <w:szCs w:val="24"/>
          <w:highlight w:val="yellow"/>
          <w:lang w:val="en-US" w:eastAsia="fr-FR"/>
        </w:rPr>
        <w:t>Striga asiatica</w:t>
      </w:r>
      <w:r w:rsidRPr="00DA4234">
        <w:rPr>
          <w:rFonts w:ascii="Times New Roman" w:eastAsia="Times New Roman" w:hAnsi="Times New Roman" w:cs="Times New Roman"/>
          <w:sz w:val="24"/>
          <w:szCs w:val="24"/>
          <w:highlight w:val="yellow"/>
          <w:lang w:val="en-US" w:eastAsia="fr-FR"/>
        </w:rPr>
        <w:t xml:space="preserve"> (L.) Kuntze </w:t>
      </w:r>
      <w:r w:rsidR="00AA6512" w:rsidRPr="00DA4234">
        <w:rPr>
          <w:rFonts w:ascii="Times New Roman" w:eastAsia="Times New Roman" w:hAnsi="Times New Roman" w:cs="Times New Roman"/>
          <w:sz w:val="24"/>
          <w:szCs w:val="24"/>
          <w:highlight w:val="yellow"/>
          <w:lang w:val="en-US" w:eastAsia="fr-FR"/>
        </w:rPr>
        <w:t xml:space="preserve">is </w:t>
      </w:r>
      <w:r w:rsidRPr="00DA4234">
        <w:rPr>
          <w:rFonts w:ascii="Times New Roman" w:eastAsia="Times New Roman" w:hAnsi="Times New Roman" w:cs="Times New Roman"/>
          <w:sz w:val="24"/>
          <w:szCs w:val="24"/>
          <w:highlight w:val="yellow"/>
          <w:lang w:val="en-US" w:eastAsia="fr-FR"/>
        </w:rPr>
        <w:t>the most economically significant parasitic weed in</w:t>
      </w:r>
      <w:r w:rsidRPr="005D6015">
        <w:rPr>
          <w:rFonts w:ascii="Times New Roman" w:eastAsia="Times New Roman" w:hAnsi="Times New Roman" w:cs="Times New Roman"/>
          <w:sz w:val="24"/>
          <w:szCs w:val="24"/>
          <w:lang w:val="en-US" w:eastAsia="fr-FR"/>
        </w:rPr>
        <w:t xml:space="preserve"> rainfed cereal-based farming systems of SSA. These species infect major staple crops such as pearl millet and sorghum (Haussmann et al., 2000; Parker, 2009, 2012; Rispail et al., 2007). It is estimated that over 50 million hectares of arable land in SSA are infested with Striga spp., resulting in </w:t>
      </w:r>
      <w:r w:rsidR="009866AC">
        <w:rPr>
          <w:rFonts w:ascii="Times New Roman" w:eastAsia="Times New Roman" w:hAnsi="Times New Roman" w:cs="Times New Roman"/>
          <w:sz w:val="24"/>
          <w:szCs w:val="24"/>
          <w:lang w:val="en-US" w:eastAsia="fr-FR"/>
        </w:rPr>
        <w:t xml:space="preserve">significant </w:t>
      </w:r>
      <w:r w:rsidRPr="005D6015">
        <w:rPr>
          <w:rFonts w:ascii="Times New Roman" w:eastAsia="Times New Roman" w:hAnsi="Times New Roman" w:cs="Times New Roman"/>
          <w:sz w:val="24"/>
          <w:szCs w:val="24"/>
          <w:lang w:val="en-US" w:eastAsia="fr-FR"/>
        </w:rPr>
        <w:t>yield losses ranging from 40% to complete crop failure (Ejeta, 2007; Gressel et al., 2004; Parker, 2012; Westwood et al., 2012). The severity of Striga damage is exacerbated by low soil fertility and drought</w:t>
      </w:r>
      <w:r w:rsidR="00AA6512">
        <w:rPr>
          <w:rFonts w:ascii="Times New Roman" w:eastAsia="Times New Roman" w:hAnsi="Times New Roman" w:cs="Times New Roman"/>
          <w:sz w:val="24"/>
          <w:szCs w:val="24"/>
          <w:lang w:val="en-US" w:eastAsia="fr-FR"/>
        </w:rPr>
        <w:t>,</w:t>
      </w:r>
      <w:r w:rsidR="00AA6512" w:rsidRPr="005D6015">
        <w:rPr>
          <w:rFonts w:ascii="Times New Roman" w:eastAsia="Times New Roman" w:hAnsi="Times New Roman" w:cs="Times New Roman"/>
          <w:sz w:val="24"/>
          <w:szCs w:val="24"/>
          <w:lang w:val="en-US" w:eastAsia="fr-FR"/>
        </w:rPr>
        <w:t xml:space="preserve"> </w:t>
      </w:r>
      <w:r w:rsidRPr="005D6015">
        <w:rPr>
          <w:rFonts w:ascii="Times New Roman" w:eastAsia="Times New Roman" w:hAnsi="Times New Roman" w:cs="Times New Roman"/>
          <w:sz w:val="24"/>
          <w:szCs w:val="24"/>
          <w:lang w:val="en-US" w:eastAsia="fr-FR"/>
        </w:rPr>
        <w:t xml:space="preserve">common conditions in Striga-prone regions (Oswald, 2005). Striga is regarded as one of the most serious biotic constraints to crop production in Africa, affecting the livelihoods of over 300 million people, particularly smallholder farmers, and worsening food insecurity and poverty (Pennisi, 2010). </w:t>
      </w:r>
    </w:p>
    <w:p w14:paraId="5C17800A" w14:textId="13680F20" w:rsidR="009E4165" w:rsidRDefault="005D6015" w:rsidP="005D601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5D6015">
        <w:rPr>
          <w:rFonts w:ascii="Times New Roman" w:eastAsia="Times New Roman" w:hAnsi="Times New Roman" w:cs="Times New Roman"/>
          <w:sz w:val="24"/>
          <w:szCs w:val="24"/>
          <w:lang w:val="en-US" w:eastAsia="fr-FR"/>
        </w:rPr>
        <w:t xml:space="preserve">In Niger, the impacts of </w:t>
      </w:r>
      <w:r w:rsidRPr="009866AC">
        <w:rPr>
          <w:rFonts w:ascii="Times New Roman" w:eastAsia="Times New Roman" w:hAnsi="Times New Roman" w:cs="Times New Roman"/>
          <w:i/>
          <w:iCs/>
          <w:sz w:val="24"/>
          <w:szCs w:val="24"/>
          <w:lang w:val="en-US" w:eastAsia="fr-FR"/>
        </w:rPr>
        <w:t>Striga hermonthica</w:t>
      </w:r>
      <w:r w:rsidRPr="005D6015">
        <w:rPr>
          <w:rFonts w:ascii="Times New Roman" w:eastAsia="Times New Roman" w:hAnsi="Times New Roman" w:cs="Times New Roman"/>
          <w:sz w:val="24"/>
          <w:szCs w:val="24"/>
          <w:lang w:val="en-US" w:eastAsia="fr-FR"/>
        </w:rPr>
        <w:t xml:space="preserve"> are particularly alarming. With a rapidly growing population (3.9% per year) and a predominantly rural demographic (85%) reliant on agriculture and livestock (INS, 2018), the country faces substantial vulnerability to Striga infestations. Over five million hectares of farmland in Niger are infested by </w:t>
      </w:r>
      <w:r w:rsidR="009E4165">
        <w:rPr>
          <w:rFonts w:ascii="Times New Roman" w:eastAsia="Times New Roman" w:hAnsi="Times New Roman" w:cs="Times New Roman"/>
          <w:sz w:val="24"/>
          <w:szCs w:val="24"/>
          <w:lang w:val="en-US" w:eastAsia="fr-FR"/>
        </w:rPr>
        <w:t>Striga</w:t>
      </w:r>
      <w:r w:rsidRPr="005D6015">
        <w:rPr>
          <w:rFonts w:ascii="Times New Roman" w:eastAsia="Times New Roman" w:hAnsi="Times New Roman" w:cs="Times New Roman"/>
          <w:sz w:val="24"/>
          <w:szCs w:val="24"/>
          <w:lang w:val="en-US" w:eastAsia="fr-FR"/>
        </w:rPr>
        <w:t xml:space="preserve"> (Gressel et al., 2004), posing major threat</w:t>
      </w:r>
      <w:r w:rsidR="009E4165">
        <w:rPr>
          <w:rFonts w:ascii="Times New Roman" w:eastAsia="Times New Roman" w:hAnsi="Times New Roman" w:cs="Times New Roman"/>
          <w:sz w:val="24"/>
          <w:szCs w:val="24"/>
          <w:lang w:val="en-US" w:eastAsia="fr-FR"/>
        </w:rPr>
        <w:t>s</w:t>
      </w:r>
      <w:r w:rsidRPr="005D6015">
        <w:rPr>
          <w:rFonts w:ascii="Times New Roman" w:eastAsia="Times New Roman" w:hAnsi="Times New Roman" w:cs="Times New Roman"/>
          <w:sz w:val="24"/>
          <w:szCs w:val="24"/>
          <w:lang w:val="en-US" w:eastAsia="fr-FR"/>
        </w:rPr>
        <w:t xml:space="preserve"> to national food secu</w:t>
      </w:r>
      <w:r w:rsidRPr="00BF2118">
        <w:rPr>
          <w:rFonts w:ascii="Times New Roman" w:eastAsia="Times New Roman" w:hAnsi="Times New Roman" w:cs="Times New Roman"/>
          <w:sz w:val="24"/>
          <w:szCs w:val="24"/>
          <w:highlight w:val="yellow"/>
          <w:lang w:val="en-US" w:eastAsia="fr-FR"/>
        </w:rPr>
        <w:t>rity</w:t>
      </w:r>
      <w:r w:rsidR="00DA0D65" w:rsidRPr="00BF2118">
        <w:rPr>
          <w:rFonts w:ascii="Times New Roman" w:eastAsia="Times New Roman" w:hAnsi="Times New Roman" w:cs="Times New Roman"/>
          <w:sz w:val="24"/>
          <w:szCs w:val="24"/>
          <w:highlight w:val="yellow"/>
          <w:lang w:val="en-US" w:eastAsia="fr-FR"/>
        </w:rPr>
        <w:t xml:space="preserve"> (Salamatou et al., 2025)</w:t>
      </w:r>
      <w:r w:rsidRPr="00BF2118">
        <w:rPr>
          <w:rFonts w:ascii="Times New Roman" w:eastAsia="Times New Roman" w:hAnsi="Times New Roman" w:cs="Times New Roman"/>
          <w:sz w:val="24"/>
          <w:szCs w:val="24"/>
          <w:highlight w:val="yellow"/>
          <w:lang w:val="en-US" w:eastAsia="fr-FR"/>
        </w:rPr>
        <w:t>.</w:t>
      </w:r>
      <w:r>
        <w:rPr>
          <w:rFonts w:ascii="Times New Roman" w:eastAsia="Times New Roman" w:hAnsi="Times New Roman" w:cs="Times New Roman"/>
          <w:sz w:val="24"/>
          <w:szCs w:val="24"/>
          <w:lang w:val="en-US" w:eastAsia="fr-FR"/>
        </w:rPr>
        <w:t xml:space="preserve"> </w:t>
      </w:r>
      <w:r w:rsidR="009E4165">
        <w:rPr>
          <w:rFonts w:ascii="Times New Roman" w:eastAsia="Times New Roman" w:hAnsi="Times New Roman" w:cs="Times New Roman"/>
          <w:sz w:val="24"/>
          <w:szCs w:val="24"/>
          <w:lang w:val="en-US" w:eastAsia="fr-FR"/>
        </w:rPr>
        <w:t>S</w:t>
      </w:r>
      <w:r w:rsidRPr="005D6015">
        <w:rPr>
          <w:rFonts w:ascii="Times New Roman" w:eastAsia="Times New Roman" w:hAnsi="Times New Roman" w:cs="Times New Roman"/>
          <w:sz w:val="24"/>
          <w:szCs w:val="24"/>
          <w:lang w:val="en-US" w:eastAsia="fr-FR"/>
        </w:rPr>
        <w:t>everal control strategies have been developed</w:t>
      </w:r>
      <w:r w:rsidR="00AA6512">
        <w:rPr>
          <w:rFonts w:ascii="Times New Roman" w:eastAsia="Times New Roman" w:hAnsi="Times New Roman" w:cs="Times New Roman"/>
          <w:sz w:val="24"/>
          <w:szCs w:val="24"/>
          <w:lang w:val="en-US" w:eastAsia="fr-FR"/>
        </w:rPr>
        <w:t>,</w:t>
      </w:r>
      <w:r w:rsidRPr="005D6015">
        <w:rPr>
          <w:rFonts w:ascii="Times New Roman" w:eastAsia="Times New Roman" w:hAnsi="Times New Roman" w:cs="Times New Roman"/>
          <w:sz w:val="24"/>
          <w:szCs w:val="24"/>
          <w:lang w:val="en-US" w:eastAsia="fr-FR"/>
        </w:rPr>
        <w:t xml:space="preserve"> including manual weeding, herbicide application, crop rotation using trap crops, soil fertility enhancement, intercropping, biological control, deployment of resistant varieties, and integrated management approaches combining multiple methods (Haussmann et al., 2000; </w:t>
      </w:r>
      <w:r w:rsidRPr="00DA4234">
        <w:rPr>
          <w:rFonts w:ascii="Times New Roman" w:eastAsia="Times New Roman" w:hAnsi="Times New Roman" w:cs="Times New Roman"/>
          <w:sz w:val="24"/>
          <w:szCs w:val="24"/>
          <w:highlight w:val="yellow"/>
          <w:lang w:val="en-US" w:eastAsia="fr-FR"/>
        </w:rPr>
        <w:t xml:space="preserve">Badu-Apraku, 2010). While these approaches have helped mitigate the parasite’s impact, none </w:t>
      </w:r>
      <w:r w:rsidR="00AA6512" w:rsidRPr="00DA4234">
        <w:rPr>
          <w:rFonts w:ascii="Times New Roman" w:eastAsia="Times New Roman" w:hAnsi="Times New Roman" w:cs="Times New Roman"/>
          <w:sz w:val="24"/>
          <w:szCs w:val="24"/>
          <w:highlight w:val="yellow"/>
          <w:lang w:val="en-US" w:eastAsia="fr-FR"/>
        </w:rPr>
        <w:t xml:space="preserve">have </w:t>
      </w:r>
      <w:r w:rsidRPr="00DA4234">
        <w:rPr>
          <w:rFonts w:ascii="Times New Roman" w:eastAsia="Times New Roman" w:hAnsi="Times New Roman" w:cs="Times New Roman"/>
          <w:sz w:val="24"/>
          <w:szCs w:val="24"/>
          <w:highlight w:val="yellow"/>
          <w:lang w:val="en-US" w:eastAsia="fr-FR"/>
        </w:rPr>
        <w:t>provided</w:t>
      </w:r>
      <w:r w:rsidRPr="005D6015">
        <w:rPr>
          <w:rFonts w:ascii="Times New Roman" w:eastAsia="Times New Roman" w:hAnsi="Times New Roman" w:cs="Times New Roman"/>
          <w:sz w:val="24"/>
          <w:szCs w:val="24"/>
          <w:lang w:val="en-US" w:eastAsia="fr-FR"/>
        </w:rPr>
        <w:t xml:space="preserve"> a sustainable or fully effective solution (Ransom, 2000). This underscores the need for a better understanding of </w:t>
      </w:r>
      <w:r w:rsidRPr="009E4165">
        <w:rPr>
          <w:rFonts w:ascii="Times New Roman" w:eastAsia="Times New Roman" w:hAnsi="Times New Roman" w:cs="Times New Roman"/>
          <w:i/>
          <w:iCs/>
          <w:sz w:val="24"/>
          <w:szCs w:val="24"/>
          <w:lang w:val="en-US" w:eastAsia="fr-FR"/>
        </w:rPr>
        <w:t>Striga hermonthica</w:t>
      </w:r>
      <w:r w:rsidRPr="005D6015">
        <w:rPr>
          <w:rFonts w:ascii="Times New Roman" w:eastAsia="Times New Roman" w:hAnsi="Times New Roman" w:cs="Times New Roman"/>
          <w:sz w:val="24"/>
          <w:szCs w:val="24"/>
          <w:lang w:val="en-US" w:eastAsia="fr-FR"/>
        </w:rPr>
        <w:t xml:space="preserve">’s </w:t>
      </w:r>
      <w:r w:rsidR="009E4165">
        <w:rPr>
          <w:rFonts w:ascii="Times New Roman" w:eastAsia="Times New Roman" w:hAnsi="Times New Roman" w:cs="Times New Roman"/>
          <w:sz w:val="24"/>
          <w:szCs w:val="24"/>
          <w:lang w:val="en-US" w:eastAsia="fr-FR"/>
        </w:rPr>
        <w:t>biology</w:t>
      </w:r>
      <w:r w:rsidRPr="005D6015">
        <w:rPr>
          <w:rFonts w:ascii="Times New Roman" w:eastAsia="Times New Roman" w:hAnsi="Times New Roman" w:cs="Times New Roman"/>
          <w:sz w:val="24"/>
          <w:szCs w:val="24"/>
          <w:lang w:val="en-US" w:eastAsia="fr-FR"/>
        </w:rPr>
        <w:t xml:space="preserve"> and </w:t>
      </w:r>
      <w:r w:rsidR="009E4165">
        <w:rPr>
          <w:rFonts w:ascii="Times New Roman" w:eastAsia="Times New Roman" w:hAnsi="Times New Roman" w:cs="Times New Roman"/>
          <w:sz w:val="24"/>
          <w:szCs w:val="24"/>
          <w:lang w:val="en-US" w:eastAsia="fr-FR"/>
        </w:rPr>
        <w:t>genetic diversity</w:t>
      </w:r>
      <w:r w:rsidRPr="005D6015">
        <w:rPr>
          <w:rFonts w:ascii="Times New Roman" w:eastAsia="Times New Roman" w:hAnsi="Times New Roman" w:cs="Times New Roman"/>
          <w:sz w:val="24"/>
          <w:szCs w:val="24"/>
          <w:lang w:val="en-US" w:eastAsia="fr-FR"/>
        </w:rPr>
        <w:t xml:space="preserve"> for developing long-term and ecologically sound management strategies. </w:t>
      </w:r>
    </w:p>
    <w:p w14:paraId="0CFA842C" w14:textId="7C4E9EAB" w:rsidR="00037CEC" w:rsidRPr="00A67EAE" w:rsidRDefault="009E4165" w:rsidP="005D601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w:t>
      </w:r>
      <w:r w:rsidR="005D6015" w:rsidRPr="005D6015">
        <w:rPr>
          <w:rFonts w:ascii="Times New Roman" w:eastAsia="Times New Roman" w:hAnsi="Times New Roman" w:cs="Times New Roman"/>
          <w:sz w:val="24"/>
          <w:szCs w:val="24"/>
          <w:lang w:val="en-US" w:eastAsia="fr-FR"/>
        </w:rPr>
        <w:t xml:space="preserve">o date, there are no available reports on the genetic diversity of </w:t>
      </w:r>
      <w:r w:rsidR="005D6015" w:rsidRPr="009E4165">
        <w:rPr>
          <w:rFonts w:ascii="Times New Roman" w:eastAsia="Times New Roman" w:hAnsi="Times New Roman" w:cs="Times New Roman"/>
          <w:i/>
          <w:iCs/>
          <w:sz w:val="24"/>
          <w:szCs w:val="24"/>
          <w:lang w:val="en-US" w:eastAsia="fr-FR"/>
        </w:rPr>
        <w:t>Striga hermonthica</w:t>
      </w:r>
      <w:r w:rsidR="005D6015" w:rsidRPr="005D6015">
        <w:rPr>
          <w:rFonts w:ascii="Times New Roman" w:eastAsia="Times New Roman" w:hAnsi="Times New Roman" w:cs="Times New Roman"/>
          <w:sz w:val="24"/>
          <w:szCs w:val="24"/>
          <w:lang w:val="en-US" w:eastAsia="fr-FR"/>
        </w:rPr>
        <w:t xml:space="preserve"> in Niger using molecular </w:t>
      </w:r>
      <w:r w:rsidR="005D6015" w:rsidRPr="00DA4234">
        <w:rPr>
          <w:rFonts w:ascii="Times New Roman" w:eastAsia="Times New Roman" w:hAnsi="Times New Roman" w:cs="Times New Roman"/>
          <w:sz w:val="24"/>
          <w:szCs w:val="24"/>
          <w:highlight w:val="yellow"/>
          <w:lang w:val="en-US" w:eastAsia="fr-FR"/>
        </w:rPr>
        <w:t xml:space="preserve">markers. </w:t>
      </w:r>
      <w:r w:rsidR="00AA6512" w:rsidRPr="00DA4234">
        <w:rPr>
          <w:rFonts w:ascii="Times New Roman" w:eastAsia="Times New Roman" w:hAnsi="Times New Roman" w:cs="Times New Roman"/>
          <w:sz w:val="24"/>
          <w:szCs w:val="24"/>
          <w:highlight w:val="yellow"/>
          <w:lang w:val="en-US" w:eastAsia="fr-FR"/>
        </w:rPr>
        <w:t xml:space="preserve">Characterising </w:t>
      </w:r>
      <w:r w:rsidR="005D6015" w:rsidRPr="00DA4234">
        <w:rPr>
          <w:rFonts w:ascii="Times New Roman" w:eastAsia="Times New Roman" w:hAnsi="Times New Roman" w:cs="Times New Roman"/>
          <w:sz w:val="24"/>
          <w:szCs w:val="24"/>
          <w:highlight w:val="yellow"/>
          <w:lang w:val="en-US" w:eastAsia="fr-FR"/>
        </w:rPr>
        <w:t>the genetic diversity of</w:t>
      </w:r>
      <w:r w:rsidR="005D6015" w:rsidRPr="005D6015">
        <w:rPr>
          <w:rFonts w:ascii="Times New Roman" w:eastAsia="Times New Roman" w:hAnsi="Times New Roman" w:cs="Times New Roman"/>
          <w:sz w:val="24"/>
          <w:szCs w:val="24"/>
          <w:lang w:val="en-US" w:eastAsia="fr-FR"/>
        </w:rPr>
        <w:t xml:space="preserve"> </w:t>
      </w:r>
      <w:r w:rsidR="005D6015" w:rsidRPr="0056192C">
        <w:rPr>
          <w:rFonts w:ascii="Times New Roman" w:eastAsia="Times New Roman" w:hAnsi="Times New Roman" w:cs="Times New Roman"/>
          <w:i/>
          <w:iCs/>
          <w:sz w:val="24"/>
          <w:szCs w:val="24"/>
          <w:lang w:val="en-US" w:eastAsia="fr-FR"/>
        </w:rPr>
        <w:t>Striga hermonthica</w:t>
      </w:r>
      <w:r w:rsidR="005D6015" w:rsidRPr="005D6015">
        <w:rPr>
          <w:rFonts w:ascii="Times New Roman" w:eastAsia="Times New Roman" w:hAnsi="Times New Roman" w:cs="Times New Roman"/>
          <w:sz w:val="24"/>
          <w:szCs w:val="24"/>
          <w:lang w:val="en-US" w:eastAsia="fr-FR"/>
        </w:rPr>
        <w:t xml:space="preserve"> ecotypes </w:t>
      </w:r>
      <w:r w:rsidR="005D6015" w:rsidRPr="005D6015">
        <w:rPr>
          <w:rFonts w:ascii="Times New Roman" w:eastAsia="Times New Roman" w:hAnsi="Times New Roman" w:cs="Times New Roman"/>
          <w:sz w:val="24"/>
          <w:szCs w:val="24"/>
          <w:lang w:val="en-US" w:eastAsia="fr-FR"/>
        </w:rPr>
        <w:lastRenderedPageBreak/>
        <w:t>using molecular markers will offer valuable insights into their genetic variability and phylogenetic relationships</w:t>
      </w:r>
      <w:r w:rsidR="005D6015">
        <w:rPr>
          <w:rFonts w:ascii="Times New Roman" w:eastAsia="Times New Roman" w:hAnsi="Times New Roman" w:cs="Times New Roman"/>
          <w:sz w:val="24"/>
          <w:szCs w:val="24"/>
          <w:lang w:val="en-US" w:eastAsia="fr-FR"/>
        </w:rPr>
        <w:t xml:space="preserve"> </w:t>
      </w:r>
      <w:r w:rsidR="005D6015" w:rsidRPr="005D6015">
        <w:rPr>
          <w:rFonts w:ascii="Times New Roman" w:eastAsia="Times New Roman" w:hAnsi="Times New Roman" w:cs="Times New Roman"/>
          <w:sz w:val="24"/>
          <w:szCs w:val="24"/>
          <w:lang w:val="en-US" w:eastAsia="fr-FR"/>
        </w:rPr>
        <w:t xml:space="preserve">essential for understanding how different ecotypes adapt to diverse environmental conditions and for guiding breeding programs aimed at developing resistant crop varieties. </w:t>
      </w:r>
      <w:r w:rsidR="005D6015" w:rsidRPr="00EF6B5C">
        <w:rPr>
          <w:rFonts w:ascii="Times New Roman" w:eastAsia="Times New Roman" w:hAnsi="Times New Roman" w:cs="Times New Roman"/>
          <w:sz w:val="24"/>
          <w:szCs w:val="24"/>
          <w:highlight w:val="yellow"/>
          <w:lang w:val="en-US" w:eastAsia="fr-FR"/>
        </w:rPr>
        <w:t xml:space="preserve">Therefore, the main objective of this study was to assess the genetic diversity of 25 </w:t>
      </w:r>
      <w:r w:rsidR="005D6015" w:rsidRPr="00EF6B5C">
        <w:rPr>
          <w:rFonts w:ascii="Times New Roman" w:eastAsia="Times New Roman" w:hAnsi="Times New Roman" w:cs="Times New Roman"/>
          <w:i/>
          <w:iCs/>
          <w:sz w:val="24"/>
          <w:szCs w:val="24"/>
          <w:highlight w:val="yellow"/>
          <w:lang w:val="en-US" w:eastAsia="fr-FR"/>
        </w:rPr>
        <w:t>Striga hermonthica</w:t>
      </w:r>
      <w:r w:rsidR="005D6015" w:rsidRPr="00EF6B5C">
        <w:rPr>
          <w:rFonts w:ascii="Times New Roman" w:eastAsia="Times New Roman" w:hAnsi="Times New Roman" w:cs="Times New Roman"/>
          <w:sz w:val="24"/>
          <w:szCs w:val="24"/>
          <w:highlight w:val="yellow"/>
          <w:lang w:val="en-US" w:eastAsia="fr-FR"/>
        </w:rPr>
        <w:t xml:space="preserve"> ecotypes collected from five regions of Niger using microsatellite (SSR) markers.</w:t>
      </w:r>
      <w:r w:rsidR="005D6015">
        <w:rPr>
          <w:rFonts w:ascii="Times New Roman" w:eastAsia="Times New Roman" w:hAnsi="Times New Roman" w:cs="Times New Roman"/>
          <w:sz w:val="24"/>
          <w:szCs w:val="24"/>
          <w:lang w:val="en-US" w:eastAsia="fr-FR"/>
        </w:rPr>
        <w:t xml:space="preserve"> </w:t>
      </w:r>
    </w:p>
    <w:p w14:paraId="01AD41C9" w14:textId="77777777" w:rsidR="00200421" w:rsidRPr="00A67EAE" w:rsidRDefault="00200421" w:rsidP="000D63C5">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MATERIALS AND METHODS</w:t>
      </w:r>
    </w:p>
    <w:p w14:paraId="6EC17F87" w14:textId="77777777" w:rsidR="00200421" w:rsidRPr="00A67EAE" w:rsidRDefault="000D63C5" w:rsidP="000D63C5">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Plant m</w:t>
      </w:r>
      <w:r w:rsidR="00200421" w:rsidRPr="00A67EAE">
        <w:rPr>
          <w:rFonts w:ascii="Times New Roman" w:eastAsia="Times New Roman" w:hAnsi="Times New Roman" w:cs="Times New Roman"/>
          <w:b/>
          <w:bCs/>
          <w:sz w:val="24"/>
          <w:szCs w:val="24"/>
          <w:lang w:val="en-US" w:eastAsia="fr-FR"/>
        </w:rPr>
        <w:t>aterial</w:t>
      </w:r>
    </w:p>
    <w:p w14:paraId="78767210" w14:textId="105813C6" w:rsidR="003D4880" w:rsidRDefault="00916CAA" w:rsidP="00880BF9">
      <w:pPr>
        <w:spacing w:before="100" w:beforeAutospacing="1" w:after="100" w:afterAutospacing="1" w:line="360" w:lineRule="auto"/>
        <w:jc w:val="both"/>
        <w:rPr>
          <w:rFonts w:ascii="Times New Roman" w:eastAsia="Times New Roman" w:hAnsi="Times New Roman" w:cs="Times New Roman"/>
          <w:bCs/>
          <w:noProof/>
          <w:sz w:val="24"/>
          <w:szCs w:val="24"/>
          <w:lang w:val="en-US" w:eastAsia="fr-FR"/>
        </w:rPr>
      </w:pPr>
      <w:r w:rsidRPr="00A67EAE">
        <w:rPr>
          <w:rFonts w:ascii="Times New Roman" w:eastAsia="Times New Roman" w:hAnsi="Times New Roman" w:cs="Times New Roman"/>
          <w:bCs/>
          <w:i/>
          <w:iCs/>
          <w:sz w:val="24"/>
          <w:szCs w:val="24"/>
          <w:lang w:val="en-US" w:eastAsia="fr-FR"/>
        </w:rPr>
        <w:t xml:space="preserve">Striga hermonthica </w:t>
      </w:r>
      <w:r w:rsidRPr="00A67EAE">
        <w:rPr>
          <w:rFonts w:ascii="Times New Roman" w:eastAsia="Times New Roman" w:hAnsi="Times New Roman" w:cs="Times New Roman"/>
          <w:bCs/>
          <w:iCs/>
          <w:sz w:val="24"/>
          <w:szCs w:val="24"/>
          <w:lang w:val="en-US" w:eastAsia="fr-FR"/>
        </w:rPr>
        <w:t xml:space="preserve">seeds were collected from five regions of Niger in 2021 </w:t>
      </w:r>
      <w:r w:rsidR="00880BF9" w:rsidRPr="00A67EAE">
        <w:rPr>
          <w:rFonts w:ascii="Times New Roman" w:eastAsia="Times New Roman" w:hAnsi="Times New Roman" w:cs="Times New Roman"/>
          <w:sz w:val="24"/>
          <w:szCs w:val="24"/>
          <w:lang w:val="en-US" w:eastAsia="fr-FR"/>
        </w:rPr>
        <w:t xml:space="preserve">(Figure 1). </w:t>
      </w:r>
      <w:r w:rsidR="00AA0A56">
        <w:rPr>
          <w:rFonts w:ascii="Times New Roman" w:eastAsia="Times New Roman" w:hAnsi="Times New Roman" w:cs="Times New Roman"/>
          <w:sz w:val="24"/>
          <w:szCs w:val="24"/>
          <w:lang w:val="en-US" w:eastAsia="fr-FR"/>
        </w:rPr>
        <w:t>A</w:t>
      </w:r>
      <w:r w:rsidR="00880BF9" w:rsidRPr="00A67EAE">
        <w:rPr>
          <w:rFonts w:ascii="Times New Roman" w:eastAsia="Times New Roman" w:hAnsi="Times New Roman" w:cs="Times New Roman"/>
          <w:sz w:val="24"/>
          <w:szCs w:val="24"/>
          <w:lang w:val="en-US" w:eastAsia="fr-FR"/>
        </w:rPr>
        <w:t xml:space="preserve"> total of 25 </w:t>
      </w:r>
      <w:r w:rsidR="00AA0A56">
        <w:rPr>
          <w:rFonts w:ascii="Times New Roman" w:eastAsia="Times New Roman" w:hAnsi="Times New Roman" w:cs="Times New Roman"/>
          <w:sz w:val="24"/>
          <w:szCs w:val="24"/>
          <w:lang w:val="en-US" w:eastAsia="fr-FR"/>
        </w:rPr>
        <w:t xml:space="preserve">leaf </w:t>
      </w:r>
      <w:r w:rsidR="00880BF9" w:rsidRPr="00A67EAE">
        <w:rPr>
          <w:rFonts w:ascii="Times New Roman" w:eastAsia="Times New Roman" w:hAnsi="Times New Roman" w:cs="Times New Roman"/>
          <w:sz w:val="24"/>
          <w:szCs w:val="24"/>
          <w:lang w:val="en-US" w:eastAsia="fr-FR"/>
        </w:rPr>
        <w:t>samples were taken from 2-week-old leaves. The</w:t>
      </w:r>
      <w:r w:rsidR="003D4880">
        <w:rPr>
          <w:rFonts w:ascii="Times New Roman" w:eastAsia="Times New Roman" w:hAnsi="Times New Roman" w:cs="Times New Roman"/>
          <w:sz w:val="24"/>
          <w:szCs w:val="24"/>
          <w:lang w:val="en-US" w:eastAsia="fr-FR"/>
        </w:rPr>
        <w:t xml:space="preserve"> samples</w:t>
      </w:r>
      <w:r w:rsidR="00880BF9" w:rsidRPr="00A67EAE">
        <w:rPr>
          <w:rFonts w:ascii="Times New Roman" w:eastAsia="Times New Roman" w:hAnsi="Times New Roman" w:cs="Times New Roman"/>
          <w:sz w:val="24"/>
          <w:szCs w:val="24"/>
          <w:lang w:val="en-US" w:eastAsia="fr-FR"/>
        </w:rPr>
        <w:t xml:space="preserve"> were placed in paper</w:t>
      </w:r>
      <w:r w:rsidR="001D43CA">
        <w:rPr>
          <w:rFonts w:ascii="Times New Roman" w:eastAsia="Times New Roman" w:hAnsi="Times New Roman" w:cs="Times New Roman"/>
          <w:sz w:val="24"/>
          <w:szCs w:val="24"/>
          <w:lang w:val="en-US" w:eastAsia="fr-FR"/>
        </w:rPr>
        <w:t xml:space="preserve"> bags</w:t>
      </w:r>
      <w:r w:rsidR="00880BF9" w:rsidRPr="00A67EAE">
        <w:rPr>
          <w:rFonts w:ascii="Times New Roman" w:eastAsia="Times New Roman" w:hAnsi="Times New Roman" w:cs="Times New Roman"/>
          <w:sz w:val="24"/>
          <w:szCs w:val="24"/>
          <w:lang w:val="en-US" w:eastAsia="fr-FR"/>
        </w:rPr>
        <w:t xml:space="preserve">, then in sachets containing silica gel. After drying, the silica gel was removed from the sachets </w:t>
      </w:r>
      <w:r w:rsidR="003D4880">
        <w:rPr>
          <w:rFonts w:ascii="Times New Roman" w:eastAsia="Times New Roman" w:hAnsi="Times New Roman" w:cs="Times New Roman"/>
          <w:sz w:val="24"/>
          <w:szCs w:val="24"/>
          <w:lang w:val="en-US" w:eastAsia="fr-FR"/>
        </w:rPr>
        <w:t>and t</w:t>
      </w:r>
      <w:r w:rsidR="00880BF9" w:rsidRPr="00A67EAE">
        <w:rPr>
          <w:rFonts w:ascii="Times New Roman" w:eastAsia="Times New Roman" w:hAnsi="Times New Roman" w:cs="Times New Roman"/>
          <w:sz w:val="24"/>
          <w:szCs w:val="24"/>
          <w:lang w:val="en-US" w:eastAsia="fr-FR"/>
        </w:rPr>
        <w:t xml:space="preserve">he </w:t>
      </w:r>
      <w:r w:rsidR="00880BF9" w:rsidRPr="00DA4234">
        <w:rPr>
          <w:rFonts w:ascii="Times New Roman" w:eastAsia="Times New Roman" w:hAnsi="Times New Roman" w:cs="Times New Roman"/>
          <w:sz w:val="24"/>
          <w:szCs w:val="24"/>
          <w:highlight w:val="yellow"/>
          <w:lang w:val="en-US" w:eastAsia="fr-FR"/>
        </w:rPr>
        <w:t xml:space="preserve">samples were sent to </w:t>
      </w:r>
      <w:r w:rsidR="00AA6512" w:rsidRPr="00DA4234">
        <w:rPr>
          <w:rFonts w:ascii="Times New Roman" w:eastAsia="Times New Roman" w:hAnsi="Times New Roman" w:cs="Times New Roman"/>
          <w:sz w:val="24"/>
          <w:szCs w:val="24"/>
          <w:highlight w:val="yellow"/>
          <w:lang w:val="en-US" w:eastAsia="fr-FR"/>
        </w:rPr>
        <w:t xml:space="preserve">the </w:t>
      </w:r>
      <w:r w:rsidR="00880BF9" w:rsidRPr="00DA4234">
        <w:rPr>
          <w:rFonts w:ascii="Times New Roman" w:eastAsia="Times New Roman" w:hAnsi="Times New Roman" w:cs="Times New Roman"/>
          <w:sz w:val="24"/>
          <w:szCs w:val="24"/>
          <w:highlight w:val="yellow"/>
          <w:lang w:val="en-US" w:eastAsia="fr-FR"/>
        </w:rPr>
        <w:t>Kappa Bi</w:t>
      </w:r>
      <w:r w:rsidR="00880BF9" w:rsidRPr="00A67EAE">
        <w:rPr>
          <w:rFonts w:ascii="Times New Roman" w:eastAsia="Times New Roman" w:hAnsi="Times New Roman" w:cs="Times New Roman"/>
          <w:sz w:val="24"/>
          <w:szCs w:val="24"/>
          <w:lang w:val="en-US" w:eastAsia="fr-FR"/>
        </w:rPr>
        <w:t>otechnology</w:t>
      </w:r>
      <w:r w:rsidR="001D43CA" w:rsidRPr="001D43CA">
        <w:rPr>
          <w:rFonts w:ascii="Times New Roman" w:eastAsia="Times New Roman" w:hAnsi="Times New Roman" w:cs="Times New Roman"/>
          <w:sz w:val="24"/>
          <w:szCs w:val="24"/>
          <w:lang w:val="en-US" w:eastAsia="fr-FR"/>
        </w:rPr>
        <w:t xml:space="preserve"> </w:t>
      </w:r>
      <w:r w:rsidR="001D43CA" w:rsidRPr="00A67EAE">
        <w:rPr>
          <w:rFonts w:ascii="Times New Roman" w:eastAsia="Times New Roman" w:hAnsi="Times New Roman" w:cs="Times New Roman"/>
          <w:sz w:val="24"/>
          <w:szCs w:val="24"/>
          <w:lang w:val="en-US" w:eastAsia="fr-FR"/>
        </w:rPr>
        <w:t>laboratory</w:t>
      </w:r>
      <w:r w:rsidR="00880BF9" w:rsidRPr="00A67EAE">
        <w:rPr>
          <w:rFonts w:ascii="Times New Roman" w:eastAsia="Times New Roman" w:hAnsi="Times New Roman" w:cs="Times New Roman"/>
          <w:sz w:val="24"/>
          <w:szCs w:val="24"/>
          <w:lang w:val="en-US" w:eastAsia="fr-FR"/>
        </w:rPr>
        <w:t xml:space="preserve"> </w:t>
      </w:r>
      <w:r w:rsidR="001D43CA">
        <w:rPr>
          <w:rFonts w:ascii="Times New Roman" w:eastAsia="Times New Roman" w:hAnsi="Times New Roman" w:cs="Times New Roman"/>
          <w:sz w:val="24"/>
          <w:szCs w:val="24"/>
          <w:lang w:val="en-US" w:eastAsia="fr-FR"/>
        </w:rPr>
        <w:t>(</w:t>
      </w:r>
      <w:r w:rsidR="00880BF9" w:rsidRPr="00A67EAE">
        <w:rPr>
          <w:rFonts w:ascii="Times New Roman" w:eastAsia="Times New Roman" w:hAnsi="Times New Roman" w:cs="Times New Roman"/>
          <w:sz w:val="24"/>
          <w:szCs w:val="24"/>
          <w:lang w:val="en-US" w:eastAsia="fr-FR"/>
        </w:rPr>
        <w:t>Nigeria</w:t>
      </w:r>
      <w:r w:rsidR="001D43CA">
        <w:rPr>
          <w:rFonts w:ascii="Times New Roman" w:eastAsia="Times New Roman" w:hAnsi="Times New Roman" w:cs="Times New Roman"/>
          <w:sz w:val="24"/>
          <w:szCs w:val="24"/>
          <w:lang w:val="en-US" w:eastAsia="fr-FR"/>
        </w:rPr>
        <w:t>)</w:t>
      </w:r>
      <w:r w:rsidR="001D43CA" w:rsidRPr="001D43CA">
        <w:rPr>
          <w:rFonts w:ascii="Times New Roman" w:eastAsia="Times New Roman" w:hAnsi="Times New Roman" w:cs="Times New Roman"/>
          <w:sz w:val="24"/>
          <w:szCs w:val="24"/>
          <w:lang w:val="en-US" w:eastAsia="fr-FR"/>
        </w:rPr>
        <w:t xml:space="preserve"> </w:t>
      </w:r>
      <w:r w:rsidR="001D43CA">
        <w:rPr>
          <w:rFonts w:ascii="Times New Roman" w:eastAsia="Times New Roman" w:hAnsi="Times New Roman" w:cs="Times New Roman"/>
          <w:sz w:val="24"/>
          <w:szCs w:val="24"/>
          <w:lang w:val="en-US" w:eastAsia="fr-FR"/>
        </w:rPr>
        <w:t>for</w:t>
      </w:r>
      <w:r w:rsidR="001D43CA" w:rsidRPr="00A67EAE">
        <w:rPr>
          <w:rFonts w:ascii="Times New Roman" w:eastAsia="Times New Roman" w:hAnsi="Times New Roman" w:cs="Times New Roman"/>
          <w:sz w:val="24"/>
          <w:szCs w:val="24"/>
          <w:lang w:val="en-US" w:eastAsia="fr-FR"/>
        </w:rPr>
        <w:t xml:space="preserve"> analysis</w:t>
      </w:r>
      <w:r w:rsidR="00880BF9" w:rsidRPr="00A67EAE">
        <w:rPr>
          <w:rFonts w:ascii="Times New Roman" w:eastAsia="Times New Roman" w:hAnsi="Times New Roman" w:cs="Times New Roman"/>
          <w:sz w:val="24"/>
          <w:szCs w:val="24"/>
          <w:lang w:val="en-US" w:eastAsia="fr-FR"/>
        </w:rPr>
        <w:t>.</w:t>
      </w:r>
      <w:r w:rsidR="00880BF9" w:rsidRPr="00A67EAE">
        <w:rPr>
          <w:rFonts w:ascii="Times New Roman" w:eastAsia="Times New Roman" w:hAnsi="Times New Roman" w:cs="Times New Roman"/>
          <w:bCs/>
          <w:noProof/>
          <w:sz w:val="24"/>
          <w:szCs w:val="24"/>
          <w:lang w:val="en-US" w:eastAsia="fr-FR"/>
        </w:rPr>
        <w:t xml:space="preserve"> </w:t>
      </w:r>
    </w:p>
    <w:p w14:paraId="10465123" w14:textId="74D3B292" w:rsidR="002765D4" w:rsidRPr="00A67EAE" w:rsidRDefault="00CB4E6C" w:rsidP="00880BF9">
      <w:pPr>
        <w:spacing w:before="100" w:beforeAutospacing="1" w:after="100" w:afterAutospacing="1" w:line="360" w:lineRule="auto"/>
        <w:jc w:val="both"/>
        <w:rPr>
          <w:rFonts w:ascii="Times New Roman" w:eastAsia="Times New Roman" w:hAnsi="Times New Roman" w:cs="Times New Roman"/>
          <w:bCs/>
          <w:iCs/>
          <w:sz w:val="24"/>
          <w:szCs w:val="24"/>
          <w:lang w:val="en-US" w:eastAsia="fr-FR"/>
        </w:rPr>
      </w:pPr>
      <w:r w:rsidRPr="00071A61">
        <w:rPr>
          <w:rFonts w:ascii="Times New Roman" w:eastAsia="Times New Roman" w:hAnsi="Times New Roman" w:cs="Times New Roman"/>
          <w:bCs/>
          <w:noProof/>
          <w:sz w:val="24"/>
          <w:szCs w:val="24"/>
          <w:lang w:eastAsia="fr-FR"/>
        </w:rPr>
        <w:drawing>
          <wp:inline distT="0" distB="0" distL="0" distR="0" wp14:anchorId="2383458D" wp14:editId="7E0FFE7F">
            <wp:extent cx="5760174" cy="327974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8525" cy="3284504"/>
                    </a:xfrm>
                    <a:prstGeom prst="rect">
                      <a:avLst/>
                    </a:prstGeom>
                  </pic:spPr>
                </pic:pic>
              </a:graphicData>
            </a:graphic>
          </wp:inline>
        </w:drawing>
      </w:r>
    </w:p>
    <w:p w14:paraId="74A37644" w14:textId="7013D102" w:rsidR="005326A7" w:rsidRDefault="00CE0706" w:rsidP="005326A7">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A85E21">
        <w:rPr>
          <w:rFonts w:ascii="Times New Roman" w:eastAsia="Times New Roman" w:hAnsi="Times New Roman" w:cs="Times New Roman"/>
          <w:b/>
          <w:sz w:val="24"/>
          <w:szCs w:val="24"/>
          <w:lang w:val="en-US" w:eastAsia="fr-FR"/>
        </w:rPr>
        <w:t xml:space="preserve">Figure </w:t>
      </w:r>
      <w:r w:rsidR="005326A7" w:rsidRPr="00A85E21">
        <w:rPr>
          <w:rFonts w:ascii="Times New Roman" w:eastAsia="Times New Roman" w:hAnsi="Times New Roman" w:cs="Times New Roman"/>
          <w:b/>
          <w:sz w:val="24"/>
          <w:szCs w:val="24"/>
          <w:lang w:val="en-US" w:eastAsia="fr-FR"/>
        </w:rPr>
        <w:t>1:</w:t>
      </w:r>
      <w:r w:rsidR="005326A7" w:rsidRPr="00A67EAE">
        <w:rPr>
          <w:rFonts w:ascii="Times New Roman" w:eastAsia="Times New Roman" w:hAnsi="Times New Roman" w:cs="Times New Roman"/>
          <w:bCs/>
          <w:sz w:val="24"/>
          <w:szCs w:val="24"/>
          <w:lang w:val="en-US" w:eastAsia="fr-FR"/>
        </w:rPr>
        <w:t xml:space="preserve"> The 25 </w:t>
      </w:r>
      <w:r w:rsidR="005326A7" w:rsidRPr="00A67EAE">
        <w:rPr>
          <w:rFonts w:ascii="Times New Roman" w:eastAsia="Times New Roman" w:hAnsi="Times New Roman" w:cs="Times New Roman"/>
          <w:bCs/>
          <w:i/>
          <w:iCs/>
          <w:sz w:val="24"/>
          <w:szCs w:val="24"/>
          <w:lang w:val="en-US" w:eastAsia="fr-FR"/>
        </w:rPr>
        <w:t>Striga hermonthica</w:t>
      </w:r>
      <w:r w:rsidR="005326A7" w:rsidRPr="00A67EAE">
        <w:rPr>
          <w:rFonts w:ascii="Times New Roman" w:eastAsia="Times New Roman" w:hAnsi="Times New Roman" w:cs="Times New Roman"/>
          <w:bCs/>
          <w:sz w:val="24"/>
          <w:szCs w:val="24"/>
          <w:lang w:val="en-US" w:eastAsia="fr-FR"/>
        </w:rPr>
        <w:t xml:space="preserve"> ecotypes collection </w:t>
      </w:r>
      <w:r w:rsidR="00760EC3">
        <w:rPr>
          <w:rFonts w:ascii="Times New Roman" w:eastAsia="Times New Roman" w:hAnsi="Times New Roman" w:cs="Times New Roman"/>
          <w:bCs/>
          <w:sz w:val="24"/>
          <w:szCs w:val="24"/>
          <w:lang w:val="en-US" w:eastAsia="fr-FR"/>
        </w:rPr>
        <w:t>sites</w:t>
      </w:r>
    </w:p>
    <w:p w14:paraId="29222C65" w14:textId="77777777" w:rsidR="00177108" w:rsidRPr="00A67EAE" w:rsidRDefault="00177108" w:rsidP="005326A7">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3DFD04A4" w14:textId="132DE013" w:rsidR="00E8367C" w:rsidRPr="00A67EAE" w:rsidRDefault="00753E61" w:rsidP="005326A7">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bCs/>
          <w:sz w:val="24"/>
          <w:szCs w:val="24"/>
          <w:lang w:val="en-US" w:eastAsia="fr-FR"/>
        </w:rPr>
        <w:t>DNA e</w:t>
      </w:r>
      <w:r w:rsidR="00CB4E6C" w:rsidRPr="00A67EAE">
        <w:rPr>
          <w:rFonts w:ascii="Times New Roman" w:eastAsia="Times New Roman" w:hAnsi="Times New Roman" w:cs="Times New Roman"/>
          <w:b/>
          <w:bCs/>
          <w:sz w:val="24"/>
          <w:szCs w:val="24"/>
          <w:lang w:val="en-US" w:eastAsia="fr-FR"/>
        </w:rPr>
        <w:t>xtraction and q</w:t>
      </w:r>
      <w:r w:rsidR="00E8367C" w:rsidRPr="00A67EAE">
        <w:rPr>
          <w:rFonts w:ascii="Times New Roman" w:eastAsia="Times New Roman" w:hAnsi="Times New Roman" w:cs="Times New Roman"/>
          <w:b/>
          <w:bCs/>
          <w:sz w:val="24"/>
          <w:szCs w:val="24"/>
          <w:lang w:val="en-US" w:eastAsia="fr-FR"/>
        </w:rPr>
        <w:t xml:space="preserve">uantification </w:t>
      </w:r>
    </w:p>
    <w:p w14:paraId="2EA7DDD2" w14:textId="4612BC5F" w:rsidR="00E8367C" w:rsidRPr="00A67EAE" w:rsidRDefault="00CB4E6C"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lastRenderedPageBreak/>
        <w:t xml:space="preserve">DNA extraction </w:t>
      </w:r>
    </w:p>
    <w:p w14:paraId="78F59DBF" w14:textId="383087B2" w:rsidR="00E8367C" w:rsidRPr="00A67EAE" w:rsidRDefault="001D72C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Genomic </w:t>
      </w:r>
      <w:r w:rsidR="00BC5FA7" w:rsidRPr="00A67EAE">
        <w:rPr>
          <w:rFonts w:ascii="Times New Roman" w:eastAsia="Times New Roman" w:hAnsi="Times New Roman" w:cs="Times New Roman"/>
          <w:sz w:val="24"/>
          <w:szCs w:val="24"/>
          <w:lang w:val="en-US" w:eastAsia="fr-FR"/>
        </w:rPr>
        <w:t xml:space="preserve">DNA was </w:t>
      </w:r>
      <w:r w:rsidR="003D4880" w:rsidRPr="00A67EAE">
        <w:rPr>
          <w:rFonts w:ascii="Times New Roman" w:eastAsia="Times New Roman" w:hAnsi="Times New Roman" w:cs="Times New Roman"/>
          <w:sz w:val="24"/>
          <w:szCs w:val="24"/>
          <w:lang w:val="en-US" w:eastAsia="fr-FR"/>
        </w:rPr>
        <w:t>extracted</w:t>
      </w:r>
      <w:r w:rsidR="00BC5FA7" w:rsidRPr="00A67EAE">
        <w:rPr>
          <w:rFonts w:ascii="Times New Roman" w:eastAsia="Times New Roman" w:hAnsi="Times New Roman" w:cs="Times New Roman"/>
          <w:sz w:val="24"/>
          <w:szCs w:val="24"/>
          <w:lang w:val="en-US" w:eastAsia="fr-FR"/>
        </w:rPr>
        <w:t xml:space="preserve"> from </w:t>
      </w:r>
      <w:r>
        <w:rPr>
          <w:rFonts w:ascii="Times New Roman" w:eastAsia="Times New Roman" w:hAnsi="Times New Roman" w:cs="Times New Roman"/>
          <w:sz w:val="24"/>
          <w:szCs w:val="24"/>
          <w:lang w:val="en-US" w:eastAsia="fr-FR"/>
        </w:rPr>
        <w:t xml:space="preserve">fresh leaves of </w:t>
      </w:r>
      <w:r w:rsidR="00BC5FA7" w:rsidRPr="00A67EAE">
        <w:rPr>
          <w:rFonts w:ascii="Times New Roman" w:eastAsia="Times New Roman" w:hAnsi="Times New Roman" w:cs="Times New Roman"/>
          <w:sz w:val="24"/>
          <w:szCs w:val="24"/>
          <w:lang w:val="en-US" w:eastAsia="fr-FR"/>
        </w:rPr>
        <w:t xml:space="preserve">25 individual seedlings randomly selected from each of the </w:t>
      </w:r>
      <w:r w:rsidR="00BC5FA7" w:rsidRPr="00A67EAE">
        <w:rPr>
          <w:rFonts w:ascii="Times New Roman" w:eastAsia="Times New Roman" w:hAnsi="Times New Roman" w:cs="Times New Roman"/>
          <w:i/>
          <w:sz w:val="24"/>
          <w:szCs w:val="24"/>
          <w:lang w:val="en-US" w:eastAsia="fr-FR"/>
        </w:rPr>
        <w:t xml:space="preserve">Striga </w:t>
      </w:r>
      <w:r w:rsidR="00BC5FA7" w:rsidRPr="00A67EAE">
        <w:rPr>
          <w:rFonts w:ascii="Times New Roman" w:eastAsia="Times New Roman" w:hAnsi="Times New Roman" w:cs="Times New Roman"/>
          <w:sz w:val="24"/>
          <w:szCs w:val="24"/>
          <w:lang w:val="en-US" w:eastAsia="fr-FR"/>
        </w:rPr>
        <w:t>ecotypes. The extraction was performed using the protocol described by Dellaporta et al.</w:t>
      </w:r>
      <w:r w:rsidR="00E8367C" w:rsidRPr="00A67EAE">
        <w:rPr>
          <w:rFonts w:ascii="Times New Roman" w:eastAsia="Times New Roman" w:hAnsi="Times New Roman" w:cs="Times New Roman"/>
          <w:sz w:val="24"/>
          <w:szCs w:val="24"/>
          <w:lang w:val="en-US" w:eastAsia="fr-FR"/>
        </w:rPr>
        <w:t xml:space="preserve"> (1983).</w:t>
      </w:r>
      <w:r>
        <w:rPr>
          <w:rFonts w:ascii="Times New Roman" w:eastAsia="Times New Roman" w:hAnsi="Times New Roman" w:cs="Times New Roman"/>
          <w:sz w:val="24"/>
          <w:szCs w:val="24"/>
          <w:lang w:val="en-US" w:eastAsia="fr-FR"/>
        </w:rPr>
        <w:t xml:space="preserve"> </w:t>
      </w:r>
      <w:r w:rsidRPr="007F32F1">
        <w:rPr>
          <w:rFonts w:ascii="Times New Roman" w:eastAsia="Times New Roman" w:hAnsi="Times New Roman" w:cs="Times New Roman"/>
          <w:sz w:val="24"/>
          <w:szCs w:val="24"/>
          <w:highlight w:val="yellow"/>
          <w:lang w:val="en-US" w:eastAsia="fr-FR"/>
        </w:rPr>
        <w:t xml:space="preserve">Briefly, 75 </w:t>
      </w:r>
      <w:r w:rsidR="007F32F1" w:rsidRPr="007F32F1">
        <w:rPr>
          <w:rFonts w:ascii="Times New Roman" w:eastAsia="Times New Roman" w:hAnsi="Times New Roman" w:cs="Times New Roman"/>
          <w:sz w:val="24"/>
          <w:szCs w:val="24"/>
          <w:highlight w:val="yellow"/>
          <w:lang w:val="en-US" w:eastAsia="fr-FR"/>
        </w:rPr>
        <w:t>m</w:t>
      </w:r>
      <w:r w:rsidRPr="007F32F1">
        <w:rPr>
          <w:rFonts w:ascii="Times New Roman" w:eastAsia="Times New Roman" w:hAnsi="Times New Roman" w:cs="Times New Roman"/>
          <w:sz w:val="24"/>
          <w:szCs w:val="24"/>
          <w:highlight w:val="yellow"/>
          <w:lang w:val="en-US" w:eastAsia="fr-FR"/>
        </w:rPr>
        <w:t>g of leaf tissue was</w:t>
      </w:r>
      <w:r w:rsidRPr="001D72C0">
        <w:rPr>
          <w:rFonts w:ascii="Times New Roman" w:eastAsia="Times New Roman" w:hAnsi="Times New Roman" w:cs="Times New Roman"/>
          <w:sz w:val="24"/>
          <w:szCs w:val="24"/>
          <w:lang w:val="en-US" w:eastAsia="fr-FR"/>
        </w:rPr>
        <w:t xml:space="preserve"> frozen in liquid nitrogen, ground to a fine </w:t>
      </w:r>
      <w:r w:rsidRPr="00DA4234">
        <w:rPr>
          <w:rFonts w:ascii="Times New Roman" w:eastAsia="Times New Roman" w:hAnsi="Times New Roman" w:cs="Times New Roman"/>
          <w:sz w:val="24"/>
          <w:szCs w:val="24"/>
          <w:highlight w:val="yellow"/>
          <w:lang w:val="en-US" w:eastAsia="fr-FR"/>
        </w:rPr>
        <w:t xml:space="preserve">powder, and </w:t>
      </w:r>
      <w:r w:rsidR="00AA6512" w:rsidRPr="00DA4234">
        <w:rPr>
          <w:rFonts w:ascii="Times New Roman" w:eastAsia="Times New Roman" w:hAnsi="Times New Roman" w:cs="Times New Roman"/>
          <w:sz w:val="24"/>
          <w:szCs w:val="24"/>
          <w:highlight w:val="yellow"/>
          <w:lang w:val="en-US" w:eastAsia="fr-FR"/>
        </w:rPr>
        <w:t xml:space="preserve">homogenised </w:t>
      </w:r>
      <w:r w:rsidRPr="00DA4234">
        <w:rPr>
          <w:rFonts w:ascii="Times New Roman" w:eastAsia="Times New Roman" w:hAnsi="Times New Roman" w:cs="Times New Roman"/>
          <w:sz w:val="24"/>
          <w:szCs w:val="24"/>
          <w:highlight w:val="yellow"/>
          <w:lang w:val="en-US" w:eastAsia="fr-FR"/>
        </w:rPr>
        <w:t>in 15 ml of extraction buffer containing 100 mM Tris-HCl (pH 8.0), 50 mM EDTA (pH 8.0), 500 mM NaCl, and 10 mM β-mer</w:t>
      </w:r>
      <w:r w:rsidRPr="001D72C0">
        <w:rPr>
          <w:rFonts w:ascii="Times New Roman" w:eastAsia="Times New Roman" w:hAnsi="Times New Roman" w:cs="Times New Roman"/>
          <w:sz w:val="24"/>
          <w:szCs w:val="24"/>
          <w:lang w:val="en-US" w:eastAsia="fr-FR"/>
        </w:rPr>
        <w:t>captoethanol. Cell lysis was achieved by adding 10 ml of 20% SDS and incubating the mixture at 65 °C for 10 min. Proteins and polysaccharides were precipitated by adding 5 ml of 5 M potassium acetate</w:t>
      </w:r>
      <w:r w:rsidR="00AA6512">
        <w:rPr>
          <w:rFonts w:ascii="Times New Roman" w:eastAsia="Times New Roman" w:hAnsi="Times New Roman" w:cs="Times New Roman"/>
          <w:sz w:val="24"/>
          <w:szCs w:val="24"/>
          <w:lang w:val="en-US" w:eastAsia="fr-FR"/>
        </w:rPr>
        <w:t>,</w:t>
      </w:r>
      <w:r w:rsidRPr="001D72C0">
        <w:rPr>
          <w:rFonts w:ascii="Times New Roman" w:eastAsia="Times New Roman" w:hAnsi="Times New Roman" w:cs="Times New Roman"/>
          <w:sz w:val="24"/>
          <w:szCs w:val="24"/>
          <w:lang w:val="en-US" w:eastAsia="fr-FR"/>
        </w:rPr>
        <w:t xml:space="preserve"> followed by incubation on ice for 20 min and centrifugation at 25,000 × g for 20 min. The supernatant was filtered</w:t>
      </w:r>
      <w:r w:rsidR="00AA6512">
        <w:rPr>
          <w:rFonts w:ascii="Times New Roman" w:eastAsia="Times New Roman" w:hAnsi="Times New Roman" w:cs="Times New Roman"/>
          <w:sz w:val="24"/>
          <w:szCs w:val="24"/>
          <w:lang w:val="en-US" w:eastAsia="fr-FR"/>
        </w:rPr>
        <w:t>,</w:t>
      </w:r>
      <w:r w:rsidRPr="001D72C0">
        <w:rPr>
          <w:rFonts w:ascii="Times New Roman" w:eastAsia="Times New Roman" w:hAnsi="Times New Roman" w:cs="Times New Roman"/>
          <w:sz w:val="24"/>
          <w:szCs w:val="24"/>
          <w:lang w:val="en-US" w:eastAsia="fr-FR"/>
        </w:rPr>
        <w:t xml:space="preserve"> and DNA was precipitated with 10 ml of isopropanol at −20 °C for 20 min, then pelleted by centrifugation at 20,000 × g for 15 min. The DNA pellet was resuspended in 0.5 ml of TE buffer (50 mM Tris-HCl, 10 mM EDTA, pH 8.0), clarified by centrifugation, and reprecipitated using 75 µl of 3 M sodium acetate and 500 µl of isopropanol. The final DNA pellet was washed with 80% ethanol, air-dried, and dissolved in 100 µl of TE buffer (10 mM Tris-HCl, 1 mM EDTA, pH 8.0).</w:t>
      </w:r>
    </w:p>
    <w:p w14:paraId="01B1AE23" w14:textId="23601D90" w:rsidR="00E8367C" w:rsidRPr="00A67EAE" w:rsidRDefault="00CB4E6C"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DNA q</w:t>
      </w:r>
      <w:r w:rsidR="00E8367C" w:rsidRPr="00A67EAE">
        <w:rPr>
          <w:rFonts w:ascii="Times New Roman" w:eastAsia="Times New Roman" w:hAnsi="Times New Roman" w:cs="Times New Roman"/>
          <w:b/>
          <w:bCs/>
          <w:sz w:val="24"/>
          <w:szCs w:val="24"/>
          <w:lang w:val="en-US" w:eastAsia="fr-FR"/>
        </w:rPr>
        <w:t>uantification</w:t>
      </w:r>
    </w:p>
    <w:p w14:paraId="6FCFE236" w14:textId="13926BAB" w:rsidR="004C2DE9" w:rsidRPr="00A67EAE" w:rsidRDefault="00B36C2D"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B36C2D">
        <w:rPr>
          <w:rFonts w:ascii="Times New Roman" w:eastAsia="Times New Roman" w:hAnsi="Times New Roman" w:cs="Times New Roman"/>
          <w:sz w:val="24"/>
          <w:szCs w:val="24"/>
          <w:lang w:val="en-US" w:eastAsia="fr-FR"/>
        </w:rPr>
        <w:t>The quality of the crude DNA extracts, in terms of molecular weight and purity, was assessed by electrophoresis on a 1% agarose gel run at 60 mA for 20 min in 1× Tris–borate–EDTA (TBE) buffer (pH 8.0). DNA integrity w</w:t>
      </w:r>
      <w:r>
        <w:rPr>
          <w:rFonts w:ascii="Times New Roman" w:eastAsia="Times New Roman" w:hAnsi="Times New Roman" w:cs="Times New Roman"/>
          <w:sz w:val="24"/>
          <w:szCs w:val="24"/>
          <w:lang w:val="en-US" w:eastAsia="fr-FR"/>
        </w:rPr>
        <w:t>as</w:t>
      </w:r>
      <w:r w:rsidRPr="00B36C2D">
        <w:rPr>
          <w:rFonts w:ascii="Times New Roman" w:eastAsia="Times New Roman" w:hAnsi="Times New Roman" w:cs="Times New Roman"/>
          <w:sz w:val="24"/>
          <w:szCs w:val="24"/>
          <w:lang w:val="en-US" w:eastAsia="fr-FR"/>
        </w:rPr>
        <w:t xml:space="preserve"> evaluated by comparing the intensity of sample bands with those of a Smart Ladder DNA standard. DNA concentration was measured using a multi-sample NanoDrop spectrophotometer. For GBS library</w:t>
      </w:r>
      <w:r>
        <w:rPr>
          <w:rFonts w:ascii="Times New Roman" w:eastAsia="Times New Roman" w:hAnsi="Times New Roman" w:cs="Times New Roman"/>
          <w:sz w:val="24"/>
          <w:szCs w:val="24"/>
          <w:lang w:val="en-US" w:eastAsia="fr-FR"/>
        </w:rPr>
        <w:t xml:space="preserve"> construction</w:t>
      </w:r>
      <w:r w:rsidRPr="00B36C2D">
        <w:rPr>
          <w:rFonts w:ascii="Times New Roman" w:eastAsia="Times New Roman" w:hAnsi="Times New Roman" w:cs="Times New Roman"/>
          <w:sz w:val="24"/>
          <w:szCs w:val="24"/>
          <w:lang w:val="en-US" w:eastAsia="fr-FR"/>
        </w:rPr>
        <w:t xml:space="preserve">, 30 µL of high-quality DNA at a </w:t>
      </w:r>
      <w:r w:rsidRPr="00305EA1">
        <w:rPr>
          <w:rFonts w:ascii="Times New Roman" w:eastAsia="Times New Roman" w:hAnsi="Times New Roman" w:cs="Times New Roman"/>
          <w:sz w:val="24"/>
          <w:szCs w:val="24"/>
          <w:highlight w:val="yellow"/>
          <w:lang w:val="en-US" w:eastAsia="fr-FR"/>
        </w:rPr>
        <w:t xml:space="preserve">concentration of 30–100 ng </w:t>
      </w:r>
      <w:r w:rsidR="00305EA1" w:rsidRPr="00305EA1">
        <w:rPr>
          <w:spacing w:val="-2"/>
          <w:sz w:val="21"/>
          <w:highlight w:val="yellow"/>
        </w:rPr>
        <w:t>µL</w:t>
      </w:r>
      <w:r w:rsidR="00305EA1" w:rsidRPr="00305EA1">
        <w:rPr>
          <w:spacing w:val="-2"/>
          <w:sz w:val="21"/>
          <w:highlight w:val="yellow"/>
          <w:vertAlign w:val="superscript"/>
        </w:rPr>
        <w:t>-</w:t>
      </w:r>
      <w:r w:rsidR="00305EA1" w:rsidRPr="00305EA1">
        <w:rPr>
          <w:spacing w:val="-2"/>
          <w:sz w:val="21"/>
          <w:highlight w:val="yellow"/>
        </w:rPr>
        <w:t>¹</w:t>
      </w:r>
      <w:r w:rsidRPr="00305EA1">
        <w:rPr>
          <w:rFonts w:ascii="Times New Roman" w:eastAsia="Times New Roman" w:hAnsi="Times New Roman" w:cs="Times New Roman"/>
          <w:sz w:val="24"/>
          <w:szCs w:val="24"/>
          <w:highlight w:val="yellow"/>
          <w:lang w:val="en-US" w:eastAsia="fr-FR"/>
        </w:rPr>
        <w:t>, as determined</w:t>
      </w:r>
      <w:r w:rsidRPr="00B36C2D">
        <w:rPr>
          <w:rFonts w:ascii="Times New Roman" w:eastAsia="Times New Roman" w:hAnsi="Times New Roman" w:cs="Times New Roman"/>
          <w:sz w:val="24"/>
          <w:szCs w:val="24"/>
          <w:lang w:val="en-US" w:eastAsia="fr-FR"/>
        </w:rPr>
        <w:t xml:space="preserve"> by fluorometric quantification, was used</w:t>
      </w:r>
      <w:r w:rsidR="00C62451" w:rsidRPr="00A67EAE">
        <w:rPr>
          <w:rFonts w:ascii="Times New Roman" w:eastAsia="Times New Roman" w:hAnsi="Times New Roman" w:cs="Times New Roman"/>
          <w:sz w:val="24"/>
          <w:szCs w:val="24"/>
          <w:lang w:val="en-US" w:eastAsia="fr-FR"/>
        </w:rPr>
        <w:t>.</w:t>
      </w:r>
    </w:p>
    <w:p w14:paraId="15262E73" w14:textId="401D7DED" w:rsidR="00E8367C" w:rsidRPr="00A67EAE" w:rsidRDefault="00760EC3" w:rsidP="000D63C5">
      <w:pPr>
        <w:spacing w:before="100" w:beforeAutospacing="1" w:after="100" w:afterAutospacing="1" w:line="360"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Microsatellite</w:t>
      </w:r>
      <w:r w:rsidR="0021786F" w:rsidRPr="00A67EAE">
        <w:rPr>
          <w:rFonts w:ascii="Times New Roman" w:eastAsia="Times New Roman" w:hAnsi="Times New Roman" w:cs="Times New Roman"/>
          <w:b/>
          <w:bCs/>
          <w:sz w:val="24"/>
          <w:szCs w:val="24"/>
          <w:lang w:val="en-US" w:eastAsia="fr-FR"/>
        </w:rPr>
        <w:t xml:space="preserve"> m</w:t>
      </w:r>
      <w:r w:rsidR="00E8367C" w:rsidRPr="00A67EAE">
        <w:rPr>
          <w:rFonts w:ascii="Times New Roman" w:eastAsia="Times New Roman" w:hAnsi="Times New Roman" w:cs="Times New Roman"/>
          <w:b/>
          <w:bCs/>
          <w:sz w:val="24"/>
          <w:szCs w:val="24"/>
          <w:lang w:val="en-US" w:eastAsia="fr-FR"/>
        </w:rPr>
        <w:t xml:space="preserve">arkers </w:t>
      </w:r>
    </w:p>
    <w:p w14:paraId="7226FDAF" w14:textId="38D28F1B" w:rsidR="00E8367C" w:rsidRPr="00A67EAE" w:rsidRDefault="00D610DD" w:rsidP="00177108">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F</w:t>
      </w:r>
      <w:r w:rsidR="00C62451" w:rsidRPr="00A67EAE">
        <w:rPr>
          <w:rFonts w:ascii="Times New Roman" w:eastAsia="Times New Roman" w:hAnsi="Times New Roman" w:cs="Times New Roman"/>
          <w:sz w:val="24"/>
          <w:szCs w:val="24"/>
          <w:lang w:val="en-US" w:eastAsia="fr-FR"/>
        </w:rPr>
        <w:t>ive</w:t>
      </w:r>
      <w:r w:rsidR="00760EC3">
        <w:rPr>
          <w:rFonts w:ascii="Times New Roman" w:eastAsia="Times New Roman" w:hAnsi="Times New Roman" w:cs="Times New Roman"/>
          <w:sz w:val="24"/>
          <w:szCs w:val="24"/>
          <w:lang w:val="en-US" w:eastAsia="fr-FR"/>
        </w:rPr>
        <w:t xml:space="preserve"> (5)</w:t>
      </w:r>
      <w:r w:rsidR="00C62451" w:rsidRPr="00A67EAE">
        <w:rPr>
          <w:rFonts w:ascii="Times New Roman" w:eastAsia="Times New Roman" w:hAnsi="Times New Roman" w:cs="Times New Roman"/>
          <w:sz w:val="24"/>
          <w:szCs w:val="24"/>
          <w:lang w:val="en-US" w:eastAsia="fr-FR"/>
        </w:rPr>
        <w:t xml:space="preserve"> SSR markers were </w:t>
      </w:r>
      <w:r>
        <w:rPr>
          <w:rFonts w:ascii="Times New Roman" w:eastAsia="Times New Roman" w:hAnsi="Times New Roman" w:cs="Times New Roman"/>
          <w:sz w:val="24"/>
          <w:szCs w:val="24"/>
          <w:lang w:val="en-US" w:eastAsia="fr-FR"/>
        </w:rPr>
        <w:t>used</w:t>
      </w:r>
      <w:r w:rsidR="00C62451" w:rsidRPr="00A67EAE">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in this study </w:t>
      </w:r>
      <w:r w:rsidR="00C62451" w:rsidRPr="00A67EAE">
        <w:rPr>
          <w:rFonts w:ascii="Times New Roman" w:eastAsia="Times New Roman" w:hAnsi="Times New Roman" w:cs="Times New Roman"/>
          <w:sz w:val="24"/>
          <w:szCs w:val="24"/>
          <w:lang w:val="en-US" w:eastAsia="fr-FR"/>
        </w:rPr>
        <w:t xml:space="preserve">(Table 1). </w:t>
      </w:r>
      <w:r w:rsidR="00BC1EC0" w:rsidRPr="00BC1EC0">
        <w:rPr>
          <w:rFonts w:ascii="Times New Roman" w:eastAsia="Times New Roman" w:hAnsi="Times New Roman" w:cs="Times New Roman"/>
          <w:sz w:val="24"/>
          <w:szCs w:val="24"/>
          <w:lang w:val="en-US" w:eastAsia="fr-FR"/>
        </w:rPr>
        <w:t>These SSR markers have been successfully used in previous studies</w:t>
      </w:r>
      <w:r w:rsidR="00AA6512">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demonstrating their reliability and effectiveness</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Yoshida et al.</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2010</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Joel et al.</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2018). The primers designed for these markers ranged from 19 to 21 nucleotides in length.</w:t>
      </w:r>
      <w:r w:rsidR="00BC1EC0">
        <w:rPr>
          <w:rFonts w:ascii="Times New Roman" w:eastAsia="Times New Roman" w:hAnsi="Times New Roman" w:cs="Times New Roman"/>
          <w:sz w:val="24"/>
          <w:szCs w:val="24"/>
          <w:lang w:val="en-US" w:eastAsia="fr-FR"/>
        </w:rPr>
        <w:t xml:space="preserve"> </w:t>
      </w:r>
    </w:p>
    <w:p w14:paraId="5CDF0C26" w14:textId="3187F12F" w:rsidR="00E8367C" w:rsidRPr="00BC1EC0"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BC1EC0">
        <w:rPr>
          <w:rFonts w:ascii="Times New Roman" w:eastAsia="Times New Roman" w:hAnsi="Times New Roman" w:cs="Times New Roman"/>
          <w:b/>
          <w:sz w:val="24"/>
          <w:szCs w:val="24"/>
          <w:lang w:val="en-US" w:eastAsia="fr-FR"/>
        </w:rPr>
        <w:t>Table 1</w:t>
      </w:r>
      <w:r w:rsidR="00E8367C" w:rsidRPr="00BC1EC0">
        <w:rPr>
          <w:rFonts w:ascii="Times New Roman" w:eastAsia="Times New Roman" w:hAnsi="Times New Roman" w:cs="Times New Roman"/>
          <w:b/>
          <w:sz w:val="24"/>
          <w:szCs w:val="24"/>
          <w:lang w:val="en-US" w:eastAsia="fr-FR"/>
        </w:rPr>
        <w:t>:</w:t>
      </w:r>
      <w:r w:rsidR="00E8367C" w:rsidRPr="00BC1EC0">
        <w:rPr>
          <w:rFonts w:ascii="Times New Roman" w:eastAsia="Times New Roman" w:hAnsi="Times New Roman" w:cs="Times New Roman"/>
          <w:bCs/>
          <w:sz w:val="24"/>
          <w:szCs w:val="24"/>
          <w:lang w:val="en-US" w:eastAsia="fr-FR"/>
        </w:rPr>
        <w:t xml:space="preserve"> </w:t>
      </w:r>
      <w:r w:rsidR="00221052">
        <w:rPr>
          <w:rFonts w:ascii="Times New Roman" w:eastAsia="Times New Roman" w:hAnsi="Times New Roman" w:cs="Times New Roman"/>
          <w:bCs/>
          <w:sz w:val="24"/>
          <w:szCs w:val="24"/>
          <w:lang w:val="en-US" w:eastAsia="fr-FR"/>
        </w:rPr>
        <w:t>microsatellite (</w:t>
      </w:r>
      <w:r w:rsidR="00E8367C" w:rsidRPr="00BC1EC0">
        <w:rPr>
          <w:rFonts w:ascii="Times New Roman" w:eastAsia="Times New Roman" w:hAnsi="Times New Roman" w:cs="Times New Roman"/>
          <w:bCs/>
          <w:sz w:val="24"/>
          <w:szCs w:val="24"/>
          <w:lang w:val="en-US" w:eastAsia="fr-FR"/>
        </w:rPr>
        <w:t xml:space="preserve">SSR </w:t>
      </w:r>
      <w:r w:rsidR="00221052">
        <w:rPr>
          <w:rFonts w:ascii="Times New Roman" w:eastAsia="Times New Roman" w:hAnsi="Times New Roman" w:cs="Times New Roman"/>
          <w:bCs/>
          <w:sz w:val="24"/>
          <w:szCs w:val="24"/>
          <w:lang w:val="en-US" w:eastAsia="fr-FR"/>
        </w:rPr>
        <w:t xml:space="preserve">) </w:t>
      </w:r>
      <w:r w:rsidR="006C63E7">
        <w:rPr>
          <w:rFonts w:ascii="Times New Roman" w:eastAsia="Times New Roman" w:hAnsi="Times New Roman" w:cs="Times New Roman"/>
          <w:bCs/>
          <w:sz w:val="24"/>
          <w:szCs w:val="24"/>
          <w:lang w:val="en-US" w:eastAsia="fr-FR"/>
        </w:rPr>
        <w:t>m</w:t>
      </w:r>
      <w:r w:rsidR="00BC1EC0" w:rsidRPr="00BC1EC0">
        <w:rPr>
          <w:rFonts w:ascii="Times New Roman" w:eastAsia="Times New Roman" w:hAnsi="Times New Roman" w:cs="Times New Roman"/>
          <w:bCs/>
          <w:sz w:val="24"/>
          <w:szCs w:val="24"/>
          <w:lang w:val="en-US" w:eastAsia="fr-FR"/>
        </w:rPr>
        <w:t>arkers and primers</w:t>
      </w:r>
      <w:r w:rsidR="00760EC3">
        <w:rPr>
          <w:rFonts w:ascii="Times New Roman" w:eastAsia="Times New Roman" w:hAnsi="Times New Roman" w:cs="Times New Roman"/>
          <w:bCs/>
          <w:sz w:val="24"/>
          <w:szCs w:val="24"/>
          <w:lang w:val="en-US" w:eastAsia="fr-FR"/>
        </w:rPr>
        <w:t xml:space="preserve"> used</w:t>
      </w:r>
    </w:p>
    <w:tbl>
      <w:tblPr>
        <w:tblStyle w:val="PlainTable2"/>
        <w:tblW w:w="9493" w:type="dxa"/>
        <w:tblLayout w:type="fixed"/>
        <w:tblLook w:val="04A0" w:firstRow="1" w:lastRow="0" w:firstColumn="1" w:lastColumn="0" w:noHBand="0" w:noVBand="1"/>
      </w:tblPr>
      <w:tblGrid>
        <w:gridCol w:w="2964"/>
        <w:gridCol w:w="1000"/>
        <w:gridCol w:w="993"/>
        <w:gridCol w:w="4536"/>
      </w:tblGrid>
      <w:tr w:rsidR="00E8367C" w:rsidRPr="00071A61" w14:paraId="7DB934DC" w14:textId="77777777" w:rsidTr="006C63E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4" w:type="dxa"/>
            <w:hideMark/>
          </w:tcPr>
          <w:p w14:paraId="73E1E518" w14:textId="29107C9B" w:rsidR="00E8367C" w:rsidRPr="006C63E7" w:rsidRDefault="00E8367C" w:rsidP="00267AB3">
            <w:pPr>
              <w:spacing w:before="100" w:beforeAutospacing="1" w:after="100" w:afterAutospacing="1"/>
              <w:jc w:val="both"/>
              <w:rPr>
                <w:rFonts w:ascii="Times New Roman" w:eastAsia="Times New Roman" w:hAnsi="Times New Roman" w:cs="Times New Roman"/>
                <w:sz w:val="24"/>
                <w:szCs w:val="24"/>
                <w:lang w:eastAsia="fr-FR"/>
              </w:rPr>
            </w:pPr>
            <w:r w:rsidRPr="006C63E7">
              <w:rPr>
                <w:rFonts w:ascii="Times New Roman" w:eastAsia="Times New Roman" w:hAnsi="Times New Roman" w:cs="Times New Roman"/>
                <w:sz w:val="24"/>
                <w:szCs w:val="24"/>
                <w:lang w:eastAsia="fr-FR"/>
              </w:rPr>
              <w:lastRenderedPageBreak/>
              <w:t>SSR ID</w:t>
            </w:r>
          </w:p>
        </w:tc>
        <w:tc>
          <w:tcPr>
            <w:tcW w:w="1000" w:type="dxa"/>
            <w:hideMark/>
          </w:tcPr>
          <w:p w14:paraId="3C1EBB03" w14:textId="0C4048ED" w:rsidR="00E8367C" w:rsidRPr="006C63E7" w:rsidRDefault="00E8367C" w:rsidP="00267AB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6C63E7">
              <w:rPr>
                <w:rFonts w:ascii="Times New Roman" w:eastAsia="Times New Roman" w:hAnsi="Times New Roman" w:cs="Times New Roman"/>
                <w:sz w:val="24"/>
                <w:szCs w:val="24"/>
                <w:lang w:eastAsia="fr-FR"/>
              </w:rPr>
              <w:t>Primer</w:t>
            </w:r>
            <w:r w:rsidR="00177108" w:rsidRPr="006C63E7">
              <w:rPr>
                <w:rFonts w:ascii="Times New Roman" w:eastAsia="Times New Roman" w:hAnsi="Times New Roman" w:cs="Times New Roman"/>
                <w:sz w:val="24"/>
                <w:szCs w:val="24"/>
                <w:lang w:eastAsia="fr-FR"/>
              </w:rPr>
              <w:t xml:space="preserve"> name</w:t>
            </w:r>
          </w:p>
        </w:tc>
        <w:tc>
          <w:tcPr>
            <w:tcW w:w="993" w:type="dxa"/>
            <w:hideMark/>
          </w:tcPr>
          <w:p w14:paraId="01F92E25" w14:textId="6D796E56" w:rsidR="00E8367C" w:rsidRPr="006C63E7" w:rsidRDefault="00E8367C" w:rsidP="00267AB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6C63E7">
              <w:rPr>
                <w:rFonts w:ascii="Times New Roman" w:eastAsia="Times New Roman" w:hAnsi="Times New Roman" w:cs="Times New Roman"/>
                <w:sz w:val="24"/>
                <w:szCs w:val="24"/>
                <w:lang w:eastAsia="fr-FR"/>
              </w:rPr>
              <w:t xml:space="preserve">Repeat </w:t>
            </w:r>
            <w:r w:rsidR="00177108" w:rsidRPr="006C63E7">
              <w:rPr>
                <w:rFonts w:ascii="Times New Roman" w:eastAsia="Times New Roman" w:hAnsi="Times New Roman" w:cs="Times New Roman"/>
                <w:sz w:val="24"/>
                <w:szCs w:val="24"/>
                <w:lang w:eastAsia="fr-FR"/>
              </w:rPr>
              <w:t>unit</w:t>
            </w:r>
          </w:p>
        </w:tc>
        <w:tc>
          <w:tcPr>
            <w:tcW w:w="4536" w:type="dxa"/>
            <w:hideMark/>
          </w:tcPr>
          <w:p w14:paraId="4F6C02EE" w14:textId="35758A62" w:rsidR="00E8367C" w:rsidRPr="006C63E7" w:rsidRDefault="00E8367C" w:rsidP="00267AB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6C63E7">
              <w:rPr>
                <w:rFonts w:ascii="Times New Roman" w:eastAsia="Times New Roman" w:hAnsi="Times New Roman" w:cs="Times New Roman"/>
                <w:sz w:val="24"/>
                <w:szCs w:val="24"/>
                <w:lang w:eastAsia="fr-FR"/>
              </w:rPr>
              <w:t>Primer Sequences (5'- 3')</w:t>
            </w:r>
          </w:p>
        </w:tc>
      </w:tr>
      <w:tr w:rsidR="00BC1EC0" w:rsidRPr="00071A61" w14:paraId="04CAD691"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452DC8F1" w14:textId="60141664"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ShSSR_ShContig6892_1</w:t>
            </w:r>
          </w:p>
        </w:tc>
        <w:tc>
          <w:tcPr>
            <w:tcW w:w="1000" w:type="dxa"/>
            <w:vMerge w:val="restart"/>
            <w:hideMark/>
          </w:tcPr>
          <w:p w14:paraId="0882AA7C" w14:textId="7FF49FD6"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26</w:t>
            </w:r>
          </w:p>
        </w:tc>
        <w:tc>
          <w:tcPr>
            <w:tcW w:w="993" w:type="dxa"/>
            <w:vMerge w:val="restart"/>
            <w:hideMark/>
          </w:tcPr>
          <w:p w14:paraId="17D2FDDD"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AG</w:t>
            </w:r>
          </w:p>
        </w:tc>
        <w:tc>
          <w:tcPr>
            <w:tcW w:w="4536" w:type="dxa"/>
            <w:hideMark/>
          </w:tcPr>
          <w:p w14:paraId="1461BE36"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Forward: CAACAAAACAATGCGTGGA</w:t>
            </w:r>
          </w:p>
        </w:tc>
      </w:tr>
      <w:tr w:rsidR="00BC1EC0" w:rsidRPr="00071A61" w14:paraId="76B3102C"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74962DF2"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406DA2BC"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4908F005"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76ECD4F7"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Reverse: GGGTTGATCACTCTGTGCAGT</w:t>
            </w:r>
          </w:p>
        </w:tc>
      </w:tr>
      <w:tr w:rsidR="00BC1EC0" w:rsidRPr="00071A61" w14:paraId="743DB88B"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4E805F58" w14:textId="77777777"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ShSSR_ShContig9253_1</w:t>
            </w:r>
          </w:p>
        </w:tc>
        <w:tc>
          <w:tcPr>
            <w:tcW w:w="1000" w:type="dxa"/>
            <w:vMerge w:val="restart"/>
            <w:hideMark/>
          </w:tcPr>
          <w:p w14:paraId="2DD69A72"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43</w:t>
            </w:r>
          </w:p>
        </w:tc>
        <w:tc>
          <w:tcPr>
            <w:tcW w:w="993" w:type="dxa"/>
            <w:vMerge w:val="restart"/>
            <w:hideMark/>
          </w:tcPr>
          <w:p w14:paraId="1CEFDB56"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CCG</w:t>
            </w:r>
          </w:p>
        </w:tc>
        <w:tc>
          <w:tcPr>
            <w:tcW w:w="4536" w:type="dxa"/>
            <w:hideMark/>
          </w:tcPr>
          <w:p w14:paraId="38BE3681"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Forward: CCACTGAAATCACAGGACGA</w:t>
            </w:r>
          </w:p>
        </w:tc>
      </w:tr>
      <w:tr w:rsidR="00BC1EC0" w:rsidRPr="00071A61" w14:paraId="115D13E9"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7EDDA9D9"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18C9E5B1"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147D7485"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2BEBD527"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Reverse: GTGACCGCCGTTACCATTAG</w:t>
            </w:r>
          </w:p>
        </w:tc>
      </w:tr>
      <w:tr w:rsidR="00BC1EC0" w:rsidRPr="00071A61" w14:paraId="1CA328BC"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3AD183D9" w14:textId="77777777"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ShSSR_ShContig5198_1</w:t>
            </w:r>
          </w:p>
        </w:tc>
        <w:tc>
          <w:tcPr>
            <w:tcW w:w="1000" w:type="dxa"/>
            <w:vMerge w:val="restart"/>
            <w:hideMark/>
          </w:tcPr>
          <w:p w14:paraId="12BBEA23"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53</w:t>
            </w:r>
          </w:p>
        </w:tc>
        <w:tc>
          <w:tcPr>
            <w:tcW w:w="993" w:type="dxa"/>
            <w:vMerge w:val="restart"/>
            <w:hideMark/>
          </w:tcPr>
          <w:p w14:paraId="4E11ED12"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ACC</w:t>
            </w:r>
          </w:p>
        </w:tc>
        <w:tc>
          <w:tcPr>
            <w:tcW w:w="4536" w:type="dxa"/>
            <w:hideMark/>
          </w:tcPr>
          <w:p w14:paraId="20C0B9C3"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Forward: GCAACTGAATGGAAGGAAGC</w:t>
            </w:r>
          </w:p>
        </w:tc>
      </w:tr>
      <w:tr w:rsidR="00BC1EC0" w:rsidRPr="00071A61" w14:paraId="627328BB"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3A5E854C"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572C75A5"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5FAA2E41"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1EBD625C"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Reverse: CTCGGCTGATCCATCTGTTT</w:t>
            </w:r>
          </w:p>
        </w:tc>
      </w:tr>
      <w:tr w:rsidR="00BC1EC0" w:rsidRPr="00071A61" w14:paraId="3A65AD8F"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76EE6872" w14:textId="77777777"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ShSSR_ShContig10128_1</w:t>
            </w:r>
          </w:p>
        </w:tc>
        <w:tc>
          <w:tcPr>
            <w:tcW w:w="1000" w:type="dxa"/>
            <w:vMerge w:val="restart"/>
            <w:hideMark/>
          </w:tcPr>
          <w:p w14:paraId="3329C770"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58</w:t>
            </w:r>
          </w:p>
        </w:tc>
        <w:tc>
          <w:tcPr>
            <w:tcW w:w="993" w:type="dxa"/>
            <w:vMerge w:val="restart"/>
            <w:hideMark/>
          </w:tcPr>
          <w:p w14:paraId="64D4EE6C"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AAAC</w:t>
            </w:r>
          </w:p>
        </w:tc>
        <w:tc>
          <w:tcPr>
            <w:tcW w:w="4536" w:type="dxa"/>
            <w:hideMark/>
          </w:tcPr>
          <w:p w14:paraId="57CBA429"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Forward: ACCGAGTGGTTCAAGATTGC</w:t>
            </w:r>
          </w:p>
        </w:tc>
      </w:tr>
      <w:tr w:rsidR="00BC1EC0" w:rsidRPr="00071A61" w14:paraId="3BF06D8F"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69C019AB"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09A5A358"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327821DD"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45B7EC48"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Reverse: TGCTTCCAATACCGATCACA</w:t>
            </w:r>
          </w:p>
        </w:tc>
      </w:tr>
      <w:tr w:rsidR="00760EC3" w:rsidRPr="00071A61" w14:paraId="10064605"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11A7D3E7" w14:textId="77777777" w:rsidR="00760EC3" w:rsidRPr="006C63E7" w:rsidRDefault="00760EC3"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ShSSR_ShContig9110_1</w:t>
            </w:r>
          </w:p>
        </w:tc>
        <w:tc>
          <w:tcPr>
            <w:tcW w:w="1000" w:type="dxa"/>
            <w:vMerge w:val="restart"/>
            <w:hideMark/>
          </w:tcPr>
          <w:p w14:paraId="6E790D4C" w14:textId="77777777" w:rsidR="00760EC3" w:rsidRPr="00071A61" w:rsidRDefault="00760EC3"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63</w:t>
            </w:r>
          </w:p>
        </w:tc>
        <w:tc>
          <w:tcPr>
            <w:tcW w:w="993" w:type="dxa"/>
            <w:vMerge w:val="restart"/>
            <w:hideMark/>
          </w:tcPr>
          <w:p w14:paraId="35000848" w14:textId="77777777" w:rsidR="00760EC3" w:rsidRPr="00071A61" w:rsidRDefault="00760EC3"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AAAG</w:t>
            </w:r>
          </w:p>
        </w:tc>
        <w:tc>
          <w:tcPr>
            <w:tcW w:w="4536" w:type="dxa"/>
            <w:hideMark/>
          </w:tcPr>
          <w:p w14:paraId="5D4A8CBE" w14:textId="77777777" w:rsidR="00760EC3" w:rsidRPr="00071A61" w:rsidRDefault="00760EC3"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Forward: TTTTGTTGGGGTTTATGTGGA</w:t>
            </w:r>
          </w:p>
        </w:tc>
      </w:tr>
      <w:tr w:rsidR="00760EC3" w:rsidRPr="00071A61" w14:paraId="182465B2"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5BB8DDFE" w14:textId="77777777" w:rsidR="00760EC3" w:rsidRPr="00071A61" w:rsidRDefault="00760EC3" w:rsidP="00267AB3">
            <w:pPr>
              <w:jc w:val="both"/>
              <w:rPr>
                <w:rFonts w:ascii="Times New Roman" w:eastAsia="Times New Roman" w:hAnsi="Times New Roman" w:cs="Times New Roman"/>
                <w:sz w:val="24"/>
                <w:szCs w:val="24"/>
                <w:lang w:eastAsia="fr-FR"/>
              </w:rPr>
            </w:pPr>
          </w:p>
        </w:tc>
        <w:tc>
          <w:tcPr>
            <w:tcW w:w="1000" w:type="dxa"/>
            <w:vMerge/>
            <w:hideMark/>
          </w:tcPr>
          <w:p w14:paraId="5E29519B" w14:textId="77777777" w:rsidR="00760EC3" w:rsidRPr="00071A61" w:rsidRDefault="00760EC3"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722C9C92" w14:textId="77777777" w:rsidR="00760EC3" w:rsidRPr="00071A61" w:rsidRDefault="00760EC3"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347F7125" w14:textId="77777777" w:rsidR="00760EC3" w:rsidRPr="00071A61" w:rsidRDefault="00760EC3"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Reverse: TGGGAGAAAAATGGAATTAA</w:t>
            </w:r>
          </w:p>
        </w:tc>
      </w:tr>
    </w:tbl>
    <w:p w14:paraId="475E1B8E" w14:textId="452B79CB" w:rsidR="00E8367C" w:rsidRPr="00BC1EC0" w:rsidRDefault="00760EC3" w:rsidP="000D63C5">
      <w:pPr>
        <w:spacing w:before="100" w:beforeAutospacing="1" w:after="100" w:afterAutospacing="1" w:line="360"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PCR amplification</w:t>
      </w:r>
    </w:p>
    <w:p w14:paraId="2F6F14F1" w14:textId="03BFD4A3" w:rsidR="00D51B87" w:rsidRPr="00A67EAE" w:rsidRDefault="00AA6512" w:rsidP="00760EC3">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A4234">
        <w:rPr>
          <w:rFonts w:ascii="Times New Roman" w:eastAsia="Times New Roman" w:hAnsi="Times New Roman" w:cs="Times New Roman"/>
          <w:sz w:val="24"/>
          <w:szCs w:val="24"/>
          <w:highlight w:val="yellow"/>
          <w:lang w:val="en-US" w:eastAsia="fr-FR"/>
        </w:rPr>
        <w:t xml:space="preserve">The polymerase </w:t>
      </w:r>
      <w:r w:rsidR="00760EC3" w:rsidRPr="00DA4234">
        <w:rPr>
          <w:rFonts w:ascii="Times New Roman" w:eastAsia="Times New Roman" w:hAnsi="Times New Roman" w:cs="Times New Roman"/>
          <w:sz w:val="24"/>
          <w:szCs w:val="24"/>
          <w:highlight w:val="yellow"/>
          <w:lang w:val="en-US" w:eastAsia="fr-FR"/>
        </w:rPr>
        <w:t xml:space="preserve">chain reaction (PCR) technique was performed to specifically amplify the five microsatellite markers. </w:t>
      </w:r>
      <w:r w:rsidR="0062438C" w:rsidRPr="00DA4234">
        <w:rPr>
          <w:rFonts w:ascii="Times New Roman" w:eastAsia="Times New Roman" w:hAnsi="Times New Roman" w:cs="Times New Roman"/>
          <w:sz w:val="24"/>
          <w:szCs w:val="24"/>
          <w:highlight w:val="yellow"/>
          <w:lang w:val="en-US" w:eastAsia="fr-FR"/>
        </w:rPr>
        <w:t xml:space="preserve">The PCR reaction was performed following </w:t>
      </w:r>
      <w:r w:rsidRPr="00DA4234">
        <w:rPr>
          <w:rFonts w:ascii="Times New Roman" w:eastAsia="Times New Roman" w:hAnsi="Times New Roman" w:cs="Times New Roman"/>
          <w:sz w:val="24"/>
          <w:szCs w:val="24"/>
          <w:highlight w:val="yellow"/>
          <w:lang w:val="en-US" w:eastAsia="fr-FR"/>
        </w:rPr>
        <w:t>the</w:t>
      </w:r>
      <w:r>
        <w:rPr>
          <w:rFonts w:ascii="Times New Roman" w:eastAsia="Times New Roman" w:hAnsi="Times New Roman" w:cs="Times New Roman"/>
          <w:sz w:val="24"/>
          <w:szCs w:val="24"/>
          <w:lang w:val="en-US" w:eastAsia="fr-FR"/>
        </w:rPr>
        <w:t xml:space="preserve"> </w:t>
      </w:r>
      <w:r w:rsidR="0062438C" w:rsidRPr="00A67EAE">
        <w:rPr>
          <w:rFonts w:ascii="Times New Roman" w:eastAsia="Times New Roman" w:hAnsi="Times New Roman" w:cs="Times New Roman"/>
          <w:sz w:val="24"/>
          <w:szCs w:val="24"/>
          <w:lang w:val="en-US" w:eastAsia="fr-FR"/>
        </w:rPr>
        <w:t xml:space="preserve">International Institute of Tropical </w:t>
      </w:r>
      <w:r w:rsidR="00760EC3" w:rsidRPr="00A67EAE">
        <w:rPr>
          <w:rFonts w:ascii="Times New Roman" w:eastAsia="Times New Roman" w:hAnsi="Times New Roman" w:cs="Times New Roman"/>
          <w:sz w:val="24"/>
          <w:szCs w:val="24"/>
          <w:lang w:val="en-US" w:eastAsia="fr-FR"/>
        </w:rPr>
        <w:t>Agriculture</w:t>
      </w:r>
      <w:r w:rsidR="00760EC3">
        <w:rPr>
          <w:rFonts w:ascii="Times New Roman" w:eastAsia="Times New Roman" w:hAnsi="Times New Roman" w:cs="Times New Roman"/>
          <w:sz w:val="24"/>
          <w:szCs w:val="24"/>
          <w:lang w:val="en-US" w:eastAsia="fr-FR"/>
        </w:rPr>
        <w:t xml:space="preserve"> (IITA) protocol</w:t>
      </w:r>
      <w:r w:rsidR="0062438C" w:rsidRPr="00A67EAE">
        <w:rPr>
          <w:rFonts w:ascii="Times New Roman" w:eastAsia="Times New Roman" w:hAnsi="Times New Roman" w:cs="Times New Roman"/>
          <w:sz w:val="24"/>
          <w:szCs w:val="24"/>
          <w:lang w:val="en-US" w:eastAsia="fr-FR"/>
        </w:rPr>
        <w:t xml:space="preserve">, with a total reaction volume of 20 </w:t>
      </w:r>
      <w:r w:rsidR="0062438C" w:rsidRPr="00A67EAE">
        <w:rPr>
          <w:rFonts w:ascii="Times New Roman" w:eastAsia="Times New Roman" w:hAnsi="Times New Roman" w:cs="Times New Roman"/>
          <w:bCs/>
          <w:sz w:val="24"/>
          <w:szCs w:val="24"/>
          <w:lang w:val="en-US" w:eastAsia="fr-FR"/>
        </w:rPr>
        <w:t>µL</w:t>
      </w:r>
      <w:r w:rsidR="00D610DD">
        <w:rPr>
          <w:rFonts w:ascii="Times New Roman" w:eastAsia="Times New Roman" w:hAnsi="Times New Roman" w:cs="Times New Roman"/>
          <w:bCs/>
          <w:sz w:val="24"/>
          <w:szCs w:val="24"/>
          <w:lang w:val="en-US" w:eastAsia="fr-FR"/>
        </w:rPr>
        <w:t xml:space="preserve"> (</w:t>
      </w:r>
      <w:r w:rsidR="0062438C" w:rsidRPr="00A67EAE">
        <w:rPr>
          <w:rFonts w:ascii="Times New Roman" w:eastAsia="Times New Roman" w:hAnsi="Times New Roman" w:cs="Times New Roman"/>
          <w:bCs/>
          <w:sz w:val="24"/>
          <w:szCs w:val="24"/>
          <w:lang w:val="en-US" w:eastAsia="fr-FR"/>
        </w:rPr>
        <w:t>Table 2</w:t>
      </w:r>
      <w:r w:rsidR="00D610DD">
        <w:rPr>
          <w:rFonts w:ascii="Times New Roman" w:eastAsia="Times New Roman" w:hAnsi="Times New Roman" w:cs="Times New Roman"/>
          <w:bCs/>
          <w:sz w:val="24"/>
          <w:szCs w:val="24"/>
          <w:lang w:val="en-US" w:eastAsia="fr-FR"/>
        </w:rPr>
        <w:t>)</w:t>
      </w:r>
      <w:r w:rsidR="0062438C" w:rsidRPr="00A67EAE">
        <w:rPr>
          <w:rFonts w:ascii="Times New Roman" w:eastAsia="Times New Roman" w:hAnsi="Times New Roman" w:cs="Times New Roman"/>
          <w:bCs/>
          <w:sz w:val="24"/>
          <w:szCs w:val="24"/>
          <w:lang w:val="en-US" w:eastAsia="fr-FR"/>
        </w:rPr>
        <w:t xml:space="preserve">. </w:t>
      </w:r>
      <w:r w:rsidR="00D51B87" w:rsidRPr="00A67EAE">
        <w:rPr>
          <w:rFonts w:ascii="Times New Roman" w:eastAsia="Times New Roman" w:hAnsi="Times New Roman" w:cs="Times New Roman"/>
          <w:sz w:val="24"/>
          <w:szCs w:val="24"/>
          <w:lang w:val="en-US" w:eastAsia="fr-FR"/>
        </w:rPr>
        <w:t xml:space="preserve">The thermocycler </w:t>
      </w:r>
      <w:r w:rsidR="00D610DD">
        <w:rPr>
          <w:rFonts w:ascii="Times New Roman" w:eastAsia="Times New Roman" w:hAnsi="Times New Roman" w:cs="Times New Roman"/>
          <w:sz w:val="24"/>
          <w:szCs w:val="24"/>
          <w:lang w:val="en-US" w:eastAsia="fr-FR"/>
        </w:rPr>
        <w:t>settings</w:t>
      </w:r>
      <w:r w:rsidR="00D51B87" w:rsidRPr="00A67EAE">
        <w:rPr>
          <w:rFonts w:ascii="Times New Roman" w:eastAsia="Times New Roman" w:hAnsi="Times New Roman" w:cs="Times New Roman"/>
          <w:sz w:val="24"/>
          <w:szCs w:val="24"/>
          <w:lang w:val="en-US" w:eastAsia="fr-FR"/>
        </w:rPr>
        <w:t xml:space="preserve"> were as </w:t>
      </w:r>
      <w:r w:rsidR="00760EC3" w:rsidRPr="00A67EAE">
        <w:rPr>
          <w:rFonts w:ascii="Times New Roman" w:eastAsia="Times New Roman" w:hAnsi="Times New Roman" w:cs="Times New Roman"/>
          <w:sz w:val="24"/>
          <w:szCs w:val="24"/>
          <w:lang w:val="en-US" w:eastAsia="fr-FR"/>
        </w:rPr>
        <w:t>follows:</w:t>
      </w:r>
      <w:r w:rsidR="00D51B87" w:rsidRPr="00A67EAE">
        <w:rPr>
          <w:rFonts w:ascii="Times New Roman" w:eastAsia="Times New Roman" w:hAnsi="Times New Roman" w:cs="Times New Roman"/>
          <w:sz w:val="24"/>
          <w:szCs w:val="24"/>
          <w:lang w:val="en-US" w:eastAsia="fr-FR"/>
        </w:rPr>
        <w:t xml:space="preserve"> an initial denaturation at 94° C for 3 minutes, followed by 40 cycles. Each cycle consisted of a first step denaturation at 94° C for 1 minute, annealing at 40° C for 1 minute, and extension at 72 °C for 1 minute. A final extension step of 10 minutes at 72 °C was included. The PCR product was stored at -20°C until further analysis.</w:t>
      </w:r>
    </w:p>
    <w:p w14:paraId="53833D7D" w14:textId="1366B5E8" w:rsidR="00E8367C" w:rsidRPr="00071A61" w:rsidRDefault="00E8367C"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D610DD">
        <w:rPr>
          <w:rFonts w:ascii="Times New Roman" w:eastAsia="Times New Roman" w:hAnsi="Times New Roman" w:cs="Times New Roman"/>
          <w:b/>
          <w:sz w:val="24"/>
          <w:szCs w:val="24"/>
          <w:lang w:eastAsia="fr-FR"/>
        </w:rPr>
        <w:t>T</w:t>
      </w:r>
      <w:r w:rsidR="00F93A60" w:rsidRPr="00D610DD">
        <w:rPr>
          <w:rFonts w:ascii="Times New Roman" w:eastAsia="Times New Roman" w:hAnsi="Times New Roman" w:cs="Times New Roman"/>
          <w:b/>
          <w:sz w:val="24"/>
          <w:szCs w:val="24"/>
          <w:lang w:eastAsia="fr-FR"/>
        </w:rPr>
        <w:t xml:space="preserve">able </w:t>
      </w:r>
      <w:r w:rsidR="00D610DD" w:rsidRPr="00D610DD">
        <w:rPr>
          <w:rFonts w:ascii="Times New Roman" w:eastAsia="Times New Roman" w:hAnsi="Times New Roman" w:cs="Times New Roman"/>
          <w:b/>
          <w:sz w:val="24"/>
          <w:szCs w:val="24"/>
          <w:lang w:eastAsia="fr-FR"/>
        </w:rPr>
        <w:t>2 :</w:t>
      </w:r>
      <w:r w:rsidRPr="00071A61">
        <w:rPr>
          <w:rFonts w:ascii="Times New Roman" w:eastAsia="Times New Roman" w:hAnsi="Times New Roman" w:cs="Times New Roman"/>
          <w:bCs/>
          <w:sz w:val="24"/>
          <w:szCs w:val="24"/>
          <w:lang w:eastAsia="fr-FR"/>
        </w:rPr>
        <w:t xml:space="preserve"> PCR </w:t>
      </w:r>
      <w:r w:rsidR="00D610DD">
        <w:rPr>
          <w:rFonts w:ascii="Times New Roman" w:eastAsia="Times New Roman" w:hAnsi="Times New Roman" w:cs="Times New Roman"/>
          <w:bCs/>
          <w:sz w:val="24"/>
          <w:szCs w:val="24"/>
          <w:lang w:eastAsia="fr-FR"/>
        </w:rPr>
        <w:t>m</w:t>
      </w:r>
      <w:r w:rsidRPr="00071A61">
        <w:rPr>
          <w:rFonts w:ascii="Times New Roman" w:eastAsia="Times New Roman" w:hAnsi="Times New Roman" w:cs="Times New Roman"/>
          <w:bCs/>
          <w:sz w:val="24"/>
          <w:szCs w:val="24"/>
          <w:lang w:eastAsia="fr-FR"/>
        </w:rPr>
        <w:t xml:space="preserve">ixture </w:t>
      </w:r>
    </w:p>
    <w:tbl>
      <w:tblPr>
        <w:tblStyle w:val="PlainTable2"/>
        <w:tblW w:w="0" w:type="auto"/>
        <w:tblLook w:val="04A0" w:firstRow="1" w:lastRow="0" w:firstColumn="1" w:lastColumn="0" w:noHBand="0" w:noVBand="1"/>
      </w:tblPr>
      <w:tblGrid>
        <w:gridCol w:w="3103"/>
        <w:gridCol w:w="2316"/>
        <w:gridCol w:w="1961"/>
      </w:tblGrid>
      <w:tr w:rsidR="00E8367C" w:rsidRPr="00071A61" w14:paraId="4CB39C79" w14:textId="77777777" w:rsidTr="00E624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DAC7C3"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sz w:val="24"/>
                <w:szCs w:val="24"/>
                <w:lang w:eastAsia="fr-FR"/>
              </w:rPr>
            </w:pPr>
            <w:r w:rsidRPr="00E624B5">
              <w:rPr>
                <w:rFonts w:ascii="Times New Roman" w:eastAsia="Times New Roman" w:hAnsi="Times New Roman" w:cs="Times New Roman"/>
                <w:sz w:val="24"/>
                <w:szCs w:val="24"/>
                <w:lang w:eastAsia="fr-FR"/>
              </w:rPr>
              <w:t>Composition</w:t>
            </w:r>
          </w:p>
        </w:tc>
        <w:tc>
          <w:tcPr>
            <w:tcW w:w="0" w:type="auto"/>
            <w:hideMark/>
          </w:tcPr>
          <w:p w14:paraId="202E7E80" w14:textId="3D7F0167" w:rsidR="00E8367C" w:rsidRPr="00E624B5" w:rsidRDefault="00D610DD" w:rsidP="00E624B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624B5">
              <w:rPr>
                <w:rFonts w:ascii="Times New Roman" w:eastAsia="Times New Roman" w:hAnsi="Times New Roman" w:cs="Times New Roman"/>
                <w:sz w:val="24"/>
                <w:szCs w:val="24"/>
                <w:lang w:eastAsia="fr-FR"/>
              </w:rPr>
              <w:t>Initial</w:t>
            </w:r>
            <w:r w:rsidR="00CE0706" w:rsidRPr="00E624B5">
              <w:rPr>
                <w:rFonts w:ascii="Times New Roman" w:eastAsia="Times New Roman" w:hAnsi="Times New Roman" w:cs="Times New Roman"/>
                <w:sz w:val="24"/>
                <w:szCs w:val="24"/>
                <w:lang w:eastAsia="fr-FR"/>
              </w:rPr>
              <w:t xml:space="preserve"> concentration</w:t>
            </w:r>
          </w:p>
        </w:tc>
        <w:tc>
          <w:tcPr>
            <w:tcW w:w="0" w:type="auto"/>
            <w:hideMark/>
          </w:tcPr>
          <w:p w14:paraId="32B7B550" w14:textId="77777777" w:rsidR="00E8367C" w:rsidRPr="00E624B5" w:rsidRDefault="00CE0706" w:rsidP="00E624B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624B5">
              <w:rPr>
                <w:rFonts w:ascii="Times New Roman" w:eastAsia="Times New Roman" w:hAnsi="Times New Roman" w:cs="Times New Roman"/>
                <w:sz w:val="24"/>
                <w:szCs w:val="24"/>
                <w:lang w:eastAsia="fr-FR"/>
              </w:rPr>
              <w:t>1 reaction (20 µl)</w:t>
            </w:r>
          </w:p>
        </w:tc>
      </w:tr>
      <w:tr w:rsidR="00E8367C" w:rsidRPr="00071A61" w14:paraId="2DC494CC"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86A2B4"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Stabilized dNTPs</w:t>
            </w:r>
          </w:p>
        </w:tc>
        <w:tc>
          <w:tcPr>
            <w:tcW w:w="0" w:type="auto"/>
            <w:hideMark/>
          </w:tcPr>
          <w:p w14:paraId="451C9793"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 mM</w:t>
            </w:r>
          </w:p>
        </w:tc>
        <w:tc>
          <w:tcPr>
            <w:tcW w:w="0" w:type="auto"/>
            <w:hideMark/>
          </w:tcPr>
          <w:p w14:paraId="74EFC77A"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0.4 µL</w:t>
            </w:r>
          </w:p>
        </w:tc>
      </w:tr>
      <w:tr w:rsidR="00E8367C" w:rsidRPr="00071A61" w14:paraId="4999F65E"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698D2B27"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Forward Primer</w:t>
            </w:r>
          </w:p>
        </w:tc>
        <w:tc>
          <w:tcPr>
            <w:tcW w:w="0" w:type="auto"/>
            <w:hideMark/>
          </w:tcPr>
          <w:p w14:paraId="67BD5739"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 µM</w:t>
            </w:r>
          </w:p>
        </w:tc>
        <w:tc>
          <w:tcPr>
            <w:tcW w:w="0" w:type="auto"/>
            <w:hideMark/>
          </w:tcPr>
          <w:p w14:paraId="65C820AA"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0.8 µL</w:t>
            </w:r>
          </w:p>
        </w:tc>
      </w:tr>
      <w:tr w:rsidR="00E8367C" w:rsidRPr="00071A61" w14:paraId="34E5DE56"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8D6178"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Reverse Primer</w:t>
            </w:r>
          </w:p>
        </w:tc>
        <w:tc>
          <w:tcPr>
            <w:tcW w:w="0" w:type="auto"/>
            <w:hideMark/>
          </w:tcPr>
          <w:p w14:paraId="74E112F4"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 µM</w:t>
            </w:r>
          </w:p>
        </w:tc>
        <w:tc>
          <w:tcPr>
            <w:tcW w:w="0" w:type="auto"/>
            <w:hideMark/>
          </w:tcPr>
          <w:p w14:paraId="79A11D16"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0.8 µL</w:t>
            </w:r>
          </w:p>
        </w:tc>
      </w:tr>
      <w:tr w:rsidR="00E8367C" w:rsidRPr="00071A61" w14:paraId="63F16DBD"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718F6121"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Reaction Buffer *with MgCl2</w:t>
            </w:r>
          </w:p>
        </w:tc>
        <w:tc>
          <w:tcPr>
            <w:tcW w:w="0" w:type="auto"/>
            <w:hideMark/>
          </w:tcPr>
          <w:p w14:paraId="248E31AA"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10X</w:t>
            </w:r>
          </w:p>
        </w:tc>
        <w:tc>
          <w:tcPr>
            <w:tcW w:w="0" w:type="auto"/>
            <w:hideMark/>
          </w:tcPr>
          <w:p w14:paraId="7E141834"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 µL</w:t>
            </w:r>
          </w:p>
        </w:tc>
      </w:tr>
      <w:tr w:rsidR="00E8367C" w:rsidRPr="00071A61" w14:paraId="38C7D989"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0BC666"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Genomic DNA</w:t>
            </w:r>
          </w:p>
        </w:tc>
        <w:tc>
          <w:tcPr>
            <w:tcW w:w="0" w:type="auto"/>
            <w:hideMark/>
          </w:tcPr>
          <w:p w14:paraId="1EC70F9F"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100 ng/µL</w:t>
            </w:r>
          </w:p>
        </w:tc>
        <w:tc>
          <w:tcPr>
            <w:tcW w:w="0" w:type="auto"/>
            <w:hideMark/>
          </w:tcPr>
          <w:p w14:paraId="55AF1510"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 µL</w:t>
            </w:r>
          </w:p>
        </w:tc>
      </w:tr>
      <w:tr w:rsidR="00E8367C" w:rsidRPr="00071A61" w14:paraId="0195FC10"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65F124A0"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Taq DNA Polymerase</w:t>
            </w:r>
          </w:p>
        </w:tc>
        <w:tc>
          <w:tcPr>
            <w:tcW w:w="0" w:type="auto"/>
            <w:hideMark/>
          </w:tcPr>
          <w:p w14:paraId="6F16EF61"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 units/µL</w:t>
            </w:r>
          </w:p>
        </w:tc>
        <w:tc>
          <w:tcPr>
            <w:tcW w:w="0" w:type="auto"/>
            <w:hideMark/>
          </w:tcPr>
          <w:p w14:paraId="5DEA5399"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 µL</w:t>
            </w:r>
          </w:p>
        </w:tc>
      </w:tr>
      <w:tr w:rsidR="00E8367C" w:rsidRPr="00071A61" w14:paraId="1A4011FC"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F39F5E"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QSP: Ultrapure H</w:t>
            </w:r>
            <w:r w:rsidRPr="00E624B5">
              <w:rPr>
                <w:rFonts w:ascii="Times New Roman" w:eastAsia="Times New Roman" w:hAnsi="Times New Roman" w:cs="Times New Roman"/>
                <w:b w:val="0"/>
                <w:bCs w:val="0"/>
                <w:sz w:val="24"/>
                <w:szCs w:val="24"/>
                <w:vertAlign w:val="subscript"/>
                <w:lang w:eastAsia="fr-FR"/>
              </w:rPr>
              <w:t>2</w:t>
            </w:r>
            <w:r w:rsidRPr="00E624B5">
              <w:rPr>
                <w:rFonts w:ascii="Times New Roman" w:eastAsia="Times New Roman" w:hAnsi="Times New Roman" w:cs="Times New Roman"/>
                <w:b w:val="0"/>
                <w:bCs w:val="0"/>
                <w:sz w:val="24"/>
                <w:szCs w:val="24"/>
                <w:lang w:eastAsia="fr-FR"/>
              </w:rPr>
              <w:t>O</w:t>
            </w:r>
          </w:p>
        </w:tc>
        <w:tc>
          <w:tcPr>
            <w:tcW w:w="0" w:type="auto"/>
            <w:hideMark/>
          </w:tcPr>
          <w:p w14:paraId="2A35C3C6"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w:t>
            </w:r>
          </w:p>
        </w:tc>
        <w:tc>
          <w:tcPr>
            <w:tcW w:w="0" w:type="auto"/>
            <w:hideMark/>
          </w:tcPr>
          <w:p w14:paraId="6BA45439"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13.8 µL</w:t>
            </w:r>
          </w:p>
        </w:tc>
      </w:tr>
      <w:tr w:rsidR="00E8367C" w:rsidRPr="00071A61" w14:paraId="0E02B80D"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26FEAD04" w14:textId="700C18CF"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 xml:space="preserve">Total </w:t>
            </w:r>
            <w:r w:rsidR="00D610DD" w:rsidRPr="00E624B5">
              <w:rPr>
                <w:rFonts w:ascii="Times New Roman" w:eastAsia="Times New Roman" w:hAnsi="Times New Roman" w:cs="Times New Roman"/>
                <w:b w:val="0"/>
                <w:bCs w:val="0"/>
                <w:sz w:val="24"/>
                <w:szCs w:val="24"/>
                <w:lang w:eastAsia="fr-FR"/>
              </w:rPr>
              <w:t>v</w:t>
            </w:r>
            <w:r w:rsidRPr="00E624B5">
              <w:rPr>
                <w:rFonts w:ascii="Times New Roman" w:eastAsia="Times New Roman" w:hAnsi="Times New Roman" w:cs="Times New Roman"/>
                <w:b w:val="0"/>
                <w:bCs w:val="0"/>
                <w:sz w:val="24"/>
                <w:szCs w:val="24"/>
                <w:lang w:eastAsia="fr-FR"/>
              </w:rPr>
              <w:t>olume</w:t>
            </w:r>
          </w:p>
        </w:tc>
        <w:tc>
          <w:tcPr>
            <w:tcW w:w="0" w:type="auto"/>
            <w:hideMark/>
          </w:tcPr>
          <w:p w14:paraId="13403C56" w14:textId="77777777" w:rsidR="00E8367C" w:rsidRPr="00071A61" w:rsidRDefault="00E8367C" w:rsidP="00E624B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0" w:type="auto"/>
            <w:hideMark/>
          </w:tcPr>
          <w:p w14:paraId="22576677"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20 µL</w:t>
            </w:r>
          </w:p>
        </w:tc>
      </w:tr>
    </w:tbl>
    <w:p w14:paraId="195B95E1" w14:textId="0EA079A9" w:rsidR="009F7D22" w:rsidRDefault="00165528" w:rsidP="000D63C5">
      <w:pPr>
        <w:spacing w:before="100" w:beforeAutospacing="1" w:after="100" w:afterAutospacing="1" w:line="360" w:lineRule="auto"/>
        <w:jc w:val="both"/>
        <w:rPr>
          <w:rFonts w:ascii="Times New Roman" w:eastAsia="Times New Roman" w:hAnsi="Times New Roman" w:cs="Times New Roman"/>
          <w:bCs/>
          <w:lang w:val="en-US" w:eastAsia="fr-FR"/>
        </w:rPr>
      </w:pPr>
      <w:r w:rsidRPr="00267AB3">
        <w:rPr>
          <w:rFonts w:ascii="Times New Roman" w:eastAsia="Times New Roman" w:hAnsi="Times New Roman" w:cs="Times New Roman"/>
          <w:lang w:val="en-US" w:eastAsia="fr-FR"/>
        </w:rPr>
        <w:t>*</w:t>
      </w:r>
      <w:r w:rsidR="009F7D22" w:rsidRPr="00267AB3">
        <w:rPr>
          <w:rFonts w:ascii="Times New Roman" w:eastAsia="Times New Roman" w:hAnsi="Times New Roman" w:cs="Times New Roman"/>
          <w:lang w:val="en-US" w:eastAsia="fr-FR"/>
        </w:rPr>
        <w:t xml:space="preserve">The </w:t>
      </w:r>
      <w:r w:rsidR="009F7D22" w:rsidRPr="00267AB3">
        <w:rPr>
          <w:rFonts w:ascii="Times New Roman" w:eastAsia="Times New Roman" w:hAnsi="Times New Roman" w:cs="Times New Roman"/>
          <w:bCs/>
          <w:lang w:val="en-US" w:eastAsia="fr-FR"/>
        </w:rPr>
        <w:t>reaction buffer</w:t>
      </w:r>
      <w:r w:rsidR="009F7D22" w:rsidRPr="00267AB3">
        <w:rPr>
          <w:rFonts w:ascii="Times New Roman" w:eastAsia="Times New Roman" w:hAnsi="Times New Roman" w:cs="Times New Roman"/>
          <w:lang w:val="en-US" w:eastAsia="fr-FR"/>
        </w:rPr>
        <w:t xml:space="preserve"> consists of:</w:t>
      </w:r>
      <w:r w:rsidR="009A66C2" w:rsidRPr="00267AB3">
        <w:rPr>
          <w:rFonts w:ascii="Times New Roman" w:eastAsia="Times New Roman" w:hAnsi="Times New Roman" w:cs="Times New Roman"/>
          <w:lang w:val="en-US" w:eastAsia="fr-FR"/>
        </w:rPr>
        <w:t xml:space="preserve"> </w:t>
      </w:r>
      <w:r w:rsidR="009F7D22" w:rsidRPr="00267AB3">
        <w:rPr>
          <w:rFonts w:ascii="Times New Roman" w:eastAsia="Times New Roman" w:hAnsi="Times New Roman" w:cs="Times New Roman"/>
          <w:bCs/>
          <w:lang w:val="en-US" w:eastAsia="fr-FR"/>
        </w:rPr>
        <w:t>100 mM Tris-HCl</w:t>
      </w:r>
      <w:r w:rsidR="009F7D22" w:rsidRPr="00267AB3">
        <w:rPr>
          <w:rFonts w:ascii="Times New Roman" w:eastAsia="Times New Roman" w:hAnsi="Times New Roman" w:cs="Times New Roman"/>
          <w:lang w:val="en-US" w:eastAsia="fr-FR"/>
        </w:rPr>
        <w:t xml:space="preserve"> (pH 9.0 at 25°C)</w:t>
      </w:r>
      <w:r w:rsidR="009A66C2" w:rsidRPr="00267AB3">
        <w:rPr>
          <w:rFonts w:ascii="Times New Roman" w:eastAsia="Times New Roman" w:hAnsi="Times New Roman" w:cs="Times New Roman"/>
          <w:lang w:val="en-US" w:eastAsia="fr-FR"/>
        </w:rPr>
        <w:t xml:space="preserve">, </w:t>
      </w:r>
      <w:r w:rsidR="009F7D22" w:rsidRPr="00267AB3">
        <w:rPr>
          <w:rFonts w:ascii="Times New Roman" w:eastAsia="Times New Roman" w:hAnsi="Times New Roman" w:cs="Times New Roman"/>
          <w:bCs/>
          <w:lang w:val="en-US" w:eastAsia="fr-FR"/>
        </w:rPr>
        <w:t>500 mM KCl</w:t>
      </w:r>
      <w:r w:rsidR="009A66C2" w:rsidRPr="00267AB3">
        <w:rPr>
          <w:rFonts w:ascii="Times New Roman" w:eastAsia="Times New Roman" w:hAnsi="Times New Roman" w:cs="Times New Roman"/>
          <w:lang w:val="en-US" w:eastAsia="fr-FR"/>
        </w:rPr>
        <w:t xml:space="preserve">, </w:t>
      </w:r>
      <w:r w:rsidR="009A66C2" w:rsidRPr="00267AB3">
        <w:rPr>
          <w:rFonts w:ascii="Times New Roman" w:eastAsia="Times New Roman" w:hAnsi="Times New Roman" w:cs="Times New Roman"/>
          <w:bCs/>
          <w:lang w:val="en-US" w:eastAsia="fr-FR"/>
        </w:rPr>
        <w:t xml:space="preserve">1% Triton X-10, </w:t>
      </w:r>
      <w:r w:rsidR="009F7D22" w:rsidRPr="00267AB3">
        <w:rPr>
          <w:rFonts w:ascii="Times New Roman" w:eastAsia="Times New Roman" w:hAnsi="Times New Roman" w:cs="Times New Roman"/>
          <w:bCs/>
          <w:lang w:val="en-US" w:eastAsia="fr-FR"/>
        </w:rPr>
        <w:t>15 mM MgCl2</w:t>
      </w:r>
      <w:r w:rsidR="009A66C2" w:rsidRPr="00267AB3">
        <w:rPr>
          <w:rFonts w:ascii="Times New Roman" w:eastAsia="Times New Roman" w:hAnsi="Times New Roman" w:cs="Times New Roman"/>
          <w:lang w:val="en-US" w:eastAsia="fr-FR"/>
        </w:rPr>
        <w:t xml:space="preserve"> </w:t>
      </w:r>
      <w:r w:rsidR="009F7D22" w:rsidRPr="00267AB3">
        <w:rPr>
          <w:rFonts w:ascii="Times New Roman" w:eastAsia="Times New Roman" w:hAnsi="Times New Roman" w:cs="Times New Roman"/>
          <w:lang w:val="en-US" w:eastAsia="fr-FR"/>
        </w:rPr>
        <w:t xml:space="preserve">And </w:t>
      </w:r>
      <w:r w:rsidR="009F7D22" w:rsidRPr="00267AB3">
        <w:rPr>
          <w:rFonts w:ascii="Times New Roman" w:eastAsia="Times New Roman" w:hAnsi="Times New Roman" w:cs="Times New Roman"/>
          <w:bCs/>
          <w:lang w:val="en-US" w:eastAsia="fr-FR"/>
        </w:rPr>
        <w:t>stabilizers</w:t>
      </w:r>
      <w:r w:rsidRPr="00267AB3">
        <w:rPr>
          <w:rFonts w:ascii="Times New Roman" w:eastAsia="Times New Roman" w:hAnsi="Times New Roman" w:cs="Times New Roman"/>
          <w:bCs/>
          <w:lang w:val="en-US" w:eastAsia="fr-FR"/>
        </w:rPr>
        <w:t>.</w:t>
      </w:r>
    </w:p>
    <w:p w14:paraId="1FEF5EB1" w14:textId="77777777" w:rsidR="00267AB3" w:rsidRPr="00267AB3" w:rsidRDefault="00267AB3" w:rsidP="000D63C5">
      <w:pPr>
        <w:spacing w:before="100" w:beforeAutospacing="1" w:after="100" w:afterAutospacing="1" w:line="360" w:lineRule="auto"/>
        <w:jc w:val="both"/>
        <w:rPr>
          <w:rFonts w:ascii="Times New Roman" w:eastAsia="Times New Roman" w:hAnsi="Times New Roman" w:cs="Times New Roman"/>
          <w:lang w:val="en-US" w:eastAsia="fr-FR"/>
        </w:rPr>
      </w:pPr>
    </w:p>
    <w:p w14:paraId="69919354" w14:textId="6055B401" w:rsidR="009F7D22" w:rsidRPr="00A67EAE" w:rsidRDefault="00DE0C88"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G</w:t>
      </w:r>
      <w:r w:rsidR="0021786F" w:rsidRPr="00A67EAE">
        <w:rPr>
          <w:rFonts w:ascii="Times New Roman" w:eastAsia="Times New Roman" w:hAnsi="Times New Roman" w:cs="Times New Roman"/>
          <w:b/>
          <w:bCs/>
          <w:sz w:val="24"/>
          <w:szCs w:val="24"/>
          <w:lang w:val="en-US" w:eastAsia="fr-FR"/>
        </w:rPr>
        <w:t>el electrophoresis</w:t>
      </w:r>
    </w:p>
    <w:p w14:paraId="40DFC417" w14:textId="36C64493" w:rsidR="00DE0C88" w:rsidRPr="00DE0C88" w:rsidRDefault="00DE0C88" w:rsidP="00DE0C88">
      <w:pPr>
        <w:spacing w:line="360" w:lineRule="auto"/>
        <w:jc w:val="both"/>
        <w:rPr>
          <w:rFonts w:ascii="Times New Roman" w:eastAsia="Times New Roman" w:hAnsi="Times New Roman" w:cs="Times New Roman"/>
          <w:bCs/>
          <w:sz w:val="24"/>
          <w:szCs w:val="24"/>
          <w:lang w:val="en-US" w:eastAsia="fr-FR"/>
        </w:rPr>
      </w:pPr>
      <w:r w:rsidRPr="00DE0C88">
        <w:rPr>
          <w:rFonts w:ascii="Times New Roman" w:eastAsia="Times New Roman" w:hAnsi="Times New Roman" w:cs="Times New Roman"/>
          <w:bCs/>
          <w:sz w:val="24"/>
          <w:szCs w:val="24"/>
          <w:lang w:val="en-US" w:eastAsia="fr-FR"/>
        </w:rPr>
        <w:lastRenderedPageBreak/>
        <w:t xml:space="preserve">PCR products </w:t>
      </w:r>
      <w:r w:rsidRPr="00DA4234">
        <w:rPr>
          <w:rFonts w:ascii="Times New Roman" w:eastAsia="Times New Roman" w:hAnsi="Times New Roman" w:cs="Times New Roman"/>
          <w:bCs/>
          <w:sz w:val="24"/>
          <w:szCs w:val="24"/>
          <w:highlight w:val="yellow"/>
          <w:lang w:val="en-US" w:eastAsia="fr-FR"/>
        </w:rPr>
        <w:t xml:space="preserve">were </w:t>
      </w:r>
      <w:r w:rsidR="00AA6512" w:rsidRPr="00DA4234">
        <w:rPr>
          <w:rFonts w:ascii="Times New Roman" w:eastAsia="Times New Roman" w:hAnsi="Times New Roman" w:cs="Times New Roman"/>
          <w:bCs/>
          <w:sz w:val="24"/>
          <w:szCs w:val="24"/>
          <w:highlight w:val="yellow"/>
          <w:lang w:val="en-US" w:eastAsia="fr-FR"/>
        </w:rPr>
        <w:t xml:space="preserve">analysed </w:t>
      </w:r>
      <w:r w:rsidRPr="00DA4234">
        <w:rPr>
          <w:rFonts w:ascii="Times New Roman" w:eastAsia="Times New Roman" w:hAnsi="Times New Roman" w:cs="Times New Roman"/>
          <w:bCs/>
          <w:sz w:val="24"/>
          <w:szCs w:val="24"/>
          <w:highlight w:val="yellow"/>
          <w:lang w:val="en-US" w:eastAsia="fr-FR"/>
        </w:rPr>
        <w:t>by electrophoresis on a 3%</w:t>
      </w:r>
      <w:r w:rsidRPr="00DE0C88">
        <w:rPr>
          <w:rFonts w:ascii="Times New Roman" w:eastAsia="Times New Roman" w:hAnsi="Times New Roman" w:cs="Times New Roman"/>
          <w:bCs/>
          <w:sz w:val="24"/>
          <w:szCs w:val="24"/>
          <w:lang w:val="en-US" w:eastAsia="fr-FR"/>
        </w:rPr>
        <w:t xml:space="preserve"> (w/v) agarose gel. Ten microliters of each PCR product were loaded into individual wells, and 4 µL of a 50-bp DNA size marker (Biomatik) was loaded into one well per gel to estimate the sizes of the amplified fragments. Electrophoresis was carried out at a constant voltage of 130 V for 2 h 40 min. Following electrophoresis, the gel was visualized and the DNA banding patterns were recorded </w:t>
      </w:r>
      <w:r w:rsidRPr="00DA4234">
        <w:rPr>
          <w:rFonts w:ascii="Times New Roman" w:eastAsia="Times New Roman" w:hAnsi="Times New Roman" w:cs="Times New Roman"/>
          <w:bCs/>
          <w:sz w:val="24"/>
          <w:szCs w:val="24"/>
          <w:highlight w:val="yellow"/>
          <w:lang w:val="en-US" w:eastAsia="fr-FR"/>
        </w:rPr>
        <w:t xml:space="preserve">and </w:t>
      </w:r>
      <w:r w:rsidR="00AA6512" w:rsidRPr="00DA4234">
        <w:rPr>
          <w:rFonts w:ascii="Times New Roman" w:eastAsia="Times New Roman" w:hAnsi="Times New Roman" w:cs="Times New Roman"/>
          <w:bCs/>
          <w:sz w:val="24"/>
          <w:szCs w:val="24"/>
          <w:highlight w:val="yellow"/>
          <w:lang w:val="en-US" w:eastAsia="fr-FR"/>
        </w:rPr>
        <w:t>analysed</w:t>
      </w:r>
      <w:r w:rsidRPr="00DA4234">
        <w:rPr>
          <w:rFonts w:ascii="Times New Roman" w:eastAsia="Times New Roman" w:hAnsi="Times New Roman" w:cs="Times New Roman"/>
          <w:bCs/>
          <w:sz w:val="24"/>
          <w:szCs w:val="24"/>
          <w:highlight w:val="yellow"/>
          <w:lang w:val="en-US" w:eastAsia="fr-FR"/>
        </w:rPr>
        <w:t>.</w:t>
      </w:r>
    </w:p>
    <w:p w14:paraId="49CA8AAC" w14:textId="7BBB8212" w:rsidR="009F7D22" w:rsidRPr="00A67EAE" w:rsidRDefault="00DE0C88" w:rsidP="000D63C5">
      <w:pPr>
        <w:spacing w:before="100" w:beforeAutospacing="1" w:after="100" w:afterAutospacing="1" w:line="360"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G</w:t>
      </w:r>
      <w:r w:rsidR="0021786F" w:rsidRPr="00A67EAE">
        <w:rPr>
          <w:rFonts w:ascii="Times New Roman" w:eastAsia="Times New Roman" w:hAnsi="Times New Roman" w:cs="Times New Roman"/>
          <w:b/>
          <w:bCs/>
          <w:sz w:val="24"/>
          <w:szCs w:val="24"/>
          <w:lang w:val="en-US" w:eastAsia="fr-FR"/>
        </w:rPr>
        <w:t>enetic diversity</w:t>
      </w:r>
      <w:r>
        <w:rPr>
          <w:rFonts w:ascii="Times New Roman" w:eastAsia="Times New Roman" w:hAnsi="Times New Roman" w:cs="Times New Roman"/>
          <w:b/>
          <w:bCs/>
          <w:sz w:val="24"/>
          <w:szCs w:val="24"/>
          <w:lang w:val="en-US" w:eastAsia="fr-FR"/>
        </w:rPr>
        <w:t xml:space="preserve"> analysis</w:t>
      </w:r>
    </w:p>
    <w:p w14:paraId="008F3DBC" w14:textId="3FEAD582" w:rsidR="006958BD" w:rsidRDefault="006958BD" w:rsidP="005326A7">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958BD">
        <w:rPr>
          <w:rFonts w:ascii="Times New Roman" w:eastAsia="Times New Roman" w:hAnsi="Times New Roman" w:cs="Times New Roman"/>
          <w:bCs/>
          <w:sz w:val="24"/>
          <w:szCs w:val="24"/>
          <w:lang w:val="en-US" w:eastAsia="fr-FR"/>
        </w:rPr>
        <w:t>Genetic diversity parameters were estimated using several analytical approaches. A genetic distance matrix was computed following Nei (1972</w:t>
      </w:r>
      <w:r w:rsidRPr="00755C85">
        <w:rPr>
          <w:rFonts w:ascii="Times New Roman" w:eastAsia="Times New Roman" w:hAnsi="Times New Roman" w:cs="Times New Roman"/>
          <w:bCs/>
          <w:sz w:val="24"/>
          <w:szCs w:val="24"/>
          <w:highlight w:val="yellow"/>
          <w:lang w:val="en-US" w:eastAsia="fr-FR"/>
        </w:rPr>
        <w:t xml:space="preserve">). </w:t>
      </w:r>
      <w:r w:rsidR="00755C85" w:rsidRPr="00755C85">
        <w:rPr>
          <w:rFonts w:ascii="Times New Roman" w:eastAsia="Times New Roman" w:hAnsi="Times New Roman" w:cs="Times New Roman"/>
          <w:bCs/>
          <w:sz w:val="24"/>
          <w:szCs w:val="24"/>
          <w:highlight w:val="yellow"/>
          <w:lang w:val="en-US" w:eastAsia="fr-FR"/>
        </w:rPr>
        <w:t xml:space="preserve">Discriminant Factor Analysis (DFA) </w:t>
      </w:r>
      <w:r w:rsidRPr="00755C85">
        <w:rPr>
          <w:rFonts w:ascii="Times New Roman" w:eastAsia="Times New Roman" w:hAnsi="Times New Roman" w:cs="Times New Roman"/>
          <w:bCs/>
          <w:sz w:val="24"/>
          <w:szCs w:val="24"/>
          <w:highlight w:val="yellow"/>
          <w:lang w:val="en-US" w:eastAsia="fr-FR"/>
        </w:rPr>
        <w:t>was</w:t>
      </w:r>
      <w:r w:rsidRPr="006958BD">
        <w:rPr>
          <w:rFonts w:ascii="Times New Roman" w:eastAsia="Times New Roman" w:hAnsi="Times New Roman" w:cs="Times New Roman"/>
          <w:bCs/>
          <w:sz w:val="24"/>
          <w:szCs w:val="24"/>
          <w:lang w:val="en-US" w:eastAsia="fr-FR"/>
        </w:rPr>
        <w:t xml:space="preserve"> then </w:t>
      </w:r>
      <w:r w:rsidRPr="00DA4234">
        <w:rPr>
          <w:rFonts w:ascii="Times New Roman" w:eastAsia="Times New Roman" w:hAnsi="Times New Roman" w:cs="Times New Roman"/>
          <w:bCs/>
          <w:sz w:val="24"/>
          <w:szCs w:val="24"/>
          <w:highlight w:val="yellow"/>
          <w:lang w:val="en-US" w:eastAsia="fr-FR"/>
        </w:rPr>
        <w:t xml:space="preserve">performed on the </w:t>
      </w:r>
      <w:r w:rsidR="00AA6512" w:rsidRPr="00DA4234">
        <w:rPr>
          <w:rFonts w:ascii="Times New Roman" w:eastAsia="Times New Roman" w:hAnsi="Times New Roman" w:cs="Times New Roman"/>
          <w:bCs/>
          <w:sz w:val="24"/>
          <w:szCs w:val="24"/>
          <w:highlight w:val="yellow"/>
          <w:lang w:val="en-US" w:eastAsia="fr-FR"/>
        </w:rPr>
        <w:t xml:space="preserve">standardised </w:t>
      </w:r>
      <w:r w:rsidRPr="00DA4234">
        <w:rPr>
          <w:rFonts w:ascii="Times New Roman" w:eastAsia="Times New Roman" w:hAnsi="Times New Roman" w:cs="Times New Roman"/>
          <w:bCs/>
          <w:sz w:val="24"/>
          <w:szCs w:val="24"/>
          <w:highlight w:val="yellow"/>
          <w:lang w:val="en-US" w:eastAsia="fr-FR"/>
        </w:rPr>
        <w:t>genetic distance data usin</w:t>
      </w:r>
      <w:r w:rsidRPr="006958BD">
        <w:rPr>
          <w:rFonts w:ascii="Times New Roman" w:eastAsia="Times New Roman" w:hAnsi="Times New Roman" w:cs="Times New Roman"/>
          <w:bCs/>
          <w:sz w:val="24"/>
          <w:szCs w:val="24"/>
          <w:lang w:val="en-US" w:eastAsia="fr-FR"/>
        </w:rPr>
        <w:t xml:space="preserve">g GenAlEx software to </w:t>
      </w:r>
      <w:r w:rsidR="00AA6512" w:rsidRPr="00DA4234">
        <w:rPr>
          <w:rFonts w:ascii="Times New Roman" w:eastAsia="Times New Roman" w:hAnsi="Times New Roman" w:cs="Times New Roman"/>
          <w:bCs/>
          <w:sz w:val="24"/>
          <w:szCs w:val="24"/>
          <w:highlight w:val="yellow"/>
          <w:lang w:val="en-US" w:eastAsia="fr-FR"/>
        </w:rPr>
        <w:t xml:space="preserve">visualise </w:t>
      </w:r>
      <w:r w:rsidRPr="00DA4234">
        <w:rPr>
          <w:rFonts w:ascii="Times New Roman" w:eastAsia="Times New Roman" w:hAnsi="Times New Roman" w:cs="Times New Roman"/>
          <w:bCs/>
          <w:sz w:val="24"/>
          <w:szCs w:val="24"/>
          <w:highlight w:val="yellow"/>
          <w:lang w:val="en-US" w:eastAsia="fr-FR"/>
        </w:rPr>
        <w:t>genetic different</w:t>
      </w:r>
      <w:r w:rsidRPr="006958BD">
        <w:rPr>
          <w:rFonts w:ascii="Times New Roman" w:eastAsia="Times New Roman" w:hAnsi="Times New Roman" w:cs="Times New Roman"/>
          <w:bCs/>
          <w:sz w:val="24"/>
          <w:szCs w:val="24"/>
          <w:lang w:val="en-US" w:eastAsia="fr-FR"/>
        </w:rPr>
        <w:t>iation among populations. In addition, a dendrogram was generated using the Unweighted Pair Group Method with Arithmetic Mean (UPGMA), based on Nei’s genetic distance, to assess genetic relationships and similarity among populations. All analyses were conducted using GenAlEx version 6.51b2.xlam.</w:t>
      </w:r>
    </w:p>
    <w:p w14:paraId="1FA1D4A8" w14:textId="772C7B9D" w:rsidR="00200421" w:rsidRPr="00A67EAE" w:rsidRDefault="00200421" w:rsidP="005326A7">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bCs/>
          <w:sz w:val="24"/>
          <w:szCs w:val="24"/>
          <w:lang w:val="en-US" w:eastAsia="fr-FR"/>
        </w:rPr>
        <w:t>RESULTS</w:t>
      </w:r>
    </w:p>
    <w:p w14:paraId="63A0E628" w14:textId="3C5DD549" w:rsidR="00F77E0B" w:rsidRDefault="00200421" w:rsidP="00F77E0B">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 xml:space="preserve">Genetic </w:t>
      </w:r>
      <w:r w:rsidR="005326A7" w:rsidRPr="00A67EAE">
        <w:rPr>
          <w:rFonts w:ascii="Times New Roman" w:eastAsia="Times New Roman" w:hAnsi="Times New Roman" w:cs="Times New Roman"/>
          <w:b/>
          <w:bCs/>
          <w:sz w:val="24"/>
          <w:szCs w:val="24"/>
          <w:lang w:val="en-US" w:eastAsia="fr-FR"/>
        </w:rPr>
        <w:t>diversity per region</w:t>
      </w:r>
    </w:p>
    <w:p w14:paraId="4A04A7E4" w14:textId="388DB65D" w:rsidR="000115E8" w:rsidRDefault="000115E8" w:rsidP="00F77E0B">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0115E8">
        <w:rPr>
          <w:rFonts w:ascii="Times New Roman" w:eastAsia="Times New Roman" w:hAnsi="Times New Roman" w:cs="Times New Roman"/>
          <w:b/>
          <w:bCs/>
          <w:sz w:val="24"/>
          <w:szCs w:val="24"/>
          <w:lang w:val="en-US" w:eastAsia="fr-FR"/>
        </w:rPr>
        <w:t xml:space="preserve">Allelic </w:t>
      </w:r>
      <w:r>
        <w:rPr>
          <w:rFonts w:ascii="Times New Roman" w:eastAsia="Times New Roman" w:hAnsi="Times New Roman" w:cs="Times New Roman"/>
          <w:b/>
          <w:bCs/>
          <w:sz w:val="24"/>
          <w:szCs w:val="24"/>
          <w:lang w:val="en-US" w:eastAsia="fr-FR"/>
        </w:rPr>
        <w:t>d</w:t>
      </w:r>
      <w:r w:rsidRPr="000115E8">
        <w:rPr>
          <w:rFonts w:ascii="Times New Roman" w:eastAsia="Times New Roman" w:hAnsi="Times New Roman" w:cs="Times New Roman"/>
          <w:b/>
          <w:bCs/>
          <w:sz w:val="24"/>
          <w:szCs w:val="24"/>
          <w:lang w:val="en-US" w:eastAsia="fr-FR"/>
        </w:rPr>
        <w:t xml:space="preserve">iversity and </w:t>
      </w:r>
      <w:r>
        <w:rPr>
          <w:rFonts w:ascii="Times New Roman" w:eastAsia="Times New Roman" w:hAnsi="Times New Roman" w:cs="Times New Roman"/>
          <w:b/>
          <w:bCs/>
          <w:sz w:val="24"/>
          <w:szCs w:val="24"/>
          <w:lang w:val="en-US" w:eastAsia="fr-FR"/>
        </w:rPr>
        <w:t>p</w:t>
      </w:r>
      <w:r w:rsidRPr="000115E8">
        <w:rPr>
          <w:rFonts w:ascii="Times New Roman" w:eastAsia="Times New Roman" w:hAnsi="Times New Roman" w:cs="Times New Roman"/>
          <w:b/>
          <w:bCs/>
          <w:sz w:val="24"/>
          <w:szCs w:val="24"/>
          <w:lang w:val="en-US" w:eastAsia="fr-FR"/>
        </w:rPr>
        <w:t xml:space="preserve">olymorphism </w:t>
      </w:r>
      <w:r>
        <w:rPr>
          <w:rFonts w:ascii="Times New Roman" w:eastAsia="Times New Roman" w:hAnsi="Times New Roman" w:cs="Times New Roman"/>
          <w:b/>
          <w:bCs/>
          <w:sz w:val="24"/>
          <w:szCs w:val="24"/>
          <w:lang w:val="en-US" w:eastAsia="fr-FR"/>
        </w:rPr>
        <w:t>r</w:t>
      </w:r>
      <w:r w:rsidRPr="000115E8">
        <w:rPr>
          <w:rFonts w:ascii="Times New Roman" w:eastAsia="Times New Roman" w:hAnsi="Times New Roman" w:cs="Times New Roman"/>
          <w:b/>
          <w:bCs/>
          <w:sz w:val="24"/>
          <w:szCs w:val="24"/>
          <w:lang w:val="en-US" w:eastAsia="fr-FR"/>
        </w:rPr>
        <w:t>ate</w:t>
      </w:r>
    </w:p>
    <w:p w14:paraId="6FE0036E" w14:textId="145989B5" w:rsidR="00200421" w:rsidRDefault="00F77E0B"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77E0B">
        <w:rPr>
          <w:rFonts w:ascii="Times New Roman" w:eastAsia="Times New Roman" w:hAnsi="Times New Roman" w:cs="Times New Roman"/>
          <w:sz w:val="24"/>
          <w:szCs w:val="24"/>
          <w:lang w:val="en-US" w:eastAsia="fr-FR"/>
        </w:rPr>
        <w:t xml:space="preserve">The number of different alleles (Na) showed marked variation among genotypes across regions, with an overall mean of 2.28 alleles per locus across the five regions. The average proportion of polymorphic loci (P) across all regions was 88%. Genotypes from the Dosso, Tahoua, and Zinder regions exhibited the highest level of polymorphism, with 100% polymorphic loci, whereas the lowest proportion of polymorphic loci (60%) was observed in genotypes from the </w:t>
      </w:r>
      <w:r>
        <w:rPr>
          <w:rFonts w:ascii="Times New Roman" w:eastAsia="Times New Roman" w:hAnsi="Times New Roman" w:cs="Times New Roman"/>
          <w:sz w:val="24"/>
          <w:szCs w:val="24"/>
          <w:lang w:val="en-US" w:eastAsia="fr-FR"/>
        </w:rPr>
        <w:t>Tillabéry</w:t>
      </w:r>
      <w:r w:rsidRPr="00F77E0B">
        <w:rPr>
          <w:rFonts w:ascii="Times New Roman" w:eastAsia="Times New Roman" w:hAnsi="Times New Roman" w:cs="Times New Roman"/>
          <w:sz w:val="24"/>
          <w:szCs w:val="24"/>
          <w:lang w:val="en-US" w:eastAsia="fr-FR"/>
        </w:rPr>
        <w:t xml:space="preserve"> region (Table 3)</w:t>
      </w:r>
      <w:r w:rsidR="00CE0706" w:rsidRPr="00A67EAE">
        <w:rPr>
          <w:rFonts w:ascii="Times New Roman" w:eastAsia="Times New Roman" w:hAnsi="Times New Roman" w:cs="Times New Roman"/>
          <w:sz w:val="24"/>
          <w:szCs w:val="24"/>
          <w:lang w:val="en-US" w:eastAsia="fr-FR"/>
        </w:rPr>
        <w:t>.</w:t>
      </w:r>
    </w:p>
    <w:p w14:paraId="3CC91254" w14:textId="77777777" w:rsidR="00267AB3" w:rsidRDefault="00267AB3"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55AB1503" w14:textId="77777777" w:rsidR="00267AB3" w:rsidRDefault="00267AB3"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26B12329" w14:textId="77777777" w:rsidR="00267AB3" w:rsidRPr="00A67EAE" w:rsidRDefault="00267AB3"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7FF08FCA" w14:textId="7DF9D69C" w:rsidR="00200421" w:rsidRPr="00A67EAE" w:rsidRDefault="00200421"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bCs/>
          <w:sz w:val="24"/>
          <w:szCs w:val="24"/>
          <w:lang w:val="en-US" w:eastAsia="fr-FR"/>
        </w:rPr>
        <w:t>Table</w:t>
      </w:r>
      <w:r w:rsidR="00F93A60" w:rsidRPr="00A67EAE">
        <w:rPr>
          <w:rFonts w:ascii="Times New Roman" w:eastAsia="Times New Roman" w:hAnsi="Times New Roman" w:cs="Times New Roman"/>
          <w:bCs/>
          <w:sz w:val="24"/>
          <w:szCs w:val="24"/>
          <w:lang w:val="en-US" w:eastAsia="fr-FR"/>
        </w:rPr>
        <w:t xml:space="preserve"> 3</w:t>
      </w:r>
      <w:r w:rsidRPr="00A67EAE">
        <w:rPr>
          <w:rFonts w:ascii="Times New Roman" w:eastAsia="Times New Roman" w:hAnsi="Times New Roman" w:cs="Times New Roman"/>
          <w:bCs/>
          <w:sz w:val="24"/>
          <w:szCs w:val="24"/>
          <w:lang w:val="en-US" w:eastAsia="fr-FR"/>
        </w:rPr>
        <w:t xml:space="preserve">: </w:t>
      </w:r>
      <w:r w:rsidR="000115E8" w:rsidRPr="000115E8">
        <w:rPr>
          <w:rFonts w:ascii="Times New Roman" w:eastAsia="Times New Roman" w:hAnsi="Times New Roman" w:cs="Times New Roman"/>
          <w:bCs/>
          <w:sz w:val="24"/>
          <w:szCs w:val="24"/>
          <w:lang w:val="en-US" w:eastAsia="fr-FR"/>
        </w:rPr>
        <w:t>Allelic diversity and polymorphism rate</w:t>
      </w:r>
      <w:r w:rsidRPr="00A67EAE">
        <w:rPr>
          <w:rFonts w:ascii="Times New Roman" w:eastAsia="Times New Roman" w:hAnsi="Times New Roman" w:cs="Times New Roman"/>
          <w:bCs/>
          <w:sz w:val="24"/>
          <w:szCs w:val="24"/>
          <w:lang w:val="en-US" w:eastAsia="fr-FR"/>
        </w:rPr>
        <w:t xml:space="preserve"> </w:t>
      </w:r>
      <w:r w:rsidR="000115E8">
        <w:rPr>
          <w:rFonts w:ascii="Times New Roman" w:eastAsia="Times New Roman" w:hAnsi="Times New Roman" w:cs="Times New Roman"/>
          <w:bCs/>
          <w:sz w:val="24"/>
          <w:szCs w:val="24"/>
          <w:lang w:val="en-US" w:eastAsia="fr-FR"/>
        </w:rPr>
        <w:t>per</w:t>
      </w:r>
      <w:r w:rsidRPr="00A67EAE">
        <w:rPr>
          <w:rFonts w:ascii="Times New Roman" w:eastAsia="Times New Roman" w:hAnsi="Times New Roman" w:cs="Times New Roman"/>
          <w:bCs/>
          <w:sz w:val="24"/>
          <w:szCs w:val="24"/>
          <w:lang w:val="en-US" w:eastAsia="fr-FR"/>
        </w:rPr>
        <w:t xml:space="preserve"> </w:t>
      </w:r>
      <w:r w:rsidR="000115E8">
        <w:rPr>
          <w:rFonts w:ascii="Times New Roman" w:eastAsia="Times New Roman" w:hAnsi="Times New Roman" w:cs="Times New Roman"/>
          <w:bCs/>
          <w:sz w:val="24"/>
          <w:szCs w:val="24"/>
          <w:lang w:val="en-US" w:eastAsia="fr-FR"/>
        </w:rPr>
        <w:t>r</w:t>
      </w:r>
      <w:r w:rsidRPr="00A67EAE">
        <w:rPr>
          <w:rFonts w:ascii="Times New Roman" w:eastAsia="Times New Roman" w:hAnsi="Times New Roman" w:cs="Times New Roman"/>
          <w:bCs/>
          <w:sz w:val="24"/>
          <w:szCs w:val="24"/>
          <w:lang w:val="en-US" w:eastAsia="fr-FR"/>
        </w:rPr>
        <w:t>egion</w:t>
      </w:r>
    </w:p>
    <w:tbl>
      <w:tblPr>
        <w:tblStyle w:val="PlainTable2"/>
        <w:tblW w:w="0" w:type="auto"/>
        <w:tblLook w:val="04A0" w:firstRow="1" w:lastRow="0" w:firstColumn="1" w:lastColumn="0" w:noHBand="0" w:noVBand="1"/>
      </w:tblPr>
      <w:tblGrid>
        <w:gridCol w:w="1368"/>
        <w:gridCol w:w="1529"/>
        <w:gridCol w:w="1671"/>
        <w:gridCol w:w="1940"/>
      </w:tblGrid>
      <w:tr w:rsidR="00200421" w:rsidRPr="00071A61" w14:paraId="037D1D95" w14:textId="77777777" w:rsidTr="009A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18" w:space="0" w:color="000000"/>
              <w:bottom w:val="single" w:sz="18" w:space="0" w:color="000000"/>
            </w:tcBorders>
            <w:hideMark/>
          </w:tcPr>
          <w:p w14:paraId="22593D97" w14:textId="6174B819" w:rsidR="009A66C2" w:rsidRPr="00F5096D" w:rsidRDefault="00200421" w:rsidP="000D63C5">
            <w:pPr>
              <w:spacing w:before="100" w:beforeAutospacing="1" w:after="100" w:afterAutospacing="1" w:line="360" w:lineRule="auto"/>
              <w:jc w:val="both"/>
              <w:rPr>
                <w:rFonts w:ascii="Times New Roman" w:eastAsia="Times New Roman" w:hAnsi="Times New Roman" w:cs="Times New Roman"/>
                <w:bCs w:val="0"/>
                <w:sz w:val="24"/>
                <w:szCs w:val="24"/>
                <w:lang w:eastAsia="fr-FR"/>
              </w:rPr>
            </w:pPr>
            <w:r w:rsidRPr="00F5096D">
              <w:rPr>
                <w:rFonts w:ascii="Times New Roman" w:eastAsia="Times New Roman" w:hAnsi="Times New Roman" w:cs="Times New Roman"/>
                <w:bCs w:val="0"/>
                <w:sz w:val="24"/>
                <w:szCs w:val="24"/>
                <w:lang w:eastAsia="fr-FR"/>
              </w:rPr>
              <w:lastRenderedPageBreak/>
              <w:t>Regions</w:t>
            </w:r>
          </w:p>
        </w:tc>
        <w:tc>
          <w:tcPr>
            <w:tcW w:w="1529" w:type="dxa"/>
            <w:tcBorders>
              <w:top w:val="single" w:sz="18" w:space="0" w:color="000000"/>
              <w:bottom w:val="single" w:sz="18" w:space="0" w:color="000000"/>
            </w:tcBorders>
            <w:hideMark/>
          </w:tcPr>
          <w:p w14:paraId="549C85F2" w14:textId="06C8E10E" w:rsidR="00200421" w:rsidRPr="00F5096D" w:rsidRDefault="00200421"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F5096D">
              <w:rPr>
                <w:rFonts w:ascii="Times New Roman" w:eastAsia="Times New Roman" w:hAnsi="Times New Roman" w:cs="Times New Roman"/>
                <w:bCs w:val="0"/>
                <w:sz w:val="24"/>
                <w:szCs w:val="24"/>
                <w:lang w:eastAsia="fr-FR"/>
              </w:rPr>
              <w:t>N</w:t>
            </w:r>
          </w:p>
        </w:tc>
        <w:tc>
          <w:tcPr>
            <w:tcW w:w="1671" w:type="dxa"/>
            <w:tcBorders>
              <w:top w:val="single" w:sz="18" w:space="0" w:color="000000"/>
              <w:bottom w:val="single" w:sz="18" w:space="0" w:color="000000"/>
            </w:tcBorders>
            <w:hideMark/>
          </w:tcPr>
          <w:p w14:paraId="13CB88AE" w14:textId="24243987" w:rsidR="00200421" w:rsidRPr="00F5096D" w:rsidRDefault="00200421"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F5096D">
              <w:rPr>
                <w:rFonts w:ascii="Times New Roman" w:eastAsia="Times New Roman" w:hAnsi="Times New Roman" w:cs="Times New Roman"/>
                <w:bCs w:val="0"/>
                <w:sz w:val="24"/>
                <w:szCs w:val="24"/>
                <w:lang w:eastAsia="fr-FR"/>
              </w:rPr>
              <w:t>Na</w:t>
            </w:r>
          </w:p>
        </w:tc>
        <w:tc>
          <w:tcPr>
            <w:tcW w:w="1940" w:type="dxa"/>
            <w:tcBorders>
              <w:top w:val="single" w:sz="18" w:space="0" w:color="000000"/>
              <w:bottom w:val="single" w:sz="18" w:space="0" w:color="000000"/>
            </w:tcBorders>
            <w:hideMark/>
          </w:tcPr>
          <w:p w14:paraId="0247470B" w14:textId="01BCB6CA" w:rsidR="00200421" w:rsidRPr="00F5096D" w:rsidRDefault="00200421"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F5096D">
              <w:rPr>
                <w:rFonts w:ascii="Times New Roman" w:eastAsia="Times New Roman" w:hAnsi="Times New Roman" w:cs="Times New Roman"/>
                <w:bCs w:val="0"/>
                <w:sz w:val="24"/>
                <w:szCs w:val="24"/>
                <w:lang w:eastAsia="fr-FR"/>
              </w:rPr>
              <w:t>P</w:t>
            </w:r>
          </w:p>
        </w:tc>
      </w:tr>
      <w:tr w:rsidR="00200421" w:rsidRPr="00071A61" w14:paraId="54CA99ED" w14:textId="77777777" w:rsidTr="009A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18" w:space="0" w:color="000000"/>
            </w:tcBorders>
            <w:hideMark/>
          </w:tcPr>
          <w:p w14:paraId="71E49387"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Dosso</w:t>
            </w:r>
          </w:p>
        </w:tc>
        <w:tc>
          <w:tcPr>
            <w:tcW w:w="1529" w:type="dxa"/>
            <w:tcBorders>
              <w:top w:val="single" w:sz="18" w:space="0" w:color="000000"/>
            </w:tcBorders>
            <w:hideMark/>
          </w:tcPr>
          <w:p w14:paraId="68FC8DEE"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tcBorders>
              <w:top w:val="single" w:sz="18" w:space="0" w:color="000000"/>
            </w:tcBorders>
            <w:hideMark/>
          </w:tcPr>
          <w:p w14:paraId="3BDDC3BF"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2.600</w:t>
            </w:r>
          </w:p>
        </w:tc>
        <w:tc>
          <w:tcPr>
            <w:tcW w:w="1940" w:type="dxa"/>
            <w:tcBorders>
              <w:top w:val="single" w:sz="18" w:space="0" w:color="000000"/>
            </w:tcBorders>
            <w:hideMark/>
          </w:tcPr>
          <w:p w14:paraId="45AB3986"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100.00%</w:t>
            </w:r>
          </w:p>
        </w:tc>
      </w:tr>
      <w:tr w:rsidR="00200421" w:rsidRPr="00071A61" w14:paraId="5198D8DF" w14:textId="77777777" w:rsidTr="009A66C2">
        <w:tc>
          <w:tcPr>
            <w:cnfStyle w:val="001000000000" w:firstRow="0" w:lastRow="0" w:firstColumn="1" w:lastColumn="0" w:oddVBand="0" w:evenVBand="0" w:oddHBand="0" w:evenHBand="0" w:firstRowFirstColumn="0" w:firstRowLastColumn="0" w:lastRowFirstColumn="0" w:lastRowLastColumn="0"/>
            <w:tcW w:w="1368" w:type="dxa"/>
            <w:hideMark/>
          </w:tcPr>
          <w:p w14:paraId="7B80078A"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Maradi</w:t>
            </w:r>
          </w:p>
        </w:tc>
        <w:tc>
          <w:tcPr>
            <w:tcW w:w="1529" w:type="dxa"/>
            <w:hideMark/>
          </w:tcPr>
          <w:p w14:paraId="79AE2F4B"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hideMark/>
          </w:tcPr>
          <w:p w14:paraId="2A593B52"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2.000</w:t>
            </w:r>
          </w:p>
        </w:tc>
        <w:tc>
          <w:tcPr>
            <w:tcW w:w="1940" w:type="dxa"/>
            <w:hideMark/>
          </w:tcPr>
          <w:p w14:paraId="3C4581FF"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80.00%</w:t>
            </w:r>
          </w:p>
        </w:tc>
      </w:tr>
      <w:tr w:rsidR="00200421" w:rsidRPr="00071A61" w14:paraId="2FF45B76" w14:textId="77777777" w:rsidTr="009A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hideMark/>
          </w:tcPr>
          <w:p w14:paraId="6FC4B68E"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Tahoua</w:t>
            </w:r>
          </w:p>
        </w:tc>
        <w:tc>
          <w:tcPr>
            <w:tcW w:w="1529" w:type="dxa"/>
            <w:hideMark/>
          </w:tcPr>
          <w:p w14:paraId="689C53BA"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hideMark/>
          </w:tcPr>
          <w:p w14:paraId="5045075F"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2.200</w:t>
            </w:r>
          </w:p>
        </w:tc>
        <w:tc>
          <w:tcPr>
            <w:tcW w:w="1940" w:type="dxa"/>
            <w:hideMark/>
          </w:tcPr>
          <w:p w14:paraId="0338AA92"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100.00%</w:t>
            </w:r>
          </w:p>
        </w:tc>
      </w:tr>
      <w:tr w:rsidR="00200421" w:rsidRPr="00071A61" w14:paraId="22B54B28" w14:textId="77777777" w:rsidTr="009A66C2">
        <w:tc>
          <w:tcPr>
            <w:cnfStyle w:val="001000000000" w:firstRow="0" w:lastRow="0" w:firstColumn="1" w:lastColumn="0" w:oddVBand="0" w:evenVBand="0" w:oddHBand="0" w:evenHBand="0" w:firstRowFirstColumn="0" w:firstRowLastColumn="0" w:lastRowFirstColumn="0" w:lastRowLastColumn="0"/>
            <w:tcW w:w="1368" w:type="dxa"/>
            <w:hideMark/>
          </w:tcPr>
          <w:p w14:paraId="4C658F17"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Tillabéry</w:t>
            </w:r>
          </w:p>
        </w:tc>
        <w:tc>
          <w:tcPr>
            <w:tcW w:w="1529" w:type="dxa"/>
            <w:hideMark/>
          </w:tcPr>
          <w:p w14:paraId="6F2F524C"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hideMark/>
          </w:tcPr>
          <w:p w14:paraId="057531DD"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1.800</w:t>
            </w:r>
          </w:p>
        </w:tc>
        <w:tc>
          <w:tcPr>
            <w:tcW w:w="1940" w:type="dxa"/>
            <w:hideMark/>
          </w:tcPr>
          <w:p w14:paraId="7C068F53"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60.00%</w:t>
            </w:r>
          </w:p>
        </w:tc>
      </w:tr>
      <w:tr w:rsidR="00200421" w:rsidRPr="00071A61" w14:paraId="7E135978" w14:textId="77777777" w:rsidTr="009A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hideMark/>
          </w:tcPr>
          <w:p w14:paraId="2010F581"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Zinder</w:t>
            </w:r>
          </w:p>
        </w:tc>
        <w:tc>
          <w:tcPr>
            <w:tcW w:w="1529" w:type="dxa"/>
            <w:hideMark/>
          </w:tcPr>
          <w:p w14:paraId="45A723A4" w14:textId="4B5AA6D9" w:rsidR="00200421" w:rsidRPr="00071A61" w:rsidRDefault="00C32A79"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00200421" w:rsidRPr="00071A6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0</w:t>
            </w:r>
            <w:r w:rsidR="00200421" w:rsidRPr="00071A61">
              <w:rPr>
                <w:rFonts w:ascii="Times New Roman" w:eastAsia="Times New Roman" w:hAnsi="Times New Roman" w:cs="Times New Roman"/>
                <w:sz w:val="24"/>
                <w:szCs w:val="24"/>
                <w:lang w:eastAsia="fr-FR"/>
              </w:rPr>
              <w:t>00</w:t>
            </w:r>
          </w:p>
        </w:tc>
        <w:tc>
          <w:tcPr>
            <w:tcW w:w="1671" w:type="dxa"/>
            <w:hideMark/>
          </w:tcPr>
          <w:p w14:paraId="380F12E2"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2.800</w:t>
            </w:r>
          </w:p>
        </w:tc>
        <w:tc>
          <w:tcPr>
            <w:tcW w:w="1940" w:type="dxa"/>
            <w:hideMark/>
          </w:tcPr>
          <w:p w14:paraId="35544CCE"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100.00%</w:t>
            </w:r>
          </w:p>
        </w:tc>
      </w:tr>
      <w:tr w:rsidR="00200421" w:rsidRPr="00071A61" w14:paraId="622FBF95" w14:textId="77777777" w:rsidTr="009A66C2">
        <w:tc>
          <w:tcPr>
            <w:cnfStyle w:val="001000000000" w:firstRow="0" w:lastRow="0" w:firstColumn="1" w:lastColumn="0" w:oddVBand="0" w:evenVBand="0" w:oddHBand="0" w:evenHBand="0" w:firstRowFirstColumn="0" w:firstRowLastColumn="0" w:lastRowFirstColumn="0" w:lastRowLastColumn="0"/>
            <w:tcW w:w="1368" w:type="dxa"/>
            <w:tcBorders>
              <w:bottom w:val="single" w:sz="18" w:space="0" w:color="000000"/>
            </w:tcBorders>
            <w:hideMark/>
          </w:tcPr>
          <w:p w14:paraId="475C3A3E"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Average</w:t>
            </w:r>
          </w:p>
        </w:tc>
        <w:tc>
          <w:tcPr>
            <w:tcW w:w="1529" w:type="dxa"/>
            <w:tcBorders>
              <w:bottom w:val="single" w:sz="18" w:space="0" w:color="000000"/>
            </w:tcBorders>
            <w:hideMark/>
          </w:tcPr>
          <w:p w14:paraId="38333ADC" w14:textId="2707632F" w:rsidR="00200421" w:rsidRPr="00071A61" w:rsidRDefault="00C32A79"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5</w:t>
            </w:r>
            <w:r w:rsidR="00200421" w:rsidRPr="00071A61">
              <w:rPr>
                <w:rFonts w:ascii="Times New Roman" w:eastAsia="Times New Roman" w:hAnsi="Times New Roman" w:cs="Times New Roman"/>
                <w:bCs/>
                <w:sz w:val="24"/>
                <w:szCs w:val="24"/>
                <w:lang w:eastAsia="fr-FR"/>
              </w:rPr>
              <w:t>.</w:t>
            </w:r>
            <w:r>
              <w:rPr>
                <w:rFonts w:ascii="Times New Roman" w:eastAsia="Times New Roman" w:hAnsi="Times New Roman" w:cs="Times New Roman"/>
                <w:bCs/>
                <w:sz w:val="24"/>
                <w:szCs w:val="24"/>
                <w:lang w:eastAsia="fr-FR"/>
              </w:rPr>
              <w:t>00</w:t>
            </w:r>
            <w:r w:rsidR="00200421" w:rsidRPr="00071A61">
              <w:rPr>
                <w:rFonts w:ascii="Times New Roman" w:eastAsia="Times New Roman" w:hAnsi="Times New Roman" w:cs="Times New Roman"/>
                <w:bCs/>
                <w:sz w:val="24"/>
                <w:szCs w:val="24"/>
                <w:lang w:eastAsia="fr-FR"/>
              </w:rPr>
              <w:t>0</w:t>
            </w:r>
          </w:p>
        </w:tc>
        <w:tc>
          <w:tcPr>
            <w:tcW w:w="1671" w:type="dxa"/>
            <w:tcBorders>
              <w:bottom w:val="single" w:sz="18" w:space="0" w:color="000000"/>
            </w:tcBorders>
            <w:hideMark/>
          </w:tcPr>
          <w:p w14:paraId="2065D7B3"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2.280</w:t>
            </w:r>
          </w:p>
        </w:tc>
        <w:tc>
          <w:tcPr>
            <w:tcW w:w="1940" w:type="dxa"/>
            <w:tcBorders>
              <w:bottom w:val="single" w:sz="18" w:space="0" w:color="000000"/>
            </w:tcBorders>
            <w:hideMark/>
          </w:tcPr>
          <w:p w14:paraId="7E10B654"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88.00%</w:t>
            </w:r>
          </w:p>
        </w:tc>
      </w:tr>
    </w:tbl>
    <w:p w14:paraId="5CD595C3" w14:textId="7D61491F" w:rsidR="00200421" w:rsidRPr="00A67EAE" w:rsidRDefault="00200421" w:rsidP="000D63C5">
      <w:pPr>
        <w:spacing w:before="100" w:beforeAutospacing="1" w:after="100" w:afterAutospacing="1" w:line="360" w:lineRule="auto"/>
        <w:jc w:val="both"/>
        <w:rPr>
          <w:rFonts w:ascii="Times New Roman" w:eastAsia="Times New Roman" w:hAnsi="Times New Roman" w:cs="Times New Roman"/>
          <w:sz w:val="18"/>
          <w:szCs w:val="18"/>
          <w:lang w:val="en-US" w:eastAsia="fr-FR"/>
        </w:rPr>
      </w:pPr>
      <w:r w:rsidRPr="00A67EAE">
        <w:rPr>
          <w:rFonts w:ascii="Times New Roman" w:eastAsia="Times New Roman" w:hAnsi="Times New Roman" w:cs="Times New Roman"/>
          <w:sz w:val="18"/>
          <w:szCs w:val="18"/>
          <w:lang w:val="en-US" w:eastAsia="fr-FR"/>
        </w:rPr>
        <w:t>Number of samples (N), Number of different alleles (Na), Proportion of polymorphic loci (P)</w:t>
      </w:r>
    </w:p>
    <w:p w14:paraId="628FEAF2" w14:textId="002257A0" w:rsidR="003F727D" w:rsidRPr="003F727D" w:rsidRDefault="003F727D" w:rsidP="003F727D">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F727D">
        <w:rPr>
          <w:rFonts w:ascii="Times New Roman" w:eastAsia="Times New Roman" w:hAnsi="Times New Roman" w:cs="Times New Roman"/>
          <w:b/>
          <w:bCs/>
          <w:sz w:val="24"/>
          <w:szCs w:val="24"/>
          <w:lang w:val="en-US" w:eastAsia="fr-FR"/>
        </w:rPr>
        <w:t xml:space="preserve">Expected and </w:t>
      </w:r>
      <w:r w:rsidR="000115E8">
        <w:rPr>
          <w:rFonts w:ascii="Times New Roman" w:eastAsia="Times New Roman" w:hAnsi="Times New Roman" w:cs="Times New Roman"/>
          <w:b/>
          <w:bCs/>
          <w:sz w:val="24"/>
          <w:szCs w:val="24"/>
          <w:lang w:val="en-US" w:eastAsia="fr-FR"/>
        </w:rPr>
        <w:t>o</w:t>
      </w:r>
      <w:r w:rsidRPr="003F727D">
        <w:rPr>
          <w:rFonts w:ascii="Times New Roman" w:eastAsia="Times New Roman" w:hAnsi="Times New Roman" w:cs="Times New Roman"/>
          <w:b/>
          <w:bCs/>
          <w:sz w:val="24"/>
          <w:szCs w:val="24"/>
          <w:lang w:val="en-US" w:eastAsia="fr-FR"/>
        </w:rPr>
        <w:t xml:space="preserve">bserved </w:t>
      </w:r>
      <w:r w:rsidR="000115E8">
        <w:rPr>
          <w:rFonts w:ascii="Times New Roman" w:eastAsia="Times New Roman" w:hAnsi="Times New Roman" w:cs="Times New Roman"/>
          <w:b/>
          <w:bCs/>
          <w:sz w:val="24"/>
          <w:szCs w:val="24"/>
          <w:lang w:val="en-US" w:eastAsia="fr-FR"/>
        </w:rPr>
        <w:t>h</w:t>
      </w:r>
      <w:r w:rsidRPr="003F727D">
        <w:rPr>
          <w:rFonts w:ascii="Times New Roman" w:eastAsia="Times New Roman" w:hAnsi="Times New Roman" w:cs="Times New Roman"/>
          <w:b/>
          <w:bCs/>
          <w:sz w:val="24"/>
          <w:szCs w:val="24"/>
          <w:lang w:val="en-US" w:eastAsia="fr-FR"/>
        </w:rPr>
        <w:t xml:space="preserve">eterozygosity </w:t>
      </w:r>
    </w:p>
    <w:p w14:paraId="6F16DD6B" w14:textId="74961655" w:rsidR="00200421" w:rsidRPr="00A67EAE" w:rsidRDefault="003F727D" w:rsidP="003F727D">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F727D">
        <w:rPr>
          <w:rFonts w:ascii="Times New Roman" w:eastAsia="Times New Roman" w:hAnsi="Times New Roman" w:cs="Times New Roman"/>
          <w:sz w:val="24"/>
          <w:szCs w:val="24"/>
          <w:lang w:val="en-US" w:eastAsia="fr-FR"/>
        </w:rPr>
        <w:t>Observed heterozygosity (Ho) and expected heterozygosity (He) were estimated for genotypes from the five regions under the assumption of Hardy</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 xml:space="preserve">Weinberg equilibrium. </w:t>
      </w:r>
      <w:r w:rsidR="004F5016" w:rsidRPr="003F727D">
        <w:rPr>
          <w:rFonts w:ascii="Times New Roman" w:eastAsia="Times New Roman" w:hAnsi="Times New Roman" w:cs="Times New Roman"/>
          <w:sz w:val="24"/>
          <w:szCs w:val="24"/>
          <w:lang w:val="en-US" w:eastAsia="fr-FR"/>
        </w:rPr>
        <w:t xml:space="preserve">All genotypes from the five regions displayed </w:t>
      </w:r>
      <w:r w:rsidR="004F5016">
        <w:rPr>
          <w:rFonts w:ascii="Times New Roman" w:eastAsia="Times New Roman" w:hAnsi="Times New Roman" w:cs="Times New Roman"/>
          <w:sz w:val="24"/>
          <w:szCs w:val="24"/>
          <w:lang w:val="en-US" w:eastAsia="fr-FR"/>
        </w:rPr>
        <w:t xml:space="preserve">significant </w:t>
      </w:r>
      <w:r w:rsidR="004F5016" w:rsidRPr="003F727D">
        <w:rPr>
          <w:rFonts w:ascii="Times New Roman" w:eastAsia="Times New Roman" w:hAnsi="Times New Roman" w:cs="Times New Roman"/>
          <w:sz w:val="24"/>
          <w:szCs w:val="24"/>
          <w:lang w:val="en-US" w:eastAsia="fr-FR"/>
        </w:rPr>
        <w:t>heterozygosity excess (Ho &gt; He)</w:t>
      </w:r>
      <w:r w:rsidR="004F5016">
        <w:rPr>
          <w:rFonts w:ascii="Times New Roman" w:eastAsia="Times New Roman" w:hAnsi="Times New Roman" w:cs="Times New Roman"/>
          <w:sz w:val="24"/>
          <w:szCs w:val="24"/>
          <w:lang w:val="en-US" w:eastAsia="fr-FR"/>
        </w:rPr>
        <w:t xml:space="preserve">. </w:t>
      </w:r>
      <w:r w:rsidRPr="003F727D">
        <w:rPr>
          <w:rFonts w:ascii="Times New Roman" w:eastAsia="Times New Roman" w:hAnsi="Times New Roman" w:cs="Times New Roman"/>
          <w:sz w:val="24"/>
          <w:szCs w:val="24"/>
          <w:lang w:val="en-US" w:eastAsia="fr-FR"/>
        </w:rPr>
        <w:t xml:space="preserve">Expected heterozygosity ranged from 0.240 </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Tillabéry</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 xml:space="preserve"> to 0.468 </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Zinder</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 xml:space="preserve">, whereas observed heterozygosity ranged from 0.360 (Tillabéry) to 0.730 (Zinder). </w:t>
      </w:r>
      <w:r w:rsidR="004F5016" w:rsidRPr="003F727D">
        <w:rPr>
          <w:rFonts w:ascii="Times New Roman" w:eastAsia="Times New Roman" w:hAnsi="Times New Roman" w:cs="Times New Roman"/>
          <w:sz w:val="24"/>
          <w:szCs w:val="24"/>
          <w:lang w:val="en-US" w:eastAsia="fr-FR"/>
        </w:rPr>
        <w:t xml:space="preserve">Across </w:t>
      </w:r>
      <w:r w:rsidR="004F5016">
        <w:rPr>
          <w:rFonts w:ascii="Times New Roman" w:eastAsia="Times New Roman" w:hAnsi="Times New Roman" w:cs="Times New Roman"/>
          <w:sz w:val="24"/>
          <w:szCs w:val="24"/>
          <w:lang w:val="en-US" w:eastAsia="fr-FR"/>
        </w:rPr>
        <w:t>the five</w:t>
      </w:r>
      <w:r w:rsidR="004F5016" w:rsidRPr="003F727D">
        <w:rPr>
          <w:rFonts w:ascii="Times New Roman" w:eastAsia="Times New Roman" w:hAnsi="Times New Roman" w:cs="Times New Roman"/>
          <w:sz w:val="24"/>
          <w:szCs w:val="24"/>
          <w:lang w:val="en-US" w:eastAsia="fr-FR"/>
        </w:rPr>
        <w:t xml:space="preserve"> regions, the mean Ho and He were 0.530 and 0.344, respectively</w:t>
      </w:r>
      <w:r w:rsidR="004F5016">
        <w:rPr>
          <w:rFonts w:ascii="Times New Roman" w:eastAsia="Times New Roman" w:hAnsi="Times New Roman" w:cs="Times New Roman"/>
          <w:sz w:val="24"/>
          <w:szCs w:val="24"/>
          <w:lang w:val="en-US" w:eastAsia="fr-FR"/>
        </w:rPr>
        <w:t xml:space="preserve"> (Figure 2)</w:t>
      </w:r>
      <w:r w:rsidRPr="003F727D">
        <w:rPr>
          <w:rFonts w:ascii="Times New Roman" w:eastAsia="Times New Roman" w:hAnsi="Times New Roman" w:cs="Times New Roman"/>
          <w:sz w:val="24"/>
          <w:szCs w:val="24"/>
          <w:lang w:val="en-US" w:eastAsia="fr-FR"/>
        </w:rPr>
        <w:t>.</w:t>
      </w:r>
    </w:p>
    <w:tbl>
      <w:tblPr>
        <w:tblStyle w:val="Grilledutableau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065"/>
      </w:tblGrid>
      <w:tr w:rsidR="009A66C2" w:rsidRPr="00071A61" w14:paraId="3FAA04B0" w14:textId="77777777" w:rsidTr="009A66C2">
        <w:tc>
          <w:tcPr>
            <w:tcW w:w="9065" w:type="dxa"/>
            <w:hideMark/>
          </w:tcPr>
          <w:p w14:paraId="5B3948C8" w14:textId="77777777" w:rsidR="009A66C2" w:rsidRPr="00071A61" w:rsidRDefault="009A66C2" w:rsidP="000D63C5">
            <w:pPr>
              <w:spacing w:line="360" w:lineRule="auto"/>
              <w:jc w:val="both"/>
              <w:rPr>
                <w:rFonts w:ascii="Times New Roman" w:eastAsia="Times New Roman" w:hAnsi="Times New Roman" w:cs="Times New Roman"/>
                <w:color w:val="000000"/>
                <w:sz w:val="24"/>
                <w:szCs w:val="24"/>
                <w:lang w:eastAsia="fr-FR"/>
              </w:rPr>
            </w:pPr>
            <w:r w:rsidRPr="00071A61">
              <w:rPr>
                <w:rFonts w:ascii="Times New Roman" w:eastAsia="Calibri" w:hAnsi="Times New Roman" w:cs="Times New Roman"/>
                <w:noProof/>
                <w:color w:val="000000"/>
                <w:sz w:val="24"/>
                <w:szCs w:val="24"/>
                <w:lang w:eastAsia="fr-FR"/>
              </w:rPr>
              <w:drawing>
                <wp:inline distT="0" distB="0" distL="0" distR="0" wp14:anchorId="46A34AE4" wp14:editId="53D5BF5E">
                  <wp:extent cx="5032375" cy="2278380"/>
                  <wp:effectExtent l="0" t="0" r="15875" b="7620"/>
                  <wp:docPr id="188539" name="Graphique 1885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9A66C2" w:rsidRPr="00071A61" w14:paraId="45633EB8" w14:textId="77777777" w:rsidTr="009A66C2">
        <w:tc>
          <w:tcPr>
            <w:tcW w:w="9065" w:type="dxa"/>
            <w:tcMar>
              <w:top w:w="0" w:type="dxa"/>
              <w:left w:w="108" w:type="dxa"/>
              <w:bottom w:w="0" w:type="dxa"/>
              <w:right w:w="108" w:type="dxa"/>
            </w:tcMar>
            <w:hideMark/>
          </w:tcPr>
          <w:p w14:paraId="78829A38" w14:textId="77777777" w:rsidR="009A66C2" w:rsidRPr="00071A61" w:rsidRDefault="009A66C2" w:rsidP="000D63C5">
            <w:pPr>
              <w:spacing w:line="360" w:lineRule="auto"/>
              <w:jc w:val="both"/>
              <w:rPr>
                <w:rFonts w:ascii="Times New Roman" w:eastAsia="Times New Roman" w:hAnsi="Times New Roman" w:cs="Times New Roman"/>
                <w:color w:val="000000"/>
                <w:sz w:val="24"/>
                <w:szCs w:val="24"/>
                <w:lang w:eastAsia="fr-FR"/>
              </w:rPr>
            </w:pPr>
          </w:p>
        </w:tc>
      </w:tr>
    </w:tbl>
    <w:p w14:paraId="0B69F3BC" w14:textId="0678796C" w:rsidR="005326A7" w:rsidRDefault="00CE0706" w:rsidP="005326A7">
      <w:pPr>
        <w:pStyle w:val="NormalWeb"/>
        <w:spacing w:line="360" w:lineRule="auto"/>
        <w:jc w:val="both"/>
        <w:rPr>
          <w:lang w:val="en-US"/>
        </w:rPr>
      </w:pPr>
      <w:r w:rsidRPr="000115E8">
        <w:rPr>
          <w:b/>
          <w:bCs/>
          <w:lang w:val="en-US"/>
        </w:rPr>
        <w:t>Figure 2</w:t>
      </w:r>
      <w:r w:rsidR="00957330" w:rsidRPr="000115E8">
        <w:rPr>
          <w:b/>
          <w:bCs/>
          <w:lang w:val="en-US"/>
        </w:rPr>
        <w:t>:</w:t>
      </w:r>
      <w:r w:rsidR="00957330" w:rsidRPr="00A67EAE">
        <w:rPr>
          <w:lang w:val="en-US"/>
        </w:rPr>
        <w:t xml:space="preserve"> </w:t>
      </w:r>
      <w:r w:rsidR="000115E8">
        <w:rPr>
          <w:lang w:val="en-US"/>
        </w:rPr>
        <w:t>E</w:t>
      </w:r>
      <w:r w:rsidR="00957330" w:rsidRPr="00A67EAE">
        <w:rPr>
          <w:lang w:val="en-US"/>
        </w:rPr>
        <w:t>xpected (He) and observed heterozygosity (Ho) across</w:t>
      </w:r>
      <w:r w:rsidR="000115E8">
        <w:rPr>
          <w:lang w:val="en-US"/>
        </w:rPr>
        <w:t xml:space="preserve"> regions</w:t>
      </w:r>
      <w:r w:rsidR="00957330" w:rsidRPr="00A67EAE">
        <w:rPr>
          <w:lang w:val="en-US"/>
        </w:rPr>
        <w:t xml:space="preserve"> </w:t>
      </w:r>
    </w:p>
    <w:p w14:paraId="4997D10D" w14:textId="77777777" w:rsidR="00267AB3" w:rsidRDefault="00267AB3" w:rsidP="005326A7">
      <w:pPr>
        <w:pStyle w:val="NormalWeb"/>
        <w:spacing w:line="360" w:lineRule="auto"/>
        <w:jc w:val="both"/>
        <w:rPr>
          <w:lang w:val="en-US"/>
        </w:rPr>
      </w:pPr>
    </w:p>
    <w:p w14:paraId="6CE34B26" w14:textId="77777777" w:rsidR="00267AB3" w:rsidRPr="00A67EAE" w:rsidRDefault="00267AB3" w:rsidP="005326A7">
      <w:pPr>
        <w:pStyle w:val="NormalWeb"/>
        <w:spacing w:line="360" w:lineRule="auto"/>
        <w:jc w:val="both"/>
        <w:rPr>
          <w:lang w:val="en-US"/>
        </w:rPr>
      </w:pPr>
    </w:p>
    <w:p w14:paraId="6128C770" w14:textId="66C6DA9A" w:rsidR="000115E8" w:rsidRPr="000115E8" w:rsidRDefault="000115E8" w:rsidP="000D63C5">
      <w:pPr>
        <w:pStyle w:val="NormalWeb"/>
        <w:spacing w:line="360" w:lineRule="auto"/>
        <w:jc w:val="both"/>
        <w:rPr>
          <w:b/>
          <w:bCs/>
          <w:lang w:val="en-US"/>
        </w:rPr>
      </w:pPr>
      <w:r w:rsidRPr="000115E8">
        <w:rPr>
          <w:b/>
          <w:bCs/>
          <w:lang w:val="en-US"/>
        </w:rPr>
        <w:t>Inbreeding coefficient</w:t>
      </w:r>
      <w:r w:rsidR="00267AB3">
        <w:rPr>
          <w:b/>
          <w:bCs/>
          <w:lang w:val="en-US"/>
        </w:rPr>
        <w:t>s</w:t>
      </w:r>
    </w:p>
    <w:p w14:paraId="079A15C0" w14:textId="5A927A4E" w:rsidR="00200421" w:rsidRPr="00A67EAE" w:rsidRDefault="008B49E6" w:rsidP="000D63C5">
      <w:pPr>
        <w:pStyle w:val="NormalWeb"/>
        <w:spacing w:line="360" w:lineRule="auto"/>
        <w:jc w:val="both"/>
        <w:rPr>
          <w:lang w:val="en-US"/>
        </w:rPr>
      </w:pPr>
      <w:r w:rsidRPr="008B49E6">
        <w:rPr>
          <w:lang w:val="en-US"/>
        </w:rPr>
        <w:lastRenderedPageBreak/>
        <w:t>The inbreeding coefficient (F) per population, averaged across loci, varied among the regions. The highest F value was observed in genotypes from the Tahoua region (</w:t>
      </w:r>
      <w:r>
        <w:rPr>
          <w:lang w:val="en-US"/>
        </w:rPr>
        <w:t>-</w:t>
      </w:r>
      <w:r w:rsidRPr="008B49E6">
        <w:rPr>
          <w:lang w:val="en-US"/>
        </w:rPr>
        <w:t>0.261), while the lowest was recorded in genotypes from the Maradi region (</w:t>
      </w:r>
      <w:r>
        <w:rPr>
          <w:lang w:val="en-US"/>
        </w:rPr>
        <w:t>-</w:t>
      </w:r>
      <w:r w:rsidRPr="008B49E6">
        <w:rPr>
          <w:lang w:val="en-US"/>
        </w:rPr>
        <w:t xml:space="preserve">0.604). The overall mean inbreeding coefficient was </w:t>
      </w:r>
      <w:r>
        <w:rPr>
          <w:lang w:val="en-US"/>
        </w:rPr>
        <w:t>-</w:t>
      </w:r>
      <w:r w:rsidRPr="008B49E6">
        <w:rPr>
          <w:lang w:val="en-US"/>
        </w:rPr>
        <w:t>0.442</w:t>
      </w:r>
      <w:r>
        <w:rPr>
          <w:lang w:val="en-US"/>
        </w:rPr>
        <w:t xml:space="preserve">, </w:t>
      </w:r>
      <w:r w:rsidRPr="008B49E6">
        <w:rPr>
          <w:lang w:val="en-US"/>
        </w:rPr>
        <w:t>indicating an overall excess of heterozygotes across the populations (Figure 3)</w:t>
      </w:r>
      <w:r w:rsidR="00200421" w:rsidRPr="00A67EAE">
        <w:rPr>
          <w:lang w:val="en-US"/>
        </w:rPr>
        <w:t>.</w:t>
      </w:r>
    </w:p>
    <w:tbl>
      <w:tblPr>
        <w:tblStyle w:val="Grilledutableau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065"/>
      </w:tblGrid>
      <w:tr w:rsidR="00957330" w:rsidRPr="00071A61" w14:paraId="04A67F9C" w14:textId="77777777" w:rsidTr="005326A7">
        <w:tc>
          <w:tcPr>
            <w:tcW w:w="9065" w:type="dxa"/>
            <w:hideMark/>
          </w:tcPr>
          <w:p w14:paraId="3D4113EF" w14:textId="77777777" w:rsidR="00957330" w:rsidRPr="00071A61" w:rsidRDefault="00957330" w:rsidP="000D63C5">
            <w:pPr>
              <w:spacing w:line="360" w:lineRule="auto"/>
              <w:jc w:val="both"/>
              <w:rPr>
                <w:rFonts w:ascii="Times New Roman" w:hAnsi="Times New Roman" w:cs="Times New Roman"/>
                <w:sz w:val="24"/>
                <w:szCs w:val="24"/>
                <w:lang w:eastAsia="fr-FR"/>
              </w:rPr>
            </w:pPr>
            <w:r w:rsidRPr="00071A61">
              <w:rPr>
                <w:rFonts w:ascii="Times New Roman" w:eastAsia="Calibri" w:hAnsi="Times New Roman" w:cs="Times New Roman"/>
                <w:noProof/>
                <w:color w:val="000000"/>
                <w:sz w:val="24"/>
                <w:szCs w:val="24"/>
                <w:lang w:eastAsia="fr-FR"/>
              </w:rPr>
              <w:drawing>
                <wp:inline distT="0" distB="0" distL="0" distR="0" wp14:anchorId="32282315" wp14:editId="1E3FF9D1">
                  <wp:extent cx="4942294" cy="2183765"/>
                  <wp:effectExtent l="0" t="0" r="10795" b="6985"/>
                  <wp:docPr id="188540" name="Graphique 1885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bookmarkStart w:id="0" w:name="_GoBack"/>
        <w:bookmarkEnd w:id="0"/>
      </w:tr>
      <w:tr w:rsidR="00957330" w:rsidRPr="00071A61" w14:paraId="25B3BDB4" w14:textId="77777777" w:rsidTr="005326A7">
        <w:tc>
          <w:tcPr>
            <w:tcW w:w="9065" w:type="dxa"/>
            <w:tcMar>
              <w:top w:w="0" w:type="dxa"/>
              <w:left w:w="108" w:type="dxa"/>
              <w:bottom w:w="0" w:type="dxa"/>
              <w:right w:w="108" w:type="dxa"/>
            </w:tcMar>
            <w:hideMark/>
          </w:tcPr>
          <w:p w14:paraId="027A379A" w14:textId="77777777" w:rsidR="00957330" w:rsidRPr="00071A61" w:rsidRDefault="00957330" w:rsidP="000D63C5">
            <w:pPr>
              <w:spacing w:line="360" w:lineRule="auto"/>
              <w:jc w:val="both"/>
              <w:rPr>
                <w:rFonts w:ascii="Times New Roman" w:hAnsi="Times New Roman" w:cs="Times New Roman"/>
                <w:iCs/>
                <w:sz w:val="24"/>
                <w:szCs w:val="24"/>
                <w:lang w:eastAsia="fr-FR"/>
              </w:rPr>
            </w:pPr>
          </w:p>
        </w:tc>
      </w:tr>
    </w:tbl>
    <w:p w14:paraId="7B81630E" w14:textId="7AA8B6A1" w:rsidR="00957330" w:rsidRPr="00A67EAE" w:rsidRDefault="00CE0706"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B49E6">
        <w:rPr>
          <w:rFonts w:ascii="Times New Roman" w:eastAsia="Times New Roman" w:hAnsi="Times New Roman" w:cs="Times New Roman"/>
          <w:b/>
          <w:bCs/>
          <w:sz w:val="24"/>
          <w:szCs w:val="24"/>
          <w:lang w:val="en-US" w:eastAsia="fr-FR"/>
        </w:rPr>
        <w:t>Figure 3</w:t>
      </w:r>
      <w:r w:rsidR="00957330" w:rsidRPr="008B49E6">
        <w:rPr>
          <w:rFonts w:ascii="Times New Roman" w:eastAsia="Times New Roman" w:hAnsi="Times New Roman" w:cs="Times New Roman"/>
          <w:b/>
          <w:bCs/>
          <w:sz w:val="24"/>
          <w:szCs w:val="24"/>
          <w:lang w:val="en-US" w:eastAsia="fr-FR"/>
        </w:rPr>
        <w:t>:</w:t>
      </w:r>
      <w:r w:rsidR="00957330" w:rsidRPr="00A67EAE">
        <w:rPr>
          <w:rFonts w:ascii="Times New Roman" w:eastAsia="Times New Roman" w:hAnsi="Times New Roman" w:cs="Times New Roman"/>
          <w:sz w:val="24"/>
          <w:szCs w:val="24"/>
          <w:lang w:val="en-US" w:eastAsia="fr-FR"/>
        </w:rPr>
        <w:t xml:space="preserve"> </w:t>
      </w:r>
      <w:r w:rsidR="008B49E6" w:rsidRPr="008B49E6">
        <w:rPr>
          <w:rFonts w:ascii="Times New Roman" w:eastAsia="Times New Roman" w:hAnsi="Times New Roman" w:cs="Times New Roman"/>
          <w:sz w:val="24"/>
          <w:szCs w:val="24"/>
          <w:lang w:val="en-US" w:eastAsia="fr-FR"/>
        </w:rPr>
        <w:t>I</w:t>
      </w:r>
      <w:r w:rsidR="00957330" w:rsidRPr="00A67EAE">
        <w:rPr>
          <w:rFonts w:ascii="Times New Roman" w:eastAsia="Times New Roman" w:hAnsi="Times New Roman" w:cs="Times New Roman"/>
          <w:sz w:val="24"/>
          <w:szCs w:val="24"/>
          <w:lang w:val="en-US" w:eastAsia="fr-FR"/>
        </w:rPr>
        <w:t>nbreeding coefficient</w:t>
      </w:r>
      <w:r w:rsidR="008B49E6">
        <w:rPr>
          <w:rFonts w:ascii="Times New Roman" w:eastAsia="Times New Roman" w:hAnsi="Times New Roman" w:cs="Times New Roman"/>
          <w:sz w:val="24"/>
          <w:szCs w:val="24"/>
          <w:lang w:val="en-US" w:eastAsia="fr-FR"/>
        </w:rPr>
        <w:t>s</w:t>
      </w:r>
      <w:r w:rsidR="00957330" w:rsidRPr="00A67EAE">
        <w:rPr>
          <w:rFonts w:ascii="Times New Roman" w:eastAsia="Times New Roman" w:hAnsi="Times New Roman" w:cs="Times New Roman"/>
          <w:sz w:val="24"/>
          <w:szCs w:val="24"/>
          <w:lang w:val="en-US" w:eastAsia="fr-FR"/>
        </w:rPr>
        <w:t xml:space="preserve"> across </w:t>
      </w:r>
      <w:r w:rsidRPr="00A67EAE">
        <w:rPr>
          <w:rFonts w:ascii="Times New Roman" w:eastAsia="Times New Roman" w:hAnsi="Times New Roman" w:cs="Times New Roman"/>
          <w:sz w:val="24"/>
          <w:szCs w:val="24"/>
          <w:lang w:val="en-US" w:eastAsia="fr-FR"/>
        </w:rPr>
        <w:t>genotypes from the five regions</w:t>
      </w:r>
    </w:p>
    <w:p w14:paraId="035445ED" w14:textId="0B85E336" w:rsidR="0025076B" w:rsidRPr="0025076B" w:rsidRDefault="0025076B" w:rsidP="0025076B">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 xml:space="preserve">Genetic diversity per </w:t>
      </w:r>
      <w:r>
        <w:rPr>
          <w:rFonts w:ascii="Times New Roman" w:eastAsia="Times New Roman" w:hAnsi="Times New Roman" w:cs="Times New Roman"/>
          <w:b/>
          <w:bCs/>
          <w:sz w:val="24"/>
          <w:szCs w:val="24"/>
          <w:lang w:val="en-US" w:eastAsia="fr-FR"/>
        </w:rPr>
        <w:t>locus</w:t>
      </w:r>
    </w:p>
    <w:p w14:paraId="2DC1F790" w14:textId="399E273E" w:rsidR="00FE1DAF" w:rsidRPr="00A67EAE" w:rsidRDefault="00FE1DAF"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 xml:space="preserve">Total </w:t>
      </w:r>
      <w:r w:rsidR="00957330" w:rsidRPr="00A67EAE">
        <w:rPr>
          <w:rFonts w:ascii="Times New Roman" w:eastAsia="Times New Roman" w:hAnsi="Times New Roman" w:cs="Times New Roman"/>
          <w:b/>
          <w:sz w:val="24"/>
          <w:szCs w:val="24"/>
          <w:lang w:val="en-US" w:eastAsia="fr-FR"/>
        </w:rPr>
        <w:t>genetic diversity</w:t>
      </w:r>
    </w:p>
    <w:p w14:paraId="05432350" w14:textId="2A4E8EE0" w:rsidR="00FE1DAF" w:rsidRDefault="00824AF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24AF5">
        <w:rPr>
          <w:rFonts w:ascii="Times New Roman" w:eastAsia="Times New Roman" w:hAnsi="Times New Roman" w:cs="Times New Roman"/>
          <w:sz w:val="24"/>
          <w:szCs w:val="24"/>
          <w:lang w:val="en-US" w:eastAsia="fr-FR"/>
        </w:rPr>
        <w:t>The total number of alleles per locus (Na) ranged from 1.8 at locus SSR 53 to 2.8 at locus SSR 26, with an overall average of 2.28 alleles per locus across the population. The total polymorphism rate (P) for the population was 100%. Among the polymorphic loci, SSR 58 exhibited the highest expected heterozygosity (He = 0.524) and the highest observed heterozygosity (Ho = 0.920). Across all five loci, the mean expected heterozygosity was 0.344, while the mean observed heterozygosity was 0.530. The highest locus-specific inbreeding coefficient (F) was observed at SSR 53 (–0.143), and the lowest at SSR 63 (–0.757), resulting in an overall average F of –0.442 (Table 4)</w:t>
      </w:r>
      <w:r w:rsidR="005326A7" w:rsidRPr="00A67EAE">
        <w:rPr>
          <w:rFonts w:ascii="Times New Roman" w:eastAsia="Times New Roman" w:hAnsi="Times New Roman" w:cs="Times New Roman"/>
          <w:sz w:val="24"/>
          <w:szCs w:val="24"/>
          <w:lang w:val="en-US" w:eastAsia="fr-FR"/>
        </w:rPr>
        <w:t>.</w:t>
      </w:r>
    </w:p>
    <w:p w14:paraId="47AA7915" w14:textId="77777777" w:rsidR="0025076B" w:rsidRDefault="0025076B"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37F925A1" w14:textId="77777777" w:rsidR="0025076B" w:rsidRPr="00A67EAE" w:rsidRDefault="0025076B"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7BAE58ED" w14:textId="79AB881C" w:rsidR="00200421"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24AF5">
        <w:rPr>
          <w:rFonts w:ascii="Times New Roman" w:eastAsia="Times New Roman" w:hAnsi="Times New Roman" w:cs="Times New Roman"/>
          <w:b/>
          <w:bCs/>
          <w:sz w:val="24"/>
          <w:szCs w:val="24"/>
          <w:lang w:val="en-US" w:eastAsia="fr-FR"/>
        </w:rPr>
        <w:t>Table 4</w:t>
      </w:r>
      <w:r w:rsidR="00FE1DAF" w:rsidRPr="00824AF5">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Variation of genetic parameters </w:t>
      </w:r>
      <w:r w:rsidR="00824AF5">
        <w:rPr>
          <w:rFonts w:ascii="Times New Roman" w:eastAsia="Times New Roman" w:hAnsi="Times New Roman" w:cs="Times New Roman"/>
          <w:sz w:val="24"/>
          <w:szCs w:val="24"/>
          <w:lang w:val="en-US" w:eastAsia="fr-FR"/>
        </w:rPr>
        <w:t>across</w:t>
      </w:r>
      <w:r w:rsidR="00FE1DAF" w:rsidRPr="00A67EAE">
        <w:rPr>
          <w:rFonts w:ascii="Times New Roman" w:eastAsia="Times New Roman" w:hAnsi="Times New Roman" w:cs="Times New Roman"/>
          <w:sz w:val="24"/>
          <w:szCs w:val="24"/>
          <w:lang w:val="en-US" w:eastAsia="fr-FR"/>
        </w:rPr>
        <w:t xml:space="preserve"> loci</w:t>
      </w:r>
    </w:p>
    <w:tbl>
      <w:tblPr>
        <w:tblStyle w:val="PlainTable2"/>
        <w:tblW w:w="0" w:type="auto"/>
        <w:tblLook w:val="04A0" w:firstRow="1" w:lastRow="0" w:firstColumn="1" w:lastColumn="0" w:noHBand="0" w:noVBand="1"/>
      </w:tblPr>
      <w:tblGrid>
        <w:gridCol w:w="1378"/>
        <w:gridCol w:w="1100"/>
        <w:gridCol w:w="1099"/>
        <w:gridCol w:w="1099"/>
        <w:gridCol w:w="1099"/>
        <w:gridCol w:w="1099"/>
        <w:gridCol w:w="1099"/>
      </w:tblGrid>
      <w:tr w:rsidR="00267AB3" w:rsidRPr="00071A61" w14:paraId="6ED77F04" w14:textId="77777777" w:rsidTr="00824A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tcBorders>
              <w:top w:val="single" w:sz="18" w:space="0" w:color="000000"/>
              <w:bottom w:val="single" w:sz="18" w:space="0" w:color="000000"/>
            </w:tcBorders>
            <w:noWrap/>
            <w:hideMark/>
          </w:tcPr>
          <w:p w14:paraId="6A966405" w14:textId="77777777" w:rsidR="00267AB3" w:rsidRPr="00DA22FE" w:rsidRDefault="00267AB3" w:rsidP="000D63C5">
            <w:pPr>
              <w:spacing w:line="360" w:lineRule="auto"/>
              <w:jc w:val="both"/>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lastRenderedPageBreak/>
              <w:t>Locus</w:t>
            </w:r>
          </w:p>
        </w:tc>
        <w:tc>
          <w:tcPr>
            <w:tcW w:w="1100" w:type="dxa"/>
            <w:tcBorders>
              <w:top w:val="single" w:sz="18" w:space="0" w:color="000000"/>
              <w:bottom w:val="single" w:sz="18" w:space="0" w:color="000000"/>
            </w:tcBorders>
            <w:noWrap/>
            <w:hideMark/>
          </w:tcPr>
          <w:p w14:paraId="4D18D9A0"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Na</w:t>
            </w:r>
          </w:p>
        </w:tc>
        <w:tc>
          <w:tcPr>
            <w:tcW w:w="1099" w:type="dxa"/>
            <w:tcBorders>
              <w:top w:val="single" w:sz="18" w:space="0" w:color="000000"/>
              <w:bottom w:val="single" w:sz="18" w:space="0" w:color="000000"/>
            </w:tcBorders>
            <w:noWrap/>
            <w:hideMark/>
          </w:tcPr>
          <w:p w14:paraId="4D61B94C"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NAL</w:t>
            </w:r>
          </w:p>
        </w:tc>
        <w:tc>
          <w:tcPr>
            <w:tcW w:w="1099" w:type="dxa"/>
            <w:tcBorders>
              <w:top w:val="single" w:sz="18" w:space="0" w:color="000000"/>
              <w:bottom w:val="single" w:sz="18" w:space="0" w:color="000000"/>
            </w:tcBorders>
            <w:noWrap/>
            <w:hideMark/>
          </w:tcPr>
          <w:p w14:paraId="390E8136"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P</w:t>
            </w:r>
          </w:p>
        </w:tc>
        <w:tc>
          <w:tcPr>
            <w:tcW w:w="1099" w:type="dxa"/>
            <w:tcBorders>
              <w:top w:val="single" w:sz="18" w:space="0" w:color="000000"/>
              <w:bottom w:val="single" w:sz="18" w:space="0" w:color="000000"/>
            </w:tcBorders>
            <w:noWrap/>
            <w:hideMark/>
          </w:tcPr>
          <w:p w14:paraId="7C7FBDF8"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Ho</w:t>
            </w:r>
          </w:p>
        </w:tc>
        <w:tc>
          <w:tcPr>
            <w:tcW w:w="1099" w:type="dxa"/>
            <w:tcBorders>
              <w:top w:val="single" w:sz="18" w:space="0" w:color="000000"/>
              <w:bottom w:val="single" w:sz="18" w:space="0" w:color="000000"/>
            </w:tcBorders>
            <w:noWrap/>
            <w:hideMark/>
          </w:tcPr>
          <w:p w14:paraId="4BA7CCA1"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He</w:t>
            </w:r>
          </w:p>
        </w:tc>
        <w:tc>
          <w:tcPr>
            <w:tcW w:w="1099" w:type="dxa"/>
            <w:tcBorders>
              <w:top w:val="single" w:sz="18" w:space="0" w:color="000000"/>
              <w:bottom w:val="single" w:sz="18" w:space="0" w:color="000000"/>
            </w:tcBorders>
            <w:noWrap/>
            <w:hideMark/>
          </w:tcPr>
          <w:p w14:paraId="7F6207F0"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F</w:t>
            </w:r>
          </w:p>
        </w:tc>
      </w:tr>
      <w:tr w:rsidR="00267AB3" w:rsidRPr="00071A61" w14:paraId="1A3CA660" w14:textId="77777777" w:rsidTr="00824A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tcBorders>
              <w:top w:val="single" w:sz="18" w:space="0" w:color="000000"/>
            </w:tcBorders>
            <w:noWrap/>
            <w:hideMark/>
          </w:tcPr>
          <w:p w14:paraId="5C30ADF8" w14:textId="77777777" w:rsidR="00267AB3" w:rsidRPr="00071A61" w:rsidRDefault="00267AB3" w:rsidP="000D63C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26</w:t>
            </w:r>
          </w:p>
        </w:tc>
        <w:tc>
          <w:tcPr>
            <w:tcW w:w="1100" w:type="dxa"/>
            <w:tcBorders>
              <w:top w:val="single" w:sz="18" w:space="0" w:color="000000"/>
            </w:tcBorders>
            <w:noWrap/>
            <w:hideMark/>
          </w:tcPr>
          <w:p w14:paraId="4ED28215"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2.600</w:t>
            </w:r>
          </w:p>
        </w:tc>
        <w:tc>
          <w:tcPr>
            <w:tcW w:w="1099" w:type="dxa"/>
            <w:tcBorders>
              <w:top w:val="single" w:sz="18" w:space="0" w:color="000000"/>
            </w:tcBorders>
            <w:noWrap/>
            <w:hideMark/>
          </w:tcPr>
          <w:p w14:paraId="7CD52D07"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5</w:t>
            </w:r>
          </w:p>
        </w:tc>
        <w:tc>
          <w:tcPr>
            <w:tcW w:w="1099" w:type="dxa"/>
            <w:tcBorders>
              <w:top w:val="single" w:sz="18" w:space="0" w:color="000000"/>
            </w:tcBorders>
            <w:noWrap/>
            <w:hideMark/>
          </w:tcPr>
          <w:p w14:paraId="192D57BD"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tcBorders>
              <w:top w:val="single" w:sz="18" w:space="0" w:color="000000"/>
            </w:tcBorders>
            <w:noWrap/>
            <w:hideMark/>
          </w:tcPr>
          <w:p w14:paraId="7B8B9A3D"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0.360</w:t>
            </w:r>
          </w:p>
        </w:tc>
        <w:tc>
          <w:tcPr>
            <w:tcW w:w="1099" w:type="dxa"/>
            <w:tcBorders>
              <w:top w:val="single" w:sz="18" w:space="0" w:color="000000"/>
            </w:tcBorders>
            <w:noWrap/>
            <w:hideMark/>
          </w:tcPr>
          <w:p w14:paraId="35A91949"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0.292</w:t>
            </w:r>
          </w:p>
        </w:tc>
        <w:tc>
          <w:tcPr>
            <w:tcW w:w="1099" w:type="dxa"/>
            <w:tcBorders>
              <w:top w:val="single" w:sz="18" w:space="0" w:color="000000"/>
            </w:tcBorders>
            <w:noWrap/>
            <w:hideMark/>
          </w:tcPr>
          <w:p w14:paraId="333BDA90"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-0.178</w:t>
            </w:r>
          </w:p>
        </w:tc>
      </w:tr>
      <w:tr w:rsidR="00267AB3" w:rsidRPr="00071A61" w14:paraId="4AFFFB2D" w14:textId="77777777" w:rsidTr="00824AF5">
        <w:trPr>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23C75F1C" w14:textId="77777777" w:rsidR="00267AB3" w:rsidRPr="00071A61" w:rsidRDefault="00267AB3" w:rsidP="000D63C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43</w:t>
            </w:r>
          </w:p>
        </w:tc>
        <w:tc>
          <w:tcPr>
            <w:tcW w:w="1100" w:type="dxa"/>
            <w:noWrap/>
            <w:hideMark/>
          </w:tcPr>
          <w:p w14:paraId="1C5DD532"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2.200</w:t>
            </w:r>
          </w:p>
        </w:tc>
        <w:tc>
          <w:tcPr>
            <w:tcW w:w="1099" w:type="dxa"/>
            <w:noWrap/>
            <w:hideMark/>
          </w:tcPr>
          <w:p w14:paraId="56C8932A"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noWrap/>
            <w:hideMark/>
          </w:tcPr>
          <w:p w14:paraId="67C28E58"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2DDBA8E0"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0.320</w:t>
            </w:r>
          </w:p>
        </w:tc>
        <w:tc>
          <w:tcPr>
            <w:tcW w:w="1099" w:type="dxa"/>
            <w:noWrap/>
            <w:hideMark/>
          </w:tcPr>
          <w:p w14:paraId="5EEA6A39"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0.256</w:t>
            </w:r>
          </w:p>
        </w:tc>
        <w:tc>
          <w:tcPr>
            <w:tcW w:w="1099" w:type="dxa"/>
            <w:noWrap/>
            <w:hideMark/>
          </w:tcPr>
          <w:p w14:paraId="61F9E62B"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-0.208</w:t>
            </w:r>
          </w:p>
        </w:tc>
      </w:tr>
      <w:tr w:rsidR="00267AB3" w:rsidRPr="00071A61" w14:paraId="6E8608F6" w14:textId="77777777" w:rsidTr="00824A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5953DB57"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53</w:t>
            </w:r>
          </w:p>
        </w:tc>
        <w:tc>
          <w:tcPr>
            <w:tcW w:w="1100" w:type="dxa"/>
            <w:noWrap/>
            <w:hideMark/>
          </w:tcPr>
          <w:p w14:paraId="3F77A626"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1.800</w:t>
            </w:r>
          </w:p>
        </w:tc>
        <w:tc>
          <w:tcPr>
            <w:tcW w:w="1099" w:type="dxa"/>
            <w:noWrap/>
            <w:hideMark/>
          </w:tcPr>
          <w:p w14:paraId="6C2DE615"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noWrap/>
            <w:hideMark/>
          </w:tcPr>
          <w:p w14:paraId="37E0969C"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3DFEB690"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0.170</w:t>
            </w:r>
          </w:p>
        </w:tc>
        <w:tc>
          <w:tcPr>
            <w:tcW w:w="1099" w:type="dxa"/>
            <w:noWrap/>
            <w:hideMark/>
          </w:tcPr>
          <w:p w14:paraId="6FAE8E9F"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0.148</w:t>
            </w:r>
          </w:p>
        </w:tc>
        <w:tc>
          <w:tcPr>
            <w:tcW w:w="1099" w:type="dxa"/>
            <w:noWrap/>
            <w:hideMark/>
          </w:tcPr>
          <w:p w14:paraId="16A26193"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-0.143</w:t>
            </w:r>
          </w:p>
        </w:tc>
      </w:tr>
      <w:tr w:rsidR="00267AB3" w:rsidRPr="00071A61" w14:paraId="65A34325" w14:textId="77777777" w:rsidTr="00824AF5">
        <w:trPr>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2712A6ED"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58</w:t>
            </w:r>
          </w:p>
        </w:tc>
        <w:tc>
          <w:tcPr>
            <w:tcW w:w="1100" w:type="dxa"/>
            <w:noWrap/>
            <w:hideMark/>
          </w:tcPr>
          <w:p w14:paraId="72E308F7"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2.400</w:t>
            </w:r>
          </w:p>
        </w:tc>
        <w:tc>
          <w:tcPr>
            <w:tcW w:w="1099" w:type="dxa"/>
            <w:noWrap/>
            <w:hideMark/>
          </w:tcPr>
          <w:p w14:paraId="0ADBD84E"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3</w:t>
            </w:r>
          </w:p>
        </w:tc>
        <w:tc>
          <w:tcPr>
            <w:tcW w:w="1099" w:type="dxa"/>
            <w:noWrap/>
            <w:hideMark/>
          </w:tcPr>
          <w:p w14:paraId="2F05E375"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0FF3BF0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0.920</w:t>
            </w:r>
          </w:p>
        </w:tc>
        <w:tc>
          <w:tcPr>
            <w:tcW w:w="1099" w:type="dxa"/>
            <w:noWrap/>
            <w:hideMark/>
          </w:tcPr>
          <w:p w14:paraId="14F4E409"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0.524</w:t>
            </w:r>
          </w:p>
        </w:tc>
        <w:tc>
          <w:tcPr>
            <w:tcW w:w="1099" w:type="dxa"/>
            <w:noWrap/>
            <w:hideMark/>
          </w:tcPr>
          <w:p w14:paraId="11DCFB59"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-0.756</w:t>
            </w:r>
          </w:p>
        </w:tc>
      </w:tr>
      <w:tr w:rsidR="00267AB3" w:rsidRPr="00071A61" w14:paraId="230F79A4" w14:textId="77777777" w:rsidTr="00824A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4353DD06"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63</w:t>
            </w:r>
          </w:p>
        </w:tc>
        <w:tc>
          <w:tcPr>
            <w:tcW w:w="1100" w:type="dxa"/>
            <w:noWrap/>
            <w:hideMark/>
          </w:tcPr>
          <w:p w14:paraId="247F4BA0"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2.400</w:t>
            </w:r>
          </w:p>
        </w:tc>
        <w:tc>
          <w:tcPr>
            <w:tcW w:w="1099" w:type="dxa"/>
            <w:noWrap/>
            <w:hideMark/>
          </w:tcPr>
          <w:p w14:paraId="4285119E"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noWrap/>
            <w:hideMark/>
          </w:tcPr>
          <w:p w14:paraId="0601B8BD"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0B18D213"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0.880</w:t>
            </w:r>
          </w:p>
        </w:tc>
        <w:tc>
          <w:tcPr>
            <w:tcW w:w="1099" w:type="dxa"/>
            <w:noWrap/>
            <w:hideMark/>
          </w:tcPr>
          <w:p w14:paraId="523FEB35"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0.500</w:t>
            </w:r>
          </w:p>
        </w:tc>
        <w:tc>
          <w:tcPr>
            <w:tcW w:w="1099" w:type="dxa"/>
            <w:noWrap/>
            <w:hideMark/>
          </w:tcPr>
          <w:p w14:paraId="792F34F4"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-0.757</w:t>
            </w:r>
          </w:p>
        </w:tc>
      </w:tr>
      <w:tr w:rsidR="00267AB3" w:rsidRPr="00071A61" w14:paraId="48A2A65E" w14:textId="77777777" w:rsidTr="00824AF5">
        <w:trPr>
          <w:trHeight w:val="300"/>
        </w:trPr>
        <w:tc>
          <w:tcPr>
            <w:cnfStyle w:val="001000000000" w:firstRow="0" w:lastRow="0" w:firstColumn="1" w:lastColumn="0" w:oddVBand="0" w:evenVBand="0" w:oddHBand="0" w:evenHBand="0" w:firstRowFirstColumn="0" w:firstRowLastColumn="0" w:lastRowFirstColumn="0" w:lastRowLastColumn="0"/>
            <w:tcW w:w="1378" w:type="dxa"/>
            <w:tcBorders>
              <w:bottom w:val="single" w:sz="18" w:space="0" w:color="000000"/>
            </w:tcBorders>
            <w:noWrap/>
            <w:hideMark/>
          </w:tcPr>
          <w:p w14:paraId="23BA4BF1"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Moyenne</w:t>
            </w:r>
          </w:p>
        </w:tc>
        <w:tc>
          <w:tcPr>
            <w:tcW w:w="1100" w:type="dxa"/>
            <w:tcBorders>
              <w:bottom w:val="single" w:sz="18" w:space="0" w:color="000000"/>
            </w:tcBorders>
            <w:noWrap/>
            <w:hideMark/>
          </w:tcPr>
          <w:p w14:paraId="4825BAB0"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2.280</w:t>
            </w:r>
          </w:p>
        </w:tc>
        <w:tc>
          <w:tcPr>
            <w:tcW w:w="1099" w:type="dxa"/>
            <w:tcBorders>
              <w:bottom w:val="single" w:sz="18" w:space="0" w:color="000000"/>
            </w:tcBorders>
            <w:noWrap/>
            <w:hideMark/>
          </w:tcPr>
          <w:p w14:paraId="6A77C2D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tcBorders>
              <w:bottom w:val="single" w:sz="18" w:space="0" w:color="000000"/>
            </w:tcBorders>
            <w:noWrap/>
            <w:hideMark/>
          </w:tcPr>
          <w:p w14:paraId="0F7B525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tcBorders>
              <w:bottom w:val="single" w:sz="18" w:space="0" w:color="000000"/>
            </w:tcBorders>
            <w:noWrap/>
            <w:hideMark/>
          </w:tcPr>
          <w:p w14:paraId="09133E22"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0.530</w:t>
            </w:r>
          </w:p>
        </w:tc>
        <w:tc>
          <w:tcPr>
            <w:tcW w:w="1099" w:type="dxa"/>
            <w:tcBorders>
              <w:bottom w:val="single" w:sz="18" w:space="0" w:color="000000"/>
            </w:tcBorders>
            <w:noWrap/>
            <w:hideMark/>
          </w:tcPr>
          <w:p w14:paraId="4243665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0.344</w:t>
            </w:r>
          </w:p>
        </w:tc>
        <w:tc>
          <w:tcPr>
            <w:tcW w:w="1099" w:type="dxa"/>
            <w:tcBorders>
              <w:bottom w:val="single" w:sz="18" w:space="0" w:color="000000"/>
            </w:tcBorders>
            <w:noWrap/>
            <w:hideMark/>
          </w:tcPr>
          <w:p w14:paraId="2EBAA041"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-0.442</w:t>
            </w:r>
          </w:p>
        </w:tc>
      </w:tr>
    </w:tbl>
    <w:p w14:paraId="22D54C4D" w14:textId="77777777" w:rsidR="00FE1DAF" w:rsidRPr="00DA22FE" w:rsidRDefault="00FE1DAF" w:rsidP="000D63C5">
      <w:pPr>
        <w:spacing w:before="100" w:beforeAutospacing="1" w:after="100" w:afterAutospacing="1" w:line="360" w:lineRule="auto"/>
        <w:jc w:val="both"/>
        <w:rPr>
          <w:rFonts w:ascii="Times New Roman" w:eastAsia="Times New Roman" w:hAnsi="Times New Roman" w:cs="Times New Roman"/>
          <w:sz w:val="20"/>
          <w:szCs w:val="20"/>
          <w:lang w:val="en-US" w:eastAsia="fr-FR"/>
        </w:rPr>
      </w:pPr>
      <w:r w:rsidRPr="00DA22FE">
        <w:rPr>
          <w:rFonts w:ascii="Times New Roman" w:eastAsia="Times New Roman" w:hAnsi="Times New Roman" w:cs="Times New Roman"/>
          <w:sz w:val="20"/>
          <w:szCs w:val="20"/>
          <w:lang w:val="en-US" w:eastAsia="fr-FR"/>
        </w:rPr>
        <w:t>N: Number of individuals sampled per locus; Na: Number of different alleles; NAL: Total number of alleles per polymorphic locus; P: Polymorphism rate; He: Expected heterozygosity; Ho: Observed heterozygosity; F:</w:t>
      </w:r>
      <w:r w:rsidR="005326A7" w:rsidRPr="00DA22FE">
        <w:rPr>
          <w:rFonts w:ascii="Times New Roman" w:eastAsia="Times New Roman" w:hAnsi="Times New Roman" w:cs="Times New Roman"/>
          <w:sz w:val="20"/>
          <w:szCs w:val="20"/>
          <w:lang w:val="en-US" w:eastAsia="fr-FR"/>
        </w:rPr>
        <w:t xml:space="preserve"> Overall inbreeding coefficient</w:t>
      </w:r>
    </w:p>
    <w:p w14:paraId="6BDCEBE1" w14:textId="77777777" w:rsidR="00FE1DAF" w:rsidRPr="00824AF5" w:rsidRDefault="00FE1DAF"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824AF5">
        <w:rPr>
          <w:rFonts w:ascii="Times New Roman" w:eastAsia="Times New Roman" w:hAnsi="Times New Roman" w:cs="Times New Roman"/>
          <w:b/>
          <w:sz w:val="24"/>
          <w:szCs w:val="24"/>
          <w:lang w:val="en-US" w:eastAsia="fr-FR"/>
        </w:rPr>
        <w:t xml:space="preserve">Allele </w:t>
      </w:r>
      <w:r w:rsidR="005326A7" w:rsidRPr="00824AF5">
        <w:rPr>
          <w:rFonts w:ascii="Times New Roman" w:eastAsia="Times New Roman" w:hAnsi="Times New Roman" w:cs="Times New Roman"/>
          <w:b/>
          <w:sz w:val="24"/>
          <w:szCs w:val="24"/>
          <w:lang w:val="en-US" w:eastAsia="fr-FR"/>
        </w:rPr>
        <w:t>frequencies</w:t>
      </w:r>
    </w:p>
    <w:p w14:paraId="155202A3" w14:textId="1B96847F" w:rsidR="00FE1DAF" w:rsidRPr="00A67EAE" w:rsidRDefault="00824AF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24AF5">
        <w:rPr>
          <w:rFonts w:ascii="Times New Roman" w:eastAsia="Times New Roman" w:hAnsi="Times New Roman" w:cs="Times New Roman"/>
          <w:sz w:val="24"/>
          <w:szCs w:val="24"/>
          <w:lang w:val="en-US" w:eastAsia="fr-FR"/>
        </w:rPr>
        <w:t xml:space="preserve">Allele frequencies for each SSR marker locus are presented in Table 6. The number of alleles per locus ranged from 3 (SSR 58) to 5 (SSR 26). Across loci and ecotypes, allele frequencies varied from 0.1 </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for rare alleles</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 xml:space="preserve"> to 1.0 </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for fixed alleles</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 xml:space="preserve">. </w:t>
      </w:r>
      <w:r w:rsidR="00E61C54" w:rsidRPr="00E61C54">
        <w:rPr>
          <w:rFonts w:ascii="Times New Roman" w:eastAsia="Times New Roman" w:hAnsi="Times New Roman" w:cs="Times New Roman"/>
          <w:sz w:val="24"/>
          <w:szCs w:val="24"/>
          <w:lang w:val="en-US" w:eastAsia="fr-FR"/>
        </w:rPr>
        <w:t xml:space="preserve">The allele frequencies of the five SSR loci across the five regions show both shared and </w:t>
      </w:r>
      <w:r w:rsidR="00E61C54">
        <w:rPr>
          <w:rFonts w:ascii="Times New Roman" w:eastAsia="Times New Roman" w:hAnsi="Times New Roman" w:cs="Times New Roman"/>
          <w:sz w:val="24"/>
          <w:szCs w:val="24"/>
          <w:lang w:val="en-US" w:eastAsia="fr-FR"/>
        </w:rPr>
        <w:t>region-</w:t>
      </w:r>
      <w:r w:rsidR="00E61C54" w:rsidRPr="00E61C54">
        <w:rPr>
          <w:rFonts w:ascii="Times New Roman" w:eastAsia="Times New Roman" w:hAnsi="Times New Roman" w:cs="Times New Roman"/>
          <w:sz w:val="24"/>
          <w:szCs w:val="24"/>
          <w:lang w:val="en-US" w:eastAsia="fr-FR"/>
        </w:rPr>
        <w:t>specific patterns</w:t>
      </w:r>
      <w:r w:rsidR="00E61C54">
        <w:rPr>
          <w:rFonts w:ascii="Times New Roman" w:eastAsia="Times New Roman" w:hAnsi="Times New Roman" w:cs="Times New Roman"/>
          <w:sz w:val="24"/>
          <w:szCs w:val="24"/>
          <w:lang w:val="en-US" w:eastAsia="fr-FR"/>
        </w:rPr>
        <w:t xml:space="preserve">. </w:t>
      </w:r>
      <w:r w:rsidRPr="00824AF5">
        <w:rPr>
          <w:rFonts w:ascii="Times New Roman" w:eastAsia="Times New Roman" w:hAnsi="Times New Roman" w:cs="Times New Roman"/>
          <w:sz w:val="24"/>
          <w:szCs w:val="24"/>
          <w:lang w:val="en-US" w:eastAsia="fr-FR"/>
        </w:rPr>
        <w:t>Two region-specific alleles were identified: allele 230 in genotypes from the Dosso region and allele 500 in genotypes from Tahoua (Table 5)</w:t>
      </w:r>
      <w:r w:rsidR="00FE1DAF" w:rsidRPr="00A67EAE">
        <w:rPr>
          <w:rFonts w:ascii="Times New Roman" w:eastAsia="Times New Roman" w:hAnsi="Times New Roman" w:cs="Times New Roman"/>
          <w:sz w:val="24"/>
          <w:szCs w:val="24"/>
          <w:lang w:val="en-US" w:eastAsia="fr-FR"/>
        </w:rPr>
        <w:t>.</w:t>
      </w:r>
    </w:p>
    <w:p w14:paraId="063BF046" w14:textId="01EDD862"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CF4049">
        <w:rPr>
          <w:rFonts w:ascii="Times New Roman" w:eastAsia="Times New Roman" w:hAnsi="Times New Roman" w:cs="Times New Roman"/>
          <w:b/>
          <w:bCs/>
          <w:sz w:val="24"/>
          <w:szCs w:val="24"/>
          <w:lang w:val="en-US" w:eastAsia="fr-FR"/>
        </w:rPr>
        <w:t>Table 5</w:t>
      </w:r>
      <w:r w:rsidR="00FE1DAF" w:rsidRPr="00CF4049">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Allele frequencies </w:t>
      </w:r>
      <w:r w:rsidR="00CF4049">
        <w:rPr>
          <w:rFonts w:ascii="Times New Roman" w:eastAsia="Times New Roman" w:hAnsi="Times New Roman" w:cs="Times New Roman"/>
          <w:sz w:val="24"/>
          <w:szCs w:val="24"/>
          <w:lang w:val="en-US" w:eastAsia="fr-FR"/>
        </w:rPr>
        <w:t>per locus and region</w:t>
      </w:r>
    </w:p>
    <w:tbl>
      <w:tblPr>
        <w:tblW w:w="8400" w:type="dxa"/>
        <w:tblCellMar>
          <w:left w:w="70" w:type="dxa"/>
          <w:right w:w="70" w:type="dxa"/>
        </w:tblCellMar>
        <w:tblLook w:val="0600" w:firstRow="0" w:lastRow="0" w:firstColumn="0" w:lastColumn="0" w:noHBand="1" w:noVBand="1"/>
      </w:tblPr>
      <w:tblGrid>
        <w:gridCol w:w="1200"/>
        <w:gridCol w:w="1200"/>
        <w:gridCol w:w="1200"/>
        <w:gridCol w:w="1200"/>
        <w:gridCol w:w="1200"/>
        <w:gridCol w:w="1200"/>
        <w:gridCol w:w="1200"/>
      </w:tblGrid>
      <w:tr w:rsidR="00957330" w:rsidRPr="00071A61" w14:paraId="74731563" w14:textId="77777777" w:rsidTr="005E7035">
        <w:trPr>
          <w:trHeight w:val="315"/>
        </w:trPr>
        <w:tc>
          <w:tcPr>
            <w:tcW w:w="1200" w:type="dxa"/>
            <w:tcBorders>
              <w:top w:val="single" w:sz="18" w:space="0" w:color="000000"/>
              <w:left w:val="nil"/>
              <w:bottom w:val="single" w:sz="18" w:space="0" w:color="000000"/>
              <w:right w:val="nil"/>
            </w:tcBorders>
            <w:vAlign w:val="center"/>
            <w:hideMark/>
          </w:tcPr>
          <w:p w14:paraId="198E0F5C" w14:textId="185FAF11" w:rsidR="00957330" w:rsidRPr="00CF4049" w:rsidRDefault="00CF4049" w:rsidP="00CF4049">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Locus</w:t>
            </w:r>
          </w:p>
        </w:tc>
        <w:tc>
          <w:tcPr>
            <w:tcW w:w="1200" w:type="dxa"/>
            <w:tcBorders>
              <w:top w:val="single" w:sz="18" w:space="0" w:color="000000"/>
              <w:left w:val="nil"/>
              <w:bottom w:val="single" w:sz="18" w:space="0" w:color="000000"/>
              <w:right w:val="nil"/>
            </w:tcBorders>
            <w:vAlign w:val="center"/>
            <w:hideMark/>
          </w:tcPr>
          <w:p w14:paraId="79F00373" w14:textId="7BAD0A40"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Allèle</w:t>
            </w:r>
            <w:r w:rsidR="005919A5" w:rsidRPr="00CF4049">
              <w:rPr>
                <w:rFonts w:ascii="Times New Roman" w:eastAsia="Times New Roman" w:hAnsi="Times New Roman" w:cs="Times New Roman"/>
                <w:b/>
                <w:color w:val="000000"/>
                <w:sz w:val="24"/>
                <w:szCs w:val="24"/>
                <w:lang w:eastAsia="fr-FR"/>
              </w:rPr>
              <w:t>/N</w:t>
            </w:r>
          </w:p>
        </w:tc>
        <w:tc>
          <w:tcPr>
            <w:tcW w:w="1200" w:type="dxa"/>
            <w:tcBorders>
              <w:top w:val="single" w:sz="18" w:space="0" w:color="000000"/>
              <w:left w:val="nil"/>
              <w:bottom w:val="single" w:sz="18" w:space="0" w:color="000000"/>
              <w:right w:val="nil"/>
            </w:tcBorders>
            <w:vAlign w:val="center"/>
            <w:hideMark/>
          </w:tcPr>
          <w:p w14:paraId="07C15A7A"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Dosso</w:t>
            </w:r>
          </w:p>
        </w:tc>
        <w:tc>
          <w:tcPr>
            <w:tcW w:w="1200" w:type="dxa"/>
            <w:tcBorders>
              <w:top w:val="single" w:sz="18" w:space="0" w:color="000000"/>
              <w:left w:val="nil"/>
              <w:bottom w:val="single" w:sz="18" w:space="0" w:color="000000"/>
              <w:right w:val="nil"/>
            </w:tcBorders>
            <w:vAlign w:val="center"/>
            <w:hideMark/>
          </w:tcPr>
          <w:p w14:paraId="1FB8AC00"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Maradi</w:t>
            </w:r>
          </w:p>
        </w:tc>
        <w:tc>
          <w:tcPr>
            <w:tcW w:w="1200" w:type="dxa"/>
            <w:tcBorders>
              <w:top w:val="single" w:sz="18" w:space="0" w:color="000000"/>
              <w:left w:val="nil"/>
              <w:bottom w:val="single" w:sz="18" w:space="0" w:color="000000"/>
              <w:right w:val="nil"/>
            </w:tcBorders>
            <w:vAlign w:val="center"/>
            <w:hideMark/>
          </w:tcPr>
          <w:p w14:paraId="0AAB3FE3"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Tahoua</w:t>
            </w:r>
          </w:p>
        </w:tc>
        <w:tc>
          <w:tcPr>
            <w:tcW w:w="1200" w:type="dxa"/>
            <w:tcBorders>
              <w:top w:val="single" w:sz="18" w:space="0" w:color="000000"/>
              <w:left w:val="nil"/>
              <w:bottom w:val="single" w:sz="18" w:space="0" w:color="000000"/>
              <w:right w:val="nil"/>
            </w:tcBorders>
            <w:vAlign w:val="center"/>
            <w:hideMark/>
          </w:tcPr>
          <w:p w14:paraId="66BEB0AB"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Tillabéry</w:t>
            </w:r>
          </w:p>
        </w:tc>
        <w:tc>
          <w:tcPr>
            <w:tcW w:w="1200" w:type="dxa"/>
            <w:tcBorders>
              <w:top w:val="single" w:sz="18" w:space="0" w:color="000000"/>
              <w:left w:val="nil"/>
              <w:bottom w:val="single" w:sz="18" w:space="0" w:color="000000"/>
              <w:right w:val="nil"/>
            </w:tcBorders>
            <w:vAlign w:val="center"/>
            <w:hideMark/>
          </w:tcPr>
          <w:p w14:paraId="3C8C7BB8"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Zinder</w:t>
            </w:r>
          </w:p>
        </w:tc>
      </w:tr>
      <w:tr w:rsidR="00957330" w:rsidRPr="00071A61" w14:paraId="614ED216" w14:textId="77777777" w:rsidTr="005E7035">
        <w:trPr>
          <w:trHeight w:val="315"/>
        </w:trPr>
        <w:tc>
          <w:tcPr>
            <w:tcW w:w="1200" w:type="dxa"/>
            <w:tcBorders>
              <w:top w:val="single" w:sz="18" w:space="0" w:color="000000"/>
              <w:left w:val="nil"/>
              <w:bottom w:val="single" w:sz="8" w:space="0" w:color="7F7F7F"/>
              <w:right w:val="nil"/>
            </w:tcBorders>
            <w:vAlign w:val="center"/>
            <w:hideMark/>
          </w:tcPr>
          <w:p w14:paraId="7E08651B"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26</w:t>
            </w:r>
          </w:p>
        </w:tc>
        <w:tc>
          <w:tcPr>
            <w:tcW w:w="1200" w:type="dxa"/>
            <w:tcBorders>
              <w:top w:val="single" w:sz="18" w:space="0" w:color="000000"/>
              <w:left w:val="nil"/>
              <w:bottom w:val="single" w:sz="8" w:space="0" w:color="7F7F7F"/>
              <w:right w:val="nil"/>
            </w:tcBorders>
            <w:vAlign w:val="center"/>
            <w:hideMark/>
          </w:tcPr>
          <w:p w14:paraId="231BBD9D" w14:textId="685E7AD5"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single" w:sz="18" w:space="0" w:color="000000"/>
              <w:left w:val="nil"/>
              <w:bottom w:val="single" w:sz="8" w:space="0" w:color="7F7F7F"/>
              <w:right w:val="nil"/>
            </w:tcBorders>
            <w:vAlign w:val="center"/>
            <w:hideMark/>
          </w:tcPr>
          <w:p w14:paraId="7A45ECC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679A5A3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2784305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153E9E0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1E41E73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00E8FEBB" w14:textId="77777777" w:rsidTr="005E7035">
        <w:trPr>
          <w:trHeight w:val="315"/>
        </w:trPr>
        <w:tc>
          <w:tcPr>
            <w:tcW w:w="1200" w:type="dxa"/>
            <w:tcBorders>
              <w:top w:val="nil"/>
              <w:left w:val="nil"/>
              <w:bottom w:val="single" w:sz="8" w:space="0" w:color="7F7F7F"/>
              <w:right w:val="nil"/>
            </w:tcBorders>
            <w:hideMark/>
          </w:tcPr>
          <w:p w14:paraId="27DE71E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1BC58C6F"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125</w:t>
            </w:r>
          </w:p>
        </w:tc>
        <w:tc>
          <w:tcPr>
            <w:tcW w:w="1200" w:type="dxa"/>
            <w:tcBorders>
              <w:top w:val="nil"/>
              <w:left w:val="nil"/>
              <w:bottom w:val="single" w:sz="8" w:space="0" w:color="7F7F7F"/>
              <w:right w:val="nil"/>
            </w:tcBorders>
            <w:vAlign w:val="center"/>
            <w:hideMark/>
          </w:tcPr>
          <w:p w14:paraId="04A9310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9CB986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2A3DCE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35F3A9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1757086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r>
      <w:tr w:rsidR="00957330" w:rsidRPr="00071A61" w14:paraId="6B262546" w14:textId="77777777" w:rsidTr="005E7035">
        <w:trPr>
          <w:trHeight w:val="315"/>
        </w:trPr>
        <w:tc>
          <w:tcPr>
            <w:tcW w:w="1200" w:type="dxa"/>
            <w:tcBorders>
              <w:top w:val="nil"/>
              <w:left w:val="nil"/>
              <w:bottom w:val="single" w:sz="8" w:space="0" w:color="7F7F7F"/>
              <w:right w:val="nil"/>
            </w:tcBorders>
            <w:hideMark/>
          </w:tcPr>
          <w:p w14:paraId="0580F3B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3F12C4FE"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230</w:t>
            </w:r>
          </w:p>
        </w:tc>
        <w:tc>
          <w:tcPr>
            <w:tcW w:w="1200" w:type="dxa"/>
            <w:tcBorders>
              <w:top w:val="nil"/>
              <w:left w:val="nil"/>
              <w:bottom w:val="single" w:sz="8" w:space="0" w:color="7F7F7F"/>
              <w:right w:val="nil"/>
            </w:tcBorders>
            <w:vAlign w:val="center"/>
            <w:hideMark/>
          </w:tcPr>
          <w:p w14:paraId="4E1C1FD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7FF6F3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D59D26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9EA130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3E8202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6E05B676" w14:textId="77777777" w:rsidTr="005E7035">
        <w:trPr>
          <w:trHeight w:val="315"/>
        </w:trPr>
        <w:tc>
          <w:tcPr>
            <w:tcW w:w="1200" w:type="dxa"/>
            <w:tcBorders>
              <w:top w:val="nil"/>
              <w:left w:val="nil"/>
              <w:bottom w:val="single" w:sz="8" w:space="0" w:color="7F7F7F"/>
              <w:right w:val="nil"/>
            </w:tcBorders>
            <w:hideMark/>
          </w:tcPr>
          <w:p w14:paraId="3170D59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0BF79CB"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290</w:t>
            </w:r>
          </w:p>
        </w:tc>
        <w:tc>
          <w:tcPr>
            <w:tcW w:w="1200" w:type="dxa"/>
            <w:tcBorders>
              <w:top w:val="nil"/>
              <w:left w:val="nil"/>
              <w:bottom w:val="single" w:sz="8" w:space="0" w:color="7F7F7F"/>
              <w:right w:val="nil"/>
            </w:tcBorders>
            <w:vAlign w:val="center"/>
            <w:hideMark/>
          </w:tcPr>
          <w:p w14:paraId="5CB03C7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00C3AE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03DA1E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77965B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741452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0F1E50E3" w14:textId="77777777" w:rsidTr="005E7035">
        <w:trPr>
          <w:trHeight w:val="315"/>
        </w:trPr>
        <w:tc>
          <w:tcPr>
            <w:tcW w:w="1200" w:type="dxa"/>
            <w:tcBorders>
              <w:top w:val="nil"/>
              <w:left w:val="nil"/>
              <w:bottom w:val="single" w:sz="8" w:space="0" w:color="7F7F7F"/>
              <w:right w:val="nil"/>
            </w:tcBorders>
            <w:hideMark/>
          </w:tcPr>
          <w:p w14:paraId="6C35C4E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5CFAB75"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6AF183BD"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0,800</w:t>
            </w:r>
          </w:p>
        </w:tc>
        <w:tc>
          <w:tcPr>
            <w:tcW w:w="1200" w:type="dxa"/>
            <w:tcBorders>
              <w:top w:val="nil"/>
              <w:left w:val="nil"/>
              <w:bottom w:val="single" w:sz="8" w:space="0" w:color="7F7F7F"/>
              <w:right w:val="nil"/>
            </w:tcBorders>
            <w:vAlign w:val="center"/>
            <w:hideMark/>
          </w:tcPr>
          <w:p w14:paraId="4E57DA80"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1B664F9F"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3F09488D"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62310F21"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0,600</w:t>
            </w:r>
          </w:p>
        </w:tc>
      </w:tr>
      <w:tr w:rsidR="00957330" w:rsidRPr="00071A61" w14:paraId="683B7D07" w14:textId="77777777" w:rsidTr="005E7035">
        <w:trPr>
          <w:trHeight w:val="315"/>
        </w:trPr>
        <w:tc>
          <w:tcPr>
            <w:tcW w:w="1200" w:type="dxa"/>
            <w:tcBorders>
              <w:top w:val="nil"/>
              <w:left w:val="nil"/>
              <w:bottom w:val="single" w:sz="8" w:space="0" w:color="7F7F7F"/>
              <w:right w:val="nil"/>
            </w:tcBorders>
            <w:hideMark/>
          </w:tcPr>
          <w:p w14:paraId="1911DD8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D6C14FA"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425</w:t>
            </w:r>
          </w:p>
        </w:tc>
        <w:tc>
          <w:tcPr>
            <w:tcW w:w="1200" w:type="dxa"/>
            <w:tcBorders>
              <w:top w:val="nil"/>
              <w:left w:val="nil"/>
              <w:bottom w:val="single" w:sz="8" w:space="0" w:color="7F7F7F"/>
              <w:right w:val="nil"/>
            </w:tcBorders>
            <w:vAlign w:val="center"/>
            <w:hideMark/>
          </w:tcPr>
          <w:p w14:paraId="166D969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537A5B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2DCCBB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B80502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4908B4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7942A49A" w14:textId="77777777" w:rsidTr="005E7035">
        <w:trPr>
          <w:trHeight w:val="315"/>
        </w:trPr>
        <w:tc>
          <w:tcPr>
            <w:tcW w:w="1200" w:type="dxa"/>
            <w:tcBorders>
              <w:top w:val="nil"/>
              <w:left w:val="nil"/>
              <w:bottom w:val="single" w:sz="8" w:space="0" w:color="7F7F7F"/>
              <w:right w:val="nil"/>
            </w:tcBorders>
            <w:vAlign w:val="center"/>
            <w:hideMark/>
          </w:tcPr>
          <w:p w14:paraId="4D3860C4"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43</w:t>
            </w:r>
          </w:p>
        </w:tc>
        <w:tc>
          <w:tcPr>
            <w:tcW w:w="1200" w:type="dxa"/>
            <w:tcBorders>
              <w:top w:val="nil"/>
              <w:left w:val="nil"/>
              <w:bottom w:val="single" w:sz="8" w:space="0" w:color="7F7F7F"/>
              <w:right w:val="nil"/>
            </w:tcBorders>
            <w:vAlign w:val="center"/>
            <w:hideMark/>
          </w:tcPr>
          <w:p w14:paraId="06E51646" w14:textId="0B9B2FB9"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1D94317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593A078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2240B95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28120D0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578A8CA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669568FA" w14:textId="77777777" w:rsidTr="005E7035">
        <w:trPr>
          <w:trHeight w:val="315"/>
        </w:trPr>
        <w:tc>
          <w:tcPr>
            <w:tcW w:w="1200" w:type="dxa"/>
            <w:tcBorders>
              <w:top w:val="nil"/>
              <w:left w:val="nil"/>
              <w:bottom w:val="single" w:sz="8" w:space="0" w:color="7F7F7F"/>
              <w:right w:val="nil"/>
            </w:tcBorders>
            <w:hideMark/>
          </w:tcPr>
          <w:p w14:paraId="0CB1A22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15A695E7"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125</w:t>
            </w:r>
          </w:p>
        </w:tc>
        <w:tc>
          <w:tcPr>
            <w:tcW w:w="1200" w:type="dxa"/>
            <w:tcBorders>
              <w:top w:val="nil"/>
              <w:left w:val="nil"/>
              <w:bottom w:val="single" w:sz="8" w:space="0" w:color="7F7F7F"/>
              <w:right w:val="nil"/>
            </w:tcBorders>
            <w:vAlign w:val="center"/>
            <w:hideMark/>
          </w:tcPr>
          <w:p w14:paraId="32D1695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6C28E0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10CEE26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BD0770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7738A8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1E313C20" w14:textId="77777777" w:rsidTr="005E7035">
        <w:trPr>
          <w:trHeight w:val="315"/>
        </w:trPr>
        <w:tc>
          <w:tcPr>
            <w:tcW w:w="1200" w:type="dxa"/>
            <w:tcBorders>
              <w:top w:val="nil"/>
              <w:left w:val="nil"/>
              <w:bottom w:val="single" w:sz="8" w:space="0" w:color="7F7F7F"/>
              <w:right w:val="nil"/>
            </w:tcBorders>
            <w:hideMark/>
          </w:tcPr>
          <w:p w14:paraId="0CE9312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90FD2C6"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250</w:t>
            </w:r>
          </w:p>
        </w:tc>
        <w:tc>
          <w:tcPr>
            <w:tcW w:w="1200" w:type="dxa"/>
            <w:tcBorders>
              <w:top w:val="nil"/>
              <w:left w:val="nil"/>
              <w:bottom w:val="single" w:sz="8" w:space="0" w:color="7F7F7F"/>
              <w:right w:val="nil"/>
            </w:tcBorders>
            <w:vAlign w:val="center"/>
            <w:hideMark/>
          </w:tcPr>
          <w:p w14:paraId="1F15F0D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7C4313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c>
          <w:tcPr>
            <w:tcW w:w="1200" w:type="dxa"/>
            <w:tcBorders>
              <w:top w:val="nil"/>
              <w:left w:val="nil"/>
              <w:bottom w:val="single" w:sz="8" w:space="0" w:color="7F7F7F"/>
              <w:right w:val="nil"/>
            </w:tcBorders>
            <w:vAlign w:val="center"/>
            <w:hideMark/>
          </w:tcPr>
          <w:p w14:paraId="2CA0895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5C15BD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5EE334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r>
      <w:tr w:rsidR="00957330" w:rsidRPr="00071A61" w14:paraId="31F49386" w14:textId="77777777" w:rsidTr="005E7035">
        <w:trPr>
          <w:trHeight w:val="315"/>
        </w:trPr>
        <w:tc>
          <w:tcPr>
            <w:tcW w:w="1200" w:type="dxa"/>
            <w:tcBorders>
              <w:top w:val="nil"/>
              <w:left w:val="nil"/>
              <w:bottom w:val="single" w:sz="8" w:space="0" w:color="7F7F7F"/>
              <w:right w:val="nil"/>
            </w:tcBorders>
            <w:hideMark/>
          </w:tcPr>
          <w:p w14:paraId="61DC669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F58E6A7"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290</w:t>
            </w:r>
          </w:p>
        </w:tc>
        <w:tc>
          <w:tcPr>
            <w:tcW w:w="1200" w:type="dxa"/>
            <w:tcBorders>
              <w:top w:val="nil"/>
              <w:left w:val="nil"/>
              <w:bottom w:val="single" w:sz="8" w:space="0" w:color="7F7F7F"/>
              <w:right w:val="nil"/>
            </w:tcBorders>
            <w:vAlign w:val="center"/>
            <w:hideMark/>
          </w:tcPr>
          <w:p w14:paraId="7095842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2FBFD8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839D56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DBD5E9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54E3605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0D9BA3B1" w14:textId="77777777" w:rsidTr="005E7035">
        <w:trPr>
          <w:trHeight w:val="315"/>
        </w:trPr>
        <w:tc>
          <w:tcPr>
            <w:tcW w:w="1200" w:type="dxa"/>
            <w:tcBorders>
              <w:top w:val="nil"/>
              <w:left w:val="nil"/>
              <w:bottom w:val="single" w:sz="8" w:space="0" w:color="7F7F7F"/>
              <w:right w:val="nil"/>
            </w:tcBorders>
            <w:hideMark/>
          </w:tcPr>
          <w:p w14:paraId="0ECC36F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lastRenderedPageBreak/>
              <w:t> </w:t>
            </w:r>
          </w:p>
        </w:tc>
        <w:tc>
          <w:tcPr>
            <w:tcW w:w="1200" w:type="dxa"/>
            <w:tcBorders>
              <w:top w:val="nil"/>
              <w:left w:val="nil"/>
              <w:bottom w:val="single" w:sz="8" w:space="0" w:color="7F7F7F"/>
              <w:right w:val="nil"/>
            </w:tcBorders>
            <w:vAlign w:val="center"/>
            <w:hideMark/>
          </w:tcPr>
          <w:p w14:paraId="4B64D5C1" w14:textId="77777777" w:rsidR="00957330" w:rsidRPr="005E7035" w:rsidRDefault="00957330" w:rsidP="000D63C5">
            <w:pPr>
              <w:spacing w:after="0" w:line="360" w:lineRule="auto"/>
              <w:jc w:val="both"/>
              <w:rPr>
                <w:rFonts w:ascii="Times New Roman" w:eastAsia="Times New Roman" w:hAnsi="Times New Roman" w:cs="Times New Roman"/>
                <w:bCs/>
                <w:sz w:val="24"/>
                <w:szCs w:val="24"/>
                <w:lang w:eastAsia="fr-FR"/>
              </w:rPr>
            </w:pPr>
            <w:r w:rsidRPr="005E7035">
              <w:rPr>
                <w:rFonts w:ascii="Times New Roman" w:eastAsia="Times New Roman" w:hAnsi="Times New Roman" w:cs="Times New Roman"/>
                <w:bCs/>
                <w:sz w:val="24"/>
                <w:szCs w:val="24"/>
                <w:lang w:eastAsia="fr-FR"/>
              </w:rPr>
              <w:t>300</w:t>
            </w:r>
          </w:p>
        </w:tc>
        <w:tc>
          <w:tcPr>
            <w:tcW w:w="1200" w:type="dxa"/>
            <w:tcBorders>
              <w:top w:val="nil"/>
              <w:left w:val="nil"/>
              <w:bottom w:val="single" w:sz="8" w:space="0" w:color="7F7F7F"/>
              <w:right w:val="nil"/>
            </w:tcBorders>
            <w:vAlign w:val="center"/>
            <w:hideMark/>
          </w:tcPr>
          <w:p w14:paraId="76691FE8"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39F9FC78"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0,700</w:t>
            </w:r>
          </w:p>
        </w:tc>
        <w:tc>
          <w:tcPr>
            <w:tcW w:w="1200" w:type="dxa"/>
            <w:tcBorders>
              <w:top w:val="nil"/>
              <w:left w:val="nil"/>
              <w:bottom w:val="single" w:sz="8" w:space="0" w:color="7F7F7F"/>
              <w:right w:val="nil"/>
            </w:tcBorders>
            <w:vAlign w:val="center"/>
            <w:hideMark/>
          </w:tcPr>
          <w:p w14:paraId="465764BB"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21C02B4F"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1,000</w:t>
            </w:r>
          </w:p>
        </w:tc>
        <w:tc>
          <w:tcPr>
            <w:tcW w:w="1200" w:type="dxa"/>
            <w:tcBorders>
              <w:top w:val="nil"/>
              <w:left w:val="nil"/>
              <w:bottom w:val="single" w:sz="8" w:space="0" w:color="7F7F7F"/>
              <w:right w:val="nil"/>
            </w:tcBorders>
            <w:vAlign w:val="center"/>
            <w:hideMark/>
          </w:tcPr>
          <w:p w14:paraId="644A3337"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0,700</w:t>
            </w:r>
          </w:p>
        </w:tc>
      </w:tr>
      <w:tr w:rsidR="00957330" w:rsidRPr="00071A61" w14:paraId="70943162" w14:textId="77777777" w:rsidTr="005E7035">
        <w:trPr>
          <w:trHeight w:val="315"/>
        </w:trPr>
        <w:tc>
          <w:tcPr>
            <w:tcW w:w="1200" w:type="dxa"/>
            <w:tcBorders>
              <w:top w:val="nil"/>
              <w:left w:val="nil"/>
              <w:bottom w:val="single" w:sz="8" w:space="0" w:color="7F7F7F"/>
              <w:right w:val="nil"/>
            </w:tcBorders>
            <w:vAlign w:val="center"/>
            <w:hideMark/>
          </w:tcPr>
          <w:p w14:paraId="26E3878E"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53</w:t>
            </w:r>
          </w:p>
        </w:tc>
        <w:tc>
          <w:tcPr>
            <w:tcW w:w="1200" w:type="dxa"/>
            <w:tcBorders>
              <w:top w:val="nil"/>
              <w:left w:val="nil"/>
              <w:bottom w:val="single" w:sz="8" w:space="0" w:color="7F7F7F"/>
              <w:right w:val="nil"/>
            </w:tcBorders>
            <w:vAlign w:val="center"/>
            <w:hideMark/>
          </w:tcPr>
          <w:p w14:paraId="01D42CA7" w14:textId="5B8286BA"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43C1C2E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7B5E252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65C3495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FE16D3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5628A6CF" w14:textId="7BF61976" w:rsidR="00957330" w:rsidRPr="00071A61" w:rsidRDefault="003C5401" w:rsidP="000D63C5">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p>
        </w:tc>
      </w:tr>
      <w:tr w:rsidR="00957330" w:rsidRPr="00071A61" w14:paraId="1D65FEB5" w14:textId="77777777" w:rsidTr="005E7035">
        <w:trPr>
          <w:trHeight w:val="315"/>
        </w:trPr>
        <w:tc>
          <w:tcPr>
            <w:tcW w:w="1200" w:type="dxa"/>
            <w:tcBorders>
              <w:top w:val="nil"/>
              <w:left w:val="nil"/>
              <w:bottom w:val="single" w:sz="8" w:space="0" w:color="7F7F7F"/>
              <w:right w:val="nil"/>
            </w:tcBorders>
            <w:hideMark/>
          </w:tcPr>
          <w:p w14:paraId="003762C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7D64962"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190</w:t>
            </w:r>
          </w:p>
        </w:tc>
        <w:tc>
          <w:tcPr>
            <w:tcW w:w="1200" w:type="dxa"/>
            <w:tcBorders>
              <w:top w:val="nil"/>
              <w:left w:val="nil"/>
              <w:bottom w:val="single" w:sz="8" w:space="0" w:color="7F7F7F"/>
              <w:right w:val="nil"/>
            </w:tcBorders>
            <w:vAlign w:val="center"/>
            <w:hideMark/>
          </w:tcPr>
          <w:p w14:paraId="22CA188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E1CF3A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77BC0F0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498823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9C749C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0,125</w:t>
            </w:r>
          </w:p>
        </w:tc>
      </w:tr>
      <w:tr w:rsidR="00957330" w:rsidRPr="00071A61" w14:paraId="4B5E3CDE" w14:textId="77777777" w:rsidTr="005E7035">
        <w:trPr>
          <w:trHeight w:val="315"/>
        </w:trPr>
        <w:tc>
          <w:tcPr>
            <w:tcW w:w="1200" w:type="dxa"/>
            <w:tcBorders>
              <w:top w:val="nil"/>
              <w:left w:val="nil"/>
              <w:bottom w:val="single" w:sz="8" w:space="0" w:color="7F7F7F"/>
              <w:right w:val="nil"/>
            </w:tcBorders>
            <w:hideMark/>
          </w:tcPr>
          <w:p w14:paraId="6CE92E0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4898DA27" w14:textId="77777777" w:rsidR="00957330" w:rsidRPr="005E7035" w:rsidRDefault="00957330" w:rsidP="000D63C5">
            <w:pPr>
              <w:spacing w:after="0" w:line="360" w:lineRule="auto"/>
              <w:jc w:val="both"/>
              <w:rPr>
                <w:rFonts w:ascii="Times New Roman" w:eastAsia="Times New Roman" w:hAnsi="Times New Roman" w:cs="Times New Roman"/>
                <w:bCs/>
                <w:sz w:val="24"/>
                <w:szCs w:val="24"/>
                <w:lang w:eastAsia="fr-FR"/>
              </w:rPr>
            </w:pPr>
            <w:r w:rsidRPr="005E7035">
              <w:rPr>
                <w:rFonts w:ascii="Times New Roman" w:eastAsia="Times New Roman" w:hAnsi="Times New Roman" w:cs="Times New Roman"/>
                <w:bCs/>
                <w:sz w:val="24"/>
                <w:szCs w:val="24"/>
                <w:lang w:eastAsia="fr-FR"/>
              </w:rPr>
              <w:t>200</w:t>
            </w:r>
          </w:p>
        </w:tc>
        <w:tc>
          <w:tcPr>
            <w:tcW w:w="1200" w:type="dxa"/>
            <w:tcBorders>
              <w:top w:val="nil"/>
              <w:left w:val="nil"/>
              <w:bottom w:val="single" w:sz="8" w:space="0" w:color="7F7F7F"/>
              <w:right w:val="nil"/>
            </w:tcBorders>
            <w:vAlign w:val="center"/>
            <w:hideMark/>
          </w:tcPr>
          <w:p w14:paraId="2AF5E8CE"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0,100</w:t>
            </w:r>
          </w:p>
        </w:tc>
        <w:tc>
          <w:tcPr>
            <w:tcW w:w="1200" w:type="dxa"/>
            <w:tcBorders>
              <w:top w:val="nil"/>
              <w:left w:val="nil"/>
              <w:bottom w:val="single" w:sz="8" w:space="0" w:color="7F7F7F"/>
              <w:right w:val="nil"/>
            </w:tcBorders>
            <w:vAlign w:val="center"/>
            <w:hideMark/>
          </w:tcPr>
          <w:p w14:paraId="36F0EA1F"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1,000</w:t>
            </w:r>
          </w:p>
        </w:tc>
        <w:tc>
          <w:tcPr>
            <w:tcW w:w="1200" w:type="dxa"/>
            <w:tcBorders>
              <w:top w:val="nil"/>
              <w:left w:val="nil"/>
              <w:bottom w:val="single" w:sz="8" w:space="0" w:color="7F7F7F"/>
              <w:right w:val="nil"/>
            </w:tcBorders>
            <w:vAlign w:val="center"/>
            <w:hideMark/>
          </w:tcPr>
          <w:p w14:paraId="53528572"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1FD64C9E"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1,000</w:t>
            </w:r>
          </w:p>
        </w:tc>
        <w:tc>
          <w:tcPr>
            <w:tcW w:w="1200" w:type="dxa"/>
            <w:tcBorders>
              <w:top w:val="nil"/>
              <w:left w:val="nil"/>
              <w:bottom w:val="single" w:sz="8" w:space="0" w:color="7F7F7F"/>
              <w:right w:val="nil"/>
            </w:tcBorders>
            <w:vAlign w:val="center"/>
            <w:hideMark/>
          </w:tcPr>
          <w:p w14:paraId="7B4619F1"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0,875</w:t>
            </w:r>
          </w:p>
        </w:tc>
      </w:tr>
      <w:tr w:rsidR="00957330" w:rsidRPr="00071A61" w14:paraId="531D962B" w14:textId="77777777" w:rsidTr="005E7035">
        <w:trPr>
          <w:trHeight w:val="315"/>
        </w:trPr>
        <w:tc>
          <w:tcPr>
            <w:tcW w:w="1200" w:type="dxa"/>
            <w:tcBorders>
              <w:top w:val="nil"/>
              <w:left w:val="nil"/>
              <w:bottom w:val="single" w:sz="8" w:space="0" w:color="7F7F7F"/>
              <w:right w:val="nil"/>
            </w:tcBorders>
            <w:hideMark/>
          </w:tcPr>
          <w:p w14:paraId="7951F67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8697A64"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290</w:t>
            </w:r>
          </w:p>
        </w:tc>
        <w:tc>
          <w:tcPr>
            <w:tcW w:w="1200" w:type="dxa"/>
            <w:tcBorders>
              <w:top w:val="nil"/>
              <w:left w:val="nil"/>
              <w:bottom w:val="single" w:sz="8" w:space="0" w:color="7F7F7F"/>
              <w:right w:val="nil"/>
            </w:tcBorders>
            <w:vAlign w:val="center"/>
            <w:hideMark/>
          </w:tcPr>
          <w:p w14:paraId="618920A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64B7583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8C0789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ADE482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7C8345E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47877E17" w14:textId="77777777" w:rsidTr="005E7035">
        <w:trPr>
          <w:trHeight w:val="315"/>
        </w:trPr>
        <w:tc>
          <w:tcPr>
            <w:tcW w:w="1200" w:type="dxa"/>
            <w:tcBorders>
              <w:top w:val="nil"/>
              <w:left w:val="nil"/>
              <w:bottom w:val="single" w:sz="8" w:space="0" w:color="7F7F7F"/>
              <w:right w:val="nil"/>
            </w:tcBorders>
            <w:hideMark/>
          </w:tcPr>
          <w:p w14:paraId="3116D52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3FBF15D"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03675F7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0,800</w:t>
            </w:r>
          </w:p>
        </w:tc>
        <w:tc>
          <w:tcPr>
            <w:tcW w:w="1200" w:type="dxa"/>
            <w:tcBorders>
              <w:top w:val="nil"/>
              <w:left w:val="nil"/>
              <w:bottom w:val="single" w:sz="8" w:space="0" w:color="7F7F7F"/>
              <w:right w:val="nil"/>
            </w:tcBorders>
            <w:vAlign w:val="center"/>
            <w:hideMark/>
          </w:tcPr>
          <w:p w14:paraId="2FC63A8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2C07F9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0DEBE4A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DAFACD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1B992FBD" w14:textId="77777777" w:rsidTr="005E7035">
        <w:trPr>
          <w:trHeight w:val="315"/>
        </w:trPr>
        <w:tc>
          <w:tcPr>
            <w:tcW w:w="1200" w:type="dxa"/>
            <w:tcBorders>
              <w:top w:val="nil"/>
              <w:left w:val="nil"/>
              <w:bottom w:val="single" w:sz="8" w:space="0" w:color="7F7F7F"/>
              <w:right w:val="nil"/>
            </w:tcBorders>
            <w:vAlign w:val="center"/>
            <w:hideMark/>
          </w:tcPr>
          <w:p w14:paraId="33FD1019"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58</w:t>
            </w:r>
          </w:p>
        </w:tc>
        <w:tc>
          <w:tcPr>
            <w:tcW w:w="1200" w:type="dxa"/>
            <w:tcBorders>
              <w:top w:val="nil"/>
              <w:left w:val="nil"/>
              <w:bottom w:val="single" w:sz="8" w:space="0" w:color="7F7F7F"/>
              <w:right w:val="nil"/>
            </w:tcBorders>
            <w:vAlign w:val="center"/>
            <w:hideMark/>
          </w:tcPr>
          <w:p w14:paraId="0E5F5D76" w14:textId="39776217"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7B912B3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B32E0E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39EAB93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7CCF33E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34076AC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0717749E" w14:textId="77777777" w:rsidTr="005E7035">
        <w:trPr>
          <w:trHeight w:val="315"/>
        </w:trPr>
        <w:tc>
          <w:tcPr>
            <w:tcW w:w="1200" w:type="dxa"/>
            <w:tcBorders>
              <w:top w:val="nil"/>
              <w:left w:val="nil"/>
              <w:bottom w:val="single" w:sz="8" w:space="0" w:color="7F7F7F"/>
              <w:right w:val="nil"/>
            </w:tcBorders>
            <w:hideMark/>
          </w:tcPr>
          <w:p w14:paraId="5EC9236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55FF3AB"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110</w:t>
            </w:r>
          </w:p>
        </w:tc>
        <w:tc>
          <w:tcPr>
            <w:tcW w:w="1200" w:type="dxa"/>
            <w:tcBorders>
              <w:top w:val="nil"/>
              <w:left w:val="nil"/>
              <w:bottom w:val="single" w:sz="8" w:space="0" w:color="7F7F7F"/>
              <w:right w:val="nil"/>
            </w:tcBorders>
            <w:vAlign w:val="center"/>
            <w:hideMark/>
          </w:tcPr>
          <w:p w14:paraId="2D13CB6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6B6DFD0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75922AD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c>
          <w:tcPr>
            <w:tcW w:w="1200" w:type="dxa"/>
            <w:tcBorders>
              <w:top w:val="nil"/>
              <w:left w:val="nil"/>
              <w:bottom w:val="single" w:sz="8" w:space="0" w:color="7F7F7F"/>
              <w:right w:val="nil"/>
            </w:tcBorders>
            <w:vAlign w:val="center"/>
            <w:hideMark/>
          </w:tcPr>
          <w:p w14:paraId="0381BC9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c>
          <w:tcPr>
            <w:tcW w:w="1200" w:type="dxa"/>
            <w:tcBorders>
              <w:top w:val="nil"/>
              <w:left w:val="nil"/>
              <w:bottom w:val="single" w:sz="8" w:space="0" w:color="7F7F7F"/>
              <w:right w:val="nil"/>
            </w:tcBorders>
            <w:vAlign w:val="center"/>
            <w:hideMark/>
          </w:tcPr>
          <w:p w14:paraId="232CC1E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r>
      <w:tr w:rsidR="00957330" w:rsidRPr="00071A61" w14:paraId="196E550F" w14:textId="77777777" w:rsidTr="005E7035">
        <w:trPr>
          <w:trHeight w:val="315"/>
        </w:trPr>
        <w:tc>
          <w:tcPr>
            <w:tcW w:w="1200" w:type="dxa"/>
            <w:tcBorders>
              <w:top w:val="nil"/>
              <w:left w:val="nil"/>
              <w:bottom w:val="single" w:sz="8" w:space="0" w:color="7F7F7F"/>
              <w:right w:val="nil"/>
            </w:tcBorders>
            <w:hideMark/>
          </w:tcPr>
          <w:p w14:paraId="29E17FA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4AEA2019"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190</w:t>
            </w:r>
          </w:p>
        </w:tc>
        <w:tc>
          <w:tcPr>
            <w:tcW w:w="1200" w:type="dxa"/>
            <w:tcBorders>
              <w:top w:val="nil"/>
              <w:left w:val="nil"/>
              <w:bottom w:val="single" w:sz="8" w:space="0" w:color="7F7F7F"/>
              <w:right w:val="nil"/>
            </w:tcBorders>
            <w:vAlign w:val="center"/>
            <w:hideMark/>
          </w:tcPr>
          <w:p w14:paraId="12DE4C6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525E5C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9ED05B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5022D0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5F85572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63CC0603" w14:textId="77777777" w:rsidTr="005E7035">
        <w:trPr>
          <w:trHeight w:val="315"/>
        </w:trPr>
        <w:tc>
          <w:tcPr>
            <w:tcW w:w="1200" w:type="dxa"/>
            <w:tcBorders>
              <w:top w:val="nil"/>
              <w:left w:val="nil"/>
              <w:bottom w:val="single" w:sz="8" w:space="0" w:color="7F7F7F"/>
              <w:right w:val="nil"/>
            </w:tcBorders>
            <w:hideMark/>
          </w:tcPr>
          <w:p w14:paraId="38C1CFA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7E482423"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309F573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c>
          <w:tcPr>
            <w:tcW w:w="1200" w:type="dxa"/>
            <w:tcBorders>
              <w:top w:val="nil"/>
              <w:left w:val="nil"/>
              <w:bottom w:val="single" w:sz="8" w:space="0" w:color="7F7F7F"/>
              <w:right w:val="nil"/>
            </w:tcBorders>
            <w:vAlign w:val="center"/>
            <w:hideMark/>
          </w:tcPr>
          <w:p w14:paraId="6BE0ABA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2526BA2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0,600</w:t>
            </w:r>
          </w:p>
        </w:tc>
        <w:tc>
          <w:tcPr>
            <w:tcW w:w="1200" w:type="dxa"/>
            <w:tcBorders>
              <w:top w:val="nil"/>
              <w:left w:val="nil"/>
              <w:bottom w:val="single" w:sz="8" w:space="0" w:color="7F7F7F"/>
              <w:right w:val="nil"/>
            </w:tcBorders>
            <w:vAlign w:val="center"/>
            <w:hideMark/>
          </w:tcPr>
          <w:p w14:paraId="59C04DE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0,600</w:t>
            </w:r>
          </w:p>
        </w:tc>
        <w:tc>
          <w:tcPr>
            <w:tcW w:w="1200" w:type="dxa"/>
            <w:tcBorders>
              <w:top w:val="nil"/>
              <w:left w:val="nil"/>
              <w:bottom w:val="single" w:sz="8" w:space="0" w:color="7F7F7F"/>
              <w:right w:val="nil"/>
            </w:tcBorders>
            <w:vAlign w:val="center"/>
            <w:hideMark/>
          </w:tcPr>
          <w:p w14:paraId="4179415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r>
      <w:tr w:rsidR="00957330" w:rsidRPr="00071A61" w14:paraId="32B6FA78" w14:textId="77777777" w:rsidTr="005E7035">
        <w:trPr>
          <w:trHeight w:val="315"/>
        </w:trPr>
        <w:tc>
          <w:tcPr>
            <w:tcW w:w="1200" w:type="dxa"/>
            <w:tcBorders>
              <w:top w:val="nil"/>
              <w:left w:val="nil"/>
              <w:bottom w:val="single" w:sz="8" w:space="0" w:color="7F7F7F"/>
              <w:right w:val="nil"/>
            </w:tcBorders>
            <w:vAlign w:val="center"/>
            <w:hideMark/>
          </w:tcPr>
          <w:p w14:paraId="250F7A68"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63</w:t>
            </w:r>
          </w:p>
        </w:tc>
        <w:tc>
          <w:tcPr>
            <w:tcW w:w="1200" w:type="dxa"/>
            <w:tcBorders>
              <w:top w:val="nil"/>
              <w:left w:val="nil"/>
              <w:bottom w:val="single" w:sz="8" w:space="0" w:color="7F7F7F"/>
              <w:right w:val="nil"/>
            </w:tcBorders>
            <w:vAlign w:val="center"/>
            <w:hideMark/>
          </w:tcPr>
          <w:p w14:paraId="5DD7AF09" w14:textId="33FAE200"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3662E28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A9860D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12C7896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BEFB70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64C286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365D727A" w14:textId="77777777" w:rsidTr="005E7035">
        <w:trPr>
          <w:trHeight w:val="315"/>
        </w:trPr>
        <w:tc>
          <w:tcPr>
            <w:tcW w:w="1200" w:type="dxa"/>
            <w:tcBorders>
              <w:top w:val="nil"/>
              <w:left w:val="nil"/>
              <w:bottom w:val="single" w:sz="8" w:space="0" w:color="7F7F7F"/>
              <w:right w:val="nil"/>
            </w:tcBorders>
            <w:hideMark/>
          </w:tcPr>
          <w:p w14:paraId="30B39B8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7562138E"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110</w:t>
            </w:r>
          </w:p>
        </w:tc>
        <w:tc>
          <w:tcPr>
            <w:tcW w:w="1200" w:type="dxa"/>
            <w:tcBorders>
              <w:top w:val="nil"/>
              <w:left w:val="nil"/>
              <w:bottom w:val="single" w:sz="8" w:space="0" w:color="7F7F7F"/>
              <w:right w:val="nil"/>
            </w:tcBorders>
            <w:vAlign w:val="center"/>
            <w:hideMark/>
          </w:tcPr>
          <w:p w14:paraId="4E95316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4C9568A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1ADDA56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c>
          <w:tcPr>
            <w:tcW w:w="1200" w:type="dxa"/>
            <w:tcBorders>
              <w:top w:val="nil"/>
              <w:left w:val="nil"/>
              <w:bottom w:val="single" w:sz="8" w:space="0" w:color="7F7F7F"/>
              <w:right w:val="nil"/>
            </w:tcBorders>
            <w:vAlign w:val="center"/>
            <w:hideMark/>
          </w:tcPr>
          <w:p w14:paraId="441EC06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0,300</w:t>
            </w:r>
          </w:p>
        </w:tc>
        <w:tc>
          <w:tcPr>
            <w:tcW w:w="1200" w:type="dxa"/>
            <w:tcBorders>
              <w:top w:val="nil"/>
              <w:left w:val="nil"/>
              <w:bottom w:val="single" w:sz="8" w:space="0" w:color="7F7F7F"/>
              <w:right w:val="nil"/>
            </w:tcBorders>
            <w:vAlign w:val="center"/>
            <w:hideMark/>
          </w:tcPr>
          <w:p w14:paraId="6AC8D9E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r>
      <w:tr w:rsidR="00957330" w:rsidRPr="00071A61" w14:paraId="05DB2ED9" w14:textId="77777777" w:rsidTr="005E7035">
        <w:trPr>
          <w:trHeight w:val="315"/>
        </w:trPr>
        <w:tc>
          <w:tcPr>
            <w:tcW w:w="1200" w:type="dxa"/>
            <w:tcBorders>
              <w:top w:val="nil"/>
              <w:left w:val="nil"/>
              <w:bottom w:val="single" w:sz="8" w:space="0" w:color="7F7F7F"/>
              <w:right w:val="nil"/>
            </w:tcBorders>
            <w:hideMark/>
          </w:tcPr>
          <w:p w14:paraId="39FD854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4DEE5E77"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250</w:t>
            </w:r>
          </w:p>
        </w:tc>
        <w:tc>
          <w:tcPr>
            <w:tcW w:w="1200" w:type="dxa"/>
            <w:tcBorders>
              <w:top w:val="nil"/>
              <w:left w:val="nil"/>
              <w:bottom w:val="single" w:sz="8" w:space="0" w:color="7F7F7F"/>
              <w:right w:val="nil"/>
            </w:tcBorders>
            <w:vAlign w:val="center"/>
            <w:hideMark/>
          </w:tcPr>
          <w:p w14:paraId="4CAAD02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FFF2DB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B8AD53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822C79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194EFA0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1C956FCC" w14:textId="77777777" w:rsidTr="005E7035">
        <w:trPr>
          <w:trHeight w:val="315"/>
        </w:trPr>
        <w:tc>
          <w:tcPr>
            <w:tcW w:w="1200" w:type="dxa"/>
            <w:tcBorders>
              <w:top w:val="nil"/>
              <w:left w:val="nil"/>
              <w:bottom w:val="single" w:sz="8" w:space="0" w:color="7F7F7F"/>
              <w:right w:val="nil"/>
            </w:tcBorders>
            <w:hideMark/>
          </w:tcPr>
          <w:p w14:paraId="44A0ECC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CA9A0F5"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4290B61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44A6572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3C6AB2A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0,700</w:t>
            </w:r>
          </w:p>
        </w:tc>
        <w:tc>
          <w:tcPr>
            <w:tcW w:w="1200" w:type="dxa"/>
            <w:tcBorders>
              <w:top w:val="nil"/>
              <w:left w:val="nil"/>
              <w:bottom w:val="single" w:sz="8" w:space="0" w:color="7F7F7F"/>
              <w:right w:val="nil"/>
            </w:tcBorders>
            <w:vAlign w:val="center"/>
            <w:hideMark/>
          </w:tcPr>
          <w:p w14:paraId="6455C7E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0,600</w:t>
            </w:r>
          </w:p>
        </w:tc>
        <w:tc>
          <w:tcPr>
            <w:tcW w:w="1200" w:type="dxa"/>
            <w:tcBorders>
              <w:top w:val="nil"/>
              <w:left w:val="nil"/>
              <w:bottom w:val="single" w:sz="8" w:space="0" w:color="7F7F7F"/>
              <w:right w:val="nil"/>
            </w:tcBorders>
            <w:vAlign w:val="center"/>
            <w:hideMark/>
          </w:tcPr>
          <w:p w14:paraId="49E2CB1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r>
      <w:tr w:rsidR="00957330" w:rsidRPr="00071A61" w14:paraId="242C451E" w14:textId="77777777" w:rsidTr="005E7035">
        <w:trPr>
          <w:trHeight w:val="315"/>
        </w:trPr>
        <w:tc>
          <w:tcPr>
            <w:tcW w:w="1200" w:type="dxa"/>
            <w:tcBorders>
              <w:top w:val="nil"/>
              <w:left w:val="nil"/>
              <w:bottom w:val="single" w:sz="18" w:space="0" w:color="000000"/>
              <w:right w:val="nil"/>
            </w:tcBorders>
            <w:hideMark/>
          </w:tcPr>
          <w:p w14:paraId="2BEE9B0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18" w:space="0" w:color="000000"/>
              <w:right w:val="nil"/>
            </w:tcBorders>
            <w:vAlign w:val="center"/>
            <w:hideMark/>
          </w:tcPr>
          <w:p w14:paraId="7BBF5FE5"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500</w:t>
            </w:r>
          </w:p>
        </w:tc>
        <w:tc>
          <w:tcPr>
            <w:tcW w:w="1200" w:type="dxa"/>
            <w:tcBorders>
              <w:top w:val="nil"/>
              <w:left w:val="nil"/>
              <w:bottom w:val="single" w:sz="18" w:space="0" w:color="000000"/>
              <w:right w:val="nil"/>
            </w:tcBorders>
            <w:vAlign w:val="center"/>
            <w:hideMark/>
          </w:tcPr>
          <w:p w14:paraId="77CEBF0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18" w:space="0" w:color="000000"/>
              <w:right w:val="nil"/>
            </w:tcBorders>
            <w:vAlign w:val="center"/>
            <w:hideMark/>
          </w:tcPr>
          <w:p w14:paraId="5183BD5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18" w:space="0" w:color="000000"/>
              <w:right w:val="nil"/>
            </w:tcBorders>
            <w:vAlign w:val="center"/>
            <w:hideMark/>
          </w:tcPr>
          <w:p w14:paraId="4604BE2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18" w:space="0" w:color="000000"/>
              <w:right w:val="nil"/>
            </w:tcBorders>
            <w:vAlign w:val="center"/>
            <w:hideMark/>
          </w:tcPr>
          <w:p w14:paraId="3EFFB37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18" w:space="0" w:color="000000"/>
              <w:right w:val="nil"/>
            </w:tcBorders>
            <w:vAlign w:val="center"/>
            <w:hideMark/>
          </w:tcPr>
          <w:p w14:paraId="72939E4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bl>
    <w:p w14:paraId="51644745" w14:textId="2B3BCC63" w:rsidR="00957330" w:rsidRPr="00DA22FE" w:rsidRDefault="003C5401" w:rsidP="000D63C5">
      <w:pPr>
        <w:spacing w:before="100" w:beforeAutospacing="1" w:after="100" w:afterAutospacing="1" w:line="360" w:lineRule="auto"/>
        <w:jc w:val="both"/>
        <w:rPr>
          <w:rFonts w:ascii="Times New Roman" w:eastAsia="Times New Roman" w:hAnsi="Times New Roman" w:cs="Times New Roman"/>
          <w:sz w:val="32"/>
          <w:szCs w:val="32"/>
          <w:lang w:val="en-US" w:eastAsia="fr-FR"/>
        </w:rPr>
      </w:pPr>
      <w:r w:rsidRPr="00DA22FE">
        <w:rPr>
          <w:rFonts w:ascii="Times New Roman" w:eastAsia="Times New Roman" w:hAnsi="Times New Roman" w:cs="Times New Roman"/>
          <w:sz w:val="20"/>
          <w:szCs w:val="20"/>
          <w:lang w:val="en-US" w:eastAsia="fr-FR"/>
        </w:rPr>
        <w:t xml:space="preserve">N: Number of individuals sampled per locus </w:t>
      </w:r>
    </w:p>
    <w:p w14:paraId="49C08907" w14:textId="294FED1A" w:rsidR="002F5450" w:rsidRPr="002F5450" w:rsidRDefault="002F5450" w:rsidP="002F54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2F5450">
        <w:rPr>
          <w:rFonts w:ascii="Times New Roman" w:eastAsia="Times New Roman" w:hAnsi="Times New Roman" w:cs="Times New Roman"/>
          <w:b/>
          <w:bCs/>
          <w:sz w:val="24"/>
          <w:szCs w:val="24"/>
          <w:lang w:val="en-US" w:eastAsia="fr-FR"/>
        </w:rPr>
        <w:t xml:space="preserve">Wright’s </w:t>
      </w:r>
      <w:r w:rsidR="006E7F8B">
        <w:rPr>
          <w:rFonts w:ascii="Times New Roman" w:eastAsia="Times New Roman" w:hAnsi="Times New Roman" w:cs="Times New Roman"/>
          <w:b/>
          <w:bCs/>
          <w:sz w:val="24"/>
          <w:szCs w:val="24"/>
          <w:lang w:val="en-US" w:eastAsia="fr-FR"/>
        </w:rPr>
        <w:t>f</w:t>
      </w:r>
      <w:r w:rsidRPr="002F5450">
        <w:rPr>
          <w:rFonts w:ascii="Times New Roman" w:eastAsia="Times New Roman" w:hAnsi="Times New Roman" w:cs="Times New Roman"/>
          <w:b/>
          <w:bCs/>
          <w:sz w:val="24"/>
          <w:szCs w:val="24"/>
          <w:lang w:val="en-US" w:eastAsia="fr-FR"/>
        </w:rPr>
        <w:t xml:space="preserve">ixation </w:t>
      </w:r>
      <w:r w:rsidR="006E7F8B">
        <w:rPr>
          <w:rFonts w:ascii="Times New Roman" w:eastAsia="Times New Roman" w:hAnsi="Times New Roman" w:cs="Times New Roman"/>
          <w:b/>
          <w:bCs/>
          <w:sz w:val="24"/>
          <w:szCs w:val="24"/>
          <w:lang w:val="en-US" w:eastAsia="fr-FR"/>
        </w:rPr>
        <w:t>i</w:t>
      </w:r>
      <w:r w:rsidRPr="002F5450">
        <w:rPr>
          <w:rFonts w:ascii="Times New Roman" w:eastAsia="Times New Roman" w:hAnsi="Times New Roman" w:cs="Times New Roman"/>
          <w:b/>
          <w:bCs/>
          <w:sz w:val="24"/>
          <w:szCs w:val="24"/>
          <w:lang w:val="en-US" w:eastAsia="fr-FR"/>
        </w:rPr>
        <w:t>ndices (F-statistics)</w:t>
      </w:r>
      <w:r w:rsidR="006E7F8B">
        <w:rPr>
          <w:rFonts w:ascii="Times New Roman" w:eastAsia="Times New Roman" w:hAnsi="Times New Roman" w:cs="Times New Roman"/>
          <w:b/>
          <w:bCs/>
          <w:sz w:val="24"/>
          <w:szCs w:val="24"/>
          <w:lang w:val="en-US" w:eastAsia="fr-FR"/>
        </w:rPr>
        <w:t xml:space="preserve"> per locus</w:t>
      </w:r>
    </w:p>
    <w:p w14:paraId="7565D704" w14:textId="180B4778" w:rsidR="00835006" w:rsidRPr="00A67EAE" w:rsidRDefault="002F545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F5450">
        <w:rPr>
          <w:rFonts w:ascii="Times New Roman" w:eastAsia="Times New Roman" w:hAnsi="Times New Roman" w:cs="Times New Roman"/>
          <w:sz w:val="24"/>
          <w:szCs w:val="24"/>
          <w:lang w:val="en-US" w:eastAsia="fr-FR"/>
        </w:rPr>
        <w:t xml:space="preserve">The </w:t>
      </w:r>
      <w:r w:rsidR="006E7F8B">
        <w:rPr>
          <w:rFonts w:ascii="Times New Roman" w:eastAsia="Times New Roman" w:hAnsi="Times New Roman" w:cs="Times New Roman"/>
          <w:sz w:val="24"/>
          <w:szCs w:val="24"/>
          <w:lang w:val="en-US" w:eastAsia="fr-FR"/>
        </w:rPr>
        <w:t>average</w:t>
      </w:r>
      <w:r w:rsidRPr="002F5450">
        <w:rPr>
          <w:rFonts w:ascii="Times New Roman" w:eastAsia="Times New Roman" w:hAnsi="Times New Roman" w:cs="Times New Roman"/>
          <w:sz w:val="24"/>
          <w:szCs w:val="24"/>
          <w:lang w:val="en-US" w:eastAsia="fr-FR"/>
        </w:rPr>
        <w:t xml:space="preserve"> values of Wright’s fixation indices, calculated across all loci for the </w:t>
      </w:r>
      <w:r>
        <w:rPr>
          <w:rFonts w:ascii="Times New Roman" w:eastAsia="Times New Roman" w:hAnsi="Times New Roman" w:cs="Times New Roman"/>
          <w:sz w:val="24"/>
          <w:szCs w:val="24"/>
          <w:lang w:val="en-US" w:eastAsia="fr-FR"/>
        </w:rPr>
        <w:t>different</w:t>
      </w:r>
      <w:r w:rsidRPr="002F5450">
        <w:rPr>
          <w:rFonts w:ascii="Times New Roman" w:eastAsia="Times New Roman" w:hAnsi="Times New Roman" w:cs="Times New Roman"/>
          <w:sz w:val="24"/>
          <w:szCs w:val="24"/>
          <w:lang w:val="en-US" w:eastAsia="fr-FR"/>
        </w:rPr>
        <w:t xml:space="preserve"> genotypes, were Fis =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0.430, Fit =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0.226, and Fst = 0.167 (Table 6). Locus-specific Fis values ranged from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0.760 at SSR 63 to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0.151 at SSR 53, while Fit values varied from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0.714 at SSR 58 to 0.535 at SSR 53. Genetic differentiation (Fst) was </w:t>
      </w:r>
      <w:r w:rsidR="006E7F8B">
        <w:rPr>
          <w:rFonts w:ascii="Times New Roman" w:eastAsia="Times New Roman" w:hAnsi="Times New Roman" w:cs="Times New Roman"/>
          <w:sz w:val="24"/>
          <w:szCs w:val="24"/>
          <w:lang w:val="en-US" w:eastAsia="fr-FR"/>
        </w:rPr>
        <w:t>low for SSR 58 (0.024) and SSR 63 (</w:t>
      </w:r>
      <w:r w:rsidR="006E7F8B" w:rsidRPr="006E7F8B">
        <w:rPr>
          <w:rFonts w:ascii="Times New Roman" w:eastAsia="Times New Roman" w:hAnsi="Times New Roman" w:cs="Times New Roman"/>
          <w:sz w:val="24"/>
          <w:szCs w:val="24"/>
          <w:lang w:val="en-US" w:eastAsia="fr-FR"/>
        </w:rPr>
        <w:t>0.049</w:t>
      </w:r>
      <w:r w:rsidR="006E7F8B">
        <w:rPr>
          <w:rFonts w:ascii="Times New Roman" w:eastAsia="Times New Roman" w:hAnsi="Times New Roman" w:cs="Times New Roman"/>
          <w:sz w:val="24"/>
          <w:szCs w:val="24"/>
          <w:lang w:val="en-US" w:eastAsia="fr-FR"/>
        </w:rPr>
        <w:t xml:space="preserve">), </w:t>
      </w:r>
      <w:r w:rsidRPr="002F5450">
        <w:rPr>
          <w:rFonts w:ascii="Times New Roman" w:eastAsia="Times New Roman" w:hAnsi="Times New Roman" w:cs="Times New Roman"/>
          <w:sz w:val="24"/>
          <w:szCs w:val="24"/>
          <w:lang w:val="en-US" w:eastAsia="fr-FR"/>
        </w:rPr>
        <w:t>moderate for SSR 26 (0.081) and SSR 43 (0.083)</w:t>
      </w:r>
      <w:r w:rsidR="006E7F8B">
        <w:rPr>
          <w:rFonts w:ascii="Times New Roman" w:eastAsia="Times New Roman" w:hAnsi="Times New Roman" w:cs="Times New Roman"/>
          <w:sz w:val="24"/>
          <w:szCs w:val="24"/>
          <w:lang w:val="en-US" w:eastAsia="fr-FR"/>
        </w:rPr>
        <w:t xml:space="preserve">, and </w:t>
      </w:r>
      <w:r w:rsidRPr="002F5450">
        <w:rPr>
          <w:rFonts w:ascii="Times New Roman" w:eastAsia="Times New Roman" w:hAnsi="Times New Roman" w:cs="Times New Roman"/>
          <w:sz w:val="24"/>
          <w:szCs w:val="24"/>
          <w:lang w:val="en-US" w:eastAsia="fr-FR"/>
        </w:rPr>
        <w:t>markedly high at SSR 53</w:t>
      </w:r>
      <w:r>
        <w:rPr>
          <w:rFonts w:ascii="Times New Roman" w:eastAsia="Times New Roman" w:hAnsi="Times New Roman" w:cs="Times New Roman"/>
          <w:sz w:val="24"/>
          <w:szCs w:val="24"/>
          <w:lang w:val="en-US" w:eastAsia="fr-FR"/>
        </w:rPr>
        <w:t xml:space="preserve"> (</w:t>
      </w:r>
      <w:r w:rsidRPr="002F5450">
        <w:rPr>
          <w:rFonts w:ascii="Times New Roman" w:eastAsia="Times New Roman" w:hAnsi="Times New Roman" w:cs="Times New Roman"/>
          <w:sz w:val="24"/>
          <w:szCs w:val="24"/>
          <w:lang w:val="en-US" w:eastAsia="fr-FR"/>
        </w:rPr>
        <w:t>0.596</w:t>
      </w:r>
      <w:r>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indicating substantial locus-specific differentiation among the populations (Table 6)</w:t>
      </w:r>
      <w:r w:rsidR="005326A7" w:rsidRPr="002F5450">
        <w:rPr>
          <w:rFonts w:ascii="Times New Roman" w:eastAsia="Times New Roman" w:hAnsi="Times New Roman" w:cs="Times New Roman"/>
          <w:sz w:val="24"/>
          <w:szCs w:val="24"/>
          <w:lang w:val="en-US" w:eastAsia="fr-FR"/>
        </w:rPr>
        <w:t>.</w:t>
      </w:r>
    </w:p>
    <w:p w14:paraId="5EF6AF42" w14:textId="70367E11"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6E7F8B">
        <w:rPr>
          <w:rFonts w:ascii="Times New Roman" w:eastAsia="Times New Roman" w:hAnsi="Times New Roman" w:cs="Times New Roman"/>
          <w:b/>
          <w:sz w:val="24"/>
          <w:szCs w:val="24"/>
          <w:lang w:val="en-US" w:eastAsia="fr-FR"/>
        </w:rPr>
        <w:t>Table 6</w:t>
      </w:r>
      <w:r w:rsidR="00FE1DAF" w:rsidRPr="006E7F8B">
        <w:rPr>
          <w:rFonts w:ascii="Times New Roman" w:eastAsia="Times New Roman" w:hAnsi="Times New Roman" w:cs="Times New Roman"/>
          <w:b/>
          <w:sz w:val="24"/>
          <w:szCs w:val="24"/>
          <w:lang w:val="en-US" w:eastAsia="fr-FR"/>
        </w:rPr>
        <w:t>:</w:t>
      </w:r>
      <w:r w:rsidR="00FE1DAF" w:rsidRPr="00A67EAE">
        <w:rPr>
          <w:rFonts w:ascii="Times New Roman" w:eastAsia="Times New Roman" w:hAnsi="Times New Roman" w:cs="Times New Roman"/>
          <w:bCs/>
          <w:sz w:val="24"/>
          <w:szCs w:val="24"/>
          <w:lang w:val="en-US" w:eastAsia="fr-FR"/>
        </w:rPr>
        <w:t xml:space="preserve"> Wright's fixation indices for the 5 loci</w:t>
      </w:r>
    </w:p>
    <w:tbl>
      <w:tblPr>
        <w:tblStyle w:val="PlainTable2"/>
        <w:tblW w:w="9923" w:type="dxa"/>
        <w:tblLook w:val="04A0" w:firstRow="1" w:lastRow="0" w:firstColumn="1" w:lastColumn="0" w:noHBand="0" w:noVBand="1"/>
      </w:tblPr>
      <w:tblGrid>
        <w:gridCol w:w="1134"/>
        <w:gridCol w:w="993"/>
        <w:gridCol w:w="992"/>
        <w:gridCol w:w="1134"/>
        <w:gridCol w:w="5670"/>
      </w:tblGrid>
      <w:tr w:rsidR="00FE1DAF" w:rsidRPr="00071A61" w14:paraId="6098F4E0" w14:textId="77777777" w:rsidTr="008A1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8" w:space="0" w:color="000000"/>
              <w:bottom w:val="single" w:sz="18" w:space="0" w:color="000000"/>
            </w:tcBorders>
            <w:hideMark/>
          </w:tcPr>
          <w:p w14:paraId="16758487" w14:textId="548F2FDB" w:rsidR="008A160F" w:rsidRPr="00CF4049" w:rsidRDefault="00FE1DAF" w:rsidP="000D63C5">
            <w:pPr>
              <w:spacing w:before="100" w:beforeAutospacing="1" w:after="100" w:afterAutospacing="1" w:line="360" w:lineRule="auto"/>
              <w:jc w:val="both"/>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Locus</w:t>
            </w:r>
          </w:p>
        </w:tc>
        <w:tc>
          <w:tcPr>
            <w:tcW w:w="993" w:type="dxa"/>
            <w:tcBorders>
              <w:top w:val="single" w:sz="18" w:space="0" w:color="000000"/>
              <w:bottom w:val="single" w:sz="18" w:space="0" w:color="000000"/>
            </w:tcBorders>
            <w:hideMark/>
          </w:tcPr>
          <w:p w14:paraId="3569DE2D"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Fis</w:t>
            </w:r>
          </w:p>
        </w:tc>
        <w:tc>
          <w:tcPr>
            <w:tcW w:w="992" w:type="dxa"/>
            <w:tcBorders>
              <w:top w:val="single" w:sz="18" w:space="0" w:color="000000"/>
              <w:bottom w:val="single" w:sz="18" w:space="0" w:color="000000"/>
            </w:tcBorders>
            <w:hideMark/>
          </w:tcPr>
          <w:p w14:paraId="397D217D"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Fit</w:t>
            </w:r>
          </w:p>
        </w:tc>
        <w:tc>
          <w:tcPr>
            <w:tcW w:w="1134" w:type="dxa"/>
            <w:tcBorders>
              <w:top w:val="single" w:sz="18" w:space="0" w:color="000000"/>
              <w:bottom w:val="single" w:sz="18" w:space="0" w:color="000000"/>
            </w:tcBorders>
            <w:hideMark/>
          </w:tcPr>
          <w:p w14:paraId="107A9AA5"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Fst</w:t>
            </w:r>
          </w:p>
        </w:tc>
        <w:tc>
          <w:tcPr>
            <w:tcW w:w="5670" w:type="dxa"/>
            <w:tcBorders>
              <w:top w:val="single" w:sz="18" w:space="0" w:color="000000"/>
              <w:bottom w:val="single" w:sz="18" w:space="0" w:color="000000"/>
            </w:tcBorders>
            <w:hideMark/>
          </w:tcPr>
          <w:p w14:paraId="4A8B6470"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Level of Differentiation</w:t>
            </w:r>
          </w:p>
        </w:tc>
      </w:tr>
      <w:tr w:rsidR="00FE1DAF" w:rsidRPr="00071A61" w14:paraId="776E27E6" w14:textId="77777777" w:rsidTr="00957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8" w:space="0" w:color="000000"/>
            </w:tcBorders>
            <w:hideMark/>
          </w:tcPr>
          <w:p w14:paraId="66F72D8F"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26</w:t>
            </w:r>
          </w:p>
        </w:tc>
        <w:tc>
          <w:tcPr>
            <w:tcW w:w="993" w:type="dxa"/>
            <w:tcBorders>
              <w:top w:val="single" w:sz="18" w:space="0" w:color="000000"/>
            </w:tcBorders>
            <w:hideMark/>
          </w:tcPr>
          <w:p w14:paraId="339BAE47"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-0.233</w:t>
            </w:r>
          </w:p>
        </w:tc>
        <w:tc>
          <w:tcPr>
            <w:tcW w:w="992" w:type="dxa"/>
            <w:tcBorders>
              <w:top w:val="single" w:sz="18" w:space="0" w:color="000000"/>
            </w:tcBorders>
            <w:hideMark/>
          </w:tcPr>
          <w:p w14:paraId="76799FC6"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-0.134</w:t>
            </w:r>
          </w:p>
        </w:tc>
        <w:tc>
          <w:tcPr>
            <w:tcW w:w="1134" w:type="dxa"/>
            <w:tcBorders>
              <w:top w:val="single" w:sz="18" w:space="0" w:color="000000"/>
            </w:tcBorders>
            <w:hideMark/>
          </w:tcPr>
          <w:p w14:paraId="32F361CC"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0.081</w:t>
            </w:r>
          </w:p>
        </w:tc>
        <w:tc>
          <w:tcPr>
            <w:tcW w:w="5670" w:type="dxa"/>
            <w:tcBorders>
              <w:top w:val="single" w:sz="18" w:space="0" w:color="000000"/>
            </w:tcBorders>
            <w:hideMark/>
          </w:tcPr>
          <w:p w14:paraId="3DFB941E"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0.05 &lt; Fst &lt; 0.15: moderate differentiation</w:t>
            </w:r>
          </w:p>
        </w:tc>
      </w:tr>
      <w:tr w:rsidR="00FE1DAF" w:rsidRPr="00E06A43" w14:paraId="00D31517" w14:textId="77777777" w:rsidTr="00957330">
        <w:tc>
          <w:tcPr>
            <w:cnfStyle w:val="001000000000" w:firstRow="0" w:lastRow="0" w:firstColumn="1" w:lastColumn="0" w:oddVBand="0" w:evenVBand="0" w:oddHBand="0" w:evenHBand="0" w:firstRowFirstColumn="0" w:firstRowLastColumn="0" w:lastRowFirstColumn="0" w:lastRowLastColumn="0"/>
            <w:tcW w:w="1134" w:type="dxa"/>
            <w:hideMark/>
          </w:tcPr>
          <w:p w14:paraId="57FD9D10"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43</w:t>
            </w:r>
          </w:p>
        </w:tc>
        <w:tc>
          <w:tcPr>
            <w:tcW w:w="993" w:type="dxa"/>
            <w:hideMark/>
          </w:tcPr>
          <w:p w14:paraId="377F480E"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-0.250</w:t>
            </w:r>
          </w:p>
        </w:tc>
        <w:tc>
          <w:tcPr>
            <w:tcW w:w="992" w:type="dxa"/>
            <w:hideMark/>
          </w:tcPr>
          <w:p w14:paraId="28FC0160"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-0.146</w:t>
            </w:r>
          </w:p>
        </w:tc>
        <w:tc>
          <w:tcPr>
            <w:tcW w:w="1134" w:type="dxa"/>
            <w:hideMark/>
          </w:tcPr>
          <w:p w14:paraId="66CD93DE"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0.083</w:t>
            </w:r>
          </w:p>
        </w:tc>
        <w:tc>
          <w:tcPr>
            <w:tcW w:w="5670" w:type="dxa"/>
            <w:hideMark/>
          </w:tcPr>
          <w:p w14:paraId="77AE9D3D" w14:textId="77777777" w:rsidR="00FE1DAF" w:rsidRPr="00A67EAE"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(moderate differentiation implied, as per SSR 26 range)</w:t>
            </w:r>
          </w:p>
        </w:tc>
      </w:tr>
      <w:tr w:rsidR="00FE1DAF" w:rsidRPr="00071A61" w14:paraId="59EADA25" w14:textId="77777777" w:rsidTr="00957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CDCC46F"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53</w:t>
            </w:r>
          </w:p>
        </w:tc>
        <w:tc>
          <w:tcPr>
            <w:tcW w:w="993" w:type="dxa"/>
            <w:hideMark/>
          </w:tcPr>
          <w:p w14:paraId="7C68AF30"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-0.151</w:t>
            </w:r>
          </w:p>
        </w:tc>
        <w:tc>
          <w:tcPr>
            <w:tcW w:w="992" w:type="dxa"/>
            <w:hideMark/>
          </w:tcPr>
          <w:p w14:paraId="5715BA13"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0.535</w:t>
            </w:r>
          </w:p>
        </w:tc>
        <w:tc>
          <w:tcPr>
            <w:tcW w:w="1134" w:type="dxa"/>
            <w:hideMark/>
          </w:tcPr>
          <w:p w14:paraId="77904BA2"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0.596</w:t>
            </w:r>
          </w:p>
        </w:tc>
        <w:tc>
          <w:tcPr>
            <w:tcW w:w="5670" w:type="dxa"/>
            <w:hideMark/>
          </w:tcPr>
          <w:p w14:paraId="75B272CB"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Fst &gt; 0.25: very significant differentiation</w:t>
            </w:r>
          </w:p>
        </w:tc>
      </w:tr>
      <w:tr w:rsidR="00FE1DAF" w:rsidRPr="00071A61" w14:paraId="41C6A89B" w14:textId="77777777" w:rsidTr="00957330">
        <w:tc>
          <w:tcPr>
            <w:cnfStyle w:val="001000000000" w:firstRow="0" w:lastRow="0" w:firstColumn="1" w:lastColumn="0" w:oddVBand="0" w:evenVBand="0" w:oddHBand="0" w:evenHBand="0" w:firstRowFirstColumn="0" w:firstRowLastColumn="0" w:lastRowFirstColumn="0" w:lastRowLastColumn="0"/>
            <w:tcW w:w="1134" w:type="dxa"/>
            <w:hideMark/>
          </w:tcPr>
          <w:p w14:paraId="21BF95C9"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58</w:t>
            </w:r>
          </w:p>
        </w:tc>
        <w:tc>
          <w:tcPr>
            <w:tcW w:w="993" w:type="dxa"/>
            <w:hideMark/>
          </w:tcPr>
          <w:p w14:paraId="4DE1F96A"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-0.756</w:t>
            </w:r>
          </w:p>
        </w:tc>
        <w:tc>
          <w:tcPr>
            <w:tcW w:w="992" w:type="dxa"/>
            <w:hideMark/>
          </w:tcPr>
          <w:p w14:paraId="712A3697"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-0.714</w:t>
            </w:r>
          </w:p>
        </w:tc>
        <w:tc>
          <w:tcPr>
            <w:tcW w:w="1134" w:type="dxa"/>
            <w:hideMark/>
          </w:tcPr>
          <w:p w14:paraId="7B7D2BF3"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0.024</w:t>
            </w:r>
          </w:p>
        </w:tc>
        <w:tc>
          <w:tcPr>
            <w:tcW w:w="5670" w:type="dxa"/>
            <w:hideMark/>
          </w:tcPr>
          <w:p w14:paraId="0C0BF51A"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 &lt; Fst &lt; 0.05: low differentiation</w:t>
            </w:r>
          </w:p>
        </w:tc>
      </w:tr>
      <w:tr w:rsidR="00FE1DAF" w:rsidRPr="00E06A43" w14:paraId="2A59A8A9" w14:textId="77777777" w:rsidTr="00957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7D3F2B0E"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lastRenderedPageBreak/>
              <w:t>SSR 63</w:t>
            </w:r>
          </w:p>
        </w:tc>
        <w:tc>
          <w:tcPr>
            <w:tcW w:w="993" w:type="dxa"/>
            <w:hideMark/>
          </w:tcPr>
          <w:p w14:paraId="7B63B5BD"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-0.760</w:t>
            </w:r>
          </w:p>
        </w:tc>
        <w:tc>
          <w:tcPr>
            <w:tcW w:w="992" w:type="dxa"/>
            <w:hideMark/>
          </w:tcPr>
          <w:p w14:paraId="3B400507"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-0.674</w:t>
            </w:r>
          </w:p>
        </w:tc>
        <w:tc>
          <w:tcPr>
            <w:tcW w:w="1134" w:type="dxa"/>
            <w:hideMark/>
          </w:tcPr>
          <w:p w14:paraId="220DB0A4"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0.049</w:t>
            </w:r>
          </w:p>
        </w:tc>
        <w:tc>
          <w:tcPr>
            <w:tcW w:w="5670" w:type="dxa"/>
            <w:hideMark/>
          </w:tcPr>
          <w:p w14:paraId="023E47EB" w14:textId="77777777" w:rsidR="00FE1DAF" w:rsidRPr="00A67EAE"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(low differentiation implied, as per SSR 58 range)</w:t>
            </w:r>
          </w:p>
        </w:tc>
      </w:tr>
      <w:tr w:rsidR="00FE1DAF" w:rsidRPr="00071A61" w14:paraId="5AF7AF93" w14:textId="77777777" w:rsidTr="00957330">
        <w:tc>
          <w:tcPr>
            <w:cnfStyle w:val="001000000000" w:firstRow="0" w:lastRow="0" w:firstColumn="1" w:lastColumn="0" w:oddVBand="0" w:evenVBand="0" w:oddHBand="0" w:evenHBand="0" w:firstRowFirstColumn="0" w:firstRowLastColumn="0" w:lastRowFirstColumn="0" w:lastRowLastColumn="0"/>
            <w:tcW w:w="1134" w:type="dxa"/>
            <w:hideMark/>
          </w:tcPr>
          <w:p w14:paraId="4CA82E44"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bCs w:val="0"/>
                <w:sz w:val="24"/>
                <w:szCs w:val="24"/>
                <w:lang w:eastAsia="fr-FR"/>
              </w:rPr>
              <w:t>Mean</w:t>
            </w:r>
          </w:p>
        </w:tc>
        <w:tc>
          <w:tcPr>
            <w:tcW w:w="993" w:type="dxa"/>
            <w:hideMark/>
          </w:tcPr>
          <w:p w14:paraId="6B03D37F"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-0.430</w:t>
            </w:r>
          </w:p>
        </w:tc>
        <w:tc>
          <w:tcPr>
            <w:tcW w:w="992" w:type="dxa"/>
            <w:hideMark/>
          </w:tcPr>
          <w:p w14:paraId="0CD5A574"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-0.226</w:t>
            </w:r>
          </w:p>
        </w:tc>
        <w:tc>
          <w:tcPr>
            <w:tcW w:w="1134" w:type="dxa"/>
            <w:hideMark/>
          </w:tcPr>
          <w:p w14:paraId="7B38FF6C"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0.167</w:t>
            </w:r>
          </w:p>
        </w:tc>
        <w:tc>
          <w:tcPr>
            <w:tcW w:w="5670" w:type="dxa"/>
            <w:hideMark/>
          </w:tcPr>
          <w:p w14:paraId="54ABB97C"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0.15 &lt; Fst &lt; 0.25: significant differentiation</w:t>
            </w:r>
          </w:p>
        </w:tc>
      </w:tr>
      <w:tr w:rsidR="00FE1DAF" w:rsidRPr="00071A61" w14:paraId="3E514B9A" w14:textId="77777777" w:rsidTr="008A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8" w:space="0" w:color="000000"/>
            </w:tcBorders>
            <w:hideMark/>
          </w:tcPr>
          <w:p w14:paraId="6B1778F6"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SE</w:t>
            </w:r>
          </w:p>
        </w:tc>
        <w:tc>
          <w:tcPr>
            <w:tcW w:w="993" w:type="dxa"/>
            <w:tcBorders>
              <w:bottom w:val="single" w:sz="18" w:space="0" w:color="000000"/>
            </w:tcBorders>
            <w:hideMark/>
          </w:tcPr>
          <w:p w14:paraId="7E88580B"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0.135</w:t>
            </w:r>
          </w:p>
        </w:tc>
        <w:tc>
          <w:tcPr>
            <w:tcW w:w="992" w:type="dxa"/>
            <w:tcBorders>
              <w:bottom w:val="single" w:sz="18" w:space="0" w:color="000000"/>
            </w:tcBorders>
            <w:hideMark/>
          </w:tcPr>
          <w:p w14:paraId="4FA6A6BD"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0.227</w:t>
            </w:r>
          </w:p>
        </w:tc>
        <w:tc>
          <w:tcPr>
            <w:tcW w:w="1134" w:type="dxa"/>
            <w:tcBorders>
              <w:bottom w:val="single" w:sz="18" w:space="0" w:color="000000"/>
            </w:tcBorders>
            <w:hideMark/>
          </w:tcPr>
          <w:p w14:paraId="47578D88"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0.108</w:t>
            </w:r>
          </w:p>
        </w:tc>
        <w:tc>
          <w:tcPr>
            <w:tcW w:w="5670" w:type="dxa"/>
            <w:tcBorders>
              <w:bottom w:val="single" w:sz="18" w:space="0" w:color="000000"/>
            </w:tcBorders>
            <w:hideMark/>
          </w:tcPr>
          <w:p w14:paraId="04DD7154"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bl>
    <w:p w14:paraId="3DF5C766" w14:textId="363AA623" w:rsidR="0020388B" w:rsidRPr="0020388B" w:rsidRDefault="00FE1DAF" w:rsidP="0020388B">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071A61">
        <w:rPr>
          <w:rFonts w:ascii="Times New Roman" w:eastAsia="Times New Roman" w:hAnsi="Times New Roman" w:cs="Times New Roman"/>
          <w:b/>
          <w:bCs/>
          <w:sz w:val="24"/>
          <w:szCs w:val="24"/>
          <w:lang w:eastAsia="fr-FR"/>
        </w:rPr>
        <w:t xml:space="preserve">Genetic </w:t>
      </w:r>
      <w:r w:rsidR="005326A7" w:rsidRPr="00071A61">
        <w:rPr>
          <w:rFonts w:ascii="Times New Roman" w:eastAsia="Times New Roman" w:hAnsi="Times New Roman" w:cs="Times New Roman"/>
          <w:b/>
          <w:bCs/>
          <w:sz w:val="24"/>
          <w:szCs w:val="24"/>
          <w:lang w:eastAsia="fr-FR"/>
        </w:rPr>
        <w:t>dista</w:t>
      </w:r>
      <w:r w:rsidRPr="00071A61">
        <w:rPr>
          <w:rFonts w:ascii="Times New Roman" w:eastAsia="Times New Roman" w:hAnsi="Times New Roman" w:cs="Times New Roman"/>
          <w:b/>
          <w:bCs/>
          <w:sz w:val="24"/>
          <w:szCs w:val="24"/>
          <w:lang w:eastAsia="fr-FR"/>
        </w:rPr>
        <w:t>nces</w:t>
      </w:r>
      <w:r w:rsidR="006E7F8B">
        <w:rPr>
          <w:rFonts w:ascii="Times New Roman" w:eastAsia="Times New Roman" w:hAnsi="Times New Roman" w:cs="Times New Roman"/>
          <w:b/>
          <w:bCs/>
          <w:sz w:val="24"/>
          <w:szCs w:val="24"/>
          <w:lang w:eastAsia="fr-FR"/>
        </w:rPr>
        <w:t xml:space="preserve"> across populations</w:t>
      </w:r>
    </w:p>
    <w:p w14:paraId="349E80EC" w14:textId="2F0DBD43" w:rsidR="00931DE2" w:rsidRPr="00A67EAE" w:rsidRDefault="0020388B" w:rsidP="0020388B">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0388B">
        <w:rPr>
          <w:rFonts w:ascii="Times New Roman" w:eastAsia="Times New Roman" w:hAnsi="Times New Roman" w:cs="Times New Roman"/>
          <w:sz w:val="24"/>
          <w:szCs w:val="24"/>
          <w:lang w:val="en-US" w:eastAsia="fr-FR"/>
        </w:rPr>
        <w:t>The genetic distance matrix (Table 7)</w:t>
      </w:r>
      <w:r>
        <w:rPr>
          <w:rFonts w:ascii="Times New Roman" w:eastAsia="Times New Roman" w:hAnsi="Times New Roman" w:cs="Times New Roman"/>
          <w:sz w:val="24"/>
          <w:szCs w:val="24"/>
          <w:lang w:val="en-US" w:eastAsia="fr-FR"/>
        </w:rPr>
        <w:t xml:space="preserve"> </w:t>
      </w:r>
      <w:r w:rsidRPr="0020388B">
        <w:rPr>
          <w:rFonts w:ascii="Times New Roman" w:eastAsia="Times New Roman" w:hAnsi="Times New Roman" w:cs="Times New Roman"/>
          <w:sz w:val="24"/>
          <w:szCs w:val="24"/>
          <w:lang w:val="en-US" w:eastAsia="fr-FR"/>
        </w:rPr>
        <w:t>based on the five SSR markers revealed variation in genetic differentiation among ecotypes from the five regions. Pairwise genetic distances ranged from 0.013 between Tahoua and Tillabéry, indicating very close genetic similarity, to 0.284 between Dosso and Zinder, reflecting the greatest genetic divergence among the populations</w:t>
      </w:r>
      <w:r w:rsidR="00931DE2" w:rsidRPr="00A67EAE">
        <w:rPr>
          <w:rFonts w:ascii="Times New Roman" w:eastAsia="Times New Roman" w:hAnsi="Times New Roman" w:cs="Times New Roman"/>
          <w:sz w:val="24"/>
          <w:szCs w:val="24"/>
          <w:lang w:val="en-US" w:eastAsia="fr-FR"/>
        </w:rPr>
        <w:t xml:space="preserve">. </w:t>
      </w:r>
    </w:p>
    <w:p w14:paraId="3FC4BFBE" w14:textId="065F82A4"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8A68AF">
        <w:rPr>
          <w:rFonts w:ascii="Times New Roman" w:eastAsia="Times New Roman" w:hAnsi="Times New Roman" w:cs="Times New Roman"/>
          <w:b/>
          <w:sz w:val="24"/>
          <w:szCs w:val="24"/>
          <w:lang w:val="en-US" w:eastAsia="fr-FR"/>
        </w:rPr>
        <w:t>Table 7</w:t>
      </w:r>
      <w:r w:rsidR="00FE1DAF" w:rsidRPr="008A68AF">
        <w:rPr>
          <w:rFonts w:ascii="Times New Roman" w:eastAsia="Times New Roman" w:hAnsi="Times New Roman" w:cs="Times New Roman"/>
          <w:b/>
          <w:sz w:val="24"/>
          <w:szCs w:val="24"/>
          <w:lang w:val="en-US" w:eastAsia="fr-FR"/>
        </w:rPr>
        <w:t>:</w:t>
      </w:r>
      <w:r w:rsidR="00FE1DAF" w:rsidRPr="00A67EAE">
        <w:rPr>
          <w:rFonts w:ascii="Times New Roman" w:eastAsia="Times New Roman" w:hAnsi="Times New Roman" w:cs="Times New Roman"/>
          <w:bCs/>
          <w:sz w:val="24"/>
          <w:szCs w:val="24"/>
          <w:lang w:val="en-US" w:eastAsia="fr-FR"/>
        </w:rPr>
        <w:t xml:space="preserve"> </w:t>
      </w:r>
      <w:r w:rsidR="0020388B">
        <w:rPr>
          <w:rFonts w:ascii="Times New Roman" w:eastAsia="Times New Roman" w:hAnsi="Times New Roman" w:cs="Times New Roman"/>
          <w:bCs/>
          <w:sz w:val="24"/>
          <w:szCs w:val="24"/>
          <w:lang w:val="en-US" w:eastAsia="fr-FR"/>
        </w:rPr>
        <w:t>G</w:t>
      </w:r>
      <w:r w:rsidR="00FE1DAF" w:rsidRPr="00A67EAE">
        <w:rPr>
          <w:rFonts w:ascii="Times New Roman" w:eastAsia="Times New Roman" w:hAnsi="Times New Roman" w:cs="Times New Roman"/>
          <w:bCs/>
          <w:sz w:val="24"/>
          <w:szCs w:val="24"/>
          <w:lang w:val="en-US" w:eastAsia="fr-FR"/>
        </w:rPr>
        <w:t xml:space="preserve">enetic distances </w:t>
      </w:r>
      <w:r w:rsidR="0020388B" w:rsidRPr="00A67EAE">
        <w:rPr>
          <w:rFonts w:ascii="Times New Roman" w:eastAsia="Times New Roman" w:hAnsi="Times New Roman" w:cs="Times New Roman"/>
          <w:bCs/>
          <w:sz w:val="24"/>
          <w:szCs w:val="24"/>
          <w:lang w:val="en-US" w:eastAsia="fr-FR"/>
        </w:rPr>
        <w:t xml:space="preserve">Matrix </w:t>
      </w:r>
      <w:r w:rsidR="00FE1DAF" w:rsidRPr="00A67EAE">
        <w:rPr>
          <w:rFonts w:ascii="Times New Roman" w:eastAsia="Times New Roman" w:hAnsi="Times New Roman" w:cs="Times New Roman"/>
          <w:bCs/>
          <w:sz w:val="24"/>
          <w:szCs w:val="24"/>
          <w:lang w:val="en-US" w:eastAsia="fr-FR"/>
        </w:rPr>
        <w:t xml:space="preserve">between </w:t>
      </w:r>
      <w:r w:rsidR="00FE1DAF" w:rsidRPr="00A67EAE">
        <w:rPr>
          <w:rFonts w:ascii="Times New Roman" w:eastAsia="Times New Roman" w:hAnsi="Times New Roman" w:cs="Times New Roman"/>
          <w:bCs/>
          <w:i/>
          <w:iCs/>
          <w:sz w:val="24"/>
          <w:szCs w:val="24"/>
          <w:lang w:val="en-US" w:eastAsia="fr-FR"/>
        </w:rPr>
        <w:t>Striga hermonthica</w:t>
      </w:r>
      <w:r w:rsidR="00FE1DAF" w:rsidRPr="00A67EAE">
        <w:rPr>
          <w:rFonts w:ascii="Times New Roman" w:eastAsia="Times New Roman" w:hAnsi="Times New Roman" w:cs="Times New Roman"/>
          <w:bCs/>
          <w:sz w:val="24"/>
          <w:szCs w:val="24"/>
          <w:lang w:val="en-US" w:eastAsia="fr-FR"/>
        </w:rPr>
        <w:t xml:space="preserve"> </w:t>
      </w:r>
      <w:r w:rsidR="0020388B">
        <w:rPr>
          <w:rFonts w:ascii="Times New Roman" w:eastAsia="Times New Roman" w:hAnsi="Times New Roman" w:cs="Times New Roman"/>
          <w:bCs/>
          <w:sz w:val="24"/>
          <w:szCs w:val="24"/>
          <w:lang w:val="en-US" w:eastAsia="fr-FR"/>
        </w:rPr>
        <w:t>populations</w:t>
      </w:r>
    </w:p>
    <w:tbl>
      <w:tblPr>
        <w:tblStyle w:val="ListTable6Colorful"/>
        <w:tblpPr w:leftFromText="141" w:rightFromText="141" w:vertAnchor="text" w:tblpY="4"/>
        <w:tblW w:w="9265" w:type="dxa"/>
        <w:shd w:val="clear" w:color="auto" w:fill="FFFFFF" w:themeFill="background1"/>
        <w:tblLook w:val="04A0" w:firstRow="1" w:lastRow="0" w:firstColumn="1" w:lastColumn="0" w:noHBand="0" w:noVBand="1"/>
      </w:tblPr>
      <w:tblGrid>
        <w:gridCol w:w="2405"/>
        <w:gridCol w:w="1559"/>
        <w:gridCol w:w="1418"/>
        <w:gridCol w:w="1417"/>
        <w:gridCol w:w="1276"/>
        <w:gridCol w:w="1190"/>
      </w:tblGrid>
      <w:tr w:rsidR="008A160F" w:rsidRPr="00071A61" w14:paraId="41666CC6" w14:textId="77777777" w:rsidTr="002038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264E0C8D" w14:textId="77777777" w:rsidR="008A160F" w:rsidRPr="0020388B" w:rsidRDefault="008A160F" w:rsidP="00EA63FE">
            <w:pPr>
              <w:autoSpaceDE w:val="0"/>
              <w:autoSpaceDN w:val="0"/>
              <w:adjustRightInd w:val="0"/>
              <w:jc w:val="both"/>
              <w:rPr>
                <w:rFonts w:ascii="Times New Roman" w:hAnsi="Times New Roman" w:cs="Times New Roman"/>
                <w:bCs w:val="0"/>
                <w:iCs/>
                <w:sz w:val="24"/>
                <w:szCs w:val="24"/>
              </w:rPr>
            </w:pPr>
            <w:r w:rsidRPr="0020388B">
              <w:rPr>
                <w:rFonts w:ascii="Times New Roman" w:hAnsi="Times New Roman" w:cs="Times New Roman"/>
                <w:bCs w:val="0"/>
                <w:iCs/>
                <w:sz w:val="24"/>
                <w:szCs w:val="24"/>
              </w:rPr>
              <w:t>Dosso</w:t>
            </w:r>
          </w:p>
        </w:tc>
        <w:tc>
          <w:tcPr>
            <w:tcW w:w="1559" w:type="dxa"/>
            <w:shd w:val="clear" w:color="auto" w:fill="FFFFFF" w:themeFill="background1"/>
            <w:noWrap/>
            <w:hideMark/>
          </w:tcPr>
          <w:p w14:paraId="1B4440BC" w14:textId="77777777" w:rsidR="008A160F" w:rsidRPr="0020388B"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4"/>
                <w:szCs w:val="24"/>
              </w:rPr>
            </w:pPr>
            <w:r w:rsidRPr="0020388B">
              <w:rPr>
                <w:rFonts w:ascii="Times New Roman" w:hAnsi="Times New Roman" w:cs="Times New Roman"/>
                <w:bCs w:val="0"/>
                <w:iCs/>
                <w:sz w:val="24"/>
                <w:szCs w:val="24"/>
              </w:rPr>
              <w:t>Maradi</w:t>
            </w:r>
          </w:p>
        </w:tc>
        <w:tc>
          <w:tcPr>
            <w:tcW w:w="1418" w:type="dxa"/>
            <w:shd w:val="clear" w:color="auto" w:fill="FFFFFF" w:themeFill="background1"/>
            <w:noWrap/>
            <w:hideMark/>
          </w:tcPr>
          <w:p w14:paraId="24743907" w14:textId="77777777" w:rsidR="008A160F" w:rsidRPr="0020388B"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4"/>
                <w:szCs w:val="24"/>
              </w:rPr>
            </w:pPr>
            <w:r w:rsidRPr="0020388B">
              <w:rPr>
                <w:rFonts w:ascii="Times New Roman" w:hAnsi="Times New Roman" w:cs="Times New Roman"/>
                <w:bCs w:val="0"/>
                <w:iCs/>
                <w:sz w:val="24"/>
                <w:szCs w:val="24"/>
              </w:rPr>
              <w:t>Tahoua</w:t>
            </w:r>
          </w:p>
        </w:tc>
        <w:tc>
          <w:tcPr>
            <w:tcW w:w="1417" w:type="dxa"/>
            <w:shd w:val="clear" w:color="auto" w:fill="FFFFFF" w:themeFill="background1"/>
            <w:noWrap/>
            <w:hideMark/>
          </w:tcPr>
          <w:p w14:paraId="19BC7505" w14:textId="77777777" w:rsidR="008A160F" w:rsidRPr="00071A61"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Tillabéry</w:t>
            </w:r>
          </w:p>
        </w:tc>
        <w:tc>
          <w:tcPr>
            <w:tcW w:w="1276" w:type="dxa"/>
            <w:shd w:val="clear" w:color="auto" w:fill="FFFFFF" w:themeFill="background1"/>
            <w:noWrap/>
            <w:hideMark/>
          </w:tcPr>
          <w:p w14:paraId="6DE2127C" w14:textId="77777777" w:rsidR="008A160F" w:rsidRPr="00071A61"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Zinder</w:t>
            </w:r>
          </w:p>
        </w:tc>
        <w:tc>
          <w:tcPr>
            <w:tcW w:w="1190" w:type="dxa"/>
            <w:shd w:val="clear" w:color="auto" w:fill="FFFFFF" w:themeFill="background1"/>
            <w:noWrap/>
            <w:hideMark/>
          </w:tcPr>
          <w:p w14:paraId="14EC1ECD" w14:textId="77777777" w:rsidR="008A160F" w:rsidRPr="00071A61" w:rsidRDefault="008A160F" w:rsidP="00EA63FE">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r w:rsidR="008A160F" w:rsidRPr="00071A61" w14:paraId="270AB5D0" w14:textId="77777777" w:rsidTr="002038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1167BAA7"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0.000</w:t>
            </w:r>
          </w:p>
        </w:tc>
        <w:tc>
          <w:tcPr>
            <w:tcW w:w="1559" w:type="dxa"/>
            <w:shd w:val="clear" w:color="auto" w:fill="FFFFFF" w:themeFill="background1"/>
            <w:noWrap/>
            <w:hideMark/>
          </w:tcPr>
          <w:p w14:paraId="53706086" w14:textId="77777777" w:rsidR="008A160F" w:rsidRPr="00071A61" w:rsidRDefault="008A160F" w:rsidP="00EA63FE">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
        </w:tc>
        <w:tc>
          <w:tcPr>
            <w:tcW w:w="1418" w:type="dxa"/>
            <w:shd w:val="clear" w:color="auto" w:fill="FFFFFF" w:themeFill="background1"/>
            <w:noWrap/>
            <w:hideMark/>
          </w:tcPr>
          <w:p w14:paraId="1933D5F0"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417" w:type="dxa"/>
            <w:shd w:val="clear" w:color="auto" w:fill="FFFFFF" w:themeFill="background1"/>
            <w:noWrap/>
            <w:hideMark/>
          </w:tcPr>
          <w:p w14:paraId="74A3292F"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276" w:type="dxa"/>
            <w:shd w:val="clear" w:color="auto" w:fill="FFFFFF" w:themeFill="background1"/>
            <w:noWrap/>
            <w:hideMark/>
          </w:tcPr>
          <w:p w14:paraId="326FD77A"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190" w:type="dxa"/>
            <w:shd w:val="clear" w:color="auto" w:fill="FFFFFF" w:themeFill="background1"/>
            <w:noWrap/>
            <w:hideMark/>
          </w:tcPr>
          <w:p w14:paraId="07AA3047"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Dosso</w:t>
            </w:r>
          </w:p>
        </w:tc>
      </w:tr>
      <w:tr w:rsidR="008A160F" w:rsidRPr="00071A61" w14:paraId="1C1941EB" w14:textId="77777777" w:rsidTr="0020388B">
        <w:trPr>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60EDB1DF"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0.277</w:t>
            </w:r>
          </w:p>
        </w:tc>
        <w:tc>
          <w:tcPr>
            <w:tcW w:w="1559" w:type="dxa"/>
            <w:shd w:val="clear" w:color="auto" w:fill="FFFFFF" w:themeFill="background1"/>
            <w:noWrap/>
            <w:hideMark/>
          </w:tcPr>
          <w:p w14:paraId="19CD9287"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418" w:type="dxa"/>
            <w:shd w:val="clear" w:color="auto" w:fill="FFFFFF" w:themeFill="background1"/>
            <w:noWrap/>
            <w:hideMark/>
          </w:tcPr>
          <w:p w14:paraId="7E7B08B3" w14:textId="77777777" w:rsidR="008A160F" w:rsidRPr="00071A61" w:rsidRDefault="008A160F" w:rsidP="00EA63FE">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c>
          <w:tcPr>
            <w:tcW w:w="1417" w:type="dxa"/>
            <w:shd w:val="clear" w:color="auto" w:fill="FFFFFF" w:themeFill="background1"/>
            <w:noWrap/>
            <w:hideMark/>
          </w:tcPr>
          <w:p w14:paraId="5109BC0E" w14:textId="77777777" w:rsidR="008A160F" w:rsidRPr="00071A61" w:rsidRDefault="008A160F" w:rsidP="00EA63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fr-FR"/>
              </w:rPr>
            </w:pPr>
          </w:p>
        </w:tc>
        <w:tc>
          <w:tcPr>
            <w:tcW w:w="1276" w:type="dxa"/>
            <w:shd w:val="clear" w:color="auto" w:fill="FFFFFF" w:themeFill="background1"/>
            <w:noWrap/>
            <w:hideMark/>
          </w:tcPr>
          <w:p w14:paraId="7D8036D4" w14:textId="77777777" w:rsidR="008A160F" w:rsidRPr="00071A61" w:rsidRDefault="008A160F" w:rsidP="00EA63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fr-FR"/>
              </w:rPr>
            </w:pPr>
          </w:p>
        </w:tc>
        <w:tc>
          <w:tcPr>
            <w:tcW w:w="1190" w:type="dxa"/>
            <w:shd w:val="clear" w:color="auto" w:fill="FFFFFF" w:themeFill="background1"/>
            <w:noWrap/>
            <w:hideMark/>
          </w:tcPr>
          <w:p w14:paraId="3AC469BD"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Maradi</w:t>
            </w:r>
          </w:p>
        </w:tc>
      </w:tr>
      <w:tr w:rsidR="008A160F" w:rsidRPr="00071A61" w14:paraId="3B6DDCE7" w14:textId="77777777" w:rsidTr="002038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10028813"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0.229</w:t>
            </w:r>
          </w:p>
        </w:tc>
        <w:tc>
          <w:tcPr>
            <w:tcW w:w="1559" w:type="dxa"/>
            <w:shd w:val="clear" w:color="auto" w:fill="FFFFFF" w:themeFill="background1"/>
            <w:noWrap/>
            <w:hideMark/>
          </w:tcPr>
          <w:p w14:paraId="4C2B011E"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0.035</w:t>
            </w:r>
          </w:p>
        </w:tc>
        <w:tc>
          <w:tcPr>
            <w:tcW w:w="1418" w:type="dxa"/>
            <w:shd w:val="clear" w:color="auto" w:fill="FFFFFF" w:themeFill="background1"/>
            <w:noWrap/>
            <w:hideMark/>
          </w:tcPr>
          <w:p w14:paraId="28D6A8ED"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417" w:type="dxa"/>
            <w:shd w:val="clear" w:color="auto" w:fill="FFFFFF" w:themeFill="background1"/>
            <w:noWrap/>
            <w:hideMark/>
          </w:tcPr>
          <w:p w14:paraId="4E1B5B72" w14:textId="77777777" w:rsidR="008A160F" w:rsidRPr="00071A61" w:rsidRDefault="008A160F" w:rsidP="00EA63FE">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
        </w:tc>
        <w:tc>
          <w:tcPr>
            <w:tcW w:w="1276" w:type="dxa"/>
            <w:shd w:val="clear" w:color="auto" w:fill="FFFFFF" w:themeFill="background1"/>
            <w:noWrap/>
            <w:hideMark/>
          </w:tcPr>
          <w:p w14:paraId="0A900BF8"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190" w:type="dxa"/>
            <w:shd w:val="clear" w:color="auto" w:fill="FFFFFF" w:themeFill="background1"/>
            <w:noWrap/>
            <w:hideMark/>
          </w:tcPr>
          <w:p w14:paraId="5327DD9E"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Tahoua</w:t>
            </w:r>
          </w:p>
        </w:tc>
      </w:tr>
      <w:tr w:rsidR="008A160F" w:rsidRPr="00071A61" w14:paraId="7B8936BB" w14:textId="77777777" w:rsidTr="0020388B">
        <w:trPr>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00C04FFB"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0.267</w:t>
            </w:r>
          </w:p>
        </w:tc>
        <w:tc>
          <w:tcPr>
            <w:tcW w:w="1559" w:type="dxa"/>
            <w:shd w:val="clear" w:color="auto" w:fill="FFFFFF" w:themeFill="background1"/>
            <w:noWrap/>
            <w:hideMark/>
          </w:tcPr>
          <w:p w14:paraId="6CC8FD4A"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0.032</w:t>
            </w:r>
          </w:p>
        </w:tc>
        <w:tc>
          <w:tcPr>
            <w:tcW w:w="1418" w:type="dxa"/>
            <w:shd w:val="clear" w:color="auto" w:fill="FFFFFF" w:themeFill="background1"/>
            <w:noWrap/>
            <w:hideMark/>
          </w:tcPr>
          <w:p w14:paraId="75A9E70F"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0.013</w:t>
            </w:r>
          </w:p>
        </w:tc>
        <w:tc>
          <w:tcPr>
            <w:tcW w:w="1417" w:type="dxa"/>
            <w:shd w:val="clear" w:color="auto" w:fill="FFFFFF" w:themeFill="background1"/>
            <w:noWrap/>
            <w:hideMark/>
          </w:tcPr>
          <w:p w14:paraId="1212147A"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276" w:type="dxa"/>
            <w:shd w:val="clear" w:color="auto" w:fill="FFFFFF" w:themeFill="background1"/>
            <w:noWrap/>
            <w:hideMark/>
          </w:tcPr>
          <w:p w14:paraId="5AA840B2" w14:textId="77777777" w:rsidR="008A160F" w:rsidRPr="00071A61" w:rsidRDefault="008A160F" w:rsidP="00EA63FE">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c>
          <w:tcPr>
            <w:tcW w:w="1190" w:type="dxa"/>
            <w:shd w:val="clear" w:color="auto" w:fill="FFFFFF" w:themeFill="background1"/>
            <w:noWrap/>
            <w:hideMark/>
          </w:tcPr>
          <w:p w14:paraId="03C6C53C"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Tillabéry</w:t>
            </w:r>
          </w:p>
        </w:tc>
      </w:tr>
      <w:tr w:rsidR="008A160F" w:rsidRPr="00071A61" w14:paraId="093830FE" w14:textId="77777777" w:rsidTr="002038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5A059D04"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0.284</w:t>
            </w:r>
          </w:p>
        </w:tc>
        <w:tc>
          <w:tcPr>
            <w:tcW w:w="1559" w:type="dxa"/>
            <w:shd w:val="clear" w:color="auto" w:fill="FFFFFF" w:themeFill="background1"/>
            <w:noWrap/>
            <w:hideMark/>
          </w:tcPr>
          <w:p w14:paraId="246590AD"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0.029</w:t>
            </w:r>
          </w:p>
        </w:tc>
        <w:tc>
          <w:tcPr>
            <w:tcW w:w="1418" w:type="dxa"/>
            <w:shd w:val="clear" w:color="auto" w:fill="FFFFFF" w:themeFill="background1"/>
            <w:noWrap/>
            <w:hideMark/>
          </w:tcPr>
          <w:p w14:paraId="676BF7BD"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0.062</w:t>
            </w:r>
          </w:p>
        </w:tc>
        <w:tc>
          <w:tcPr>
            <w:tcW w:w="1417" w:type="dxa"/>
            <w:shd w:val="clear" w:color="auto" w:fill="FFFFFF" w:themeFill="background1"/>
            <w:noWrap/>
            <w:hideMark/>
          </w:tcPr>
          <w:p w14:paraId="340C0506"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0.053</w:t>
            </w:r>
          </w:p>
        </w:tc>
        <w:tc>
          <w:tcPr>
            <w:tcW w:w="1276" w:type="dxa"/>
            <w:shd w:val="clear" w:color="auto" w:fill="FFFFFF" w:themeFill="background1"/>
            <w:noWrap/>
            <w:hideMark/>
          </w:tcPr>
          <w:p w14:paraId="4C297838"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190" w:type="dxa"/>
            <w:shd w:val="clear" w:color="auto" w:fill="FFFFFF" w:themeFill="background1"/>
            <w:noWrap/>
            <w:hideMark/>
          </w:tcPr>
          <w:p w14:paraId="6DF5C94B"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Zinder</w:t>
            </w:r>
          </w:p>
        </w:tc>
      </w:tr>
    </w:tbl>
    <w:p w14:paraId="18136F04" w14:textId="77777777" w:rsidR="00835006" w:rsidRPr="00071A61" w:rsidRDefault="00835006"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eastAsia="fr-FR"/>
        </w:rPr>
      </w:pPr>
    </w:p>
    <w:p w14:paraId="042285F5" w14:textId="271FA8A0" w:rsidR="008A68AF" w:rsidRDefault="008A68AF" w:rsidP="000D63C5">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sidRPr="008A68AF">
        <w:rPr>
          <w:rFonts w:ascii="Times New Roman" w:eastAsia="Times New Roman" w:hAnsi="Times New Roman" w:cs="Times New Roman"/>
          <w:b/>
          <w:bCs/>
          <w:sz w:val="24"/>
          <w:szCs w:val="24"/>
          <w:lang w:val="en-US" w:eastAsia="fr-FR"/>
        </w:rPr>
        <w:t xml:space="preserve">Genetic Structure of the </w:t>
      </w:r>
      <w:r>
        <w:rPr>
          <w:rFonts w:ascii="Times New Roman" w:eastAsia="Times New Roman" w:hAnsi="Times New Roman" w:cs="Times New Roman"/>
          <w:b/>
          <w:bCs/>
          <w:sz w:val="24"/>
          <w:szCs w:val="24"/>
          <w:lang w:val="en-US" w:eastAsia="fr-FR"/>
        </w:rPr>
        <w:t>s</w:t>
      </w:r>
      <w:r w:rsidRPr="008A68AF">
        <w:rPr>
          <w:rFonts w:ascii="Times New Roman" w:eastAsia="Times New Roman" w:hAnsi="Times New Roman" w:cs="Times New Roman"/>
          <w:b/>
          <w:bCs/>
          <w:sz w:val="24"/>
          <w:szCs w:val="24"/>
          <w:lang w:val="en-US" w:eastAsia="fr-FR"/>
        </w:rPr>
        <w:t xml:space="preserve">tudied </w:t>
      </w:r>
      <w:r>
        <w:rPr>
          <w:rFonts w:ascii="Times New Roman" w:eastAsia="Times New Roman" w:hAnsi="Times New Roman" w:cs="Times New Roman"/>
          <w:b/>
          <w:bCs/>
          <w:sz w:val="24"/>
          <w:szCs w:val="24"/>
          <w:lang w:val="en-US" w:eastAsia="fr-FR"/>
        </w:rPr>
        <w:t>g</w:t>
      </w:r>
      <w:r w:rsidRPr="008A68AF">
        <w:rPr>
          <w:rFonts w:ascii="Times New Roman" w:eastAsia="Times New Roman" w:hAnsi="Times New Roman" w:cs="Times New Roman"/>
          <w:b/>
          <w:bCs/>
          <w:sz w:val="24"/>
          <w:szCs w:val="24"/>
          <w:lang w:val="en-US" w:eastAsia="fr-FR"/>
        </w:rPr>
        <w:t>enotypes</w:t>
      </w:r>
    </w:p>
    <w:p w14:paraId="2FC9E331" w14:textId="780BE732" w:rsidR="00E16CC4" w:rsidRPr="001C069B" w:rsidRDefault="00FE1DAF" w:rsidP="00E16CC4">
      <w:pPr>
        <w:rPr>
          <w:rFonts w:ascii="Times New Roman" w:hAnsi="Times New Roman" w:cs="Times New Roman"/>
          <w:b/>
          <w:bCs/>
          <w:sz w:val="24"/>
          <w:szCs w:val="24"/>
          <w:lang w:val="en-GB" w:eastAsia="fr-FR"/>
        </w:rPr>
      </w:pPr>
      <w:r w:rsidRPr="001C069B">
        <w:rPr>
          <w:rFonts w:ascii="Times New Roman" w:hAnsi="Times New Roman" w:cs="Times New Roman"/>
          <w:b/>
          <w:bCs/>
          <w:sz w:val="24"/>
          <w:szCs w:val="24"/>
          <w:lang w:val="en-GB" w:eastAsia="fr-FR"/>
        </w:rPr>
        <w:t>Discriminant Factor Analysis (DFA)</w:t>
      </w:r>
    </w:p>
    <w:p w14:paraId="41743B11" w14:textId="4963BBCB" w:rsidR="00FE1DAF" w:rsidRPr="00A67EAE" w:rsidRDefault="00E16CC4" w:rsidP="00E16CC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E16CC4">
        <w:rPr>
          <w:rFonts w:ascii="Times New Roman" w:eastAsia="Times New Roman" w:hAnsi="Times New Roman" w:cs="Times New Roman"/>
          <w:sz w:val="24"/>
          <w:szCs w:val="24"/>
          <w:lang w:val="en-US" w:eastAsia="fr-FR"/>
        </w:rPr>
        <w:t>The DFA scatterplot based on the first two axes reveals clear genetic structuring among the five regional populations. Axis 1 primarily separates the Dosso genotypes (ED01</w:t>
      </w:r>
      <w:r w:rsidR="002853FA">
        <w:rPr>
          <w:rFonts w:ascii="Times New Roman" w:eastAsia="Times New Roman" w:hAnsi="Times New Roman" w:cs="Times New Roman"/>
          <w:sz w:val="24"/>
          <w:szCs w:val="24"/>
          <w:lang w:val="en-US" w:eastAsia="fr-FR"/>
        </w:rPr>
        <w:t>-</w:t>
      </w:r>
      <w:r w:rsidRPr="00E16CC4">
        <w:rPr>
          <w:rFonts w:ascii="Times New Roman" w:eastAsia="Times New Roman" w:hAnsi="Times New Roman" w:cs="Times New Roman"/>
          <w:sz w:val="24"/>
          <w:szCs w:val="24"/>
          <w:lang w:val="en-US" w:eastAsia="fr-FR"/>
        </w:rPr>
        <w:t>ED05) from the other populations, with the exception of one Zinder genotype (EZ23) clustering near Dosso, indicating some genetic similarity. Axis 2 highlights within-population variation, particularly among Dosso genotypes, suggesting the presence of distinct sub-populations. Genotypes from Maradi and Zinder show moderate differentiation along both axes, while those from Tahoua and Tillabéry form tighter clusters, indicating lower intra-population variability</w:t>
      </w:r>
      <w:r w:rsidR="002853FA">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(Figure 4)</w:t>
      </w:r>
      <w:r w:rsidRPr="00E16CC4">
        <w:rPr>
          <w:rFonts w:ascii="Times New Roman" w:eastAsia="Times New Roman" w:hAnsi="Times New Roman" w:cs="Times New Roman"/>
          <w:sz w:val="24"/>
          <w:szCs w:val="24"/>
          <w:lang w:val="en-US" w:eastAsia="fr-FR"/>
        </w:rPr>
        <w:t>.</w:t>
      </w:r>
    </w:p>
    <w:p w14:paraId="230AC9C7" w14:textId="77777777" w:rsidR="008A160F" w:rsidRPr="00071A61" w:rsidRDefault="008A160F"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1A61">
        <w:rPr>
          <w:rFonts w:ascii="Times New Roman" w:hAnsi="Times New Roman" w:cs="Times New Roman"/>
          <w:noProof/>
          <w:sz w:val="24"/>
          <w:szCs w:val="24"/>
          <w:lang w:eastAsia="fr-FR"/>
        </w:rPr>
        <w:lastRenderedPageBreak/>
        <w:drawing>
          <wp:inline distT="0" distB="0" distL="0" distR="0" wp14:anchorId="70F1ED74" wp14:editId="0C2F6D56">
            <wp:extent cx="5760720" cy="3257550"/>
            <wp:effectExtent l="0" t="0" r="0" b="0"/>
            <wp:docPr id="188541" name="Image 188541"/>
            <wp:cNvGraphicFramePr/>
            <a:graphic xmlns:a="http://schemas.openxmlformats.org/drawingml/2006/main">
              <a:graphicData uri="http://schemas.openxmlformats.org/drawingml/2006/picture">
                <pic:pic xmlns:pic="http://schemas.openxmlformats.org/drawingml/2006/picture">
                  <pic:nvPicPr>
                    <pic:cNvPr id="188541" name="Image 188541"/>
                    <pic:cNvPicPr/>
                  </pic:nvPicPr>
                  <pic:blipFill>
                    <a:blip r:embed="rId10"/>
                    <a:stretch>
                      <a:fillRect/>
                    </a:stretch>
                  </pic:blipFill>
                  <pic:spPr>
                    <a:xfrm>
                      <a:off x="0" y="0"/>
                      <a:ext cx="5760720" cy="3257550"/>
                    </a:xfrm>
                    <a:prstGeom prst="rect">
                      <a:avLst/>
                    </a:prstGeom>
                  </pic:spPr>
                </pic:pic>
              </a:graphicData>
            </a:graphic>
          </wp:inline>
        </w:drawing>
      </w:r>
    </w:p>
    <w:p w14:paraId="6FEB9F85" w14:textId="2B259CF0"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853FA">
        <w:rPr>
          <w:rFonts w:ascii="Times New Roman" w:eastAsia="Times New Roman" w:hAnsi="Times New Roman" w:cs="Times New Roman"/>
          <w:b/>
          <w:bCs/>
          <w:sz w:val="24"/>
          <w:szCs w:val="24"/>
          <w:lang w:val="en-US" w:eastAsia="fr-FR"/>
        </w:rPr>
        <w:t>Figure 4</w:t>
      </w:r>
      <w:r w:rsidR="00FE1DAF" w:rsidRPr="002853FA">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Projection of the 25 </w:t>
      </w:r>
      <w:r w:rsidR="00FE1DAF" w:rsidRPr="00A67EAE">
        <w:rPr>
          <w:rFonts w:ascii="Times New Roman" w:eastAsia="Times New Roman" w:hAnsi="Times New Roman" w:cs="Times New Roman"/>
          <w:i/>
          <w:sz w:val="24"/>
          <w:szCs w:val="24"/>
          <w:lang w:val="en-US" w:eastAsia="fr-FR"/>
        </w:rPr>
        <w:t>Striga</w:t>
      </w:r>
      <w:r w:rsidR="00FE1DAF" w:rsidRPr="00A67EAE">
        <w:rPr>
          <w:rFonts w:ascii="Times New Roman" w:eastAsia="Times New Roman" w:hAnsi="Times New Roman" w:cs="Times New Roman"/>
          <w:sz w:val="24"/>
          <w:szCs w:val="24"/>
          <w:lang w:val="en-US" w:eastAsia="fr-FR"/>
        </w:rPr>
        <w:t xml:space="preserve"> genoty</w:t>
      </w:r>
      <w:r w:rsidR="001227AB" w:rsidRPr="00A67EAE">
        <w:rPr>
          <w:rFonts w:ascii="Times New Roman" w:eastAsia="Times New Roman" w:hAnsi="Times New Roman" w:cs="Times New Roman"/>
          <w:sz w:val="24"/>
          <w:szCs w:val="24"/>
          <w:lang w:val="en-US" w:eastAsia="fr-FR"/>
        </w:rPr>
        <w:t xml:space="preserve">pes in the 1-2 </w:t>
      </w:r>
      <w:r w:rsidR="002853FA">
        <w:rPr>
          <w:rFonts w:ascii="Times New Roman" w:eastAsia="Times New Roman" w:hAnsi="Times New Roman" w:cs="Times New Roman"/>
          <w:sz w:val="24"/>
          <w:szCs w:val="24"/>
          <w:lang w:val="en-US" w:eastAsia="fr-FR"/>
        </w:rPr>
        <w:t>axes</w:t>
      </w:r>
      <w:r w:rsidR="001227AB" w:rsidRPr="00A67EAE">
        <w:rPr>
          <w:rFonts w:ascii="Times New Roman" w:eastAsia="Times New Roman" w:hAnsi="Times New Roman" w:cs="Times New Roman"/>
          <w:sz w:val="24"/>
          <w:szCs w:val="24"/>
          <w:lang w:val="en-US" w:eastAsia="fr-FR"/>
        </w:rPr>
        <w:t xml:space="preserve"> of the DFA</w:t>
      </w:r>
    </w:p>
    <w:p w14:paraId="3D53B56A" w14:textId="096AB5CB" w:rsidR="00FE1DAF" w:rsidRPr="00A67EAE" w:rsidRDefault="00FE1DAF"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 xml:space="preserve">Phylogenetic </w:t>
      </w:r>
      <w:r w:rsidR="00686302">
        <w:rPr>
          <w:rFonts w:ascii="Times New Roman" w:eastAsia="Times New Roman" w:hAnsi="Times New Roman" w:cs="Times New Roman"/>
          <w:b/>
          <w:sz w:val="24"/>
          <w:szCs w:val="24"/>
          <w:lang w:val="en-US" w:eastAsia="fr-FR"/>
        </w:rPr>
        <w:t>r</w:t>
      </w:r>
      <w:r w:rsidRPr="00A67EAE">
        <w:rPr>
          <w:rFonts w:ascii="Times New Roman" w:eastAsia="Times New Roman" w:hAnsi="Times New Roman" w:cs="Times New Roman"/>
          <w:b/>
          <w:sz w:val="24"/>
          <w:szCs w:val="24"/>
          <w:lang w:val="en-US" w:eastAsia="fr-FR"/>
        </w:rPr>
        <w:t>elationships</w:t>
      </w:r>
    </w:p>
    <w:p w14:paraId="11D1964A" w14:textId="15FD6598" w:rsidR="002853FA" w:rsidRDefault="002853FA" w:rsidP="002853F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To </w:t>
      </w:r>
      <w:r w:rsidR="003E654C">
        <w:rPr>
          <w:rFonts w:ascii="Times New Roman" w:eastAsia="Times New Roman" w:hAnsi="Times New Roman" w:cs="Times New Roman"/>
          <w:sz w:val="24"/>
          <w:szCs w:val="24"/>
          <w:lang w:val="en-US" w:eastAsia="fr-FR"/>
        </w:rPr>
        <w:t>assess</w:t>
      </w:r>
      <w:r w:rsidRPr="00A67EAE">
        <w:rPr>
          <w:rFonts w:ascii="Times New Roman" w:eastAsia="Times New Roman" w:hAnsi="Times New Roman" w:cs="Times New Roman"/>
          <w:sz w:val="24"/>
          <w:szCs w:val="24"/>
          <w:lang w:val="en-US" w:eastAsia="fr-FR"/>
        </w:rPr>
        <w:t xml:space="preserve"> the phylogenetic relationships among the 25 </w:t>
      </w:r>
      <w:r w:rsidRPr="00A67EAE">
        <w:rPr>
          <w:rFonts w:ascii="Times New Roman" w:eastAsia="Times New Roman" w:hAnsi="Times New Roman" w:cs="Times New Roman"/>
          <w:i/>
          <w:sz w:val="24"/>
          <w:szCs w:val="24"/>
          <w:lang w:val="en-US" w:eastAsia="fr-FR"/>
        </w:rPr>
        <w:t xml:space="preserve">Striga </w:t>
      </w:r>
      <w:r w:rsidRPr="00A67EAE">
        <w:rPr>
          <w:rFonts w:ascii="Times New Roman" w:eastAsia="Times New Roman" w:hAnsi="Times New Roman" w:cs="Times New Roman"/>
          <w:sz w:val="24"/>
          <w:szCs w:val="24"/>
          <w:lang w:val="en-US" w:eastAsia="fr-FR"/>
        </w:rPr>
        <w:t>genotypes, an unweighted pair group method with arithmetic mean (</w:t>
      </w:r>
      <w:r w:rsidRPr="00DA4234">
        <w:rPr>
          <w:rFonts w:ascii="Times New Roman" w:eastAsia="Times New Roman" w:hAnsi="Times New Roman" w:cs="Times New Roman"/>
          <w:sz w:val="24"/>
          <w:szCs w:val="24"/>
          <w:highlight w:val="yellow"/>
          <w:lang w:val="en-US" w:eastAsia="fr-FR"/>
        </w:rPr>
        <w:t>UPGMA) hierarch</w:t>
      </w:r>
      <w:r w:rsidR="00AA6512" w:rsidRPr="00DA4234">
        <w:rPr>
          <w:rFonts w:ascii="Times New Roman" w:eastAsia="Times New Roman" w:hAnsi="Times New Roman" w:cs="Times New Roman"/>
          <w:sz w:val="24"/>
          <w:szCs w:val="24"/>
          <w:highlight w:val="yellow"/>
          <w:lang w:val="en-US" w:eastAsia="fr-FR"/>
        </w:rPr>
        <w:t>i</w:t>
      </w:r>
      <w:r w:rsidRPr="00DA4234">
        <w:rPr>
          <w:rFonts w:ascii="Times New Roman" w:eastAsia="Times New Roman" w:hAnsi="Times New Roman" w:cs="Times New Roman"/>
          <w:sz w:val="24"/>
          <w:szCs w:val="24"/>
          <w:highlight w:val="yellow"/>
          <w:lang w:val="en-US" w:eastAsia="fr-FR"/>
        </w:rPr>
        <w:t>cal clustering was</w:t>
      </w:r>
      <w:r w:rsidRPr="00A67EAE">
        <w:rPr>
          <w:rFonts w:ascii="Times New Roman" w:eastAsia="Times New Roman" w:hAnsi="Times New Roman" w:cs="Times New Roman"/>
          <w:sz w:val="24"/>
          <w:szCs w:val="24"/>
          <w:lang w:val="en-US" w:eastAsia="fr-FR"/>
        </w:rPr>
        <w:t xml:space="preserve"> performed between the different pairs of genotypes, based on Nei's (1978) genetic distance</w:t>
      </w:r>
      <w:r>
        <w:rPr>
          <w:rFonts w:ascii="Times New Roman" w:eastAsia="Times New Roman" w:hAnsi="Times New Roman" w:cs="Times New Roman"/>
          <w:sz w:val="24"/>
          <w:szCs w:val="24"/>
          <w:lang w:val="en-US" w:eastAsia="fr-FR"/>
        </w:rPr>
        <w:t xml:space="preserve">s. </w:t>
      </w:r>
      <w:r w:rsidRPr="002853FA">
        <w:rPr>
          <w:rFonts w:ascii="Times New Roman" w:eastAsia="Times New Roman" w:hAnsi="Times New Roman" w:cs="Times New Roman"/>
          <w:sz w:val="24"/>
          <w:szCs w:val="24"/>
          <w:lang w:val="en-US" w:eastAsia="fr-FR"/>
        </w:rPr>
        <w:t>The dendrogram reveal</w:t>
      </w:r>
      <w:r w:rsidR="003E654C">
        <w:rPr>
          <w:rFonts w:ascii="Times New Roman" w:eastAsia="Times New Roman" w:hAnsi="Times New Roman" w:cs="Times New Roman"/>
          <w:sz w:val="24"/>
          <w:szCs w:val="24"/>
          <w:lang w:val="en-US" w:eastAsia="fr-FR"/>
        </w:rPr>
        <w:t>s</w:t>
      </w:r>
      <w:r w:rsidRPr="002853FA">
        <w:rPr>
          <w:rFonts w:ascii="Times New Roman" w:eastAsia="Times New Roman" w:hAnsi="Times New Roman" w:cs="Times New Roman"/>
          <w:sz w:val="24"/>
          <w:szCs w:val="24"/>
          <w:lang w:val="en-US" w:eastAsia="fr-FR"/>
        </w:rPr>
        <w:t xml:space="preserve"> distinct patterns of clustering among the 25 genotypes from </w:t>
      </w:r>
      <w:r>
        <w:rPr>
          <w:rFonts w:ascii="Times New Roman" w:eastAsia="Times New Roman" w:hAnsi="Times New Roman" w:cs="Times New Roman"/>
          <w:sz w:val="24"/>
          <w:szCs w:val="24"/>
          <w:lang w:val="en-US" w:eastAsia="fr-FR"/>
        </w:rPr>
        <w:t xml:space="preserve">the </w:t>
      </w:r>
      <w:r w:rsidRPr="002853FA">
        <w:rPr>
          <w:rFonts w:ascii="Times New Roman" w:eastAsia="Times New Roman" w:hAnsi="Times New Roman" w:cs="Times New Roman"/>
          <w:sz w:val="24"/>
          <w:szCs w:val="24"/>
          <w:lang w:val="en-US" w:eastAsia="fr-FR"/>
        </w:rPr>
        <w:t>five regions</w:t>
      </w:r>
      <w:r w:rsidR="00C43A1C">
        <w:rPr>
          <w:rFonts w:ascii="Times New Roman" w:eastAsia="Times New Roman" w:hAnsi="Times New Roman" w:cs="Times New Roman"/>
          <w:sz w:val="24"/>
          <w:szCs w:val="24"/>
          <w:lang w:val="en-US" w:eastAsia="fr-FR"/>
        </w:rPr>
        <w:t xml:space="preserve"> (Figure 5)</w:t>
      </w:r>
      <w:r w:rsidRPr="002853FA">
        <w:rPr>
          <w:rFonts w:ascii="Times New Roman" w:eastAsia="Times New Roman" w:hAnsi="Times New Roman" w:cs="Times New Roman"/>
          <w:sz w:val="24"/>
          <w:szCs w:val="24"/>
          <w:lang w:val="en-US" w:eastAsia="fr-FR"/>
        </w:rPr>
        <w:t xml:space="preserve">. Overall, the </w:t>
      </w:r>
      <w:r w:rsidRPr="00DA4234">
        <w:rPr>
          <w:rFonts w:ascii="Times New Roman" w:eastAsia="Times New Roman" w:hAnsi="Times New Roman" w:cs="Times New Roman"/>
          <w:sz w:val="24"/>
          <w:szCs w:val="24"/>
          <w:highlight w:val="yellow"/>
          <w:lang w:val="en-US" w:eastAsia="fr-FR"/>
        </w:rPr>
        <w:t xml:space="preserve">genotypes </w:t>
      </w:r>
      <w:r w:rsidR="00AA6512" w:rsidRPr="00DA4234">
        <w:rPr>
          <w:rFonts w:ascii="Times New Roman" w:eastAsia="Times New Roman" w:hAnsi="Times New Roman" w:cs="Times New Roman"/>
          <w:sz w:val="24"/>
          <w:szCs w:val="24"/>
          <w:highlight w:val="yellow"/>
          <w:lang w:val="en-US" w:eastAsia="fr-FR"/>
        </w:rPr>
        <w:t xml:space="preserve">were </w:t>
      </w:r>
      <w:r w:rsidRPr="00DA4234">
        <w:rPr>
          <w:rFonts w:ascii="Times New Roman" w:eastAsia="Times New Roman" w:hAnsi="Times New Roman" w:cs="Times New Roman"/>
          <w:sz w:val="24"/>
          <w:szCs w:val="24"/>
          <w:highlight w:val="yellow"/>
          <w:lang w:val="en-US" w:eastAsia="fr-FR"/>
        </w:rPr>
        <w:t>grouped into</w:t>
      </w:r>
      <w:r w:rsidRPr="002853FA">
        <w:rPr>
          <w:rFonts w:ascii="Times New Roman" w:eastAsia="Times New Roman" w:hAnsi="Times New Roman" w:cs="Times New Roman"/>
          <w:sz w:val="24"/>
          <w:szCs w:val="24"/>
          <w:lang w:val="en-US" w:eastAsia="fr-FR"/>
        </w:rPr>
        <w:t xml:space="preserve"> two major clusters, indicating substantial genetic diversity across regions.</w:t>
      </w:r>
      <w:r w:rsidR="00C43A1C">
        <w:rPr>
          <w:rFonts w:ascii="Times New Roman" w:eastAsia="Times New Roman" w:hAnsi="Times New Roman" w:cs="Times New Roman"/>
          <w:sz w:val="24"/>
          <w:szCs w:val="24"/>
          <w:lang w:val="en-US" w:eastAsia="fr-FR"/>
        </w:rPr>
        <w:t xml:space="preserve"> </w:t>
      </w:r>
      <w:r w:rsidRPr="002853FA">
        <w:rPr>
          <w:rFonts w:ascii="Times New Roman" w:eastAsia="Times New Roman" w:hAnsi="Times New Roman" w:cs="Times New Roman"/>
          <w:sz w:val="24"/>
          <w:szCs w:val="24"/>
          <w:lang w:val="en-US" w:eastAsia="fr-FR"/>
        </w:rPr>
        <w:t>Genotypes from Dosso (ED) clustered closely together, reflecting high genetic similarity within this region. In contrast, genotypes from Maradi (EM) and Tahoua (ETa) were interspersed with those from Tillabery (ET</w:t>
      </w:r>
      <w:r w:rsidR="00C43A1C">
        <w:rPr>
          <w:rFonts w:ascii="Times New Roman" w:eastAsia="Times New Roman" w:hAnsi="Times New Roman" w:cs="Times New Roman"/>
          <w:sz w:val="24"/>
          <w:szCs w:val="24"/>
          <w:lang w:val="en-US" w:eastAsia="fr-FR"/>
        </w:rPr>
        <w:t>i</w:t>
      </w:r>
      <w:r w:rsidRPr="002853FA">
        <w:rPr>
          <w:rFonts w:ascii="Times New Roman" w:eastAsia="Times New Roman" w:hAnsi="Times New Roman" w:cs="Times New Roman"/>
          <w:sz w:val="24"/>
          <w:szCs w:val="24"/>
          <w:lang w:val="en-US" w:eastAsia="fr-FR"/>
        </w:rPr>
        <w:t>) and Zinder (EZ), suggesting shared alleles or gene flow among these regions. Some genotypes, such as EZ23 (Zinder), EM09 (Maradi), and ETa15 (Tahoua), were more genetically distant from all other genotypes, indicating the presence of unique alleles.</w:t>
      </w:r>
      <w:r w:rsidR="00C43A1C">
        <w:rPr>
          <w:rFonts w:ascii="Times New Roman" w:eastAsia="Times New Roman" w:hAnsi="Times New Roman" w:cs="Times New Roman"/>
          <w:sz w:val="24"/>
          <w:szCs w:val="24"/>
          <w:lang w:val="en-US" w:eastAsia="fr-FR"/>
        </w:rPr>
        <w:t xml:space="preserve"> </w:t>
      </w:r>
      <w:r w:rsidRPr="002853FA">
        <w:rPr>
          <w:rFonts w:ascii="Times New Roman" w:eastAsia="Times New Roman" w:hAnsi="Times New Roman" w:cs="Times New Roman"/>
          <w:sz w:val="24"/>
          <w:szCs w:val="24"/>
          <w:lang w:val="en-US" w:eastAsia="fr-FR"/>
        </w:rPr>
        <w:t>Other clusters included genotypes from multiple regions, highlighting inter-regional genetic similarity, likely due to germplasm exchange or shared ancestry</w:t>
      </w:r>
      <w:r w:rsidR="00C43A1C">
        <w:rPr>
          <w:rFonts w:ascii="Times New Roman" w:eastAsia="Times New Roman" w:hAnsi="Times New Roman" w:cs="Times New Roman"/>
          <w:sz w:val="24"/>
          <w:szCs w:val="24"/>
          <w:lang w:val="en-US" w:eastAsia="fr-FR"/>
        </w:rPr>
        <w:t xml:space="preserve"> </w:t>
      </w:r>
      <w:r w:rsidR="00C43A1C" w:rsidRPr="00A67EAE">
        <w:rPr>
          <w:rFonts w:ascii="Times New Roman" w:eastAsia="Times New Roman" w:hAnsi="Times New Roman" w:cs="Times New Roman"/>
          <w:sz w:val="24"/>
          <w:szCs w:val="24"/>
          <w:lang w:val="en-US" w:eastAsia="fr-FR"/>
        </w:rPr>
        <w:t>(ETi16; EMO7; EM06; EZ24; ETi17; and EZ25), (ETi18 and Eta13), (EZ22; EM10; EM08 and ETa11), and (ETi19 and Eta11)</w:t>
      </w:r>
      <w:r w:rsidRPr="002853FA">
        <w:rPr>
          <w:rFonts w:ascii="Times New Roman" w:eastAsia="Times New Roman" w:hAnsi="Times New Roman" w:cs="Times New Roman"/>
          <w:sz w:val="24"/>
          <w:szCs w:val="24"/>
          <w:lang w:val="en-US" w:eastAsia="fr-FR"/>
        </w:rPr>
        <w:t>.</w:t>
      </w:r>
      <w:r w:rsidR="00C43A1C" w:rsidRPr="00C43A1C">
        <w:rPr>
          <w:rFonts w:ascii="Times New Roman" w:eastAsia="Times New Roman" w:hAnsi="Times New Roman" w:cs="Times New Roman"/>
          <w:sz w:val="24"/>
          <w:szCs w:val="24"/>
          <w:lang w:val="en-US" w:eastAsia="fr-FR"/>
        </w:rPr>
        <w:t xml:space="preserve"> </w:t>
      </w:r>
    </w:p>
    <w:p w14:paraId="2D8A958A" w14:textId="43DFCC14" w:rsidR="00C43A1C" w:rsidRPr="002853FA" w:rsidRDefault="00C43A1C" w:rsidP="002853F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Pr="00C43A1C">
        <w:rPr>
          <w:rFonts w:ascii="Times New Roman" w:eastAsia="Times New Roman" w:hAnsi="Times New Roman" w:cs="Times New Roman"/>
          <w:sz w:val="24"/>
          <w:szCs w:val="24"/>
          <w:lang w:val="en-US" w:eastAsia="fr-FR"/>
        </w:rPr>
        <w:t xml:space="preserve">classification, based on the matrix of genetic distances computed between pairs of </w:t>
      </w:r>
      <w:r w:rsidR="003E654C">
        <w:rPr>
          <w:rFonts w:ascii="Times New Roman" w:eastAsia="Times New Roman" w:hAnsi="Times New Roman" w:cs="Times New Roman"/>
          <w:sz w:val="24"/>
          <w:szCs w:val="24"/>
          <w:lang w:val="en-US" w:eastAsia="fr-FR"/>
        </w:rPr>
        <w:t>populations</w:t>
      </w:r>
      <w:r w:rsidRPr="00C43A1C">
        <w:rPr>
          <w:rFonts w:ascii="Times New Roman" w:eastAsia="Times New Roman" w:hAnsi="Times New Roman" w:cs="Times New Roman"/>
          <w:sz w:val="24"/>
          <w:szCs w:val="24"/>
          <w:lang w:val="en-US" w:eastAsia="fr-FR"/>
        </w:rPr>
        <w:t xml:space="preserve"> from each region, distinctly delineates three groups. Genotypes from the Tahoua </w:t>
      </w:r>
      <w:r w:rsidRPr="00C43A1C">
        <w:rPr>
          <w:rFonts w:ascii="Times New Roman" w:eastAsia="Times New Roman" w:hAnsi="Times New Roman" w:cs="Times New Roman"/>
          <w:sz w:val="24"/>
          <w:szCs w:val="24"/>
          <w:lang w:val="en-US" w:eastAsia="fr-FR"/>
        </w:rPr>
        <w:lastRenderedPageBreak/>
        <w:t>and Tillabéry regions cluster into the first group, those from Maradi and Zinder form the second, and genotypes from Dosso constitute the third group (Figure 6).</w:t>
      </w:r>
    </w:p>
    <w:p w14:paraId="11E54FA3" w14:textId="77777777" w:rsidR="008A160F" w:rsidRPr="00071A61" w:rsidRDefault="008A160F"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1A61">
        <w:rPr>
          <w:rFonts w:ascii="Times New Roman" w:hAnsi="Times New Roman" w:cs="Times New Roman"/>
          <w:noProof/>
          <w:sz w:val="24"/>
          <w:szCs w:val="24"/>
          <w:lang w:eastAsia="fr-FR"/>
        </w:rPr>
        <w:drawing>
          <wp:inline distT="0" distB="0" distL="0" distR="0" wp14:anchorId="128228D4" wp14:editId="2665036A">
            <wp:extent cx="5760720" cy="2798445"/>
            <wp:effectExtent l="0" t="0" r="0" b="1905"/>
            <wp:docPr id="188542" name="Image 188542"/>
            <wp:cNvGraphicFramePr/>
            <a:graphic xmlns:a="http://schemas.openxmlformats.org/drawingml/2006/main">
              <a:graphicData uri="http://schemas.openxmlformats.org/drawingml/2006/picture">
                <pic:pic xmlns:pic="http://schemas.openxmlformats.org/drawingml/2006/picture">
                  <pic:nvPicPr>
                    <pic:cNvPr id="188542" name="Image 188542"/>
                    <pic:cNvPicPr/>
                  </pic:nvPicPr>
                  <pic:blipFill>
                    <a:blip r:embed="rId11"/>
                    <a:stretch>
                      <a:fillRect/>
                    </a:stretch>
                  </pic:blipFill>
                  <pic:spPr>
                    <a:xfrm>
                      <a:off x="0" y="0"/>
                      <a:ext cx="5760720" cy="2798445"/>
                    </a:xfrm>
                    <a:prstGeom prst="rect">
                      <a:avLst/>
                    </a:prstGeom>
                  </pic:spPr>
                </pic:pic>
              </a:graphicData>
            </a:graphic>
          </wp:inline>
        </w:drawing>
      </w:r>
    </w:p>
    <w:p w14:paraId="252CCEAC" w14:textId="77777777"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E654C">
        <w:rPr>
          <w:rFonts w:ascii="Times New Roman" w:eastAsia="Times New Roman" w:hAnsi="Times New Roman" w:cs="Times New Roman"/>
          <w:b/>
          <w:bCs/>
          <w:sz w:val="24"/>
          <w:szCs w:val="24"/>
          <w:lang w:val="en-US" w:eastAsia="fr-FR"/>
        </w:rPr>
        <w:t>Figure 5</w:t>
      </w:r>
      <w:r w:rsidR="00FE1DAF" w:rsidRPr="003E654C">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Dendrogram showing the phylogenetic relationships among the 25 </w:t>
      </w:r>
      <w:r w:rsidR="00FE1DAF" w:rsidRPr="00A67EAE">
        <w:rPr>
          <w:rFonts w:ascii="Times New Roman" w:eastAsia="Times New Roman" w:hAnsi="Times New Roman" w:cs="Times New Roman"/>
          <w:i/>
          <w:iCs/>
          <w:sz w:val="24"/>
          <w:szCs w:val="24"/>
          <w:lang w:val="en-US" w:eastAsia="fr-FR"/>
        </w:rPr>
        <w:t>Striga</w:t>
      </w:r>
      <w:r w:rsidR="00FE1DAF" w:rsidRPr="00A67EAE">
        <w:rPr>
          <w:rFonts w:ascii="Times New Roman" w:eastAsia="Times New Roman" w:hAnsi="Times New Roman" w:cs="Times New Roman"/>
          <w:sz w:val="24"/>
          <w:szCs w:val="24"/>
          <w:lang w:val="en-US" w:eastAsia="fr-FR"/>
        </w:rPr>
        <w:t xml:space="preserve"> genotypes collected in the five regions of Niger</w:t>
      </w:r>
    </w:p>
    <w:p w14:paraId="430167A3" w14:textId="77777777" w:rsidR="008A160F" w:rsidRPr="00071A61" w:rsidRDefault="008A160F"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1A61">
        <w:rPr>
          <w:rFonts w:ascii="Times New Roman" w:hAnsi="Times New Roman" w:cs="Times New Roman"/>
          <w:noProof/>
          <w:sz w:val="24"/>
          <w:szCs w:val="24"/>
          <w:lang w:eastAsia="fr-FR"/>
        </w:rPr>
        <w:drawing>
          <wp:inline distT="0" distB="0" distL="0" distR="0" wp14:anchorId="0C40CE68" wp14:editId="2D3B178A">
            <wp:extent cx="5758180" cy="3357245"/>
            <wp:effectExtent l="0" t="0" r="0" b="0"/>
            <wp:docPr id="188543" name="Image 188543" descr="C:\Users\SALAMATOU\Desktop\clustr.png"/>
            <wp:cNvGraphicFramePr/>
            <a:graphic xmlns:a="http://schemas.openxmlformats.org/drawingml/2006/main">
              <a:graphicData uri="http://schemas.openxmlformats.org/drawingml/2006/picture">
                <pic:pic xmlns:pic="http://schemas.openxmlformats.org/drawingml/2006/picture">
                  <pic:nvPicPr>
                    <pic:cNvPr id="188543" name="Image 188543" descr="C:\Users\SALAMATOU\Desktop\clustr.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3357245"/>
                    </a:xfrm>
                    <a:prstGeom prst="rect">
                      <a:avLst/>
                    </a:prstGeom>
                    <a:noFill/>
                    <a:ln>
                      <a:noFill/>
                    </a:ln>
                  </pic:spPr>
                </pic:pic>
              </a:graphicData>
            </a:graphic>
          </wp:inline>
        </w:drawing>
      </w:r>
    </w:p>
    <w:p w14:paraId="27F1B92D" w14:textId="77777777" w:rsidR="00CE0706" w:rsidRPr="00A67EAE" w:rsidRDefault="00F93A60" w:rsidP="0083500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E654C">
        <w:rPr>
          <w:rFonts w:ascii="Times New Roman" w:eastAsia="Times New Roman" w:hAnsi="Times New Roman" w:cs="Times New Roman"/>
          <w:b/>
          <w:bCs/>
          <w:sz w:val="24"/>
          <w:szCs w:val="24"/>
          <w:lang w:val="en-US" w:eastAsia="fr-FR"/>
        </w:rPr>
        <w:t>Figure 6</w:t>
      </w:r>
      <w:r w:rsidR="00FE1DAF" w:rsidRPr="003E654C">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Dendrogram showing the phylogenetic relationships among </w:t>
      </w:r>
      <w:r w:rsidR="00FE1DAF" w:rsidRPr="00A67EAE">
        <w:rPr>
          <w:rFonts w:ascii="Times New Roman" w:eastAsia="Times New Roman" w:hAnsi="Times New Roman" w:cs="Times New Roman"/>
          <w:i/>
          <w:iCs/>
          <w:sz w:val="24"/>
          <w:szCs w:val="24"/>
          <w:lang w:val="en-US" w:eastAsia="fr-FR"/>
        </w:rPr>
        <w:t>Striga</w:t>
      </w:r>
      <w:r w:rsidR="00FE1DAF" w:rsidRPr="00A67EAE">
        <w:rPr>
          <w:rFonts w:ascii="Times New Roman" w:eastAsia="Times New Roman" w:hAnsi="Times New Roman" w:cs="Times New Roman"/>
          <w:sz w:val="24"/>
          <w:szCs w:val="24"/>
          <w:lang w:val="en-US" w:eastAsia="fr-FR"/>
        </w:rPr>
        <w:t xml:space="preserve"> populations</w:t>
      </w:r>
      <w:r w:rsidR="001227AB" w:rsidRPr="00A67EAE">
        <w:rPr>
          <w:rFonts w:ascii="Times New Roman" w:eastAsia="Times New Roman" w:hAnsi="Times New Roman" w:cs="Times New Roman"/>
          <w:sz w:val="24"/>
          <w:szCs w:val="24"/>
          <w:lang w:val="en-US" w:eastAsia="fr-FR"/>
        </w:rPr>
        <w:t xml:space="preserve"> from the five regions of Niger</w:t>
      </w:r>
    </w:p>
    <w:p w14:paraId="7F59A878" w14:textId="77777777" w:rsidR="00FE1DAF" w:rsidRPr="00A67EAE" w:rsidRDefault="00FE1DAF" w:rsidP="000D63C5">
      <w:pPr>
        <w:spacing w:before="100" w:beforeAutospacing="1" w:after="100" w:afterAutospacing="1" w:line="360" w:lineRule="auto"/>
        <w:jc w:val="both"/>
        <w:outlineLvl w:val="2"/>
        <w:rPr>
          <w:rFonts w:ascii="Times New Roman" w:eastAsia="Times New Roman" w:hAnsi="Times New Roman" w:cs="Times New Roman"/>
          <w:b/>
          <w:bCs/>
          <w:i/>
          <w:sz w:val="24"/>
          <w:szCs w:val="24"/>
          <w:lang w:val="en-US" w:eastAsia="fr-FR"/>
        </w:rPr>
      </w:pPr>
      <w:r w:rsidRPr="00A67EAE">
        <w:rPr>
          <w:rFonts w:ascii="Times New Roman" w:eastAsia="Times New Roman" w:hAnsi="Times New Roman" w:cs="Times New Roman"/>
          <w:b/>
          <w:bCs/>
          <w:sz w:val="24"/>
          <w:szCs w:val="24"/>
          <w:lang w:val="en-US" w:eastAsia="fr-FR"/>
        </w:rPr>
        <w:lastRenderedPageBreak/>
        <w:t>DISCUSSION</w:t>
      </w:r>
    </w:p>
    <w:p w14:paraId="09BA3A30" w14:textId="35A915C3" w:rsidR="0012542E" w:rsidRPr="00A67EAE" w:rsidRDefault="00F12BCF"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12BCF">
        <w:rPr>
          <w:rFonts w:ascii="Times New Roman" w:eastAsia="Times New Roman" w:hAnsi="Times New Roman" w:cs="Times New Roman"/>
          <w:sz w:val="24"/>
          <w:szCs w:val="24"/>
          <w:lang w:val="en-US" w:eastAsia="fr-FR"/>
        </w:rPr>
        <w:t xml:space="preserve">In this study, populations selected from five regions of Niger </w:t>
      </w:r>
      <w:r w:rsidRPr="00DA4234">
        <w:rPr>
          <w:rFonts w:ascii="Times New Roman" w:eastAsia="Times New Roman" w:hAnsi="Times New Roman" w:cs="Times New Roman"/>
          <w:sz w:val="24"/>
          <w:szCs w:val="24"/>
          <w:highlight w:val="yellow"/>
          <w:lang w:val="en-US" w:eastAsia="fr-FR"/>
        </w:rPr>
        <w:t xml:space="preserve">were </w:t>
      </w:r>
      <w:r w:rsidR="00AA6512" w:rsidRPr="00DA4234">
        <w:rPr>
          <w:rFonts w:ascii="Times New Roman" w:eastAsia="Times New Roman" w:hAnsi="Times New Roman" w:cs="Times New Roman"/>
          <w:sz w:val="24"/>
          <w:szCs w:val="24"/>
          <w:highlight w:val="yellow"/>
          <w:lang w:val="en-US" w:eastAsia="fr-FR"/>
        </w:rPr>
        <w:t>characterised</w:t>
      </w:r>
      <w:r w:rsidR="00AA6512" w:rsidRPr="00F12BCF">
        <w:rPr>
          <w:rFonts w:ascii="Times New Roman" w:eastAsia="Times New Roman" w:hAnsi="Times New Roman" w:cs="Times New Roman"/>
          <w:sz w:val="24"/>
          <w:szCs w:val="24"/>
          <w:lang w:val="en-US" w:eastAsia="fr-FR"/>
        </w:rPr>
        <w:t xml:space="preserve"> </w:t>
      </w:r>
      <w:r w:rsidRPr="00F12BCF">
        <w:rPr>
          <w:rFonts w:ascii="Times New Roman" w:eastAsia="Times New Roman" w:hAnsi="Times New Roman" w:cs="Times New Roman"/>
          <w:sz w:val="24"/>
          <w:szCs w:val="24"/>
          <w:lang w:val="en-US" w:eastAsia="fr-FR"/>
        </w:rPr>
        <w:t xml:space="preserve">using microsatellite markers to describe the genetic diversity and structure of </w:t>
      </w:r>
      <w:r w:rsidRPr="00F12BCF">
        <w:rPr>
          <w:rFonts w:ascii="Times New Roman" w:eastAsia="Times New Roman" w:hAnsi="Times New Roman" w:cs="Times New Roman"/>
          <w:i/>
          <w:iCs/>
          <w:sz w:val="24"/>
          <w:szCs w:val="24"/>
          <w:lang w:val="en-US" w:eastAsia="fr-FR"/>
        </w:rPr>
        <w:t>S.hermonthica</w:t>
      </w:r>
      <w:r w:rsidRPr="00F12BCF">
        <w:rPr>
          <w:rFonts w:ascii="Times New Roman" w:eastAsia="Times New Roman" w:hAnsi="Times New Roman" w:cs="Times New Roman"/>
          <w:sz w:val="24"/>
          <w:szCs w:val="24"/>
          <w:lang w:val="en-US" w:eastAsia="fr-FR"/>
        </w:rPr>
        <w:t xml:space="preserve">. </w:t>
      </w:r>
      <w:r w:rsidR="001B06EE" w:rsidRPr="00A67EAE">
        <w:rPr>
          <w:rFonts w:ascii="Times New Roman" w:eastAsia="Times New Roman" w:hAnsi="Times New Roman" w:cs="Times New Roman"/>
          <w:sz w:val="24"/>
          <w:szCs w:val="24"/>
          <w:lang w:val="en-US" w:eastAsia="fr-FR"/>
        </w:rPr>
        <w:t xml:space="preserve">The results of </w:t>
      </w:r>
      <w:r w:rsidR="002233A3">
        <w:rPr>
          <w:rFonts w:ascii="Times New Roman" w:eastAsia="Times New Roman" w:hAnsi="Times New Roman" w:cs="Times New Roman"/>
          <w:sz w:val="24"/>
          <w:szCs w:val="24"/>
          <w:lang w:val="en-US" w:eastAsia="fr-FR"/>
        </w:rPr>
        <w:t xml:space="preserve">this </w:t>
      </w:r>
      <w:r w:rsidR="001B06EE" w:rsidRPr="00A67EAE">
        <w:rPr>
          <w:rFonts w:ascii="Times New Roman" w:eastAsia="Times New Roman" w:hAnsi="Times New Roman" w:cs="Times New Roman"/>
          <w:sz w:val="24"/>
          <w:szCs w:val="24"/>
          <w:lang w:val="en-US" w:eastAsia="fr-FR"/>
        </w:rPr>
        <w:t>study reveal high polymorphism rate</w:t>
      </w:r>
      <w:r w:rsidR="002233A3">
        <w:rPr>
          <w:rFonts w:ascii="Times New Roman" w:eastAsia="Times New Roman" w:hAnsi="Times New Roman" w:cs="Times New Roman"/>
          <w:sz w:val="24"/>
          <w:szCs w:val="24"/>
          <w:lang w:val="en-US" w:eastAsia="fr-FR"/>
        </w:rPr>
        <w:t>s</w:t>
      </w:r>
      <w:r w:rsidR="001B06EE" w:rsidRPr="00A67EAE">
        <w:rPr>
          <w:rFonts w:ascii="Times New Roman" w:eastAsia="Times New Roman" w:hAnsi="Times New Roman" w:cs="Times New Roman"/>
          <w:sz w:val="24"/>
          <w:szCs w:val="24"/>
          <w:lang w:val="en-US" w:eastAsia="fr-FR"/>
        </w:rPr>
        <w:t xml:space="preserve"> </w:t>
      </w:r>
      <w:r w:rsidR="002233A3" w:rsidRPr="00A67EAE">
        <w:rPr>
          <w:rFonts w:ascii="Times New Roman" w:eastAsia="Times New Roman" w:hAnsi="Times New Roman" w:cs="Times New Roman"/>
          <w:sz w:val="24"/>
          <w:szCs w:val="24"/>
          <w:lang w:val="en-US" w:eastAsia="fr-FR"/>
        </w:rPr>
        <w:t>ranging from 60% to 100%</w:t>
      </w:r>
      <w:r w:rsidR="002233A3">
        <w:rPr>
          <w:rFonts w:ascii="Times New Roman" w:eastAsia="Times New Roman" w:hAnsi="Times New Roman" w:cs="Times New Roman"/>
          <w:sz w:val="24"/>
          <w:szCs w:val="24"/>
          <w:lang w:val="en-US" w:eastAsia="fr-FR"/>
        </w:rPr>
        <w:t xml:space="preserve"> </w:t>
      </w:r>
      <w:r w:rsidR="001B06EE" w:rsidRPr="00A67EAE">
        <w:rPr>
          <w:rFonts w:ascii="Times New Roman" w:eastAsia="Times New Roman" w:hAnsi="Times New Roman" w:cs="Times New Roman"/>
          <w:sz w:val="24"/>
          <w:szCs w:val="24"/>
          <w:lang w:val="en-US" w:eastAsia="fr-FR"/>
        </w:rPr>
        <w:t xml:space="preserve">for the </w:t>
      </w:r>
      <w:r>
        <w:rPr>
          <w:rFonts w:ascii="Times New Roman" w:eastAsia="Times New Roman" w:hAnsi="Times New Roman" w:cs="Times New Roman"/>
          <w:sz w:val="24"/>
          <w:szCs w:val="24"/>
          <w:lang w:val="en-US" w:eastAsia="fr-FR"/>
        </w:rPr>
        <w:t>different</w:t>
      </w:r>
      <w:r w:rsidR="001B06EE" w:rsidRPr="00A67EAE">
        <w:rPr>
          <w:rFonts w:ascii="Times New Roman" w:eastAsia="Times New Roman" w:hAnsi="Times New Roman" w:cs="Times New Roman"/>
          <w:sz w:val="24"/>
          <w:szCs w:val="24"/>
          <w:lang w:val="en-US" w:eastAsia="fr-FR"/>
        </w:rPr>
        <w:t xml:space="preserve"> </w:t>
      </w:r>
      <w:r w:rsidR="001B06EE" w:rsidRPr="00A67EAE">
        <w:rPr>
          <w:rFonts w:ascii="Times New Roman" w:eastAsia="Times New Roman" w:hAnsi="Times New Roman" w:cs="Times New Roman"/>
          <w:i/>
          <w:sz w:val="24"/>
          <w:szCs w:val="24"/>
          <w:lang w:val="en-US" w:eastAsia="fr-FR"/>
        </w:rPr>
        <w:t xml:space="preserve">Striga </w:t>
      </w:r>
      <w:r w:rsidR="001B06EE" w:rsidRPr="00F12BCF">
        <w:rPr>
          <w:rFonts w:ascii="Times New Roman" w:eastAsia="Times New Roman" w:hAnsi="Times New Roman" w:cs="Times New Roman"/>
          <w:i/>
          <w:iCs/>
          <w:sz w:val="24"/>
          <w:szCs w:val="24"/>
          <w:lang w:val="en-US" w:eastAsia="fr-FR"/>
        </w:rPr>
        <w:t>hermonthica</w:t>
      </w:r>
      <w:r w:rsidR="001B06EE" w:rsidRPr="00A67EAE">
        <w:rPr>
          <w:rFonts w:ascii="Times New Roman" w:eastAsia="Times New Roman" w:hAnsi="Times New Roman" w:cs="Times New Roman"/>
          <w:sz w:val="24"/>
          <w:szCs w:val="24"/>
          <w:lang w:val="en-US" w:eastAsia="fr-FR"/>
        </w:rPr>
        <w:t xml:space="preserve"> geno</w:t>
      </w:r>
      <w:r w:rsidR="00AA6512">
        <w:rPr>
          <w:rFonts w:ascii="Times New Roman" w:eastAsia="Times New Roman" w:hAnsi="Times New Roman" w:cs="Times New Roman"/>
          <w:sz w:val="24"/>
          <w:szCs w:val="24"/>
          <w:lang w:val="en-US" w:eastAsia="fr-FR"/>
        </w:rPr>
        <w:t>t</w:t>
      </w:r>
      <w:r w:rsidR="001B06EE" w:rsidRPr="00A67EAE">
        <w:rPr>
          <w:rFonts w:ascii="Times New Roman" w:eastAsia="Times New Roman" w:hAnsi="Times New Roman" w:cs="Times New Roman"/>
          <w:sz w:val="24"/>
          <w:szCs w:val="24"/>
          <w:lang w:val="en-US" w:eastAsia="fr-FR"/>
        </w:rPr>
        <w:t>ypes examined</w:t>
      </w:r>
      <w:r w:rsidR="002233A3">
        <w:rPr>
          <w:rFonts w:ascii="Times New Roman" w:eastAsia="Times New Roman" w:hAnsi="Times New Roman" w:cs="Times New Roman"/>
          <w:sz w:val="24"/>
          <w:szCs w:val="24"/>
          <w:lang w:val="en-US" w:eastAsia="fr-FR"/>
        </w:rPr>
        <w:t xml:space="preserve">. </w:t>
      </w:r>
      <w:r w:rsidR="002233A3" w:rsidRPr="002233A3">
        <w:rPr>
          <w:rFonts w:ascii="Times New Roman" w:eastAsia="Times New Roman" w:hAnsi="Times New Roman" w:cs="Times New Roman"/>
          <w:sz w:val="24"/>
          <w:szCs w:val="24"/>
          <w:lang w:val="en-US" w:eastAsia="fr-FR"/>
        </w:rPr>
        <w:t>This indicates substantial genetic diversity within the species</w:t>
      </w:r>
      <w:r w:rsidR="002233A3">
        <w:rPr>
          <w:rFonts w:ascii="Times New Roman" w:eastAsia="Times New Roman" w:hAnsi="Times New Roman" w:cs="Times New Roman"/>
          <w:sz w:val="24"/>
          <w:szCs w:val="24"/>
          <w:lang w:val="en-US" w:eastAsia="fr-FR"/>
        </w:rPr>
        <w:t xml:space="preserve">, </w:t>
      </w:r>
      <w:r w:rsidR="002233A3" w:rsidRPr="002233A3">
        <w:rPr>
          <w:rFonts w:ascii="Times New Roman" w:eastAsia="Times New Roman" w:hAnsi="Times New Roman" w:cs="Times New Roman"/>
          <w:sz w:val="24"/>
          <w:szCs w:val="24"/>
          <w:lang w:val="en-US" w:eastAsia="fr-FR"/>
        </w:rPr>
        <w:t xml:space="preserve">reflecting considerable variability among the </w:t>
      </w:r>
      <w:r w:rsidR="002233A3" w:rsidRPr="00DA4234">
        <w:rPr>
          <w:rFonts w:ascii="Times New Roman" w:eastAsia="Times New Roman" w:hAnsi="Times New Roman" w:cs="Times New Roman"/>
          <w:sz w:val="24"/>
          <w:szCs w:val="24"/>
          <w:highlight w:val="yellow"/>
          <w:lang w:val="en-US" w:eastAsia="fr-FR"/>
        </w:rPr>
        <w:t xml:space="preserve">genotypes </w:t>
      </w:r>
      <w:r w:rsidR="00AA6512" w:rsidRPr="00DA4234">
        <w:rPr>
          <w:rFonts w:ascii="Times New Roman" w:eastAsia="Times New Roman" w:hAnsi="Times New Roman" w:cs="Times New Roman"/>
          <w:sz w:val="24"/>
          <w:szCs w:val="24"/>
          <w:highlight w:val="yellow"/>
          <w:lang w:val="en-US" w:eastAsia="fr-FR"/>
        </w:rPr>
        <w:t>analysed</w:t>
      </w:r>
      <w:r w:rsidR="002233A3" w:rsidRPr="00DA4234">
        <w:rPr>
          <w:rFonts w:ascii="Times New Roman" w:eastAsia="Times New Roman" w:hAnsi="Times New Roman" w:cs="Times New Roman"/>
          <w:sz w:val="24"/>
          <w:szCs w:val="24"/>
          <w:highlight w:val="yellow"/>
          <w:lang w:val="en-US" w:eastAsia="fr-FR"/>
        </w:rPr>
        <w:t>.</w:t>
      </w:r>
      <w:r w:rsidR="002233A3" w:rsidRPr="002233A3">
        <w:rPr>
          <w:rFonts w:ascii="Times New Roman" w:eastAsia="Times New Roman" w:hAnsi="Times New Roman" w:cs="Times New Roman"/>
          <w:sz w:val="24"/>
          <w:szCs w:val="24"/>
          <w:lang w:val="en-US" w:eastAsia="fr-FR"/>
        </w:rPr>
        <w:t xml:space="preserve"> These results exceed those reported by Welsd </w:t>
      </w:r>
      <w:r w:rsidR="002233A3" w:rsidRPr="002233A3">
        <w:rPr>
          <w:rFonts w:ascii="Times New Roman" w:eastAsia="Times New Roman" w:hAnsi="Times New Roman" w:cs="Times New Roman"/>
          <w:i/>
          <w:iCs/>
          <w:sz w:val="24"/>
          <w:szCs w:val="24"/>
          <w:lang w:val="en-US" w:eastAsia="fr-FR"/>
        </w:rPr>
        <w:t>et al.</w:t>
      </w:r>
      <w:r w:rsidR="002233A3" w:rsidRPr="002233A3">
        <w:rPr>
          <w:rFonts w:ascii="Times New Roman" w:eastAsia="Times New Roman" w:hAnsi="Times New Roman" w:cs="Times New Roman"/>
          <w:sz w:val="24"/>
          <w:szCs w:val="24"/>
          <w:lang w:val="en-US" w:eastAsia="fr-FR"/>
        </w:rPr>
        <w:t xml:space="preserve"> (2011) for 12 Ethiopian populations of the same species (53.2% to 76.4%)</w:t>
      </w:r>
      <w:r w:rsidR="002233A3">
        <w:rPr>
          <w:rFonts w:ascii="Times New Roman" w:eastAsia="Times New Roman" w:hAnsi="Times New Roman" w:cs="Times New Roman"/>
          <w:sz w:val="24"/>
          <w:szCs w:val="24"/>
          <w:lang w:val="en-US" w:eastAsia="fr-FR"/>
        </w:rPr>
        <w:t xml:space="preserve"> using AFLP markers</w:t>
      </w:r>
      <w:r w:rsidR="002233A3" w:rsidRPr="002233A3">
        <w:rPr>
          <w:rFonts w:ascii="Times New Roman" w:eastAsia="Times New Roman" w:hAnsi="Times New Roman" w:cs="Times New Roman"/>
          <w:sz w:val="24"/>
          <w:szCs w:val="24"/>
          <w:lang w:val="en-US" w:eastAsia="fr-FR"/>
        </w:rPr>
        <w:t>. The discrepancy may be attributed to the choice of molecular markers, as AFLP markers are generally less informative than SSR markers for detecting genetic diversity</w:t>
      </w:r>
      <w:r w:rsidR="00BD5E4A" w:rsidRPr="00A67EAE">
        <w:rPr>
          <w:rFonts w:ascii="Times New Roman" w:eastAsia="Times New Roman" w:hAnsi="Times New Roman" w:cs="Times New Roman"/>
          <w:sz w:val="24"/>
          <w:szCs w:val="24"/>
          <w:lang w:val="en-US" w:eastAsia="fr-FR"/>
        </w:rPr>
        <w:t>.</w:t>
      </w:r>
      <w:r w:rsidR="006A5DBB">
        <w:rPr>
          <w:rFonts w:ascii="Times New Roman" w:eastAsia="Times New Roman" w:hAnsi="Times New Roman" w:cs="Times New Roman"/>
          <w:sz w:val="24"/>
          <w:szCs w:val="24"/>
          <w:lang w:val="en-US" w:eastAsia="fr-FR"/>
        </w:rPr>
        <w:t xml:space="preserve"> </w:t>
      </w:r>
      <w:r w:rsidR="00277832" w:rsidRPr="00A67EAE">
        <w:rPr>
          <w:rFonts w:ascii="Times New Roman" w:eastAsia="Times New Roman" w:hAnsi="Times New Roman" w:cs="Times New Roman"/>
          <w:sz w:val="24"/>
          <w:szCs w:val="24"/>
          <w:lang w:val="en-US" w:eastAsia="fr-FR"/>
        </w:rPr>
        <w:t>The</w:t>
      </w:r>
      <w:r w:rsidR="002233A3">
        <w:rPr>
          <w:rFonts w:ascii="Times New Roman" w:eastAsia="Times New Roman" w:hAnsi="Times New Roman" w:cs="Times New Roman"/>
          <w:sz w:val="24"/>
          <w:szCs w:val="24"/>
          <w:lang w:val="en-US" w:eastAsia="fr-FR"/>
        </w:rPr>
        <w:t xml:space="preserve"> </w:t>
      </w:r>
      <w:r w:rsidR="00277832" w:rsidRPr="00A67EAE">
        <w:rPr>
          <w:rFonts w:ascii="Times New Roman" w:eastAsia="Times New Roman" w:hAnsi="Times New Roman" w:cs="Times New Roman"/>
          <w:sz w:val="24"/>
          <w:szCs w:val="24"/>
          <w:lang w:val="en-US" w:eastAsia="fr-FR"/>
        </w:rPr>
        <w:t xml:space="preserve">inbreeding coefficient (F) quantifies the deviation between observed and expected heterozygosity </w:t>
      </w:r>
      <w:r w:rsidR="00484B08" w:rsidRPr="00484B08">
        <w:rPr>
          <w:rFonts w:ascii="Times New Roman" w:eastAsia="Times New Roman" w:hAnsi="Times New Roman" w:cs="Times New Roman"/>
          <w:sz w:val="24"/>
          <w:szCs w:val="24"/>
          <w:lang w:val="en-US" w:eastAsia="fr-FR"/>
        </w:rPr>
        <w:t>under the assumption of random mating</w:t>
      </w:r>
      <w:r w:rsidR="00277832" w:rsidRPr="00A67EAE">
        <w:rPr>
          <w:rFonts w:ascii="Times New Roman" w:eastAsia="Times New Roman" w:hAnsi="Times New Roman" w:cs="Times New Roman"/>
          <w:sz w:val="24"/>
          <w:szCs w:val="24"/>
          <w:lang w:val="en-US" w:eastAsia="fr-FR"/>
        </w:rPr>
        <w:t xml:space="preserve">. The F results </w:t>
      </w:r>
      <w:r w:rsidR="00484B08">
        <w:rPr>
          <w:rFonts w:ascii="Times New Roman" w:eastAsia="Times New Roman" w:hAnsi="Times New Roman" w:cs="Times New Roman"/>
          <w:sz w:val="24"/>
          <w:szCs w:val="24"/>
          <w:lang w:val="en-US" w:eastAsia="fr-FR"/>
        </w:rPr>
        <w:t xml:space="preserve">in this study </w:t>
      </w:r>
      <w:r w:rsidR="00277832" w:rsidRPr="00A67EAE">
        <w:rPr>
          <w:rFonts w:ascii="Times New Roman" w:eastAsia="Times New Roman" w:hAnsi="Times New Roman" w:cs="Times New Roman"/>
          <w:sz w:val="24"/>
          <w:szCs w:val="24"/>
          <w:lang w:val="en-US" w:eastAsia="fr-FR"/>
        </w:rPr>
        <w:t>indicate an excess of heterozygosity within the population</w:t>
      </w:r>
      <w:r w:rsidR="00484B08">
        <w:rPr>
          <w:rFonts w:ascii="Times New Roman" w:eastAsia="Times New Roman" w:hAnsi="Times New Roman" w:cs="Times New Roman"/>
          <w:sz w:val="24"/>
          <w:szCs w:val="24"/>
          <w:lang w:val="en-US" w:eastAsia="fr-FR"/>
        </w:rPr>
        <w:t>s</w:t>
      </w:r>
      <w:r w:rsidR="0012542E" w:rsidRPr="00A67EAE">
        <w:rPr>
          <w:rFonts w:ascii="Times New Roman" w:eastAsia="Times New Roman" w:hAnsi="Times New Roman" w:cs="Times New Roman"/>
          <w:sz w:val="24"/>
          <w:szCs w:val="24"/>
          <w:lang w:val="en-US" w:eastAsia="fr-FR"/>
        </w:rPr>
        <w:t xml:space="preserve">. </w:t>
      </w:r>
      <w:r w:rsidR="006A5DBB" w:rsidRPr="006A5DBB">
        <w:rPr>
          <w:rFonts w:ascii="Times New Roman" w:eastAsia="Times New Roman" w:hAnsi="Times New Roman" w:cs="Times New Roman"/>
          <w:sz w:val="24"/>
          <w:szCs w:val="24"/>
          <w:lang w:val="en-US" w:eastAsia="fr-FR"/>
        </w:rPr>
        <w:t xml:space="preserve">These findings are consistent with previous studies reporting </w:t>
      </w:r>
      <w:r w:rsidR="006A5DBB" w:rsidRPr="00DA4234">
        <w:rPr>
          <w:rFonts w:ascii="Times New Roman" w:eastAsia="Times New Roman" w:hAnsi="Times New Roman" w:cs="Times New Roman"/>
          <w:sz w:val="24"/>
          <w:szCs w:val="24"/>
          <w:highlight w:val="yellow"/>
          <w:lang w:val="en-US" w:eastAsia="fr-FR"/>
        </w:rPr>
        <w:t xml:space="preserve">deviations from </w:t>
      </w:r>
      <w:r w:rsidR="00AA6512" w:rsidRPr="00DA4234">
        <w:rPr>
          <w:rFonts w:ascii="Times New Roman" w:eastAsia="Times New Roman" w:hAnsi="Times New Roman" w:cs="Times New Roman"/>
          <w:sz w:val="24"/>
          <w:szCs w:val="24"/>
          <w:highlight w:val="yellow"/>
          <w:lang w:val="en-US" w:eastAsia="fr-FR"/>
        </w:rPr>
        <w:t xml:space="preserve">the </w:t>
      </w:r>
      <w:r w:rsidR="006A5DBB" w:rsidRPr="00DA4234">
        <w:rPr>
          <w:rFonts w:ascii="Times New Roman" w:eastAsia="Times New Roman" w:hAnsi="Times New Roman" w:cs="Times New Roman"/>
          <w:sz w:val="24"/>
          <w:szCs w:val="24"/>
          <w:highlight w:val="yellow"/>
          <w:lang w:val="en-US" w:eastAsia="fr-FR"/>
        </w:rPr>
        <w:t>Ha</w:t>
      </w:r>
      <w:r w:rsidR="006A5DBB" w:rsidRPr="006A5DBB">
        <w:rPr>
          <w:rFonts w:ascii="Times New Roman" w:eastAsia="Times New Roman" w:hAnsi="Times New Roman" w:cs="Times New Roman"/>
          <w:sz w:val="24"/>
          <w:szCs w:val="24"/>
          <w:lang w:val="en-US" w:eastAsia="fr-FR"/>
        </w:rPr>
        <w:t xml:space="preserve">rdy–Weinberg equilibrium and high genetic variability in </w:t>
      </w:r>
      <w:r w:rsidR="006A5DBB" w:rsidRPr="006A5DBB">
        <w:rPr>
          <w:rFonts w:ascii="Times New Roman" w:eastAsia="Times New Roman" w:hAnsi="Times New Roman" w:cs="Times New Roman"/>
          <w:i/>
          <w:iCs/>
          <w:sz w:val="24"/>
          <w:szCs w:val="24"/>
          <w:lang w:val="en-US" w:eastAsia="fr-FR"/>
        </w:rPr>
        <w:t>Striga hermonthica</w:t>
      </w:r>
      <w:r w:rsidR="006A5DBB" w:rsidRPr="006A5DBB">
        <w:rPr>
          <w:rFonts w:ascii="Times New Roman" w:eastAsia="Times New Roman" w:hAnsi="Times New Roman" w:cs="Times New Roman"/>
          <w:sz w:val="24"/>
          <w:szCs w:val="24"/>
          <w:lang w:val="en-US" w:eastAsia="fr-FR"/>
        </w:rPr>
        <w:t xml:space="preserve"> populations. </w:t>
      </w:r>
      <w:r w:rsidR="006A5DBB" w:rsidRPr="00DA4234">
        <w:rPr>
          <w:rFonts w:ascii="Times New Roman" w:eastAsia="Times New Roman" w:hAnsi="Times New Roman" w:cs="Times New Roman"/>
          <w:sz w:val="24"/>
          <w:szCs w:val="24"/>
          <w:highlight w:val="yellow"/>
          <w:lang w:val="en-US" w:eastAsia="fr-FR"/>
        </w:rPr>
        <w:t>For instance, Estep et al. (2011)</w:t>
      </w:r>
      <w:r w:rsidR="006A5DBB" w:rsidRPr="006A5DBB">
        <w:rPr>
          <w:rFonts w:ascii="Times New Roman" w:eastAsia="Times New Roman" w:hAnsi="Times New Roman" w:cs="Times New Roman"/>
          <w:sz w:val="24"/>
          <w:szCs w:val="24"/>
          <w:lang w:val="en-US" w:eastAsia="fr-FR"/>
        </w:rPr>
        <w:t xml:space="preserve"> observed Hardy</w:t>
      </w:r>
      <w:r w:rsidR="006A5DBB">
        <w:rPr>
          <w:rFonts w:ascii="Times New Roman" w:eastAsia="Times New Roman" w:hAnsi="Times New Roman" w:cs="Times New Roman"/>
          <w:sz w:val="24"/>
          <w:szCs w:val="24"/>
          <w:lang w:val="en-US" w:eastAsia="fr-FR"/>
        </w:rPr>
        <w:t>-</w:t>
      </w:r>
      <w:r w:rsidR="006A5DBB" w:rsidRPr="006A5DBB">
        <w:rPr>
          <w:rFonts w:ascii="Times New Roman" w:eastAsia="Times New Roman" w:hAnsi="Times New Roman" w:cs="Times New Roman"/>
          <w:sz w:val="24"/>
          <w:szCs w:val="24"/>
          <w:lang w:val="en-US" w:eastAsia="fr-FR"/>
        </w:rPr>
        <w:t xml:space="preserve">Weinberg disequilibrium in 63% </w:t>
      </w:r>
      <w:r w:rsidR="006A5DBB" w:rsidRPr="00DA4234">
        <w:rPr>
          <w:rFonts w:ascii="Times New Roman" w:eastAsia="Times New Roman" w:hAnsi="Times New Roman" w:cs="Times New Roman"/>
          <w:sz w:val="24"/>
          <w:szCs w:val="24"/>
          <w:highlight w:val="yellow"/>
          <w:lang w:val="en-US" w:eastAsia="fr-FR"/>
        </w:rPr>
        <w:t xml:space="preserve">of the populations </w:t>
      </w:r>
      <w:r w:rsidR="00AA6512" w:rsidRPr="00DA4234">
        <w:rPr>
          <w:rFonts w:ascii="Times New Roman" w:eastAsia="Times New Roman" w:hAnsi="Times New Roman" w:cs="Times New Roman"/>
          <w:sz w:val="24"/>
          <w:szCs w:val="24"/>
          <w:highlight w:val="yellow"/>
          <w:lang w:val="en-US" w:eastAsia="fr-FR"/>
        </w:rPr>
        <w:t xml:space="preserve">analysed </w:t>
      </w:r>
      <w:r w:rsidR="006A5DBB" w:rsidRPr="00DA4234">
        <w:rPr>
          <w:rFonts w:ascii="Times New Roman" w:eastAsia="Times New Roman" w:hAnsi="Times New Roman" w:cs="Times New Roman"/>
          <w:sz w:val="24"/>
          <w:szCs w:val="24"/>
          <w:highlight w:val="yellow"/>
          <w:lang w:val="en-US" w:eastAsia="fr-FR"/>
        </w:rPr>
        <w:t>in Mali, while Bozkurt et al. (2015) reported substantial genetic diversity among East and West African</w:t>
      </w:r>
      <w:r w:rsidR="006A5DBB" w:rsidRPr="006A5DBB">
        <w:rPr>
          <w:rFonts w:ascii="Times New Roman" w:eastAsia="Times New Roman" w:hAnsi="Times New Roman" w:cs="Times New Roman"/>
          <w:sz w:val="24"/>
          <w:szCs w:val="24"/>
          <w:lang w:val="en-US" w:eastAsia="fr-FR"/>
        </w:rPr>
        <w:t xml:space="preserve"> </w:t>
      </w:r>
      <w:r w:rsidR="006A5DBB" w:rsidRPr="006A5DBB">
        <w:rPr>
          <w:rFonts w:ascii="Times New Roman" w:eastAsia="Times New Roman" w:hAnsi="Times New Roman" w:cs="Times New Roman"/>
          <w:i/>
          <w:iCs/>
          <w:sz w:val="24"/>
          <w:szCs w:val="24"/>
          <w:lang w:val="en-US" w:eastAsia="fr-FR"/>
        </w:rPr>
        <w:t>S. hermonthica</w:t>
      </w:r>
      <w:r w:rsidR="006A5DBB" w:rsidRPr="006A5DBB">
        <w:rPr>
          <w:rFonts w:ascii="Times New Roman" w:eastAsia="Times New Roman" w:hAnsi="Times New Roman" w:cs="Times New Roman"/>
          <w:sz w:val="24"/>
          <w:szCs w:val="24"/>
          <w:lang w:val="en-US" w:eastAsia="fr-FR"/>
        </w:rPr>
        <w:t xml:space="preserve"> populations using microsatellite markers, along with marked differences in virulence on contrasting sorghum cultivars. Similarly, Nnunnachukwu et al. (2017) revealed pronounced genetic diversity and clear population structuring in </w:t>
      </w:r>
      <w:r w:rsidR="006A5DBB" w:rsidRPr="006A5DBB">
        <w:rPr>
          <w:rFonts w:ascii="Times New Roman" w:eastAsia="Times New Roman" w:hAnsi="Times New Roman" w:cs="Times New Roman"/>
          <w:i/>
          <w:iCs/>
          <w:sz w:val="24"/>
          <w:szCs w:val="24"/>
          <w:lang w:val="en-US" w:eastAsia="fr-FR"/>
        </w:rPr>
        <w:t>S. hermonthica</w:t>
      </w:r>
      <w:r w:rsidR="006A5DBB" w:rsidRPr="006A5DBB">
        <w:rPr>
          <w:rFonts w:ascii="Times New Roman" w:eastAsia="Times New Roman" w:hAnsi="Times New Roman" w:cs="Times New Roman"/>
          <w:sz w:val="24"/>
          <w:szCs w:val="24"/>
          <w:lang w:val="en-US" w:eastAsia="fr-FR"/>
        </w:rPr>
        <w:t xml:space="preserve"> populations from Kenya and Nigeria based on SNP markers.</w:t>
      </w:r>
      <w:r w:rsidR="006A5DBB">
        <w:rPr>
          <w:rFonts w:ascii="Times New Roman" w:eastAsia="Times New Roman" w:hAnsi="Times New Roman" w:cs="Times New Roman"/>
          <w:sz w:val="24"/>
          <w:szCs w:val="24"/>
          <w:lang w:val="en-US" w:eastAsia="fr-FR"/>
        </w:rPr>
        <w:t xml:space="preserve"> </w:t>
      </w:r>
      <w:r w:rsidR="00E118EF" w:rsidRPr="00E118EF">
        <w:rPr>
          <w:rFonts w:ascii="Times New Roman" w:eastAsia="Times New Roman" w:hAnsi="Times New Roman" w:cs="Times New Roman"/>
          <w:sz w:val="24"/>
          <w:szCs w:val="24"/>
          <w:lang w:val="en-US" w:eastAsia="fr-FR"/>
        </w:rPr>
        <w:t>This excess of heterozygosity is likely due to negative assortative mating, which is expected in a strictly</w:t>
      </w:r>
      <w:r w:rsidR="00AA6512">
        <w:rPr>
          <w:rFonts w:ascii="Times New Roman" w:eastAsia="Times New Roman" w:hAnsi="Times New Roman" w:cs="Times New Roman"/>
          <w:sz w:val="24"/>
          <w:szCs w:val="24"/>
          <w:lang w:val="en-US" w:eastAsia="fr-FR"/>
        </w:rPr>
        <w:t xml:space="preserve"> </w:t>
      </w:r>
      <w:r w:rsidR="00E118EF" w:rsidRPr="00E118EF">
        <w:rPr>
          <w:rFonts w:ascii="Times New Roman" w:eastAsia="Times New Roman" w:hAnsi="Times New Roman" w:cs="Times New Roman"/>
          <w:sz w:val="24"/>
          <w:szCs w:val="24"/>
          <w:lang w:val="en-US" w:eastAsia="fr-FR"/>
        </w:rPr>
        <w:t xml:space="preserve">allogamous species like </w:t>
      </w:r>
      <w:r w:rsidR="00E118EF" w:rsidRPr="00E118EF">
        <w:rPr>
          <w:rFonts w:ascii="Times New Roman" w:eastAsia="Times New Roman" w:hAnsi="Times New Roman" w:cs="Times New Roman"/>
          <w:i/>
          <w:iCs/>
          <w:sz w:val="24"/>
          <w:szCs w:val="24"/>
          <w:lang w:val="en-US" w:eastAsia="fr-FR"/>
        </w:rPr>
        <w:t>S. hermonthica</w:t>
      </w:r>
      <w:r w:rsidR="00E118EF" w:rsidRPr="00E118EF">
        <w:rPr>
          <w:rFonts w:ascii="Times New Roman" w:eastAsia="Times New Roman" w:hAnsi="Times New Roman" w:cs="Times New Roman"/>
          <w:sz w:val="24"/>
          <w:szCs w:val="24"/>
          <w:lang w:val="en-US" w:eastAsia="fr-FR"/>
        </w:rPr>
        <w:t xml:space="preserve"> (Safa </w:t>
      </w:r>
      <w:r w:rsidR="00E118EF" w:rsidRPr="00F12BCF">
        <w:rPr>
          <w:rFonts w:ascii="Times New Roman" w:eastAsia="Times New Roman" w:hAnsi="Times New Roman" w:cs="Times New Roman"/>
          <w:i/>
          <w:iCs/>
          <w:sz w:val="24"/>
          <w:szCs w:val="24"/>
          <w:lang w:val="en-US" w:eastAsia="fr-FR"/>
        </w:rPr>
        <w:t>et al</w:t>
      </w:r>
      <w:r w:rsidR="00E118EF" w:rsidRPr="00E118EF">
        <w:rPr>
          <w:rFonts w:ascii="Times New Roman" w:eastAsia="Times New Roman" w:hAnsi="Times New Roman" w:cs="Times New Roman"/>
          <w:sz w:val="24"/>
          <w:szCs w:val="24"/>
          <w:lang w:val="en-US" w:eastAsia="fr-FR"/>
        </w:rPr>
        <w:t>., 1984)</w:t>
      </w:r>
      <w:r w:rsidR="00FE1DAF" w:rsidRPr="00A67EAE">
        <w:rPr>
          <w:rFonts w:ascii="Times New Roman" w:eastAsia="Times New Roman" w:hAnsi="Times New Roman" w:cs="Times New Roman"/>
          <w:sz w:val="24"/>
          <w:szCs w:val="24"/>
          <w:lang w:val="en-US" w:eastAsia="fr-FR"/>
        </w:rPr>
        <w:t>.</w:t>
      </w:r>
      <w:r w:rsidR="00E118EF">
        <w:rPr>
          <w:rFonts w:ascii="Times New Roman" w:eastAsia="Times New Roman" w:hAnsi="Times New Roman" w:cs="Times New Roman"/>
          <w:sz w:val="24"/>
          <w:szCs w:val="24"/>
          <w:lang w:val="en-US" w:eastAsia="fr-FR"/>
        </w:rPr>
        <w:t xml:space="preserve"> </w:t>
      </w:r>
      <w:r w:rsidR="00662DEB" w:rsidRPr="00662DEB">
        <w:rPr>
          <w:rFonts w:ascii="Times New Roman" w:eastAsia="Times New Roman" w:hAnsi="Times New Roman" w:cs="Times New Roman"/>
          <w:sz w:val="24"/>
          <w:szCs w:val="24"/>
          <w:lang w:val="en-US" w:eastAsia="fr-FR"/>
        </w:rPr>
        <w:t xml:space="preserve">Allele frequency analysis revealed variable allelic diversity across SSR markers. </w:t>
      </w:r>
      <w:r w:rsidR="00662DEB">
        <w:rPr>
          <w:rFonts w:ascii="Times New Roman" w:eastAsia="Times New Roman" w:hAnsi="Times New Roman" w:cs="Times New Roman"/>
          <w:sz w:val="24"/>
          <w:szCs w:val="24"/>
          <w:lang w:val="en-US" w:eastAsia="fr-FR"/>
        </w:rPr>
        <w:t>T</w:t>
      </w:r>
      <w:r w:rsidR="00662DEB" w:rsidRPr="00662DEB">
        <w:rPr>
          <w:rFonts w:ascii="Times New Roman" w:eastAsia="Times New Roman" w:hAnsi="Times New Roman" w:cs="Times New Roman"/>
          <w:sz w:val="24"/>
          <w:szCs w:val="24"/>
          <w:lang w:val="en-US" w:eastAsia="fr-FR"/>
        </w:rPr>
        <w:t xml:space="preserve">hree region-specific alleles were detected in this study, which is considerably fewer than the 50 specific alleles reported by Estep et al. (2011). This difference likely reflects methodological factors, as Estep </w:t>
      </w:r>
      <w:r w:rsidR="00662DEB" w:rsidRPr="00DA4234">
        <w:rPr>
          <w:rFonts w:ascii="Times New Roman" w:eastAsia="Times New Roman" w:hAnsi="Times New Roman" w:cs="Times New Roman"/>
          <w:sz w:val="24"/>
          <w:szCs w:val="24"/>
          <w:highlight w:val="yellow"/>
          <w:lang w:val="en-US" w:eastAsia="fr-FR"/>
        </w:rPr>
        <w:t xml:space="preserve">et al. </w:t>
      </w:r>
      <w:r w:rsidR="00AA6512" w:rsidRPr="00DA4234">
        <w:rPr>
          <w:rFonts w:ascii="Times New Roman" w:eastAsia="Times New Roman" w:hAnsi="Times New Roman" w:cs="Times New Roman"/>
          <w:sz w:val="24"/>
          <w:szCs w:val="24"/>
          <w:highlight w:val="yellow"/>
          <w:lang w:val="en-US" w:eastAsia="fr-FR"/>
        </w:rPr>
        <w:t xml:space="preserve">analysed </w:t>
      </w:r>
      <w:r w:rsidR="00662DEB" w:rsidRPr="00DA4234">
        <w:rPr>
          <w:rFonts w:ascii="Times New Roman" w:eastAsia="Times New Roman" w:hAnsi="Times New Roman" w:cs="Times New Roman"/>
          <w:sz w:val="24"/>
          <w:szCs w:val="24"/>
          <w:highlight w:val="yellow"/>
          <w:lang w:val="en-US" w:eastAsia="fr-FR"/>
        </w:rPr>
        <w:t>a larger</w:t>
      </w:r>
      <w:r w:rsidR="00662DEB" w:rsidRPr="00662DEB">
        <w:rPr>
          <w:rFonts w:ascii="Times New Roman" w:eastAsia="Times New Roman" w:hAnsi="Times New Roman" w:cs="Times New Roman"/>
          <w:sz w:val="24"/>
          <w:szCs w:val="24"/>
          <w:lang w:val="en-US" w:eastAsia="fr-FR"/>
        </w:rPr>
        <w:t xml:space="preserve"> sample (11 populations, approximately 250 individuals) using a greater number of microsatellite markers (12), thereby capturing more genetic diversity</w:t>
      </w:r>
      <w:r w:rsidR="00597D77" w:rsidRPr="00A67EAE">
        <w:rPr>
          <w:rFonts w:ascii="Times New Roman" w:eastAsia="Times New Roman" w:hAnsi="Times New Roman" w:cs="Times New Roman"/>
          <w:sz w:val="24"/>
          <w:szCs w:val="24"/>
          <w:lang w:val="en-US" w:eastAsia="fr-FR"/>
        </w:rPr>
        <w:t xml:space="preserve">. </w:t>
      </w:r>
    </w:p>
    <w:p w14:paraId="0B738E5E" w14:textId="242666AA" w:rsidR="005C5FB4" w:rsidRDefault="00212233"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R</w:t>
      </w:r>
      <w:r w:rsidR="005C5FB4" w:rsidRPr="005C5FB4">
        <w:rPr>
          <w:rFonts w:ascii="Times New Roman" w:eastAsia="Times New Roman" w:hAnsi="Times New Roman" w:cs="Times New Roman"/>
          <w:sz w:val="24"/>
          <w:szCs w:val="24"/>
          <w:lang w:val="en-US" w:eastAsia="fr-FR"/>
        </w:rPr>
        <w:t>egion-specific alleles, such as allele 230 in Dosso and allele 500 in Tahoua, suggest a structured genetic population with differentiation among genotypes (Slatkin, 1987). Conversely, allele 300, found at high frequency across multiple loci, may represent an ancestral or neutral allele that has increased in frequency through genetic drift (Wright, 1965). These patterns may also be influenced by the limited sample size of this study.</w:t>
      </w:r>
      <w:r w:rsidR="005C5FB4">
        <w:rPr>
          <w:rFonts w:ascii="Times New Roman" w:eastAsia="Times New Roman" w:hAnsi="Times New Roman" w:cs="Times New Roman"/>
          <w:sz w:val="24"/>
          <w:szCs w:val="24"/>
          <w:lang w:val="en-US" w:eastAsia="fr-FR"/>
        </w:rPr>
        <w:t xml:space="preserve"> </w:t>
      </w:r>
    </w:p>
    <w:p w14:paraId="2B1CDBA1" w14:textId="32B4AEE2" w:rsidR="00F1313B" w:rsidRPr="00F1313B" w:rsidRDefault="00F1313B" w:rsidP="00F1313B">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1313B">
        <w:rPr>
          <w:rFonts w:ascii="Times New Roman" w:eastAsia="Times New Roman" w:hAnsi="Times New Roman" w:cs="Times New Roman"/>
          <w:sz w:val="24"/>
          <w:szCs w:val="24"/>
          <w:lang w:val="en-US" w:eastAsia="fr-FR"/>
        </w:rPr>
        <w:lastRenderedPageBreak/>
        <w:t>The 100% polymorphism observed across all SSR loci further supports the presence of high genetic diversity. Such polymorphism is consistent with findings from natural populations, which often exhibit extensive genetic variation that allows adaptation to changing environments (Leffler et al., 2012). Notably, SSR locus 58 displayed particularly high observed (Ho = 0.920) and expected (He = 0.524) heterozygosity, suggesting high allelic diversity and possibly a recent demographic expansion</w:t>
      </w:r>
      <w:r w:rsidR="00842CE8" w:rsidRPr="00A67EAE">
        <w:rPr>
          <w:rFonts w:ascii="Times New Roman" w:eastAsia="Times New Roman" w:hAnsi="Times New Roman" w:cs="Times New Roman"/>
          <w:sz w:val="24"/>
          <w:szCs w:val="24"/>
          <w:lang w:val="en-US" w:eastAsia="fr-FR"/>
        </w:rPr>
        <w:t xml:space="preserve">. </w:t>
      </w:r>
      <w:r w:rsidRPr="00F1313B">
        <w:rPr>
          <w:rFonts w:ascii="Times New Roman" w:eastAsia="Times New Roman" w:hAnsi="Times New Roman" w:cs="Times New Roman"/>
          <w:sz w:val="24"/>
          <w:szCs w:val="24"/>
          <w:lang w:val="en-US" w:eastAsia="fr-FR"/>
        </w:rPr>
        <w:t xml:space="preserve">The overall observed heterozygosity (Ho = 0.530) among the five </w:t>
      </w:r>
      <w:r w:rsidRPr="00F1313B">
        <w:rPr>
          <w:rFonts w:ascii="Times New Roman" w:eastAsia="Times New Roman" w:hAnsi="Times New Roman" w:cs="Times New Roman"/>
          <w:i/>
          <w:iCs/>
          <w:sz w:val="24"/>
          <w:szCs w:val="24"/>
          <w:lang w:val="en-US" w:eastAsia="fr-FR"/>
        </w:rPr>
        <w:t>S. hermonthica</w:t>
      </w:r>
      <w:r w:rsidRPr="00F1313B">
        <w:rPr>
          <w:rFonts w:ascii="Times New Roman" w:eastAsia="Times New Roman" w:hAnsi="Times New Roman" w:cs="Times New Roman"/>
          <w:sz w:val="24"/>
          <w:szCs w:val="24"/>
          <w:lang w:val="en-US" w:eastAsia="fr-FR"/>
        </w:rPr>
        <w:t xml:space="preserve"> genotypes from different regions of Niger aligns closely with values reported by Joel et al. (2018) for seven populations in Kenya and Uganda (Ho = 0.529). The preservation of high genetic diversity across a broad geographic area underscores the species’ adaptive potential to diverse environmental conditions. The lower expected heterozygosity in this study (He = 0.344) compared to Joel et al. (He = 0.585) likely reflects differences in allelic richness, as Joel et al. reported 3</w:t>
      </w:r>
      <w:r>
        <w:rPr>
          <w:rFonts w:ascii="Times New Roman" w:eastAsia="Times New Roman" w:hAnsi="Times New Roman" w:cs="Times New Roman"/>
          <w:sz w:val="24"/>
          <w:szCs w:val="24"/>
          <w:lang w:val="en-US" w:eastAsia="fr-FR"/>
        </w:rPr>
        <w:t>-</w:t>
      </w:r>
      <w:r w:rsidRPr="00F1313B">
        <w:rPr>
          <w:rFonts w:ascii="Times New Roman" w:eastAsia="Times New Roman" w:hAnsi="Times New Roman" w:cs="Times New Roman"/>
          <w:sz w:val="24"/>
          <w:szCs w:val="24"/>
          <w:lang w:val="en-US" w:eastAsia="fr-FR"/>
        </w:rPr>
        <w:t>14 alleles per locus, with an average of 7.8.</w:t>
      </w:r>
      <w:r w:rsidR="00212233">
        <w:rPr>
          <w:rFonts w:ascii="Times New Roman" w:eastAsia="Times New Roman" w:hAnsi="Times New Roman" w:cs="Times New Roman"/>
          <w:sz w:val="24"/>
          <w:szCs w:val="24"/>
          <w:lang w:val="en-US" w:eastAsia="fr-FR"/>
        </w:rPr>
        <w:t xml:space="preserve"> </w:t>
      </w:r>
      <w:r w:rsidRPr="00F1313B">
        <w:rPr>
          <w:rFonts w:ascii="Times New Roman" w:eastAsia="Times New Roman" w:hAnsi="Times New Roman" w:cs="Times New Roman"/>
          <w:sz w:val="24"/>
          <w:szCs w:val="24"/>
          <w:lang w:val="en-US" w:eastAsia="fr-FR"/>
        </w:rPr>
        <w:t xml:space="preserve">For all loci </w:t>
      </w:r>
      <w:r w:rsidR="00AA6512" w:rsidRPr="00F1313B">
        <w:rPr>
          <w:rFonts w:ascii="Times New Roman" w:eastAsia="Times New Roman" w:hAnsi="Times New Roman" w:cs="Times New Roman"/>
          <w:sz w:val="24"/>
          <w:szCs w:val="24"/>
          <w:lang w:val="en-US" w:eastAsia="fr-FR"/>
        </w:rPr>
        <w:t>analy</w:t>
      </w:r>
      <w:r w:rsidR="00AA6512">
        <w:rPr>
          <w:rFonts w:ascii="Times New Roman" w:eastAsia="Times New Roman" w:hAnsi="Times New Roman" w:cs="Times New Roman"/>
          <w:sz w:val="24"/>
          <w:szCs w:val="24"/>
          <w:lang w:val="en-US" w:eastAsia="fr-FR"/>
        </w:rPr>
        <w:t>s</w:t>
      </w:r>
      <w:r w:rsidR="00AA6512" w:rsidRPr="00F1313B">
        <w:rPr>
          <w:rFonts w:ascii="Times New Roman" w:eastAsia="Times New Roman" w:hAnsi="Times New Roman" w:cs="Times New Roman"/>
          <w:sz w:val="24"/>
          <w:szCs w:val="24"/>
          <w:lang w:val="en-US" w:eastAsia="fr-FR"/>
        </w:rPr>
        <w:t>ed</w:t>
      </w:r>
      <w:r w:rsidRPr="00F1313B">
        <w:rPr>
          <w:rFonts w:ascii="Times New Roman" w:eastAsia="Times New Roman" w:hAnsi="Times New Roman" w:cs="Times New Roman"/>
          <w:sz w:val="24"/>
          <w:szCs w:val="24"/>
          <w:lang w:val="en-US" w:eastAsia="fr-FR"/>
        </w:rPr>
        <w:t>, observed heterozygosity exceeded expected heterozygosity, indicating Hardy-Weinberg disequilibrium. This pattern could result from non-random mating, population structure, or technical genotyping errors (Waples and Gaggiotti, 2006). In line with this, F values across loci suggest a complex population structure, with the strongest excess of heterozygotes observed at SSR 53 (F = -0.143).</w:t>
      </w:r>
    </w:p>
    <w:p w14:paraId="7126A429" w14:textId="3E5FFC9E" w:rsidR="006A1ABC" w:rsidRPr="00A67EAE" w:rsidRDefault="00F1313B"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1313B">
        <w:rPr>
          <w:rFonts w:ascii="Times New Roman" w:eastAsia="Times New Roman" w:hAnsi="Times New Roman" w:cs="Times New Roman"/>
          <w:sz w:val="24"/>
          <w:szCs w:val="24"/>
          <w:lang w:val="en-US" w:eastAsia="fr-FR"/>
        </w:rPr>
        <w:t>Clustering analyses, including the dendrogram and discriminant factor analysis (DFA), revealed a clear genetic separation of genotypes from Dosso from those of other regions. This differentiation may be influenced by Dosso’s geographic position at the transition between Sahelian and Sudanian zones, combined with heterogeneous soil conditions and unique domestication histories that promote local adaptation. In contrast, genotypes from Tahoua and Tillabéry, as well as from Maradi and Zinder, showed closer genetic relationships, suggesting higher gene flow among these regions. This pattern may reflect similar agricultural practices, comparable climatic conditions, or historical population movements</w:t>
      </w:r>
      <w:r w:rsidR="00F013A3" w:rsidRPr="00A67EAE">
        <w:rPr>
          <w:rFonts w:ascii="Times New Roman" w:eastAsia="Times New Roman" w:hAnsi="Times New Roman" w:cs="Times New Roman"/>
          <w:sz w:val="24"/>
          <w:szCs w:val="24"/>
          <w:lang w:val="en-US" w:eastAsia="fr-FR"/>
        </w:rPr>
        <w:t>.</w:t>
      </w:r>
    </w:p>
    <w:p w14:paraId="7274A683" w14:textId="77777777" w:rsidR="00C978AD" w:rsidRDefault="00C978AD"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CONCLUSION</w:t>
      </w:r>
    </w:p>
    <w:p w14:paraId="324E70A7" w14:textId="038CC2D4" w:rsidR="0062125B" w:rsidRPr="0062125B" w:rsidRDefault="0062125B" w:rsidP="0062125B">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2125B">
        <w:rPr>
          <w:rFonts w:ascii="Times New Roman" w:eastAsia="Times New Roman" w:hAnsi="Times New Roman" w:cs="Times New Roman"/>
          <w:bCs/>
          <w:sz w:val="24"/>
          <w:szCs w:val="24"/>
          <w:lang w:val="en-US" w:eastAsia="fr-FR"/>
        </w:rPr>
        <w:t xml:space="preserve">This study provides the first molecular assessment of the genetic diversity and population structure of </w:t>
      </w:r>
      <w:r w:rsidRPr="00620947">
        <w:rPr>
          <w:rFonts w:ascii="Times New Roman" w:eastAsia="Times New Roman" w:hAnsi="Times New Roman" w:cs="Times New Roman"/>
          <w:bCs/>
          <w:i/>
          <w:iCs/>
          <w:sz w:val="24"/>
          <w:szCs w:val="24"/>
          <w:lang w:val="en-US" w:eastAsia="fr-FR"/>
        </w:rPr>
        <w:t>Striga hermonthica</w:t>
      </w:r>
      <w:r w:rsidRPr="0062125B">
        <w:rPr>
          <w:rFonts w:ascii="Times New Roman" w:eastAsia="Times New Roman" w:hAnsi="Times New Roman" w:cs="Times New Roman"/>
          <w:bCs/>
          <w:sz w:val="24"/>
          <w:szCs w:val="24"/>
          <w:lang w:val="en-US" w:eastAsia="fr-FR"/>
        </w:rPr>
        <w:t xml:space="preserve"> in Niger using microsatellite markers. The results reveal a high level of genetic diversity across the 25 genotypes sampled from five major agricultural regions, as evidenced by high polymorphism rates, substantial allelic richness, and an overall excess of heterozygosity. Moderate but significant genetic differentiation among </w:t>
      </w:r>
      <w:r w:rsidR="00AB0FCF" w:rsidRPr="0062125B">
        <w:rPr>
          <w:rFonts w:ascii="Times New Roman" w:eastAsia="Times New Roman" w:hAnsi="Times New Roman" w:cs="Times New Roman"/>
          <w:bCs/>
          <w:sz w:val="24"/>
          <w:szCs w:val="24"/>
          <w:lang w:val="en-US" w:eastAsia="fr-FR"/>
        </w:rPr>
        <w:t>regions indicates</w:t>
      </w:r>
      <w:r w:rsidRPr="0062125B">
        <w:rPr>
          <w:rFonts w:ascii="Times New Roman" w:eastAsia="Times New Roman" w:hAnsi="Times New Roman" w:cs="Times New Roman"/>
          <w:bCs/>
          <w:sz w:val="24"/>
          <w:szCs w:val="24"/>
          <w:lang w:val="en-US" w:eastAsia="fr-FR"/>
        </w:rPr>
        <w:t xml:space="preserve"> that geographic origin plays an important role in structuring </w:t>
      </w:r>
      <w:r w:rsidRPr="00620947">
        <w:rPr>
          <w:rFonts w:ascii="Times New Roman" w:eastAsia="Times New Roman" w:hAnsi="Times New Roman" w:cs="Times New Roman"/>
          <w:bCs/>
          <w:i/>
          <w:iCs/>
          <w:sz w:val="24"/>
          <w:szCs w:val="24"/>
          <w:lang w:val="en-US" w:eastAsia="fr-FR"/>
        </w:rPr>
        <w:t>S. hermonthica</w:t>
      </w:r>
      <w:r w:rsidRPr="0062125B">
        <w:rPr>
          <w:rFonts w:ascii="Times New Roman" w:eastAsia="Times New Roman" w:hAnsi="Times New Roman" w:cs="Times New Roman"/>
          <w:bCs/>
          <w:sz w:val="24"/>
          <w:szCs w:val="24"/>
          <w:lang w:val="en-US" w:eastAsia="fr-FR"/>
        </w:rPr>
        <w:t xml:space="preserve"> populations in Niger. </w:t>
      </w:r>
      <w:r w:rsidR="00620947">
        <w:rPr>
          <w:rFonts w:ascii="Times New Roman" w:eastAsia="Times New Roman" w:hAnsi="Times New Roman" w:cs="Times New Roman"/>
          <w:bCs/>
          <w:sz w:val="24"/>
          <w:szCs w:val="24"/>
          <w:lang w:val="en-US" w:eastAsia="fr-FR"/>
        </w:rPr>
        <w:lastRenderedPageBreak/>
        <w:t>C</w:t>
      </w:r>
      <w:r w:rsidRPr="0062125B">
        <w:rPr>
          <w:rFonts w:ascii="Times New Roman" w:eastAsia="Times New Roman" w:hAnsi="Times New Roman" w:cs="Times New Roman"/>
          <w:bCs/>
          <w:sz w:val="24"/>
          <w:szCs w:val="24"/>
          <w:lang w:val="en-US" w:eastAsia="fr-FR"/>
        </w:rPr>
        <w:t>lustering analyses consistently distinguished genotypes from the Dosso region from those of the other regions, while closer genetic relationships were observed between Tahoua and Tillabéry, and between Maradi and Zinder. These patterns likely reflect similarities in agro-ecological conditions, cropping systems, and seed or soil-mediated dispersal of the parasite, as well as historical connectivity among farming communities.</w:t>
      </w:r>
      <w:r w:rsidR="00620947">
        <w:rPr>
          <w:rFonts w:ascii="Times New Roman" w:eastAsia="Times New Roman" w:hAnsi="Times New Roman" w:cs="Times New Roman"/>
          <w:bCs/>
          <w:sz w:val="24"/>
          <w:szCs w:val="24"/>
          <w:lang w:val="en-US" w:eastAsia="fr-FR"/>
        </w:rPr>
        <w:t xml:space="preserve"> T</w:t>
      </w:r>
      <w:r w:rsidRPr="0062125B">
        <w:rPr>
          <w:rFonts w:ascii="Times New Roman" w:eastAsia="Times New Roman" w:hAnsi="Times New Roman" w:cs="Times New Roman"/>
          <w:bCs/>
          <w:sz w:val="24"/>
          <w:szCs w:val="24"/>
          <w:lang w:val="en-US" w:eastAsia="fr-FR"/>
        </w:rPr>
        <w:t>hese findings highlight the need for integrated and region-specific management strategies, including the deployment of locally adapted resistant crop varieties and the incorporation of genetic information into breeding and control programs. Future studies incorporating larger sample</w:t>
      </w:r>
      <w:r w:rsidR="004E3412">
        <w:rPr>
          <w:rFonts w:ascii="Times New Roman" w:eastAsia="Times New Roman" w:hAnsi="Times New Roman" w:cs="Times New Roman"/>
          <w:bCs/>
          <w:sz w:val="24"/>
          <w:szCs w:val="24"/>
          <w:lang w:val="en-US" w:eastAsia="fr-FR"/>
        </w:rPr>
        <w:t xml:space="preserve">s and </w:t>
      </w:r>
      <w:r w:rsidRPr="0062125B">
        <w:rPr>
          <w:rFonts w:ascii="Times New Roman" w:eastAsia="Times New Roman" w:hAnsi="Times New Roman" w:cs="Times New Roman"/>
          <w:bCs/>
          <w:sz w:val="24"/>
          <w:szCs w:val="24"/>
          <w:lang w:val="en-US" w:eastAsia="fr-FR"/>
        </w:rPr>
        <w:t>molecular markers</w:t>
      </w:r>
      <w:r w:rsidR="004E3412">
        <w:rPr>
          <w:rFonts w:ascii="Times New Roman" w:eastAsia="Times New Roman" w:hAnsi="Times New Roman" w:cs="Times New Roman"/>
          <w:bCs/>
          <w:sz w:val="24"/>
          <w:szCs w:val="24"/>
          <w:lang w:val="en-US" w:eastAsia="fr-FR"/>
        </w:rPr>
        <w:t xml:space="preserve"> </w:t>
      </w:r>
      <w:r w:rsidRPr="0062125B">
        <w:rPr>
          <w:rFonts w:ascii="Times New Roman" w:eastAsia="Times New Roman" w:hAnsi="Times New Roman" w:cs="Times New Roman"/>
          <w:bCs/>
          <w:sz w:val="24"/>
          <w:szCs w:val="24"/>
          <w:lang w:val="en-US" w:eastAsia="fr-FR"/>
        </w:rPr>
        <w:t>will further refine our understanding of Striga population dynamics and support the development of more sustainable and effective control approaches.</w:t>
      </w:r>
    </w:p>
    <w:p w14:paraId="2294A191" w14:textId="77777777" w:rsidR="00C978AD" w:rsidRPr="00A67EAE" w:rsidRDefault="00C978AD"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REFERENCES</w:t>
      </w:r>
    </w:p>
    <w:p w14:paraId="3B06F891" w14:textId="4FCBBC1C" w:rsidR="000D63C5" w:rsidRPr="001C069B" w:rsidRDefault="000D63C5" w:rsidP="000D63C5">
      <w:pPr>
        <w:spacing w:after="200" w:line="360" w:lineRule="auto"/>
        <w:jc w:val="both"/>
        <w:rPr>
          <w:rFonts w:ascii="Times New Roman" w:eastAsia="Calibri" w:hAnsi="Times New Roman" w:cs="Times New Roman"/>
          <w:bCs/>
          <w:iCs/>
          <w:sz w:val="24"/>
          <w:szCs w:val="24"/>
          <w:lang w:val="en-GB"/>
        </w:rPr>
      </w:pPr>
      <w:r w:rsidRPr="00A67EAE">
        <w:rPr>
          <w:rFonts w:ascii="Times New Roman" w:eastAsia="Calibri" w:hAnsi="Times New Roman" w:cs="Times New Roman"/>
          <w:bCs/>
          <w:iCs/>
          <w:sz w:val="24"/>
          <w:szCs w:val="24"/>
          <w:lang w:val="en-US"/>
        </w:rPr>
        <w:t xml:space="preserve">Badu-Apraku, B. (2010). Effects of recurrent selection for grain yield and </w:t>
      </w:r>
      <w:r w:rsidRPr="00A67EAE">
        <w:rPr>
          <w:rFonts w:ascii="Times New Roman" w:eastAsia="Calibri" w:hAnsi="Times New Roman" w:cs="Times New Roman"/>
          <w:bCs/>
          <w:i/>
          <w:iCs/>
          <w:sz w:val="24"/>
          <w:szCs w:val="24"/>
          <w:lang w:val="en-US"/>
        </w:rPr>
        <w:t>Striga</w:t>
      </w:r>
      <w:r w:rsidRPr="00A67EAE">
        <w:rPr>
          <w:rFonts w:ascii="Times New Roman" w:eastAsia="Calibri" w:hAnsi="Times New Roman" w:cs="Times New Roman"/>
          <w:bCs/>
          <w:iCs/>
          <w:sz w:val="24"/>
          <w:szCs w:val="24"/>
          <w:lang w:val="en-US"/>
        </w:rPr>
        <w:t xml:space="preserve"> resistance in an extra-early maize population. </w:t>
      </w:r>
      <w:r w:rsidRPr="001C069B">
        <w:rPr>
          <w:rFonts w:ascii="Times New Roman" w:eastAsia="Calibri" w:hAnsi="Times New Roman" w:cs="Times New Roman"/>
          <w:bCs/>
          <w:i/>
          <w:iCs/>
          <w:sz w:val="24"/>
          <w:szCs w:val="24"/>
          <w:lang w:val="en-GB"/>
        </w:rPr>
        <w:t>Crop Science</w:t>
      </w:r>
      <w:r w:rsidRPr="001C069B">
        <w:rPr>
          <w:rFonts w:ascii="Times New Roman" w:eastAsia="Calibri" w:hAnsi="Times New Roman" w:cs="Times New Roman"/>
          <w:bCs/>
          <w:iCs/>
          <w:sz w:val="24"/>
          <w:szCs w:val="24"/>
          <w:lang w:val="en-GB"/>
        </w:rPr>
        <w:t xml:space="preserve">, </w:t>
      </w:r>
      <w:r w:rsidRPr="001C069B">
        <w:rPr>
          <w:rFonts w:ascii="Times New Roman" w:eastAsia="Calibri" w:hAnsi="Times New Roman" w:cs="Times New Roman"/>
          <w:bCs/>
          <w:i/>
          <w:iCs/>
          <w:sz w:val="24"/>
          <w:szCs w:val="24"/>
          <w:lang w:val="en-GB"/>
        </w:rPr>
        <w:t>50</w:t>
      </w:r>
      <w:r w:rsidRPr="001C069B">
        <w:rPr>
          <w:rFonts w:ascii="Times New Roman" w:eastAsia="Calibri" w:hAnsi="Times New Roman" w:cs="Times New Roman"/>
          <w:bCs/>
          <w:iCs/>
          <w:sz w:val="24"/>
          <w:szCs w:val="24"/>
          <w:lang w:val="en-GB"/>
        </w:rPr>
        <w:t>(5), 1735–1743.</w:t>
      </w:r>
      <w:r w:rsidR="00E06A43" w:rsidRPr="00E06A43">
        <w:t xml:space="preserve"> </w:t>
      </w:r>
      <w:hyperlink r:id="rId13" w:history="1">
        <w:r w:rsidR="00E06A43" w:rsidRPr="00132695">
          <w:rPr>
            <w:rStyle w:val="Hyperlink"/>
            <w:rFonts w:ascii="Times New Roman" w:eastAsia="Calibri" w:hAnsi="Times New Roman" w:cs="Times New Roman"/>
            <w:bCs/>
            <w:iCs/>
            <w:sz w:val="24"/>
            <w:szCs w:val="24"/>
            <w:lang w:val="en-GB"/>
          </w:rPr>
          <w:t>https://doi.org/10.2135/cropsci2009.09.0523</w:t>
        </w:r>
      </w:hyperlink>
      <w:r w:rsidR="00E06A43">
        <w:rPr>
          <w:rFonts w:ascii="Times New Roman" w:eastAsia="Calibri" w:hAnsi="Times New Roman" w:cs="Times New Roman"/>
          <w:bCs/>
          <w:iCs/>
          <w:sz w:val="24"/>
          <w:szCs w:val="24"/>
          <w:lang w:val="en-GB"/>
        </w:rPr>
        <w:t xml:space="preserve"> </w:t>
      </w:r>
    </w:p>
    <w:p w14:paraId="59089672" w14:textId="6CC94617" w:rsidR="002D3ADA" w:rsidRPr="001C069B" w:rsidRDefault="002D3ADA" w:rsidP="000D63C5">
      <w:pPr>
        <w:spacing w:after="200" w:line="360" w:lineRule="auto"/>
        <w:jc w:val="both"/>
        <w:rPr>
          <w:rFonts w:ascii="Times New Roman" w:eastAsia="Calibri" w:hAnsi="Times New Roman" w:cs="Times New Roman"/>
          <w:bCs/>
          <w:i/>
          <w:iCs/>
          <w:sz w:val="24"/>
          <w:szCs w:val="24"/>
          <w:lang w:val="en-GB"/>
        </w:rPr>
      </w:pPr>
      <w:r w:rsidRPr="002D3ADA">
        <w:rPr>
          <w:rFonts w:ascii="Times New Roman" w:eastAsia="Calibri" w:hAnsi="Times New Roman" w:cs="Times New Roman"/>
          <w:bCs/>
          <w:sz w:val="24"/>
          <w:szCs w:val="24"/>
          <w:lang w:val="en-US"/>
        </w:rPr>
        <w:t>Bozkurt, M. L., Muth, P., Parzies, H. K., &amp; Haussmann, B. I. G. (2015). Genetic diversity of East and West African</w:t>
      </w:r>
      <w:r w:rsidRPr="002D3ADA">
        <w:rPr>
          <w:rFonts w:ascii="Times New Roman" w:eastAsia="Calibri" w:hAnsi="Times New Roman" w:cs="Times New Roman"/>
          <w:bCs/>
          <w:i/>
          <w:iCs/>
          <w:sz w:val="24"/>
          <w:szCs w:val="24"/>
          <w:lang w:val="en-US"/>
        </w:rPr>
        <w:t xml:space="preserve"> Striga hermonthica </w:t>
      </w:r>
      <w:r w:rsidRPr="002D3ADA">
        <w:rPr>
          <w:rFonts w:ascii="Times New Roman" w:eastAsia="Calibri" w:hAnsi="Times New Roman" w:cs="Times New Roman"/>
          <w:bCs/>
          <w:sz w:val="24"/>
          <w:szCs w:val="24"/>
          <w:lang w:val="en-US"/>
        </w:rPr>
        <w:t>populations and virulence effects on a contrasting set of sorghum cultivars</w:t>
      </w:r>
      <w:r w:rsidRPr="002D3ADA">
        <w:rPr>
          <w:rFonts w:ascii="Times New Roman" w:eastAsia="Calibri" w:hAnsi="Times New Roman" w:cs="Times New Roman"/>
          <w:bCs/>
          <w:i/>
          <w:iCs/>
          <w:sz w:val="24"/>
          <w:szCs w:val="24"/>
          <w:lang w:val="en-US"/>
        </w:rPr>
        <w:t xml:space="preserve">. </w:t>
      </w:r>
      <w:r w:rsidRPr="001C069B">
        <w:rPr>
          <w:rFonts w:ascii="Times New Roman" w:eastAsia="Calibri" w:hAnsi="Times New Roman" w:cs="Times New Roman"/>
          <w:bCs/>
          <w:i/>
          <w:iCs/>
          <w:sz w:val="24"/>
          <w:szCs w:val="24"/>
          <w:lang w:val="en-GB"/>
        </w:rPr>
        <w:t xml:space="preserve">Weed Research, 55(1), </w:t>
      </w:r>
      <w:r w:rsidRPr="001C069B">
        <w:rPr>
          <w:rFonts w:ascii="Times New Roman" w:eastAsia="Calibri" w:hAnsi="Times New Roman" w:cs="Times New Roman"/>
          <w:bCs/>
          <w:sz w:val="24"/>
          <w:szCs w:val="24"/>
          <w:lang w:val="en-GB"/>
        </w:rPr>
        <w:t>71–81</w:t>
      </w:r>
      <w:r w:rsidRPr="001C069B">
        <w:rPr>
          <w:rFonts w:ascii="Times New Roman" w:eastAsia="Calibri" w:hAnsi="Times New Roman" w:cs="Times New Roman"/>
          <w:bCs/>
          <w:i/>
          <w:iCs/>
          <w:sz w:val="24"/>
          <w:szCs w:val="24"/>
          <w:lang w:val="en-GB"/>
        </w:rPr>
        <w:t xml:space="preserve">. </w:t>
      </w:r>
      <w:hyperlink r:id="rId14" w:history="1">
        <w:r w:rsidR="00EB4B01" w:rsidRPr="001C069B">
          <w:rPr>
            <w:rStyle w:val="Hyperlink"/>
            <w:rFonts w:ascii="Times New Roman" w:eastAsia="Calibri" w:hAnsi="Times New Roman" w:cs="Times New Roman"/>
            <w:bCs/>
            <w:i/>
            <w:iCs/>
            <w:sz w:val="24"/>
            <w:szCs w:val="24"/>
            <w:lang w:val="en-GB"/>
          </w:rPr>
          <w:t>https://doi.org/10.1111/wre.12117</w:t>
        </w:r>
      </w:hyperlink>
      <w:r w:rsidR="00EB4B01" w:rsidRPr="001C069B">
        <w:rPr>
          <w:rFonts w:ascii="Times New Roman" w:eastAsia="Calibri" w:hAnsi="Times New Roman" w:cs="Times New Roman"/>
          <w:bCs/>
          <w:i/>
          <w:iCs/>
          <w:sz w:val="24"/>
          <w:szCs w:val="24"/>
          <w:lang w:val="en-GB"/>
        </w:rPr>
        <w:t xml:space="preserve">. </w:t>
      </w:r>
    </w:p>
    <w:p w14:paraId="3D44A1C7"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Cochrane, V., &amp; Press, M. C. (1997). Geographical distribution and aspects of the ecology of the hemiparasitic angiosperm Striga asiatica (L.) Kuntze: a herbarium study. Journal of Tropical Ecology, 13(3), 371–380. https://doi.org/10.1017/S0266467400010579</w:t>
      </w:r>
    </w:p>
    <w:p w14:paraId="7EB09F66"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De Groote, H., Wangare, L., Kanampiu, F., Odendo, M., Diallo, A., Karaya, H., &amp; Friesen, D. (2008). The potential of a herbicide resistant maize technology for Striga control in Africa. Agricultural Systems, 97(1-2), 83–94. https://doi.org/10.1016/j.agsy.2007.09.003</w:t>
      </w:r>
    </w:p>
    <w:p w14:paraId="5B7E7D29"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Dellaporta, S. L., Wood, J., &amp; Hicks, J. B. (1983). A plant DNA minipreparation: Version II. Plant Molecular Biology Reporter, 1(4), 19–21. https://doi.org/10.1007/BF02712670</w:t>
      </w:r>
    </w:p>
    <w:p w14:paraId="2EE5F556"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Ejeta, G. (2007). Breeding for Striga resistance in sorghum: Exploitation of an intricate host–parasite biology. Crop Science, 47(S3), S216–S227. https://doi.org/10.2135/cropsci2007.04.0011IPBS</w:t>
      </w:r>
    </w:p>
    <w:p w14:paraId="2357D3E9"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Estep, M. C., Van Mourik, T. A., &amp; Muth, P. (2011). Genetic diversity of a parasitic weed, Striga hermonthica, on sorghum and pearl millet in Mali. Tropical Plant Biology https://doi.org/10.1007/s12042-011-9073-6</w:t>
      </w:r>
    </w:p>
    <w:p w14:paraId="6C468D1D"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Gethi, J. G., Smith, S. E., Mitchell, S. E., &amp; Kresovich, S. (2005). Genetic diversity of Striga hermonthica and Striga asiatica populations in Kenya. Weed Research, 45(1), 64–73. https://doi.org/10.1111/j.1365-3180.2004.00432.x</w:t>
      </w:r>
    </w:p>
    <w:p w14:paraId="1572FCF1"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Gressel, J., Hanafi, A., Head, G., Marasas, W., Obilana, A. B., Ochanda, J., Souissi, T., &amp; Tzotzos, G. (2004). Major heretofore intractable biotic constraints to African food security that may be amenable to novel biotechnological solutions. Crop Protection, 23(7), 661–689. https://doi.org/10.1016/j.cropro.2003.11.014</w:t>
      </w:r>
    </w:p>
    <w:p w14:paraId="6F6E0C79"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Haussmann, B. I. G., Hess, D. E., Welz, H. G., &amp; Geiger, H. H. (2000). Improved methodologies for breeding Striga-resistant sorghums. Field Crops Research, 66(3), 195–211. https://doi.org/10.1016/S0378-4290(00)00076-9</w:t>
      </w:r>
    </w:p>
    <w:p w14:paraId="1B67A127"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071A61">
        <w:rPr>
          <w:rFonts w:ascii="Times New Roman" w:eastAsia="Times New Roman" w:hAnsi="Times New Roman" w:cs="Times New Roman"/>
          <w:sz w:val="24"/>
          <w:szCs w:val="24"/>
          <w:lang w:eastAsia="fr-FR"/>
        </w:rPr>
        <w:lastRenderedPageBreak/>
        <w:t xml:space="preserve">Institut National de la Statistique (INS). </w:t>
      </w:r>
      <w:r w:rsidRPr="00A67EAE">
        <w:rPr>
          <w:rFonts w:ascii="Times New Roman" w:eastAsia="Times New Roman" w:hAnsi="Times New Roman" w:cs="Times New Roman"/>
          <w:sz w:val="24"/>
          <w:szCs w:val="24"/>
          <w:lang w:val="en-US" w:eastAsia="fr-FR"/>
        </w:rPr>
        <w:t xml:space="preserve">(2018). </w:t>
      </w:r>
      <w:r w:rsidRPr="00A67EAE">
        <w:rPr>
          <w:rFonts w:ascii="Times New Roman" w:eastAsia="Times New Roman" w:hAnsi="Times New Roman" w:cs="Times New Roman"/>
          <w:i/>
          <w:iCs/>
          <w:sz w:val="24"/>
          <w:szCs w:val="24"/>
          <w:lang w:val="en-US" w:eastAsia="fr-FR"/>
        </w:rPr>
        <w:t>Niger</w:t>
      </w:r>
      <w:r w:rsidRPr="00A67EAE">
        <w:rPr>
          <w:rFonts w:ascii="Times New Roman" w:eastAsia="Times New Roman" w:hAnsi="Times New Roman" w:cs="Times New Roman"/>
          <w:sz w:val="24"/>
          <w:szCs w:val="24"/>
          <w:lang w:val="en-US" w:eastAsia="fr-FR"/>
        </w:rPr>
        <w:t xml:space="preserve">. Retrieved November 17, 2018, from </w:t>
      </w:r>
      <w:hyperlink r:id="rId15" w:tgtFrame="_blank" w:history="1">
        <w:r w:rsidRPr="00A67EAE">
          <w:rPr>
            <w:rFonts w:ascii="Times New Roman" w:eastAsia="Times New Roman" w:hAnsi="Times New Roman" w:cs="Times New Roman"/>
            <w:color w:val="0000FF"/>
            <w:sz w:val="24"/>
            <w:szCs w:val="24"/>
            <w:u w:val="single"/>
            <w:lang w:val="en-US" w:eastAsia="fr-FR"/>
          </w:rPr>
          <w:t>https://www.populationdata.net/pays/niger</w:t>
        </w:r>
      </w:hyperlink>
    </w:p>
    <w:p w14:paraId="719E19F3"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Joel, K. A., Runo, S., &amp; Muchugi, A. (2018). Genetic diversity and virulence of </w:t>
      </w:r>
      <w:r w:rsidRPr="00A67EAE">
        <w:rPr>
          <w:rFonts w:ascii="Times New Roman" w:eastAsia="Times New Roman" w:hAnsi="Times New Roman" w:cs="Times New Roman"/>
          <w:i/>
          <w:iCs/>
          <w:sz w:val="24"/>
          <w:szCs w:val="24"/>
          <w:lang w:val="en-US" w:eastAsia="fr-FR"/>
        </w:rPr>
        <w:t>Striga hermonthica</w:t>
      </w:r>
      <w:r w:rsidRPr="00A67EAE">
        <w:rPr>
          <w:rFonts w:ascii="Times New Roman" w:eastAsia="Times New Roman" w:hAnsi="Times New Roman" w:cs="Times New Roman"/>
          <w:sz w:val="24"/>
          <w:szCs w:val="24"/>
          <w:lang w:val="en-US" w:eastAsia="fr-FR"/>
        </w:rPr>
        <w:t xml:space="preserve"> from Kenya and Uganda on selected sorghum varieties. </w:t>
      </w:r>
      <w:r w:rsidRPr="00A67EAE">
        <w:rPr>
          <w:rFonts w:ascii="Times New Roman" w:eastAsia="Times New Roman" w:hAnsi="Times New Roman" w:cs="Times New Roman"/>
          <w:i/>
          <w:iCs/>
          <w:sz w:val="24"/>
          <w:szCs w:val="24"/>
          <w:lang w:val="en-US" w:eastAsia="fr-FR"/>
        </w:rPr>
        <w:t>NUS Bioscience</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10</w:t>
      </w:r>
      <w:r w:rsidRPr="00A67EAE">
        <w:rPr>
          <w:rFonts w:ascii="Times New Roman" w:eastAsia="Times New Roman" w:hAnsi="Times New Roman" w:cs="Times New Roman"/>
          <w:sz w:val="24"/>
          <w:szCs w:val="24"/>
          <w:lang w:val="en-US" w:eastAsia="fr-FR"/>
        </w:rPr>
        <w:t xml:space="preserve">(2), 111–120. </w:t>
      </w:r>
      <w:hyperlink r:id="rId16" w:tgtFrame="_blank" w:history="1">
        <w:r w:rsidRPr="00A67EAE">
          <w:rPr>
            <w:rFonts w:ascii="Times New Roman" w:eastAsia="Times New Roman" w:hAnsi="Times New Roman" w:cs="Times New Roman"/>
            <w:color w:val="0000FF"/>
            <w:sz w:val="24"/>
            <w:szCs w:val="24"/>
            <w:u w:val="single"/>
            <w:lang w:val="en-US" w:eastAsia="fr-FR"/>
          </w:rPr>
          <w:t>https://doi.org/10.13057/nusbiosci/n100208</w:t>
        </w:r>
      </w:hyperlink>
    </w:p>
    <w:p w14:paraId="595675BD" w14:textId="77777777" w:rsidR="000D63C5" w:rsidRPr="001C069B"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A67EAE">
        <w:rPr>
          <w:rFonts w:ascii="Times New Roman" w:eastAsia="Times New Roman" w:hAnsi="Times New Roman" w:cs="Times New Roman"/>
          <w:sz w:val="24"/>
          <w:szCs w:val="24"/>
          <w:lang w:val="en-US" w:eastAsia="fr-FR"/>
        </w:rPr>
        <w:t xml:space="preserve">Welsh, A. B., &amp; Mohamed, K. I. (2011). Genetic diversity of </w:t>
      </w:r>
      <w:r w:rsidRPr="00A67EAE">
        <w:rPr>
          <w:rFonts w:ascii="Times New Roman" w:eastAsia="Times New Roman" w:hAnsi="Times New Roman" w:cs="Times New Roman"/>
          <w:i/>
          <w:iCs/>
          <w:sz w:val="24"/>
          <w:szCs w:val="24"/>
          <w:lang w:val="en-US" w:eastAsia="fr-FR"/>
        </w:rPr>
        <w:t>Striga hermonthica</w:t>
      </w:r>
      <w:r w:rsidRPr="00A67EAE">
        <w:rPr>
          <w:rFonts w:ascii="Times New Roman" w:eastAsia="Times New Roman" w:hAnsi="Times New Roman" w:cs="Times New Roman"/>
          <w:sz w:val="24"/>
          <w:szCs w:val="24"/>
          <w:lang w:val="en-US" w:eastAsia="fr-FR"/>
        </w:rPr>
        <w:t xml:space="preserve"> populations in Ethiopia: Evaluating the role of geography and host specificity in shaping population structure. </w:t>
      </w:r>
      <w:r w:rsidRPr="001C069B">
        <w:rPr>
          <w:rFonts w:ascii="Times New Roman" w:eastAsia="Times New Roman" w:hAnsi="Times New Roman" w:cs="Times New Roman"/>
          <w:i/>
          <w:iCs/>
          <w:sz w:val="24"/>
          <w:szCs w:val="24"/>
          <w:lang w:val="en-GB" w:eastAsia="fr-FR"/>
        </w:rPr>
        <w:t>International Journal of Plant Sciences</w:t>
      </w:r>
      <w:r w:rsidRPr="001C069B">
        <w:rPr>
          <w:rFonts w:ascii="Times New Roman" w:eastAsia="Times New Roman" w:hAnsi="Times New Roman" w:cs="Times New Roman"/>
          <w:sz w:val="24"/>
          <w:szCs w:val="24"/>
          <w:lang w:val="en-GB" w:eastAsia="fr-FR"/>
        </w:rPr>
        <w:t xml:space="preserve">, </w:t>
      </w:r>
      <w:r w:rsidRPr="001C069B">
        <w:rPr>
          <w:rFonts w:ascii="Times New Roman" w:eastAsia="Times New Roman" w:hAnsi="Times New Roman" w:cs="Times New Roman"/>
          <w:i/>
          <w:iCs/>
          <w:sz w:val="24"/>
          <w:szCs w:val="24"/>
          <w:lang w:val="en-GB" w:eastAsia="fr-FR"/>
        </w:rPr>
        <w:t>172</w:t>
      </w:r>
      <w:r w:rsidRPr="001C069B">
        <w:rPr>
          <w:rFonts w:ascii="Times New Roman" w:eastAsia="Times New Roman" w:hAnsi="Times New Roman" w:cs="Times New Roman"/>
          <w:sz w:val="24"/>
          <w:szCs w:val="24"/>
          <w:lang w:val="en-GB" w:eastAsia="fr-FR"/>
        </w:rPr>
        <w:t xml:space="preserve">(6), 773–782. </w:t>
      </w:r>
      <w:hyperlink r:id="rId17" w:tgtFrame="_blank" w:history="1">
        <w:r w:rsidRPr="001C069B">
          <w:rPr>
            <w:rFonts w:ascii="Times New Roman" w:eastAsia="Times New Roman" w:hAnsi="Times New Roman" w:cs="Times New Roman"/>
            <w:color w:val="0000FF"/>
            <w:sz w:val="24"/>
            <w:szCs w:val="24"/>
            <w:u w:val="single"/>
            <w:lang w:val="en-GB" w:eastAsia="fr-FR"/>
          </w:rPr>
          <w:t>https://doi.org/10.1086/660104</w:t>
        </w:r>
      </w:hyperlink>
      <w:r w:rsidRPr="001C069B">
        <w:rPr>
          <w:rFonts w:ascii="Times New Roman" w:eastAsia="Times New Roman" w:hAnsi="Times New Roman" w:cs="Times New Roman"/>
          <w:sz w:val="24"/>
          <w:szCs w:val="24"/>
          <w:lang w:val="en-GB" w:eastAsia="fr-FR"/>
        </w:rPr>
        <w:t xml:space="preserve">   </w:t>
      </w:r>
    </w:p>
    <w:p w14:paraId="64EFB43E" w14:textId="77777777" w:rsidR="000D63C5" w:rsidRPr="00A67EAE" w:rsidRDefault="000D63C5" w:rsidP="000D63C5">
      <w:pPr>
        <w:spacing w:after="200" w:line="360" w:lineRule="auto"/>
        <w:jc w:val="both"/>
        <w:rPr>
          <w:rFonts w:ascii="Times New Roman" w:eastAsia="Calibri" w:hAnsi="Times New Roman" w:cs="Times New Roman"/>
          <w:bCs/>
          <w:iCs/>
          <w:sz w:val="24"/>
          <w:szCs w:val="24"/>
          <w:lang w:val="en-US"/>
        </w:rPr>
      </w:pPr>
      <w:r w:rsidRPr="00A67EAE">
        <w:rPr>
          <w:rFonts w:ascii="Times New Roman" w:eastAsia="Times New Roman" w:hAnsi="Times New Roman" w:cs="Times New Roman"/>
          <w:sz w:val="24"/>
          <w:szCs w:val="24"/>
          <w:lang w:val="en-US" w:eastAsia="fr-FR"/>
        </w:rPr>
        <w:t xml:space="preserve">Leffler, E. M., Bullaughey, K., Matute, D. R., Meyer, W. K., Ségurel, L., Venkat, A., ... </w:t>
      </w:r>
      <w:r w:rsidRPr="00E06A43">
        <w:rPr>
          <w:rFonts w:ascii="Times New Roman" w:eastAsia="Times New Roman" w:hAnsi="Times New Roman" w:cs="Times New Roman"/>
          <w:sz w:val="24"/>
          <w:szCs w:val="24"/>
          <w:lang w:val="en-IN" w:eastAsia="fr-FR"/>
        </w:rPr>
        <w:t xml:space="preserve">&amp; others. </w:t>
      </w:r>
      <w:r w:rsidRPr="00A67EAE">
        <w:rPr>
          <w:rFonts w:ascii="Times New Roman" w:eastAsia="Times New Roman" w:hAnsi="Times New Roman" w:cs="Times New Roman"/>
          <w:sz w:val="24"/>
          <w:szCs w:val="24"/>
          <w:lang w:val="en-US" w:eastAsia="fr-FR"/>
        </w:rPr>
        <w:t xml:space="preserve">(2012). Revisiting an old riddle: What determines genetic diversity levels within species? </w:t>
      </w:r>
      <w:r w:rsidRPr="00A67EAE">
        <w:rPr>
          <w:rFonts w:ascii="Times New Roman" w:eastAsia="Times New Roman" w:hAnsi="Times New Roman" w:cs="Times New Roman"/>
          <w:i/>
          <w:iCs/>
          <w:sz w:val="24"/>
          <w:szCs w:val="24"/>
          <w:lang w:val="en-US" w:eastAsia="fr-FR"/>
        </w:rPr>
        <w:t>PLOS Biology</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10</w:t>
      </w:r>
      <w:r w:rsidRPr="00A67EAE">
        <w:rPr>
          <w:rFonts w:ascii="Times New Roman" w:eastAsia="Times New Roman" w:hAnsi="Times New Roman" w:cs="Times New Roman"/>
          <w:sz w:val="24"/>
          <w:szCs w:val="24"/>
          <w:lang w:val="en-US" w:eastAsia="fr-FR"/>
        </w:rPr>
        <w:t xml:space="preserve">(9), e1001388. </w:t>
      </w:r>
      <w:hyperlink r:id="rId18" w:tgtFrame="_blank" w:history="1">
        <w:r w:rsidRPr="00A67EAE">
          <w:rPr>
            <w:rFonts w:ascii="Times New Roman" w:eastAsia="Times New Roman" w:hAnsi="Times New Roman" w:cs="Times New Roman"/>
            <w:color w:val="0000FF"/>
            <w:sz w:val="24"/>
            <w:szCs w:val="24"/>
            <w:u w:val="single"/>
            <w:lang w:val="en-US" w:eastAsia="fr-FR"/>
          </w:rPr>
          <w:t>https://doi.org/10.1371/journal.pbio.1001388</w:t>
        </w:r>
      </w:hyperlink>
    </w:p>
    <w:p w14:paraId="7F5B7678"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Nei, M. (1973). Analysis of gene diversity in subdivided populations. Proceedings of the National Academy of Sciences, 70(12), 3321–3323. https://doi.org/10.1073/pnas.70.12.3321</w:t>
      </w:r>
    </w:p>
    <w:p w14:paraId="20319B69"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Nei, M. (1978). Estimation of average heterozygosity and genetic distance from a small number of individuals. Genetics, 89(3), 583–590. https://doi.org/10.1093/genetics/89.3.583</w:t>
      </w:r>
    </w:p>
    <w:p w14:paraId="4D32C982"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Parker, C. (2012). Parasitic weeds: A world challenge. Weed Science, 60(2), 269–276. https://doi.org/10.1614/WS-D-11-00068.1</w:t>
      </w:r>
    </w:p>
    <w:p w14:paraId="3B5B2B68" w14:textId="77777777" w:rsidR="000D63C5" w:rsidRPr="00071A61"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A67EAE">
        <w:rPr>
          <w:rFonts w:ascii="Times New Roman" w:eastAsia="Times New Roman" w:hAnsi="Times New Roman" w:cs="Times New Roman"/>
          <w:sz w:val="24"/>
          <w:szCs w:val="24"/>
          <w:lang w:val="en-US" w:eastAsia="fr-FR"/>
        </w:rPr>
        <w:t xml:space="preserve">Pennisi, E. (2010). Armed and dangerous. </w:t>
      </w:r>
      <w:r w:rsidRPr="00071A61">
        <w:rPr>
          <w:rFonts w:ascii="Times New Roman" w:eastAsia="Times New Roman" w:hAnsi="Times New Roman" w:cs="Times New Roman"/>
          <w:i/>
          <w:iCs/>
          <w:sz w:val="24"/>
          <w:szCs w:val="24"/>
          <w:lang w:eastAsia="fr-FR"/>
        </w:rPr>
        <w:t>Science</w:t>
      </w:r>
      <w:r w:rsidRPr="00071A61">
        <w:rPr>
          <w:rFonts w:ascii="Times New Roman" w:eastAsia="Times New Roman" w:hAnsi="Times New Roman" w:cs="Times New Roman"/>
          <w:sz w:val="24"/>
          <w:szCs w:val="24"/>
          <w:lang w:eastAsia="fr-FR"/>
        </w:rPr>
        <w:t xml:space="preserve">, </w:t>
      </w:r>
      <w:r w:rsidRPr="00071A61">
        <w:rPr>
          <w:rFonts w:ascii="Times New Roman" w:eastAsia="Times New Roman" w:hAnsi="Times New Roman" w:cs="Times New Roman"/>
          <w:i/>
          <w:iCs/>
          <w:sz w:val="24"/>
          <w:szCs w:val="24"/>
          <w:lang w:eastAsia="fr-FR"/>
        </w:rPr>
        <w:t>327</w:t>
      </w:r>
      <w:r w:rsidRPr="00071A61">
        <w:rPr>
          <w:rFonts w:ascii="Times New Roman" w:eastAsia="Times New Roman" w:hAnsi="Times New Roman" w:cs="Times New Roman"/>
          <w:sz w:val="24"/>
          <w:szCs w:val="24"/>
          <w:lang w:eastAsia="fr-FR"/>
        </w:rPr>
        <w:t xml:space="preserve">(5967), 804–805. </w:t>
      </w:r>
      <w:hyperlink r:id="rId19" w:tgtFrame="_blank" w:history="1">
        <w:r w:rsidRPr="00071A61">
          <w:rPr>
            <w:rFonts w:ascii="Times New Roman" w:eastAsia="Times New Roman" w:hAnsi="Times New Roman" w:cs="Times New Roman"/>
            <w:color w:val="0000FF"/>
            <w:sz w:val="24"/>
            <w:szCs w:val="24"/>
            <w:u w:val="single"/>
            <w:lang w:eastAsia="fr-FR"/>
          </w:rPr>
          <w:t>https://doi.org/10.1126/science.327.5967.804</w:t>
        </w:r>
      </w:hyperlink>
    </w:p>
    <w:p w14:paraId="339D1A16" w14:textId="77777777" w:rsidR="000D63C5" w:rsidRPr="00E06A43"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Ransom, J. K. (2000). Long‐term approaches for the control of </w:t>
      </w:r>
      <w:r w:rsidRPr="00A67EAE">
        <w:rPr>
          <w:rFonts w:ascii="Times New Roman" w:eastAsia="Times New Roman" w:hAnsi="Times New Roman" w:cs="Times New Roman"/>
          <w:i/>
          <w:iCs/>
          <w:sz w:val="24"/>
          <w:szCs w:val="24"/>
          <w:lang w:val="en-US" w:eastAsia="fr-FR"/>
        </w:rPr>
        <w:t>Striga</w:t>
      </w:r>
      <w:r w:rsidRPr="00A67EAE">
        <w:rPr>
          <w:rFonts w:ascii="Times New Roman" w:eastAsia="Times New Roman" w:hAnsi="Times New Roman" w:cs="Times New Roman"/>
          <w:sz w:val="24"/>
          <w:szCs w:val="24"/>
          <w:lang w:val="en-US" w:eastAsia="fr-FR"/>
        </w:rPr>
        <w:t xml:space="preserve"> in cereals: Field management options. </w:t>
      </w:r>
      <w:r w:rsidRPr="00E06A43">
        <w:rPr>
          <w:rFonts w:ascii="Times New Roman" w:eastAsia="Times New Roman" w:hAnsi="Times New Roman" w:cs="Times New Roman"/>
          <w:i/>
          <w:iCs/>
          <w:sz w:val="24"/>
          <w:szCs w:val="24"/>
          <w:lang w:val="en-US" w:eastAsia="fr-FR"/>
        </w:rPr>
        <w:t>Crop Protection</w:t>
      </w:r>
      <w:r w:rsidRPr="00E06A43">
        <w:rPr>
          <w:rFonts w:ascii="Times New Roman" w:eastAsia="Times New Roman" w:hAnsi="Times New Roman" w:cs="Times New Roman"/>
          <w:sz w:val="24"/>
          <w:szCs w:val="24"/>
          <w:lang w:val="en-US" w:eastAsia="fr-FR"/>
        </w:rPr>
        <w:t xml:space="preserve">, </w:t>
      </w:r>
      <w:r w:rsidRPr="00E06A43">
        <w:rPr>
          <w:rFonts w:ascii="Times New Roman" w:eastAsia="Times New Roman" w:hAnsi="Times New Roman" w:cs="Times New Roman"/>
          <w:i/>
          <w:iCs/>
          <w:sz w:val="24"/>
          <w:szCs w:val="24"/>
          <w:lang w:val="en-US" w:eastAsia="fr-FR"/>
        </w:rPr>
        <w:t>19</w:t>
      </w:r>
      <w:r w:rsidRPr="00E06A43">
        <w:rPr>
          <w:rFonts w:ascii="Times New Roman" w:eastAsia="Times New Roman" w:hAnsi="Times New Roman" w:cs="Times New Roman"/>
          <w:sz w:val="24"/>
          <w:szCs w:val="24"/>
          <w:lang w:val="en-US" w:eastAsia="fr-FR"/>
        </w:rPr>
        <w:t xml:space="preserve">(7), 759–763. </w:t>
      </w:r>
      <w:hyperlink r:id="rId20" w:tgtFrame="_blank" w:history="1">
        <w:r w:rsidRPr="00E06A43">
          <w:rPr>
            <w:rFonts w:ascii="Times New Roman" w:eastAsia="Times New Roman" w:hAnsi="Times New Roman" w:cs="Times New Roman"/>
            <w:color w:val="0000FF"/>
            <w:sz w:val="24"/>
            <w:szCs w:val="24"/>
            <w:u w:val="single"/>
            <w:lang w:val="en-US" w:eastAsia="fr-FR"/>
          </w:rPr>
          <w:t>https://doi.org/10.1016/S0261-2194(00)00101-0</w:t>
        </w:r>
      </w:hyperlink>
    </w:p>
    <w:p w14:paraId="2CFE87A6"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E06A43">
        <w:rPr>
          <w:rFonts w:ascii="Times New Roman" w:eastAsia="Times New Roman" w:hAnsi="Times New Roman" w:cs="Times New Roman"/>
          <w:sz w:val="24"/>
          <w:szCs w:val="24"/>
          <w:lang w:val="en-US" w:eastAsia="fr-FR"/>
        </w:rPr>
        <w:t xml:space="preserve">Rispail, N., Dita, M. A., González‐Verdejo, C., Pérez‐De‐Luque, A., Castillejo, M. A., Prats, E., ... </w:t>
      </w:r>
      <w:r w:rsidRPr="00E06A43">
        <w:rPr>
          <w:rFonts w:ascii="Times New Roman" w:eastAsia="Times New Roman" w:hAnsi="Times New Roman" w:cs="Times New Roman"/>
          <w:sz w:val="24"/>
          <w:szCs w:val="24"/>
          <w:lang w:val="en-IN" w:eastAsia="fr-FR"/>
        </w:rPr>
        <w:t xml:space="preserve">&amp; Rubiales, D. (2007). </w:t>
      </w:r>
      <w:r w:rsidRPr="00A67EAE">
        <w:rPr>
          <w:rFonts w:ascii="Times New Roman" w:eastAsia="Times New Roman" w:hAnsi="Times New Roman" w:cs="Times New Roman"/>
          <w:sz w:val="24"/>
          <w:szCs w:val="24"/>
          <w:lang w:val="en-US" w:eastAsia="fr-FR"/>
        </w:rPr>
        <w:t xml:space="preserve">Plant resistance to parasitic plants: Molecular approaches to an old foe: Research review. </w:t>
      </w:r>
      <w:r w:rsidRPr="00A67EAE">
        <w:rPr>
          <w:rFonts w:ascii="Times New Roman" w:eastAsia="Times New Roman" w:hAnsi="Times New Roman" w:cs="Times New Roman"/>
          <w:i/>
          <w:iCs/>
          <w:sz w:val="24"/>
          <w:szCs w:val="24"/>
          <w:lang w:val="en-US" w:eastAsia="fr-FR"/>
        </w:rPr>
        <w:t>New Phytologist</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173</w:t>
      </w:r>
      <w:r w:rsidRPr="00A67EAE">
        <w:rPr>
          <w:rFonts w:ascii="Times New Roman" w:eastAsia="Times New Roman" w:hAnsi="Times New Roman" w:cs="Times New Roman"/>
          <w:sz w:val="24"/>
          <w:szCs w:val="24"/>
          <w:lang w:val="en-US" w:eastAsia="fr-FR"/>
        </w:rPr>
        <w:t xml:space="preserve">(4), 703–712. </w:t>
      </w:r>
      <w:hyperlink r:id="rId21" w:tgtFrame="_blank" w:history="1">
        <w:r w:rsidRPr="00A67EAE">
          <w:rPr>
            <w:rFonts w:ascii="Times New Roman" w:eastAsia="Times New Roman" w:hAnsi="Times New Roman" w:cs="Times New Roman"/>
            <w:color w:val="0000FF"/>
            <w:sz w:val="24"/>
            <w:szCs w:val="24"/>
            <w:u w:val="single"/>
            <w:lang w:val="en-US" w:eastAsia="fr-FR"/>
          </w:rPr>
          <w:t>https://doi.org/10.1111/j.1469-8137.2007.01980.x</w:t>
        </w:r>
      </w:hyperlink>
    </w:p>
    <w:p w14:paraId="3BA6B3FC"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Runo, S., Macharia, S., Alakonya, A., Machuka, S., Sinha, N., &amp; Scholes, J. (2012). </w:t>
      </w:r>
      <w:r w:rsidRPr="00A67EAE">
        <w:rPr>
          <w:rFonts w:ascii="Times New Roman" w:eastAsia="Times New Roman" w:hAnsi="Times New Roman" w:cs="Times New Roman"/>
          <w:i/>
          <w:iCs/>
          <w:sz w:val="24"/>
          <w:szCs w:val="24"/>
          <w:lang w:val="en-US" w:eastAsia="fr-FR"/>
        </w:rPr>
        <w:t>Striga</w:t>
      </w:r>
      <w:r w:rsidRPr="00A67EAE">
        <w:rPr>
          <w:rFonts w:ascii="Times New Roman" w:eastAsia="Times New Roman" w:hAnsi="Times New Roman" w:cs="Times New Roman"/>
          <w:sz w:val="24"/>
          <w:szCs w:val="24"/>
          <w:lang w:val="en-US" w:eastAsia="fr-FR"/>
        </w:rPr>
        <w:t xml:space="preserve"> parasitizes transgenic hairy roots of </w:t>
      </w:r>
      <w:r w:rsidRPr="00A67EAE">
        <w:rPr>
          <w:rFonts w:ascii="Times New Roman" w:eastAsia="Times New Roman" w:hAnsi="Times New Roman" w:cs="Times New Roman"/>
          <w:i/>
          <w:iCs/>
          <w:sz w:val="24"/>
          <w:szCs w:val="24"/>
          <w:lang w:val="en-US" w:eastAsia="fr-FR"/>
        </w:rPr>
        <w:t>Zea mays</w:t>
      </w:r>
      <w:r w:rsidRPr="00A67EAE">
        <w:rPr>
          <w:rFonts w:ascii="Times New Roman" w:eastAsia="Times New Roman" w:hAnsi="Times New Roman" w:cs="Times New Roman"/>
          <w:sz w:val="24"/>
          <w:szCs w:val="24"/>
          <w:lang w:val="en-US" w:eastAsia="fr-FR"/>
        </w:rPr>
        <w:t xml:space="preserve"> and provides a tool for studying plant-plant interactions. </w:t>
      </w:r>
      <w:r w:rsidRPr="00A67EAE">
        <w:rPr>
          <w:rFonts w:ascii="Times New Roman" w:eastAsia="Times New Roman" w:hAnsi="Times New Roman" w:cs="Times New Roman"/>
          <w:i/>
          <w:iCs/>
          <w:sz w:val="24"/>
          <w:szCs w:val="24"/>
          <w:lang w:val="en-US" w:eastAsia="fr-FR"/>
        </w:rPr>
        <w:t>Plant Methods</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8</w:t>
      </w:r>
      <w:r w:rsidRPr="00A67EAE">
        <w:rPr>
          <w:rFonts w:ascii="Times New Roman" w:eastAsia="Times New Roman" w:hAnsi="Times New Roman" w:cs="Times New Roman"/>
          <w:sz w:val="24"/>
          <w:szCs w:val="24"/>
          <w:lang w:val="en-US" w:eastAsia="fr-FR"/>
        </w:rPr>
        <w:t xml:space="preserve">(1), 20. </w:t>
      </w:r>
      <w:hyperlink r:id="rId22" w:tgtFrame="_blank" w:history="1">
        <w:r w:rsidRPr="00A67EAE">
          <w:rPr>
            <w:rFonts w:ascii="Times New Roman" w:eastAsia="Times New Roman" w:hAnsi="Times New Roman" w:cs="Times New Roman"/>
            <w:color w:val="0000FF"/>
            <w:sz w:val="24"/>
            <w:szCs w:val="24"/>
            <w:u w:val="single"/>
            <w:lang w:val="en-US" w:eastAsia="fr-FR"/>
          </w:rPr>
          <w:t>https://doi.org/10.1186/1746-4811-8-20</w:t>
        </w:r>
      </w:hyperlink>
    </w:p>
    <w:p w14:paraId="678543E2"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lastRenderedPageBreak/>
        <w:t>Safa, S. B., Jones, B. M. G., &amp; Musselman, L. J. (1984). Mechanisms Favouring Out Breeding In Striga Hermonthica (Scrophulariaceae). New Phytologist, 96(2), 299–305. https://doi.org/10.1111/j.1469-8137.1984.tb03567.x</w:t>
      </w:r>
    </w:p>
    <w:p w14:paraId="2BC48021"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Slatkin, M. (1987). Gene flow and the geographic structure of natural populations. Science, 236(4803), 787–792. https://doi.org/10.1126/science.3576198</w:t>
      </w:r>
    </w:p>
    <w:p w14:paraId="1B6BF678"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Teka, H. B. (2014). Advance research on Striga control: A review. African Journal of Plant Science, 8(11), 492–506. https://doi.org/10.5897/AJPS2014.1186</w:t>
      </w:r>
    </w:p>
    <w:p w14:paraId="4386ED8C"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Unachukwu, N. N., Menkir, A., Rabbi, I. Y., Oluoch, M., Muranaka, S., Elzein, A., Odhiambo, G., Farombi, E. O., &amp; Gedil, M. (2017). Genetic diversity and population structure of Striga hermonthica populations from Kenya and Nigeria. Weed Research, 55(1), 71–81. https://doi.org/10.1111/wre.12260</w:t>
      </w:r>
    </w:p>
    <w:p w14:paraId="0A6307A2" w14:textId="77777777" w:rsidR="0005430C" w:rsidRDefault="0005430C" w:rsidP="0005430C">
      <w:pPr>
        <w:jc w:val="both"/>
        <w:rPr>
          <w:rFonts w:ascii="Arial" w:eastAsia="Times New Roman" w:hAnsi="Arial" w:cs="Arial"/>
          <w:sz w:val="18"/>
          <w:szCs w:val="18"/>
        </w:rPr>
      </w:pPr>
      <w:r w:rsidRPr="000E4AF8">
        <w:rPr>
          <w:rFonts w:ascii="Arial" w:eastAsia="Times New Roman" w:hAnsi="Arial" w:cs="Arial"/>
          <w:sz w:val="18"/>
          <w:szCs w:val="18"/>
        </w:rPr>
        <w:t xml:space="preserve">Waples, R. S., &amp; Gaggiotti, O. (2006). </w:t>
      </w:r>
      <w:r w:rsidRPr="0005430C">
        <w:rPr>
          <w:rFonts w:ascii="Arial" w:eastAsia="Times New Roman" w:hAnsi="Arial" w:cs="Arial"/>
          <w:sz w:val="18"/>
          <w:szCs w:val="18"/>
          <w:lang w:val="en-IN"/>
        </w:rPr>
        <w:t xml:space="preserve">What is a population? An empirical evaluation of some genetic methods for identifying the number of gene pools and their degree of connectivity. </w:t>
      </w:r>
      <w:r>
        <w:rPr>
          <w:rFonts w:ascii="Arial" w:eastAsia="Times New Roman" w:hAnsi="Arial" w:cs="Arial"/>
          <w:sz w:val="18"/>
          <w:szCs w:val="18"/>
        </w:rPr>
        <w:t>Molecular Ecology, 15(6), 1419–1439. https://doi.org/10.1111/j.1365-294X.2006.02890.x</w:t>
      </w:r>
    </w:p>
    <w:p w14:paraId="3036AA8E" w14:textId="77777777" w:rsidR="000D63C5" w:rsidRPr="001C069B"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Welsh, A. B., &amp; Mohamed, K. I. (2011). Genetic diversity of </w:t>
      </w:r>
      <w:r w:rsidRPr="00A67EAE">
        <w:rPr>
          <w:rFonts w:ascii="Times New Roman" w:eastAsia="Times New Roman" w:hAnsi="Times New Roman" w:cs="Times New Roman"/>
          <w:i/>
          <w:iCs/>
          <w:sz w:val="24"/>
          <w:szCs w:val="24"/>
          <w:lang w:val="en-US" w:eastAsia="fr-FR"/>
        </w:rPr>
        <w:t>Striga hermonthica</w:t>
      </w:r>
      <w:r w:rsidRPr="00A67EAE">
        <w:rPr>
          <w:rFonts w:ascii="Times New Roman" w:eastAsia="Times New Roman" w:hAnsi="Times New Roman" w:cs="Times New Roman"/>
          <w:sz w:val="24"/>
          <w:szCs w:val="24"/>
          <w:lang w:val="en-US" w:eastAsia="fr-FR"/>
        </w:rPr>
        <w:t xml:space="preserve"> populations in Ethiopia: Evaluating the role of geography and host specificity in shaping population structure. </w:t>
      </w:r>
      <w:r w:rsidRPr="001C069B">
        <w:rPr>
          <w:rFonts w:ascii="Times New Roman" w:eastAsia="Times New Roman" w:hAnsi="Times New Roman" w:cs="Times New Roman"/>
          <w:i/>
          <w:iCs/>
          <w:sz w:val="24"/>
          <w:szCs w:val="24"/>
          <w:lang w:val="en-US" w:eastAsia="fr-FR"/>
        </w:rPr>
        <w:t>International Journal of Plant Sciences</w:t>
      </w:r>
      <w:r w:rsidRPr="001C069B">
        <w:rPr>
          <w:rFonts w:ascii="Times New Roman" w:eastAsia="Times New Roman" w:hAnsi="Times New Roman" w:cs="Times New Roman"/>
          <w:sz w:val="24"/>
          <w:szCs w:val="24"/>
          <w:lang w:val="en-US" w:eastAsia="fr-FR"/>
        </w:rPr>
        <w:t xml:space="preserve">, </w:t>
      </w:r>
      <w:r w:rsidRPr="001C069B">
        <w:rPr>
          <w:rFonts w:ascii="Times New Roman" w:eastAsia="Times New Roman" w:hAnsi="Times New Roman" w:cs="Times New Roman"/>
          <w:i/>
          <w:iCs/>
          <w:sz w:val="24"/>
          <w:szCs w:val="24"/>
          <w:lang w:val="en-US" w:eastAsia="fr-FR"/>
        </w:rPr>
        <w:t>172</w:t>
      </w:r>
      <w:r w:rsidRPr="001C069B">
        <w:rPr>
          <w:rFonts w:ascii="Times New Roman" w:eastAsia="Times New Roman" w:hAnsi="Times New Roman" w:cs="Times New Roman"/>
          <w:sz w:val="24"/>
          <w:szCs w:val="24"/>
          <w:lang w:val="en-US" w:eastAsia="fr-FR"/>
        </w:rPr>
        <w:t xml:space="preserve">(6), 773–782. </w:t>
      </w:r>
      <w:hyperlink r:id="rId23" w:tgtFrame="_blank" w:history="1">
        <w:r w:rsidRPr="001C069B">
          <w:rPr>
            <w:rFonts w:ascii="Times New Roman" w:eastAsia="Times New Roman" w:hAnsi="Times New Roman" w:cs="Times New Roman"/>
            <w:color w:val="0000FF"/>
            <w:sz w:val="24"/>
            <w:szCs w:val="24"/>
            <w:u w:val="single"/>
            <w:lang w:val="en-US" w:eastAsia="fr-FR"/>
          </w:rPr>
          <w:t>https://doi.org/10.1086/660104</w:t>
        </w:r>
      </w:hyperlink>
    </w:p>
    <w:p w14:paraId="3C39DF61"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Westwood, J. H., dePamphilis, C. W., Das, M., Fernández‐Aparicio, M., Honaas, L. A., Timko, M. P., ... </w:t>
      </w:r>
      <w:r w:rsidRPr="00E06A43">
        <w:rPr>
          <w:rFonts w:ascii="Times New Roman" w:eastAsia="Times New Roman" w:hAnsi="Times New Roman" w:cs="Times New Roman"/>
          <w:sz w:val="24"/>
          <w:szCs w:val="24"/>
          <w:lang w:val="en-IN" w:eastAsia="fr-FR"/>
        </w:rPr>
        <w:t xml:space="preserve">&amp; Yoder, J. I. (2012). </w:t>
      </w:r>
      <w:r w:rsidRPr="00A67EAE">
        <w:rPr>
          <w:rFonts w:ascii="Times New Roman" w:eastAsia="Times New Roman" w:hAnsi="Times New Roman" w:cs="Times New Roman"/>
          <w:sz w:val="24"/>
          <w:szCs w:val="24"/>
          <w:lang w:val="en-US" w:eastAsia="fr-FR"/>
        </w:rPr>
        <w:t xml:space="preserve">The parasitic plant genome project: New tools for understanding the biology of </w:t>
      </w:r>
      <w:r w:rsidRPr="00A67EAE">
        <w:rPr>
          <w:rFonts w:ascii="Times New Roman" w:eastAsia="Times New Roman" w:hAnsi="Times New Roman" w:cs="Times New Roman"/>
          <w:i/>
          <w:iCs/>
          <w:sz w:val="24"/>
          <w:szCs w:val="24"/>
          <w:lang w:val="en-US" w:eastAsia="fr-FR"/>
        </w:rPr>
        <w:t>Orobanche</w:t>
      </w:r>
      <w:r w:rsidRPr="00A67EAE">
        <w:rPr>
          <w:rFonts w:ascii="Times New Roman" w:eastAsia="Times New Roman" w:hAnsi="Times New Roman" w:cs="Times New Roman"/>
          <w:sz w:val="24"/>
          <w:szCs w:val="24"/>
          <w:lang w:val="en-US" w:eastAsia="fr-FR"/>
        </w:rPr>
        <w:t xml:space="preserve"> and </w:t>
      </w:r>
      <w:r w:rsidRPr="00A67EAE">
        <w:rPr>
          <w:rFonts w:ascii="Times New Roman" w:eastAsia="Times New Roman" w:hAnsi="Times New Roman" w:cs="Times New Roman"/>
          <w:i/>
          <w:iCs/>
          <w:sz w:val="24"/>
          <w:szCs w:val="24"/>
          <w:lang w:val="en-US" w:eastAsia="fr-FR"/>
        </w:rPr>
        <w:t>Striga</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Weed Science</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60</w:t>
      </w:r>
      <w:r w:rsidRPr="00A67EAE">
        <w:rPr>
          <w:rFonts w:ascii="Times New Roman" w:eastAsia="Times New Roman" w:hAnsi="Times New Roman" w:cs="Times New Roman"/>
          <w:sz w:val="24"/>
          <w:szCs w:val="24"/>
          <w:lang w:val="en-US" w:eastAsia="fr-FR"/>
        </w:rPr>
        <w:t xml:space="preserve">(2), 295–306. </w:t>
      </w:r>
      <w:hyperlink r:id="rId24" w:tgtFrame="_blank" w:history="1">
        <w:r w:rsidRPr="00A67EAE">
          <w:rPr>
            <w:rFonts w:ascii="Times New Roman" w:eastAsia="Times New Roman" w:hAnsi="Times New Roman" w:cs="Times New Roman"/>
            <w:color w:val="0000FF"/>
            <w:sz w:val="24"/>
            <w:szCs w:val="24"/>
            <w:u w:val="single"/>
            <w:lang w:val="en-US" w:eastAsia="fr-FR"/>
          </w:rPr>
          <w:t>https://doi.org/10.1614/WS-D-11-00113.1</w:t>
        </w:r>
      </w:hyperlink>
    </w:p>
    <w:p w14:paraId="0701AFC1"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Wright, S. (1965). The interpretation of population structure by F-statistics with special regard to systems of mating. Evolution, 19(3), 395–420. https://doi.org/10.1111/j.1558-5646.1965.tb01731.x</w:t>
      </w:r>
    </w:p>
    <w:p w14:paraId="14674AB3"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Wright, S. (1978). Evolution and the genetics of populations, Volume 4: Variability within and among natural populations. University of Chicago Press. https://press.uchicago.edu/ucp/books/book/chicago/E/bo5950004.html</w:t>
      </w:r>
    </w:p>
    <w:p w14:paraId="1F49675C" w14:textId="3214FA66" w:rsidR="0005430C" w:rsidRDefault="0005430C" w:rsidP="0005430C">
      <w:pPr>
        <w:jc w:val="both"/>
        <w:rPr>
          <w:rFonts w:ascii="Arial" w:eastAsia="Times New Roman" w:hAnsi="Arial" w:cs="Arial"/>
          <w:sz w:val="18"/>
          <w:szCs w:val="18"/>
        </w:rPr>
      </w:pPr>
      <w:r w:rsidRPr="000E4AF8">
        <w:rPr>
          <w:rFonts w:ascii="Arial" w:eastAsia="Times New Roman" w:hAnsi="Arial" w:cs="Arial"/>
          <w:sz w:val="18"/>
          <w:szCs w:val="18"/>
          <w:lang w:val="pt-BR"/>
        </w:rPr>
        <w:t xml:space="preserve">Yoshida, S., Ishida, J. K., Kamal, N. M., Ali, A. M., Namba, S., &amp; Shirasu, K. (2010). </w:t>
      </w:r>
      <w:r w:rsidRPr="0005430C">
        <w:rPr>
          <w:rFonts w:ascii="Arial" w:eastAsia="Times New Roman" w:hAnsi="Arial" w:cs="Arial"/>
          <w:sz w:val="18"/>
          <w:szCs w:val="18"/>
          <w:lang w:val="en-IN"/>
        </w:rPr>
        <w:t xml:space="preserve">A full-length enriched cDNA library and expressed sequence tag analysis of the parasitic weed, Striga hermonthica. </w:t>
      </w:r>
      <w:r>
        <w:rPr>
          <w:rFonts w:ascii="Arial" w:eastAsia="Times New Roman" w:hAnsi="Arial" w:cs="Arial"/>
          <w:sz w:val="18"/>
          <w:szCs w:val="18"/>
        </w:rPr>
        <w:t xml:space="preserve">BMC Plant Biology. </w:t>
      </w:r>
      <w:hyperlink r:id="rId25" w:history="1">
        <w:r w:rsidR="00054D3F" w:rsidRPr="0046697D">
          <w:rPr>
            <w:rStyle w:val="Hyperlink"/>
            <w:rFonts w:ascii="Arial" w:eastAsia="Times New Roman" w:hAnsi="Arial" w:cs="Arial"/>
            <w:sz w:val="18"/>
            <w:szCs w:val="18"/>
          </w:rPr>
          <w:t>https://doi.org/10.1186/1471-2229-10-55</w:t>
        </w:r>
      </w:hyperlink>
    </w:p>
    <w:p w14:paraId="7FEF7BBD" w14:textId="3AE0585D" w:rsidR="00054D3F" w:rsidRDefault="00054D3F" w:rsidP="0005430C">
      <w:pPr>
        <w:jc w:val="both"/>
        <w:rPr>
          <w:rFonts w:ascii="Arial" w:eastAsia="Times New Roman" w:hAnsi="Arial" w:cs="Arial"/>
          <w:sz w:val="18"/>
          <w:szCs w:val="18"/>
        </w:rPr>
      </w:pPr>
      <w:r w:rsidRPr="00EE1730">
        <w:rPr>
          <w:rFonts w:ascii="Arial" w:eastAsia="Times New Roman" w:hAnsi="Arial" w:cs="Arial"/>
          <w:sz w:val="18"/>
          <w:szCs w:val="18"/>
          <w:highlight w:val="yellow"/>
        </w:rPr>
        <w:t xml:space="preserve">Salamatou, S. S., Maina, F., Mohammed, R., Amadou, H. I., &amp; Bakasso, Y. (2025). Morphological Diversity of 23 Ecotypes of Striga hermonthica Collected in the 5 Regions of Niger. Journal of Experimental Agriculture International, 47(9), 222–233. </w:t>
      </w:r>
      <w:hyperlink r:id="rId26" w:history="1">
        <w:r w:rsidRPr="00EE1730">
          <w:rPr>
            <w:rStyle w:val="Hyperlink"/>
            <w:rFonts w:ascii="Arial" w:eastAsia="Times New Roman" w:hAnsi="Arial" w:cs="Arial"/>
            <w:sz w:val="18"/>
            <w:szCs w:val="18"/>
            <w:highlight w:val="yellow"/>
          </w:rPr>
          <w:t>https://doi.org/10.9734/jeai/2025/v47i93743</w:t>
        </w:r>
      </w:hyperlink>
      <w:r>
        <w:rPr>
          <w:rFonts w:ascii="Arial" w:eastAsia="Times New Roman" w:hAnsi="Arial" w:cs="Arial"/>
          <w:sz w:val="18"/>
          <w:szCs w:val="18"/>
        </w:rPr>
        <w:t xml:space="preserve"> </w:t>
      </w:r>
    </w:p>
    <w:p w14:paraId="4BAAA9A6" w14:textId="306883EB" w:rsidR="00AC6182" w:rsidRPr="004A65CF" w:rsidRDefault="00AC6182" w:rsidP="0005430C">
      <w:pPr>
        <w:jc w:val="both"/>
        <w:rPr>
          <w:rFonts w:ascii="Arial" w:eastAsia="Times New Roman" w:hAnsi="Arial" w:cs="Arial"/>
          <w:sz w:val="18"/>
          <w:szCs w:val="18"/>
          <w:highlight w:val="yellow"/>
        </w:rPr>
      </w:pPr>
      <w:r w:rsidRPr="004A65CF">
        <w:rPr>
          <w:rFonts w:ascii="Arial" w:eastAsia="Times New Roman" w:hAnsi="Arial" w:cs="Arial"/>
          <w:sz w:val="18"/>
          <w:szCs w:val="18"/>
          <w:highlight w:val="yellow"/>
        </w:rPr>
        <w:t>Mitiku, G., Rybka, D., Klein</w:t>
      </w:r>
      <w:r w:rsidRPr="004A65CF">
        <w:rPr>
          <w:rFonts w:ascii="Cambria Math" w:eastAsia="Times New Roman" w:hAnsi="Cambria Math" w:cs="Cambria Math"/>
          <w:sz w:val="18"/>
          <w:szCs w:val="18"/>
          <w:highlight w:val="yellow"/>
        </w:rPr>
        <w:t>‐</w:t>
      </w:r>
      <w:r w:rsidRPr="004A65CF">
        <w:rPr>
          <w:rFonts w:ascii="Arial" w:eastAsia="Times New Roman" w:hAnsi="Arial" w:cs="Arial"/>
          <w:sz w:val="18"/>
          <w:szCs w:val="18"/>
          <w:highlight w:val="yellow"/>
        </w:rPr>
        <w:t>Gunnewiek, P., Tessema, T., Raaijmakers, J. M., &amp; Etalo, D. W. (2022). Molecular detection and quantification of the Striga seedbank in agricultural soils. Weed Research, 62(3), 181-191.</w:t>
      </w:r>
    </w:p>
    <w:p w14:paraId="3499A13E" w14:textId="4D6E7031" w:rsidR="00AC6182" w:rsidRDefault="00AC6182" w:rsidP="0005430C">
      <w:pPr>
        <w:jc w:val="both"/>
        <w:rPr>
          <w:rFonts w:ascii="Arial" w:eastAsia="Times New Roman" w:hAnsi="Arial" w:cs="Arial"/>
          <w:sz w:val="18"/>
          <w:szCs w:val="18"/>
        </w:rPr>
      </w:pPr>
      <w:r w:rsidRPr="004A65CF">
        <w:rPr>
          <w:rFonts w:ascii="Arial" w:eastAsia="Times New Roman" w:hAnsi="Arial" w:cs="Arial"/>
          <w:sz w:val="18"/>
          <w:szCs w:val="18"/>
          <w:highlight w:val="yellow"/>
        </w:rPr>
        <w:t>Ahmed, A., Elsafy, M., Zhourghane, A., Abdalla, A. A., Abreha, K. B., Geleta, M., ... &amp; Abdelhalim, T. S. (2025). Exploring the genetic variability of sudanese wild sorghum (sorghum bicolor (L.) moench) germplasm for post-attachment striga hermonthica resistance mechanisms using single sequence repeat (SSR) primers. Genetic Resources and Crop Evolution, 72(4), 4583-4595.</w:t>
      </w:r>
    </w:p>
    <w:p w14:paraId="20D2E7A3" w14:textId="77777777" w:rsidR="00AC6182" w:rsidRDefault="00AC6182" w:rsidP="0005430C">
      <w:pPr>
        <w:jc w:val="both"/>
        <w:rPr>
          <w:rFonts w:ascii="Arial" w:eastAsia="Times New Roman" w:hAnsi="Arial" w:cs="Arial"/>
          <w:sz w:val="18"/>
          <w:szCs w:val="18"/>
        </w:rPr>
      </w:pPr>
    </w:p>
    <w:p w14:paraId="0C4A67C4" w14:textId="77777777" w:rsidR="000D63C5" w:rsidRPr="00A67EAE" w:rsidRDefault="000D63C5" w:rsidP="000D63C5">
      <w:pPr>
        <w:spacing w:after="200" w:line="360" w:lineRule="auto"/>
        <w:jc w:val="both"/>
        <w:rPr>
          <w:rFonts w:ascii="Times New Roman" w:eastAsia="Calibri" w:hAnsi="Times New Roman" w:cs="Times New Roman"/>
          <w:sz w:val="24"/>
          <w:szCs w:val="24"/>
          <w:lang w:val="en-US"/>
        </w:rPr>
      </w:pP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61312" behindDoc="0" locked="0" layoutInCell="1" allowOverlap="1" wp14:anchorId="4F02E5F8" wp14:editId="3D3D36F5">
                <wp:simplePos x="0" y="0"/>
                <wp:positionH relativeFrom="column">
                  <wp:posOffset>183654</wp:posOffset>
                </wp:positionH>
                <wp:positionV relativeFrom="paragraph">
                  <wp:posOffset>1989402</wp:posOffset>
                </wp:positionV>
                <wp:extent cx="1075764" cy="330200"/>
                <wp:effectExtent l="0" t="0" r="10160" b="12700"/>
                <wp:wrapNone/>
                <wp:docPr id="5" name="Zone de texte 5"/>
                <wp:cNvGraphicFramePr/>
                <a:graphic xmlns:a="http://schemas.openxmlformats.org/drawingml/2006/main">
                  <a:graphicData uri="http://schemas.microsoft.com/office/word/2010/wordprocessingShape">
                    <wps:wsp>
                      <wps:cNvSpPr txBox="1"/>
                      <wps:spPr>
                        <a:xfrm>
                          <a:off x="0" y="0"/>
                          <a:ext cx="1075764" cy="330200"/>
                        </a:xfrm>
                        <a:prstGeom prst="rect">
                          <a:avLst/>
                        </a:prstGeom>
                        <a:solidFill>
                          <a:sysClr val="window" lastClr="FFFFFF"/>
                        </a:solidFill>
                        <a:ln w="6350">
                          <a:solidFill>
                            <a:sysClr val="window" lastClr="FFFFFF"/>
                          </a:solidFill>
                        </a:ln>
                        <a:effectLst/>
                      </wps:spPr>
                      <wps:txbx>
                        <w:txbxContent>
                          <w:p w14:paraId="7618D06D" w14:textId="77777777" w:rsidR="00E06A43" w:rsidRPr="00182A9F" w:rsidRDefault="00E06A43" w:rsidP="000D63C5">
                            <w:pPr>
                              <w:spacing w:line="240" w:lineRule="auto"/>
                              <w:rPr>
                                <w:sz w:val="16"/>
                                <w:szCs w:val="16"/>
                              </w:rPr>
                            </w:pPr>
                            <w:r>
                              <w:rPr>
                                <w:sz w:val="16"/>
                                <w:szCs w:val="16"/>
                              </w:rPr>
                              <w:t xml:space="preserve">      </w:t>
                            </w:r>
                          </w:p>
                          <w:p w14:paraId="3100C9EE" w14:textId="77777777" w:rsidR="00E06A43" w:rsidRDefault="00E06A43" w:rsidP="000D63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2E5F8" id="_x0000_t202" coordsize="21600,21600" o:spt="202" path="m,l,21600r21600,l21600,xe">
                <v:stroke joinstyle="miter"/>
                <v:path gradientshapeok="t" o:connecttype="rect"/>
              </v:shapetype>
              <v:shape id="Zone de texte 5" o:spid="_x0000_s1026" type="#_x0000_t202" style="position:absolute;left:0;text-align:left;margin-left:14.45pt;margin-top:156.65pt;width:84.7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" fillcolor="window" strokecolor="window" strokeweight=".5pt">
                <v:textbox>
                  <w:txbxContent>
                    <w:p w14:paraId="7618D06D" w14:textId="77777777" w:rsidR="00E06A43" w:rsidRPr="00182A9F" w:rsidRDefault="00E06A43" w:rsidP="000D63C5">
                      <w:pPr>
                        <w:spacing w:line="240" w:lineRule="auto"/>
                        <w:rPr>
                          <w:sz w:val="16"/>
                          <w:szCs w:val="16"/>
                        </w:rPr>
                      </w:pPr>
                      <w:r>
                        <w:rPr>
                          <w:sz w:val="16"/>
                          <w:szCs w:val="16"/>
                        </w:rPr>
                        <w:t xml:space="preserve">      </w:t>
                      </w:r>
                    </w:p>
                    <w:p w14:paraId="3100C9EE" w14:textId="77777777" w:rsidR="00E06A43" w:rsidRDefault="00E06A43" w:rsidP="000D63C5"/>
                  </w:txbxContent>
                </v:textbox>
              </v:shape>
            </w:pict>
          </mc:Fallback>
        </mc:AlternateContent>
      </w: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59264" behindDoc="0" locked="0" layoutInCell="1" allowOverlap="1" wp14:anchorId="70722300" wp14:editId="65B5BA92">
                <wp:simplePos x="0" y="0"/>
                <wp:positionH relativeFrom="column">
                  <wp:posOffset>222074</wp:posOffset>
                </wp:positionH>
                <wp:positionV relativeFrom="paragraph">
                  <wp:posOffset>836797</wp:posOffset>
                </wp:positionV>
                <wp:extent cx="581025" cy="468726"/>
                <wp:effectExtent l="0" t="0" r="28575" b="26670"/>
                <wp:wrapNone/>
                <wp:docPr id="2" name="Rectangle 2"/>
                <wp:cNvGraphicFramePr/>
                <a:graphic xmlns:a="http://schemas.openxmlformats.org/drawingml/2006/main">
                  <a:graphicData uri="http://schemas.microsoft.com/office/word/2010/wordprocessingShape">
                    <wps:wsp>
                      <wps:cNvSpPr/>
                      <wps:spPr>
                        <a:xfrm>
                          <a:off x="0" y="0"/>
                          <a:ext cx="581025" cy="468726"/>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5DA806" id="Rectangle 2" o:spid="_x0000_s1026" style="position:absolute;margin-left:17.5pt;margin-top:65.9pt;width:45.7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" fillcolor="window" strokecolor="window" strokeweight="1pt"/>
            </w:pict>
          </mc:Fallback>
        </mc:AlternateContent>
      </w: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62336" behindDoc="0" locked="0" layoutInCell="1" allowOverlap="1" wp14:anchorId="07C371BF" wp14:editId="6FEF65C7">
                <wp:simplePos x="0" y="0"/>
                <wp:positionH relativeFrom="column">
                  <wp:posOffset>2450444</wp:posOffset>
                </wp:positionH>
                <wp:positionV relativeFrom="paragraph">
                  <wp:posOffset>2304191</wp:posOffset>
                </wp:positionV>
                <wp:extent cx="169048" cy="0"/>
                <wp:effectExtent l="0" t="0" r="21590" b="19050"/>
                <wp:wrapNone/>
                <wp:docPr id="10" name="Connecteur droit 10"/>
                <wp:cNvGraphicFramePr/>
                <a:graphic xmlns:a="http://schemas.openxmlformats.org/drawingml/2006/main">
                  <a:graphicData uri="http://schemas.microsoft.com/office/word/2010/wordprocessingShape">
                    <wps:wsp>
                      <wps:cNvCnPr/>
                      <wps:spPr>
                        <a:xfrm flipH="1">
                          <a:off x="0" y="0"/>
                          <a:ext cx="169048"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BC5BAF" id="Connecteur droit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181.45pt" to="206.25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" strokecolor="#5b9bd5" strokeweight=".5pt">
                <v:stroke joinstyle="miter"/>
              </v:line>
            </w:pict>
          </mc:Fallback>
        </mc:AlternateContent>
      </w: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60288" behindDoc="0" locked="0" layoutInCell="1" allowOverlap="1" wp14:anchorId="4E2088BD" wp14:editId="512AA7D4">
                <wp:simplePos x="0" y="0"/>
                <wp:positionH relativeFrom="column">
                  <wp:posOffset>3881211</wp:posOffset>
                </wp:positionH>
                <wp:positionV relativeFrom="paragraph">
                  <wp:posOffset>3234599</wp:posOffset>
                </wp:positionV>
                <wp:extent cx="1018903" cy="182336"/>
                <wp:effectExtent l="0" t="0" r="10160" b="27305"/>
                <wp:wrapNone/>
                <wp:docPr id="3" name="Rectangle 3"/>
                <wp:cNvGraphicFramePr/>
                <a:graphic xmlns:a="http://schemas.openxmlformats.org/drawingml/2006/main">
                  <a:graphicData uri="http://schemas.microsoft.com/office/word/2010/wordprocessingShape">
                    <wps:wsp>
                      <wps:cNvSpPr/>
                      <wps:spPr>
                        <a:xfrm>
                          <a:off x="0" y="0"/>
                          <a:ext cx="1018903" cy="182336"/>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D7FACE" id="Rectangle 3" o:spid="_x0000_s1026" style="position:absolute;margin-left:305.6pt;margin-top:254.7pt;width:80.2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" fillcolor="window" strokecolor="window" strokeweight="1pt"/>
            </w:pict>
          </mc:Fallback>
        </mc:AlternateContent>
      </w:r>
    </w:p>
    <w:p w14:paraId="1D7B6FF8" w14:textId="77777777" w:rsidR="009A66C2" w:rsidRPr="00A67EAE" w:rsidRDefault="009A66C2" w:rsidP="000D63C5">
      <w:pPr>
        <w:spacing w:line="360" w:lineRule="auto"/>
        <w:jc w:val="both"/>
        <w:rPr>
          <w:rFonts w:ascii="Times New Roman" w:hAnsi="Times New Roman" w:cs="Times New Roman"/>
          <w:sz w:val="24"/>
          <w:szCs w:val="24"/>
          <w:lang w:val="en-US"/>
        </w:rPr>
      </w:pPr>
    </w:p>
    <w:sectPr w:rsidR="009A66C2" w:rsidRPr="00A67EAE">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882E" w14:textId="77777777" w:rsidR="00D41DD0" w:rsidRDefault="00D41DD0" w:rsidP="00277832">
      <w:pPr>
        <w:spacing w:after="0" w:line="240" w:lineRule="auto"/>
      </w:pPr>
      <w:r>
        <w:separator/>
      </w:r>
    </w:p>
  </w:endnote>
  <w:endnote w:type="continuationSeparator" w:id="0">
    <w:p w14:paraId="40760740" w14:textId="77777777" w:rsidR="00D41DD0" w:rsidRDefault="00D41DD0" w:rsidP="0027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DCE1" w14:textId="77777777" w:rsidR="003414C8" w:rsidRDefault="00341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91D2" w14:textId="77777777" w:rsidR="003414C8" w:rsidRDefault="00341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AED9" w14:textId="77777777" w:rsidR="003414C8" w:rsidRDefault="00341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A54AF" w14:textId="77777777" w:rsidR="00D41DD0" w:rsidRDefault="00D41DD0" w:rsidP="00277832">
      <w:pPr>
        <w:spacing w:after="0" w:line="240" w:lineRule="auto"/>
      </w:pPr>
      <w:r>
        <w:separator/>
      </w:r>
    </w:p>
  </w:footnote>
  <w:footnote w:type="continuationSeparator" w:id="0">
    <w:p w14:paraId="77114BDF" w14:textId="77777777" w:rsidR="00D41DD0" w:rsidRDefault="00D41DD0" w:rsidP="0027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64E6" w14:textId="19310BEC" w:rsidR="003414C8" w:rsidRDefault="00E350FB">
    <w:pPr>
      <w:pStyle w:val="Header"/>
    </w:pPr>
    <w:r>
      <w:rPr>
        <w:noProof/>
      </w:rPr>
      <w:pict w14:anchorId="2448D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70311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8F44" w14:textId="5C6B6DAF" w:rsidR="003414C8" w:rsidRDefault="00E350FB">
    <w:pPr>
      <w:pStyle w:val="Header"/>
    </w:pPr>
    <w:r>
      <w:rPr>
        <w:noProof/>
      </w:rPr>
      <w:pict w14:anchorId="4467C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70311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0EAF" w14:textId="44DF1E69" w:rsidR="003414C8" w:rsidRDefault="00E350FB">
    <w:pPr>
      <w:pStyle w:val="Header"/>
    </w:pPr>
    <w:r>
      <w:rPr>
        <w:noProof/>
      </w:rPr>
      <w:pict w14:anchorId="72DA8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70310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E53A0"/>
    <w:multiLevelType w:val="multilevel"/>
    <w:tmpl w:val="E59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NzWxsDA0NjW0sLRQ0lEKTi0uzszPAykwqgUAf1HKrywAAAA="/>
  </w:docVars>
  <w:rsids>
    <w:rsidRoot w:val="00200421"/>
    <w:rsid w:val="000115E8"/>
    <w:rsid w:val="00037CEC"/>
    <w:rsid w:val="0005430C"/>
    <w:rsid w:val="00054D3F"/>
    <w:rsid w:val="000555A3"/>
    <w:rsid w:val="000569F7"/>
    <w:rsid w:val="00071A61"/>
    <w:rsid w:val="000A53F6"/>
    <w:rsid w:val="000D2ACC"/>
    <w:rsid w:val="000D63C5"/>
    <w:rsid w:val="000E79AD"/>
    <w:rsid w:val="001227AB"/>
    <w:rsid w:val="00122880"/>
    <w:rsid w:val="0012542E"/>
    <w:rsid w:val="00137817"/>
    <w:rsid w:val="00146361"/>
    <w:rsid w:val="00165528"/>
    <w:rsid w:val="00177108"/>
    <w:rsid w:val="001A00AB"/>
    <w:rsid w:val="001A2ACC"/>
    <w:rsid w:val="001B06EE"/>
    <w:rsid w:val="001C069B"/>
    <w:rsid w:val="001D43CA"/>
    <w:rsid w:val="001D5F8F"/>
    <w:rsid w:val="001D72C0"/>
    <w:rsid w:val="00200421"/>
    <w:rsid w:val="0020388B"/>
    <w:rsid w:val="00212233"/>
    <w:rsid w:val="0021786F"/>
    <w:rsid w:val="00221052"/>
    <w:rsid w:val="002233A3"/>
    <w:rsid w:val="00234E36"/>
    <w:rsid w:val="0025076B"/>
    <w:rsid w:val="00256C9F"/>
    <w:rsid w:val="00267AB3"/>
    <w:rsid w:val="002765D4"/>
    <w:rsid w:val="00277832"/>
    <w:rsid w:val="00284BB3"/>
    <w:rsid w:val="002853FA"/>
    <w:rsid w:val="002912DF"/>
    <w:rsid w:val="00291D4B"/>
    <w:rsid w:val="002A14F9"/>
    <w:rsid w:val="002D177D"/>
    <w:rsid w:val="002D364C"/>
    <w:rsid w:val="002D3ADA"/>
    <w:rsid w:val="002D650B"/>
    <w:rsid w:val="002E2DAF"/>
    <w:rsid w:val="002F5450"/>
    <w:rsid w:val="00305EA1"/>
    <w:rsid w:val="003414C8"/>
    <w:rsid w:val="0034163A"/>
    <w:rsid w:val="00343B09"/>
    <w:rsid w:val="00354A55"/>
    <w:rsid w:val="003605F7"/>
    <w:rsid w:val="00364C8B"/>
    <w:rsid w:val="0037611B"/>
    <w:rsid w:val="00381329"/>
    <w:rsid w:val="00394454"/>
    <w:rsid w:val="00397430"/>
    <w:rsid w:val="003B0B24"/>
    <w:rsid w:val="003B18A1"/>
    <w:rsid w:val="003C5401"/>
    <w:rsid w:val="003D4880"/>
    <w:rsid w:val="003E654C"/>
    <w:rsid w:val="003F32E1"/>
    <w:rsid w:val="003F727D"/>
    <w:rsid w:val="00414876"/>
    <w:rsid w:val="00421969"/>
    <w:rsid w:val="00477C56"/>
    <w:rsid w:val="00484B08"/>
    <w:rsid w:val="004A100C"/>
    <w:rsid w:val="004A1EB9"/>
    <w:rsid w:val="004A29A5"/>
    <w:rsid w:val="004A65CF"/>
    <w:rsid w:val="004B1705"/>
    <w:rsid w:val="004C2DE9"/>
    <w:rsid w:val="004E3412"/>
    <w:rsid w:val="004F0FA9"/>
    <w:rsid w:val="004F5016"/>
    <w:rsid w:val="00521790"/>
    <w:rsid w:val="005326A7"/>
    <w:rsid w:val="0054253A"/>
    <w:rsid w:val="0056192C"/>
    <w:rsid w:val="005672F4"/>
    <w:rsid w:val="005919A5"/>
    <w:rsid w:val="00597D77"/>
    <w:rsid w:val="005B1CFE"/>
    <w:rsid w:val="005C5FB4"/>
    <w:rsid w:val="005D1905"/>
    <w:rsid w:val="005D6015"/>
    <w:rsid w:val="005E7035"/>
    <w:rsid w:val="005F4DB3"/>
    <w:rsid w:val="006043D8"/>
    <w:rsid w:val="00620947"/>
    <w:rsid w:val="0062125B"/>
    <w:rsid w:val="0062438C"/>
    <w:rsid w:val="00630555"/>
    <w:rsid w:val="00651BA9"/>
    <w:rsid w:val="00662DEB"/>
    <w:rsid w:val="00680A9C"/>
    <w:rsid w:val="00686302"/>
    <w:rsid w:val="006958BD"/>
    <w:rsid w:val="00697AF5"/>
    <w:rsid w:val="006A1ABC"/>
    <w:rsid w:val="006A5DBB"/>
    <w:rsid w:val="006C0D63"/>
    <w:rsid w:val="006C1361"/>
    <w:rsid w:val="006C63E7"/>
    <w:rsid w:val="006D068D"/>
    <w:rsid w:val="006E705F"/>
    <w:rsid w:val="006E7F8B"/>
    <w:rsid w:val="007031C4"/>
    <w:rsid w:val="00727603"/>
    <w:rsid w:val="0073457A"/>
    <w:rsid w:val="007365A7"/>
    <w:rsid w:val="007475C2"/>
    <w:rsid w:val="00747CC1"/>
    <w:rsid w:val="00753E61"/>
    <w:rsid w:val="00755C85"/>
    <w:rsid w:val="00760EC3"/>
    <w:rsid w:val="00761FB6"/>
    <w:rsid w:val="007673E8"/>
    <w:rsid w:val="007B5FD2"/>
    <w:rsid w:val="007F32F1"/>
    <w:rsid w:val="00805185"/>
    <w:rsid w:val="00821A30"/>
    <w:rsid w:val="00824AF5"/>
    <w:rsid w:val="00826394"/>
    <w:rsid w:val="00835006"/>
    <w:rsid w:val="00842030"/>
    <w:rsid w:val="00842CE8"/>
    <w:rsid w:val="00850CCB"/>
    <w:rsid w:val="00863F69"/>
    <w:rsid w:val="00880BF9"/>
    <w:rsid w:val="008A160F"/>
    <w:rsid w:val="008A68AF"/>
    <w:rsid w:val="008B49E6"/>
    <w:rsid w:val="008C2495"/>
    <w:rsid w:val="008D2D40"/>
    <w:rsid w:val="00915A29"/>
    <w:rsid w:val="00916CAA"/>
    <w:rsid w:val="00923701"/>
    <w:rsid w:val="00931DE2"/>
    <w:rsid w:val="00955654"/>
    <w:rsid w:val="00957330"/>
    <w:rsid w:val="009725AA"/>
    <w:rsid w:val="00984E80"/>
    <w:rsid w:val="009866AC"/>
    <w:rsid w:val="00996890"/>
    <w:rsid w:val="009A66C2"/>
    <w:rsid w:val="009B1409"/>
    <w:rsid w:val="009C7D6B"/>
    <w:rsid w:val="009E4165"/>
    <w:rsid w:val="009F0063"/>
    <w:rsid w:val="009F7D22"/>
    <w:rsid w:val="00A30C10"/>
    <w:rsid w:val="00A55404"/>
    <w:rsid w:val="00A67EAE"/>
    <w:rsid w:val="00A843C3"/>
    <w:rsid w:val="00A85E21"/>
    <w:rsid w:val="00A952F5"/>
    <w:rsid w:val="00AA0A56"/>
    <w:rsid w:val="00AA6512"/>
    <w:rsid w:val="00AA65DF"/>
    <w:rsid w:val="00AA68DA"/>
    <w:rsid w:val="00AB0FCF"/>
    <w:rsid w:val="00AC6182"/>
    <w:rsid w:val="00AD554C"/>
    <w:rsid w:val="00B22B67"/>
    <w:rsid w:val="00B36C2D"/>
    <w:rsid w:val="00B65A1A"/>
    <w:rsid w:val="00BC1EC0"/>
    <w:rsid w:val="00BC5FA7"/>
    <w:rsid w:val="00BD5E4A"/>
    <w:rsid w:val="00BD6FCB"/>
    <w:rsid w:val="00BF2118"/>
    <w:rsid w:val="00C06D9C"/>
    <w:rsid w:val="00C10A18"/>
    <w:rsid w:val="00C32A79"/>
    <w:rsid w:val="00C4229E"/>
    <w:rsid w:val="00C43A1C"/>
    <w:rsid w:val="00C56865"/>
    <w:rsid w:val="00C62451"/>
    <w:rsid w:val="00C632DE"/>
    <w:rsid w:val="00C66CE7"/>
    <w:rsid w:val="00C75DF5"/>
    <w:rsid w:val="00C806BE"/>
    <w:rsid w:val="00C83341"/>
    <w:rsid w:val="00C978AD"/>
    <w:rsid w:val="00CB4E6C"/>
    <w:rsid w:val="00CE0706"/>
    <w:rsid w:val="00CF0BBE"/>
    <w:rsid w:val="00CF39F8"/>
    <w:rsid w:val="00CF4049"/>
    <w:rsid w:val="00D207E7"/>
    <w:rsid w:val="00D26EF2"/>
    <w:rsid w:val="00D35A9E"/>
    <w:rsid w:val="00D41DD0"/>
    <w:rsid w:val="00D51B87"/>
    <w:rsid w:val="00D610DD"/>
    <w:rsid w:val="00D86518"/>
    <w:rsid w:val="00D911C4"/>
    <w:rsid w:val="00D91B2C"/>
    <w:rsid w:val="00D933A2"/>
    <w:rsid w:val="00DA0D65"/>
    <w:rsid w:val="00DA22FE"/>
    <w:rsid w:val="00DA4234"/>
    <w:rsid w:val="00DC4BB7"/>
    <w:rsid w:val="00DC5D1D"/>
    <w:rsid w:val="00DE0C88"/>
    <w:rsid w:val="00DE296A"/>
    <w:rsid w:val="00DE3462"/>
    <w:rsid w:val="00DE63C4"/>
    <w:rsid w:val="00E039F1"/>
    <w:rsid w:val="00E06A43"/>
    <w:rsid w:val="00E118EF"/>
    <w:rsid w:val="00E16CC4"/>
    <w:rsid w:val="00E31718"/>
    <w:rsid w:val="00E350FB"/>
    <w:rsid w:val="00E61C54"/>
    <w:rsid w:val="00E624B5"/>
    <w:rsid w:val="00E7606B"/>
    <w:rsid w:val="00E80ABB"/>
    <w:rsid w:val="00E8367C"/>
    <w:rsid w:val="00EA63FE"/>
    <w:rsid w:val="00EB4B01"/>
    <w:rsid w:val="00EC3491"/>
    <w:rsid w:val="00ED58BE"/>
    <w:rsid w:val="00EE1730"/>
    <w:rsid w:val="00EF6B5C"/>
    <w:rsid w:val="00F013A3"/>
    <w:rsid w:val="00F115CD"/>
    <w:rsid w:val="00F12BCF"/>
    <w:rsid w:val="00F1313B"/>
    <w:rsid w:val="00F22D12"/>
    <w:rsid w:val="00F5096D"/>
    <w:rsid w:val="00F700F4"/>
    <w:rsid w:val="00F74424"/>
    <w:rsid w:val="00F76665"/>
    <w:rsid w:val="00F77E0B"/>
    <w:rsid w:val="00F85063"/>
    <w:rsid w:val="00F93A60"/>
    <w:rsid w:val="00FA3F26"/>
    <w:rsid w:val="00FC632A"/>
    <w:rsid w:val="00FD35AE"/>
    <w:rsid w:val="00FD5863"/>
    <w:rsid w:val="00FE1DAF"/>
    <w:rsid w:val="00FF0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012B6"/>
  <w15:chartTrackingRefBased/>
  <w15:docId w15:val="{3E8D9739-EA73-4B54-8AA5-B5B3DF28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6B"/>
  </w:style>
  <w:style w:type="paragraph" w:styleId="Heading1">
    <w:name w:val="heading 1"/>
    <w:basedOn w:val="Normal"/>
    <w:next w:val="Normal"/>
    <w:link w:val="Heading1Char"/>
    <w:uiPriority w:val="9"/>
    <w:qFormat/>
    <w:rsid w:val="009866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4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F39F8"/>
    <w:rPr>
      <w:b/>
      <w:bCs/>
    </w:rPr>
  </w:style>
  <w:style w:type="table" w:styleId="PlainTable2">
    <w:name w:val="Plain Table 2"/>
    <w:basedOn w:val="TableNormal"/>
    <w:uiPriority w:val="42"/>
    <w:rsid w:val="009A66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42">
    <w:name w:val="Grille du tableau42"/>
    <w:basedOn w:val="TableNormal"/>
    <w:uiPriority w:val="39"/>
    <w:rsid w:val="009A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8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7832"/>
  </w:style>
  <w:style w:type="paragraph" w:styleId="Footer">
    <w:name w:val="footer"/>
    <w:basedOn w:val="Normal"/>
    <w:link w:val="FooterChar"/>
    <w:uiPriority w:val="99"/>
    <w:unhideWhenUsed/>
    <w:rsid w:val="002778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7832"/>
  </w:style>
  <w:style w:type="paragraph" w:styleId="Revision">
    <w:name w:val="Revision"/>
    <w:hidden/>
    <w:uiPriority w:val="99"/>
    <w:semiHidden/>
    <w:rsid w:val="00DC4BB7"/>
    <w:pPr>
      <w:spacing w:after="0" w:line="240" w:lineRule="auto"/>
    </w:pPr>
  </w:style>
  <w:style w:type="character" w:customStyle="1" w:styleId="Heading1Char">
    <w:name w:val="Heading 1 Char"/>
    <w:basedOn w:val="DefaultParagraphFont"/>
    <w:link w:val="Heading1"/>
    <w:uiPriority w:val="9"/>
    <w:rsid w:val="009866A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866AC"/>
    <w:rPr>
      <w:sz w:val="16"/>
      <w:szCs w:val="16"/>
    </w:rPr>
  </w:style>
  <w:style w:type="paragraph" w:styleId="CommentText">
    <w:name w:val="annotation text"/>
    <w:basedOn w:val="Normal"/>
    <w:link w:val="CommentTextChar"/>
    <w:uiPriority w:val="99"/>
    <w:semiHidden/>
    <w:unhideWhenUsed/>
    <w:rsid w:val="009866AC"/>
    <w:pPr>
      <w:spacing w:line="240" w:lineRule="auto"/>
    </w:pPr>
    <w:rPr>
      <w:sz w:val="20"/>
      <w:szCs w:val="20"/>
    </w:rPr>
  </w:style>
  <w:style w:type="character" w:customStyle="1" w:styleId="CommentTextChar">
    <w:name w:val="Comment Text Char"/>
    <w:basedOn w:val="DefaultParagraphFont"/>
    <w:link w:val="CommentText"/>
    <w:uiPriority w:val="99"/>
    <w:semiHidden/>
    <w:rsid w:val="009866AC"/>
    <w:rPr>
      <w:sz w:val="20"/>
      <w:szCs w:val="20"/>
    </w:rPr>
  </w:style>
  <w:style w:type="paragraph" w:styleId="CommentSubject">
    <w:name w:val="annotation subject"/>
    <w:basedOn w:val="CommentText"/>
    <w:next w:val="CommentText"/>
    <w:link w:val="CommentSubjectChar"/>
    <w:uiPriority w:val="99"/>
    <w:semiHidden/>
    <w:unhideWhenUsed/>
    <w:rsid w:val="009866AC"/>
    <w:rPr>
      <w:b/>
      <w:bCs/>
    </w:rPr>
  </w:style>
  <w:style w:type="character" w:customStyle="1" w:styleId="CommentSubjectChar">
    <w:name w:val="Comment Subject Char"/>
    <w:basedOn w:val="CommentTextChar"/>
    <w:link w:val="CommentSubject"/>
    <w:uiPriority w:val="99"/>
    <w:semiHidden/>
    <w:rsid w:val="009866AC"/>
    <w:rPr>
      <w:b/>
      <w:bCs/>
      <w:sz w:val="20"/>
      <w:szCs w:val="20"/>
    </w:rPr>
  </w:style>
  <w:style w:type="table" w:styleId="TableGrid">
    <w:name w:val="Table Grid"/>
    <w:basedOn w:val="TableNormal"/>
    <w:uiPriority w:val="39"/>
    <w:rsid w:val="00BC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2038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B4B01"/>
    <w:rPr>
      <w:color w:val="0563C1" w:themeColor="hyperlink"/>
      <w:u w:val="single"/>
    </w:rPr>
  </w:style>
  <w:style w:type="character" w:styleId="UnresolvedMention">
    <w:name w:val="Unresolved Mention"/>
    <w:basedOn w:val="DefaultParagraphFont"/>
    <w:uiPriority w:val="99"/>
    <w:semiHidden/>
    <w:unhideWhenUsed/>
    <w:rsid w:val="00EB4B01"/>
    <w:rPr>
      <w:color w:val="605E5C"/>
      <w:shd w:val="clear" w:color="auto" w:fill="E1DFDD"/>
    </w:rPr>
  </w:style>
  <w:style w:type="paragraph" w:styleId="ListParagraph">
    <w:name w:val="List Paragraph"/>
    <w:basedOn w:val="Normal"/>
    <w:uiPriority w:val="34"/>
    <w:qFormat/>
    <w:rsid w:val="00E06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9749">
      <w:bodyDiv w:val="1"/>
      <w:marLeft w:val="0"/>
      <w:marRight w:val="0"/>
      <w:marTop w:val="0"/>
      <w:marBottom w:val="0"/>
      <w:divBdr>
        <w:top w:val="none" w:sz="0" w:space="0" w:color="auto"/>
        <w:left w:val="none" w:sz="0" w:space="0" w:color="auto"/>
        <w:bottom w:val="none" w:sz="0" w:space="0" w:color="auto"/>
        <w:right w:val="none" w:sz="0" w:space="0" w:color="auto"/>
      </w:divBdr>
    </w:div>
    <w:div w:id="89669085">
      <w:bodyDiv w:val="1"/>
      <w:marLeft w:val="0"/>
      <w:marRight w:val="0"/>
      <w:marTop w:val="0"/>
      <w:marBottom w:val="0"/>
      <w:divBdr>
        <w:top w:val="none" w:sz="0" w:space="0" w:color="auto"/>
        <w:left w:val="none" w:sz="0" w:space="0" w:color="auto"/>
        <w:bottom w:val="none" w:sz="0" w:space="0" w:color="auto"/>
        <w:right w:val="none" w:sz="0" w:space="0" w:color="auto"/>
      </w:divBdr>
    </w:div>
    <w:div w:id="231669807">
      <w:bodyDiv w:val="1"/>
      <w:marLeft w:val="0"/>
      <w:marRight w:val="0"/>
      <w:marTop w:val="0"/>
      <w:marBottom w:val="0"/>
      <w:divBdr>
        <w:top w:val="none" w:sz="0" w:space="0" w:color="auto"/>
        <w:left w:val="none" w:sz="0" w:space="0" w:color="auto"/>
        <w:bottom w:val="none" w:sz="0" w:space="0" w:color="auto"/>
        <w:right w:val="none" w:sz="0" w:space="0" w:color="auto"/>
      </w:divBdr>
    </w:div>
    <w:div w:id="267544688">
      <w:bodyDiv w:val="1"/>
      <w:marLeft w:val="0"/>
      <w:marRight w:val="0"/>
      <w:marTop w:val="0"/>
      <w:marBottom w:val="0"/>
      <w:divBdr>
        <w:top w:val="none" w:sz="0" w:space="0" w:color="auto"/>
        <w:left w:val="none" w:sz="0" w:space="0" w:color="auto"/>
        <w:bottom w:val="none" w:sz="0" w:space="0" w:color="auto"/>
        <w:right w:val="none" w:sz="0" w:space="0" w:color="auto"/>
      </w:divBdr>
    </w:div>
    <w:div w:id="809900980">
      <w:bodyDiv w:val="1"/>
      <w:marLeft w:val="0"/>
      <w:marRight w:val="0"/>
      <w:marTop w:val="0"/>
      <w:marBottom w:val="0"/>
      <w:divBdr>
        <w:top w:val="none" w:sz="0" w:space="0" w:color="auto"/>
        <w:left w:val="none" w:sz="0" w:space="0" w:color="auto"/>
        <w:bottom w:val="none" w:sz="0" w:space="0" w:color="auto"/>
        <w:right w:val="none" w:sz="0" w:space="0" w:color="auto"/>
      </w:divBdr>
      <w:divsChild>
        <w:div w:id="138618847">
          <w:marLeft w:val="0"/>
          <w:marRight w:val="0"/>
          <w:marTop w:val="0"/>
          <w:marBottom w:val="0"/>
          <w:divBdr>
            <w:top w:val="none" w:sz="0" w:space="0" w:color="auto"/>
            <w:left w:val="none" w:sz="0" w:space="0" w:color="auto"/>
            <w:bottom w:val="none" w:sz="0" w:space="0" w:color="auto"/>
            <w:right w:val="none" w:sz="0" w:space="0" w:color="auto"/>
          </w:divBdr>
          <w:divsChild>
            <w:div w:id="394665336">
              <w:marLeft w:val="0"/>
              <w:marRight w:val="0"/>
              <w:marTop w:val="0"/>
              <w:marBottom w:val="0"/>
              <w:divBdr>
                <w:top w:val="none" w:sz="0" w:space="0" w:color="auto"/>
                <w:left w:val="none" w:sz="0" w:space="0" w:color="auto"/>
                <w:bottom w:val="none" w:sz="0" w:space="0" w:color="auto"/>
                <w:right w:val="none" w:sz="0" w:space="0" w:color="auto"/>
              </w:divBdr>
              <w:divsChild>
                <w:div w:id="1118527075">
                  <w:marLeft w:val="0"/>
                  <w:marRight w:val="0"/>
                  <w:marTop w:val="0"/>
                  <w:marBottom w:val="0"/>
                  <w:divBdr>
                    <w:top w:val="none" w:sz="0" w:space="0" w:color="auto"/>
                    <w:left w:val="none" w:sz="0" w:space="0" w:color="auto"/>
                    <w:bottom w:val="none" w:sz="0" w:space="0" w:color="auto"/>
                    <w:right w:val="none" w:sz="0" w:space="0" w:color="auto"/>
                  </w:divBdr>
                  <w:divsChild>
                    <w:div w:id="1200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4129">
      <w:bodyDiv w:val="1"/>
      <w:marLeft w:val="0"/>
      <w:marRight w:val="0"/>
      <w:marTop w:val="0"/>
      <w:marBottom w:val="0"/>
      <w:divBdr>
        <w:top w:val="none" w:sz="0" w:space="0" w:color="auto"/>
        <w:left w:val="none" w:sz="0" w:space="0" w:color="auto"/>
        <w:bottom w:val="none" w:sz="0" w:space="0" w:color="auto"/>
        <w:right w:val="none" w:sz="0" w:space="0" w:color="auto"/>
      </w:divBdr>
      <w:divsChild>
        <w:div w:id="1751190810">
          <w:marLeft w:val="0"/>
          <w:marRight w:val="0"/>
          <w:marTop w:val="0"/>
          <w:marBottom w:val="0"/>
          <w:divBdr>
            <w:top w:val="none" w:sz="0" w:space="0" w:color="auto"/>
            <w:left w:val="none" w:sz="0" w:space="0" w:color="auto"/>
            <w:bottom w:val="none" w:sz="0" w:space="0" w:color="auto"/>
            <w:right w:val="none" w:sz="0" w:space="0" w:color="auto"/>
          </w:divBdr>
          <w:divsChild>
            <w:div w:id="981428421">
              <w:marLeft w:val="0"/>
              <w:marRight w:val="0"/>
              <w:marTop w:val="0"/>
              <w:marBottom w:val="0"/>
              <w:divBdr>
                <w:top w:val="none" w:sz="0" w:space="0" w:color="auto"/>
                <w:left w:val="none" w:sz="0" w:space="0" w:color="auto"/>
                <w:bottom w:val="none" w:sz="0" w:space="0" w:color="auto"/>
                <w:right w:val="none" w:sz="0" w:space="0" w:color="auto"/>
              </w:divBdr>
              <w:divsChild>
                <w:div w:id="1311209392">
                  <w:marLeft w:val="0"/>
                  <w:marRight w:val="0"/>
                  <w:marTop w:val="0"/>
                  <w:marBottom w:val="0"/>
                  <w:divBdr>
                    <w:top w:val="none" w:sz="0" w:space="0" w:color="auto"/>
                    <w:left w:val="none" w:sz="0" w:space="0" w:color="auto"/>
                    <w:bottom w:val="none" w:sz="0" w:space="0" w:color="auto"/>
                    <w:right w:val="none" w:sz="0" w:space="0" w:color="auto"/>
                  </w:divBdr>
                  <w:divsChild>
                    <w:div w:id="9711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332281">
      <w:bodyDiv w:val="1"/>
      <w:marLeft w:val="0"/>
      <w:marRight w:val="0"/>
      <w:marTop w:val="0"/>
      <w:marBottom w:val="0"/>
      <w:divBdr>
        <w:top w:val="none" w:sz="0" w:space="0" w:color="auto"/>
        <w:left w:val="none" w:sz="0" w:space="0" w:color="auto"/>
        <w:bottom w:val="none" w:sz="0" w:space="0" w:color="auto"/>
        <w:right w:val="none" w:sz="0" w:space="0" w:color="auto"/>
      </w:divBdr>
    </w:div>
    <w:div w:id="1337683224">
      <w:bodyDiv w:val="1"/>
      <w:marLeft w:val="0"/>
      <w:marRight w:val="0"/>
      <w:marTop w:val="0"/>
      <w:marBottom w:val="0"/>
      <w:divBdr>
        <w:top w:val="none" w:sz="0" w:space="0" w:color="auto"/>
        <w:left w:val="none" w:sz="0" w:space="0" w:color="auto"/>
        <w:bottom w:val="none" w:sz="0" w:space="0" w:color="auto"/>
        <w:right w:val="none" w:sz="0" w:space="0" w:color="auto"/>
      </w:divBdr>
      <w:divsChild>
        <w:div w:id="1231959039">
          <w:marLeft w:val="0"/>
          <w:marRight w:val="0"/>
          <w:marTop w:val="0"/>
          <w:marBottom w:val="0"/>
          <w:divBdr>
            <w:top w:val="none" w:sz="0" w:space="0" w:color="auto"/>
            <w:left w:val="none" w:sz="0" w:space="0" w:color="auto"/>
            <w:bottom w:val="none" w:sz="0" w:space="0" w:color="auto"/>
            <w:right w:val="none" w:sz="0" w:space="0" w:color="auto"/>
          </w:divBdr>
          <w:divsChild>
            <w:div w:id="505484765">
              <w:marLeft w:val="0"/>
              <w:marRight w:val="0"/>
              <w:marTop w:val="0"/>
              <w:marBottom w:val="0"/>
              <w:divBdr>
                <w:top w:val="none" w:sz="0" w:space="0" w:color="auto"/>
                <w:left w:val="none" w:sz="0" w:space="0" w:color="auto"/>
                <w:bottom w:val="none" w:sz="0" w:space="0" w:color="auto"/>
                <w:right w:val="none" w:sz="0" w:space="0" w:color="auto"/>
              </w:divBdr>
              <w:divsChild>
                <w:div w:id="1654719976">
                  <w:marLeft w:val="0"/>
                  <w:marRight w:val="0"/>
                  <w:marTop w:val="0"/>
                  <w:marBottom w:val="0"/>
                  <w:divBdr>
                    <w:top w:val="none" w:sz="0" w:space="0" w:color="auto"/>
                    <w:left w:val="none" w:sz="0" w:space="0" w:color="auto"/>
                    <w:bottom w:val="none" w:sz="0" w:space="0" w:color="auto"/>
                    <w:right w:val="none" w:sz="0" w:space="0" w:color="auto"/>
                  </w:divBdr>
                  <w:divsChild>
                    <w:div w:id="15291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01929">
      <w:bodyDiv w:val="1"/>
      <w:marLeft w:val="0"/>
      <w:marRight w:val="0"/>
      <w:marTop w:val="0"/>
      <w:marBottom w:val="0"/>
      <w:divBdr>
        <w:top w:val="none" w:sz="0" w:space="0" w:color="auto"/>
        <w:left w:val="none" w:sz="0" w:space="0" w:color="auto"/>
        <w:bottom w:val="none" w:sz="0" w:space="0" w:color="auto"/>
        <w:right w:val="none" w:sz="0" w:space="0" w:color="auto"/>
      </w:divBdr>
      <w:divsChild>
        <w:div w:id="892277910">
          <w:marLeft w:val="0"/>
          <w:marRight w:val="0"/>
          <w:marTop w:val="0"/>
          <w:marBottom w:val="0"/>
          <w:divBdr>
            <w:top w:val="none" w:sz="0" w:space="0" w:color="auto"/>
            <w:left w:val="none" w:sz="0" w:space="0" w:color="auto"/>
            <w:bottom w:val="none" w:sz="0" w:space="0" w:color="auto"/>
            <w:right w:val="none" w:sz="0" w:space="0" w:color="auto"/>
          </w:divBdr>
          <w:divsChild>
            <w:div w:id="255678838">
              <w:marLeft w:val="0"/>
              <w:marRight w:val="0"/>
              <w:marTop w:val="0"/>
              <w:marBottom w:val="0"/>
              <w:divBdr>
                <w:top w:val="none" w:sz="0" w:space="0" w:color="auto"/>
                <w:left w:val="none" w:sz="0" w:space="0" w:color="auto"/>
                <w:bottom w:val="none" w:sz="0" w:space="0" w:color="auto"/>
                <w:right w:val="none" w:sz="0" w:space="0" w:color="auto"/>
              </w:divBdr>
              <w:divsChild>
                <w:div w:id="628319650">
                  <w:marLeft w:val="0"/>
                  <w:marRight w:val="0"/>
                  <w:marTop w:val="0"/>
                  <w:marBottom w:val="0"/>
                  <w:divBdr>
                    <w:top w:val="none" w:sz="0" w:space="0" w:color="auto"/>
                    <w:left w:val="none" w:sz="0" w:space="0" w:color="auto"/>
                    <w:bottom w:val="none" w:sz="0" w:space="0" w:color="auto"/>
                    <w:right w:val="none" w:sz="0" w:space="0" w:color="auto"/>
                  </w:divBdr>
                  <w:divsChild>
                    <w:div w:id="3836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3958">
      <w:bodyDiv w:val="1"/>
      <w:marLeft w:val="0"/>
      <w:marRight w:val="0"/>
      <w:marTop w:val="0"/>
      <w:marBottom w:val="0"/>
      <w:divBdr>
        <w:top w:val="none" w:sz="0" w:space="0" w:color="auto"/>
        <w:left w:val="none" w:sz="0" w:space="0" w:color="auto"/>
        <w:bottom w:val="none" w:sz="0" w:space="0" w:color="auto"/>
        <w:right w:val="none" w:sz="0" w:space="0" w:color="auto"/>
      </w:divBdr>
      <w:divsChild>
        <w:div w:id="12998741">
          <w:marLeft w:val="0"/>
          <w:marRight w:val="0"/>
          <w:marTop w:val="0"/>
          <w:marBottom w:val="0"/>
          <w:divBdr>
            <w:top w:val="none" w:sz="0" w:space="0" w:color="auto"/>
            <w:left w:val="none" w:sz="0" w:space="0" w:color="auto"/>
            <w:bottom w:val="none" w:sz="0" w:space="0" w:color="auto"/>
            <w:right w:val="none" w:sz="0" w:space="0" w:color="auto"/>
          </w:divBdr>
          <w:divsChild>
            <w:div w:id="681323633">
              <w:marLeft w:val="0"/>
              <w:marRight w:val="0"/>
              <w:marTop w:val="0"/>
              <w:marBottom w:val="0"/>
              <w:divBdr>
                <w:top w:val="none" w:sz="0" w:space="0" w:color="auto"/>
                <w:left w:val="none" w:sz="0" w:space="0" w:color="auto"/>
                <w:bottom w:val="none" w:sz="0" w:space="0" w:color="auto"/>
                <w:right w:val="none" w:sz="0" w:space="0" w:color="auto"/>
              </w:divBdr>
              <w:divsChild>
                <w:div w:id="1457674264">
                  <w:marLeft w:val="0"/>
                  <w:marRight w:val="0"/>
                  <w:marTop w:val="0"/>
                  <w:marBottom w:val="0"/>
                  <w:divBdr>
                    <w:top w:val="none" w:sz="0" w:space="0" w:color="auto"/>
                    <w:left w:val="none" w:sz="0" w:space="0" w:color="auto"/>
                    <w:bottom w:val="none" w:sz="0" w:space="0" w:color="auto"/>
                    <w:right w:val="none" w:sz="0" w:space="0" w:color="auto"/>
                  </w:divBdr>
                  <w:divsChild>
                    <w:div w:id="3076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49153">
      <w:bodyDiv w:val="1"/>
      <w:marLeft w:val="0"/>
      <w:marRight w:val="0"/>
      <w:marTop w:val="0"/>
      <w:marBottom w:val="0"/>
      <w:divBdr>
        <w:top w:val="none" w:sz="0" w:space="0" w:color="auto"/>
        <w:left w:val="none" w:sz="0" w:space="0" w:color="auto"/>
        <w:bottom w:val="none" w:sz="0" w:space="0" w:color="auto"/>
        <w:right w:val="none" w:sz="0" w:space="0" w:color="auto"/>
      </w:divBdr>
    </w:div>
    <w:div w:id="1973749487">
      <w:bodyDiv w:val="1"/>
      <w:marLeft w:val="0"/>
      <w:marRight w:val="0"/>
      <w:marTop w:val="0"/>
      <w:marBottom w:val="0"/>
      <w:divBdr>
        <w:top w:val="none" w:sz="0" w:space="0" w:color="auto"/>
        <w:left w:val="none" w:sz="0" w:space="0" w:color="auto"/>
        <w:bottom w:val="none" w:sz="0" w:space="0" w:color="auto"/>
        <w:right w:val="none" w:sz="0" w:space="0" w:color="auto"/>
      </w:divBdr>
      <w:divsChild>
        <w:div w:id="1460487372">
          <w:marLeft w:val="0"/>
          <w:marRight w:val="0"/>
          <w:marTop w:val="0"/>
          <w:marBottom w:val="0"/>
          <w:divBdr>
            <w:top w:val="none" w:sz="0" w:space="0" w:color="auto"/>
            <w:left w:val="none" w:sz="0" w:space="0" w:color="auto"/>
            <w:bottom w:val="none" w:sz="0" w:space="0" w:color="auto"/>
            <w:right w:val="none" w:sz="0" w:space="0" w:color="auto"/>
          </w:divBdr>
          <w:divsChild>
            <w:div w:id="1993481904">
              <w:marLeft w:val="0"/>
              <w:marRight w:val="0"/>
              <w:marTop w:val="0"/>
              <w:marBottom w:val="0"/>
              <w:divBdr>
                <w:top w:val="none" w:sz="0" w:space="0" w:color="auto"/>
                <w:left w:val="none" w:sz="0" w:space="0" w:color="auto"/>
                <w:bottom w:val="none" w:sz="0" w:space="0" w:color="auto"/>
                <w:right w:val="none" w:sz="0" w:space="0" w:color="auto"/>
              </w:divBdr>
              <w:divsChild>
                <w:div w:id="321471466">
                  <w:marLeft w:val="0"/>
                  <w:marRight w:val="0"/>
                  <w:marTop w:val="0"/>
                  <w:marBottom w:val="0"/>
                  <w:divBdr>
                    <w:top w:val="none" w:sz="0" w:space="0" w:color="auto"/>
                    <w:left w:val="none" w:sz="0" w:space="0" w:color="auto"/>
                    <w:bottom w:val="none" w:sz="0" w:space="0" w:color="auto"/>
                    <w:right w:val="none" w:sz="0" w:space="0" w:color="auto"/>
                  </w:divBdr>
                  <w:divsChild>
                    <w:div w:id="8052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1012">
      <w:bodyDiv w:val="1"/>
      <w:marLeft w:val="0"/>
      <w:marRight w:val="0"/>
      <w:marTop w:val="0"/>
      <w:marBottom w:val="0"/>
      <w:divBdr>
        <w:top w:val="none" w:sz="0" w:space="0" w:color="auto"/>
        <w:left w:val="none" w:sz="0" w:space="0" w:color="auto"/>
        <w:bottom w:val="none" w:sz="0" w:space="0" w:color="auto"/>
        <w:right w:val="none" w:sz="0" w:space="0" w:color="auto"/>
      </w:divBdr>
    </w:div>
    <w:div w:id="21027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5/cropsci2009.09.0523" TargetMode="External"/><Relationship Id="rId18" Type="http://schemas.openxmlformats.org/officeDocument/2006/relationships/hyperlink" Target="https://www.google.com/url?sa=E&amp;source=gmail&amp;q=%3C0%3Ehttps://doi.org/10.1371/journal.pbio.1001388" TargetMode="External"/><Relationship Id="rId26" Type="http://schemas.openxmlformats.org/officeDocument/2006/relationships/hyperlink" Target="https://doi.org/10.9734/jeai/2025/v47i93743" TargetMode="External"/><Relationship Id="rId3" Type="http://schemas.openxmlformats.org/officeDocument/2006/relationships/settings" Target="settings.xml"/><Relationship Id="rId21" Type="http://schemas.openxmlformats.org/officeDocument/2006/relationships/hyperlink" Target="https://www.google.com/url?sa=E&amp;source=gmail&amp;q=https://doi.org/10.1111/j.1469-8137.2007.01980.x"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doi.org/10.1086/660104" TargetMode="External"/><Relationship Id="rId25" Type="http://schemas.openxmlformats.org/officeDocument/2006/relationships/hyperlink" Target="https://doi.org/10.1186/1471-2229-10-5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057/nusbiosci/n100208" TargetMode="External"/><Relationship Id="rId20" Type="http://schemas.openxmlformats.org/officeDocument/2006/relationships/hyperlink" Target="https://www.google.com/url?sa=E&amp;source=gmail&amp;q=https://doi.org/10.1016/S0261-2194(00)00101-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google.com/url?sa=E&amp;source=gmail&amp;q=https://doi.org/10.1614/WS-D-11-00113.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ogle.com/search?q=https://www.populationdata.net/pays/niger" TargetMode="External"/><Relationship Id="rId23" Type="http://schemas.openxmlformats.org/officeDocument/2006/relationships/hyperlink" Target="https://doi.org/10.1086/660104"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126/science.327.5967.804"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11/wre.12117" TargetMode="External"/><Relationship Id="rId22" Type="http://schemas.openxmlformats.org/officeDocument/2006/relationships/hyperlink" Target="https://www.google.com/url?sa=E&amp;source=gmail&amp;q=https://doi.org/10.1186/1746-4811-8-2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889530291363423"/>
          <c:y val="0.17997739865850101"/>
          <c:w val="0.85110469708636594"/>
          <c:h val="0.61314047700559171"/>
        </c:manualLayout>
      </c:layout>
      <c:barChart>
        <c:barDir val="col"/>
        <c:grouping val="clustered"/>
        <c:varyColors val="0"/>
        <c:ser>
          <c:idx val="0"/>
          <c:order val="0"/>
          <c:tx>
            <c:strRef>
              <c:f>Feuil26!$I$1</c:f>
              <c:strCache>
                <c:ptCount val="1"/>
                <c:pt idx="0">
                  <c:v>Ho</c:v>
                </c:pt>
              </c:strCache>
            </c:strRef>
          </c:tx>
          <c:spPr>
            <a:solidFill>
              <a:schemeClr val="bg2">
                <a:lumMod val="50000"/>
              </a:schemeClr>
            </a:solidFill>
            <a:ln>
              <a:noFill/>
            </a:ln>
            <a:effectLst/>
          </c:spPr>
          <c:invertIfNegative val="0"/>
          <c:dPt>
            <c:idx val="5"/>
            <c:invertIfNegative val="0"/>
            <c:bubble3D val="0"/>
            <c:spPr>
              <a:solidFill>
                <a:schemeClr val="bg2">
                  <a:lumMod val="25000"/>
                </a:schemeClr>
              </a:solidFill>
              <a:ln>
                <a:noFill/>
              </a:ln>
              <a:effectLst/>
            </c:spPr>
            <c:extLst>
              <c:ext xmlns:c16="http://schemas.microsoft.com/office/drawing/2014/chart" uri="{C3380CC4-5D6E-409C-BE32-E72D297353CC}">
                <c16:uniqueId val="{00000001-12E4-4828-9215-A6E1DD7CD7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Feuil26!$H$2:$H$7</c:f>
              <c:strCache>
                <c:ptCount val="6"/>
                <c:pt idx="0">
                  <c:v>Dosso</c:v>
                </c:pt>
                <c:pt idx="1">
                  <c:v>Maradi</c:v>
                </c:pt>
                <c:pt idx="2">
                  <c:v>Tahoua</c:v>
                </c:pt>
                <c:pt idx="3">
                  <c:v>Tillabery</c:v>
                </c:pt>
                <c:pt idx="4">
                  <c:v>Zinder</c:v>
                </c:pt>
                <c:pt idx="5">
                  <c:v>Moyenne</c:v>
                </c:pt>
              </c:strCache>
            </c:strRef>
          </c:cat>
          <c:val>
            <c:numRef>
              <c:f>Feuil26!$I$2:$I$7</c:f>
              <c:numCache>
                <c:formatCode>0.000</c:formatCode>
                <c:ptCount val="6"/>
                <c:pt idx="0">
                  <c:v>0.6</c:v>
                </c:pt>
                <c:pt idx="1">
                  <c:v>0.55999999999999994</c:v>
                </c:pt>
                <c:pt idx="2">
                  <c:v>0.4</c:v>
                </c:pt>
                <c:pt idx="3">
                  <c:v>0.36</c:v>
                </c:pt>
                <c:pt idx="4">
                  <c:v>0.73</c:v>
                </c:pt>
                <c:pt idx="5">
                  <c:v>0.53</c:v>
                </c:pt>
              </c:numCache>
            </c:numRef>
          </c:val>
          <c:extLst>
            <c:ext xmlns:c16="http://schemas.microsoft.com/office/drawing/2014/chart" uri="{C3380CC4-5D6E-409C-BE32-E72D297353CC}">
              <c16:uniqueId val="{00000002-12E4-4828-9215-A6E1DD7CD7FA}"/>
            </c:ext>
          </c:extLst>
        </c:ser>
        <c:ser>
          <c:idx val="1"/>
          <c:order val="1"/>
          <c:tx>
            <c:strRef>
              <c:f>Feuil26!$J$1</c:f>
              <c:strCache>
                <c:ptCount val="1"/>
                <c:pt idx="0">
                  <c:v>He</c:v>
                </c:pt>
              </c:strCache>
            </c:strRef>
          </c:tx>
          <c:spPr>
            <a:solidFill>
              <a:srgbClr val="FF0000">
                <a:alpha val="31000"/>
              </a:srgbClr>
            </a:solidFill>
            <a:ln>
              <a:noFill/>
            </a:ln>
            <a:effectLst/>
          </c:spPr>
          <c:invertIfNegative val="0"/>
          <c:dPt>
            <c:idx val="5"/>
            <c:invertIfNegative val="0"/>
            <c:bubble3D val="0"/>
            <c:spPr>
              <a:solidFill>
                <a:srgbClr val="FF0000">
                  <a:alpha val="84000"/>
                </a:srgbClr>
              </a:solidFill>
              <a:ln>
                <a:noFill/>
              </a:ln>
              <a:effectLst/>
            </c:spPr>
            <c:extLst>
              <c:ext xmlns:c16="http://schemas.microsoft.com/office/drawing/2014/chart" uri="{C3380CC4-5D6E-409C-BE32-E72D297353CC}">
                <c16:uniqueId val="{00000004-12E4-4828-9215-A6E1DD7CD7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Feuil26!$H$2:$H$7</c:f>
              <c:strCache>
                <c:ptCount val="6"/>
                <c:pt idx="0">
                  <c:v>Dosso</c:v>
                </c:pt>
                <c:pt idx="1">
                  <c:v>Maradi</c:v>
                </c:pt>
                <c:pt idx="2">
                  <c:v>Tahoua</c:v>
                </c:pt>
                <c:pt idx="3">
                  <c:v>Tillabery</c:v>
                </c:pt>
                <c:pt idx="4">
                  <c:v>Zinder</c:v>
                </c:pt>
                <c:pt idx="5">
                  <c:v>Moyenne</c:v>
                </c:pt>
              </c:strCache>
            </c:strRef>
          </c:cat>
          <c:val>
            <c:numRef>
              <c:f>Feuil26!$J$2:$J$7</c:f>
              <c:numCache>
                <c:formatCode>0.000</c:formatCode>
                <c:ptCount val="6"/>
                <c:pt idx="0">
                  <c:v>0.3879999999999999</c:v>
                </c:pt>
                <c:pt idx="1">
                  <c:v>0.32800000000000001</c:v>
                </c:pt>
                <c:pt idx="2">
                  <c:v>0.29599999999999999</c:v>
                </c:pt>
                <c:pt idx="3">
                  <c:v>0.24</c:v>
                </c:pt>
                <c:pt idx="4">
                  <c:v>0.46775</c:v>
                </c:pt>
                <c:pt idx="5">
                  <c:v>0.34394999999999987</c:v>
                </c:pt>
              </c:numCache>
            </c:numRef>
          </c:val>
          <c:extLst>
            <c:ext xmlns:c16="http://schemas.microsoft.com/office/drawing/2014/chart" uri="{C3380CC4-5D6E-409C-BE32-E72D297353CC}">
              <c16:uniqueId val="{00000005-12E4-4828-9215-A6E1DD7CD7FA}"/>
            </c:ext>
          </c:extLst>
        </c:ser>
        <c:dLbls>
          <c:showLegendKey val="0"/>
          <c:showVal val="0"/>
          <c:showCatName val="0"/>
          <c:showSerName val="0"/>
          <c:showPercent val="0"/>
          <c:showBubbleSize val="0"/>
        </c:dLbls>
        <c:gapWidth val="219"/>
        <c:overlap val="-27"/>
        <c:axId val="368484184"/>
        <c:axId val="368482616"/>
      </c:barChart>
      <c:catAx>
        <c:axId val="368484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482616"/>
        <c:crosses val="autoZero"/>
        <c:auto val="1"/>
        <c:lblAlgn val="ctr"/>
        <c:lblOffset val="100"/>
        <c:noMultiLvlLbl val="0"/>
      </c:catAx>
      <c:valAx>
        <c:axId val="368482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heterozygosity </a:t>
                </a:r>
                <a:endParaRPr lang="en-US"/>
              </a:p>
            </c:rich>
          </c:tx>
          <c:layout>
            <c:manualLayout>
              <c:xMode val="edge"/>
              <c:yMode val="edge"/>
              <c:x val="1.8764897290046947E-2"/>
              <c:y val="0.303019250520106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484184"/>
        <c:crosses val="autoZero"/>
        <c:crossBetween val="between"/>
      </c:valAx>
      <c:spPr>
        <a:noFill/>
        <a:ln>
          <a:noFill/>
        </a:ln>
        <a:effectLst/>
      </c:spPr>
    </c:plotArea>
    <c:legend>
      <c:legendPos val="b"/>
      <c:layout>
        <c:manualLayout>
          <c:xMode val="edge"/>
          <c:yMode val="edge"/>
          <c:x val="0.41354199475065617"/>
          <c:y val="7.9281860600758203E-2"/>
          <c:w val="0.1340271216097987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26921283111485"/>
          <c:y val="0.12672425833365769"/>
          <c:w val="0.84815360754966662"/>
          <c:h val="0.71338903224476979"/>
        </c:manualLayout>
      </c:layout>
      <c:barChart>
        <c:barDir val="col"/>
        <c:grouping val="clustered"/>
        <c:varyColors val="0"/>
        <c:ser>
          <c:idx val="0"/>
          <c:order val="0"/>
          <c:tx>
            <c:strRef>
              <c:f>Feuil26!$M$1</c:f>
              <c:strCache>
                <c:ptCount val="1"/>
                <c:pt idx="0">
                  <c:v>F</c:v>
                </c:pt>
              </c:strCache>
            </c:strRef>
          </c:tx>
          <c:spPr>
            <a:solidFill>
              <a:srgbClr val="FF0000"/>
            </a:solidFill>
            <a:ln>
              <a:noFill/>
            </a:ln>
            <a:effectLst/>
          </c:spPr>
          <c:invertIfNegative val="0"/>
          <c:dPt>
            <c:idx val="5"/>
            <c:invertIfNegative val="0"/>
            <c:bubble3D val="0"/>
            <c:spPr>
              <a:solidFill>
                <a:srgbClr val="C00000"/>
              </a:solidFill>
              <a:ln>
                <a:noFill/>
              </a:ln>
              <a:effectLst/>
            </c:spPr>
            <c:extLst>
              <c:ext xmlns:c16="http://schemas.microsoft.com/office/drawing/2014/chart" uri="{C3380CC4-5D6E-409C-BE32-E72D297353CC}">
                <c16:uniqueId val="{00000001-B2A0-44E0-BEB3-0D8626ACB9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Feuil26!$L$2:$L$7</c:f>
              <c:strCache>
                <c:ptCount val="6"/>
                <c:pt idx="0">
                  <c:v>Dosso</c:v>
                </c:pt>
                <c:pt idx="1">
                  <c:v>Maradi</c:v>
                </c:pt>
                <c:pt idx="2">
                  <c:v>Tahoua</c:v>
                </c:pt>
                <c:pt idx="3">
                  <c:v>Tillabery</c:v>
                </c:pt>
                <c:pt idx="4">
                  <c:v>Zinder</c:v>
                </c:pt>
                <c:pt idx="5">
                  <c:v>Moyenne</c:v>
                </c:pt>
              </c:strCache>
            </c:strRef>
          </c:cat>
          <c:val>
            <c:numRef>
              <c:f>Feuil26!$M$2:$M$7</c:f>
              <c:numCache>
                <c:formatCode>0.000</c:formatCode>
                <c:ptCount val="6"/>
                <c:pt idx="0">
                  <c:v>-0.43763804372323678</c:v>
                </c:pt>
                <c:pt idx="1">
                  <c:v>-0.60386473429951693</c:v>
                </c:pt>
                <c:pt idx="2">
                  <c:v>-0.26086956521739157</c:v>
                </c:pt>
                <c:pt idx="3">
                  <c:v>-0.41975308641975334</c:v>
                </c:pt>
                <c:pt idx="4">
                  <c:v>-0.51013064896123361</c:v>
                </c:pt>
                <c:pt idx="5">
                  <c:v>-0.44172315845302901</c:v>
                </c:pt>
              </c:numCache>
            </c:numRef>
          </c:val>
          <c:extLst>
            <c:ext xmlns:c16="http://schemas.microsoft.com/office/drawing/2014/chart" uri="{C3380CC4-5D6E-409C-BE32-E72D297353CC}">
              <c16:uniqueId val="{00000002-B2A0-44E0-BEB3-0D8626ACB988}"/>
            </c:ext>
          </c:extLst>
        </c:ser>
        <c:dLbls>
          <c:dLblPos val="outEnd"/>
          <c:showLegendKey val="0"/>
          <c:showVal val="1"/>
          <c:showCatName val="0"/>
          <c:showSerName val="0"/>
          <c:showPercent val="0"/>
          <c:showBubbleSize val="0"/>
        </c:dLbls>
        <c:gapWidth val="219"/>
        <c:overlap val="-27"/>
        <c:axId val="408868000"/>
        <c:axId val="408866824"/>
      </c:barChart>
      <c:catAx>
        <c:axId val="408868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Regions</a:t>
                </a:r>
              </a:p>
            </c:rich>
          </c:tx>
          <c:layout>
            <c:manualLayout>
              <c:xMode val="edge"/>
              <c:yMode val="edge"/>
              <c:x val="0.46332679441666219"/>
              <c:y val="2.6605426865986266E-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08866824"/>
        <c:crosses val="autoZero"/>
        <c:auto val="1"/>
        <c:lblAlgn val="ctr"/>
        <c:lblOffset val="100"/>
        <c:noMultiLvlLbl val="0"/>
      </c:catAx>
      <c:valAx>
        <c:axId val="408866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Inbreeding coefficients </a:t>
                </a:r>
                <a:endParaRPr lang="en-US"/>
              </a:p>
            </c:rich>
          </c:tx>
          <c:layout>
            <c:manualLayout>
              <c:xMode val="edge"/>
              <c:yMode val="edge"/>
              <c:x val="0"/>
              <c:y val="0.229362133746076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6800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76</TotalTime>
  <Pages>18</Pages>
  <Words>5356</Words>
  <Characters>30532</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PC New 16</cp:lastModifiedBy>
  <cp:revision>45</cp:revision>
  <dcterms:created xsi:type="dcterms:W3CDTF">2026-01-01T13:15:00Z</dcterms:created>
  <dcterms:modified xsi:type="dcterms:W3CDTF">2026-01-13T12:01:00Z</dcterms:modified>
</cp:coreProperties>
</file>