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D071" w14:textId="0A79AD19" w:rsidR="00974477" w:rsidRDefault="00FF7D9C" w:rsidP="00974477">
      <w:pPr>
        <w:spacing w:before="100" w:beforeAutospacing="1" w:after="240" w:line="420" w:lineRule="atLeast"/>
        <w:jc w:val="center"/>
        <w:rPr>
          <w:rFonts w:eastAsia="Times New Roman"/>
          <w:b/>
          <w:bCs/>
          <w:color w:val="0F1115"/>
          <w:sz w:val="24"/>
          <w:szCs w:val="24"/>
          <w:lang w:eastAsia="tr-TR"/>
        </w:rPr>
      </w:pPr>
      <w:r w:rsidRPr="00F96D9F">
        <w:rPr>
          <w:rFonts w:eastAsia="Times New Roman"/>
          <w:b/>
          <w:bCs/>
          <w:color w:val="0F1115"/>
          <w:sz w:val="24"/>
          <w:szCs w:val="24"/>
          <w:highlight w:val="yellow"/>
          <w:lang w:eastAsia="tr-TR"/>
        </w:rPr>
        <w:t xml:space="preserve">The Geography </w:t>
      </w:r>
      <w:r>
        <w:rPr>
          <w:rFonts w:eastAsia="Times New Roman"/>
          <w:b/>
          <w:bCs/>
          <w:color w:val="0F1115"/>
          <w:sz w:val="24"/>
          <w:szCs w:val="24"/>
          <w:highlight w:val="yellow"/>
          <w:lang w:eastAsia="tr-TR"/>
        </w:rPr>
        <w:t>o</w:t>
      </w:r>
      <w:r w:rsidRPr="00F96D9F">
        <w:rPr>
          <w:rFonts w:eastAsia="Times New Roman"/>
          <w:b/>
          <w:bCs/>
          <w:color w:val="0F1115"/>
          <w:sz w:val="24"/>
          <w:szCs w:val="24"/>
          <w:highlight w:val="yellow"/>
          <w:lang w:eastAsia="tr-TR"/>
        </w:rPr>
        <w:t xml:space="preserve">f Hıgh-Value Agrıculture </w:t>
      </w:r>
      <w:r>
        <w:rPr>
          <w:rFonts w:eastAsia="Times New Roman"/>
          <w:b/>
          <w:bCs/>
          <w:color w:val="0F1115"/>
          <w:sz w:val="24"/>
          <w:szCs w:val="24"/>
          <w:highlight w:val="yellow"/>
          <w:lang w:eastAsia="tr-TR"/>
        </w:rPr>
        <w:t>i</w:t>
      </w:r>
      <w:r w:rsidRPr="00F96D9F">
        <w:rPr>
          <w:rFonts w:eastAsia="Times New Roman"/>
          <w:b/>
          <w:bCs/>
          <w:color w:val="0F1115"/>
          <w:sz w:val="24"/>
          <w:szCs w:val="24"/>
          <w:highlight w:val="yellow"/>
          <w:lang w:eastAsia="tr-TR"/>
        </w:rPr>
        <w:t xml:space="preserve">n Türkiye: Regıonal Clusterıng </w:t>
      </w:r>
      <w:r>
        <w:rPr>
          <w:rFonts w:eastAsia="Times New Roman"/>
          <w:b/>
          <w:bCs/>
          <w:color w:val="0F1115"/>
          <w:sz w:val="24"/>
          <w:szCs w:val="24"/>
          <w:highlight w:val="yellow"/>
          <w:lang w:eastAsia="tr-TR"/>
        </w:rPr>
        <w:t>a</w:t>
      </w:r>
      <w:r w:rsidRPr="00F96D9F">
        <w:rPr>
          <w:rFonts w:eastAsia="Times New Roman"/>
          <w:b/>
          <w:bCs/>
          <w:color w:val="0F1115"/>
          <w:sz w:val="24"/>
          <w:szCs w:val="24"/>
          <w:highlight w:val="yellow"/>
          <w:lang w:eastAsia="tr-TR"/>
        </w:rPr>
        <w:t>nd Market Dynamıcs</w:t>
      </w:r>
    </w:p>
    <w:p w14:paraId="1C595E02" w14:textId="77777777" w:rsidR="00452FB4"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ABSTRACT</w:t>
      </w:r>
    </w:p>
    <w:p w14:paraId="49A9EB14" w14:textId="77777777" w:rsidR="00BF1D4F" w:rsidRPr="00F96D9F" w:rsidRDefault="00BF1D4F" w:rsidP="00452FB4">
      <w:pPr>
        <w:spacing w:before="240" w:after="240" w:line="420" w:lineRule="atLeast"/>
        <w:jc w:val="both"/>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This study analyzes the spatial distribution, regional clustering trends, and the underlying factors shaping these dynamics of high-value agricultural products (fruit, vegetables, ornamental plants) in Türkiye during the 2020-2024 period. Quantitative data analyses reveal that this production does not exhibit a random pattern but rather a distinct "geographical clustering". Fruit production has concentrated in the TR3 (Aegean), TRC (Southeastern Anatolia), and TR6 (Mediterranean) regions, driven by climatic advantages and irrigation investments. In vegetable production, the rise of traditional grain regions such as TR7 (Central Anatolia) is noteworthy, facilitated by market proximity and modern irrigation. The most extreme concentration is observed in the ornamental plants sector, which is entirely market- and logistics-oriented; 92.7% of production is clustered in the TR1 (Istanbul), TR3 (Aegean), and TR4 (Eastern Marmara) regions. The research emphasizes that while this clustering model provides productivity and competitive advantage, it simultaneously brings risks associated with climate change, water scarcity, and monoculture. For sustainable growth, product and regional diversification, water efficiency, strengthening of the value chain, and the dissemination of climate-resilient practices are recommended.</w:t>
      </w:r>
    </w:p>
    <w:p w14:paraId="1E761974" w14:textId="4BB641B5" w:rsidR="005D31CB" w:rsidRDefault="005D31CB" w:rsidP="00452FB4">
      <w:pPr>
        <w:spacing w:before="240" w:after="240" w:line="420" w:lineRule="atLeast"/>
        <w:jc w:val="both"/>
        <w:rPr>
          <w:rFonts w:eastAsia="Times New Roman"/>
          <w:color w:val="0F1115"/>
          <w:sz w:val="24"/>
          <w:szCs w:val="24"/>
          <w:lang w:eastAsia="tr-TR"/>
        </w:rPr>
      </w:pPr>
      <w:r w:rsidRPr="00F96D9F">
        <w:rPr>
          <w:rFonts w:eastAsia="Times New Roman"/>
          <w:b/>
          <w:bCs/>
          <w:color w:val="0F1115"/>
          <w:sz w:val="24"/>
          <w:szCs w:val="24"/>
          <w:highlight w:val="yellow"/>
          <w:lang w:eastAsia="tr-TR"/>
        </w:rPr>
        <w:t>KEYWORDS:</w:t>
      </w:r>
      <w:r w:rsidR="00677E6D" w:rsidRPr="00F96D9F">
        <w:rPr>
          <w:rFonts w:eastAsia="Times New Roman"/>
          <w:color w:val="0F1115"/>
          <w:sz w:val="24"/>
          <w:szCs w:val="24"/>
          <w:highlight w:val="yellow"/>
          <w:lang w:eastAsia="tr-TR"/>
        </w:rPr>
        <w:t xml:space="preserve"> </w:t>
      </w:r>
      <w:r w:rsidR="00E55159" w:rsidRPr="00F96D9F">
        <w:rPr>
          <w:rFonts w:eastAsia="Times New Roman"/>
          <w:color w:val="0F1115"/>
          <w:sz w:val="24"/>
          <w:szCs w:val="24"/>
          <w:highlight w:val="yellow"/>
          <w:lang w:eastAsia="tr-TR"/>
        </w:rPr>
        <w:t>High-value agriculture, regional clustering, geographical clustering, fruit and vegetable geography, ornamental plants, Türkiye agriculture</w:t>
      </w:r>
    </w:p>
    <w:p w14:paraId="6F3C67F5" w14:textId="77777777" w:rsidR="00F32D9F" w:rsidRPr="005D31CB" w:rsidRDefault="00F32D9F" w:rsidP="00452FB4">
      <w:pPr>
        <w:spacing w:before="240" w:after="240" w:line="420" w:lineRule="atLeast"/>
        <w:jc w:val="both"/>
        <w:rPr>
          <w:rFonts w:eastAsia="Times New Roman"/>
          <w:color w:val="0F1115"/>
          <w:sz w:val="24"/>
          <w:szCs w:val="24"/>
          <w:lang w:eastAsia="tr-TR"/>
        </w:rPr>
      </w:pPr>
    </w:p>
    <w:p w14:paraId="762824C8" w14:textId="741614E6" w:rsidR="00076577" w:rsidRPr="00076577" w:rsidRDefault="005D31CB" w:rsidP="00076577">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INTRODUCTION</w:t>
      </w:r>
    </w:p>
    <w:p w14:paraId="3C68D6C3" w14:textId="4210D54A" w:rsidR="00076577" w:rsidRPr="00076577" w:rsidRDefault="00076577" w:rsidP="00076577">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In the global agri-food system, high-value (HV) products such as fresh fruit, vegetables, and ornamental plants hold critical importance both in terms of export revenues and gross income per unit area. Türkiye, with its climatic diversity, geographical location, young labor potential, and developing logistics infrastructure, holds a strategic position in this global market (Bashımov, 2017</w:t>
      </w:r>
      <w:r w:rsidR="00E31D0F">
        <w:rPr>
          <w:rFonts w:eastAsia="Times New Roman"/>
          <w:color w:val="0F1115"/>
          <w:sz w:val="24"/>
          <w:szCs w:val="24"/>
          <w:highlight w:val="yellow"/>
          <w:lang w:eastAsia="tr-TR"/>
        </w:rPr>
        <w:t xml:space="preserve">; </w:t>
      </w:r>
      <w:r w:rsidR="00E31D0F" w:rsidRPr="00E31D0F">
        <w:rPr>
          <w:rFonts w:eastAsia="Times New Roman"/>
          <w:color w:val="0F1115"/>
          <w:sz w:val="24"/>
          <w:szCs w:val="24"/>
          <w:lang w:eastAsia="tr-TR"/>
        </w:rPr>
        <w:t>Golowczyc &amp; Gomez-Zavaglia, 2024</w:t>
      </w:r>
      <w:r w:rsidRPr="00F96D9F">
        <w:rPr>
          <w:rFonts w:eastAsia="Times New Roman"/>
          <w:color w:val="0F1115"/>
          <w:sz w:val="24"/>
          <w:szCs w:val="24"/>
          <w:highlight w:val="yellow"/>
          <w:lang w:eastAsia="tr-TR"/>
        </w:rPr>
        <w:t>).</w:t>
      </w:r>
    </w:p>
    <w:p w14:paraId="1D03DD0B" w14:textId="77777777" w:rsidR="00076577" w:rsidRPr="00076577" w:rsidRDefault="00076577" w:rsidP="00076577">
      <w:pPr>
        <w:spacing w:before="240" w:after="240" w:line="420" w:lineRule="atLeast"/>
        <w:jc w:val="both"/>
        <w:rPr>
          <w:rFonts w:eastAsia="Times New Roman"/>
          <w:color w:val="0F1115"/>
          <w:sz w:val="24"/>
          <w:szCs w:val="24"/>
          <w:lang w:eastAsia="tr-TR"/>
        </w:rPr>
      </w:pPr>
    </w:p>
    <w:p w14:paraId="1776458E" w14:textId="592A60DE" w:rsidR="00014D24" w:rsidRPr="00076577" w:rsidRDefault="00076577" w:rsidP="00076577">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lastRenderedPageBreak/>
        <w:t>This section analyzes the spatial distribution of high-value agricultural products in Türkiye and their changing dynamics over the last decade</w:t>
      </w:r>
      <w:r w:rsidR="00E31D0F">
        <w:rPr>
          <w:rFonts w:eastAsia="Times New Roman"/>
          <w:color w:val="0F1115"/>
          <w:sz w:val="24"/>
          <w:szCs w:val="24"/>
          <w:highlight w:val="yellow"/>
          <w:lang w:eastAsia="tr-TR"/>
        </w:rPr>
        <w:t xml:space="preserve"> </w:t>
      </w:r>
      <w:r w:rsidR="00E31D0F" w:rsidRPr="00E31D0F">
        <w:rPr>
          <w:rFonts w:eastAsia="Times New Roman"/>
          <w:color w:val="0F1115"/>
          <w:sz w:val="24"/>
          <w:szCs w:val="24"/>
          <w:lang w:eastAsia="tr-TR"/>
        </w:rPr>
        <w:t>(Barrett et al., 2022</w:t>
      </w:r>
      <w:r w:rsidR="00E31D0F">
        <w:rPr>
          <w:rFonts w:eastAsia="Times New Roman"/>
          <w:color w:val="0F1115"/>
          <w:sz w:val="24"/>
          <w:szCs w:val="24"/>
          <w:lang w:eastAsia="tr-TR"/>
        </w:rPr>
        <w:t xml:space="preserve">; </w:t>
      </w:r>
      <w:r w:rsidR="00E31D0F" w:rsidRPr="00E31D0F">
        <w:rPr>
          <w:rFonts w:eastAsia="Times New Roman"/>
          <w:color w:val="0F1115"/>
          <w:sz w:val="24"/>
          <w:szCs w:val="24"/>
          <w:lang w:eastAsia="tr-TR"/>
        </w:rPr>
        <w:t>Benucci et al., 2022)</w:t>
      </w:r>
      <w:r w:rsidRPr="00F96D9F">
        <w:rPr>
          <w:rFonts w:eastAsia="Times New Roman"/>
          <w:color w:val="0F1115"/>
          <w:sz w:val="24"/>
          <w:szCs w:val="24"/>
          <w:highlight w:val="yellow"/>
          <w:lang w:eastAsia="tr-TR"/>
        </w:rPr>
        <w:t>. Our core argument is that this production exhibits a "geographical clustering" in specific regions, rather than a random distribution. This clustering is based on economic and ecological dynamics such as comparative advantages, economies of scale, and market proximity, as emphasized in Paul Krugman's new trade and economic geography t</w:t>
      </w:r>
      <w:bookmarkStart w:id="0" w:name="_GoBack"/>
      <w:bookmarkEnd w:id="0"/>
      <w:r w:rsidRPr="00F96D9F">
        <w:rPr>
          <w:rFonts w:eastAsia="Times New Roman"/>
          <w:color w:val="0F1115"/>
          <w:sz w:val="24"/>
          <w:szCs w:val="24"/>
          <w:highlight w:val="yellow"/>
          <w:lang w:eastAsia="tr-TR"/>
        </w:rPr>
        <w:t>heories (Krugman, 1991</w:t>
      </w:r>
      <w:r w:rsidR="00044904" w:rsidRPr="00F96D9F">
        <w:rPr>
          <w:rFonts w:eastAsia="Times New Roman"/>
          <w:color w:val="0F1115"/>
          <w:sz w:val="24"/>
          <w:szCs w:val="24"/>
          <w:highlight w:val="yellow"/>
          <w:lang w:eastAsia="tr-TR"/>
        </w:rPr>
        <w:t>a</w:t>
      </w:r>
      <w:r w:rsidR="009D197C" w:rsidRPr="00F96D9F">
        <w:rPr>
          <w:rFonts w:eastAsia="Times New Roman"/>
          <w:color w:val="0F1115"/>
          <w:sz w:val="24"/>
          <w:szCs w:val="24"/>
          <w:highlight w:val="yellow"/>
          <w:lang w:eastAsia="tr-TR"/>
        </w:rPr>
        <w:t>, 1991b</w:t>
      </w:r>
      <w:r w:rsidR="00E31D0F">
        <w:rPr>
          <w:rFonts w:eastAsia="Times New Roman"/>
          <w:color w:val="0F1115"/>
          <w:sz w:val="24"/>
          <w:szCs w:val="24"/>
          <w:highlight w:val="yellow"/>
          <w:lang w:eastAsia="tr-TR"/>
        </w:rPr>
        <w:t xml:space="preserve">; </w:t>
      </w:r>
      <w:r w:rsidR="00E31D0F" w:rsidRPr="00E31D0F">
        <w:rPr>
          <w:rFonts w:eastAsia="Times New Roman"/>
          <w:color w:val="0F1115"/>
          <w:sz w:val="24"/>
          <w:szCs w:val="24"/>
          <w:lang w:eastAsia="tr-TR"/>
        </w:rPr>
        <w:t>Cassani &amp; Gomez-Zavaglia, 2022</w:t>
      </w:r>
      <w:r w:rsidRPr="00F96D9F">
        <w:rPr>
          <w:rFonts w:eastAsia="Times New Roman"/>
          <w:color w:val="0F1115"/>
          <w:sz w:val="24"/>
          <w:szCs w:val="24"/>
          <w:highlight w:val="yellow"/>
          <w:lang w:eastAsia="tr-TR"/>
        </w:rPr>
        <w:t xml:space="preserve">). </w:t>
      </w:r>
      <w:r w:rsidR="00D51221" w:rsidRPr="00F96D9F">
        <w:rPr>
          <w:rFonts w:eastAsia="Times New Roman"/>
          <w:color w:val="0F1115"/>
          <w:sz w:val="24"/>
          <w:szCs w:val="24"/>
          <w:highlight w:val="yellow"/>
          <w:lang w:eastAsia="tr-TR"/>
        </w:rPr>
        <w:t>"In the Türkiye context, these clusters are shaped by natural climatic advantages, state investments (especially irrigation projects), and access to major consumption/export centers. The climatic profiles of the studied regions are characterized by significant variations: the Mediterranean and Aegean regions benefit from mild winters and long growing seasons, whereas Central and Southeastern Anatolia rely heavily on irrigation due to semi-arid conditions</w:t>
      </w:r>
      <w:r w:rsidR="00E31D0F">
        <w:rPr>
          <w:rFonts w:eastAsia="Times New Roman"/>
          <w:color w:val="0F1115"/>
          <w:sz w:val="24"/>
          <w:szCs w:val="24"/>
          <w:highlight w:val="yellow"/>
          <w:lang w:eastAsia="tr-TR"/>
        </w:rPr>
        <w:t>” (</w:t>
      </w:r>
      <w:r w:rsidR="00E31D0F" w:rsidRPr="00E31D0F">
        <w:rPr>
          <w:rFonts w:eastAsia="Times New Roman"/>
          <w:color w:val="0F1115"/>
          <w:sz w:val="24"/>
          <w:szCs w:val="24"/>
          <w:lang w:eastAsia="tr-TR"/>
        </w:rPr>
        <w:t>Koubaa et al., 2024)</w:t>
      </w:r>
      <w:r w:rsidR="00E31D0F">
        <w:rPr>
          <w:rFonts w:eastAsia="Times New Roman"/>
          <w:color w:val="0F1115"/>
          <w:sz w:val="24"/>
          <w:szCs w:val="24"/>
          <w:highlight w:val="yellow"/>
          <w:lang w:eastAsia="tr-TR"/>
        </w:rPr>
        <w:t>)</w:t>
      </w:r>
      <w:r w:rsidR="00D51221" w:rsidRPr="00F96D9F">
        <w:rPr>
          <w:rFonts w:eastAsia="Times New Roman"/>
          <w:color w:val="0F1115"/>
          <w:sz w:val="24"/>
          <w:szCs w:val="24"/>
          <w:highlight w:val="yellow"/>
          <w:lang w:eastAsia="tr-TR"/>
        </w:rPr>
        <w:t>. This study also considers the role of state-led irrigation investments, particularly the Southeastern Anatolia Project (GAP), as a transformative factor in regional agricultural specialization.</w:t>
      </w:r>
    </w:p>
    <w:p w14:paraId="70D7717B" w14:textId="142979DE" w:rsidR="00452FB4" w:rsidRPr="00452FB4" w:rsidRDefault="005D31CB" w:rsidP="00452FB4">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MATERIALS AND METHODS</w:t>
      </w:r>
    </w:p>
    <w:p w14:paraId="15209066" w14:textId="2EC65128" w:rsidR="005D31CB" w:rsidRPr="00452FB4" w:rsidRDefault="005D31CB" w:rsidP="00452FB4">
      <w:pPr>
        <w:spacing w:before="240" w:after="240" w:line="420" w:lineRule="atLeast"/>
        <w:jc w:val="both"/>
        <w:rPr>
          <w:rFonts w:eastAsia="Times New Roman"/>
          <w:color w:val="0F1115"/>
          <w:sz w:val="24"/>
          <w:szCs w:val="24"/>
          <w:lang w:eastAsia="tr-TR"/>
        </w:rPr>
      </w:pPr>
      <w:r w:rsidRPr="00452FB4">
        <w:rPr>
          <w:rFonts w:eastAsia="Times New Roman"/>
          <w:color w:val="0F1115"/>
          <w:sz w:val="24"/>
          <w:szCs w:val="24"/>
          <w:lang w:eastAsia="tr-TR"/>
        </w:rPr>
        <w:t xml:space="preserve">This research examines the geographical distribution of high-value agriculture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008B28C4" w:rsidRPr="00452FB4">
        <w:rPr>
          <w:rFonts w:eastAsia="Times New Roman"/>
          <w:color w:val="0F1115"/>
          <w:sz w:val="24"/>
          <w:szCs w:val="24"/>
          <w:lang w:eastAsia="tr-TR"/>
        </w:rPr>
        <w:t xml:space="preserve"> </w:t>
      </w:r>
      <w:r w:rsidRPr="00452FB4">
        <w:rPr>
          <w:rFonts w:eastAsia="Times New Roman"/>
          <w:color w:val="0F1115"/>
          <w:sz w:val="24"/>
          <w:szCs w:val="24"/>
          <w:lang w:eastAsia="tr-TR"/>
        </w:rPr>
        <w:t>using quantitative data and spatial analysis techniques.</w:t>
      </w:r>
    </w:p>
    <w:p w14:paraId="617BF409" w14:textId="77777777" w:rsidR="00452FB4"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Data Sources</w:t>
      </w:r>
    </w:p>
    <w:p w14:paraId="1D505F91" w14:textId="1F27A796"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primary data source for the study is the annual</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"Crop Production Statistics"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published by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T</w:t>
      </w:r>
      <w:r w:rsidR="008B28C4">
        <w:rPr>
          <w:rFonts w:eastAsia="Times New Roman"/>
          <w:color w:val="0F1115"/>
          <w:sz w:val="24"/>
          <w:szCs w:val="24"/>
          <w:lang w:eastAsia="tr-TR"/>
        </w:rPr>
        <w:t>ü</w:t>
      </w:r>
      <w:r w:rsidRPr="005D31CB">
        <w:rPr>
          <w:rFonts w:eastAsia="Times New Roman"/>
          <w:color w:val="0F1115"/>
          <w:sz w:val="24"/>
          <w:szCs w:val="24"/>
          <w:lang w:eastAsia="tr-TR"/>
        </w:rPr>
        <w:t>rki</w:t>
      </w:r>
      <w:r w:rsidR="008B28C4">
        <w:rPr>
          <w:rFonts w:eastAsia="Times New Roman"/>
          <w:color w:val="0F1115"/>
          <w:sz w:val="24"/>
          <w:szCs w:val="24"/>
          <w:lang w:eastAsia="tr-TR"/>
        </w:rPr>
        <w:t>ye</w:t>
      </w:r>
      <w:r w:rsidRPr="005D31CB">
        <w:rPr>
          <w:rFonts w:eastAsia="Times New Roman"/>
          <w:color w:val="0F1115"/>
          <w:sz w:val="24"/>
          <w:szCs w:val="24"/>
          <w:lang w:eastAsia="tr-TR"/>
        </w:rPr>
        <w:t xml:space="preserve"> Statistical Institute (TurkStat). Specifically, datasets for the years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2020 and 2024</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were used in the analyses. The data were compiled at the level of</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12 NUTS-1 Regions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for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fruit,</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vegetable, and</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ornamental plants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groups as sown/planted areas (decare).</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State Hydraulic Works reports were utilized for supporting qualitative data on investment and transformation.</w:t>
      </w:r>
    </w:p>
    <w:p w14:paraId="2F6EEE3B"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Analytical Methods and Calculations</w:t>
      </w:r>
    </w:p>
    <w:p w14:paraId="1D0FB3F0" w14:textId="77777777" w:rsidR="00F8640F" w:rsidRPr="00F96D9F" w:rsidRDefault="00F8640F" w:rsidP="00F8640F">
      <w:pPr>
        <w:numPr>
          <w:ilvl w:val="0"/>
          <w:numId w:val="20"/>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Regional Concentration Analysis:</w:t>
      </w:r>
      <w:r w:rsidRPr="00F96D9F">
        <w:rPr>
          <w:rFonts w:eastAsia="Times New Roman"/>
          <w:color w:val="0F1115"/>
          <w:sz w:val="24"/>
          <w:szCs w:val="24"/>
          <w:highlight w:val="yellow"/>
          <w:lang w:eastAsia="tr-TR"/>
        </w:rPr>
        <w:t> For each product group, the combined share of the total production area within the top three regions was calculated. This ratio was used as the primary indicator of the degree of geographical clustering.</w:t>
      </w:r>
    </w:p>
    <w:p w14:paraId="7E76BC73" w14:textId="77777777" w:rsidR="00F8640F" w:rsidRPr="00F96D9F" w:rsidRDefault="00F8640F" w:rsidP="00F8640F">
      <w:pPr>
        <w:numPr>
          <w:ilvl w:val="0"/>
          <w:numId w:val="20"/>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lastRenderedPageBreak/>
        <w:t>Temporal Change Analysis:</w:t>
      </w:r>
      <w:r w:rsidRPr="00F96D9F">
        <w:rPr>
          <w:rFonts w:eastAsia="Times New Roman"/>
          <w:color w:val="0F1115"/>
          <w:sz w:val="24"/>
          <w:szCs w:val="24"/>
          <w:highlight w:val="yellow"/>
          <w:lang w:eastAsia="tr-TR"/>
        </w:rPr>
        <w:t> Absolute and relative changes in the production areas of regions during the 2020-2024 period were calculated as percentages (%), and shifts among leading regions were identified.</w:t>
      </w:r>
    </w:p>
    <w:p w14:paraId="2C2885CF" w14:textId="77777777" w:rsidR="00F8640F" w:rsidRPr="00F96D9F" w:rsidRDefault="00F8640F" w:rsidP="00F8640F">
      <w:pPr>
        <w:numPr>
          <w:ilvl w:val="0"/>
          <w:numId w:val="20"/>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Comparative Regional Profile Analysis:</w:t>
      </w:r>
      <w:r w:rsidRPr="00F96D9F">
        <w:rPr>
          <w:rFonts w:eastAsia="Times New Roman"/>
          <w:color w:val="0F1115"/>
          <w:sz w:val="24"/>
          <w:szCs w:val="24"/>
          <w:highlight w:val="yellow"/>
          <w:lang w:eastAsia="tr-TR"/>
        </w:rPr>
        <w:t> By comparing the shares of HV products within the total agricultural area of each region, the degrees of regional clustering and agricultural identities were revealed.</w:t>
      </w:r>
    </w:p>
    <w:p w14:paraId="29A21DC2" w14:textId="77777777" w:rsidR="00F8640F" w:rsidRPr="00F96D9F" w:rsidRDefault="00F8640F" w:rsidP="00F8640F">
      <w:p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Visualization and Software</w:t>
      </w:r>
    </w:p>
    <w:p w14:paraId="4B5C60DC" w14:textId="77777777" w:rsidR="00F8640F" w:rsidRPr="00F8640F" w:rsidRDefault="00F8640F" w:rsidP="00F8640F">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All statistical calculations and tables were performed using </w:t>
      </w:r>
      <w:r w:rsidRPr="00F96D9F">
        <w:rPr>
          <w:rFonts w:eastAsia="Times New Roman"/>
          <w:b/>
          <w:bCs/>
          <w:color w:val="0F1115"/>
          <w:sz w:val="24"/>
          <w:szCs w:val="24"/>
          <w:highlight w:val="yellow"/>
          <w:lang w:eastAsia="tr-TR"/>
        </w:rPr>
        <w:t>Microsoft Excel</w:t>
      </w:r>
      <w:r w:rsidRPr="00F96D9F">
        <w:rPr>
          <w:rFonts w:eastAsia="Times New Roman"/>
          <w:color w:val="0F1115"/>
          <w:sz w:val="24"/>
          <w:szCs w:val="24"/>
          <w:highlight w:val="yellow"/>
          <w:lang w:eastAsia="tr-TR"/>
        </w:rPr>
        <w:t>. The </w:t>
      </w:r>
      <w:r w:rsidRPr="00F96D9F">
        <w:rPr>
          <w:rFonts w:eastAsia="Times New Roman"/>
          <w:b/>
          <w:bCs/>
          <w:color w:val="0F1115"/>
          <w:sz w:val="24"/>
          <w:szCs w:val="24"/>
          <w:highlight w:val="yellow"/>
          <w:lang w:eastAsia="tr-TR"/>
        </w:rPr>
        <w:t>Python</w:t>
      </w:r>
      <w:r w:rsidRPr="00F96D9F">
        <w:rPr>
          <w:rFonts w:eastAsia="Times New Roman"/>
          <w:color w:val="0F1115"/>
          <w:sz w:val="24"/>
          <w:szCs w:val="24"/>
          <w:highlight w:val="yellow"/>
          <w:lang w:eastAsia="tr-TR"/>
        </w:rPr>
        <w:t> programming language and </w:t>
      </w:r>
      <w:r w:rsidRPr="00F96D9F">
        <w:rPr>
          <w:rFonts w:eastAsia="Times New Roman"/>
          <w:b/>
          <w:bCs/>
          <w:color w:val="0F1115"/>
          <w:sz w:val="24"/>
          <w:szCs w:val="24"/>
          <w:highlight w:val="yellow"/>
          <w:lang w:eastAsia="tr-TR"/>
        </w:rPr>
        <w:t>pandas, matplotlib</w:t>
      </w:r>
      <w:r w:rsidRPr="00F96D9F">
        <w:rPr>
          <w:rFonts w:eastAsia="Times New Roman"/>
          <w:color w:val="0F1115"/>
          <w:sz w:val="24"/>
          <w:szCs w:val="24"/>
          <w:highlight w:val="yellow"/>
          <w:lang w:eastAsia="tr-TR"/>
        </w:rPr>
        <w:t> libraries were employed for processing datasets and creating thematic maps (choropleth maps) and bar charts. This software combination provided reproducible, verifiable, and effective visual analyses.</w:t>
      </w:r>
    </w:p>
    <w:p w14:paraId="5884409E" w14:textId="77777777" w:rsidR="009821DF" w:rsidRPr="005D31CB" w:rsidRDefault="009821DF" w:rsidP="00452FB4">
      <w:pPr>
        <w:spacing w:before="240" w:after="240" w:line="420" w:lineRule="atLeast"/>
        <w:jc w:val="both"/>
        <w:rPr>
          <w:rFonts w:eastAsia="Times New Roman"/>
          <w:color w:val="0F1115"/>
          <w:sz w:val="24"/>
          <w:szCs w:val="24"/>
          <w:lang w:eastAsia="tr-TR"/>
        </w:rPr>
      </w:pPr>
    </w:p>
    <w:p w14:paraId="0817A8C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3. FINDINGS AND DISCUSSION</w:t>
      </w:r>
    </w:p>
    <w:p w14:paraId="2A37DF1B" w14:textId="77777777" w:rsidR="00CD40FE"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The Geography of </w:t>
      </w:r>
      <w:r w:rsidR="008B28C4" w:rsidRPr="005D31CB">
        <w:rPr>
          <w:rFonts w:eastAsia="Times New Roman"/>
          <w:b/>
          <w:bCs/>
          <w:color w:val="0F1115"/>
          <w:sz w:val="24"/>
          <w:szCs w:val="24"/>
          <w:lang w:eastAsia="tr-TR"/>
        </w:rPr>
        <w:t>T</w:t>
      </w:r>
      <w:r w:rsidR="008B28C4" w:rsidRPr="008B28C4">
        <w:rPr>
          <w:rFonts w:eastAsia="Times New Roman"/>
          <w:b/>
          <w:bCs/>
          <w:color w:val="0F1115"/>
          <w:sz w:val="24"/>
          <w:szCs w:val="24"/>
          <w:lang w:eastAsia="tr-TR"/>
        </w:rPr>
        <w:t>ü</w:t>
      </w:r>
      <w:r w:rsidR="008B28C4" w:rsidRPr="005D31CB">
        <w:rPr>
          <w:rFonts w:eastAsia="Times New Roman"/>
          <w:b/>
          <w:bCs/>
          <w:color w:val="0F1115"/>
          <w:sz w:val="24"/>
          <w:szCs w:val="24"/>
          <w:lang w:eastAsia="tr-TR"/>
        </w:rPr>
        <w:t>rk</w:t>
      </w:r>
      <w:r w:rsidR="008B28C4" w:rsidRPr="008B28C4">
        <w:rPr>
          <w:rFonts w:eastAsia="Times New Roman"/>
          <w:b/>
          <w:bCs/>
          <w:color w:val="0F1115"/>
          <w:sz w:val="24"/>
          <w:szCs w:val="24"/>
          <w:lang w:eastAsia="tr-TR"/>
        </w:rPr>
        <w:t>iye</w:t>
      </w:r>
      <w:r w:rsidR="008B28C4" w:rsidRPr="005D31CB">
        <w:rPr>
          <w:rFonts w:eastAsia="Times New Roman"/>
          <w:b/>
          <w:bCs/>
          <w:color w:val="0F1115"/>
          <w:sz w:val="24"/>
          <w:szCs w:val="24"/>
          <w:lang w:eastAsia="tr-TR"/>
        </w:rPr>
        <w:t xml:space="preserve"> </w:t>
      </w:r>
      <w:r w:rsidRPr="005D31CB">
        <w:rPr>
          <w:rFonts w:eastAsia="Times New Roman"/>
          <w:b/>
          <w:bCs/>
          <w:color w:val="0F1115"/>
          <w:sz w:val="24"/>
          <w:szCs w:val="24"/>
          <w:lang w:eastAsia="tr-TR"/>
        </w:rPr>
        <w:t>Fruit Production</w:t>
      </w:r>
    </w:p>
    <w:p w14:paraId="0EB1FF09" w14:textId="3438EE7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Fruit production areas are among the most dynamic and value-adding components of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's agricultural sector. As of 2024, the total fruit area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reached</w:t>
      </w:r>
      <w:r w:rsidR="00CD40FE" w:rsidRPr="00CD40FE">
        <w:rPr>
          <w:rFonts w:eastAsia="Times New Roman"/>
          <w:color w:val="0F1115"/>
          <w:sz w:val="24"/>
          <w:szCs w:val="24"/>
          <w:lang w:eastAsia="tr-TR"/>
        </w:rPr>
        <w:t xml:space="preserve"> </w:t>
      </w:r>
      <w:r w:rsidRPr="005D31CB">
        <w:rPr>
          <w:rFonts w:eastAsia="Times New Roman"/>
          <w:color w:val="0F1115"/>
          <w:sz w:val="24"/>
          <w:szCs w:val="24"/>
          <w:lang w:eastAsia="tr-TR"/>
        </w:rPr>
        <w:t>37.99 million decares. However, an examination of the geographical distribution of this area reveals that production is concentrated in specific regions and this concentration is strengthening.</w:t>
      </w:r>
    </w:p>
    <w:p w14:paraId="5D91A69A"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1. Leading Regions in Fruit Area in 2024 and 2020-2024 Change Analysis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380"/>
        <w:gridCol w:w="2224"/>
        <w:gridCol w:w="1689"/>
        <w:gridCol w:w="1217"/>
        <w:gridCol w:w="1785"/>
      </w:tblGrid>
      <w:tr w:rsidR="005D31CB" w:rsidRPr="005D31CB" w14:paraId="2D272088" w14:textId="77777777" w:rsidTr="00A9045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B153D6"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EA162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61A998"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B3FF9D"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Fruit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C620A3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82FCF0F"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2020-2024 Change (%)</w:t>
            </w:r>
          </w:p>
        </w:tc>
      </w:tr>
      <w:tr w:rsidR="005D31CB" w:rsidRPr="005D31CB" w14:paraId="71F1CA62" w14:textId="77777777" w:rsidTr="00A90455">
        <w:tc>
          <w:tcPr>
            <w:tcW w:w="0" w:type="auto"/>
            <w:tcBorders>
              <w:top w:val="single" w:sz="4" w:space="0" w:color="auto"/>
            </w:tcBorders>
            <w:tcMar>
              <w:top w:w="150" w:type="dxa"/>
              <w:left w:w="0" w:type="dxa"/>
              <w:bottom w:w="150" w:type="dxa"/>
              <w:right w:w="240" w:type="dxa"/>
            </w:tcMar>
            <w:vAlign w:val="center"/>
            <w:hideMark/>
          </w:tcPr>
          <w:p w14:paraId="5117D01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199684D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3E7292A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C700D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8,652,765</w:t>
            </w:r>
          </w:p>
        </w:tc>
        <w:tc>
          <w:tcPr>
            <w:tcW w:w="0" w:type="auto"/>
            <w:tcBorders>
              <w:top w:val="single" w:sz="4" w:space="0" w:color="auto"/>
            </w:tcBorders>
            <w:tcMar>
              <w:top w:w="150" w:type="dxa"/>
              <w:left w:w="240" w:type="dxa"/>
              <w:bottom w:w="150" w:type="dxa"/>
              <w:right w:w="240" w:type="dxa"/>
            </w:tcMar>
            <w:vAlign w:val="center"/>
            <w:hideMark/>
          </w:tcPr>
          <w:p w14:paraId="01C74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22.8</w:t>
            </w:r>
          </w:p>
        </w:tc>
        <w:tc>
          <w:tcPr>
            <w:tcW w:w="0" w:type="auto"/>
            <w:tcBorders>
              <w:top w:val="single" w:sz="4" w:space="0" w:color="auto"/>
            </w:tcBorders>
            <w:tcMar>
              <w:top w:w="150" w:type="dxa"/>
              <w:left w:w="240" w:type="dxa"/>
              <w:bottom w:w="150" w:type="dxa"/>
              <w:right w:w="0" w:type="dxa"/>
            </w:tcMar>
            <w:vAlign w:val="center"/>
            <w:hideMark/>
          </w:tcPr>
          <w:p w14:paraId="55C1414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+2.1</w:t>
            </w:r>
          </w:p>
        </w:tc>
      </w:tr>
      <w:tr w:rsidR="005D31CB" w:rsidRPr="005D31CB" w14:paraId="501EDF5B" w14:textId="77777777" w:rsidTr="00A90455">
        <w:tc>
          <w:tcPr>
            <w:tcW w:w="0" w:type="auto"/>
            <w:tcMar>
              <w:top w:w="150" w:type="dxa"/>
              <w:left w:w="0" w:type="dxa"/>
              <w:bottom w:w="150" w:type="dxa"/>
              <w:right w:w="240" w:type="dxa"/>
            </w:tcMar>
            <w:vAlign w:val="center"/>
            <w:hideMark/>
          </w:tcPr>
          <w:p w14:paraId="63EE0C0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3E5087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TRC</w:t>
            </w:r>
          </w:p>
        </w:tc>
        <w:tc>
          <w:tcPr>
            <w:tcW w:w="0" w:type="auto"/>
            <w:tcMar>
              <w:top w:w="150" w:type="dxa"/>
              <w:left w:w="240" w:type="dxa"/>
              <w:bottom w:w="150" w:type="dxa"/>
              <w:right w:w="240" w:type="dxa"/>
            </w:tcMar>
            <w:vAlign w:val="center"/>
            <w:hideMark/>
          </w:tcPr>
          <w:p w14:paraId="326F83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Southeastern Anatolia</w:t>
            </w:r>
          </w:p>
        </w:tc>
        <w:tc>
          <w:tcPr>
            <w:tcW w:w="0" w:type="auto"/>
            <w:tcMar>
              <w:top w:w="150" w:type="dxa"/>
              <w:left w:w="240" w:type="dxa"/>
              <w:bottom w:w="150" w:type="dxa"/>
              <w:right w:w="240" w:type="dxa"/>
            </w:tcMar>
            <w:vAlign w:val="center"/>
            <w:hideMark/>
          </w:tcPr>
          <w:p w14:paraId="7B1F38C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7,428,396</w:t>
            </w:r>
          </w:p>
        </w:tc>
        <w:tc>
          <w:tcPr>
            <w:tcW w:w="0" w:type="auto"/>
            <w:tcMar>
              <w:top w:w="150" w:type="dxa"/>
              <w:left w:w="240" w:type="dxa"/>
              <w:bottom w:w="150" w:type="dxa"/>
              <w:right w:w="240" w:type="dxa"/>
            </w:tcMar>
            <w:vAlign w:val="center"/>
            <w:hideMark/>
          </w:tcPr>
          <w:p w14:paraId="77D292D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19.6</w:t>
            </w:r>
          </w:p>
        </w:tc>
        <w:tc>
          <w:tcPr>
            <w:tcW w:w="0" w:type="auto"/>
            <w:tcMar>
              <w:top w:w="150" w:type="dxa"/>
              <w:left w:w="240" w:type="dxa"/>
              <w:bottom w:w="150" w:type="dxa"/>
              <w:right w:w="0" w:type="dxa"/>
            </w:tcMar>
            <w:vAlign w:val="center"/>
            <w:hideMark/>
          </w:tcPr>
          <w:p w14:paraId="645947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+20.7</w:t>
            </w:r>
          </w:p>
        </w:tc>
      </w:tr>
      <w:tr w:rsidR="005D31CB" w:rsidRPr="005D31CB" w14:paraId="5CC0CBDB" w14:textId="77777777" w:rsidTr="00A90455">
        <w:tc>
          <w:tcPr>
            <w:tcW w:w="0" w:type="auto"/>
            <w:tcMar>
              <w:top w:w="150" w:type="dxa"/>
              <w:left w:w="0" w:type="dxa"/>
              <w:bottom w:w="150" w:type="dxa"/>
              <w:right w:w="240" w:type="dxa"/>
            </w:tcMar>
            <w:vAlign w:val="center"/>
            <w:hideMark/>
          </w:tcPr>
          <w:p w14:paraId="4B6B926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78DC6C4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3B32F174"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2C65CD2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5,969,725</w:t>
            </w:r>
          </w:p>
        </w:tc>
        <w:tc>
          <w:tcPr>
            <w:tcW w:w="0" w:type="auto"/>
            <w:tcMar>
              <w:top w:w="150" w:type="dxa"/>
              <w:left w:w="240" w:type="dxa"/>
              <w:bottom w:w="150" w:type="dxa"/>
              <w:right w:w="240" w:type="dxa"/>
            </w:tcMar>
            <w:vAlign w:val="center"/>
            <w:hideMark/>
          </w:tcPr>
          <w:p w14:paraId="587D0F9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15.7</w:t>
            </w:r>
          </w:p>
        </w:tc>
        <w:tc>
          <w:tcPr>
            <w:tcW w:w="0" w:type="auto"/>
            <w:tcMar>
              <w:top w:w="150" w:type="dxa"/>
              <w:left w:w="240" w:type="dxa"/>
              <w:bottom w:w="150" w:type="dxa"/>
              <w:right w:w="0" w:type="dxa"/>
            </w:tcMar>
            <w:vAlign w:val="center"/>
            <w:hideMark/>
          </w:tcPr>
          <w:p w14:paraId="50CCD2D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+7.9</w:t>
            </w:r>
          </w:p>
        </w:tc>
      </w:tr>
      <w:tr w:rsidR="005D31CB" w:rsidRPr="005D31CB" w14:paraId="12AE38E0" w14:textId="77777777" w:rsidTr="00A90455">
        <w:tc>
          <w:tcPr>
            <w:tcW w:w="0" w:type="auto"/>
            <w:tcMar>
              <w:top w:w="150" w:type="dxa"/>
              <w:left w:w="0" w:type="dxa"/>
              <w:bottom w:w="150" w:type="dxa"/>
              <w:right w:w="240" w:type="dxa"/>
            </w:tcMar>
            <w:vAlign w:val="center"/>
            <w:hideMark/>
          </w:tcPr>
          <w:p w14:paraId="6B597D4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4</w:t>
            </w:r>
          </w:p>
        </w:tc>
        <w:tc>
          <w:tcPr>
            <w:tcW w:w="0" w:type="auto"/>
            <w:tcMar>
              <w:top w:w="150" w:type="dxa"/>
              <w:left w:w="240" w:type="dxa"/>
              <w:bottom w:w="150" w:type="dxa"/>
              <w:right w:w="240" w:type="dxa"/>
            </w:tcMar>
            <w:vAlign w:val="center"/>
            <w:hideMark/>
          </w:tcPr>
          <w:p w14:paraId="6327FC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TR9</w:t>
            </w:r>
          </w:p>
        </w:tc>
        <w:tc>
          <w:tcPr>
            <w:tcW w:w="0" w:type="auto"/>
            <w:tcMar>
              <w:top w:w="150" w:type="dxa"/>
              <w:left w:w="240" w:type="dxa"/>
              <w:bottom w:w="150" w:type="dxa"/>
              <w:right w:w="240" w:type="dxa"/>
            </w:tcMar>
            <w:vAlign w:val="center"/>
            <w:hideMark/>
          </w:tcPr>
          <w:p w14:paraId="1000A18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Black Sea</w:t>
            </w:r>
          </w:p>
        </w:tc>
        <w:tc>
          <w:tcPr>
            <w:tcW w:w="0" w:type="auto"/>
            <w:tcMar>
              <w:top w:w="150" w:type="dxa"/>
              <w:left w:w="240" w:type="dxa"/>
              <w:bottom w:w="150" w:type="dxa"/>
              <w:right w:w="240" w:type="dxa"/>
            </w:tcMar>
            <w:vAlign w:val="center"/>
            <w:hideMark/>
          </w:tcPr>
          <w:p w14:paraId="0342B26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5,052,886</w:t>
            </w:r>
          </w:p>
        </w:tc>
        <w:tc>
          <w:tcPr>
            <w:tcW w:w="0" w:type="auto"/>
            <w:tcMar>
              <w:top w:w="150" w:type="dxa"/>
              <w:left w:w="240" w:type="dxa"/>
              <w:bottom w:w="150" w:type="dxa"/>
              <w:right w:w="240" w:type="dxa"/>
            </w:tcMar>
            <w:vAlign w:val="center"/>
            <w:hideMark/>
          </w:tcPr>
          <w:p w14:paraId="30C40AB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13.3</w:t>
            </w:r>
          </w:p>
        </w:tc>
        <w:tc>
          <w:tcPr>
            <w:tcW w:w="0" w:type="auto"/>
            <w:tcMar>
              <w:top w:w="150" w:type="dxa"/>
              <w:left w:w="240" w:type="dxa"/>
              <w:bottom w:w="150" w:type="dxa"/>
              <w:right w:w="0" w:type="dxa"/>
            </w:tcMar>
            <w:vAlign w:val="center"/>
            <w:hideMark/>
          </w:tcPr>
          <w:p w14:paraId="6BDCDA4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-0.0</w:t>
            </w:r>
          </w:p>
        </w:tc>
      </w:tr>
      <w:tr w:rsidR="005D31CB" w:rsidRPr="005D31CB" w14:paraId="479370E3" w14:textId="77777777" w:rsidTr="00A90455">
        <w:tc>
          <w:tcPr>
            <w:tcW w:w="0" w:type="auto"/>
            <w:tcMar>
              <w:top w:w="150" w:type="dxa"/>
              <w:left w:w="0" w:type="dxa"/>
              <w:bottom w:w="150" w:type="dxa"/>
              <w:right w:w="240" w:type="dxa"/>
            </w:tcMar>
            <w:vAlign w:val="center"/>
            <w:hideMark/>
          </w:tcPr>
          <w:p w14:paraId="40C898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lastRenderedPageBreak/>
              <w:t>5</w:t>
            </w:r>
          </w:p>
        </w:tc>
        <w:tc>
          <w:tcPr>
            <w:tcW w:w="0" w:type="auto"/>
            <w:tcMar>
              <w:top w:w="150" w:type="dxa"/>
              <w:left w:w="240" w:type="dxa"/>
              <w:bottom w:w="150" w:type="dxa"/>
              <w:right w:w="240" w:type="dxa"/>
            </w:tcMar>
            <w:vAlign w:val="center"/>
            <w:hideMark/>
          </w:tcPr>
          <w:p w14:paraId="6A95301B"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TR4</w:t>
            </w:r>
          </w:p>
        </w:tc>
        <w:tc>
          <w:tcPr>
            <w:tcW w:w="0" w:type="auto"/>
            <w:tcMar>
              <w:top w:w="150" w:type="dxa"/>
              <w:left w:w="240" w:type="dxa"/>
              <w:bottom w:w="150" w:type="dxa"/>
              <w:right w:w="240" w:type="dxa"/>
            </w:tcMar>
            <w:vAlign w:val="center"/>
            <w:hideMark/>
          </w:tcPr>
          <w:p w14:paraId="78637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Marmara</w:t>
            </w:r>
          </w:p>
        </w:tc>
        <w:tc>
          <w:tcPr>
            <w:tcW w:w="0" w:type="auto"/>
            <w:tcMar>
              <w:top w:w="150" w:type="dxa"/>
              <w:left w:w="240" w:type="dxa"/>
              <w:bottom w:w="150" w:type="dxa"/>
              <w:right w:w="240" w:type="dxa"/>
            </w:tcMar>
            <w:vAlign w:val="center"/>
            <w:hideMark/>
          </w:tcPr>
          <w:p w14:paraId="1B9F108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2,977,887</w:t>
            </w:r>
          </w:p>
        </w:tc>
        <w:tc>
          <w:tcPr>
            <w:tcW w:w="0" w:type="auto"/>
            <w:tcMar>
              <w:top w:w="150" w:type="dxa"/>
              <w:left w:w="240" w:type="dxa"/>
              <w:bottom w:w="150" w:type="dxa"/>
              <w:right w:w="240" w:type="dxa"/>
            </w:tcMar>
            <w:vAlign w:val="center"/>
            <w:hideMark/>
          </w:tcPr>
          <w:p w14:paraId="4048F60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7.8</w:t>
            </w:r>
          </w:p>
        </w:tc>
        <w:tc>
          <w:tcPr>
            <w:tcW w:w="0" w:type="auto"/>
            <w:tcMar>
              <w:top w:w="150" w:type="dxa"/>
              <w:left w:w="240" w:type="dxa"/>
              <w:bottom w:w="150" w:type="dxa"/>
              <w:right w:w="0" w:type="dxa"/>
            </w:tcMar>
            <w:vAlign w:val="center"/>
            <w:hideMark/>
          </w:tcPr>
          <w:p w14:paraId="4A12A010"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+6.1</w:t>
            </w:r>
          </w:p>
        </w:tc>
      </w:tr>
      <w:tr w:rsidR="005D31CB" w:rsidRPr="005D31CB" w14:paraId="194E9692" w14:textId="77777777" w:rsidTr="00A90455">
        <w:tc>
          <w:tcPr>
            <w:tcW w:w="0" w:type="auto"/>
            <w:tcMar>
              <w:top w:w="150" w:type="dxa"/>
              <w:left w:w="0" w:type="dxa"/>
              <w:bottom w:w="150" w:type="dxa"/>
              <w:right w:w="240" w:type="dxa"/>
            </w:tcMar>
            <w:vAlign w:val="center"/>
            <w:hideMark/>
          </w:tcPr>
          <w:p w14:paraId="7E5E7D9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c>
          <w:tcPr>
            <w:tcW w:w="0" w:type="auto"/>
            <w:tcMar>
              <w:top w:w="150" w:type="dxa"/>
              <w:left w:w="240" w:type="dxa"/>
              <w:bottom w:w="150" w:type="dxa"/>
              <w:right w:w="240" w:type="dxa"/>
            </w:tcMar>
            <w:vAlign w:val="center"/>
            <w:hideMark/>
          </w:tcPr>
          <w:p w14:paraId="0A0514D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7FFDA092" w14:textId="56FD6C13" w:rsidR="005D31CB" w:rsidRPr="005D31CB" w:rsidRDefault="008B28C4" w:rsidP="00F819E3">
            <w:pPr>
              <w:spacing w:after="0" w:line="240" w:lineRule="auto"/>
              <w:jc w:val="both"/>
              <w:rPr>
                <w:rFonts w:eastAsia="Times New Roman"/>
                <w:sz w:val="23"/>
                <w:szCs w:val="23"/>
                <w:lang w:eastAsia="tr-TR"/>
              </w:rPr>
            </w:pPr>
            <w:r w:rsidRPr="005D31CB">
              <w:rPr>
                <w:rFonts w:eastAsia="Times New Roman"/>
                <w:b/>
                <w:bCs/>
                <w:color w:val="0F1115"/>
                <w:sz w:val="24"/>
                <w:szCs w:val="24"/>
                <w:lang w:eastAsia="tr-TR"/>
              </w:rPr>
              <w:t>T</w:t>
            </w:r>
            <w:r w:rsidRPr="008B28C4">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8B28C4">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4005F5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37,992,021</w:t>
            </w:r>
          </w:p>
        </w:tc>
        <w:tc>
          <w:tcPr>
            <w:tcW w:w="0" w:type="auto"/>
            <w:tcMar>
              <w:top w:w="150" w:type="dxa"/>
              <w:left w:w="240" w:type="dxa"/>
              <w:bottom w:w="150" w:type="dxa"/>
              <w:right w:w="240" w:type="dxa"/>
            </w:tcMar>
            <w:vAlign w:val="center"/>
            <w:hideMark/>
          </w:tcPr>
          <w:p w14:paraId="3FB2AD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100.0</w:t>
            </w:r>
          </w:p>
        </w:tc>
        <w:tc>
          <w:tcPr>
            <w:tcW w:w="0" w:type="auto"/>
            <w:tcMar>
              <w:top w:w="150" w:type="dxa"/>
              <w:left w:w="240" w:type="dxa"/>
              <w:bottom w:w="150" w:type="dxa"/>
              <w:right w:w="0" w:type="dxa"/>
            </w:tcMar>
            <w:vAlign w:val="center"/>
            <w:hideMark/>
          </w:tcPr>
          <w:p w14:paraId="44A8C306"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r>
    </w:tbl>
    <w:p w14:paraId="76F32D4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(2020, 2024)</w:t>
      </w:r>
    </w:p>
    <w:p w14:paraId="40415886" w14:textId="7267CF19" w:rsidR="009821DF" w:rsidRDefault="007F1C20" w:rsidP="007F1C20">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The data show that 58.1% of Türkiye’s fruit area is concentrated in just three regions (TR3 Aegean, TRC Southeastern Anatolia, TR6 Mediterranean) (Table 1). This indicates a distinct geographical clustering pattern. The most striking development in the table is the 20.7% growth experienced in the TRC (Southeastern Anatolia) region. The fruit area, which was 6.15 million decares in 2020, reached 7.43 million decares in 2024, surpassing the Mediterranean region and rising to second place. Behind this transformation lie the irrigation opportunities provided under the Southeastern Anatolia Project (GAP) and intensive investments in high-value products such as pistachio, olive, and apricot (Benek, 2009). This is a concrete example of how state investments can radically alter a region's comparative advantage.</w:t>
      </w:r>
    </w:p>
    <w:p w14:paraId="1380DD16" w14:textId="77777777" w:rsidR="007F1C20" w:rsidRPr="00452FB4" w:rsidRDefault="007F1C20" w:rsidP="00FE042A">
      <w:pPr>
        <w:spacing w:after="0" w:line="240" w:lineRule="auto"/>
        <w:jc w:val="both"/>
        <w:rPr>
          <w:rFonts w:eastAsia="Times New Roman"/>
          <w:color w:val="0F1115"/>
          <w:sz w:val="24"/>
          <w:szCs w:val="24"/>
          <w:lang w:eastAsia="tr-TR"/>
        </w:rPr>
      </w:pPr>
    </w:p>
    <w:p w14:paraId="5C73222E" w14:textId="3829EC61" w:rsidR="00FF7D9C" w:rsidRDefault="002604E0" w:rsidP="00452FB4">
      <w:pPr>
        <w:spacing w:before="240" w:after="240" w:line="420" w:lineRule="atLeast"/>
        <w:jc w:val="both"/>
        <w:rPr>
          <w:rFonts w:eastAsia="Times New Roman"/>
          <w:color w:val="0F1115"/>
          <w:sz w:val="24"/>
          <w:szCs w:val="24"/>
          <w:lang w:eastAsia="tr-TR"/>
        </w:rPr>
      </w:pPr>
      <w:r w:rsidRPr="00452FB4">
        <w:rPr>
          <w:noProof/>
        </w:rPr>
        <w:drawing>
          <wp:inline distT="0" distB="0" distL="0" distR="0" wp14:anchorId="551B5E38" wp14:editId="6BACE3CD">
            <wp:extent cx="5632450" cy="3251200"/>
            <wp:effectExtent l="0" t="0" r="6350" b="6350"/>
            <wp:docPr id="13" name="Grafik 13">
              <a:extLst xmlns:a="http://schemas.openxmlformats.org/drawingml/2006/main">
                <a:ext uri="{FF2B5EF4-FFF2-40B4-BE49-F238E27FC236}">
                  <a16:creationId xmlns:a16="http://schemas.microsoft.com/office/drawing/2014/main" id="{328DBEBF-85C0-41A0-8021-A650CBDC3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5E163D" w14:textId="3509747C" w:rsidR="00FF7D9C" w:rsidRDefault="00FF7D9C" w:rsidP="00FF7D9C">
      <w:pPr>
        <w:rPr>
          <w:rFonts w:eastAsia="Times New Roman"/>
          <w:sz w:val="24"/>
          <w:szCs w:val="24"/>
          <w:lang w:eastAsia="tr-TR"/>
        </w:rPr>
      </w:pPr>
    </w:p>
    <w:p w14:paraId="46C6938F" w14:textId="2851526B" w:rsidR="002604E0" w:rsidRPr="00FF7D9C" w:rsidRDefault="00FF7D9C" w:rsidP="00FF7D9C">
      <w:pPr>
        <w:tabs>
          <w:tab w:val="left" w:pos="2760"/>
        </w:tabs>
        <w:rPr>
          <w:rFonts w:eastAsia="Times New Roman"/>
          <w:sz w:val="24"/>
          <w:szCs w:val="24"/>
          <w:lang w:eastAsia="tr-TR"/>
        </w:rPr>
      </w:pPr>
      <w:r w:rsidRPr="00FF7D9C">
        <w:rPr>
          <w:rFonts w:eastAsia="Times New Roman"/>
          <w:sz w:val="24"/>
          <w:szCs w:val="24"/>
          <w:lang w:eastAsia="tr-TR"/>
        </w:rPr>
        <w:t xml:space="preserve">Figure 1. Regional Distribution of Fruit Areas in Türkiye (2024) </w:t>
      </w:r>
    </w:p>
    <w:p w14:paraId="3A392570" w14:textId="333C7E13" w:rsidR="002604E0" w:rsidRPr="005D31CB" w:rsidRDefault="002604E0" w:rsidP="009821DF">
      <w:pPr>
        <w:spacing w:before="240" w:after="240" w:line="240" w:lineRule="auto"/>
        <w:jc w:val="both"/>
        <w:rPr>
          <w:rFonts w:eastAsia="Times New Roman"/>
          <w:color w:val="0F1115"/>
          <w:sz w:val="24"/>
          <w:szCs w:val="24"/>
          <w:lang w:eastAsia="tr-TR"/>
        </w:rPr>
      </w:pPr>
      <w:r w:rsidRPr="00452FB4">
        <w:rPr>
          <w:b/>
          <w:bCs/>
          <w:noProof/>
          <w:color w:val="0F1115"/>
        </w:rPr>
        <w:lastRenderedPageBreak/>
        <w:drawing>
          <wp:inline distT="0" distB="0" distL="0" distR="0" wp14:anchorId="717156C6" wp14:editId="377C4BFD">
            <wp:extent cx="5657850" cy="38671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358"/>
                    <a:stretch/>
                  </pic:blipFill>
                  <pic:spPr bwMode="auto">
                    <a:xfrm>
                      <a:off x="0" y="0"/>
                      <a:ext cx="5657993" cy="3867248"/>
                    </a:xfrm>
                    <a:prstGeom prst="rect">
                      <a:avLst/>
                    </a:prstGeom>
                    <a:noFill/>
                    <a:ln>
                      <a:noFill/>
                    </a:ln>
                    <a:extLst>
                      <a:ext uri="{53640926-AAD7-44D8-BBD7-CCE9431645EC}">
                        <a14:shadowObscured xmlns:a14="http://schemas.microsoft.com/office/drawing/2010/main"/>
                      </a:ext>
                    </a:extLst>
                  </pic:spPr>
                </pic:pic>
              </a:graphicData>
            </a:graphic>
          </wp:inline>
        </w:drawing>
      </w:r>
    </w:p>
    <w:p w14:paraId="4AA41E80" w14:textId="1334D2E8" w:rsidR="009821DF" w:rsidRDefault="005D31CB" w:rsidP="009821DF">
      <w:pPr>
        <w:spacing w:before="240" w:after="240" w:line="240" w:lineRule="auto"/>
        <w:jc w:val="both"/>
        <w:rPr>
          <w:rFonts w:eastAsia="Times New Roman"/>
          <w:color w:val="0F1115"/>
          <w:sz w:val="24"/>
          <w:szCs w:val="24"/>
          <w:lang w:eastAsia="tr-TR"/>
        </w:rPr>
      </w:pPr>
      <w:r w:rsidRPr="005D31CB">
        <w:rPr>
          <w:rFonts w:eastAsia="Times New Roman"/>
          <w:b/>
          <w:bCs/>
          <w:color w:val="0F1115"/>
          <w:sz w:val="24"/>
          <w:szCs w:val="24"/>
          <w:lang w:eastAsia="tr-TR"/>
        </w:rPr>
        <w:t xml:space="preserve">Figure </w:t>
      </w:r>
      <w:r w:rsidR="00FF7D9C">
        <w:rPr>
          <w:rFonts w:eastAsia="Times New Roman"/>
          <w:b/>
          <w:bCs/>
          <w:color w:val="0F1115"/>
          <w:sz w:val="24"/>
          <w:szCs w:val="24"/>
          <w:lang w:eastAsia="tr-TR"/>
        </w:rPr>
        <w:t>2</w:t>
      </w:r>
      <w:r w:rsidRPr="005D31CB">
        <w:rPr>
          <w:rFonts w:eastAsia="Times New Roman"/>
          <w:b/>
          <w:bCs/>
          <w:color w:val="0F1115"/>
          <w:sz w:val="24"/>
          <w:szCs w:val="24"/>
          <w:lang w:eastAsia="tr-TR"/>
        </w:rPr>
        <w:t xml:space="preserve">. Regional Distribution of </w:t>
      </w:r>
      <w:r w:rsidR="00FF7D9C" w:rsidRPr="00FF7D9C">
        <w:rPr>
          <w:rFonts w:eastAsia="Times New Roman"/>
          <w:b/>
          <w:bCs/>
          <w:color w:val="0F1115"/>
          <w:sz w:val="24"/>
          <w:szCs w:val="24"/>
          <w:lang w:eastAsia="tr-TR"/>
        </w:rPr>
        <w:t xml:space="preserve">Growth Rate </w:t>
      </w:r>
      <w:r w:rsidRPr="005D31CB">
        <w:rPr>
          <w:rFonts w:eastAsia="Times New Roman"/>
          <w:b/>
          <w:bCs/>
          <w:color w:val="0F1115"/>
          <w:sz w:val="24"/>
          <w:szCs w:val="24"/>
          <w:lang w:eastAsia="tr-TR"/>
        </w:rPr>
        <w:t>in</w:t>
      </w:r>
      <w:r w:rsidRPr="00EA4CFF">
        <w:rPr>
          <w:rFonts w:eastAsia="Times New Roman"/>
          <w:b/>
          <w:bCs/>
          <w:color w:val="0F1115"/>
          <w:sz w:val="24"/>
          <w:szCs w:val="24"/>
          <w:lang w:eastAsia="tr-TR"/>
        </w:rPr>
        <w:t xml:space="preserve"> </w:t>
      </w:r>
      <w:r w:rsidR="00970AE1" w:rsidRPr="00EA4CFF">
        <w:rPr>
          <w:rFonts w:eastAsia="Times New Roman"/>
          <w:b/>
          <w:bCs/>
          <w:color w:val="0F1115"/>
          <w:sz w:val="24"/>
          <w:szCs w:val="24"/>
          <w:lang w:eastAsia="tr-TR"/>
        </w:rPr>
        <w:t>Türkiye</w:t>
      </w:r>
      <w:r w:rsidRPr="005D31CB">
        <w:rPr>
          <w:rFonts w:eastAsia="Times New Roman"/>
          <w:b/>
          <w:bCs/>
          <w:color w:val="0F1115"/>
          <w:sz w:val="24"/>
          <w:szCs w:val="24"/>
          <w:lang w:eastAsia="tr-TR"/>
        </w:rPr>
        <w:t xml:space="preserve"> (2020-2024</w:t>
      </w:r>
      <w:r w:rsidR="00FF7D9C">
        <w:rPr>
          <w:rFonts w:eastAsia="Times New Roman"/>
          <w:b/>
          <w:bCs/>
          <w:color w:val="0F1115"/>
          <w:sz w:val="24"/>
          <w:szCs w:val="24"/>
          <w:lang w:eastAsia="tr-TR"/>
        </w:rPr>
        <w:t>)</w:t>
      </w:r>
    </w:p>
    <w:p w14:paraId="56AAA50B" w14:textId="46A60898" w:rsidR="00EA4CFF" w:rsidRDefault="00EA4CFF" w:rsidP="00452FB4">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Figure 1</w:t>
      </w:r>
      <w:r w:rsidR="00FF7D9C">
        <w:rPr>
          <w:rFonts w:eastAsia="Times New Roman"/>
          <w:color w:val="0F1115"/>
          <w:sz w:val="24"/>
          <w:szCs w:val="24"/>
          <w:highlight w:val="yellow"/>
          <w:lang w:eastAsia="tr-TR"/>
        </w:rPr>
        <w:t xml:space="preserve"> &amp; 2</w:t>
      </w:r>
      <w:r w:rsidRPr="00F96D9F">
        <w:rPr>
          <w:rFonts w:eastAsia="Times New Roman"/>
          <w:color w:val="0F1115"/>
          <w:sz w:val="24"/>
          <w:szCs w:val="24"/>
          <w:highlight w:val="yellow"/>
          <w:lang w:eastAsia="tr-TR"/>
        </w:rPr>
        <w:t xml:space="preserve"> presents the geographical distribution of fruit production areas in Türkiye in 2024 alongside the regional growth rates for the 2020-2024 period. The data clearly demonstrate that specialization and growth in the sector are not geographically uniform. The TRC (Southeastern Anatolia) region stands out as the most dynamic expansion hub with an annual growth rate of 20.7%. This extraordinary growth is a direct result of irrigation investments under the Southeastern Anatolia Project (GAP) and investments in high-income products such as pistachio and olive. The traditional fruit production centers, TR3 (Aegean, 2.1%) and TR6 (Mediterranean, 7.9%), with relatively lower growth rates, can be interpreted as an indicator of already possessing an intensive production infrastructure. These findings reveal how state-supported infrastructure investments can rapidly transform regional comparative advantages in Türkiye's fruit-growing geography and highlight the strategic importance of sustainable water management for the sector's growth. The concentration of growth in a region with high water stress points to the critical role of efficient irrigation technologies and basin-based planning for the future sustainability of production.</w:t>
      </w:r>
    </w:p>
    <w:p w14:paraId="7AEC038A" w14:textId="22D168B5" w:rsidR="004375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Vegetable Production Corridors: The Balance of Domestic Market and Export</w:t>
      </w:r>
    </w:p>
    <w:p w14:paraId="1B9E7070" w14:textId="42CF3148" w:rsidR="005D31CB" w:rsidRDefault="005D31CB" w:rsidP="00452FB4">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lastRenderedPageBreak/>
        <w:t>Vegetable production exhibits less geographical concentration compared to fruit; as many vegetable species have broader climate tolerance, and</w:t>
      </w:r>
      <w:r w:rsidR="004375CB" w:rsidRPr="00F96D9F">
        <w:rPr>
          <w:rFonts w:eastAsia="Times New Roman"/>
          <w:color w:val="0F1115"/>
          <w:sz w:val="24"/>
          <w:szCs w:val="24"/>
          <w:highlight w:val="yellow"/>
          <w:lang w:eastAsia="tr-TR"/>
        </w:rPr>
        <w:t xml:space="preserve"> </w:t>
      </w:r>
      <w:r w:rsidRPr="00F96D9F">
        <w:rPr>
          <w:rFonts w:eastAsia="Times New Roman"/>
          <w:color w:val="0F1115"/>
          <w:sz w:val="24"/>
          <w:szCs w:val="24"/>
          <w:highlight w:val="yellow"/>
          <w:lang w:eastAsia="tr-TR"/>
        </w:rPr>
        <w:t>market proximity (logistics)</w:t>
      </w:r>
      <w:r w:rsidR="004375CB" w:rsidRPr="00F96D9F">
        <w:rPr>
          <w:rFonts w:eastAsia="Times New Roman"/>
          <w:color w:val="0F1115"/>
          <w:sz w:val="24"/>
          <w:szCs w:val="24"/>
          <w:highlight w:val="yellow"/>
          <w:lang w:eastAsia="tr-TR"/>
        </w:rPr>
        <w:t xml:space="preserve"> </w:t>
      </w:r>
      <w:r w:rsidRPr="00F96D9F">
        <w:rPr>
          <w:rFonts w:eastAsia="Times New Roman"/>
          <w:color w:val="0F1115"/>
          <w:sz w:val="24"/>
          <w:szCs w:val="24"/>
          <w:highlight w:val="yellow"/>
          <w:lang w:eastAsia="tr-TR"/>
        </w:rPr>
        <w:t>plays a much more critical role in determining production location due to fresh consumption. Nevertheless, distinct clusters are observed, especially in regions with export-oriented activities and/or intensive greenhouse cultivation.</w:t>
      </w:r>
      <w:r w:rsidR="007D5248" w:rsidRPr="00F96D9F">
        <w:rPr>
          <w:rFonts w:ascii="Segoe UI" w:hAnsi="Segoe UI" w:cs="Segoe UI"/>
          <w:color w:val="0F1115"/>
          <w:highlight w:val="yellow"/>
          <w:shd w:val="clear" w:color="auto" w:fill="FFFFFF"/>
        </w:rPr>
        <w:t xml:space="preserve"> </w:t>
      </w:r>
      <w:r w:rsidR="007D5248" w:rsidRPr="00F96D9F">
        <w:rPr>
          <w:rFonts w:eastAsia="Times New Roman"/>
          <w:color w:val="0F1115"/>
          <w:sz w:val="24"/>
          <w:szCs w:val="24"/>
          <w:highlight w:val="yellow"/>
          <w:lang w:eastAsia="tr-TR"/>
        </w:rPr>
        <w:t xml:space="preserve">The most noteworthy development here is the rise of TR7 (Central Anatolia), traditionally known as a grain and fallow region, to second place in vegetable area, overtaking the traditional vegetable base TR6 (Mediterranean) region (Table 2). A visual representation of the leading regions is provided in Figure </w:t>
      </w:r>
      <w:r w:rsidR="00FF7D9C">
        <w:rPr>
          <w:rFonts w:eastAsia="Times New Roman"/>
          <w:color w:val="0F1115"/>
          <w:sz w:val="24"/>
          <w:szCs w:val="24"/>
          <w:highlight w:val="yellow"/>
          <w:lang w:eastAsia="tr-TR"/>
        </w:rPr>
        <w:t>3</w:t>
      </w:r>
      <w:r w:rsidR="007D5248" w:rsidRPr="00F96D9F">
        <w:rPr>
          <w:rFonts w:eastAsia="Times New Roman"/>
          <w:color w:val="0F1115"/>
          <w:sz w:val="24"/>
          <w:szCs w:val="24"/>
          <w:highlight w:val="yellow"/>
          <w:lang w:eastAsia="tr-TR"/>
        </w:rPr>
        <w:t>.</w:t>
      </w:r>
    </w:p>
    <w:p w14:paraId="317F45A3" w14:textId="77777777" w:rsidR="00CF6D7E" w:rsidRPr="005D31CB" w:rsidRDefault="00CF6D7E" w:rsidP="00452FB4">
      <w:pPr>
        <w:spacing w:before="240" w:after="240" w:line="420" w:lineRule="atLeast"/>
        <w:jc w:val="both"/>
        <w:rPr>
          <w:rFonts w:eastAsia="Times New Roman"/>
          <w:color w:val="0F1115"/>
          <w:sz w:val="24"/>
          <w:szCs w:val="24"/>
          <w:lang w:eastAsia="tr-TR"/>
        </w:rPr>
      </w:pPr>
    </w:p>
    <w:p w14:paraId="284C4916"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2. Prominent Regions in Vegetable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739"/>
        <w:gridCol w:w="2135"/>
        <w:gridCol w:w="2448"/>
        <w:gridCol w:w="1496"/>
      </w:tblGrid>
      <w:tr w:rsidR="005D31CB" w:rsidRPr="005D31CB" w14:paraId="7E4413D6" w14:textId="77777777" w:rsidTr="00CF6D7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9CA703"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BFE5A6"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9D9D6AF"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50DFF6C"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Vegetable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50C91D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58C6943F" w14:textId="77777777" w:rsidTr="00CF6D7E">
        <w:tc>
          <w:tcPr>
            <w:tcW w:w="0" w:type="auto"/>
            <w:tcBorders>
              <w:top w:val="single" w:sz="4" w:space="0" w:color="auto"/>
            </w:tcBorders>
            <w:tcMar>
              <w:top w:w="150" w:type="dxa"/>
              <w:left w:w="0" w:type="dxa"/>
              <w:bottom w:w="150" w:type="dxa"/>
              <w:right w:w="240" w:type="dxa"/>
            </w:tcMar>
            <w:vAlign w:val="center"/>
            <w:hideMark/>
          </w:tcPr>
          <w:p w14:paraId="14B9E91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3B2EC9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0CE4DBE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2D6273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1,175,632</w:t>
            </w:r>
          </w:p>
        </w:tc>
        <w:tc>
          <w:tcPr>
            <w:tcW w:w="0" w:type="auto"/>
            <w:tcBorders>
              <w:top w:val="single" w:sz="4" w:space="0" w:color="auto"/>
            </w:tcBorders>
            <w:tcMar>
              <w:top w:w="150" w:type="dxa"/>
              <w:left w:w="240" w:type="dxa"/>
              <w:bottom w:w="150" w:type="dxa"/>
              <w:right w:w="0" w:type="dxa"/>
            </w:tcMar>
            <w:vAlign w:val="center"/>
            <w:hideMark/>
          </w:tcPr>
          <w:p w14:paraId="2CABE03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15.9</w:t>
            </w:r>
          </w:p>
        </w:tc>
      </w:tr>
      <w:tr w:rsidR="005D31CB" w:rsidRPr="005D31CB" w14:paraId="7041A612" w14:textId="77777777" w:rsidTr="00CF6D7E">
        <w:tc>
          <w:tcPr>
            <w:tcW w:w="0" w:type="auto"/>
            <w:tcMar>
              <w:top w:w="150" w:type="dxa"/>
              <w:left w:w="0" w:type="dxa"/>
              <w:bottom w:w="150" w:type="dxa"/>
              <w:right w:w="240" w:type="dxa"/>
            </w:tcMar>
            <w:vAlign w:val="center"/>
            <w:hideMark/>
          </w:tcPr>
          <w:p w14:paraId="55321A0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7E1DD3B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TR7</w:t>
            </w:r>
          </w:p>
        </w:tc>
        <w:tc>
          <w:tcPr>
            <w:tcW w:w="0" w:type="auto"/>
            <w:tcMar>
              <w:top w:w="150" w:type="dxa"/>
              <w:left w:w="240" w:type="dxa"/>
              <w:bottom w:w="150" w:type="dxa"/>
              <w:right w:w="240" w:type="dxa"/>
            </w:tcMar>
            <w:vAlign w:val="center"/>
            <w:hideMark/>
          </w:tcPr>
          <w:p w14:paraId="594FE46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Central Anatolia</w:t>
            </w:r>
          </w:p>
        </w:tc>
        <w:tc>
          <w:tcPr>
            <w:tcW w:w="0" w:type="auto"/>
            <w:tcMar>
              <w:top w:w="150" w:type="dxa"/>
              <w:left w:w="240" w:type="dxa"/>
              <w:bottom w:w="150" w:type="dxa"/>
              <w:right w:w="240" w:type="dxa"/>
            </w:tcMar>
            <w:vAlign w:val="center"/>
            <w:hideMark/>
          </w:tcPr>
          <w:p w14:paraId="68FA23D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918,247</w:t>
            </w:r>
          </w:p>
        </w:tc>
        <w:tc>
          <w:tcPr>
            <w:tcW w:w="0" w:type="auto"/>
            <w:tcMar>
              <w:top w:w="150" w:type="dxa"/>
              <w:left w:w="240" w:type="dxa"/>
              <w:bottom w:w="150" w:type="dxa"/>
              <w:right w:w="0" w:type="dxa"/>
            </w:tcMar>
            <w:vAlign w:val="center"/>
            <w:hideMark/>
          </w:tcPr>
          <w:p w14:paraId="5F3E334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12.4</w:t>
            </w:r>
          </w:p>
        </w:tc>
      </w:tr>
      <w:tr w:rsidR="005D31CB" w:rsidRPr="005D31CB" w14:paraId="05E7D925" w14:textId="77777777" w:rsidTr="00CF6D7E">
        <w:tc>
          <w:tcPr>
            <w:tcW w:w="0" w:type="auto"/>
            <w:tcMar>
              <w:top w:w="150" w:type="dxa"/>
              <w:left w:w="0" w:type="dxa"/>
              <w:bottom w:w="150" w:type="dxa"/>
              <w:right w:w="240" w:type="dxa"/>
            </w:tcMar>
            <w:vAlign w:val="center"/>
            <w:hideMark/>
          </w:tcPr>
          <w:p w14:paraId="218CEFB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36D5C8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426882E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3E71914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914,247</w:t>
            </w:r>
          </w:p>
        </w:tc>
        <w:tc>
          <w:tcPr>
            <w:tcW w:w="0" w:type="auto"/>
            <w:tcMar>
              <w:top w:w="150" w:type="dxa"/>
              <w:left w:w="240" w:type="dxa"/>
              <w:bottom w:w="150" w:type="dxa"/>
              <w:right w:w="0" w:type="dxa"/>
            </w:tcMar>
            <w:vAlign w:val="center"/>
            <w:hideMark/>
          </w:tcPr>
          <w:p w14:paraId="25DF63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12.3</w:t>
            </w:r>
          </w:p>
        </w:tc>
      </w:tr>
    </w:tbl>
    <w:p w14:paraId="2A8217BD" w14:textId="6E6E6D5A" w:rsidR="005D31CB" w:rsidRDefault="005D31CB" w:rsidP="00452FB4">
      <w:pPr>
        <w:spacing w:before="240" w:after="240" w:line="420" w:lineRule="atLeast"/>
        <w:jc w:val="both"/>
        <w:rPr>
          <w:rFonts w:eastAsia="Times New Roman"/>
          <w:i/>
          <w:iCs/>
          <w:color w:val="0F1115"/>
          <w:sz w:val="24"/>
          <w:szCs w:val="24"/>
          <w:lang w:eastAsia="tr-TR"/>
        </w:rPr>
      </w:pPr>
      <w:r w:rsidRPr="005D31CB">
        <w:rPr>
          <w:rFonts w:eastAsia="Times New Roman"/>
          <w:i/>
          <w:iCs/>
          <w:color w:val="0F1115"/>
          <w:sz w:val="24"/>
          <w:szCs w:val="24"/>
          <w:lang w:eastAsia="tr-TR"/>
        </w:rPr>
        <w:t>Source: TurkStat Crop Production Statistics (2024)</w:t>
      </w:r>
    </w:p>
    <w:p w14:paraId="1D6617D9" w14:textId="77777777" w:rsidR="009D197C" w:rsidRPr="005D31CB" w:rsidRDefault="009D197C" w:rsidP="00452FB4">
      <w:pPr>
        <w:spacing w:before="240" w:after="240" w:line="420" w:lineRule="atLeast"/>
        <w:jc w:val="both"/>
        <w:rPr>
          <w:rFonts w:eastAsia="Times New Roman"/>
          <w:color w:val="0F1115"/>
          <w:sz w:val="24"/>
          <w:szCs w:val="24"/>
          <w:lang w:eastAsia="tr-TR"/>
        </w:rPr>
      </w:pPr>
    </w:p>
    <w:p w14:paraId="2F68D483" w14:textId="63AD7CA8" w:rsidR="00433C33" w:rsidRPr="005D31CB" w:rsidRDefault="00433C33" w:rsidP="00F30801">
      <w:pPr>
        <w:spacing w:before="240" w:after="240" w:line="420" w:lineRule="atLeast"/>
        <w:jc w:val="center"/>
        <w:rPr>
          <w:rFonts w:eastAsia="Times New Roman"/>
          <w:color w:val="0F1115"/>
          <w:sz w:val="24"/>
          <w:szCs w:val="24"/>
          <w:lang w:eastAsia="tr-TR"/>
        </w:rPr>
      </w:pPr>
      <w:r w:rsidRPr="00452FB4">
        <w:rPr>
          <w:noProof/>
        </w:rPr>
        <w:drawing>
          <wp:inline distT="0" distB="0" distL="0" distR="0" wp14:anchorId="1194156C" wp14:editId="75A214D7">
            <wp:extent cx="5245100" cy="2425700"/>
            <wp:effectExtent l="0" t="0" r="12700" b="12700"/>
            <wp:docPr id="15" name="Grafik 15">
              <a:extLst xmlns:a="http://schemas.openxmlformats.org/drawingml/2006/main">
                <a:ext uri="{FF2B5EF4-FFF2-40B4-BE49-F238E27FC236}">
                  <a16:creationId xmlns:a16="http://schemas.microsoft.com/office/drawing/2014/main" id="{94FB38AE-700B-442F-A5F6-FC790819A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4FE0F" w14:textId="6D3AD64F" w:rsidR="00AE5DA9"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Figure </w:t>
      </w:r>
      <w:r w:rsidR="00FF7D9C">
        <w:rPr>
          <w:rFonts w:eastAsia="Times New Roman"/>
          <w:b/>
          <w:bCs/>
          <w:color w:val="0F1115"/>
          <w:sz w:val="24"/>
          <w:szCs w:val="24"/>
          <w:lang w:eastAsia="tr-TR"/>
        </w:rPr>
        <w:t>3</w:t>
      </w:r>
      <w:r w:rsidRPr="005D31CB">
        <w:rPr>
          <w:rFonts w:eastAsia="Times New Roman"/>
          <w:b/>
          <w:bCs/>
          <w:color w:val="0F1115"/>
          <w:sz w:val="24"/>
          <w:szCs w:val="24"/>
          <w:lang w:eastAsia="tr-TR"/>
        </w:rPr>
        <w:t>. Leading Regions in Vegetable Area, 2024</w:t>
      </w:r>
      <w:r w:rsidR="00AE5DA9">
        <w:rPr>
          <w:rFonts w:eastAsia="Times New Roman"/>
          <w:color w:val="0F1115"/>
          <w:sz w:val="24"/>
          <w:szCs w:val="24"/>
          <w:lang w:eastAsia="tr-TR"/>
        </w:rPr>
        <w:t xml:space="preserve"> </w:t>
      </w:r>
    </w:p>
    <w:p w14:paraId="6359BE01" w14:textId="77777777" w:rsidR="00C21050" w:rsidRPr="00F30801" w:rsidRDefault="00C21050" w:rsidP="00452FB4">
      <w:pPr>
        <w:spacing w:before="240" w:after="240" w:line="420" w:lineRule="atLeast"/>
        <w:jc w:val="both"/>
        <w:rPr>
          <w:rFonts w:eastAsia="Times New Roman"/>
          <w:color w:val="0F1115"/>
          <w:sz w:val="24"/>
          <w:szCs w:val="24"/>
          <w:lang w:eastAsia="tr-TR"/>
        </w:rPr>
      </w:pPr>
    </w:p>
    <w:p w14:paraId="2A06C7D0" w14:textId="22840F78"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3. Vegetable Area (da) for Years 2020-2024</w:t>
      </w:r>
    </w:p>
    <w:tbl>
      <w:tblPr>
        <w:tblW w:w="893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68"/>
        <w:gridCol w:w="1283"/>
        <w:gridCol w:w="1280"/>
        <w:gridCol w:w="1280"/>
        <w:gridCol w:w="1280"/>
        <w:gridCol w:w="1040"/>
      </w:tblGrid>
      <w:tr w:rsidR="00F30801" w:rsidRPr="005D31CB" w14:paraId="71E4A2DE" w14:textId="77777777" w:rsidTr="00F30801">
        <w:trPr>
          <w:tblHeader/>
        </w:trPr>
        <w:tc>
          <w:tcPr>
            <w:tcW w:w="2977" w:type="dxa"/>
            <w:tcBorders>
              <w:top w:val="single" w:sz="4" w:space="0" w:color="auto"/>
              <w:bottom w:val="single" w:sz="4" w:space="0" w:color="auto"/>
            </w:tcBorders>
            <w:tcMar>
              <w:top w:w="150" w:type="dxa"/>
              <w:left w:w="0" w:type="dxa"/>
              <w:bottom w:w="150" w:type="dxa"/>
              <w:right w:w="240" w:type="dxa"/>
            </w:tcMar>
            <w:vAlign w:val="center"/>
            <w:hideMark/>
          </w:tcPr>
          <w:p w14:paraId="612C3188"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Region / Year</w:t>
            </w:r>
          </w:p>
        </w:tc>
        <w:tc>
          <w:tcPr>
            <w:tcW w:w="1284" w:type="dxa"/>
            <w:tcBorders>
              <w:top w:val="single" w:sz="4" w:space="0" w:color="auto"/>
              <w:bottom w:val="single" w:sz="4" w:space="0" w:color="auto"/>
            </w:tcBorders>
            <w:tcMar>
              <w:top w:w="150" w:type="dxa"/>
              <w:left w:w="240" w:type="dxa"/>
              <w:bottom w:w="150" w:type="dxa"/>
              <w:right w:w="240" w:type="dxa"/>
            </w:tcMar>
            <w:vAlign w:val="center"/>
            <w:hideMark/>
          </w:tcPr>
          <w:p w14:paraId="7775065E"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2020</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5F824DCA"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2021</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24EF3226"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2022</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0763A7A3"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2023</w:t>
            </w:r>
          </w:p>
        </w:tc>
        <w:tc>
          <w:tcPr>
            <w:tcW w:w="830" w:type="dxa"/>
            <w:tcBorders>
              <w:top w:val="single" w:sz="4" w:space="0" w:color="auto"/>
              <w:bottom w:val="single" w:sz="4" w:space="0" w:color="auto"/>
            </w:tcBorders>
            <w:tcMar>
              <w:top w:w="150" w:type="dxa"/>
              <w:left w:w="240" w:type="dxa"/>
              <w:bottom w:w="150" w:type="dxa"/>
              <w:right w:w="240" w:type="dxa"/>
            </w:tcMar>
            <w:vAlign w:val="center"/>
            <w:hideMark/>
          </w:tcPr>
          <w:p w14:paraId="1522C4CD"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2024</w:t>
            </w:r>
          </w:p>
        </w:tc>
      </w:tr>
      <w:tr w:rsidR="00F30801" w:rsidRPr="005D31CB" w14:paraId="65440BD1" w14:textId="77777777" w:rsidTr="00F30801">
        <w:tc>
          <w:tcPr>
            <w:tcW w:w="2977" w:type="dxa"/>
            <w:tcBorders>
              <w:top w:val="single" w:sz="4" w:space="0" w:color="auto"/>
            </w:tcBorders>
            <w:tcMar>
              <w:top w:w="150" w:type="dxa"/>
              <w:left w:w="0" w:type="dxa"/>
              <w:bottom w:w="150" w:type="dxa"/>
              <w:right w:w="240" w:type="dxa"/>
            </w:tcMar>
            <w:vAlign w:val="center"/>
            <w:hideMark/>
          </w:tcPr>
          <w:p w14:paraId="6B4919E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Mediterranean - TR6</w:t>
            </w:r>
          </w:p>
        </w:tc>
        <w:tc>
          <w:tcPr>
            <w:tcW w:w="1284" w:type="dxa"/>
            <w:tcBorders>
              <w:top w:val="single" w:sz="4" w:space="0" w:color="auto"/>
            </w:tcBorders>
            <w:tcMar>
              <w:top w:w="150" w:type="dxa"/>
              <w:left w:w="240" w:type="dxa"/>
              <w:bottom w:w="150" w:type="dxa"/>
              <w:right w:w="240" w:type="dxa"/>
            </w:tcMar>
            <w:vAlign w:val="center"/>
            <w:hideMark/>
          </w:tcPr>
          <w:p w14:paraId="6E73AB7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1,634,888</w:t>
            </w:r>
          </w:p>
        </w:tc>
        <w:tc>
          <w:tcPr>
            <w:tcW w:w="1280" w:type="dxa"/>
            <w:tcBorders>
              <w:top w:val="single" w:sz="4" w:space="0" w:color="auto"/>
            </w:tcBorders>
            <w:tcMar>
              <w:top w:w="150" w:type="dxa"/>
              <w:left w:w="240" w:type="dxa"/>
              <w:bottom w:w="150" w:type="dxa"/>
              <w:right w:w="240" w:type="dxa"/>
            </w:tcMar>
            <w:vAlign w:val="center"/>
            <w:hideMark/>
          </w:tcPr>
          <w:p w14:paraId="66864B3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1,541,056</w:t>
            </w:r>
          </w:p>
        </w:tc>
        <w:tc>
          <w:tcPr>
            <w:tcW w:w="1280" w:type="dxa"/>
            <w:tcBorders>
              <w:top w:val="single" w:sz="4" w:space="0" w:color="auto"/>
            </w:tcBorders>
            <w:tcMar>
              <w:top w:w="150" w:type="dxa"/>
              <w:left w:w="240" w:type="dxa"/>
              <w:bottom w:w="150" w:type="dxa"/>
              <w:right w:w="240" w:type="dxa"/>
            </w:tcMar>
            <w:vAlign w:val="center"/>
            <w:hideMark/>
          </w:tcPr>
          <w:p w14:paraId="48FFC25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1,435,388</w:t>
            </w:r>
          </w:p>
        </w:tc>
        <w:tc>
          <w:tcPr>
            <w:tcW w:w="1280" w:type="dxa"/>
            <w:tcBorders>
              <w:top w:val="single" w:sz="4" w:space="0" w:color="auto"/>
            </w:tcBorders>
            <w:tcMar>
              <w:top w:w="150" w:type="dxa"/>
              <w:left w:w="240" w:type="dxa"/>
              <w:bottom w:w="150" w:type="dxa"/>
              <w:right w:w="240" w:type="dxa"/>
            </w:tcMar>
            <w:vAlign w:val="center"/>
            <w:hideMark/>
          </w:tcPr>
          <w:p w14:paraId="16CE48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1,393,400</w:t>
            </w:r>
          </w:p>
        </w:tc>
        <w:tc>
          <w:tcPr>
            <w:tcW w:w="830" w:type="dxa"/>
            <w:tcBorders>
              <w:top w:val="single" w:sz="4" w:space="0" w:color="auto"/>
            </w:tcBorders>
            <w:tcMar>
              <w:top w:w="150" w:type="dxa"/>
              <w:left w:w="240" w:type="dxa"/>
              <w:bottom w:w="150" w:type="dxa"/>
              <w:right w:w="0" w:type="dxa"/>
            </w:tcMar>
            <w:vAlign w:val="center"/>
            <w:hideMark/>
          </w:tcPr>
          <w:p w14:paraId="02B7EE7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1,425,836</w:t>
            </w:r>
          </w:p>
        </w:tc>
      </w:tr>
      <w:tr w:rsidR="00F30801" w:rsidRPr="005D31CB" w14:paraId="27E486A6" w14:textId="77777777" w:rsidTr="00F30801">
        <w:tc>
          <w:tcPr>
            <w:tcW w:w="2977" w:type="dxa"/>
            <w:tcMar>
              <w:top w:w="150" w:type="dxa"/>
              <w:left w:w="0" w:type="dxa"/>
              <w:bottom w:w="150" w:type="dxa"/>
              <w:right w:w="240" w:type="dxa"/>
            </w:tcMar>
            <w:vAlign w:val="center"/>
            <w:hideMark/>
          </w:tcPr>
          <w:p w14:paraId="7E8640CB" w14:textId="2F47CE06"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Anatolia- TR5</w:t>
            </w:r>
          </w:p>
        </w:tc>
        <w:tc>
          <w:tcPr>
            <w:tcW w:w="1284" w:type="dxa"/>
            <w:tcMar>
              <w:top w:w="150" w:type="dxa"/>
              <w:left w:w="240" w:type="dxa"/>
              <w:bottom w:w="150" w:type="dxa"/>
              <w:right w:w="240" w:type="dxa"/>
            </w:tcMar>
            <w:vAlign w:val="center"/>
            <w:hideMark/>
          </w:tcPr>
          <w:p w14:paraId="7F70A3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865,690</w:t>
            </w:r>
          </w:p>
        </w:tc>
        <w:tc>
          <w:tcPr>
            <w:tcW w:w="1280" w:type="dxa"/>
            <w:tcMar>
              <w:top w:w="150" w:type="dxa"/>
              <w:left w:w="240" w:type="dxa"/>
              <w:bottom w:w="150" w:type="dxa"/>
              <w:right w:w="240" w:type="dxa"/>
            </w:tcMar>
            <w:vAlign w:val="center"/>
            <w:hideMark/>
          </w:tcPr>
          <w:p w14:paraId="1F4AE8F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885,827</w:t>
            </w:r>
          </w:p>
        </w:tc>
        <w:tc>
          <w:tcPr>
            <w:tcW w:w="1280" w:type="dxa"/>
            <w:tcMar>
              <w:top w:w="150" w:type="dxa"/>
              <w:left w:w="240" w:type="dxa"/>
              <w:bottom w:w="150" w:type="dxa"/>
              <w:right w:w="240" w:type="dxa"/>
            </w:tcMar>
            <w:vAlign w:val="center"/>
            <w:hideMark/>
          </w:tcPr>
          <w:p w14:paraId="17D9296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882,758</w:t>
            </w:r>
          </w:p>
        </w:tc>
        <w:tc>
          <w:tcPr>
            <w:tcW w:w="1280" w:type="dxa"/>
            <w:tcMar>
              <w:top w:w="150" w:type="dxa"/>
              <w:left w:w="240" w:type="dxa"/>
              <w:bottom w:w="150" w:type="dxa"/>
              <w:right w:w="240" w:type="dxa"/>
            </w:tcMar>
            <w:vAlign w:val="center"/>
            <w:hideMark/>
          </w:tcPr>
          <w:p w14:paraId="0116E33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864,388</w:t>
            </w:r>
          </w:p>
        </w:tc>
        <w:tc>
          <w:tcPr>
            <w:tcW w:w="830" w:type="dxa"/>
            <w:tcMar>
              <w:top w:w="150" w:type="dxa"/>
              <w:left w:w="240" w:type="dxa"/>
              <w:bottom w:w="150" w:type="dxa"/>
              <w:right w:w="0" w:type="dxa"/>
            </w:tcMar>
            <w:vAlign w:val="center"/>
            <w:hideMark/>
          </w:tcPr>
          <w:p w14:paraId="661753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897,372</w:t>
            </w:r>
          </w:p>
        </w:tc>
      </w:tr>
      <w:tr w:rsidR="00F30801" w:rsidRPr="005D31CB" w14:paraId="17A4E2A7" w14:textId="77777777" w:rsidTr="00F30801">
        <w:tc>
          <w:tcPr>
            <w:tcW w:w="2977" w:type="dxa"/>
            <w:tcMar>
              <w:top w:w="150" w:type="dxa"/>
              <w:left w:w="0" w:type="dxa"/>
              <w:bottom w:w="150" w:type="dxa"/>
              <w:right w:w="240" w:type="dxa"/>
            </w:tcMar>
            <w:vAlign w:val="center"/>
            <w:hideMark/>
          </w:tcPr>
          <w:p w14:paraId="050E58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Black Sea - TR8</w:t>
            </w:r>
          </w:p>
        </w:tc>
        <w:tc>
          <w:tcPr>
            <w:tcW w:w="1284" w:type="dxa"/>
            <w:tcMar>
              <w:top w:w="150" w:type="dxa"/>
              <w:left w:w="240" w:type="dxa"/>
              <w:bottom w:w="150" w:type="dxa"/>
              <w:right w:w="240" w:type="dxa"/>
            </w:tcMar>
            <w:vAlign w:val="center"/>
            <w:hideMark/>
          </w:tcPr>
          <w:p w14:paraId="125420E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771,009</w:t>
            </w:r>
          </w:p>
        </w:tc>
        <w:tc>
          <w:tcPr>
            <w:tcW w:w="1280" w:type="dxa"/>
            <w:tcMar>
              <w:top w:w="150" w:type="dxa"/>
              <w:left w:w="240" w:type="dxa"/>
              <w:bottom w:w="150" w:type="dxa"/>
              <w:right w:w="240" w:type="dxa"/>
            </w:tcMar>
            <w:vAlign w:val="center"/>
            <w:hideMark/>
          </w:tcPr>
          <w:p w14:paraId="407FB4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762,723</w:t>
            </w:r>
          </w:p>
        </w:tc>
        <w:tc>
          <w:tcPr>
            <w:tcW w:w="1280" w:type="dxa"/>
            <w:tcMar>
              <w:top w:w="150" w:type="dxa"/>
              <w:left w:w="240" w:type="dxa"/>
              <w:bottom w:w="150" w:type="dxa"/>
              <w:right w:w="240" w:type="dxa"/>
            </w:tcMar>
            <w:vAlign w:val="center"/>
            <w:hideMark/>
          </w:tcPr>
          <w:p w14:paraId="7E39D0B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689,532</w:t>
            </w:r>
          </w:p>
        </w:tc>
        <w:tc>
          <w:tcPr>
            <w:tcW w:w="1280" w:type="dxa"/>
            <w:tcMar>
              <w:top w:w="150" w:type="dxa"/>
              <w:left w:w="240" w:type="dxa"/>
              <w:bottom w:w="150" w:type="dxa"/>
              <w:right w:w="240" w:type="dxa"/>
            </w:tcMar>
            <w:vAlign w:val="center"/>
            <w:hideMark/>
          </w:tcPr>
          <w:p w14:paraId="0B09579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656,248</w:t>
            </w:r>
          </w:p>
        </w:tc>
        <w:tc>
          <w:tcPr>
            <w:tcW w:w="830" w:type="dxa"/>
            <w:tcMar>
              <w:top w:w="150" w:type="dxa"/>
              <w:left w:w="240" w:type="dxa"/>
              <w:bottom w:w="150" w:type="dxa"/>
              <w:right w:w="0" w:type="dxa"/>
            </w:tcMar>
            <w:vAlign w:val="center"/>
            <w:hideMark/>
          </w:tcPr>
          <w:p w14:paraId="00715A61"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664,579</w:t>
            </w:r>
          </w:p>
        </w:tc>
      </w:tr>
      <w:tr w:rsidR="00F30801" w:rsidRPr="005D31CB" w14:paraId="540A113D" w14:textId="77777777" w:rsidTr="00F30801">
        <w:tc>
          <w:tcPr>
            <w:tcW w:w="2977" w:type="dxa"/>
            <w:tcMar>
              <w:top w:w="150" w:type="dxa"/>
              <w:left w:w="0" w:type="dxa"/>
              <w:bottom w:w="150" w:type="dxa"/>
              <w:right w:w="240" w:type="dxa"/>
            </w:tcMar>
            <w:vAlign w:val="center"/>
            <w:hideMark/>
          </w:tcPr>
          <w:p w14:paraId="2B97E8F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Marmara - TR2</w:t>
            </w:r>
          </w:p>
        </w:tc>
        <w:tc>
          <w:tcPr>
            <w:tcW w:w="1284" w:type="dxa"/>
            <w:tcMar>
              <w:top w:w="150" w:type="dxa"/>
              <w:left w:w="240" w:type="dxa"/>
              <w:bottom w:w="150" w:type="dxa"/>
              <w:right w:w="240" w:type="dxa"/>
            </w:tcMar>
            <w:vAlign w:val="center"/>
            <w:hideMark/>
          </w:tcPr>
          <w:p w14:paraId="7DD188A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582,684</w:t>
            </w:r>
          </w:p>
        </w:tc>
        <w:tc>
          <w:tcPr>
            <w:tcW w:w="1280" w:type="dxa"/>
            <w:tcMar>
              <w:top w:w="150" w:type="dxa"/>
              <w:left w:w="240" w:type="dxa"/>
              <w:bottom w:w="150" w:type="dxa"/>
              <w:right w:w="240" w:type="dxa"/>
            </w:tcMar>
            <w:vAlign w:val="center"/>
            <w:hideMark/>
          </w:tcPr>
          <w:p w14:paraId="6A74A8A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520,712</w:t>
            </w:r>
          </w:p>
        </w:tc>
        <w:tc>
          <w:tcPr>
            <w:tcW w:w="1280" w:type="dxa"/>
            <w:tcMar>
              <w:top w:w="150" w:type="dxa"/>
              <w:left w:w="240" w:type="dxa"/>
              <w:bottom w:w="150" w:type="dxa"/>
              <w:right w:w="240" w:type="dxa"/>
            </w:tcMar>
            <w:vAlign w:val="center"/>
            <w:hideMark/>
          </w:tcPr>
          <w:p w14:paraId="1877DF0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489,267</w:t>
            </w:r>
          </w:p>
        </w:tc>
        <w:tc>
          <w:tcPr>
            <w:tcW w:w="1280" w:type="dxa"/>
            <w:tcMar>
              <w:top w:w="150" w:type="dxa"/>
              <w:left w:w="240" w:type="dxa"/>
              <w:bottom w:w="150" w:type="dxa"/>
              <w:right w:w="240" w:type="dxa"/>
            </w:tcMar>
            <w:vAlign w:val="center"/>
            <w:hideMark/>
          </w:tcPr>
          <w:p w14:paraId="49B3AB6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459,149</w:t>
            </w:r>
          </w:p>
        </w:tc>
        <w:tc>
          <w:tcPr>
            <w:tcW w:w="830" w:type="dxa"/>
            <w:tcMar>
              <w:top w:w="150" w:type="dxa"/>
              <w:left w:w="240" w:type="dxa"/>
              <w:bottom w:w="150" w:type="dxa"/>
              <w:right w:w="0" w:type="dxa"/>
            </w:tcMar>
            <w:vAlign w:val="center"/>
            <w:hideMark/>
          </w:tcPr>
          <w:p w14:paraId="0CC3F13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502,656</w:t>
            </w:r>
          </w:p>
        </w:tc>
      </w:tr>
      <w:tr w:rsidR="00F30801" w:rsidRPr="005D31CB" w14:paraId="0931EC5E" w14:textId="77777777" w:rsidTr="00F30801">
        <w:tc>
          <w:tcPr>
            <w:tcW w:w="2977" w:type="dxa"/>
            <w:tcMar>
              <w:top w:w="150" w:type="dxa"/>
              <w:left w:w="0" w:type="dxa"/>
              <w:bottom w:w="150" w:type="dxa"/>
              <w:right w:w="240" w:type="dxa"/>
            </w:tcMar>
            <w:vAlign w:val="center"/>
            <w:hideMark/>
          </w:tcPr>
          <w:p w14:paraId="214442D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Black Sea - TR9</w:t>
            </w:r>
          </w:p>
        </w:tc>
        <w:tc>
          <w:tcPr>
            <w:tcW w:w="1284" w:type="dxa"/>
            <w:tcMar>
              <w:top w:w="150" w:type="dxa"/>
              <w:left w:w="240" w:type="dxa"/>
              <w:bottom w:w="150" w:type="dxa"/>
              <w:right w:w="240" w:type="dxa"/>
            </w:tcMar>
            <w:vAlign w:val="center"/>
            <w:hideMark/>
          </w:tcPr>
          <w:p w14:paraId="52C487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84,458</w:t>
            </w:r>
          </w:p>
        </w:tc>
        <w:tc>
          <w:tcPr>
            <w:tcW w:w="1280" w:type="dxa"/>
            <w:tcMar>
              <w:top w:w="150" w:type="dxa"/>
              <w:left w:w="240" w:type="dxa"/>
              <w:bottom w:w="150" w:type="dxa"/>
              <w:right w:w="240" w:type="dxa"/>
            </w:tcMar>
            <w:vAlign w:val="center"/>
            <w:hideMark/>
          </w:tcPr>
          <w:p w14:paraId="5890D91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87,589</w:t>
            </w:r>
          </w:p>
        </w:tc>
        <w:tc>
          <w:tcPr>
            <w:tcW w:w="1280" w:type="dxa"/>
            <w:tcMar>
              <w:top w:w="150" w:type="dxa"/>
              <w:left w:w="240" w:type="dxa"/>
              <w:bottom w:w="150" w:type="dxa"/>
              <w:right w:w="240" w:type="dxa"/>
            </w:tcMar>
            <w:vAlign w:val="center"/>
            <w:hideMark/>
          </w:tcPr>
          <w:p w14:paraId="47E5B31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83,011</w:t>
            </w:r>
          </w:p>
        </w:tc>
        <w:tc>
          <w:tcPr>
            <w:tcW w:w="1280" w:type="dxa"/>
            <w:tcMar>
              <w:top w:w="150" w:type="dxa"/>
              <w:left w:w="240" w:type="dxa"/>
              <w:bottom w:w="150" w:type="dxa"/>
              <w:right w:w="240" w:type="dxa"/>
            </w:tcMar>
            <w:vAlign w:val="center"/>
            <w:hideMark/>
          </w:tcPr>
          <w:p w14:paraId="5213F1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81,095</w:t>
            </w:r>
          </w:p>
        </w:tc>
        <w:tc>
          <w:tcPr>
            <w:tcW w:w="830" w:type="dxa"/>
            <w:tcMar>
              <w:top w:w="150" w:type="dxa"/>
              <w:left w:w="240" w:type="dxa"/>
              <w:bottom w:w="150" w:type="dxa"/>
              <w:right w:w="0" w:type="dxa"/>
            </w:tcMar>
            <w:vAlign w:val="center"/>
            <w:hideMark/>
          </w:tcPr>
          <w:p w14:paraId="6212E04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80,095</w:t>
            </w:r>
          </w:p>
        </w:tc>
      </w:tr>
      <w:tr w:rsidR="00F30801" w:rsidRPr="005D31CB" w14:paraId="6F5C0D0A" w14:textId="77777777" w:rsidTr="00F30801">
        <w:tc>
          <w:tcPr>
            <w:tcW w:w="2977" w:type="dxa"/>
            <w:tcMar>
              <w:top w:w="150" w:type="dxa"/>
              <w:left w:w="0" w:type="dxa"/>
              <w:bottom w:w="150" w:type="dxa"/>
              <w:right w:w="240" w:type="dxa"/>
            </w:tcMar>
            <w:vAlign w:val="center"/>
            <w:hideMark/>
          </w:tcPr>
          <w:p w14:paraId="5B4581F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Marmara - TR4</w:t>
            </w:r>
          </w:p>
        </w:tc>
        <w:tc>
          <w:tcPr>
            <w:tcW w:w="1284" w:type="dxa"/>
            <w:tcMar>
              <w:top w:w="150" w:type="dxa"/>
              <w:left w:w="240" w:type="dxa"/>
              <w:bottom w:w="150" w:type="dxa"/>
              <w:right w:w="240" w:type="dxa"/>
            </w:tcMar>
            <w:vAlign w:val="center"/>
            <w:hideMark/>
          </w:tcPr>
          <w:p w14:paraId="149743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691,770</w:t>
            </w:r>
          </w:p>
        </w:tc>
        <w:tc>
          <w:tcPr>
            <w:tcW w:w="1280" w:type="dxa"/>
            <w:tcMar>
              <w:top w:w="150" w:type="dxa"/>
              <w:left w:w="240" w:type="dxa"/>
              <w:bottom w:w="150" w:type="dxa"/>
              <w:right w:w="240" w:type="dxa"/>
            </w:tcMar>
            <w:vAlign w:val="center"/>
            <w:hideMark/>
          </w:tcPr>
          <w:p w14:paraId="09F752D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666,752</w:t>
            </w:r>
          </w:p>
        </w:tc>
        <w:tc>
          <w:tcPr>
            <w:tcW w:w="1280" w:type="dxa"/>
            <w:tcMar>
              <w:top w:w="150" w:type="dxa"/>
              <w:left w:w="240" w:type="dxa"/>
              <w:bottom w:w="150" w:type="dxa"/>
              <w:right w:w="240" w:type="dxa"/>
            </w:tcMar>
            <w:vAlign w:val="center"/>
            <w:hideMark/>
          </w:tcPr>
          <w:p w14:paraId="70327DC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610,411</w:t>
            </w:r>
          </w:p>
        </w:tc>
        <w:tc>
          <w:tcPr>
            <w:tcW w:w="1280" w:type="dxa"/>
            <w:tcMar>
              <w:top w:w="150" w:type="dxa"/>
              <w:left w:w="240" w:type="dxa"/>
              <w:bottom w:w="150" w:type="dxa"/>
              <w:right w:w="240" w:type="dxa"/>
            </w:tcMar>
            <w:vAlign w:val="center"/>
            <w:hideMark/>
          </w:tcPr>
          <w:p w14:paraId="5C108D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621,269</w:t>
            </w:r>
          </w:p>
        </w:tc>
        <w:tc>
          <w:tcPr>
            <w:tcW w:w="830" w:type="dxa"/>
            <w:tcMar>
              <w:top w:w="150" w:type="dxa"/>
              <w:left w:w="240" w:type="dxa"/>
              <w:bottom w:w="150" w:type="dxa"/>
              <w:right w:w="0" w:type="dxa"/>
            </w:tcMar>
            <w:vAlign w:val="center"/>
            <w:hideMark/>
          </w:tcPr>
          <w:p w14:paraId="02075BD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700,375</w:t>
            </w:r>
          </w:p>
        </w:tc>
      </w:tr>
      <w:tr w:rsidR="00F30801" w:rsidRPr="005D31CB" w14:paraId="0F283C3D" w14:textId="77777777" w:rsidTr="00F30801">
        <w:tc>
          <w:tcPr>
            <w:tcW w:w="2977" w:type="dxa"/>
            <w:tcMar>
              <w:top w:w="150" w:type="dxa"/>
              <w:left w:w="0" w:type="dxa"/>
              <w:bottom w:w="150" w:type="dxa"/>
              <w:right w:w="240" w:type="dxa"/>
            </w:tcMar>
            <w:vAlign w:val="center"/>
            <w:hideMark/>
          </w:tcPr>
          <w:p w14:paraId="396D3E1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Aegean - TR3</w:t>
            </w:r>
          </w:p>
        </w:tc>
        <w:tc>
          <w:tcPr>
            <w:tcW w:w="1284" w:type="dxa"/>
            <w:tcMar>
              <w:top w:w="150" w:type="dxa"/>
              <w:left w:w="240" w:type="dxa"/>
              <w:bottom w:w="150" w:type="dxa"/>
              <w:right w:w="240" w:type="dxa"/>
            </w:tcMar>
            <w:vAlign w:val="center"/>
            <w:hideMark/>
          </w:tcPr>
          <w:p w14:paraId="2EF3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1,294,249</w:t>
            </w:r>
          </w:p>
        </w:tc>
        <w:tc>
          <w:tcPr>
            <w:tcW w:w="1280" w:type="dxa"/>
            <w:tcMar>
              <w:top w:w="150" w:type="dxa"/>
              <w:left w:w="240" w:type="dxa"/>
              <w:bottom w:w="150" w:type="dxa"/>
              <w:right w:w="240" w:type="dxa"/>
            </w:tcMar>
            <w:vAlign w:val="center"/>
            <w:hideMark/>
          </w:tcPr>
          <w:p w14:paraId="4FE9978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1,161,006</w:t>
            </w:r>
          </w:p>
        </w:tc>
        <w:tc>
          <w:tcPr>
            <w:tcW w:w="1280" w:type="dxa"/>
            <w:tcMar>
              <w:top w:w="150" w:type="dxa"/>
              <w:left w:w="240" w:type="dxa"/>
              <w:bottom w:w="150" w:type="dxa"/>
              <w:right w:w="240" w:type="dxa"/>
            </w:tcMar>
            <w:vAlign w:val="center"/>
            <w:hideMark/>
          </w:tcPr>
          <w:p w14:paraId="4F67726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1,104,170</w:t>
            </w:r>
          </w:p>
        </w:tc>
        <w:tc>
          <w:tcPr>
            <w:tcW w:w="1280" w:type="dxa"/>
            <w:tcMar>
              <w:top w:w="150" w:type="dxa"/>
              <w:left w:w="240" w:type="dxa"/>
              <w:bottom w:w="150" w:type="dxa"/>
              <w:right w:w="240" w:type="dxa"/>
            </w:tcMar>
            <w:vAlign w:val="center"/>
            <w:hideMark/>
          </w:tcPr>
          <w:p w14:paraId="4E9CE1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1,121,586</w:t>
            </w:r>
          </w:p>
        </w:tc>
        <w:tc>
          <w:tcPr>
            <w:tcW w:w="830" w:type="dxa"/>
            <w:tcMar>
              <w:top w:w="150" w:type="dxa"/>
              <w:left w:w="240" w:type="dxa"/>
              <w:bottom w:w="150" w:type="dxa"/>
              <w:right w:w="0" w:type="dxa"/>
            </w:tcMar>
            <w:vAlign w:val="center"/>
            <w:hideMark/>
          </w:tcPr>
          <w:p w14:paraId="73834C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1,175,632</w:t>
            </w:r>
          </w:p>
        </w:tc>
      </w:tr>
      <w:tr w:rsidR="00F30801" w:rsidRPr="005D31CB" w14:paraId="55505D8A" w14:textId="77777777" w:rsidTr="00F30801">
        <w:tc>
          <w:tcPr>
            <w:tcW w:w="2977" w:type="dxa"/>
            <w:tcMar>
              <w:top w:w="150" w:type="dxa"/>
              <w:left w:w="0" w:type="dxa"/>
              <w:bottom w:w="150" w:type="dxa"/>
              <w:right w:w="240" w:type="dxa"/>
            </w:tcMar>
            <w:vAlign w:val="center"/>
            <w:hideMark/>
          </w:tcPr>
          <w:p w14:paraId="159B992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Southeastern Anatolia - TRC</w:t>
            </w:r>
          </w:p>
        </w:tc>
        <w:tc>
          <w:tcPr>
            <w:tcW w:w="1284" w:type="dxa"/>
            <w:tcMar>
              <w:top w:w="150" w:type="dxa"/>
              <w:left w:w="240" w:type="dxa"/>
              <w:bottom w:w="150" w:type="dxa"/>
              <w:right w:w="240" w:type="dxa"/>
            </w:tcMar>
            <w:vAlign w:val="center"/>
            <w:hideMark/>
          </w:tcPr>
          <w:p w14:paraId="0D4F07F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616,749</w:t>
            </w:r>
          </w:p>
        </w:tc>
        <w:tc>
          <w:tcPr>
            <w:tcW w:w="1280" w:type="dxa"/>
            <w:tcMar>
              <w:top w:w="150" w:type="dxa"/>
              <w:left w:w="240" w:type="dxa"/>
              <w:bottom w:w="150" w:type="dxa"/>
              <w:right w:w="240" w:type="dxa"/>
            </w:tcMar>
            <w:vAlign w:val="center"/>
            <w:hideMark/>
          </w:tcPr>
          <w:p w14:paraId="2BF2762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627,089</w:t>
            </w:r>
          </w:p>
        </w:tc>
        <w:tc>
          <w:tcPr>
            <w:tcW w:w="1280" w:type="dxa"/>
            <w:tcMar>
              <w:top w:w="150" w:type="dxa"/>
              <w:left w:w="240" w:type="dxa"/>
              <w:bottom w:w="150" w:type="dxa"/>
              <w:right w:w="240" w:type="dxa"/>
            </w:tcMar>
            <w:vAlign w:val="center"/>
            <w:hideMark/>
          </w:tcPr>
          <w:p w14:paraId="0FABE96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622,365</w:t>
            </w:r>
          </w:p>
        </w:tc>
        <w:tc>
          <w:tcPr>
            <w:tcW w:w="1280" w:type="dxa"/>
            <w:tcMar>
              <w:top w:w="150" w:type="dxa"/>
              <w:left w:w="240" w:type="dxa"/>
              <w:bottom w:w="150" w:type="dxa"/>
              <w:right w:w="240" w:type="dxa"/>
            </w:tcMar>
            <w:vAlign w:val="center"/>
            <w:hideMark/>
          </w:tcPr>
          <w:p w14:paraId="5125B41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634,633</w:t>
            </w:r>
          </w:p>
        </w:tc>
        <w:tc>
          <w:tcPr>
            <w:tcW w:w="830" w:type="dxa"/>
            <w:tcMar>
              <w:top w:w="150" w:type="dxa"/>
              <w:left w:w="240" w:type="dxa"/>
              <w:bottom w:w="150" w:type="dxa"/>
              <w:right w:w="0" w:type="dxa"/>
            </w:tcMar>
            <w:vAlign w:val="center"/>
            <w:hideMark/>
          </w:tcPr>
          <w:p w14:paraId="2E7B900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663,749</w:t>
            </w:r>
          </w:p>
        </w:tc>
      </w:tr>
      <w:tr w:rsidR="00F30801" w:rsidRPr="005D31CB" w14:paraId="412D09FC" w14:textId="77777777" w:rsidTr="00F30801">
        <w:tc>
          <w:tcPr>
            <w:tcW w:w="2977" w:type="dxa"/>
            <w:tcMar>
              <w:top w:w="150" w:type="dxa"/>
              <w:left w:w="0" w:type="dxa"/>
              <w:bottom w:w="150" w:type="dxa"/>
              <w:right w:w="240" w:type="dxa"/>
            </w:tcMar>
            <w:vAlign w:val="center"/>
            <w:hideMark/>
          </w:tcPr>
          <w:p w14:paraId="072155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Northeastern Anatolia - TRA</w:t>
            </w:r>
          </w:p>
        </w:tc>
        <w:tc>
          <w:tcPr>
            <w:tcW w:w="1284" w:type="dxa"/>
            <w:tcMar>
              <w:top w:w="150" w:type="dxa"/>
              <w:left w:w="240" w:type="dxa"/>
              <w:bottom w:w="150" w:type="dxa"/>
              <w:right w:w="240" w:type="dxa"/>
            </w:tcMar>
            <w:vAlign w:val="center"/>
            <w:hideMark/>
          </w:tcPr>
          <w:p w14:paraId="24DB8A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87,369</w:t>
            </w:r>
          </w:p>
        </w:tc>
        <w:tc>
          <w:tcPr>
            <w:tcW w:w="1280" w:type="dxa"/>
            <w:tcMar>
              <w:top w:w="150" w:type="dxa"/>
              <w:left w:w="240" w:type="dxa"/>
              <w:bottom w:w="150" w:type="dxa"/>
              <w:right w:w="240" w:type="dxa"/>
            </w:tcMar>
            <w:vAlign w:val="center"/>
            <w:hideMark/>
          </w:tcPr>
          <w:p w14:paraId="155330B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85,491</w:t>
            </w:r>
          </w:p>
        </w:tc>
        <w:tc>
          <w:tcPr>
            <w:tcW w:w="1280" w:type="dxa"/>
            <w:tcMar>
              <w:top w:w="150" w:type="dxa"/>
              <w:left w:w="240" w:type="dxa"/>
              <w:bottom w:w="150" w:type="dxa"/>
              <w:right w:w="240" w:type="dxa"/>
            </w:tcMar>
            <w:vAlign w:val="center"/>
            <w:hideMark/>
          </w:tcPr>
          <w:p w14:paraId="338074D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82,037</w:t>
            </w:r>
          </w:p>
        </w:tc>
        <w:tc>
          <w:tcPr>
            <w:tcW w:w="1280" w:type="dxa"/>
            <w:tcMar>
              <w:top w:w="150" w:type="dxa"/>
              <w:left w:w="240" w:type="dxa"/>
              <w:bottom w:w="150" w:type="dxa"/>
              <w:right w:w="240" w:type="dxa"/>
            </w:tcMar>
            <w:vAlign w:val="center"/>
            <w:hideMark/>
          </w:tcPr>
          <w:p w14:paraId="620EEA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75,334</w:t>
            </w:r>
          </w:p>
        </w:tc>
        <w:tc>
          <w:tcPr>
            <w:tcW w:w="830" w:type="dxa"/>
            <w:tcMar>
              <w:top w:w="150" w:type="dxa"/>
              <w:left w:w="240" w:type="dxa"/>
              <w:bottom w:w="150" w:type="dxa"/>
              <w:right w:w="0" w:type="dxa"/>
            </w:tcMar>
            <w:vAlign w:val="center"/>
            <w:hideMark/>
          </w:tcPr>
          <w:p w14:paraId="7146B8D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73,786</w:t>
            </w:r>
          </w:p>
        </w:tc>
      </w:tr>
      <w:tr w:rsidR="00F30801" w:rsidRPr="005D31CB" w14:paraId="12D80C15" w14:textId="77777777" w:rsidTr="00F30801">
        <w:tc>
          <w:tcPr>
            <w:tcW w:w="2977" w:type="dxa"/>
            <w:tcMar>
              <w:top w:w="150" w:type="dxa"/>
              <w:left w:w="0" w:type="dxa"/>
              <w:bottom w:w="150" w:type="dxa"/>
              <w:right w:w="240" w:type="dxa"/>
            </w:tcMar>
            <w:vAlign w:val="center"/>
            <w:hideMark/>
          </w:tcPr>
          <w:p w14:paraId="77E4DD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Central Anatolia - TR7</w:t>
            </w:r>
          </w:p>
        </w:tc>
        <w:tc>
          <w:tcPr>
            <w:tcW w:w="1284" w:type="dxa"/>
            <w:tcMar>
              <w:top w:w="150" w:type="dxa"/>
              <w:left w:w="240" w:type="dxa"/>
              <w:bottom w:w="150" w:type="dxa"/>
              <w:right w:w="240" w:type="dxa"/>
            </w:tcMar>
            <w:vAlign w:val="center"/>
            <w:hideMark/>
          </w:tcPr>
          <w:p w14:paraId="220A4A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886,071</w:t>
            </w:r>
          </w:p>
        </w:tc>
        <w:tc>
          <w:tcPr>
            <w:tcW w:w="1280" w:type="dxa"/>
            <w:tcMar>
              <w:top w:w="150" w:type="dxa"/>
              <w:left w:w="240" w:type="dxa"/>
              <w:bottom w:w="150" w:type="dxa"/>
              <w:right w:w="240" w:type="dxa"/>
            </w:tcMar>
            <w:vAlign w:val="center"/>
            <w:hideMark/>
          </w:tcPr>
          <w:p w14:paraId="7FD6432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937,047</w:t>
            </w:r>
          </w:p>
        </w:tc>
        <w:tc>
          <w:tcPr>
            <w:tcW w:w="1280" w:type="dxa"/>
            <w:tcMar>
              <w:top w:w="150" w:type="dxa"/>
              <w:left w:w="240" w:type="dxa"/>
              <w:bottom w:w="150" w:type="dxa"/>
              <w:right w:w="240" w:type="dxa"/>
            </w:tcMar>
            <w:vAlign w:val="center"/>
            <w:hideMark/>
          </w:tcPr>
          <w:p w14:paraId="59DC717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900,762</w:t>
            </w:r>
          </w:p>
        </w:tc>
        <w:tc>
          <w:tcPr>
            <w:tcW w:w="1280" w:type="dxa"/>
            <w:tcMar>
              <w:top w:w="150" w:type="dxa"/>
              <w:left w:w="240" w:type="dxa"/>
              <w:bottom w:w="150" w:type="dxa"/>
              <w:right w:w="240" w:type="dxa"/>
            </w:tcMar>
            <w:vAlign w:val="center"/>
            <w:hideMark/>
          </w:tcPr>
          <w:p w14:paraId="78FA955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891,180</w:t>
            </w:r>
          </w:p>
        </w:tc>
        <w:tc>
          <w:tcPr>
            <w:tcW w:w="830" w:type="dxa"/>
            <w:tcMar>
              <w:top w:w="150" w:type="dxa"/>
              <w:left w:w="240" w:type="dxa"/>
              <w:bottom w:w="150" w:type="dxa"/>
              <w:right w:w="0" w:type="dxa"/>
            </w:tcMar>
            <w:vAlign w:val="center"/>
            <w:hideMark/>
          </w:tcPr>
          <w:p w14:paraId="4040D92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918,247</w:t>
            </w:r>
          </w:p>
        </w:tc>
      </w:tr>
      <w:tr w:rsidR="00F30801" w:rsidRPr="005D31CB" w14:paraId="78078600" w14:textId="77777777" w:rsidTr="00F30801">
        <w:tc>
          <w:tcPr>
            <w:tcW w:w="2977" w:type="dxa"/>
            <w:tcMar>
              <w:top w:w="150" w:type="dxa"/>
              <w:left w:w="0" w:type="dxa"/>
              <w:bottom w:w="150" w:type="dxa"/>
              <w:right w:w="240" w:type="dxa"/>
            </w:tcMar>
            <w:vAlign w:val="center"/>
            <w:hideMark/>
          </w:tcPr>
          <w:p w14:paraId="055443B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Anatolia - TRB</w:t>
            </w:r>
          </w:p>
        </w:tc>
        <w:tc>
          <w:tcPr>
            <w:tcW w:w="1284" w:type="dxa"/>
            <w:tcMar>
              <w:top w:w="150" w:type="dxa"/>
              <w:left w:w="240" w:type="dxa"/>
              <w:bottom w:w="150" w:type="dxa"/>
              <w:right w:w="240" w:type="dxa"/>
            </w:tcMar>
            <w:vAlign w:val="center"/>
            <w:hideMark/>
          </w:tcPr>
          <w:p w14:paraId="0CB6A54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248,828</w:t>
            </w:r>
          </w:p>
        </w:tc>
        <w:tc>
          <w:tcPr>
            <w:tcW w:w="1280" w:type="dxa"/>
            <w:tcMar>
              <w:top w:w="150" w:type="dxa"/>
              <w:left w:w="240" w:type="dxa"/>
              <w:bottom w:w="150" w:type="dxa"/>
              <w:right w:w="240" w:type="dxa"/>
            </w:tcMar>
            <w:vAlign w:val="center"/>
            <w:hideMark/>
          </w:tcPr>
          <w:p w14:paraId="55EED6C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249,705</w:t>
            </w:r>
          </w:p>
        </w:tc>
        <w:tc>
          <w:tcPr>
            <w:tcW w:w="1280" w:type="dxa"/>
            <w:tcMar>
              <w:top w:w="150" w:type="dxa"/>
              <w:left w:w="240" w:type="dxa"/>
              <w:bottom w:w="150" w:type="dxa"/>
              <w:right w:w="240" w:type="dxa"/>
            </w:tcMar>
            <w:vAlign w:val="center"/>
            <w:hideMark/>
          </w:tcPr>
          <w:p w14:paraId="46B174A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249,096</w:t>
            </w:r>
          </w:p>
        </w:tc>
        <w:tc>
          <w:tcPr>
            <w:tcW w:w="1280" w:type="dxa"/>
            <w:tcMar>
              <w:top w:w="150" w:type="dxa"/>
              <w:left w:w="240" w:type="dxa"/>
              <w:bottom w:w="150" w:type="dxa"/>
              <w:right w:w="240" w:type="dxa"/>
            </w:tcMar>
            <w:vAlign w:val="center"/>
            <w:hideMark/>
          </w:tcPr>
          <w:p w14:paraId="20D593B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298,107</w:t>
            </w:r>
          </w:p>
        </w:tc>
        <w:tc>
          <w:tcPr>
            <w:tcW w:w="830" w:type="dxa"/>
            <w:tcMar>
              <w:top w:w="150" w:type="dxa"/>
              <w:left w:w="240" w:type="dxa"/>
              <w:bottom w:w="150" w:type="dxa"/>
              <w:right w:w="0" w:type="dxa"/>
            </w:tcMar>
            <w:vAlign w:val="center"/>
            <w:hideMark/>
          </w:tcPr>
          <w:p w14:paraId="3C8FE9C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278,695</w:t>
            </w:r>
          </w:p>
        </w:tc>
      </w:tr>
      <w:tr w:rsidR="00F30801" w:rsidRPr="005D31CB" w14:paraId="2C0E5B92" w14:textId="77777777" w:rsidTr="00F30801">
        <w:tc>
          <w:tcPr>
            <w:tcW w:w="2977" w:type="dxa"/>
            <w:tcMar>
              <w:top w:w="150" w:type="dxa"/>
              <w:left w:w="0" w:type="dxa"/>
              <w:bottom w:w="150" w:type="dxa"/>
              <w:right w:w="240" w:type="dxa"/>
            </w:tcMar>
            <w:vAlign w:val="center"/>
            <w:hideMark/>
          </w:tcPr>
          <w:p w14:paraId="53AC95A0" w14:textId="68C5D670" w:rsidR="005D31CB" w:rsidRPr="005D31CB" w:rsidRDefault="00970AE1" w:rsidP="00F30801">
            <w:pPr>
              <w:spacing w:after="0" w:line="240" w:lineRule="auto"/>
              <w:rPr>
                <w:rFonts w:eastAsia="Times New Roman"/>
                <w:sz w:val="20"/>
                <w:szCs w:val="20"/>
                <w:lang w:eastAsia="tr-TR"/>
              </w:rPr>
            </w:pPr>
            <w:r w:rsidRPr="005D31CB">
              <w:rPr>
                <w:rFonts w:eastAsia="Times New Roman"/>
                <w:color w:val="0F1115"/>
                <w:sz w:val="20"/>
                <w:szCs w:val="20"/>
                <w:lang w:eastAsia="tr-TR"/>
              </w:rPr>
              <w:t>T</w:t>
            </w:r>
            <w:r w:rsidRPr="00F30801">
              <w:rPr>
                <w:rFonts w:eastAsia="Times New Roman"/>
                <w:color w:val="0F1115"/>
                <w:sz w:val="20"/>
                <w:szCs w:val="20"/>
                <w:lang w:eastAsia="tr-TR"/>
              </w:rPr>
              <w:t>ü</w:t>
            </w:r>
            <w:r w:rsidRPr="005D31CB">
              <w:rPr>
                <w:rFonts w:eastAsia="Times New Roman"/>
                <w:color w:val="0F1115"/>
                <w:sz w:val="20"/>
                <w:szCs w:val="20"/>
                <w:lang w:eastAsia="tr-TR"/>
              </w:rPr>
              <w:t>rk</w:t>
            </w:r>
            <w:r w:rsidRPr="00F30801">
              <w:rPr>
                <w:rFonts w:eastAsia="Times New Roman"/>
                <w:color w:val="0F1115"/>
                <w:sz w:val="20"/>
                <w:szCs w:val="20"/>
                <w:lang w:eastAsia="tr-TR"/>
              </w:rPr>
              <w:t>iye</w:t>
            </w:r>
            <w:r w:rsidR="005D31CB" w:rsidRPr="005D31CB">
              <w:rPr>
                <w:rFonts w:eastAsia="Times New Roman"/>
                <w:sz w:val="20"/>
                <w:szCs w:val="20"/>
                <w:lang w:eastAsia="tr-TR"/>
              </w:rPr>
              <w:t xml:space="preserve"> - TR</w:t>
            </w:r>
          </w:p>
        </w:tc>
        <w:tc>
          <w:tcPr>
            <w:tcW w:w="1284" w:type="dxa"/>
            <w:tcMar>
              <w:top w:w="150" w:type="dxa"/>
              <w:left w:w="240" w:type="dxa"/>
              <w:bottom w:w="150" w:type="dxa"/>
              <w:right w:w="240" w:type="dxa"/>
            </w:tcMar>
            <w:vAlign w:val="center"/>
            <w:hideMark/>
          </w:tcPr>
          <w:p w14:paraId="1EF4FD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7,792,463</w:t>
            </w:r>
          </w:p>
        </w:tc>
        <w:tc>
          <w:tcPr>
            <w:tcW w:w="1280" w:type="dxa"/>
            <w:tcMar>
              <w:top w:w="150" w:type="dxa"/>
              <w:left w:w="240" w:type="dxa"/>
              <w:bottom w:w="150" w:type="dxa"/>
              <w:right w:w="240" w:type="dxa"/>
            </w:tcMar>
            <w:vAlign w:val="center"/>
            <w:hideMark/>
          </w:tcPr>
          <w:p w14:paraId="379CEB7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7,553,346</w:t>
            </w:r>
          </w:p>
        </w:tc>
        <w:tc>
          <w:tcPr>
            <w:tcW w:w="1280" w:type="dxa"/>
            <w:tcMar>
              <w:top w:w="150" w:type="dxa"/>
              <w:left w:w="240" w:type="dxa"/>
              <w:bottom w:w="150" w:type="dxa"/>
              <w:right w:w="240" w:type="dxa"/>
            </w:tcMar>
            <w:vAlign w:val="center"/>
            <w:hideMark/>
          </w:tcPr>
          <w:p w14:paraId="1A00EA0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7,176,802</w:t>
            </w:r>
          </w:p>
        </w:tc>
        <w:tc>
          <w:tcPr>
            <w:tcW w:w="1280" w:type="dxa"/>
            <w:tcMar>
              <w:top w:w="150" w:type="dxa"/>
              <w:left w:w="240" w:type="dxa"/>
              <w:bottom w:w="150" w:type="dxa"/>
              <w:right w:w="240" w:type="dxa"/>
            </w:tcMar>
            <w:vAlign w:val="center"/>
            <w:hideMark/>
          </w:tcPr>
          <w:p w14:paraId="301DD2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7,122,641</w:t>
            </w:r>
          </w:p>
        </w:tc>
        <w:tc>
          <w:tcPr>
            <w:tcW w:w="830" w:type="dxa"/>
            <w:tcMar>
              <w:top w:w="150" w:type="dxa"/>
              <w:left w:w="240" w:type="dxa"/>
              <w:bottom w:w="150" w:type="dxa"/>
              <w:right w:w="0" w:type="dxa"/>
            </w:tcMar>
            <w:vAlign w:val="center"/>
            <w:hideMark/>
          </w:tcPr>
          <w:p w14:paraId="031A893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7,406,857</w:t>
            </w:r>
          </w:p>
        </w:tc>
      </w:tr>
      <w:tr w:rsidR="00F30801" w:rsidRPr="005D31CB" w14:paraId="10958A73" w14:textId="77777777" w:rsidTr="00F30801">
        <w:tc>
          <w:tcPr>
            <w:tcW w:w="2977" w:type="dxa"/>
            <w:tcMar>
              <w:top w:w="150" w:type="dxa"/>
              <w:left w:w="0" w:type="dxa"/>
              <w:bottom w:w="150" w:type="dxa"/>
              <w:right w:w="240" w:type="dxa"/>
            </w:tcMar>
            <w:vAlign w:val="center"/>
            <w:hideMark/>
          </w:tcPr>
          <w:p w14:paraId="3DDBB50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Istanbul - TR1</w:t>
            </w:r>
          </w:p>
        </w:tc>
        <w:tc>
          <w:tcPr>
            <w:tcW w:w="1284" w:type="dxa"/>
            <w:tcMar>
              <w:top w:w="150" w:type="dxa"/>
              <w:left w:w="240" w:type="dxa"/>
              <w:bottom w:w="150" w:type="dxa"/>
              <w:right w:w="240" w:type="dxa"/>
            </w:tcMar>
            <w:vAlign w:val="center"/>
            <w:hideMark/>
          </w:tcPr>
          <w:p w14:paraId="30BD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28,698</w:t>
            </w:r>
          </w:p>
        </w:tc>
        <w:tc>
          <w:tcPr>
            <w:tcW w:w="1280" w:type="dxa"/>
            <w:tcMar>
              <w:top w:w="150" w:type="dxa"/>
              <w:left w:w="240" w:type="dxa"/>
              <w:bottom w:w="150" w:type="dxa"/>
              <w:right w:w="240" w:type="dxa"/>
            </w:tcMar>
            <w:vAlign w:val="center"/>
            <w:hideMark/>
          </w:tcPr>
          <w:p w14:paraId="724BA63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28,349</w:t>
            </w:r>
          </w:p>
        </w:tc>
        <w:tc>
          <w:tcPr>
            <w:tcW w:w="1280" w:type="dxa"/>
            <w:tcMar>
              <w:top w:w="150" w:type="dxa"/>
              <w:left w:w="240" w:type="dxa"/>
              <w:bottom w:w="150" w:type="dxa"/>
              <w:right w:w="240" w:type="dxa"/>
            </w:tcMar>
            <w:vAlign w:val="center"/>
            <w:hideMark/>
          </w:tcPr>
          <w:p w14:paraId="5B34D9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28,005</w:t>
            </w:r>
          </w:p>
        </w:tc>
        <w:tc>
          <w:tcPr>
            <w:tcW w:w="1280" w:type="dxa"/>
            <w:tcMar>
              <w:top w:w="150" w:type="dxa"/>
              <w:left w:w="240" w:type="dxa"/>
              <w:bottom w:w="150" w:type="dxa"/>
              <w:right w:w="240" w:type="dxa"/>
            </w:tcMar>
            <w:vAlign w:val="center"/>
            <w:hideMark/>
          </w:tcPr>
          <w:p w14:paraId="1577F4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26,252</w:t>
            </w:r>
          </w:p>
        </w:tc>
        <w:tc>
          <w:tcPr>
            <w:tcW w:w="830" w:type="dxa"/>
            <w:tcMar>
              <w:top w:w="150" w:type="dxa"/>
              <w:left w:w="240" w:type="dxa"/>
              <w:bottom w:w="150" w:type="dxa"/>
              <w:right w:w="0" w:type="dxa"/>
            </w:tcMar>
            <w:vAlign w:val="center"/>
            <w:hideMark/>
          </w:tcPr>
          <w:p w14:paraId="35DD947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25,835</w:t>
            </w:r>
          </w:p>
        </w:tc>
      </w:tr>
    </w:tbl>
    <w:p w14:paraId="0ABADBE2" w14:textId="48D20C83" w:rsidR="00433C33" w:rsidRPr="00452FB4" w:rsidRDefault="00433C33" w:rsidP="00F30801">
      <w:pPr>
        <w:spacing w:before="240" w:after="240" w:line="420" w:lineRule="atLeast"/>
        <w:jc w:val="center"/>
        <w:rPr>
          <w:rFonts w:eastAsia="Times New Roman"/>
          <w:b/>
          <w:bCs/>
          <w:color w:val="0F1115"/>
          <w:sz w:val="24"/>
          <w:szCs w:val="24"/>
          <w:lang w:eastAsia="tr-TR"/>
        </w:rPr>
      </w:pPr>
      <w:r w:rsidRPr="00452FB4">
        <w:rPr>
          <w:rFonts w:eastAsia="Times New Roman"/>
          <w:b/>
          <w:bCs/>
          <w:noProof/>
          <w:color w:val="0F1115"/>
          <w:sz w:val="24"/>
          <w:szCs w:val="24"/>
          <w:lang w:eastAsia="tr-TR"/>
        </w:rPr>
        <w:drawing>
          <wp:inline distT="0" distB="0" distL="0" distR="0" wp14:anchorId="2F80AAE5" wp14:editId="476CAA82">
            <wp:extent cx="5670550" cy="3066751"/>
            <wp:effectExtent l="0" t="0" r="6350" b="63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1717" cy="3094423"/>
                    </a:xfrm>
                    <a:prstGeom prst="rect">
                      <a:avLst/>
                    </a:prstGeom>
                    <a:noFill/>
                  </pic:spPr>
                </pic:pic>
              </a:graphicData>
            </a:graphic>
          </wp:inline>
        </w:drawing>
      </w:r>
    </w:p>
    <w:p w14:paraId="624D41C4" w14:textId="29A59CAD" w:rsidR="00C21050" w:rsidRDefault="005D31CB" w:rsidP="00452FB4">
      <w:pPr>
        <w:spacing w:before="240" w:after="240" w:line="420" w:lineRule="atLeast"/>
        <w:jc w:val="both"/>
        <w:rPr>
          <w:rFonts w:eastAsia="Times New Roman"/>
          <w:b/>
          <w:bCs/>
          <w:color w:val="0F1115"/>
          <w:sz w:val="24"/>
          <w:szCs w:val="24"/>
          <w:lang w:eastAsia="tr-TR"/>
        </w:rPr>
      </w:pPr>
      <w:r w:rsidRPr="005D31CB">
        <w:rPr>
          <w:rFonts w:eastAsia="Times New Roman"/>
          <w:b/>
          <w:bCs/>
          <w:color w:val="0F1115"/>
          <w:sz w:val="24"/>
          <w:szCs w:val="24"/>
          <w:lang w:eastAsia="tr-TR"/>
        </w:rPr>
        <w:lastRenderedPageBreak/>
        <w:t xml:space="preserve">Figure </w:t>
      </w:r>
      <w:r w:rsidR="00FF7D9C">
        <w:rPr>
          <w:rFonts w:eastAsia="Times New Roman"/>
          <w:b/>
          <w:bCs/>
          <w:color w:val="0F1115"/>
          <w:sz w:val="24"/>
          <w:szCs w:val="24"/>
          <w:lang w:eastAsia="tr-TR"/>
        </w:rPr>
        <w:t>4</w:t>
      </w:r>
      <w:r w:rsidRPr="005D31CB">
        <w:rPr>
          <w:rFonts w:eastAsia="Times New Roman"/>
          <w:b/>
          <w:bCs/>
          <w:color w:val="0F1115"/>
          <w:sz w:val="24"/>
          <w:szCs w:val="24"/>
          <w:lang w:eastAsia="tr-TR"/>
        </w:rPr>
        <w:t xml:space="preserve">. Annual Change in Total Vegetable Area in </w:t>
      </w:r>
      <w:r w:rsidR="00970AE1" w:rsidRPr="00164D6F">
        <w:rPr>
          <w:rFonts w:eastAsia="Times New Roman"/>
          <w:b/>
          <w:bCs/>
          <w:color w:val="0F1115"/>
          <w:sz w:val="24"/>
          <w:szCs w:val="24"/>
          <w:lang w:eastAsia="tr-TR"/>
        </w:rPr>
        <w:t>Türkiye</w:t>
      </w:r>
      <w:r w:rsidRPr="005D31CB">
        <w:rPr>
          <w:rFonts w:eastAsia="Times New Roman"/>
          <w:b/>
          <w:bCs/>
          <w:color w:val="0F1115"/>
          <w:sz w:val="24"/>
          <w:szCs w:val="24"/>
          <w:lang w:eastAsia="tr-TR"/>
        </w:rPr>
        <w:t>'s 12 Statistical Regions (2020-2024)</w:t>
      </w:r>
    </w:p>
    <w:p w14:paraId="02CA385F" w14:textId="14112468" w:rsidR="0012056E" w:rsidRPr="00F96D9F" w:rsidRDefault="005D31CB" w:rsidP="00452FB4">
      <w:pPr>
        <w:spacing w:before="240" w:after="240" w:line="420" w:lineRule="atLeast"/>
        <w:jc w:val="both"/>
        <w:rPr>
          <w:rFonts w:eastAsia="Times New Roman"/>
          <w:color w:val="0F1115"/>
          <w:sz w:val="24"/>
          <w:szCs w:val="24"/>
          <w:highlight w:val="yellow"/>
          <w:lang w:eastAsia="tr-TR"/>
        </w:rPr>
      </w:pPr>
      <w:r w:rsidRPr="005D31CB">
        <w:rPr>
          <w:rFonts w:eastAsia="Times New Roman"/>
          <w:color w:val="0F1115"/>
          <w:sz w:val="24"/>
          <w:szCs w:val="24"/>
          <w:lang w:eastAsia="tr-TR"/>
        </w:rPr>
        <w:br/>
      </w:r>
      <w:r w:rsidR="0012056E" w:rsidRPr="00F96D9F">
        <w:rPr>
          <w:rFonts w:eastAsia="Times New Roman"/>
          <w:color w:val="0F1115"/>
          <w:sz w:val="24"/>
          <w:szCs w:val="24"/>
          <w:highlight w:val="yellow"/>
          <w:lang w:eastAsia="tr-TR"/>
        </w:rPr>
        <w:t xml:space="preserve">Figure </w:t>
      </w:r>
      <w:r w:rsidR="00FF7D9C">
        <w:rPr>
          <w:rFonts w:eastAsia="Times New Roman"/>
          <w:color w:val="0F1115"/>
          <w:sz w:val="24"/>
          <w:szCs w:val="24"/>
          <w:highlight w:val="yellow"/>
          <w:lang w:eastAsia="tr-TR"/>
        </w:rPr>
        <w:t>4</w:t>
      </w:r>
      <w:r w:rsidR="0012056E" w:rsidRPr="00F96D9F">
        <w:rPr>
          <w:rFonts w:eastAsia="Times New Roman"/>
          <w:color w:val="0F1115"/>
          <w:sz w:val="24"/>
          <w:szCs w:val="24"/>
          <w:highlight w:val="yellow"/>
          <w:lang w:eastAsia="tr-TR"/>
        </w:rPr>
        <w:t xml:space="preserve"> and Table 3 show the annual change in the total vegetable area across Türkiye's 12 statistical regions during the 2020-2024 period. The general trend is an approximately 5% decrease in Türkiye's total vegetable area, from 7.79 million decares in 2020 to 7.41 million decares in 2024. However, different regional dynamics underlie this decline. While areas in traditional vegetable production centers such as the Mediterranean (TR6), Aegean (TR3), and Eastern Marmara (TR4) have decreased significantly, the Western Anatolia (TR5), Central Anatolia (TR7), and Southeastern Anatolia (TRC) regions have recorded significant increases. Particularly in Central Anatolia (TR7), vegetable area increased by 3.6%, reaching 918 thousand decares with the spread of modern irrigation projects and greenhouse cultivation, making the region a rising center in Türkiye's vegetable production geography. In Southeastern Anatolia (TRC), a growth of 7.6% was observed, influenced by GAP irrigation investments. This distribution indicates a tendency for vegetable production to shift from traditional areas dependent on climatic advantages towards interior regions where factors such as irrigation infrastructure and market access are decisive.</w:t>
      </w:r>
    </w:p>
    <w:p w14:paraId="39DC803E" w14:textId="0CC1D30C" w:rsidR="00C21050" w:rsidRPr="00F96D9F" w:rsidRDefault="005D31CB" w:rsidP="00452FB4">
      <w:p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Private Sector's Geographical Dominance: Extreme Concentration in Ornamental Plants</w:t>
      </w:r>
    </w:p>
    <w:p w14:paraId="4B5F3DE5" w14:textId="6DEBAB3F" w:rsidR="005D31CB" w:rsidRPr="005D31CB" w:rsidRDefault="005D31CB" w:rsidP="00452FB4">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 xml:space="preserve">The ornamental plants (cut flowers, potted plants, seedlings) sector represents the peak of spatial concentration in </w:t>
      </w:r>
      <w:r w:rsidR="00970AE1" w:rsidRPr="00F96D9F">
        <w:rPr>
          <w:rFonts w:eastAsia="Times New Roman"/>
          <w:color w:val="0F1115"/>
          <w:sz w:val="24"/>
          <w:szCs w:val="24"/>
          <w:highlight w:val="yellow"/>
          <w:lang w:eastAsia="tr-TR"/>
        </w:rPr>
        <w:t>Türkiye</w:t>
      </w:r>
      <w:r w:rsidRPr="00F96D9F">
        <w:rPr>
          <w:rFonts w:eastAsia="Times New Roman"/>
          <w:color w:val="0F1115"/>
          <w:sz w:val="24"/>
          <w:szCs w:val="24"/>
          <w:highlight w:val="yellow"/>
          <w:lang w:eastAsia="tr-TR"/>
        </w:rPr>
        <w:t xml:space="preserve"> agriculture</w:t>
      </w:r>
      <w:r w:rsidR="0012056E" w:rsidRPr="00F96D9F">
        <w:rPr>
          <w:rFonts w:eastAsia="Times New Roman"/>
          <w:color w:val="0F1115"/>
          <w:sz w:val="24"/>
          <w:szCs w:val="24"/>
          <w:highlight w:val="yellow"/>
          <w:lang w:eastAsia="tr-TR"/>
        </w:rPr>
        <w:t>-</w:t>
      </w:r>
      <w:r w:rsidRPr="00F96D9F">
        <w:rPr>
          <w:rFonts w:eastAsia="Times New Roman"/>
          <w:color w:val="0F1115"/>
          <w:sz w:val="24"/>
          <w:szCs w:val="24"/>
          <w:highlight w:val="yellow"/>
          <w:lang w:eastAsia="tr-TR"/>
        </w:rPr>
        <w:t>a field entirely driven by market and logistics. Production is extremely densely locked into centers that are the heart of consumption and the main gates for exports.</w:t>
      </w:r>
      <w:r w:rsidR="007D5248" w:rsidRPr="00F96D9F">
        <w:rPr>
          <w:rFonts w:ascii="Segoe UI" w:hAnsi="Segoe UI" w:cs="Segoe UI"/>
          <w:color w:val="0F1115"/>
          <w:highlight w:val="yellow"/>
          <w:shd w:val="clear" w:color="auto" w:fill="FFFFFF"/>
        </w:rPr>
        <w:t xml:space="preserve"> </w:t>
      </w:r>
      <w:r w:rsidR="007D5248" w:rsidRPr="00F96D9F">
        <w:rPr>
          <w:rFonts w:eastAsia="Times New Roman"/>
          <w:color w:val="0F1115"/>
          <w:sz w:val="24"/>
          <w:szCs w:val="24"/>
          <w:highlight w:val="yellow"/>
          <w:lang w:eastAsia="tr-TR"/>
        </w:rPr>
        <w:t xml:space="preserve">A striking 92.7% of Türkiye's ornamental plant area is clustered in just three regions (TR1 Istanbul, TR3 Aegean/Izmir, TR4 Eastern Marmara) (Table 4). The extreme concentration is visually summarized in Figure </w:t>
      </w:r>
      <w:r w:rsidR="00FF7D9C">
        <w:rPr>
          <w:rFonts w:eastAsia="Times New Roman"/>
          <w:color w:val="0F1115"/>
          <w:sz w:val="24"/>
          <w:szCs w:val="24"/>
          <w:highlight w:val="yellow"/>
          <w:lang w:eastAsia="tr-TR"/>
        </w:rPr>
        <w:t>5</w:t>
      </w:r>
      <w:r w:rsidR="007D5248" w:rsidRPr="00F96D9F">
        <w:rPr>
          <w:rFonts w:eastAsia="Times New Roman"/>
          <w:color w:val="0F1115"/>
          <w:sz w:val="24"/>
          <w:szCs w:val="24"/>
          <w:highlight w:val="yellow"/>
          <w:lang w:eastAsia="tr-TR"/>
        </w:rPr>
        <w:t>.</w:t>
      </w:r>
    </w:p>
    <w:p w14:paraId="1FD64A38" w14:textId="26301F52"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Table </w:t>
      </w:r>
      <w:r w:rsidR="00FF7D9C">
        <w:rPr>
          <w:rFonts w:eastAsia="Times New Roman"/>
          <w:b/>
          <w:bCs/>
          <w:color w:val="0F1115"/>
          <w:sz w:val="24"/>
          <w:szCs w:val="24"/>
          <w:lang w:eastAsia="tr-TR"/>
        </w:rPr>
        <w:t>4</w:t>
      </w:r>
      <w:r w:rsidRPr="005D31CB">
        <w:rPr>
          <w:rFonts w:eastAsia="Times New Roman"/>
          <w:b/>
          <w:bCs/>
          <w:color w:val="0F1115"/>
          <w:sz w:val="24"/>
          <w:szCs w:val="24"/>
          <w:lang w:eastAsia="tr-TR"/>
        </w:rPr>
        <w:t>. Regional Distribution of Ornamental Plants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74"/>
        <w:gridCol w:w="1419"/>
        <w:gridCol w:w="1496"/>
      </w:tblGrid>
      <w:tr w:rsidR="005D31CB" w:rsidRPr="005D31CB" w14:paraId="32291752" w14:textId="77777777" w:rsidTr="00C210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E9F984"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D163F7A"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98E155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AD5ABB5"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7BFCE850" w14:textId="77777777" w:rsidTr="00C21050">
        <w:tc>
          <w:tcPr>
            <w:tcW w:w="0" w:type="auto"/>
            <w:tcBorders>
              <w:top w:val="single" w:sz="4" w:space="0" w:color="auto"/>
            </w:tcBorders>
            <w:tcMar>
              <w:top w:w="150" w:type="dxa"/>
              <w:left w:w="0" w:type="dxa"/>
              <w:bottom w:w="150" w:type="dxa"/>
              <w:right w:w="240" w:type="dxa"/>
            </w:tcMar>
            <w:vAlign w:val="center"/>
            <w:hideMark/>
          </w:tcPr>
          <w:p w14:paraId="6D7073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TR1</w:t>
            </w:r>
          </w:p>
        </w:tc>
        <w:tc>
          <w:tcPr>
            <w:tcW w:w="0" w:type="auto"/>
            <w:tcBorders>
              <w:top w:val="single" w:sz="4" w:space="0" w:color="auto"/>
            </w:tcBorders>
            <w:tcMar>
              <w:top w:w="150" w:type="dxa"/>
              <w:left w:w="240" w:type="dxa"/>
              <w:bottom w:w="150" w:type="dxa"/>
              <w:right w:w="240" w:type="dxa"/>
            </w:tcMar>
            <w:vAlign w:val="center"/>
            <w:hideMark/>
          </w:tcPr>
          <w:p w14:paraId="0DFC0C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Istanbul</w:t>
            </w:r>
          </w:p>
        </w:tc>
        <w:tc>
          <w:tcPr>
            <w:tcW w:w="0" w:type="auto"/>
            <w:tcBorders>
              <w:top w:val="single" w:sz="4" w:space="0" w:color="auto"/>
            </w:tcBorders>
            <w:tcMar>
              <w:top w:w="150" w:type="dxa"/>
              <w:left w:w="240" w:type="dxa"/>
              <w:bottom w:w="150" w:type="dxa"/>
              <w:right w:w="240" w:type="dxa"/>
            </w:tcMar>
            <w:vAlign w:val="center"/>
            <w:hideMark/>
          </w:tcPr>
          <w:p w14:paraId="1968232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22,494.9</w:t>
            </w:r>
          </w:p>
        </w:tc>
        <w:tc>
          <w:tcPr>
            <w:tcW w:w="0" w:type="auto"/>
            <w:tcBorders>
              <w:top w:val="single" w:sz="4" w:space="0" w:color="auto"/>
            </w:tcBorders>
            <w:tcMar>
              <w:top w:w="150" w:type="dxa"/>
              <w:left w:w="240" w:type="dxa"/>
              <w:bottom w:w="150" w:type="dxa"/>
              <w:right w:w="0" w:type="dxa"/>
            </w:tcMar>
            <w:vAlign w:val="center"/>
            <w:hideMark/>
          </w:tcPr>
          <w:p w14:paraId="4B183D8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38.1</w:t>
            </w:r>
          </w:p>
        </w:tc>
      </w:tr>
      <w:tr w:rsidR="005D31CB" w:rsidRPr="005D31CB" w14:paraId="19ADC027" w14:textId="77777777" w:rsidTr="00C21050">
        <w:tc>
          <w:tcPr>
            <w:tcW w:w="0" w:type="auto"/>
            <w:tcMar>
              <w:top w:w="150" w:type="dxa"/>
              <w:left w:w="0" w:type="dxa"/>
              <w:bottom w:w="150" w:type="dxa"/>
              <w:right w:w="240" w:type="dxa"/>
            </w:tcMar>
            <w:vAlign w:val="center"/>
            <w:hideMark/>
          </w:tcPr>
          <w:p w14:paraId="30692C7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Mar>
              <w:top w:w="150" w:type="dxa"/>
              <w:left w:w="240" w:type="dxa"/>
              <w:bottom w:w="150" w:type="dxa"/>
              <w:right w:w="240" w:type="dxa"/>
            </w:tcMar>
            <w:vAlign w:val="center"/>
            <w:hideMark/>
          </w:tcPr>
          <w:p w14:paraId="4DDB9E2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 (Izmir)</w:t>
            </w:r>
          </w:p>
        </w:tc>
        <w:tc>
          <w:tcPr>
            <w:tcW w:w="0" w:type="auto"/>
            <w:tcMar>
              <w:top w:w="150" w:type="dxa"/>
              <w:left w:w="240" w:type="dxa"/>
              <w:bottom w:w="150" w:type="dxa"/>
              <w:right w:w="240" w:type="dxa"/>
            </w:tcMar>
            <w:vAlign w:val="center"/>
            <w:hideMark/>
          </w:tcPr>
          <w:p w14:paraId="7D50397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18,951.4</w:t>
            </w:r>
          </w:p>
        </w:tc>
        <w:tc>
          <w:tcPr>
            <w:tcW w:w="0" w:type="auto"/>
            <w:tcMar>
              <w:top w:w="150" w:type="dxa"/>
              <w:left w:w="240" w:type="dxa"/>
              <w:bottom w:w="150" w:type="dxa"/>
              <w:right w:w="0" w:type="dxa"/>
            </w:tcMar>
            <w:vAlign w:val="center"/>
            <w:hideMark/>
          </w:tcPr>
          <w:p w14:paraId="09B902D1"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32.1</w:t>
            </w:r>
          </w:p>
        </w:tc>
      </w:tr>
      <w:tr w:rsidR="005D31CB" w:rsidRPr="005D31CB" w14:paraId="4EC6686D" w14:textId="77777777" w:rsidTr="00C21050">
        <w:tc>
          <w:tcPr>
            <w:tcW w:w="0" w:type="auto"/>
            <w:tcMar>
              <w:top w:w="150" w:type="dxa"/>
              <w:left w:w="0" w:type="dxa"/>
              <w:bottom w:w="150" w:type="dxa"/>
              <w:right w:w="240" w:type="dxa"/>
            </w:tcMar>
            <w:vAlign w:val="center"/>
            <w:hideMark/>
          </w:tcPr>
          <w:p w14:paraId="39B162C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lastRenderedPageBreak/>
              <w:t>TR4</w:t>
            </w:r>
          </w:p>
        </w:tc>
        <w:tc>
          <w:tcPr>
            <w:tcW w:w="0" w:type="auto"/>
            <w:tcMar>
              <w:top w:w="150" w:type="dxa"/>
              <w:left w:w="240" w:type="dxa"/>
              <w:bottom w:w="150" w:type="dxa"/>
              <w:right w:w="240" w:type="dxa"/>
            </w:tcMar>
            <w:vAlign w:val="center"/>
            <w:hideMark/>
          </w:tcPr>
          <w:p w14:paraId="652802A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Eastern Marmara</w:t>
            </w:r>
          </w:p>
        </w:tc>
        <w:tc>
          <w:tcPr>
            <w:tcW w:w="0" w:type="auto"/>
            <w:tcMar>
              <w:top w:w="150" w:type="dxa"/>
              <w:left w:w="240" w:type="dxa"/>
              <w:bottom w:w="150" w:type="dxa"/>
              <w:right w:w="240" w:type="dxa"/>
            </w:tcMar>
            <w:vAlign w:val="center"/>
            <w:hideMark/>
          </w:tcPr>
          <w:p w14:paraId="4AFA92A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13,277.4</w:t>
            </w:r>
          </w:p>
        </w:tc>
        <w:tc>
          <w:tcPr>
            <w:tcW w:w="0" w:type="auto"/>
            <w:tcMar>
              <w:top w:w="150" w:type="dxa"/>
              <w:left w:w="240" w:type="dxa"/>
              <w:bottom w:w="150" w:type="dxa"/>
              <w:right w:w="0" w:type="dxa"/>
            </w:tcMar>
            <w:vAlign w:val="center"/>
            <w:hideMark/>
          </w:tcPr>
          <w:p w14:paraId="09D86C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22.5</w:t>
            </w:r>
          </w:p>
        </w:tc>
      </w:tr>
      <w:tr w:rsidR="005D31CB" w:rsidRPr="005D31CB" w14:paraId="1FBF0B25" w14:textId="77777777" w:rsidTr="00C21050">
        <w:tc>
          <w:tcPr>
            <w:tcW w:w="0" w:type="auto"/>
            <w:tcMar>
              <w:top w:w="150" w:type="dxa"/>
              <w:left w:w="0" w:type="dxa"/>
              <w:bottom w:w="150" w:type="dxa"/>
              <w:right w:w="240" w:type="dxa"/>
            </w:tcMar>
            <w:vAlign w:val="center"/>
            <w:hideMark/>
          </w:tcPr>
          <w:p w14:paraId="2CA0EAD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Other</w:t>
            </w:r>
          </w:p>
        </w:tc>
        <w:tc>
          <w:tcPr>
            <w:tcW w:w="0" w:type="auto"/>
            <w:tcMar>
              <w:top w:w="150" w:type="dxa"/>
              <w:left w:w="240" w:type="dxa"/>
              <w:bottom w:w="150" w:type="dxa"/>
              <w:right w:w="240" w:type="dxa"/>
            </w:tcMar>
            <w:vAlign w:val="center"/>
            <w:hideMark/>
          </w:tcPr>
          <w:p w14:paraId="345E6B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Remaining 9 Regions</w:t>
            </w:r>
          </w:p>
        </w:tc>
        <w:tc>
          <w:tcPr>
            <w:tcW w:w="0" w:type="auto"/>
            <w:tcMar>
              <w:top w:w="150" w:type="dxa"/>
              <w:left w:w="240" w:type="dxa"/>
              <w:bottom w:w="150" w:type="dxa"/>
              <w:right w:w="240" w:type="dxa"/>
            </w:tcMar>
            <w:vAlign w:val="center"/>
            <w:hideMark/>
          </w:tcPr>
          <w:p w14:paraId="253F062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5,267.6</w:t>
            </w:r>
          </w:p>
        </w:tc>
        <w:tc>
          <w:tcPr>
            <w:tcW w:w="0" w:type="auto"/>
            <w:tcMar>
              <w:top w:w="150" w:type="dxa"/>
              <w:left w:w="240" w:type="dxa"/>
              <w:bottom w:w="150" w:type="dxa"/>
              <w:right w:w="0" w:type="dxa"/>
            </w:tcMar>
            <w:vAlign w:val="center"/>
            <w:hideMark/>
          </w:tcPr>
          <w:p w14:paraId="7DDCEEB8"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7.3</w:t>
            </w:r>
          </w:p>
        </w:tc>
      </w:tr>
      <w:tr w:rsidR="005D31CB" w:rsidRPr="005D31CB" w14:paraId="0C6121A6" w14:textId="77777777" w:rsidTr="00C21050">
        <w:tc>
          <w:tcPr>
            <w:tcW w:w="0" w:type="auto"/>
            <w:tcMar>
              <w:top w:w="150" w:type="dxa"/>
              <w:left w:w="0" w:type="dxa"/>
              <w:bottom w:w="150" w:type="dxa"/>
              <w:right w:w="240" w:type="dxa"/>
            </w:tcMar>
            <w:vAlign w:val="center"/>
            <w:hideMark/>
          </w:tcPr>
          <w:p w14:paraId="7F1B5F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582AF81B" w14:textId="67DCF080" w:rsidR="005D31CB" w:rsidRPr="005D31CB" w:rsidRDefault="00970AE1" w:rsidP="00452FB4">
            <w:pPr>
              <w:spacing w:after="0" w:line="375" w:lineRule="atLeast"/>
              <w:jc w:val="both"/>
              <w:rPr>
                <w:rFonts w:eastAsia="Times New Roman"/>
                <w:sz w:val="23"/>
                <w:szCs w:val="23"/>
                <w:lang w:eastAsia="tr-TR"/>
              </w:rPr>
            </w:pPr>
            <w:r w:rsidRPr="005D31CB">
              <w:rPr>
                <w:rFonts w:eastAsia="Times New Roman"/>
                <w:b/>
                <w:bCs/>
                <w:color w:val="0F1115"/>
                <w:sz w:val="24"/>
                <w:szCs w:val="24"/>
                <w:lang w:eastAsia="tr-TR"/>
              </w:rPr>
              <w:t>T</w:t>
            </w:r>
            <w:r w:rsidRPr="00970AE1">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970AE1">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037CF88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59,991.3</w:t>
            </w:r>
          </w:p>
        </w:tc>
        <w:tc>
          <w:tcPr>
            <w:tcW w:w="0" w:type="auto"/>
            <w:tcMar>
              <w:top w:w="150" w:type="dxa"/>
              <w:left w:w="240" w:type="dxa"/>
              <w:bottom w:w="150" w:type="dxa"/>
              <w:right w:w="0" w:type="dxa"/>
            </w:tcMar>
            <w:vAlign w:val="center"/>
            <w:hideMark/>
          </w:tcPr>
          <w:p w14:paraId="6C5823C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100.0</w:t>
            </w:r>
          </w:p>
        </w:tc>
      </w:tr>
    </w:tbl>
    <w:p w14:paraId="05549222"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(2024)</w:t>
      </w:r>
    </w:p>
    <w:p w14:paraId="2874D3E6" w14:textId="1B709C67" w:rsidR="00295132" w:rsidRDefault="00E94CD8" w:rsidP="00452FB4">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t>A striking 92.7% of Türkiye's ornamental plant area is clustered in just three regions (TR1 Istanbul, TR3 Aegean/Izmir, TR4 Eastern Marmara) (Table 4). This situation proves the sector's absolute dependence on massive local consumption centers like Istanbul and export facilities such as the airport/port in Izmir (Taşçıoğlu &amp; Sayın, 2005). TR4 (Sakarya, Kocaeli, Yalova, Bursa, Bilecik) has become a critical part of this cluster due to its proximity to the Istanbul market and suitable microclimate characteristics. This model is an example of the decisive role of "market potential" in determining production location, as described in Krugman's economic geography theory</w:t>
      </w:r>
      <w:r w:rsidR="00F71931" w:rsidRPr="00F96D9F">
        <w:rPr>
          <w:rFonts w:eastAsia="Times New Roman"/>
          <w:color w:val="0F1115"/>
          <w:sz w:val="24"/>
          <w:szCs w:val="24"/>
          <w:highlight w:val="yellow"/>
          <w:lang w:eastAsia="tr-TR"/>
        </w:rPr>
        <w:t xml:space="preserve"> (Krugman, 1991</w:t>
      </w:r>
      <w:r w:rsidR="00044904" w:rsidRPr="00F96D9F">
        <w:rPr>
          <w:rFonts w:eastAsia="Times New Roman"/>
          <w:color w:val="0F1115"/>
          <w:sz w:val="24"/>
          <w:szCs w:val="24"/>
          <w:highlight w:val="yellow"/>
          <w:lang w:eastAsia="tr-TR"/>
        </w:rPr>
        <w:t>b</w:t>
      </w:r>
      <w:r w:rsidR="00F71931" w:rsidRPr="00F96D9F">
        <w:rPr>
          <w:rFonts w:eastAsia="Times New Roman"/>
          <w:color w:val="0F1115"/>
          <w:sz w:val="24"/>
          <w:szCs w:val="24"/>
          <w:highlight w:val="yellow"/>
          <w:lang w:eastAsia="tr-TR"/>
        </w:rPr>
        <w:t>)</w:t>
      </w:r>
      <w:r w:rsidRPr="00F96D9F">
        <w:rPr>
          <w:rFonts w:eastAsia="Times New Roman"/>
          <w:color w:val="0F1115"/>
          <w:sz w:val="24"/>
          <w:szCs w:val="24"/>
          <w:highlight w:val="yellow"/>
          <w:lang w:eastAsia="tr-TR"/>
        </w:rPr>
        <w:t>.</w:t>
      </w:r>
    </w:p>
    <w:p w14:paraId="4A2CECDD" w14:textId="77777777" w:rsidR="00F96D9F" w:rsidRPr="00452FB4" w:rsidRDefault="00F96D9F" w:rsidP="00452FB4">
      <w:pPr>
        <w:spacing w:before="240" w:after="240" w:line="420" w:lineRule="atLeast"/>
        <w:jc w:val="both"/>
        <w:rPr>
          <w:rFonts w:eastAsia="Times New Roman"/>
          <w:color w:val="0F1115"/>
          <w:sz w:val="24"/>
          <w:szCs w:val="24"/>
          <w:lang w:eastAsia="tr-TR"/>
        </w:rPr>
      </w:pPr>
    </w:p>
    <w:p w14:paraId="2DF45376" w14:textId="11329602" w:rsidR="00F92186" w:rsidRPr="005D31CB" w:rsidRDefault="00F92186" w:rsidP="00452FB4">
      <w:pPr>
        <w:spacing w:before="240" w:after="240" w:line="420" w:lineRule="atLeast"/>
        <w:jc w:val="both"/>
        <w:rPr>
          <w:rFonts w:eastAsia="Times New Roman"/>
          <w:color w:val="0F1115"/>
          <w:sz w:val="24"/>
          <w:szCs w:val="24"/>
          <w:lang w:eastAsia="tr-TR"/>
        </w:rPr>
      </w:pPr>
      <w:r w:rsidRPr="00452FB4">
        <w:rPr>
          <w:noProof/>
        </w:rPr>
        <w:drawing>
          <wp:inline distT="0" distB="0" distL="0" distR="0" wp14:anchorId="5CB190C8" wp14:editId="24C4CC05">
            <wp:extent cx="5760720" cy="3280236"/>
            <wp:effectExtent l="0" t="0" r="11430" b="15875"/>
            <wp:docPr id="17" name="Grafik 17">
              <a:extLst xmlns:a="http://schemas.openxmlformats.org/drawingml/2006/main">
                <a:ext uri="{FF2B5EF4-FFF2-40B4-BE49-F238E27FC236}">
                  <a16:creationId xmlns:a16="http://schemas.microsoft.com/office/drawing/2014/main" id="{562C202A-8494-4D55-B7E9-FFD3DA3AB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66D864" w14:textId="79DA1F46" w:rsidR="00295132"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Figure </w:t>
      </w:r>
      <w:r w:rsidR="00FF7D9C">
        <w:rPr>
          <w:rFonts w:eastAsia="Times New Roman"/>
          <w:b/>
          <w:bCs/>
          <w:color w:val="0F1115"/>
          <w:sz w:val="24"/>
          <w:szCs w:val="24"/>
          <w:lang w:eastAsia="tr-TR"/>
        </w:rPr>
        <w:t>5</w:t>
      </w:r>
      <w:r w:rsidRPr="005D31CB">
        <w:rPr>
          <w:rFonts w:eastAsia="Times New Roman"/>
          <w:b/>
          <w:bCs/>
          <w:color w:val="0F1115"/>
          <w:sz w:val="24"/>
          <w:szCs w:val="24"/>
          <w:lang w:eastAsia="tr-TR"/>
        </w:rPr>
        <w:t>. Regional Distribution of Ornamental Plants Area, 2024</w:t>
      </w:r>
    </w:p>
    <w:p w14:paraId="538F68C9" w14:textId="4615F087" w:rsidR="00DB40EB" w:rsidRDefault="00DB40EB" w:rsidP="00452FB4">
      <w:pPr>
        <w:spacing w:before="240" w:after="240" w:line="420" w:lineRule="atLeast"/>
        <w:jc w:val="both"/>
        <w:rPr>
          <w:rFonts w:eastAsia="Times New Roman"/>
          <w:color w:val="0F1115"/>
          <w:sz w:val="24"/>
          <w:szCs w:val="24"/>
          <w:lang w:eastAsia="tr-TR"/>
        </w:rPr>
      </w:pPr>
      <w:r w:rsidRPr="00F96D9F">
        <w:rPr>
          <w:rFonts w:eastAsia="Times New Roman"/>
          <w:color w:val="0F1115"/>
          <w:sz w:val="24"/>
          <w:szCs w:val="24"/>
          <w:highlight w:val="yellow"/>
          <w:lang w:eastAsia="tr-TR"/>
        </w:rPr>
        <w:lastRenderedPageBreak/>
        <w:t xml:space="preserve">Figure </w:t>
      </w:r>
      <w:r w:rsidR="00FF7D9C">
        <w:rPr>
          <w:rFonts w:eastAsia="Times New Roman"/>
          <w:color w:val="0F1115"/>
          <w:sz w:val="24"/>
          <w:szCs w:val="24"/>
          <w:highlight w:val="yellow"/>
          <w:lang w:eastAsia="tr-TR"/>
        </w:rPr>
        <w:t>5</w:t>
      </w:r>
      <w:r w:rsidRPr="00F96D9F">
        <w:rPr>
          <w:rFonts w:eastAsia="Times New Roman"/>
          <w:color w:val="0F1115"/>
          <w:sz w:val="24"/>
          <w:szCs w:val="24"/>
          <w:highlight w:val="yellow"/>
          <w:lang w:eastAsia="tr-TR"/>
        </w:rPr>
        <w:t xml:space="preserve"> clearly demonstrates the extreme geographical concentration of ornamental plant production in Türkiye in 2024. 92.7% (55,724 decares) of the total production area of 59,991 decares is clustered in only three regions (TR1 Istanbul, TR3 Aegean/Izmir, and TR4 Eastern Marmara). This distribution reflects the sector's absolute logistical dependence on consumption and export centers. The TR1 (Istanbul) region ranks first with a 38.1% share, showing the determining influence of the presence of a massive local market with a population exceeding 16 million and wholesale distribution centers on production location. The TR3 (Aegean) and TR4 (Eastern Marmara) regions, with shares of 32.1% and 22.5% respectively, form the other critical pillars of this intensive cluster, thanks to their proximity to the Istanbul market, suitable microclimate conditions, and access to air/sea export corridors in Izmir. The fact that the combined share of the remaining nine regions is only 7.3% proves that the geographical flexibility of ornamental plant production is extremely limited and that "market potential" has become a dominant factor in the spatial organization of production, as foreseen in Paul Krugman's economic geography theory</w:t>
      </w:r>
      <w:r w:rsidR="00F71931" w:rsidRPr="00F96D9F">
        <w:rPr>
          <w:rFonts w:eastAsia="Times New Roman"/>
          <w:color w:val="0F1115"/>
          <w:sz w:val="24"/>
          <w:szCs w:val="24"/>
          <w:highlight w:val="yellow"/>
          <w:lang w:eastAsia="tr-TR"/>
        </w:rPr>
        <w:t xml:space="preserve"> (Krugman, 1991</w:t>
      </w:r>
      <w:r w:rsidR="00044904" w:rsidRPr="00F96D9F">
        <w:rPr>
          <w:rFonts w:eastAsia="Times New Roman"/>
          <w:color w:val="0F1115"/>
          <w:sz w:val="24"/>
          <w:szCs w:val="24"/>
          <w:highlight w:val="yellow"/>
          <w:lang w:eastAsia="tr-TR"/>
        </w:rPr>
        <w:t>b</w:t>
      </w:r>
      <w:r w:rsidR="00F71931" w:rsidRPr="00F96D9F">
        <w:rPr>
          <w:rFonts w:eastAsia="Times New Roman"/>
          <w:color w:val="0F1115"/>
          <w:sz w:val="24"/>
          <w:szCs w:val="24"/>
          <w:highlight w:val="yellow"/>
          <w:lang w:eastAsia="tr-TR"/>
        </w:rPr>
        <w:t>)</w:t>
      </w:r>
      <w:r w:rsidRPr="00F96D9F">
        <w:rPr>
          <w:rFonts w:eastAsia="Times New Roman"/>
          <w:color w:val="0F1115"/>
          <w:sz w:val="24"/>
          <w:szCs w:val="24"/>
          <w:highlight w:val="yellow"/>
          <w:lang w:eastAsia="tr-TR"/>
        </w:rPr>
        <w:t>.</w:t>
      </w:r>
    </w:p>
    <w:p w14:paraId="4E14CA4D" w14:textId="77777777" w:rsidR="00834E8A" w:rsidRPr="00834E8A" w:rsidRDefault="00834E8A" w:rsidP="00834E8A">
      <w:pPr>
        <w:spacing w:before="240" w:after="240" w:line="420" w:lineRule="atLeast"/>
        <w:jc w:val="both"/>
        <w:rPr>
          <w:rFonts w:eastAsia="Times New Roman"/>
          <w:color w:val="0F1115"/>
          <w:sz w:val="24"/>
          <w:szCs w:val="24"/>
          <w:lang w:eastAsia="tr-TR"/>
        </w:rPr>
      </w:pPr>
      <w:r w:rsidRPr="00834E8A">
        <w:rPr>
          <w:rFonts w:eastAsia="Times New Roman"/>
          <w:b/>
          <w:bCs/>
          <w:color w:val="0F1115"/>
          <w:sz w:val="24"/>
          <w:szCs w:val="24"/>
          <w:lang w:eastAsia="tr-TR"/>
        </w:rPr>
        <w:t>Dynamics of Clustering, Gains, and Future Risks</w:t>
      </w:r>
    </w:p>
    <w:p w14:paraId="0EA1BBED" w14:textId="77777777" w:rsidR="00834E8A" w:rsidRPr="00F96D9F" w:rsidRDefault="00834E8A" w:rsidP="00834E8A">
      <w:pPr>
        <w:spacing w:before="240" w:after="240" w:line="420" w:lineRule="atLeast"/>
        <w:jc w:val="both"/>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The analyses clearly reveal three main driving forces shaping the geography of high-value agriculture in Türkiye:</w:t>
      </w:r>
    </w:p>
    <w:p w14:paraId="6DB31F4E" w14:textId="77777777" w:rsidR="00834E8A" w:rsidRPr="00F96D9F" w:rsidRDefault="00834E8A" w:rsidP="00834E8A">
      <w:pPr>
        <w:numPr>
          <w:ilvl w:val="0"/>
          <w:numId w:val="21"/>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Absolute Climate and Natural Resource Advantage:</w:t>
      </w:r>
      <w:r w:rsidRPr="00F96D9F">
        <w:rPr>
          <w:rFonts w:eastAsia="Times New Roman"/>
          <w:color w:val="0F1115"/>
          <w:sz w:val="24"/>
          <w:szCs w:val="24"/>
          <w:highlight w:val="yellow"/>
          <w:lang w:eastAsia="tr-TR"/>
        </w:rPr>
        <w:t> The natural superiorities of the Mediterranean (TR6) and Aegean (TR3) regions, such as mild winters and long, hot summers, formed the basis of traditional fruit and vegetable strongholds.</w:t>
      </w:r>
    </w:p>
    <w:p w14:paraId="0BC4D39F" w14:textId="77777777" w:rsidR="00834E8A" w:rsidRPr="00F96D9F" w:rsidRDefault="00834E8A" w:rsidP="00834E8A">
      <w:pPr>
        <w:numPr>
          <w:ilvl w:val="0"/>
          <w:numId w:val="21"/>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State Investments and Infrastructure Transformation:</w:t>
      </w:r>
      <w:r w:rsidRPr="00F96D9F">
        <w:rPr>
          <w:rFonts w:eastAsia="Times New Roman"/>
          <w:color w:val="0F1115"/>
          <w:sz w:val="24"/>
          <w:szCs w:val="24"/>
          <w:highlight w:val="yellow"/>
          <w:lang w:eastAsia="tr-TR"/>
        </w:rPr>
        <w:t> The massive transformation experienced in the TRC (Southeastern Anatolia) region thanks to GAP projects is evidence of how the state's irrigation and rural infrastructure investments can fundamentally change a region's comparative advantage.</w:t>
      </w:r>
    </w:p>
    <w:p w14:paraId="18F73DFA" w14:textId="77777777" w:rsidR="00834E8A" w:rsidRPr="00F96D9F" w:rsidRDefault="00834E8A" w:rsidP="00834E8A">
      <w:pPr>
        <w:numPr>
          <w:ilvl w:val="0"/>
          <w:numId w:val="21"/>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Market and Logistics-Oriented Clustering:</w:t>
      </w:r>
      <w:r w:rsidRPr="00F96D9F">
        <w:rPr>
          <w:rFonts w:eastAsia="Times New Roman"/>
          <w:color w:val="0F1115"/>
          <w:sz w:val="24"/>
          <w:szCs w:val="24"/>
          <w:highlight w:val="yellow"/>
          <w:lang w:eastAsia="tr-TR"/>
        </w:rPr>
        <w:t> As seen especially in the ornamental plants sector, proximity to major consumption centers and export points can become the strongest factor determining the geography of production.</w:t>
      </w:r>
    </w:p>
    <w:p w14:paraId="601150AC" w14:textId="57BEB495" w:rsidR="00834E8A" w:rsidRPr="00F96D9F" w:rsidRDefault="00834E8A" w:rsidP="00834E8A">
      <w:pPr>
        <w:spacing w:before="240" w:after="240" w:line="420" w:lineRule="atLeast"/>
        <w:jc w:val="both"/>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 xml:space="preserve">This high degree of geographical clustering provides significant gains in terms of productivity, knowledge accumulation, branding, and market access. However, it also brings significant </w:t>
      </w:r>
      <w:r w:rsidRPr="00F96D9F">
        <w:rPr>
          <w:rFonts w:eastAsia="Times New Roman"/>
          <w:color w:val="0F1115"/>
          <w:sz w:val="24"/>
          <w:szCs w:val="24"/>
          <w:highlight w:val="yellow"/>
          <w:lang w:eastAsia="tr-TR"/>
        </w:rPr>
        <w:lastRenderedPageBreak/>
        <w:t>risks. Extreme heat, drought, and frost events caused by climate change directly threaten these regions where production is excessively concentrated (Göçmez &amp; İşçioğlu, 2004). Additionally, disease risk, dependency on single-crop production, and excessive pressure on water resources are other important problem areas.</w:t>
      </w:r>
      <w:r w:rsidR="00FF5371" w:rsidRPr="00F96D9F">
        <w:rPr>
          <w:rFonts w:ascii="Segoe UI" w:hAnsi="Segoe UI" w:cs="Segoe UI"/>
          <w:b/>
          <w:bCs/>
          <w:color w:val="0F1115"/>
          <w:highlight w:val="yellow"/>
          <w:shd w:val="clear" w:color="auto" w:fill="FFFFFF"/>
        </w:rPr>
        <w:t xml:space="preserve"> </w:t>
      </w:r>
      <w:r w:rsidR="00FF5371" w:rsidRPr="00F96D9F">
        <w:rPr>
          <w:rFonts w:eastAsia="Times New Roman"/>
          <w:color w:val="0F1115"/>
          <w:sz w:val="24"/>
          <w:szCs w:val="24"/>
          <w:highlight w:val="yellow"/>
          <w:lang w:eastAsia="tr-TR"/>
        </w:rPr>
        <w:t>In this context, the adoption of digital transformation strategies in agriculture-such as precision farming, IoT-based monitoring, and data-driven decision support systems-could enhance resilience and optimize resource use (Kumar, 2025).</w:t>
      </w:r>
    </w:p>
    <w:p w14:paraId="1350C0D0" w14:textId="77777777" w:rsidR="00834E8A" w:rsidRPr="00F96D9F" w:rsidRDefault="00834E8A" w:rsidP="00834E8A">
      <w:pPr>
        <w:spacing w:before="240" w:after="240" w:line="420" w:lineRule="atLeast"/>
        <w:jc w:val="both"/>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For maintaining sustainability and competitiveness in the future, the following policies are of great importance:</w:t>
      </w:r>
    </w:p>
    <w:p w14:paraId="1C019560" w14:textId="77777777" w:rsidR="00834E8A" w:rsidRPr="00F96D9F" w:rsidRDefault="00834E8A" w:rsidP="00834E8A">
      <w:pPr>
        <w:numPr>
          <w:ilvl w:val="0"/>
          <w:numId w:val="22"/>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Product and Regional Diversification:</w:t>
      </w:r>
      <w:r w:rsidRPr="00F96D9F">
        <w:rPr>
          <w:rFonts w:eastAsia="Times New Roman"/>
          <w:color w:val="0F1115"/>
          <w:sz w:val="24"/>
          <w:szCs w:val="24"/>
          <w:highlight w:val="yellow"/>
          <w:lang w:eastAsia="tr-TR"/>
        </w:rPr>
        <w:t> Development of alternative products and production regions to reduce excessive dependency on a single region/product.</w:t>
      </w:r>
    </w:p>
    <w:p w14:paraId="03CC44FE" w14:textId="77777777" w:rsidR="00834E8A" w:rsidRPr="00F96D9F" w:rsidRDefault="00834E8A" w:rsidP="00834E8A">
      <w:pPr>
        <w:numPr>
          <w:ilvl w:val="0"/>
          <w:numId w:val="22"/>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Maximization of Water Use Efficiency:</w:t>
      </w:r>
      <w:r w:rsidRPr="00F96D9F">
        <w:rPr>
          <w:rFonts w:eastAsia="Times New Roman"/>
          <w:color w:val="0F1115"/>
          <w:sz w:val="24"/>
          <w:szCs w:val="24"/>
          <w:highlight w:val="yellow"/>
          <w:lang w:eastAsia="tr-TR"/>
        </w:rPr>
        <w:t> Widespread adoption of precision irrigation systems like drip irrigation in all regions where high-value agriculture is practiced.</w:t>
      </w:r>
    </w:p>
    <w:p w14:paraId="4E7F71D4" w14:textId="07B22193" w:rsidR="00834E8A" w:rsidRPr="00F96D9F" w:rsidRDefault="00834E8A" w:rsidP="00834E8A">
      <w:pPr>
        <w:numPr>
          <w:ilvl w:val="0"/>
          <w:numId w:val="22"/>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Strengthening the Value Chain:</w:t>
      </w:r>
      <w:r w:rsidRPr="00F96D9F">
        <w:rPr>
          <w:rFonts w:eastAsia="Times New Roman"/>
          <w:color w:val="0F1115"/>
          <w:sz w:val="24"/>
          <w:szCs w:val="24"/>
          <w:highlight w:val="yellow"/>
          <w:lang w:eastAsia="tr-TR"/>
        </w:rPr>
        <w:t> Enhancing product value through protection of geographical indications, branding, cold chain logistics, and processing facility investments.</w:t>
      </w:r>
      <w:r w:rsidR="00231ABE" w:rsidRPr="00F96D9F">
        <w:rPr>
          <w:rFonts w:ascii="Segoe UI" w:hAnsi="Segoe UI" w:cs="Segoe UI"/>
          <w:b/>
          <w:bCs/>
          <w:color w:val="0F1115"/>
          <w:highlight w:val="yellow"/>
          <w:shd w:val="clear" w:color="auto" w:fill="FFFFFF"/>
        </w:rPr>
        <w:t xml:space="preserve"> </w:t>
      </w:r>
      <w:r w:rsidR="00231ABE" w:rsidRPr="00F96D9F">
        <w:rPr>
          <w:rFonts w:eastAsia="Times New Roman"/>
          <w:color w:val="0F1115"/>
          <w:sz w:val="24"/>
          <w:szCs w:val="24"/>
          <w:highlight w:val="yellow"/>
          <w:lang w:eastAsia="tr-TR"/>
        </w:rPr>
        <w:t>Furthermore, improving contractual arrangements and market coordination between agricultural producers and food industries can reduce transaction costs and enhance market efficiency, as highlighted in recent agri-food value chain studies (Sgroi &amp; Sciancalepore, 2022).</w:t>
      </w:r>
    </w:p>
    <w:p w14:paraId="0A3EBCA4" w14:textId="77777777" w:rsidR="00834E8A" w:rsidRPr="00F96D9F" w:rsidRDefault="00834E8A" w:rsidP="00834E8A">
      <w:pPr>
        <w:numPr>
          <w:ilvl w:val="0"/>
          <w:numId w:val="22"/>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Climate-Resilient Agricultural Practices:</w:t>
      </w:r>
      <w:r w:rsidRPr="00F96D9F">
        <w:rPr>
          <w:rFonts w:eastAsia="Times New Roman"/>
          <w:color w:val="0F1115"/>
          <w:sz w:val="24"/>
          <w:szCs w:val="24"/>
          <w:highlight w:val="yellow"/>
          <w:lang w:eastAsia="tr-TR"/>
        </w:rPr>
        <w:t> Adaptation of drought- and heat-resistant varieties, investment in smart greenhouse technologies, and microclimate management.</w:t>
      </w:r>
    </w:p>
    <w:p w14:paraId="38BFB44F" w14:textId="32BE4FE3" w:rsidR="00960C29" w:rsidRPr="00F96D9F" w:rsidRDefault="00E233D6" w:rsidP="00452FB4">
      <w:pPr>
        <w:spacing w:before="240" w:after="240" w:line="420" w:lineRule="atLeast"/>
        <w:jc w:val="both"/>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In summary, Türkiye's high-value agricultural map is a dynamic and constantly evolving mosaic. The market brush and the colors of nature shaping this mosaic can carry the country's agriculture towards long-term prosperity and competitiveness only when used in harmony with rational policy interventions, sustainability-focused investments, the integration of digital transformation into farming practices (Kumar, 2025), and the improvement of contractual coordination between producers and the food industry (Sgroi &amp; Sciancalepore, 2022).</w:t>
      </w:r>
    </w:p>
    <w:p w14:paraId="4A0B816B" w14:textId="77777777" w:rsidR="00EA1F67" w:rsidRPr="00F96D9F" w:rsidRDefault="00EA1F67" w:rsidP="00452FB4">
      <w:pPr>
        <w:spacing w:before="240" w:after="240" w:line="420" w:lineRule="atLeast"/>
        <w:jc w:val="both"/>
        <w:rPr>
          <w:rFonts w:eastAsia="Times New Roman"/>
          <w:color w:val="0F1115"/>
          <w:sz w:val="24"/>
          <w:szCs w:val="24"/>
          <w:highlight w:val="yellow"/>
          <w:lang w:eastAsia="tr-TR"/>
        </w:rPr>
      </w:pPr>
    </w:p>
    <w:p w14:paraId="5A609B47" w14:textId="6123A84A" w:rsidR="00295132" w:rsidRPr="00F96D9F" w:rsidRDefault="005D31CB" w:rsidP="00834E8A">
      <w:pPr>
        <w:pStyle w:val="ListParagraph"/>
        <w:numPr>
          <w:ilvl w:val="0"/>
          <w:numId w:val="21"/>
        </w:numPr>
        <w:spacing w:before="240" w:after="240" w:line="420" w:lineRule="atLeast"/>
        <w:jc w:val="both"/>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CONCLUSION</w:t>
      </w:r>
    </w:p>
    <w:p w14:paraId="0EB1F50F" w14:textId="77777777" w:rsidR="00960C29" w:rsidRPr="00F96D9F" w:rsidRDefault="00960C29" w:rsidP="00960C29">
      <w:pPr>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lastRenderedPageBreak/>
        <w:t>The analyses clearly reveal three main driving forces shaping the geography of high-value agriculture in Türkiye:</w:t>
      </w:r>
    </w:p>
    <w:p w14:paraId="5C12EE14" w14:textId="77777777" w:rsidR="00960C29" w:rsidRPr="00F96D9F" w:rsidRDefault="00960C29" w:rsidP="00960C29">
      <w:pPr>
        <w:numPr>
          <w:ilvl w:val="0"/>
          <w:numId w:val="23"/>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Absolute Climate and Natural Resource Advantage:</w:t>
      </w:r>
      <w:r w:rsidRPr="00F96D9F">
        <w:rPr>
          <w:rFonts w:eastAsia="Times New Roman"/>
          <w:color w:val="0F1115"/>
          <w:sz w:val="24"/>
          <w:szCs w:val="24"/>
          <w:highlight w:val="yellow"/>
          <w:lang w:eastAsia="tr-TR"/>
        </w:rPr>
        <w:t> The natural superiorities of the Mediterranean (TR6) and Aegean (TR3) regions, such as mild winters and long, hot summers, formed the basis of traditional fruit and vegetable strongholds.</w:t>
      </w:r>
    </w:p>
    <w:p w14:paraId="5D4466DB" w14:textId="77777777" w:rsidR="00960C29" w:rsidRPr="00F96D9F" w:rsidRDefault="00960C29" w:rsidP="00960C29">
      <w:pPr>
        <w:numPr>
          <w:ilvl w:val="0"/>
          <w:numId w:val="23"/>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State Investments and Infrastructure Transformation:</w:t>
      </w:r>
      <w:r w:rsidRPr="00F96D9F">
        <w:rPr>
          <w:rFonts w:eastAsia="Times New Roman"/>
          <w:color w:val="0F1115"/>
          <w:sz w:val="24"/>
          <w:szCs w:val="24"/>
          <w:highlight w:val="yellow"/>
          <w:lang w:eastAsia="tr-TR"/>
        </w:rPr>
        <w:t> The massive transformation experienced in the TRC (Southeastern Anatolia) region thanks to GAP projects is evidence of how the state's irrigation and rural infrastructure investments can fundamentally change a region's comparative advantage.</w:t>
      </w:r>
    </w:p>
    <w:p w14:paraId="242AC77C" w14:textId="77777777" w:rsidR="00960C29" w:rsidRPr="00F96D9F" w:rsidRDefault="00960C29" w:rsidP="00960C29">
      <w:pPr>
        <w:numPr>
          <w:ilvl w:val="0"/>
          <w:numId w:val="23"/>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Market and Logistics-Oriented Clustering:</w:t>
      </w:r>
      <w:r w:rsidRPr="00F96D9F">
        <w:rPr>
          <w:rFonts w:eastAsia="Times New Roman"/>
          <w:color w:val="0F1115"/>
          <w:sz w:val="24"/>
          <w:szCs w:val="24"/>
          <w:highlight w:val="yellow"/>
          <w:lang w:eastAsia="tr-TR"/>
        </w:rPr>
        <w:t> As seen especially in the ornamental plants sector, proximity to major consumption centers (Istanbul) and export points (Izmir) can become the strongest factor determining the geography of production.</w:t>
      </w:r>
    </w:p>
    <w:p w14:paraId="1833B76B" w14:textId="77777777" w:rsidR="00960C29" w:rsidRPr="00F96D9F" w:rsidRDefault="00960C29" w:rsidP="00960C29">
      <w:pPr>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This high degree of geographical clustering provides significant gains in terms of economies of scale, specialized labor and knowledge accumulation, increased productivity, and easy market access. However, it also brings significant risks. The extreme heat, drought, and frost events caused by climate change directly threaten these regions where production is excessively concentrated. Additionally, disease risk, dependency on single-crop production (monoculture), and excessive pressure on water resources are other important problem areas.</w:t>
      </w:r>
    </w:p>
    <w:p w14:paraId="13102F68" w14:textId="77777777" w:rsidR="00960C29" w:rsidRPr="00F96D9F" w:rsidRDefault="00960C29" w:rsidP="00960C29">
      <w:pPr>
        <w:rPr>
          <w:rFonts w:eastAsia="Times New Roman"/>
          <w:color w:val="0F1115"/>
          <w:sz w:val="24"/>
          <w:szCs w:val="24"/>
          <w:highlight w:val="yellow"/>
          <w:lang w:eastAsia="tr-TR"/>
        </w:rPr>
      </w:pPr>
      <w:r w:rsidRPr="00F96D9F">
        <w:rPr>
          <w:rFonts w:eastAsia="Times New Roman"/>
          <w:color w:val="0F1115"/>
          <w:sz w:val="24"/>
          <w:szCs w:val="24"/>
          <w:highlight w:val="yellow"/>
          <w:lang w:eastAsia="tr-TR"/>
        </w:rPr>
        <w:t>For maintaining sustainability and competitiveness in the future, the following policy recommendations are of great importance:</w:t>
      </w:r>
    </w:p>
    <w:p w14:paraId="6EF770B6" w14:textId="77777777" w:rsidR="00960C29" w:rsidRPr="00F96D9F" w:rsidRDefault="00960C29" w:rsidP="00960C29">
      <w:pPr>
        <w:numPr>
          <w:ilvl w:val="0"/>
          <w:numId w:val="24"/>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Product and Regional Diversification:</w:t>
      </w:r>
      <w:r w:rsidRPr="00F96D9F">
        <w:rPr>
          <w:rFonts w:eastAsia="Times New Roman"/>
          <w:color w:val="0F1115"/>
          <w:sz w:val="24"/>
          <w:szCs w:val="24"/>
          <w:highlight w:val="yellow"/>
          <w:lang w:eastAsia="tr-TR"/>
        </w:rPr>
        <w:t> Development of alternative products and climate-resilient production regions (e.g., elevated Black Sea regions) to reduce excessive dependency on a single region/product.</w:t>
      </w:r>
    </w:p>
    <w:p w14:paraId="25ABDE58" w14:textId="77777777" w:rsidR="00960C29" w:rsidRPr="00F96D9F" w:rsidRDefault="00960C29" w:rsidP="00960C29">
      <w:pPr>
        <w:numPr>
          <w:ilvl w:val="0"/>
          <w:numId w:val="24"/>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Maximization of Water Use Efficiency:</w:t>
      </w:r>
      <w:r w:rsidRPr="00F96D9F">
        <w:rPr>
          <w:rFonts w:eastAsia="Times New Roman"/>
          <w:color w:val="0F1115"/>
          <w:sz w:val="24"/>
          <w:szCs w:val="24"/>
          <w:highlight w:val="yellow"/>
          <w:lang w:eastAsia="tr-TR"/>
        </w:rPr>
        <w:t> Widespread adoption of precision irrigation systems like drip irrigation and water harvesting techniques in all regions where high-value agriculture is practiced.</w:t>
      </w:r>
    </w:p>
    <w:p w14:paraId="4D7DA2EB" w14:textId="77777777" w:rsidR="00960C29" w:rsidRPr="00F96D9F" w:rsidRDefault="00960C29" w:rsidP="00960C29">
      <w:pPr>
        <w:numPr>
          <w:ilvl w:val="0"/>
          <w:numId w:val="24"/>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Strengthening the Value Chain:</w:t>
      </w:r>
      <w:r w:rsidRPr="00F96D9F">
        <w:rPr>
          <w:rFonts w:eastAsia="Times New Roman"/>
          <w:color w:val="0F1115"/>
          <w:sz w:val="24"/>
          <w:szCs w:val="24"/>
          <w:highlight w:val="yellow"/>
          <w:lang w:eastAsia="tr-TR"/>
        </w:rPr>
        <w:t> Enhancing product value and market power through protection of geographical indications, branding, cold chain logistics, and processing facility investments.</w:t>
      </w:r>
    </w:p>
    <w:p w14:paraId="67E0001D" w14:textId="77777777" w:rsidR="00960C29" w:rsidRPr="00F96D9F" w:rsidRDefault="00960C29" w:rsidP="00960C29">
      <w:pPr>
        <w:numPr>
          <w:ilvl w:val="0"/>
          <w:numId w:val="24"/>
        </w:numPr>
        <w:rPr>
          <w:rFonts w:eastAsia="Times New Roman"/>
          <w:color w:val="0F1115"/>
          <w:sz w:val="24"/>
          <w:szCs w:val="24"/>
          <w:highlight w:val="yellow"/>
          <w:lang w:eastAsia="tr-TR"/>
        </w:rPr>
      </w:pPr>
      <w:r w:rsidRPr="00F96D9F">
        <w:rPr>
          <w:rFonts w:eastAsia="Times New Roman"/>
          <w:b/>
          <w:bCs/>
          <w:color w:val="0F1115"/>
          <w:sz w:val="24"/>
          <w:szCs w:val="24"/>
          <w:highlight w:val="yellow"/>
          <w:lang w:eastAsia="tr-TR"/>
        </w:rPr>
        <w:t>Climate-Resilient Agricultural Practices and R&amp;D:</w:t>
      </w:r>
      <w:r w:rsidRPr="00F96D9F">
        <w:rPr>
          <w:rFonts w:eastAsia="Times New Roman"/>
          <w:color w:val="0F1115"/>
          <w:sz w:val="24"/>
          <w:szCs w:val="24"/>
          <w:highlight w:val="yellow"/>
          <w:lang w:eastAsia="tr-TR"/>
        </w:rPr>
        <w:t> Adaptation of drought- and heat-resistant varieties, investment in smart greenhouse technologies, microclimate management, and climate risk early warning systems.</w:t>
      </w:r>
    </w:p>
    <w:p w14:paraId="17714436" w14:textId="77777777" w:rsidR="00960C29" w:rsidRPr="00960C29" w:rsidRDefault="00960C29" w:rsidP="00960C29">
      <w:pPr>
        <w:rPr>
          <w:rFonts w:eastAsia="Times New Roman"/>
          <w:color w:val="0F1115"/>
          <w:sz w:val="24"/>
          <w:szCs w:val="24"/>
          <w:lang w:eastAsia="tr-TR"/>
        </w:rPr>
      </w:pPr>
      <w:r w:rsidRPr="00F96D9F">
        <w:rPr>
          <w:rFonts w:eastAsia="Times New Roman"/>
          <w:color w:val="0F1115"/>
          <w:sz w:val="24"/>
          <w:szCs w:val="24"/>
          <w:highlight w:val="yellow"/>
          <w:lang w:eastAsia="tr-TR"/>
        </w:rPr>
        <w:t>In conclusion, Türkiye's high-value agricultural map is a dynamic and constantly evolving mosaic. The market brush and the colors of nature shaping this mosaic can carry the country's agriculture towards long-term prosperity, resilience, and global competitiveness only when used in harmony with rational policy interventions, strategic infrastructure investments, and a sustainability-focused vision.</w:t>
      </w:r>
    </w:p>
    <w:p w14:paraId="5400EC07" w14:textId="77777777" w:rsidR="00960C29" w:rsidRDefault="00960C29" w:rsidP="004E2CF7">
      <w:pPr>
        <w:rPr>
          <w:rFonts w:eastAsia="Times New Roman"/>
          <w:color w:val="0F1115"/>
          <w:sz w:val="24"/>
          <w:szCs w:val="24"/>
          <w:lang w:eastAsia="tr-TR"/>
        </w:rPr>
      </w:pPr>
    </w:p>
    <w:p w14:paraId="390FFAF1" w14:textId="77777777" w:rsidR="00960C29" w:rsidRDefault="00960C29" w:rsidP="004E2CF7">
      <w:pPr>
        <w:rPr>
          <w:rFonts w:eastAsia="Times New Roman"/>
          <w:color w:val="0F1115"/>
          <w:sz w:val="24"/>
          <w:szCs w:val="24"/>
          <w:lang w:eastAsia="tr-TR"/>
        </w:rPr>
      </w:pPr>
    </w:p>
    <w:p w14:paraId="14621C33" w14:textId="426BB51D" w:rsidR="004E2CF7" w:rsidRPr="00CA3906" w:rsidRDefault="004E2CF7" w:rsidP="004E2CF7">
      <w:pPr>
        <w:rPr>
          <w:b/>
          <w:highlight w:val="yellow"/>
        </w:rPr>
      </w:pPr>
      <w:r w:rsidRPr="00CA3906">
        <w:rPr>
          <w:b/>
          <w:highlight w:val="yellow"/>
        </w:rPr>
        <w:t>Disclaimer (Artificial intelligence)</w:t>
      </w:r>
    </w:p>
    <w:p w14:paraId="12E08FEB" w14:textId="77777777" w:rsidR="004E2CF7" w:rsidRPr="00740879" w:rsidRDefault="004E2CF7" w:rsidP="004E2CF7">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33B31B4" w14:textId="77777777" w:rsidR="009168E1" w:rsidRPr="005D31CB" w:rsidRDefault="009168E1" w:rsidP="00452FB4">
      <w:pPr>
        <w:spacing w:before="240" w:after="240" w:line="420" w:lineRule="atLeast"/>
        <w:jc w:val="both"/>
        <w:rPr>
          <w:rFonts w:eastAsia="Times New Roman"/>
          <w:color w:val="0F1115"/>
          <w:sz w:val="24"/>
          <w:szCs w:val="24"/>
          <w:lang w:eastAsia="tr-TR"/>
        </w:rPr>
      </w:pPr>
    </w:p>
    <w:p w14:paraId="28DD5264"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REFERENCES</w:t>
      </w:r>
    </w:p>
    <w:p w14:paraId="3E1666E5" w14:textId="7C762432" w:rsidR="00DC6567" w:rsidRDefault="00DC6567" w:rsidP="00DC6567">
      <w:pPr>
        <w:tabs>
          <w:tab w:val="left" w:pos="1779"/>
        </w:tabs>
        <w:ind w:left="567" w:hanging="567"/>
        <w:jc w:val="both"/>
        <w:rPr>
          <w:rFonts w:eastAsia="Times New Roman"/>
          <w:color w:val="0F1115"/>
          <w:sz w:val="24"/>
          <w:szCs w:val="24"/>
          <w:lang w:eastAsia="tr-TR"/>
        </w:rPr>
      </w:pPr>
    </w:p>
    <w:p w14:paraId="1C345154" w14:textId="0CCF12D2" w:rsidR="00DC6567" w:rsidRPr="00DC6567" w:rsidRDefault="00DC6567" w:rsidP="00037C53">
      <w:pPr>
        <w:pStyle w:val="ListParagraph"/>
        <w:numPr>
          <w:ilvl w:val="0"/>
          <w:numId w:val="25"/>
        </w:numPr>
        <w:tabs>
          <w:tab w:val="left" w:pos="1779"/>
        </w:tabs>
        <w:jc w:val="both"/>
      </w:pPr>
      <w:r w:rsidRPr="00DC6567">
        <w:t>Bashımov, G. (2017). Comparative advantage of Türkiye in agricultural and food products. </w:t>
      </w:r>
      <w:r w:rsidRPr="00037C53">
        <w:rPr>
          <w:i/>
          <w:iCs/>
        </w:rPr>
        <w:t>Turkish Journal of Agriculture and Natural Sciences</w:t>
      </w:r>
      <w:r w:rsidRPr="00DC6567">
        <w:t>, 4(3), 319–330.</w:t>
      </w:r>
    </w:p>
    <w:p w14:paraId="1E20D0D8" w14:textId="64BEFA26" w:rsidR="00DC6567" w:rsidRPr="00DC6567" w:rsidRDefault="00DC6567" w:rsidP="00037C53">
      <w:pPr>
        <w:pStyle w:val="ListParagraph"/>
        <w:numPr>
          <w:ilvl w:val="0"/>
          <w:numId w:val="25"/>
        </w:numPr>
        <w:tabs>
          <w:tab w:val="left" w:pos="1779"/>
        </w:tabs>
        <w:jc w:val="both"/>
      </w:pPr>
      <w:r w:rsidRPr="00DC6567">
        <w:t>Benek, S. (2009). The Southeastern Anatolia Project (GAP) in terms of its emergence, development trajectory and effects on the region. </w:t>
      </w:r>
      <w:r w:rsidRPr="00037C53">
        <w:rPr>
          <w:i/>
          <w:iCs/>
        </w:rPr>
        <w:t>Ankara University Faculty of Political Sciences Journal</w:t>
      </w:r>
      <w:r w:rsidRPr="00DC6567">
        <w:t>, 64(3), 45–71.</w:t>
      </w:r>
    </w:p>
    <w:p w14:paraId="0CC0C3F1" w14:textId="5721FD75" w:rsidR="00DC6567" w:rsidRPr="00BD6F97" w:rsidRDefault="00DC6567" w:rsidP="00037C53">
      <w:pPr>
        <w:pStyle w:val="ListParagraph"/>
        <w:numPr>
          <w:ilvl w:val="0"/>
          <w:numId w:val="25"/>
        </w:numPr>
        <w:tabs>
          <w:tab w:val="left" w:pos="1779"/>
        </w:tabs>
        <w:jc w:val="both"/>
      </w:pPr>
      <w:r w:rsidRPr="00DC6567">
        <w:t>Göçmez, G., &amp; İşçioğlu, A. (2004). Groundwater level changes in the Konya closed basin. </w:t>
      </w:r>
      <w:r w:rsidRPr="00037C53">
        <w:rPr>
          <w:i/>
          <w:iCs/>
        </w:rPr>
        <w:t>National Symposium on Groundwater</w:t>
      </w:r>
      <w:r w:rsidRPr="00DC6567">
        <w:t>, 23–24.</w:t>
      </w:r>
    </w:p>
    <w:p w14:paraId="4E0554A2" w14:textId="648FA53D" w:rsidR="00044904" w:rsidRPr="00037C53" w:rsidRDefault="00044904" w:rsidP="00037C53">
      <w:pPr>
        <w:pStyle w:val="ListParagraph"/>
        <w:numPr>
          <w:ilvl w:val="0"/>
          <w:numId w:val="25"/>
        </w:numPr>
        <w:tabs>
          <w:tab w:val="left" w:pos="1779"/>
        </w:tabs>
        <w:jc w:val="both"/>
        <w:rPr>
          <w:highlight w:val="yellow"/>
        </w:rPr>
      </w:pPr>
      <w:r w:rsidRPr="00037C53">
        <w:rPr>
          <w:highlight w:val="yellow"/>
        </w:rPr>
        <w:t>Krugman, P. (1991a). </w:t>
      </w:r>
      <w:r w:rsidRPr="00037C53">
        <w:rPr>
          <w:i/>
          <w:iCs/>
          <w:highlight w:val="yellow"/>
        </w:rPr>
        <w:t>Geography and trade</w:t>
      </w:r>
      <w:r w:rsidRPr="00037C53">
        <w:rPr>
          <w:highlight w:val="yellow"/>
        </w:rPr>
        <w:t>. MIT Press.</w:t>
      </w:r>
    </w:p>
    <w:p w14:paraId="3F047495" w14:textId="75C30AB8" w:rsidR="00DC6567" w:rsidRPr="00DC6567" w:rsidRDefault="00DC6567" w:rsidP="00037C53">
      <w:pPr>
        <w:pStyle w:val="ListParagraph"/>
        <w:numPr>
          <w:ilvl w:val="0"/>
          <w:numId w:val="25"/>
        </w:numPr>
        <w:tabs>
          <w:tab w:val="left" w:pos="1779"/>
        </w:tabs>
        <w:jc w:val="both"/>
      </w:pPr>
      <w:r w:rsidRPr="00037C53">
        <w:rPr>
          <w:highlight w:val="yellow"/>
        </w:rPr>
        <w:t>Krugman, P. (1991</w:t>
      </w:r>
      <w:r w:rsidR="00044904" w:rsidRPr="00037C53">
        <w:rPr>
          <w:highlight w:val="yellow"/>
        </w:rPr>
        <w:t>b</w:t>
      </w:r>
      <w:r w:rsidRPr="00037C53">
        <w:rPr>
          <w:highlight w:val="yellow"/>
        </w:rPr>
        <w:t>). Increasing returns and economic geography. </w:t>
      </w:r>
      <w:r w:rsidRPr="00037C53">
        <w:rPr>
          <w:i/>
          <w:iCs/>
          <w:highlight w:val="yellow"/>
        </w:rPr>
        <w:t>Journal of Political Economy</w:t>
      </w:r>
      <w:r w:rsidRPr="00037C53">
        <w:rPr>
          <w:highlight w:val="yellow"/>
        </w:rPr>
        <w:t>, 99(3), 483–499. </w:t>
      </w:r>
      <w:hyperlink r:id="rId12" w:tgtFrame="_blank" w:history="1">
        <w:r w:rsidRPr="00037C53">
          <w:rPr>
            <w:rStyle w:val="Hyperlink"/>
            <w:highlight w:val="yellow"/>
          </w:rPr>
          <w:t>https://doi.org/10.1086/261763</w:t>
        </w:r>
      </w:hyperlink>
    </w:p>
    <w:p w14:paraId="28F954AB" w14:textId="55049B31" w:rsidR="00DC6567" w:rsidRPr="00037C53" w:rsidRDefault="00DC6567" w:rsidP="00037C53">
      <w:pPr>
        <w:pStyle w:val="ListParagraph"/>
        <w:numPr>
          <w:ilvl w:val="0"/>
          <w:numId w:val="25"/>
        </w:numPr>
        <w:tabs>
          <w:tab w:val="left" w:pos="1779"/>
        </w:tabs>
        <w:jc w:val="both"/>
        <w:rPr>
          <w:highlight w:val="yellow"/>
        </w:rPr>
      </w:pPr>
      <w:r w:rsidRPr="00037C53">
        <w:rPr>
          <w:highlight w:val="yellow"/>
        </w:rPr>
        <w:t>Kumar, S. (2025). Unveiling digital transformation in agriculture: An analytical review of strategic shifts and market dynamics. </w:t>
      </w:r>
      <w:r w:rsidRPr="00037C53">
        <w:rPr>
          <w:i/>
          <w:iCs/>
          <w:highlight w:val="yellow"/>
        </w:rPr>
        <w:t>Journal of Scientific Research and Reports</w:t>
      </w:r>
      <w:r w:rsidRPr="00037C53">
        <w:rPr>
          <w:highlight w:val="yellow"/>
        </w:rPr>
        <w:t>, 31(7), 1227–1239. </w:t>
      </w:r>
      <w:hyperlink r:id="rId13" w:tgtFrame="_blank" w:history="1">
        <w:r w:rsidRPr="00037C53">
          <w:rPr>
            <w:rStyle w:val="Hyperlink"/>
            <w:highlight w:val="yellow"/>
          </w:rPr>
          <w:t>https://doi.org/10.9734/jsrr/2025/v31i73336</w:t>
        </w:r>
      </w:hyperlink>
    </w:p>
    <w:p w14:paraId="0031E41D" w14:textId="3E7D11DA" w:rsidR="00DC6567" w:rsidRPr="00DC6567" w:rsidRDefault="00DC6567" w:rsidP="00037C53">
      <w:pPr>
        <w:pStyle w:val="ListParagraph"/>
        <w:numPr>
          <w:ilvl w:val="0"/>
          <w:numId w:val="25"/>
        </w:numPr>
        <w:tabs>
          <w:tab w:val="left" w:pos="1779"/>
        </w:tabs>
        <w:jc w:val="both"/>
      </w:pPr>
      <w:r w:rsidRPr="00037C53">
        <w:rPr>
          <w:highlight w:val="yellow"/>
        </w:rPr>
        <w:t>Sgroi, F., &amp; Sciancalepore, V. D. (2022). Dynamics of structural change in agriculture, transaction cost theory and market efficiency: The case of cultivation contracts between agricultural enterprises and the food industry. </w:t>
      </w:r>
      <w:r w:rsidRPr="00037C53">
        <w:rPr>
          <w:i/>
          <w:iCs/>
          <w:highlight w:val="yellow"/>
        </w:rPr>
        <w:t>Journal of Agriculture and Food Research</w:t>
      </w:r>
      <w:r w:rsidRPr="00037C53">
        <w:rPr>
          <w:highlight w:val="yellow"/>
        </w:rPr>
        <w:t>, 10, 100396. </w:t>
      </w:r>
      <w:hyperlink r:id="rId14" w:tgtFrame="_blank" w:history="1">
        <w:r w:rsidRPr="00037C53">
          <w:rPr>
            <w:rStyle w:val="Hyperlink"/>
            <w:highlight w:val="yellow"/>
          </w:rPr>
          <w:t>https://doi.org/10.1016/j.jafr.2022.100396</w:t>
        </w:r>
      </w:hyperlink>
    </w:p>
    <w:p w14:paraId="1508E4A9" w14:textId="1CC6A954" w:rsidR="00DC6567" w:rsidRPr="00DC6567" w:rsidRDefault="00DC6567" w:rsidP="00037C53">
      <w:pPr>
        <w:pStyle w:val="ListParagraph"/>
        <w:numPr>
          <w:ilvl w:val="0"/>
          <w:numId w:val="25"/>
        </w:numPr>
        <w:tabs>
          <w:tab w:val="left" w:pos="1779"/>
        </w:tabs>
        <w:jc w:val="both"/>
      </w:pPr>
      <w:r w:rsidRPr="00DC6567">
        <w:t>Taşçıoğlu, Y., &amp; Sayın, C. (2005). Cut flower production and export structure in Türkiye. </w:t>
      </w:r>
      <w:r w:rsidRPr="00037C53">
        <w:rPr>
          <w:i/>
          <w:iCs/>
        </w:rPr>
        <w:t>Akdeniz University Journal of the Faculty of Agriculture</w:t>
      </w:r>
      <w:r w:rsidRPr="00DC6567">
        <w:t>, 18(3), 343–354.</w:t>
      </w:r>
    </w:p>
    <w:p w14:paraId="1138DCC0" w14:textId="1EC537F0" w:rsidR="00DC6567" w:rsidRPr="00FF7D9C" w:rsidRDefault="00DC6567" w:rsidP="00037C53">
      <w:pPr>
        <w:pStyle w:val="ListParagraph"/>
        <w:numPr>
          <w:ilvl w:val="0"/>
          <w:numId w:val="25"/>
        </w:numPr>
        <w:tabs>
          <w:tab w:val="left" w:pos="1779"/>
        </w:tabs>
        <w:jc w:val="both"/>
        <w:rPr>
          <w:rStyle w:val="Hyperlink"/>
          <w:color w:val="auto"/>
          <w:u w:val="none"/>
        </w:rPr>
      </w:pPr>
      <w:r w:rsidRPr="00DC6567">
        <w:t>TURKSTAT. (2024). </w:t>
      </w:r>
      <w:r w:rsidRPr="00037C53">
        <w:rPr>
          <w:i/>
          <w:iCs/>
        </w:rPr>
        <w:t>Crop production statistics methodology</w:t>
      </w:r>
      <w:r w:rsidRPr="00DC6567">
        <w:t>. Turkish Statistical Institute. </w:t>
      </w:r>
      <w:hyperlink r:id="rId15" w:tgtFrame="_blank" w:history="1">
        <w:r w:rsidRPr="00DC6567">
          <w:rPr>
            <w:rStyle w:val="Hyperlink"/>
          </w:rPr>
          <w:t>https://data.tuik.gov.tr/Bulten/Index?p=Bitkisel-Uretim-Istatistikleri-2023-49393</w:t>
        </w:r>
      </w:hyperlink>
    </w:p>
    <w:p w14:paraId="53513E82" w14:textId="77777777" w:rsidR="00E31D0F" w:rsidRPr="00E31D0F" w:rsidRDefault="00E31D0F" w:rsidP="00E31D0F">
      <w:pPr>
        <w:pStyle w:val="ListParagraph"/>
        <w:numPr>
          <w:ilvl w:val="0"/>
          <w:numId w:val="25"/>
        </w:numPr>
        <w:rPr>
          <w:rFonts w:ascii="Arial" w:hAnsi="Arial" w:cs="Arial"/>
          <w:color w:val="222222"/>
          <w:sz w:val="20"/>
          <w:szCs w:val="20"/>
          <w:shd w:val="clear" w:color="auto" w:fill="FFFFFF"/>
        </w:rPr>
      </w:pPr>
      <w:r w:rsidRPr="00E31D0F">
        <w:rPr>
          <w:rFonts w:ascii="Arial" w:hAnsi="Arial" w:cs="Arial"/>
          <w:color w:val="222222"/>
          <w:sz w:val="20"/>
          <w:szCs w:val="20"/>
          <w:shd w:val="clear" w:color="auto" w:fill="FFFFFF"/>
        </w:rPr>
        <w:t>Barrett, C. B., Reardon, T., Swinnen, J., &amp; Zilberman, D. (2022). Agri-food value chain revolutions in low-and middle-income countries. </w:t>
      </w:r>
      <w:r w:rsidRPr="00E31D0F">
        <w:rPr>
          <w:rFonts w:ascii="Arial" w:hAnsi="Arial" w:cs="Arial"/>
          <w:i/>
          <w:iCs/>
          <w:color w:val="222222"/>
          <w:sz w:val="20"/>
          <w:szCs w:val="20"/>
          <w:shd w:val="clear" w:color="auto" w:fill="FFFFFF"/>
        </w:rPr>
        <w:t>Journal of Economic Literature</w:t>
      </w:r>
      <w:r w:rsidRPr="00E31D0F">
        <w:rPr>
          <w:rFonts w:ascii="Arial" w:hAnsi="Arial" w:cs="Arial"/>
          <w:color w:val="222222"/>
          <w:sz w:val="20"/>
          <w:szCs w:val="20"/>
          <w:shd w:val="clear" w:color="auto" w:fill="FFFFFF"/>
        </w:rPr>
        <w:t>, </w:t>
      </w:r>
      <w:r w:rsidRPr="00E31D0F">
        <w:rPr>
          <w:rFonts w:ascii="Arial" w:hAnsi="Arial" w:cs="Arial"/>
          <w:i/>
          <w:iCs/>
          <w:color w:val="222222"/>
          <w:sz w:val="20"/>
          <w:szCs w:val="20"/>
          <w:shd w:val="clear" w:color="auto" w:fill="FFFFFF"/>
        </w:rPr>
        <w:t>60</w:t>
      </w:r>
      <w:r w:rsidRPr="00E31D0F">
        <w:rPr>
          <w:rFonts w:ascii="Arial" w:hAnsi="Arial" w:cs="Arial"/>
          <w:color w:val="222222"/>
          <w:sz w:val="20"/>
          <w:szCs w:val="20"/>
          <w:shd w:val="clear" w:color="auto" w:fill="FFFFFF"/>
        </w:rPr>
        <w:t>(4), 1316-1377.</w:t>
      </w:r>
    </w:p>
    <w:p w14:paraId="6ED7EC26" w14:textId="77777777" w:rsidR="00E31D0F" w:rsidRPr="00E31D0F" w:rsidRDefault="00E31D0F" w:rsidP="00E31D0F">
      <w:pPr>
        <w:pStyle w:val="ListParagraph"/>
        <w:numPr>
          <w:ilvl w:val="0"/>
          <w:numId w:val="25"/>
        </w:numPr>
        <w:rPr>
          <w:rFonts w:ascii="Arial" w:hAnsi="Arial" w:cs="Arial"/>
          <w:color w:val="222222"/>
          <w:sz w:val="20"/>
          <w:szCs w:val="20"/>
          <w:shd w:val="clear" w:color="auto" w:fill="FFFFFF"/>
        </w:rPr>
      </w:pPr>
      <w:r w:rsidRPr="00E31D0F">
        <w:rPr>
          <w:rFonts w:ascii="Arial" w:hAnsi="Arial" w:cs="Arial"/>
          <w:color w:val="222222"/>
          <w:sz w:val="20"/>
          <w:szCs w:val="20"/>
          <w:shd w:val="clear" w:color="auto" w:fill="FFFFFF"/>
        </w:rPr>
        <w:t>Cassani, L., &amp; Gomez-Zavaglia, A. (2022). Sustainable food systems in fruits and vegetables food supply chains. </w:t>
      </w:r>
      <w:r w:rsidRPr="00E31D0F">
        <w:rPr>
          <w:rFonts w:ascii="Arial" w:hAnsi="Arial" w:cs="Arial"/>
          <w:i/>
          <w:iCs/>
          <w:color w:val="222222"/>
          <w:sz w:val="20"/>
          <w:szCs w:val="20"/>
          <w:shd w:val="clear" w:color="auto" w:fill="FFFFFF"/>
        </w:rPr>
        <w:t>Frontiers in Nutrition</w:t>
      </w:r>
      <w:r w:rsidRPr="00E31D0F">
        <w:rPr>
          <w:rFonts w:ascii="Arial" w:hAnsi="Arial" w:cs="Arial"/>
          <w:color w:val="222222"/>
          <w:sz w:val="20"/>
          <w:szCs w:val="20"/>
          <w:shd w:val="clear" w:color="auto" w:fill="FFFFFF"/>
        </w:rPr>
        <w:t>, </w:t>
      </w:r>
      <w:r w:rsidRPr="00E31D0F">
        <w:rPr>
          <w:rFonts w:ascii="Arial" w:hAnsi="Arial" w:cs="Arial"/>
          <w:i/>
          <w:iCs/>
          <w:color w:val="222222"/>
          <w:sz w:val="20"/>
          <w:szCs w:val="20"/>
          <w:shd w:val="clear" w:color="auto" w:fill="FFFFFF"/>
        </w:rPr>
        <w:t>9</w:t>
      </w:r>
      <w:r w:rsidRPr="00E31D0F">
        <w:rPr>
          <w:rFonts w:ascii="Arial" w:hAnsi="Arial" w:cs="Arial"/>
          <w:color w:val="222222"/>
          <w:sz w:val="20"/>
          <w:szCs w:val="20"/>
          <w:shd w:val="clear" w:color="auto" w:fill="FFFFFF"/>
        </w:rPr>
        <w:t>, 829061.</w:t>
      </w:r>
    </w:p>
    <w:p w14:paraId="6C8B4F5C" w14:textId="77777777" w:rsidR="00E31D0F" w:rsidRPr="00E31D0F" w:rsidRDefault="00E31D0F" w:rsidP="00E31D0F">
      <w:pPr>
        <w:pStyle w:val="ListParagraph"/>
        <w:numPr>
          <w:ilvl w:val="0"/>
          <w:numId w:val="25"/>
        </w:numPr>
        <w:rPr>
          <w:rFonts w:ascii="Arial" w:hAnsi="Arial" w:cs="Arial"/>
          <w:color w:val="222222"/>
          <w:sz w:val="20"/>
          <w:szCs w:val="20"/>
          <w:shd w:val="clear" w:color="auto" w:fill="FFFFFF"/>
        </w:rPr>
      </w:pPr>
      <w:r w:rsidRPr="00E31D0F">
        <w:rPr>
          <w:rFonts w:ascii="Arial" w:hAnsi="Arial" w:cs="Arial"/>
          <w:color w:val="222222"/>
          <w:sz w:val="20"/>
          <w:szCs w:val="20"/>
          <w:shd w:val="clear" w:color="auto" w:fill="FFFFFF"/>
        </w:rPr>
        <w:t>Golowczyc, M., &amp; Gomez-Zavaglia, A. (2024). Food Additives Derived from Fruits and Vegetables for Sustainable Animal Production and Their Impact in Latin America: An Alternative to the Use of Antibiotics. </w:t>
      </w:r>
      <w:r w:rsidRPr="00E31D0F">
        <w:rPr>
          <w:rFonts w:ascii="Arial" w:hAnsi="Arial" w:cs="Arial"/>
          <w:i/>
          <w:iCs/>
          <w:color w:val="222222"/>
          <w:sz w:val="20"/>
          <w:szCs w:val="20"/>
          <w:shd w:val="clear" w:color="auto" w:fill="FFFFFF"/>
        </w:rPr>
        <w:t>Foods</w:t>
      </w:r>
      <w:r w:rsidRPr="00E31D0F">
        <w:rPr>
          <w:rFonts w:ascii="Arial" w:hAnsi="Arial" w:cs="Arial"/>
          <w:color w:val="222222"/>
          <w:sz w:val="20"/>
          <w:szCs w:val="20"/>
          <w:shd w:val="clear" w:color="auto" w:fill="FFFFFF"/>
        </w:rPr>
        <w:t>, </w:t>
      </w:r>
      <w:r w:rsidRPr="00E31D0F">
        <w:rPr>
          <w:rFonts w:ascii="Arial" w:hAnsi="Arial" w:cs="Arial"/>
          <w:i/>
          <w:iCs/>
          <w:color w:val="222222"/>
          <w:sz w:val="20"/>
          <w:szCs w:val="20"/>
          <w:shd w:val="clear" w:color="auto" w:fill="FFFFFF"/>
        </w:rPr>
        <w:t>13</w:t>
      </w:r>
      <w:r w:rsidRPr="00E31D0F">
        <w:rPr>
          <w:rFonts w:ascii="Arial" w:hAnsi="Arial" w:cs="Arial"/>
          <w:color w:val="222222"/>
          <w:sz w:val="20"/>
          <w:szCs w:val="20"/>
          <w:shd w:val="clear" w:color="auto" w:fill="FFFFFF"/>
        </w:rPr>
        <w:t>(18), 2921.</w:t>
      </w:r>
    </w:p>
    <w:p w14:paraId="37706972" w14:textId="77777777" w:rsidR="00E31D0F" w:rsidRPr="00E31D0F" w:rsidRDefault="00E31D0F" w:rsidP="00E31D0F">
      <w:pPr>
        <w:pStyle w:val="ListParagraph"/>
        <w:numPr>
          <w:ilvl w:val="0"/>
          <w:numId w:val="25"/>
        </w:numPr>
        <w:rPr>
          <w:rFonts w:ascii="Arial" w:hAnsi="Arial" w:cs="Arial"/>
          <w:color w:val="222222"/>
          <w:sz w:val="20"/>
          <w:szCs w:val="20"/>
          <w:shd w:val="clear" w:color="auto" w:fill="FFFFFF"/>
        </w:rPr>
      </w:pPr>
      <w:r w:rsidRPr="00E31D0F">
        <w:rPr>
          <w:rFonts w:ascii="Arial" w:hAnsi="Arial" w:cs="Arial"/>
          <w:color w:val="222222"/>
          <w:sz w:val="20"/>
          <w:szCs w:val="20"/>
          <w:shd w:val="clear" w:color="auto" w:fill="FFFFFF"/>
        </w:rPr>
        <w:t>Benucci, I., Lombardelli, C., Mazzocchi, C., &amp; Esti, M. (2022). Natural colorants from vegetable food waste: Recovery, regulatory aspects, and stability—A review. </w:t>
      </w:r>
      <w:r w:rsidRPr="00E31D0F">
        <w:rPr>
          <w:rFonts w:ascii="Arial" w:hAnsi="Arial" w:cs="Arial"/>
          <w:i/>
          <w:iCs/>
          <w:color w:val="222222"/>
          <w:sz w:val="20"/>
          <w:szCs w:val="20"/>
          <w:shd w:val="clear" w:color="auto" w:fill="FFFFFF"/>
        </w:rPr>
        <w:t>Comprehensive Reviews in Food Science and Food Safety</w:t>
      </w:r>
      <w:r w:rsidRPr="00E31D0F">
        <w:rPr>
          <w:rFonts w:ascii="Arial" w:hAnsi="Arial" w:cs="Arial"/>
          <w:color w:val="222222"/>
          <w:sz w:val="20"/>
          <w:szCs w:val="20"/>
          <w:shd w:val="clear" w:color="auto" w:fill="FFFFFF"/>
        </w:rPr>
        <w:t>, </w:t>
      </w:r>
      <w:r w:rsidRPr="00E31D0F">
        <w:rPr>
          <w:rFonts w:ascii="Arial" w:hAnsi="Arial" w:cs="Arial"/>
          <w:i/>
          <w:iCs/>
          <w:color w:val="222222"/>
          <w:sz w:val="20"/>
          <w:szCs w:val="20"/>
          <w:shd w:val="clear" w:color="auto" w:fill="FFFFFF"/>
        </w:rPr>
        <w:t>21</w:t>
      </w:r>
      <w:r w:rsidRPr="00E31D0F">
        <w:rPr>
          <w:rFonts w:ascii="Arial" w:hAnsi="Arial" w:cs="Arial"/>
          <w:color w:val="222222"/>
          <w:sz w:val="20"/>
          <w:szCs w:val="20"/>
          <w:shd w:val="clear" w:color="auto" w:fill="FFFFFF"/>
        </w:rPr>
        <w:t>(3), 2715-2737.</w:t>
      </w:r>
    </w:p>
    <w:p w14:paraId="6E89F8FA" w14:textId="77777777" w:rsidR="00E31D0F" w:rsidRDefault="00E31D0F" w:rsidP="00E31D0F">
      <w:pPr>
        <w:pStyle w:val="ListParagraph"/>
        <w:numPr>
          <w:ilvl w:val="0"/>
          <w:numId w:val="25"/>
        </w:numPr>
      </w:pPr>
      <w:r w:rsidRPr="00E31D0F">
        <w:rPr>
          <w:rFonts w:ascii="Arial" w:hAnsi="Arial" w:cs="Arial"/>
          <w:color w:val="222222"/>
          <w:sz w:val="20"/>
          <w:szCs w:val="20"/>
          <w:shd w:val="clear" w:color="auto" w:fill="FFFFFF"/>
        </w:rPr>
        <w:t>Koubaa, M., Ammar, M. H., Dhouib, D., &amp; Mnejja, S. (Eds.). (2024). </w:t>
      </w:r>
      <w:r w:rsidRPr="00E31D0F">
        <w:rPr>
          <w:rFonts w:ascii="Arial" w:hAnsi="Arial" w:cs="Arial"/>
          <w:i/>
          <w:iCs/>
          <w:color w:val="222222"/>
          <w:sz w:val="20"/>
          <w:szCs w:val="20"/>
          <w:shd w:val="clear" w:color="auto" w:fill="FFFFFF"/>
        </w:rPr>
        <w:t>Optimization in the Agri-Food Supply Chain: Recent Studies</w:t>
      </w:r>
      <w:r w:rsidRPr="00E31D0F">
        <w:rPr>
          <w:rFonts w:ascii="Arial" w:hAnsi="Arial" w:cs="Arial"/>
          <w:color w:val="222222"/>
          <w:sz w:val="20"/>
          <w:szCs w:val="20"/>
          <w:shd w:val="clear" w:color="auto" w:fill="FFFFFF"/>
        </w:rPr>
        <w:t>. John Wiley &amp; Sons.</w:t>
      </w:r>
    </w:p>
    <w:p w14:paraId="0EFFB9F9" w14:textId="77777777" w:rsidR="00FF7D9C" w:rsidRPr="00DC6567" w:rsidRDefault="00FF7D9C" w:rsidP="00E31D0F">
      <w:pPr>
        <w:pStyle w:val="ListParagraph"/>
        <w:tabs>
          <w:tab w:val="left" w:pos="1779"/>
        </w:tabs>
        <w:jc w:val="both"/>
      </w:pPr>
    </w:p>
    <w:p w14:paraId="5B579D88" w14:textId="77777777" w:rsidR="00DC6567" w:rsidRPr="00585B0B" w:rsidRDefault="00DC6567" w:rsidP="00A7530A">
      <w:pPr>
        <w:tabs>
          <w:tab w:val="left" w:pos="1779"/>
        </w:tabs>
      </w:pPr>
    </w:p>
    <w:sectPr w:rsidR="00DC6567" w:rsidRPr="00585B0B" w:rsidSect="00DF5789">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ED86" w14:textId="77777777" w:rsidR="00077E5B" w:rsidRDefault="00077E5B" w:rsidP="000132F9">
      <w:pPr>
        <w:spacing w:after="0" w:line="240" w:lineRule="auto"/>
      </w:pPr>
      <w:r>
        <w:separator/>
      </w:r>
    </w:p>
  </w:endnote>
  <w:endnote w:type="continuationSeparator" w:id="0">
    <w:p w14:paraId="0220F2D3" w14:textId="77777777" w:rsidR="00077E5B" w:rsidRDefault="00077E5B" w:rsidP="0001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CB98" w14:textId="77777777" w:rsidR="000132F9" w:rsidRDefault="0001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D0EF" w14:textId="77777777" w:rsidR="000132F9" w:rsidRDefault="00013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9BE8" w14:textId="77777777" w:rsidR="000132F9" w:rsidRDefault="0001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DDD62" w14:textId="77777777" w:rsidR="00077E5B" w:rsidRDefault="00077E5B" w:rsidP="000132F9">
      <w:pPr>
        <w:spacing w:after="0" w:line="240" w:lineRule="auto"/>
      </w:pPr>
      <w:r>
        <w:separator/>
      </w:r>
    </w:p>
  </w:footnote>
  <w:footnote w:type="continuationSeparator" w:id="0">
    <w:p w14:paraId="07672ACD" w14:textId="77777777" w:rsidR="00077E5B" w:rsidRDefault="00077E5B" w:rsidP="0001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77A9" w14:textId="58751A1D" w:rsidR="000132F9" w:rsidRDefault="00E31D0F">
    <w:pPr>
      <w:pStyle w:val="Header"/>
    </w:pPr>
    <w:r>
      <w:rPr>
        <w:noProof/>
      </w:rPr>
      <w:pict w14:anchorId="7933E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FBF1" w14:textId="105B21E7" w:rsidR="000132F9" w:rsidRDefault="00E31D0F">
    <w:pPr>
      <w:pStyle w:val="Header"/>
    </w:pPr>
    <w:r>
      <w:rPr>
        <w:noProof/>
      </w:rPr>
      <w:pict w14:anchorId="01B8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C203" w14:textId="6409C966" w:rsidR="000132F9" w:rsidRDefault="00E31D0F">
    <w:pPr>
      <w:pStyle w:val="Header"/>
    </w:pPr>
    <w:r>
      <w:rPr>
        <w:noProof/>
      </w:rPr>
      <w:pict w14:anchorId="1B63F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60A"/>
    <w:multiLevelType w:val="multilevel"/>
    <w:tmpl w:val="3EE6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B1F2E"/>
    <w:multiLevelType w:val="multilevel"/>
    <w:tmpl w:val="B198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B47FC"/>
    <w:multiLevelType w:val="multilevel"/>
    <w:tmpl w:val="8150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10A50"/>
    <w:multiLevelType w:val="multilevel"/>
    <w:tmpl w:val="7C54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A411A"/>
    <w:multiLevelType w:val="hybridMultilevel"/>
    <w:tmpl w:val="92F0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67A3E"/>
    <w:multiLevelType w:val="hybridMultilevel"/>
    <w:tmpl w:val="26282F12"/>
    <w:lvl w:ilvl="0" w:tplc="BF5CDB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0E271A"/>
    <w:multiLevelType w:val="multilevel"/>
    <w:tmpl w:val="8682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B043A"/>
    <w:multiLevelType w:val="multilevel"/>
    <w:tmpl w:val="C2D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B1022"/>
    <w:multiLevelType w:val="multilevel"/>
    <w:tmpl w:val="33B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70A35"/>
    <w:multiLevelType w:val="multilevel"/>
    <w:tmpl w:val="8B4E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A2FD7"/>
    <w:multiLevelType w:val="multilevel"/>
    <w:tmpl w:val="F6E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D194D"/>
    <w:multiLevelType w:val="hybridMultilevel"/>
    <w:tmpl w:val="5ACA5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8E393E"/>
    <w:multiLevelType w:val="multilevel"/>
    <w:tmpl w:val="624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F6FDF"/>
    <w:multiLevelType w:val="multilevel"/>
    <w:tmpl w:val="0B9CD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C1878"/>
    <w:multiLevelType w:val="multilevel"/>
    <w:tmpl w:val="B3E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668CF"/>
    <w:multiLevelType w:val="multilevel"/>
    <w:tmpl w:val="17CE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D72A7"/>
    <w:multiLevelType w:val="multilevel"/>
    <w:tmpl w:val="848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62E00"/>
    <w:multiLevelType w:val="multilevel"/>
    <w:tmpl w:val="EC94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74BCE"/>
    <w:multiLevelType w:val="multilevel"/>
    <w:tmpl w:val="A7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37094"/>
    <w:multiLevelType w:val="multilevel"/>
    <w:tmpl w:val="6058A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D63976"/>
    <w:multiLevelType w:val="multilevel"/>
    <w:tmpl w:val="3EEA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E62E7"/>
    <w:multiLevelType w:val="multilevel"/>
    <w:tmpl w:val="FE76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32205C"/>
    <w:multiLevelType w:val="multilevel"/>
    <w:tmpl w:val="666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D13F9"/>
    <w:multiLevelType w:val="multilevel"/>
    <w:tmpl w:val="C8E462D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F20E6"/>
    <w:multiLevelType w:val="multilevel"/>
    <w:tmpl w:val="9A7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24"/>
  </w:num>
  <w:num w:numId="4">
    <w:abstractNumId w:val="9"/>
  </w:num>
  <w:num w:numId="5">
    <w:abstractNumId w:val="6"/>
  </w:num>
  <w:num w:numId="6">
    <w:abstractNumId w:val="2"/>
  </w:num>
  <w:num w:numId="7">
    <w:abstractNumId w:val="13"/>
  </w:num>
  <w:num w:numId="8">
    <w:abstractNumId w:val="14"/>
  </w:num>
  <w:num w:numId="9">
    <w:abstractNumId w:val="22"/>
  </w:num>
  <w:num w:numId="10">
    <w:abstractNumId w:val="11"/>
  </w:num>
  <w:num w:numId="11">
    <w:abstractNumId w:val="20"/>
  </w:num>
  <w:num w:numId="12">
    <w:abstractNumId w:val="15"/>
  </w:num>
  <w:num w:numId="13">
    <w:abstractNumId w:val="7"/>
  </w:num>
  <w:num w:numId="14">
    <w:abstractNumId w:val="8"/>
  </w:num>
  <w:num w:numId="15">
    <w:abstractNumId w:val="0"/>
  </w:num>
  <w:num w:numId="16">
    <w:abstractNumId w:val="16"/>
  </w:num>
  <w:num w:numId="17">
    <w:abstractNumId w:val="17"/>
  </w:num>
  <w:num w:numId="18">
    <w:abstractNumId w:val="12"/>
  </w:num>
  <w:num w:numId="19">
    <w:abstractNumId w:val="5"/>
  </w:num>
  <w:num w:numId="20">
    <w:abstractNumId w:val="3"/>
  </w:num>
  <w:num w:numId="21">
    <w:abstractNumId w:val="23"/>
  </w:num>
  <w:num w:numId="22">
    <w:abstractNumId w:val="18"/>
  </w:num>
  <w:num w:numId="23">
    <w:abstractNumId w:val="21"/>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04"/>
    <w:rsid w:val="00006E84"/>
    <w:rsid w:val="000132F9"/>
    <w:rsid w:val="00014D24"/>
    <w:rsid w:val="00037C53"/>
    <w:rsid w:val="00044904"/>
    <w:rsid w:val="00066B22"/>
    <w:rsid w:val="00076577"/>
    <w:rsid w:val="00077E5B"/>
    <w:rsid w:val="000D0C0F"/>
    <w:rsid w:val="000F4F06"/>
    <w:rsid w:val="00111C78"/>
    <w:rsid w:val="0012056E"/>
    <w:rsid w:val="00144B28"/>
    <w:rsid w:val="00164D6F"/>
    <w:rsid w:val="001833FB"/>
    <w:rsid w:val="00187AA2"/>
    <w:rsid w:val="001F6E93"/>
    <w:rsid w:val="00216C44"/>
    <w:rsid w:val="00231ABE"/>
    <w:rsid w:val="00235AC6"/>
    <w:rsid w:val="002422C0"/>
    <w:rsid w:val="002604E0"/>
    <w:rsid w:val="00264509"/>
    <w:rsid w:val="00295132"/>
    <w:rsid w:val="002F16A7"/>
    <w:rsid w:val="002F6D44"/>
    <w:rsid w:val="00333905"/>
    <w:rsid w:val="003407C0"/>
    <w:rsid w:val="00351F79"/>
    <w:rsid w:val="00352139"/>
    <w:rsid w:val="00375886"/>
    <w:rsid w:val="003A039F"/>
    <w:rsid w:val="003D7BF5"/>
    <w:rsid w:val="003E2AC9"/>
    <w:rsid w:val="00433C33"/>
    <w:rsid w:val="004375CB"/>
    <w:rsid w:val="00452FB4"/>
    <w:rsid w:val="0047722F"/>
    <w:rsid w:val="00492FF3"/>
    <w:rsid w:val="004C09D7"/>
    <w:rsid w:val="004C56CE"/>
    <w:rsid w:val="004D6927"/>
    <w:rsid w:val="004E2CF7"/>
    <w:rsid w:val="004F6B04"/>
    <w:rsid w:val="005052B6"/>
    <w:rsid w:val="00523FC3"/>
    <w:rsid w:val="00535C7F"/>
    <w:rsid w:val="00554F5C"/>
    <w:rsid w:val="00563B41"/>
    <w:rsid w:val="0056561C"/>
    <w:rsid w:val="00584168"/>
    <w:rsid w:val="00585B0B"/>
    <w:rsid w:val="005920A2"/>
    <w:rsid w:val="005D31CB"/>
    <w:rsid w:val="00606D0D"/>
    <w:rsid w:val="0060726A"/>
    <w:rsid w:val="00610D7B"/>
    <w:rsid w:val="0066309A"/>
    <w:rsid w:val="00677E6D"/>
    <w:rsid w:val="006C0915"/>
    <w:rsid w:val="006F4330"/>
    <w:rsid w:val="00715EC0"/>
    <w:rsid w:val="007551C7"/>
    <w:rsid w:val="00760939"/>
    <w:rsid w:val="00762C14"/>
    <w:rsid w:val="007A554A"/>
    <w:rsid w:val="007B3C08"/>
    <w:rsid w:val="007D5248"/>
    <w:rsid w:val="007E2E4C"/>
    <w:rsid w:val="007F1C20"/>
    <w:rsid w:val="00802C6B"/>
    <w:rsid w:val="0080649A"/>
    <w:rsid w:val="00817169"/>
    <w:rsid w:val="008224C7"/>
    <w:rsid w:val="00834DAA"/>
    <w:rsid w:val="00834E8A"/>
    <w:rsid w:val="00864F66"/>
    <w:rsid w:val="008B07E2"/>
    <w:rsid w:val="008B28C4"/>
    <w:rsid w:val="008C7F07"/>
    <w:rsid w:val="008D120D"/>
    <w:rsid w:val="008F4A98"/>
    <w:rsid w:val="009168E1"/>
    <w:rsid w:val="009477CF"/>
    <w:rsid w:val="00960C29"/>
    <w:rsid w:val="00970AE1"/>
    <w:rsid w:val="00974477"/>
    <w:rsid w:val="009821DF"/>
    <w:rsid w:val="009925F8"/>
    <w:rsid w:val="00993245"/>
    <w:rsid w:val="009D1110"/>
    <w:rsid w:val="009D197C"/>
    <w:rsid w:val="00A00CB0"/>
    <w:rsid w:val="00A0710D"/>
    <w:rsid w:val="00A46F84"/>
    <w:rsid w:val="00A7530A"/>
    <w:rsid w:val="00A90455"/>
    <w:rsid w:val="00AA6820"/>
    <w:rsid w:val="00AE5DA9"/>
    <w:rsid w:val="00B562D7"/>
    <w:rsid w:val="00B708BC"/>
    <w:rsid w:val="00B806BF"/>
    <w:rsid w:val="00BD6F97"/>
    <w:rsid w:val="00BF1D4F"/>
    <w:rsid w:val="00C21050"/>
    <w:rsid w:val="00C37737"/>
    <w:rsid w:val="00C8276A"/>
    <w:rsid w:val="00C82D46"/>
    <w:rsid w:val="00CA3CAC"/>
    <w:rsid w:val="00CC7E5F"/>
    <w:rsid w:val="00CD40FE"/>
    <w:rsid w:val="00CF6D7E"/>
    <w:rsid w:val="00D00DEA"/>
    <w:rsid w:val="00D51221"/>
    <w:rsid w:val="00D5325B"/>
    <w:rsid w:val="00D75317"/>
    <w:rsid w:val="00DB40EB"/>
    <w:rsid w:val="00DC2A57"/>
    <w:rsid w:val="00DC6567"/>
    <w:rsid w:val="00DF5683"/>
    <w:rsid w:val="00DF5789"/>
    <w:rsid w:val="00E233D6"/>
    <w:rsid w:val="00E31D0F"/>
    <w:rsid w:val="00E55159"/>
    <w:rsid w:val="00E720C4"/>
    <w:rsid w:val="00E94CD8"/>
    <w:rsid w:val="00EA0CC5"/>
    <w:rsid w:val="00EA1F67"/>
    <w:rsid w:val="00EA4CFF"/>
    <w:rsid w:val="00EA79BA"/>
    <w:rsid w:val="00EF6404"/>
    <w:rsid w:val="00F30801"/>
    <w:rsid w:val="00F32D9F"/>
    <w:rsid w:val="00F67805"/>
    <w:rsid w:val="00F71931"/>
    <w:rsid w:val="00F819E3"/>
    <w:rsid w:val="00F856CA"/>
    <w:rsid w:val="00F8640F"/>
    <w:rsid w:val="00F92186"/>
    <w:rsid w:val="00F96D9F"/>
    <w:rsid w:val="00FC1270"/>
    <w:rsid w:val="00FE042A"/>
    <w:rsid w:val="00FF5371"/>
    <w:rsid w:val="00FF7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6FD5E"/>
  <w15:chartTrackingRefBased/>
  <w15:docId w15:val="{018B0C9F-8D78-427D-AC15-4412B504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B0B"/>
  </w:style>
  <w:style w:type="paragraph" w:styleId="Heading1">
    <w:name w:val="heading 1"/>
    <w:basedOn w:val="Normal"/>
    <w:next w:val="Normal"/>
    <w:link w:val="Heading1Char"/>
    <w:uiPriority w:val="9"/>
    <w:qFormat/>
    <w:rsid w:val="000D0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0C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5B0B"/>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B0B"/>
    <w:rPr>
      <w:rFonts w:eastAsia="Times New Roman"/>
      <w:b/>
      <w:bCs/>
      <w:sz w:val="27"/>
      <w:szCs w:val="27"/>
      <w:lang w:eastAsia="tr-TR"/>
    </w:rPr>
  </w:style>
  <w:style w:type="character" w:styleId="Strong">
    <w:name w:val="Strong"/>
    <w:basedOn w:val="DefaultParagraphFont"/>
    <w:uiPriority w:val="22"/>
    <w:qFormat/>
    <w:rsid w:val="00585B0B"/>
    <w:rPr>
      <w:b/>
      <w:bCs/>
    </w:rPr>
  </w:style>
  <w:style w:type="paragraph" w:customStyle="1" w:styleId="ds-markdown-paragraph">
    <w:name w:val="ds-markdown-paragraph"/>
    <w:basedOn w:val="Normal"/>
    <w:rsid w:val="00585B0B"/>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585B0B"/>
    <w:rPr>
      <w:i/>
      <w:iCs/>
    </w:rPr>
  </w:style>
  <w:style w:type="character" w:customStyle="1" w:styleId="ng-star-inserted">
    <w:name w:val="ng-star-inserted"/>
    <w:basedOn w:val="DefaultParagraphFont"/>
    <w:rsid w:val="002F6D44"/>
  </w:style>
  <w:style w:type="character" w:customStyle="1" w:styleId="Heading1Char">
    <w:name w:val="Heading 1 Char"/>
    <w:basedOn w:val="DefaultParagraphFont"/>
    <w:link w:val="Heading1"/>
    <w:uiPriority w:val="9"/>
    <w:rsid w:val="000D0C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0C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0D7B"/>
    <w:rPr>
      <w:color w:val="0563C1" w:themeColor="hyperlink"/>
      <w:u w:val="single"/>
    </w:rPr>
  </w:style>
  <w:style w:type="character" w:styleId="UnresolvedMention">
    <w:name w:val="Unresolved Mention"/>
    <w:basedOn w:val="DefaultParagraphFont"/>
    <w:uiPriority w:val="99"/>
    <w:semiHidden/>
    <w:unhideWhenUsed/>
    <w:rsid w:val="00066B22"/>
    <w:rPr>
      <w:color w:val="605E5C"/>
      <w:shd w:val="clear" w:color="auto" w:fill="E1DFDD"/>
    </w:rPr>
  </w:style>
  <w:style w:type="paragraph" w:styleId="ListParagraph">
    <w:name w:val="List Paragraph"/>
    <w:basedOn w:val="Normal"/>
    <w:uiPriority w:val="34"/>
    <w:qFormat/>
    <w:rsid w:val="00452FB4"/>
    <w:pPr>
      <w:ind w:left="720"/>
      <w:contextualSpacing/>
    </w:pPr>
  </w:style>
  <w:style w:type="paragraph" w:styleId="Header">
    <w:name w:val="header"/>
    <w:basedOn w:val="Normal"/>
    <w:link w:val="HeaderChar"/>
    <w:uiPriority w:val="99"/>
    <w:unhideWhenUsed/>
    <w:rsid w:val="0001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F9"/>
  </w:style>
  <w:style w:type="paragraph" w:styleId="Footer">
    <w:name w:val="footer"/>
    <w:basedOn w:val="Normal"/>
    <w:link w:val="FooterChar"/>
    <w:uiPriority w:val="99"/>
    <w:unhideWhenUsed/>
    <w:rsid w:val="0001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084">
      <w:bodyDiv w:val="1"/>
      <w:marLeft w:val="0"/>
      <w:marRight w:val="0"/>
      <w:marTop w:val="0"/>
      <w:marBottom w:val="0"/>
      <w:divBdr>
        <w:top w:val="none" w:sz="0" w:space="0" w:color="auto"/>
        <w:left w:val="none" w:sz="0" w:space="0" w:color="auto"/>
        <w:bottom w:val="none" w:sz="0" w:space="0" w:color="auto"/>
        <w:right w:val="none" w:sz="0" w:space="0" w:color="auto"/>
      </w:divBdr>
    </w:div>
    <w:div w:id="129251919">
      <w:bodyDiv w:val="1"/>
      <w:marLeft w:val="0"/>
      <w:marRight w:val="0"/>
      <w:marTop w:val="0"/>
      <w:marBottom w:val="0"/>
      <w:divBdr>
        <w:top w:val="none" w:sz="0" w:space="0" w:color="auto"/>
        <w:left w:val="none" w:sz="0" w:space="0" w:color="auto"/>
        <w:bottom w:val="none" w:sz="0" w:space="0" w:color="auto"/>
        <w:right w:val="none" w:sz="0" w:space="0" w:color="auto"/>
      </w:divBdr>
    </w:div>
    <w:div w:id="358820851">
      <w:bodyDiv w:val="1"/>
      <w:marLeft w:val="0"/>
      <w:marRight w:val="0"/>
      <w:marTop w:val="0"/>
      <w:marBottom w:val="0"/>
      <w:divBdr>
        <w:top w:val="none" w:sz="0" w:space="0" w:color="auto"/>
        <w:left w:val="none" w:sz="0" w:space="0" w:color="auto"/>
        <w:bottom w:val="none" w:sz="0" w:space="0" w:color="auto"/>
        <w:right w:val="none" w:sz="0" w:space="0" w:color="auto"/>
      </w:divBdr>
    </w:div>
    <w:div w:id="432820817">
      <w:bodyDiv w:val="1"/>
      <w:marLeft w:val="0"/>
      <w:marRight w:val="0"/>
      <w:marTop w:val="0"/>
      <w:marBottom w:val="0"/>
      <w:divBdr>
        <w:top w:val="none" w:sz="0" w:space="0" w:color="auto"/>
        <w:left w:val="none" w:sz="0" w:space="0" w:color="auto"/>
        <w:bottom w:val="none" w:sz="0" w:space="0" w:color="auto"/>
        <w:right w:val="none" w:sz="0" w:space="0" w:color="auto"/>
      </w:divBdr>
    </w:div>
    <w:div w:id="484442616">
      <w:bodyDiv w:val="1"/>
      <w:marLeft w:val="0"/>
      <w:marRight w:val="0"/>
      <w:marTop w:val="0"/>
      <w:marBottom w:val="0"/>
      <w:divBdr>
        <w:top w:val="none" w:sz="0" w:space="0" w:color="auto"/>
        <w:left w:val="none" w:sz="0" w:space="0" w:color="auto"/>
        <w:bottom w:val="none" w:sz="0" w:space="0" w:color="auto"/>
        <w:right w:val="none" w:sz="0" w:space="0" w:color="auto"/>
      </w:divBdr>
    </w:div>
    <w:div w:id="545682504">
      <w:bodyDiv w:val="1"/>
      <w:marLeft w:val="0"/>
      <w:marRight w:val="0"/>
      <w:marTop w:val="0"/>
      <w:marBottom w:val="0"/>
      <w:divBdr>
        <w:top w:val="none" w:sz="0" w:space="0" w:color="auto"/>
        <w:left w:val="none" w:sz="0" w:space="0" w:color="auto"/>
        <w:bottom w:val="none" w:sz="0" w:space="0" w:color="auto"/>
        <w:right w:val="none" w:sz="0" w:space="0" w:color="auto"/>
      </w:divBdr>
    </w:div>
    <w:div w:id="551231541">
      <w:bodyDiv w:val="1"/>
      <w:marLeft w:val="0"/>
      <w:marRight w:val="0"/>
      <w:marTop w:val="0"/>
      <w:marBottom w:val="0"/>
      <w:divBdr>
        <w:top w:val="none" w:sz="0" w:space="0" w:color="auto"/>
        <w:left w:val="none" w:sz="0" w:space="0" w:color="auto"/>
        <w:bottom w:val="none" w:sz="0" w:space="0" w:color="auto"/>
        <w:right w:val="none" w:sz="0" w:space="0" w:color="auto"/>
      </w:divBdr>
    </w:div>
    <w:div w:id="572858471">
      <w:bodyDiv w:val="1"/>
      <w:marLeft w:val="0"/>
      <w:marRight w:val="0"/>
      <w:marTop w:val="0"/>
      <w:marBottom w:val="0"/>
      <w:divBdr>
        <w:top w:val="none" w:sz="0" w:space="0" w:color="auto"/>
        <w:left w:val="none" w:sz="0" w:space="0" w:color="auto"/>
        <w:bottom w:val="none" w:sz="0" w:space="0" w:color="auto"/>
        <w:right w:val="none" w:sz="0" w:space="0" w:color="auto"/>
      </w:divBdr>
      <w:divsChild>
        <w:div w:id="1636717822">
          <w:marLeft w:val="0"/>
          <w:marRight w:val="0"/>
          <w:marTop w:val="0"/>
          <w:marBottom w:val="0"/>
          <w:divBdr>
            <w:top w:val="none" w:sz="0" w:space="0" w:color="auto"/>
            <w:left w:val="none" w:sz="0" w:space="0" w:color="auto"/>
            <w:bottom w:val="none" w:sz="0" w:space="0" w:color="auto"/>
            <w:right w:val="none" w:sz="0" w:space="0" w:color="auto"/>
          </w:divBdr>
          <w:divsChild>
            <w:div w:id="2797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6403">
      <w:bodyDiv w:val="1"/>
      <w:marLeft w:val="0"/>
      <w:marRight w:val="0"/>
      <w:marTop w:val="0"/>
      <w:marBottom w:val="0"/>
      <w:divBdr>
        <w:top w:val="none" w:sz="0" w:space="0" w:color="auto"/>
        <w:left w:val="none" w:sz="0" w:space="0" w:color="auto"/>
        <w:bottom w:val="none" w:sz="0" w:space="0" w:color="auto"/>
        <w:right w:val="none" w:sz="0" w:space="0" w:color="auto"/>
      </w:divBdr>
      <w:divsChild>
        <w:div w:id="1821997045">
          <w:marLeft w:val="0"/>
          <w:marRight w:val="0"/>
          <w:marTop w:val="0"/>
          <w:marBottom w:val="0"/>
          <w:divBdr>
            <w:top w:val="none" w:sz="0" w:space="0" w:color="auto"/>
            <w:left w:val="none" w:sz="0" w:space="0" w:color="auto"/>
            <w:bottom w:val="none" w:sz="0" w:space="0" w:color="auto"/>
            <w:right w:val="none" w:sz="0" w:space="0" w:color="auto"/>
          </w:divBdr>
        </w:div>
        <w:div w:id="588318046">
          <w:marLeft w:val="0"/>
          <w:marRight w:val="0"/>
          <w:marTop w:val="0"/>
          <w:marBottom w:val="0"/>
          <w:divBdr>
            <w:top w:val="none" w:sz="0" w:space="0" w:color="auto"/>
            <w:left w:val="none" w:sz="0" w:space="0" w:color="auto"/>
            <w:bottom w:val="none" w:sz="0" w:space="0" w:color="auto"/>
            <w:right w:val="none" w:sz="0" w:space="0" w:color="auto"/>
          </w:divBdr>
        </w:div>
        <w:div w:id="1938900206">
          <w:marLeft w:val="0"/>
          <w:marRight w:val="0"/>
          <w:marTop w:val="0"/>
          <w:marBottom w:val="0"/>
          <w:divBdr>
            <w:top w:val="none" w:sz="0" w:space="0" w:color="auto"/>
            <w:left w:val="none" w:sz="0" w:space="0" w:color="auto"/>
            <w:bottom w:val="none" w:sz="0" w:space="0" w:color="auto"/>
            <w:right w:val="none" w:sz="0" w:space="0" w:color="auto"/>
          </w:divBdr>
        </w:div>
        <w:div w:id="56899330">
          <w:marLeft w:val="0"/>
          <w:marRight w:val="0"/>
          <w:marTop w:val="0"/>
          <w:marBottom w:val="0"/>
          <w:divBdr>
            <w:top w:val="none" w:sz="0" w:space="0" w:color="auto"/>
            <w:left w:val="none" w:sz="0" w:space="0" w:color="auto"/>
            <w:bottom w:val="none" w:sz="0" w:space="0" w:color="auto"/>
            <w:right w:val="none" w:sz="0" w:space="0" w:color="auto"/>
          </w:divBdr>
        </w:div>
        <w:div w:id="1452825650">
          <w:marLeft w:val="0"/>
          <w:marRight w:val="0"/>
          <w:marTop w:val="0"/>
          <w:marBottom w:val="0"/>
          <w:divBdr>
            <w:top w:val="none" w:sz="0" w:space="0" w:color="auto"/>
            <w:left w:val="none" w:sz="0" w:space="0" w:color="auto"/>
            <w:bottom w:val="none" w:sz="0" w:space="0" w:color="auto"/>
            <w:right w:val="none" w:sz="0" w:space="0" w:color="auto"/>
          </w:divBdr>
        </w:div>
        <w:div w:id="438917702">
          <w:marLeft w:val="0"/>
          <w:marRight w:val="0"/>
          <w:marTop w:val="0"/>
          <w:marBottom w:val="0"/>
          <w:divBdr>
            <w:top w:val="none" w:sz="0" w:space="0" w:color="auto"/>
            <w:left w:val="none" w:sz="0" w:space="0" w:color="auto"/>
            <w:bottom w:val="none" w:sz="0" w:space="0" w:color="auto"/>
            <w:right w:val="none" w:sz="0" w:space="0" w:color="auto"/>
          </w:divBdr>
        </w:div>
        <w:div w:id="1256981189">
          <w:marLeft w:val="0"/>
          <w:marRight w:val="0"/>
          <w:marTop w:val="0"/>
          <w:marBottom w:val="0"/>
          <w:divBdr>
            <w:top w:val="none" w:sz="0" w:space="0" w:color="auto"/>
            <w:left w:val="none" w:sz="0" w:space="0" w:color="auto"/>
            <w:bottom w:val="none" w:sz="0" w:space="0" w:color="auto"/>
            <w:right w:val="none" w:sz="0" w:space="0" w:color="auto"/>
          </w:divBdr>
        </w:div>
        <w:div w:id="1215510790">
          <w:marLeft w:val="0"/>
          <w:marRight w:val="0"/>
          <w:marTop w:val="0"/>
          <w:marBottom w:val="0"/>
          <w:divBdr>
            <w:top w:val="none" w:sz="0" w:space="0" w:color="auto"/>
            <w:left w:val="none" w:sz="0" w:space="0" w:color="auto"/>
            <w:bottom w:val="none" w:sz="0" w:space="0" w:color="auto"/>
            <w:right w:val="none" w:sz="0" w:space="0" w:color="auto"/>
          </w:divBdr>
        </w:div>
        <w:div w:id="973408960">
          <w:marLeft w:val="0"/>
          <w:marRight w:val="0"/>
          <w:marTop w:val="0"/>
          <w:marBottom w:val="0"/>
          <w:divBdr>
            <w:top w:val="none" w:sz="0" w:space="0" w:color="auto"/>
            <w:left w:val="none" w:sz="0" w:space="0" w:color="auto"/>
            <w:bottom w:val="none" w:sz="0" w:space="0" w:color="auto"/>
            <w:right w:val="none" w:sz="0" w:space="0" w:color="auto"/>
          </w:divBdr>
        </w:div>
        <w:div w:id="595408">
          <w:marLeft w:val="0"/>
          <w:marRight w:val="0"/>
          <w:marTop w:val="0"/>
          <w:marBottom w:val="0"/>
          <w:divBdr>
            <w:top w:val="none" w:sz="0" w:space="0" w:color="auto"/>
            <w:left w:val="none" w:sz="0" w:space="0" w:color="auto"/>
            <w:bottom w:val="none" w:sz="0" w:space="0" w:color="auto"/>
            <w:right w:val="none" w:sz="0" w:space="0" w:color="auto"/>
          </w:divBdr>
        </w:div>
        <w:div w:id="1568223630">
          <w:marLeft w:val="0"/>
          <w:marRight w:val="0"/>
          <w:marTop w:val="0"/>
          <w:marBottom w:val="0"/>
          <w:divBdr>
            <w:top w:val="none" w:sz="0" w:space="0" w:color="auto"/>
            <w:left w:val="none" w:sz="0" w:space="0" w:color="auto"/>
            <w:bottom w:val="none" w:sz="0" w:space="0" w:color="auto"/>
            <w:right w:val="none" w:sz="0" w:space="0" w:color="auto"/>
          </w:divBdr>
        </w:div>
        <w:div w:id="648485255">
          <w:marLeft w:val="0"/>
          <w:marRight w:val="0"/>
          <w:marTop w:val="0"/>
          <w:marBottom w:val="0"/>
          <w:divBdr>
            <w:top w:val="none" w:sz="0" w:space="0" w:color="auto"/>
            <w:left w:val="none" w:sz="0" w:space="0" w:color="auto"/>
            <w:bottom w:val="none" w:sz="0" w:space="0" w:color="auto"/>
            <w:right w:val="none" w:sz="0" w:space="0" w:color="auto"/>
          </w:divBdr>
        </w:div>
        <w:div w:id="1810245197">
          <w:marLeft w:val="0"/>
          <w:marRight w:val="0"/>
          <w:marTop w:val="0"/>
          <w:marBottom w:val="0"/>
          <w:divBdr>
            <w:top w:val="none" w:sz="0" w:space="0" w:color="auto"/>
            <w:left w:val="none" w:sz="0" w:space="0" w:color="auto"/>
            <w:bottom w:val="none" w:sz="0" w:space="0" w:color="auto"/>
            <w:right w:val="none" w:sz="0" w:space="0" w:color="auto"/>
          </w:divBdr>
        </w:div>
        <w:div w:id="1889216677">
          <w:marLeft w:val="0"/>
          <w:marRight w:val="0"/>
          <w:marTop w:val="0"/>
          <w:marBottom w:val="0"/>
          <w:divBdr>
            <w:top w:val="none" w:sz="0" w:space="0" w:color="auto"/>
            <w:left w:val="none" w:sz="0" w:space="0" w:color="auto"/>
            <w:bottom w:val="none" w:sz="0" w:space="0" w:color="auto"/>
            <w:right w:val="none" w:sz="0" w:space="0" w:color="auto"/>
          </w:divBdr>
        </w:div>
        <w:div w:id="1184593503">
          <w:marLeft w:val="0"/>
          <w:marRight w:val="0"/>
          <w:marTop w:val="0"/>
          <w:marBottom w:val="0"/>
          <w:divBdr>
            <w:top w:val="none" w:sz="0" w:space="0" w:color="auto"/>
            <w:left w:val="none" w:sz="0" w:space="0" w:color="auto"/>
            <w:bottom w:val="none" w:sz="0" w:space="0" w:color="auto"/>
            <w:right w:val="none" w:sz="0" w:space="0" w:color="auto"/>
          </w:divBdr>
        </w:div>
        <w:div w:id="1218396492">
          <w:marLeft w:val="0"/>
          <w:marRight w:val="0"/>
          <w:marTop w:val="0"/>
          <w:marBottom w:val="0"/>
          <w:divBdr>
            <w:top w:val="none" w:sz="0" w:space="0" w:color="auto"/>
            <w:left w:val="none" w:sz="0" w:space="0" w:color="auto"/>
            <w:bottom w:val="none" w:sz="0" w:space="0" w:color="auto"/>
            <w:right w:val="none" w:sz="0" w:space="0" w:color="auto"/>
          </w:divBdr>
        </w:div>
        <w:div w:id="348605956">
          <w:marLeft w:val="0"/>
          <w:marRight w:val="0"/>
          <w:marTop w:val="0"/>
          <w:marBottom w:val="0"/>
          <w:divBdr>
            <w:top w:val="none" w:sz="0" w:space="0" w:color="auto"/>
            <w:left w:val="none" w:sz="0" w:space="0" w:color="auto"/>
            <w:bottom w:val="none" w:sz="0" w:space="0" w:color="auto"/>
            <w:right w:val="none" w:sz="0" w:space="0" w:color="auto"/>
          </w:divBdr>
        </w:div>
        <w:div w:id="112943432">
          <w:marLeft w:val="0"/>
          <w:marRight w:val="0"/>
          <w:marTop w:val="0"/>
          <w:marBottom w:val="0"/>
          <w:divBdr>
            <w:top w:val="none" w:sz="0" w:space="0" w:color="auto"/>
            <w:left w:val="none" w:sz="0" w:space="0" w:color="auto"/>
            <w:bottom w:val="none" w:sz="0" w:space="0" w:color="auto"/>
            <w:right w:val="none" w:sz="0" w:space="0" w:color="auto"/>
          </w:divBdr>
        </w:div>
        <w:div w:id="719402936">
          <w:marLeft w:val="0"/>
          <w:marRight w:val="0"/>
          <w:marTop w:val="0"/>
          <w:marBottom w:val="0"/>
          <w:divBdr>
            <w:top w:val="none" w:sz="0" w:space="0" w:color="auto"/>
            <w:left w:val="none" w:sz="0" w:space="0" w:color="auto"/>
            <w:bottom w:val="none" w:sz="0" w:space="0" w:color="auto"/>
            <w:right w:val="none" w:sz="0" w:space="0" w:color="auto"/>
          </w:divBdr>
        </w:div>
        <w:div w:id="819149127">
          <w:marLeft w:val="0"/>
          <w:marRight w:val="0"/>
          <w:marTop w:val="0"/>
          <w:marBottom w:val="0"/>
          <w:divBdr>
            <w:top w:val="none" w:sz="0" w:space="0" w:color="auto"/>
            <w:left w:val="none" w:sz="0" w:space="0" w:color="auto"/>
            <w:bottom w:val="none" w:sz="0" w:space="0" w:color="auto"/>
            <w:right w:val="none" w:sz="0" w:space="0" w:color="auto"/>
          </w:divBdr>
        </w:div>
        <w:div w:id="1793357507">
          <w:marLeft w:val="0"/>
          <w:marRight w:val="0"/>
          <w:marTop w:val="0"/>
          <w:marBottom w:val="0"/>
          <w:divBdr>
            <w:top w:val="none" w:sz="0" w:space="0" w:color="auto"/>
            <w:left w:val="none" w:sz="0" w:space="0" w:color="auto"/>
            <w:bottom w:val="none" w:sz="0" w:space="0" w:color="auto"/>
            <w:right w:val="none" w:sz="0" w:space="0" w:color="auto"/>
          </w:divBdr>
        </w:div>
        <w:div w:id="1390303493">
          <w:marLeft w:val="0"/>
          <w:marRight w:val="0"/>
          <w:marTop w:val="0"/>
          <w:marBottom w:val="0"/>
          <w:divBdr>
            <w:top w:val="none" w:sz="0" w:space="0" w:color="auto"/>
            <w:left w:val="none" w:sz="0" w:space="0" w:color="auto"/>
            <w:bottom w:val="none" w:sz="0" w:space="0" w:color="auto"/>
            <w:right w:val="none" w:sz="0" w:space="0" w:color="auto"/>
          </w:divBdr>
        </w:div>
        <w:div w:id="1209536060">
          <w:marLeft w:val="0"/>
          <w:marRight w:val="0"/>
          <w:marTop w:val="0"/>
          <w:marBottom w:val="0"/>
          <w:divBdr>
            <w:top w:val="none" w:sz="0" w:space="0" w:color="auto"/>
            <w:left w:val="none" w:sz="0" w:space="0" w:color="auto"/>
            <w:bottom w:val="none" w:sz="0" w:space="0" w:color="auto"/>
            <w:right w:val="none" w:sz="0" w:space="0" w:color="auto"/>
          </w:divBdr>
        </w:div>
        <w:div w:id="685834514">
          <w:marLeft w:val="0"/>
          <w:marRight w:val="0"/>
          <w:marTop w:val="0"/>
          <w:marBottom w:val="0"/>
          <w:divBdr>
            <w:top w:val="none" w:sz="0" w:space="0" w:color="auto"/>
            <w:left w:val="none" w:sz="0" w:space="0" w:color="auto"/>
            <w:bottom w:val="none" w:sz="0" w:space="0" w:color="auto"/>
            <w:right w:val="none" w:sz="0" w:space="0" w:color="auto"/>
          </w:divBdr>
        </w:div>
        <w:div w:id="126628253">
          <w:marLeft w:val="0"/>
          <w:marRight w:val="0"/>
          <w:marTop w:val="0"/>
          <w:marBottom w:val="0"/>
          <w:divBdr>
            <w:top w:val="none" w:sz="0" w:space="0" w:color="auto"/>
            <w:left w:val="none" w:sz="0" w:space="0" w:color="auto"/>
            <w:bottom w:val="none" w:sz="0" w:space="0" w:color="auto"/>
            <w:right w:val="none" w:sz="0" w:space="0" w:color="auto"/>
          </w:divBdr>
        </w:div>
        <w:div w:id="1471361901">
          <w:marLeft w:val="0"/>
          <w:marRight w:val="0"/>
          <w:marTop w:val="0"/>
          <w:marBottom w:val="0"/>
          <w:divBdr>
            <w:top w:val="none" w:sz="0" w:space="0" w:color="auto"/>
            <w:left w:val="none" w:sz="0" w:space="0" w:color="auto"/>
            <w:bottom w:val="none" w:sz="0" w:space="0" w:color="auto"/>
            <w:right w:val="none" w:sz="0" w:space="0" w:color="auto"/>
          </w:divBdr>
        </w:div>
        <w:div w:id="1961648428">
          <w:marLeft w:val="0"/>
          <w:marRight w:val="0"/>
          <w:marTop w:val="0"/>
          <w:marBottom w:val="0"/>
          <w:divBdr>
            <w:top w:val="none" w:sz="0" w:space="0" w:color="auto"/>
            <w:left w:val="none" w:sz="0" w:space="0" w:color="auto"/>
            <w:bottom w:val="none" w:sz="0" w:space="0" w:color="auto"/>
            <w:right w:val="none" w:sz="0" w:space="0" w:color="auto"/>
          </w:divBdr>
        </w:div>
        <w:div w:id="154154787">
          <w:marLeft w:val="0"/>
          <w:marRight w:val="0"/>
          <w:marTop w:val="0"/>
          <w:marBottom w:val="0"/>
          <w:divBdr>
            <w:top w:val="none" w:sz="0" w:space="0" w:color="auto"/>
            <w:left w:val="none" w:sz="0" w:space="0" w:color="auto"/>
            <w:bottom w:val="none" w:sz="0" w:space="0" w:color="auto"/>
            <w:right w:val="none" w:sz="0" w:space="0" w:color="auto"/>
          </w:divBdr>
        </w:div>
        <w:div w:id="1573395842">
          <w:marLeft w:val="0"/>
          <w:marRight w:val="0"/>
          <w:marTop w:val="0"/>
          <w:marBottom w:val="0"/>
          <w:divBdr>
            <w:top w:val="none" w:sz="0" w:space="0" w:color="auto"/>
            <w:left w:val="none" w:sz="0" w:space="0" w:color="auto"/>
            <w:bottom w:val="none" w:sz="0" w:space="0" w:color="auto"/>
            <w:right w:val="none" w:sz="0" w:space="0" w:color="auto"/>
          </w:divBdr>
        </w:div>
        <w:div w:id="428354738">
          <w:marLeft w:val="0"/>
          <w:marRight w:val="0"/>
          <w:marTop w:val="0"/>
          <w:marBottom w:val="0"/>
          <w:divBdr>
            <w:top w:val="none" w:sz="0" w:space="0" w:color="auto"/>
            <w:left w:val="none" w:sz="0" w:space="0" w:color="auto"/>
            <w:bottom w:val="none" w:sz="0" w:space="0" w:color="auto"/>
            <w:right w:val="none" w:sz="0" w:space="0" w:color="auto"/>
          </w:divBdr>
        </w:div>
        <w:div w:id="1024400711">
          <w:marLeft w:val="0"/>
          <w:marRight w:val="0"/>
          <w:marTop w:val="0"/>
          <w:marBottom w:val="0"/>
          <w:divBdr>
            <w:top w:val="none" w:sz="0" w:space="0" w:color="auto"/>
            <w:left w:val="none" w:sz="0" w:space="0" w:color="auto"/>
            <w:bottom w:val="none" w:sz="0" w:space="0" w:color="auto"/>
            <w:right w:val="none" w:sz="0" w:space="0" w:color="auto"/>
          </w:divBdr>
        </w:div>
        <w:div w:id="1076051916">
          <w:marLeft w:val="0"/>
          <w:marRight w:val="0"/>
          <w:marTop w:val="0"/>
          <w:marBottom w:val="0"/>
          <w:divBdr>
            <w:top w:val="none" w:sz="0" w:space="0" w:color="auto"/>
            <w:left w:val="none" w:sz="0" w:space="0" w:color="auto"/>
            <w:bottom w:val="none" w:sz="0" w:space="0" w:color="auto"/>
            <w:right w:val="none" w:sz="0" w:space="0" w:color="auto"/>
          </w:divBdr>
        </w:div>
        <w:div w:id="458107775">
          <w:marLeft w:val="0"/>
          <w:marRight w:val="0"/>
          <w:marTop w:val="0"/>
          <w:marBottom w:val="0"/>
          <w:divBdr>
            <w:top w:val="none" w:sz="0" w:space="0" w:color="auto"/>
            <w:left w:val="none" w:sz="0" w:space="0" w:color="auto"/>
            <w:bottom w:val="none" w:sz="0" w:space="0" w:color="auto"/>
            <w:right w:val="none" w:sz="0" w:space="0" w:color="auto"/>
          </w:divBdr>
        </w:div>
        <w:div w:id="1321739677">
          <w:marLeft w:val="0"/>
          <w:marRight w:val="0"/>
          <w:marTop w:val="0"/>
          <w:marBottom w:val="0"/>
          <w:divBdr>
            <w:top w:val="none" w:sz="0" w:space="0" w:color="auto"/>
            <w:left w:val="none" w:sz="0" w:space="0" w:color="auto"/>
            <w:bottom w:val="none" w:sz="0" w:space="0" w:color="auto"/>
            <w:right w:val="none" w:sz="0" w:space="0" w:color="auto"/>
          </w:divBdr>
        </w:div>
        <w:div w:id="197158814">
          <w:marLeft w:val="0"/>
          <w:marRight w:val="0"/>
          <w:marTop w:val="0"/>
          <w:marBottom w:val="0"/>
          <w:divBdr>
            <w:top w:val="none" w:sz="0" w:space="0" w:color="auto"/>
            <w:left w:val="none" w:sz="0" w:space="0" w:color="auto"/>
            <w:bottom w:val="none" w:sz="0" w:space="0" w:color="auto"/>
            <w:right w:val="none" w:sz="0" w:space="0" w:color="auto"/>
          </w:divBdr>
        </w:div>
        <w:div w:id="818380681">
          <w:marLeft w:val="0"/>
          <w:marRight w:val="0"/>
          <w:marTop w:val="0"/>
          <w:marBottom w:val="0"/>
          <w:divBdr>
            <w:top w:val="none" w:sz="0" w:space="0" w:color="auto"/>
            <w:left w:val="none" w:sz="0" w:space="0" w:color="auto"/>
            <w:bottom w:val="none" w:sz="0" w:space="0" w:color="auto"/>
            <w:right w:val="none" w:sz="0" w:space="0" w:color="auto"/>
          </w:divBdr>
        </w:div>
        <w:div w:id="1593051669">
          <w:marLeft w:val="0"/>
          <w:marRight w:val="0"/>
          <w:marTop w:val="0"/>
          <w:marBottom w:val="0"/>
          <w:divBdr>
            <w:top w:val="none" w:sz="0" w:space="0" w:color="auto"/>
            <w:left w:val="none" w:sz="0" w:space="0" w:color="auto"/>
            <w:bottom w:val="none" w:sz="0" w:space="0" w:color="auto"/>
            <w:right w:val="none" w:sz="0" w:space="0" w:color="auto"/>
          </w:divBdr>
        </w:div>
        <w:div w:id="1508977616">
          <w:marLeft w:val="0"/>
          <w:marRight w:val="0"/>
          <w:marTop w:val="0"/>
          <w:marBottom w:val="0"/>
          <w:divBdr>
            <w:top w:val="none" w:sz="0" w:space="0" w:color="auto"/>
            <w:left w:val="none" w:sz="0" w:space="0" w:color="auto"/>
            <w:bottom w:val="none" w:sz="0" w:space="0" w:color="auto"/>
            <w:right w:val="none" w:sz="0" w:space="0" w:color="auto"/>
          </w:divBdr>
        </w:div>
        <w:div w:id="1820687655">
          <w:marLeft w:val="0"/>
          <w:marRight w:val="0"/>
          <w:marTop w:val="0"/>
          <w:marBottom w:val="0"/>
          <w:divBdr>
            <w:top w:val="none" w:sz="0" w:space="0" w:color="auto"/>
            <w:left w:val="none" w:sz="0" w:space="0" w:color="auto"/>
            <w:bottom w:val="none" w:sz="0" w:space="0" w:color="auto"/>
            <w:right w:val="none" w:sz="0" w:space="0" w:color="auto"/>
          </w:divBdr>
        </w:div>
        <w:div w:id="1655449350">
          <w:marLeft w:val="0"/>
          <w:marRight w:val="0"/>
          <w:marTop w:val="0"/>
          <w:marBottom w:val="0"/>
          <w:divBdr>
            <w:top w:val="none" w:sz="0" w:space="0" w:color="auto"/>
            <w:left w:val="none" w:sz="0" w:space="0" w:color="auto"/>
            <w:bottom w:val="none" w:sz="0" w:space="0" w:color="auto"/>
            <w:right w:val="none" w:sz="0" w:space="0" w:color="auto"/>
          </w:divBdr>
        </w:div>
        <w:div w:id="460419223">
          <w:marLeft w:val="0"/>
          <w:marRight w:val="0"/>
          <w:marTop w:val="0"/>
          <w:marBottom w:val="0"/>
          <w:divBdr>
            <w:top w:val="none" w:sz="0" w:space="0" w:color="auto"/>
            <w:left w:val="none" w:sz="0" w:space="0" w:color="auto"/>
            <w:bottom w:val="none" w:sz="0" w:space="0" w:color="auto"/>
            <w:right w:val="none" w:sz="0" w:space="0" w:color="auto"/>
          </w:divBdr>
        </w:div>
        <w:div w:id="1976983035">
          <w:marLeft w:val="0"/>
          <w:marRight w:val="0"/>
          <w:marTop w:val="0"/>
          <w:marBottom w:val="0"/>
          <w:divBdr>
            <w:top w:val="none" w:sz="0" w:space="0" w:color="auto"/>
            <w:left w:val="none" w:sz="0" w:space="0" w:color="auto"/>
            <w:bottom w:val="none" w:sz="0" w:space="0" w:color="auto"/>
            <w:right w:val="none" w:sz="0" w:space="0" w:color="auto"/>
          </w:divBdr>
        </w:div>
        <w:div w:id="78870602">
          <w:marLeft w:val="0"/>
          <w:marRight w:val="0"/>
          <w:marTop w:val="0"/>
          <w:marBottom w:val="0"/>
          <w:divBdr>
            <w:top w:val="none" w:sz="0" w:space="0" w:color="auto"/>
            <w:left w:val="none" w:sz="0" w:space="0" w:color="auto"/>
            <w:bottom w:val="none" w:sz="0" w:space="0" w:color="auto"/>
            <w:right w:val="none" w:sz="0" w:space="0" w:color="auto"/>
          </w:divBdr>
        </w:div>
        <w:div w:id="1340548088">
          <w:marLeft w:val="0"/>
          <w:marRight w:val="0"/>
          <w:marTop w:val="0"/>
          <w:marBottom w:val="0"/>
          <w:divBdr>
            <w:top w:val="none" w:sz="0" w:space="0" w:color="auto"/>
            <w:left w:val="none" w:sz="0" w:space="0" w:color="auto"/>
            <w:bottom w:val="none" w:sz="0" w:space="0" w:color="auto"/>
            <w:right w:val="none" w:sz="0" w:space="0" w:color="auto"/>
          </w:divBdr>
        </w:div>
        <w:div w:id="2097435982">
          <w:marLeft w:val="0"/>
          <w:marRight w:val="0"/>
          <w:marTop w:val="0"/>
          <w:marBottom w:val="0"/>
          <w:divBdr>
            <w:top w:val="none" w:sz="0" w:space="0" w:color="auto"/>
            <w:left w:val="none" w:sz="0" w:space="0" w:color="auto"/>
            <w:bottom w:val="none" w:sz="0" w:space="0" w:color="auto"/>
            <w:right w:val="none" w:sz="0" w:space="0" w:color="auto"/>
          </w:divBdr>
        </w:div>
        <w:div w:id="1118142375">
          <w:marLeft w:val="0"/>
          <w:marRight w:val="0"/>
          <w:marTop w:val="0"/>
          <w:marBottom w:val="0"/>
          <w:divBdr>
            <w:top w:val="none" w:sz="0" w:space="0" w:color="auto"/>
            <w:left w:val="none" w:sz="0" w:space="0" w:color="auto"/>
            <w:bottom w:val="none" w:sz="0" w:space="0" w:color="auto"/>
            <w:right w:val="none" w:sz="0" w:space="0" w:color="auto"/>
          </w:divBdr>
        </w:div>
        <w:div w:id="1604802221">
          <w:marLeft w:val="0"/>
          <w:marRight w:val="0"/>
          <w:marTop w:val="0"/>
          <w:marBottom w:val="0"/>
          <w:divBdr>
            <w:top w:val="none" w:sz="0" w:space="0" w:color="auto"/>
            <w:left w:val="none" w:sz="0" w:space="0" w:color="auto"/>
            <w:bottom w:val="none" w:sz="0" w:space="0" w:color="auto"/>
            <w:right w:val="none" w:sz="0" w:space="0" w:color="auto"/>
          </w:divBdr>
        </w:div>
        <w:div w:id="1415785702">
          <w:marLeft w:val="0"/>
          <w:marRight w:val="0"/>
          <w:marTop w:val="0"/>
          <w:marBottom w:val="0"/>
          <w:divBdr>
            <w:top w:val="none" w:sz="0" w:space="0" w:color="auto"/>
            <w:left w:val="none" w:sz="0" w:space="0" w:color="auto"/>
            <w:bottom w:val="none" w:sz="0" w:space="0" w:color="auto"/>
            <w:right w:val="none" w:sz="0" w:space="0" w:color="auto"/>
          </w:divBdr>
        </w:div>
        <w:div w:id="410397533">
          <w:marLeft w:val="0"/>
          <w:marRight w:val="0"/>
          <w:marTop w:val="0"/>
          <w:marBottom w:val="0"/>
          <w:divBdr>
            <w:top w:val="none" w:sz="0" w:space="0" w:color="auto"/>
            <w:left w:val="none" w:sz="0" w:space="0" w:color="auto"/>
            <w:bottom w:val="none" w:sz="0" w:space="0" w:color="auto"/>
            <w:right w:val="none" w:sz="0" w:space="0" w:color="auto"/>
          </w:divBdr>
        </w:div>
        <w:div w:id="500437756">
          <w:marLeft w:val="0"/>
          <w:marRight w:val="0"/>
          <w:marTop w:val="0"/>
          <w:marBottom w:val="0"/>
          <w:divBdr>
            <w:top w:val="none" w:sz="0" w:space="0" w:color="auto"/>
            <w:left w:val="none" w:sz="0" w:space="0" w:color="auto"/>
            <w:bottom w:val="none" w:sz="0" w:space="0" w:color="auto"/>
            <w:right w:val="none" w:sz="0" w:space="0" w:color="auto"/>
          </w:divBdr>
        </w:div>
        <w:div w:id="259221430">
          <w:marLeft w:val="0"/>
          <w:marRight w:val="0"/>
          <w:marTop w:val="0"/>
          <w:marBottom w:val="0"/>
          <w:divBdr>
            <w:top w:val="none" w:sz="0" w:space="0" w:color="auto"/>
            <w:left w:val="none" w:sz="0" w:space="0" w:color="auto"/>
            <w:bottom w:val="none" w:sz="0" w:space="0" w:color="auto"/>
            <w:right w:val="none" w:sz="0" w:space="0" w:color="auto"/>
          </w:divBdr>
        </w:div>
        <w:div w:id="1682243882">
          <w:marLeft w:val="0"/>
          <w:marRight w:val="0"/>
          <w:marTop w:val="0"/>
          <w:marBottom w:val="0"/>
          <w:divBdr>
            <w:top w:val="none" w:sz="0" w:space="0" w:color="auto"/>
            <w:left w:val="none" w:sz="0" w:space="0" w:color="auto"/>
            <w:bottom w:val="none" w:sz="0" w:space="0" w:color="auto"/>
            <w:right w:val="none" w:sz="0" w:space="0" w:color="auto"/>
          </w:divBdr>
        </w:div>
        <w:div w:id="849413601">
          <w:marLeft w:val="0"/>
          <w:marRight w:val="0"/>
          <w:marTop w:val="0"/>
          <w:marBottom w:val="0"/>
          <w:divBdr>
            <w:top w:val="none" w:sz="0" w:space="0" w:color="auto"/>
            <w:left w:val="none" w:sz="0" w:space="0" w:color="auto"/>
            <w:bottom w:val="none" w:sz="0" w:space="0" w:color="auto"/>
            <w:right w:val="none" w:sz="0" w:space="0" w:color="auto"/>
          </w:divBdr>
        </w:div>
        <w:div w:id="541135519">
          <w:marLeft w:val="0"/>
          <w:marRight w:val="0"/>
          <w:marTop w:val="0"/>
          <w:marBottom w:val="0"/>
          <w:divBdr>
            <w:top w:val="none" w:sz="0" w:space="0" w:color="auto"/>
            <w:left w:val="none" w:sz="0" w:space="0" w:color="auto"/>
            <w:bottom w:val="none" w:sz="0" w:space="0" w:color="auto"/>
            <w:right w:val="none" w:sz="0" w:space="0" w:color="auto"/>
          </w:divBdr>
        </w:div>
        <w:div w:id="1565674615">
          <w:marLeft w:val="0"/>
          <w:marRight w:val="0"/>
          <w:marTop w:val="0"/>
          <w:marBottom w:val="0"/>
          <w:divBdr>
            <w:top w:val="none" w:sz="0" w:space="0" w:color="auto"/>
            <w:left w:val="none" w:sz="0" w:space="0" w:color="auto"/>
            <w:bottom w:val="none" w:sz="0" w:space="0" w:color="auto"/>
            <w:right w:val="none" w:sz="0" w:space="0" w:color="auto"/>
          </w:divBdr>
        </w:div>
        <w:div w:id="111171177">
          <w:marLeft w:val="0"/>
          <w:marRight w:val="0"/>
          <w:marTop w:val="0"/>
          <w:marBottom w:val="0"/>
          <w:divBdr>
            <w:top w:val="none" w:sz="0" w:space="0" w:color="auto"/>
            <w:left w:val="none" w:sz="0" w:space="0" w:color="auto"/>
            <w:bottom w:val="none" w:sz="0" w:space="0" w:color="auto"/>
            <w:right w:val="none" w:sz="0" w:space="0" w:color="auto"/>
          </w:divBdr>
        </w:div>
        <w:div w:id="267860468">
          <w:marLeft w:val="0"/>
          <w:marRight w:val="0"/>
          <w:marTop w:val="0"/>
          <w:marBottom w:val="0"/>
          <w:divBdr>
            <w:top w:val="none" w:sz="0" w:space="0" w:color="auto"/>
            <w:left w:val="none" w:sz="0" w:space="0" w:color="auto"/>
            <w:bottom w:val="none" w:sz="0" w:space="0" w:color="auto"/>
            <w:right w:val="none" w:sz="0" w:space="0" w:color="auto"/>
          </w:divBdr>
        </w:div>
        <w:div w:id="1325010727">
          <w:marLeft w:val="0"/>
          <w:marRight w:val="0"/>
          <w:marTop w:val="0"/>
          <w:marBottom w:val="0"/>
          <w:divBdr>
            <w:top w:val="none" w:sz="0" w:space="0" w:color="auto"/>
            <w:left w:val="none" w:sz="0" w:space="0" w:color="auto"/>
            <w:bottom w:val="none" w:sz="0" w:space="0" w:color="auto"/>
            <w:right w:val="none" w:sz="0" w:space="0" w:color="auto"/>
          </w:divBdr>
        </w:div>
        <w:div w:id="1463499438">
          <w:marLeft w:val="0"/>
          <w:marRight w:val="0"/>
          <w:marTop w:val="0"/>
          <w:marBottom w:val="0"/>
          <w:divBdr>
            <w:top w:val="none" w:sz="0" w:space="0" w:color="auto"/>
            <w:left w:val="none" w:sz="0" w:space="0" w:color="auto"/>
            <w:bottom w:val="none" w:sz="0" w:space="0" w:color="auto"/>
            <w:right w:val="none" w:sz="0" w:space="0" w:color="auto"/>
          </w:divBdr>
        </w:div>
        <w:div w:id="1302349709">
          <w:marLeft w:val="0"/>
          <w:marRight w:val="0"/>
          <w:marTop w:val="0"/>
          <w:marBottom w:val="0"/>
          <w:divBdr>
            <w:top w:val="none" w:sz="0" w:space="0" w:color="auto"/>
            <w:left w:val="none" w:sz="0" w:space="0" w:color="auto"/>
            <w:bottom w:val="none" w:sz="0" w:space="0" w:color="auto"/>
            <w:right w:val="none" w:sz="0" w:space="0" w:color="auto"/>
          </w:divBdr>
        </w:div>
        <w:div w:id="299965254">
          <w:marLeft w:val="0"/>
          <w:marRight w:val="0"/>
          <w:marTop w:val="0"/>
          <w:marBottom w:val="0"/>
          <w:divBdr>
            <w:top w:val="none" w:sz="0" w:space="0" w:color="auto"/>
            <w:left w:val="none" w:sz="0" w:space="0" w:color="auto"/>
            <w:bottom w:val="none" w:sz="0" w:space="0" w:color="auto"/>
            <w:right w:val="none" w:sz="0" w:space="0" w:color="auto"/>
          </w:divBdr>
        </w:div>
        <w:div w:id="1687173305">
          <w:marLeft w:val="0"/>
          <w:marRight w:val="0"/>
          <w:marTop w:val="0"/>
          <w:marBottom w:val="0"/>
          <w:divBdr>
            <w:top w:val="none" w:sz="0" w:space="0" w:color="auto"/>
            <w:left w:val="none" w:sz="0" w:space="0" w:color="auto"/>
            <w:bottom w:val="none" w:sz="0" w:space="0" w:color="auto"/>
            <w:right w:val="none" w:sz="0" w:space="0" w:color="auto"/>
          </w:divBdr>
        </w:div>
        <w:div w:id="681786757">
          <w:marLeft w:val="0"/>
          <w:marRight w:val="0"/>
          <w:marTop w:val="0"/>
          <w:marBottom w:val="0"/>
          <w:divBdr>
            <w:top w:val="none" w:sz="0" w:space="0" w:color="auto"/>
            <w:left w:val="none" w:sz="0" w:space="0" w:color="auto"/>
            <w:bottom w:val="none" w:sz="0" w:space="0" w:color="auto"/>
            <w:right w:val="none" w:sz="0" w:space="0" w:color="auto"/>
          </w:divBdr>
        </w:div>
        <w:div w:id="651640063">
          <w:marLeft w:val="0"/>
          <w:marRight w:val="0"/>
          <w:marTop w:val="0"/>
          <w:marBottom w:val="0"/>
          <w:divBdr>
            <w:top w:val="none" w:sz="0" w:space="0" w:color="auto"/>
            <w:left w:val="none" w:sz="0" w:space="0" w:color="auto"/>
            <w:bottom w:val="none" w:sz="0" w:space="0" w:color="auto"/>
            <w:right w:val="none" w:sz="0" w:space="0" w:color="auto"/>
          </w:divBdr>
        </w:div>
        <w:div w:id="271212208">
          <w:marLeft w:val="0"/>
          <w:marRight w:val="0"/>
          <w:marTop w:val="0"/>
          <w:marBottom w:val="0"/>
          <w:divBdr>
            <w:top w:val="none" w:sz="0" w:space="0" w:color="auto"/>
            <w:left w:val="none" w:sz="0" w:space="0" w:color="auto"/>
            <w:bottom w:val="none" w:sz="0" w:space="0" w:color="auto"/>
            <w:right w:val="none" w:sz="0" w:space="0" w:color="auto"/>
          </w:divBdr>
        </w:div>
        <w:div w:id="435641508">
          <w:marLeft w:val="0"/>
          <w:marRight w:val="0"/>
          <w:marTop w:val="0"/>
          <w:marBottom w:val="0"/>
          <w:divBdr>
            <w:top w:val="none" w:sz="0" w:space="0" w:color="auto"/>
            <w:left w:val="none" w:sz="0" w:space="0" w:color="auto"/>
            <w:bottom w:val="none" w:sz="0" w:space="0" w:color="auto"/>
            <w:right w:val="none" w:sz="0" w:space="0" w:color="auto"/>
          </w:divBdr>
        </w:div>
        <w:div w:id="761560602">
          <w:marLeft w:val="0"/>
          <w:marRight w:val="0"/>
          <w:marTop w:val="0"/>
          <w:marBottom w:val="0"/>
          <w:divBdr>
            <w:top w:val="none" w:sz="0" w:space="0" w:color="auto"/>
            <w:left w:val="none" w:sz="0" w:space="0" w:color="auto"/>
            <w:bottom w:val="none" w:sz="0" w:space="0" w:color="auto"/>
            <w:right w:val="none" w:sz="0" w:space="0" w:color="auto"/>
          </w:divBdr>
        </w:div>
        <w:div w:id="1288854454">
          <w:marLeft w:val="0"/>
          <w:marRight w:val="0"/>
          <w:marTop w:val="0"/>
          <w:marBottom w:val="0"/>
          <w:divBdr>
            <w:top w:val="none" w:sz="0" w:space="0" w:color="auto"/>
            <w:left w:val="none" w:sz="0" w:space="0" w:color="auto"/>
            <w:bottom w:val="none" w:sz="0" w:space="0" w:color="auto"/>
            <w:right w:val="none" w:sz="0" w:space="0" w:color="auto"/>
          </w:divBdr>
        </w:div>
        <w:div w:id="1949434934">
          <w:marLeft w:val="0"/>
          <w:marRight w:val="0"/>
          <w:marTop w:val="0"/>
          <w:marBottom w:val="0"/>
          <w:divBdr>
            <w:top w:val="none" w:sz="0" w:space="0" w:color="auto"/>
            <w:left w:val="none" w:sz="0" w:space="0" w:color="auto"/>
            <w:bottom w:val="none" w:sz="0" w:space="0" w:color="auto"/>
            <w:right w:val="none" w:sz="0" w:space="0" w:color="auto"/>
          </w:divBdr>
        </w:div>
        <w:div w:id="354379907">
          <w:marLeft w:val="0"/>
          <w:marRight w:val="0"/>
          <w:marTop w:val="0"/>
          <w:marBottom w:val="0"/>
          <w:divBdr>
            <w:top w:val="none" w:sz="0" w:space="0" w:color="auto"/>
            <w:left w:val="none" w:sz="0" w:space="0" w:color="auto"/>
            <w:bottom w:val="none" w:sz="0" w:space="0" w:color="auto"/>
            <w:right w:val="none" w:sz="0" w:space="0" w:color="auto"/>
          </w:divBdr>
        </w:div>
        <w:div w:id="534729416">
          <w:marLeft w:val="0"/>
          <w:marRight w:val="0"/>
          <w:marTop w:val="0"/>
          <w:marBottom w:val="0"/>
          <w:divBdr>
            <w:top w:val="none" w:sz="0" w:space="0" w:color="auto"/>
            <w:left w:val="none" w:sz="0" w:space="0" w:color="auto"/>
            <w:bottom w:val="none" w:sz="0" w:space="0" w:color="auto"/>
            <w:right w:val="none" w:sz="0" w:space="0" w:color="auto"/>
          </w:divBdr>
        </w:div>
        <w:div w:id="1740863687">
          <w:marLeft w:val="0"/>
          <w:marRight w:val="0"/>
          <w:marTop w:val="0"/>
          <w:marBottom w:val="0"/>
          <w:divBdr>
            <w:top w:val="none" w:sz="0" w:space="0" w:color="auto"/>
            <w:left w:val="none" w:sz="0" w:space="0" w:color="auto"/>
            <w:bottom w:val="none" w:sz="0" w:space="0" w:color="auto"/>
            <w:right w:val="none" w:sz="0" w:space="0" w:color="auto"/>
          </w:divBdr>
        </w:div>
        <w:div w:id="119613115">
          <w:marLeft w:val="0"/>
          <w:marRight w:val="0"/>
          <w:marTop w:val="0"/>
          <w:marBottom w:val="0"/>
          <w:divBdr>
            <w:top w:val="none" w:sz="0" w:space="0" w:color="auto"/>
            <w:left w:val="none" w:sz="0" w:space="0" w:color="auto"/>
            <w:bottom w:val="none" w:sz="0" w:space="0" w:color="auto"/>
            <w:right w:val="none" w:sz="0" w:space="0" w:color="auto"/>
          </w:divBdr>
        </w:div>
        <w:div w:id="1651061451">
          <w:marLeft w:val="0"/>
          <w:marRight w:val="0"/>
          <w:marTop w:val="0"/>
          <w:marBottom w:val="0"/>
          <w:divBdr>
            <w:top w:val="none" w:sz="0" w:space="0" w:color="auto"/>
            <w:left w:val="none" w:sz="0" w:space="0" w:color="auto"/>
            <w:bottom w:val="none" w:sz="0" w:space="0" w:color="auto"/>
            <w:right w:val="none" w:sz="0" w:space="0" w:color="auto"/>
          </w:divBdr>
        </w:div>
        <w:div w:id="989484138">
          <w:marLeft w:val="0"/>
          <w:marRight w:val="0"/>
          <w:marTop w:val="0"/>
          <w:marBottom w:val="0"/>
          <w:divBdr>
            <w:top w:val="none" w:sz="0" w:space="0" w:color="auto"/>
            <w:left w:val="none" w:sz="0" w:space="0" w:color="auto"/>
            <w:bottom w:val="none" w:sz="0" w:space="0" w:color="auto"/>
            <w:right w:val="none" w:sz="0" w:space="0" w:color="auto"/>
          </w:divBdr>
        </w:div>
        <w:div w:id="2083524250">
          <w:marLeft w:val="0"/>
          <w:marRight w:val="0"/>
          <w:marTop w:val="0"/>
          <w:marBottom w:val="0"/>
          <w:divBdr>
            <w:top w:val="none" w:sz="0" w:space="0" w:color="auto"/>
            <w:left w:val="none" w:sz="0" w:space="0" w:color="auto"/>
            <w:bottom w:val="none" w:sz="0" w:space="0" w:color="auto"/>
            <w:right w:val="none" w:sz="0" w:space="0" w:color="auto"/>
          </w:divBdr>
        </w:div>
        <w:div w:id="2015843117">
          <w:marLeft w:val="0"/>
          <w:marRight w:val="0"/>
          <w:marTop w:val="0"/>
          <w:marBottom w:val="0"/>
          <w:divBdr>
            <w:top w:val="none" w:sz="0" w:space="0" w:color="auto"/>
            <w:left w:val="none" w:sz="0" w:space="0" w:color="auto"/>
            <w:bottom w:val="none" w:sz="0" w:space="0" w:color="auto"/>
            <w:right w:val="none" w:sz="0" w:space="0" w:color="auto"/>
          </w:divBdr>
        </w:div>
        <w:div w:id="1953974193">
          <w:marLeft w:val="0"/>
          <w:marRight w:val="0"/>
          <w:marTop w:val="0"/>
          <w:marBottom w:val="0"/>
          <w:divBdr>
            <w:top w:val="none" w:sz="0" w:space="0" w:color="auto"/>
            <w:left w:val="none" w:sz="0" w:space="0" w:color="auto"/>
            <w:bottom w:val="none" w:sz="0" w:space="0" w:color="auto"/>
            <w:right w:val="none" w:sz="0" w:space="0" w:color="auto"/>
          </w:divBdr>
        </w:div>
        <w:div w:id="2117366604">
          <w:marLeft w:val="0"/>
          <w:marRight w:val="0"/>
          <w:marTop w:val="0"/>
          <w:marBottom w:val="0"/>
          <w:divBdr>
            <w:top w:val="none" w:sz="0" w:space="0" w:color="auto"/>
            <w:left w:val="none" w:sz="0" w:space="0" w:color="auto"/>
            <w:bottom w:val="none" w:sz="0" w:space="0" w:color="auto"/>
            <w:right w:val="none" w:sz="0" w:space="0" w:color="auto"/>
          </w:divBdr>
        </w:div>
        <w:div w:id="1557280403">
          <w:marLeft w:val="0"/>
          <w:marRight w:val="0"/>
          <w:marTop w:val="0"/>
          <w:marBottom w:val="0"/>
          <w:divBdr>
            <w:top w:val="none" w:sz="0" w:space="0" w:color="auto"/>
            <w:left w:val="none" w:sz="0" w:space="0" w:color="auto"/>
            <w:bottom w:val="none" w:sz="0" w:space="0" w:color="auto"/>
            <w:right w:val="none" w:sz="0" w:space="0" w:color="auto"/>
          </w:divBdr>
        </w:div>
        <w:div w:id="1211259830">
          <w:marLeft w:val="0"/>
          <w:marRight w:val="0"/>
          <w:marTop w:val="0"/>
          <w:marBottom w:val="0"/>
          <w:divBdr>
            <w:top w:val="none" w:sz="0" w:space="0" w:color="auto"/>
            <w:left w:val="none" w:sz="0" w:space="0" w:color="auto"/>
            <w:bottom w:val="none" w:sz="0" w:space="0" w:color="auto"/>
            <w:right w:val="none" w:sz="0" w:space="0" w:color="auto"/>
          </w:divBdr>
        </w:div>
        <w:div w:id="1960992588">
          <w:marLeft w:val="0"/>
          <w:marRight w:val="0"/>
          <w:marTop w:val="0"/>
          <w:marBottom w:val="0"/>
          <w:divBdr>
            <w:top w:val="none" w:sz="0" w:space="0" w:color="auto"/>
            <w:left w:val="none" w:sz="0" w:space="0" w:color="auto"/>
            <w:bottom w:val="none" w:sz="0" w:space="0" w:color="auto"/>
            <w:right w:val="none" w:sz="0" w:space="0" w:color="auto"/>
          </w:divBdr>
        </w:div>
        <w:div w:id="501238554">
          <w:marLeft w:val="0"/>
          <w:marRight w:val="0"/>
          <w:marTop w:val="0"/>
          <w:marBottom w:val="0"/>
          <w:divBdr>
            <w:top w:val="none" w:sz="0" w:space="0" w:color="auto"/>
            <w:left w:val="none" w:sz="0" w:space="0" w:color="auto"/>
            <w:bottom w:val="none" w:sz="0" w:space="0" w:color="auto"/>
            <w:right w:val="none" w:sz="0" w:space="0" w:color="auto"/>
          </w:divBdr>
        </w:div>
        <w:div w:id="919486809">
          <w:marLeft w:val="0"/>
          <w:marRight w:val="0"/>
          <w:marTop w:val="0"/>
          <w:marBottom w:val="0"/>
          <w:divBdr>
            <w:top w:val="none" w:sz="0" w:space="0" w:color="auto"/>
            <w:left w:val="none" w:sz="0" w:space="0" w:color="auto"/>
            <w:bottom w:val="none" w:sz="0" w:space="0" w:color="auto"/>
            <w:right w:val="none" w:sz="0" w:space="0" w:color="auto"/>
          </w:divBdr>
        </w:div>
        <w:div w:id="136458415">
          <w:marLeft w:val="0"/>
          <w:marRight w:val="0"/>
          <w:marTop w:val="0"/>
          <w:marBottom w:val="0"/>
          <w:divBdr>
            <w:top w:val="none" w:sz="0" w:space="0" w:color="auto"/>
            <w:left w:val="none" w:sz="0" w:space="0" w:color="auto"/>
            <w:bottom w:val="none" w:sz="0" w:space="0" w:color="auto"/>
            <w:right w:val="none" w:sz="0" w:space="0" w:color="auto"/>
          </w:divBdr>
        </w:div>
        <w:div w:id="989094439">
          <w:marLeft w:val="0"/>
          <w:marRight w:val="0"/>
          <w:marTop w:val="0"/>
          <w:marBottom w:val="0"/>
          <w:divBdr>
            <w:top w:val="none" w:sz="0" w:space="0" w:color="auto"/>
            <w:left w:val="none" w:sz="0" w:space="0" w:color="auto"/>
            <w:bottom w:val="none" w:sz="0" w:space="0" w:color="auto"/>
            <w:right w:val="none" w:sz="0" w:space="0" w:color="auto"/>
          </w:divBdr>
        </w:div>
        <w:div w:id="84615676">
          <w:marLeft w:val="0"/>
          <w:marRight w:val="0"/>
          <w:marTop w:val="0"/>
          <w:marBottom w:val="0"/>
          <w:divBdr>
            <w:top w:val="none" w:sz="0" w:space="0" w:color="auto"/>
            <w:left w:val="none" w:sz="0" w:space="0" w:color="auto"/>
            <w:bottom w:val="none" w:sz="0" w:space="0" w:color="auto"/>
            <w:right w:val="none" w:sz="0" w:space="0" w:color="auto"/>
          </w:divBdr>
        </w:div>
        <w:div w:id="1153182104">
          <w:marLeft w:val="0"/>
          <w:marRight w:val="0"/>
          <w:marTop w:val="0"/>
          <w:marBottom w:val="0"/>
          <w:divBdr>
            <w:top w:val="none" w:sz="0" w:space="0" w:color="auto"/>
            <w:left w:val="none" w:sz="0" w:space="0" w:color="auto"/>
            <w:bottom w:val="none" w:sz="0" w:space="0" w:color="auto"/>
            <w:right w:val="none" w:sz="0" w:space="0" w:color="auto"/>
          </w:divBdr>
        </w:div>
        <w:div w:id="895045274">
          <w:marLeft w:val="0"/>
          <w:marRight w:val="0"/>
          <w:marTop w:val="0"/>
          <w:marBottom w:val="0"/>
          <w:divBdr>
            <w:top w:val="none" w:sz="0" w:space="0" w:color="auto"/>
            <w:left w:val="none" w:sz="0" w:space="0" w:color="auto"/>
            <w:bottom w:val="none" w:sz="0" w:space="0" w:color="auto"/>
            <w:right w:val="none" w:sz="0" w:space="0" w:color="auto"/>
          </w:divBdr>
        </w:div>
        <w:div w:id="2044479287">
          <w:marLeft w:val="0"/>
          <w:marRight w:val="0"/>
          <w:marTop w:val="0"/>
          <w:marBottom w:val="0"/>
          <w:divBdr>
            <w:top w:val="none" w:sz="0" w:space="0" w:color="auto"/>
            <w:left w:val="none" w:sz="0" w:space="0" w:color="auto"/>
            <w:bottom w:val="none" w:sz="0" w:space="0" w:color="auto"/>
            <w:right w:val="none" w:sz="0" w:space="0" w:color="auto"/>
          </w:divBdr>
        </w:div>
        <w:div w:id="495193900">
          <w:marLeft w:val="0"/>
          <w:marRight w:val="0"/>
          <w:marTop w:val="0"/>
          <w:marBottom w:val="0"/>
          <w:divBdr>
            <w:top w:val="none" w:sz="0" w:space="0" w:color="auto"/>
            <w:left w:val="none" w:sz="0" w:space="0" w:color="auto"/>
            <w:bottom w:val="none" w:sz="0" w:space="0" w:color="auto"/>
            <w:right w:val="none" w:sz="0" w:space="0" w:color="auto"/>
          </w:divBdr>
        </w:div>
        <w:div w:id="632179237">
          <w:marLeft w:val="0"/>
          <w:marRight w:val="0"/>
          <w:marTop w:val="0"/>
          <w:marBottom w:val="0"/>
          <w:divBdr>
            <w:top w:val="none" w:sz="0" w:space="0" w:color="auto"/>
            <w:left w:val="none" w:sz="0" w:space="0" w:color="auto"/>
            <w:bottom w:val="none" w:sz="0" w:space="0" w:color="auto"/>
            <w:right w:val="none" w:sz="0" w:space="0" w:color="auto"/>
          </w:divBdr>
        </w:div>
        <w:div w:id="463625477">
          <w:marLeft w:val="0"/>
          <w:marRight w:val="0"/>
          <w:marTop w:val="0"/>
          <w:marBottom w:val="0"/>
          <w:divBdr>
            <w:top w:val="none" w:sz="0" w:space="0" w:color="auto"/>
            <w:left w:val="none" w:sz="0" w:space="0" w:color="auto"/>
            <w:bottom w:val="none" w:sz="0" w:space="0" w:color="auto"/>
            <w:right w:val="none" w:sz="0" w:space="0" w:color="auto"/>
          </w:divBdr>
        </w:div>
        <w:div w:id="441460711">
          <w:marLeft w:val="0"/>
          <w:marRight w:val="0"/>
          <w:marTop w:val="0"/>
          <w:marBottom w:val="0"/>
          <w:divBdr>
            <w:top w:val="none" w:sz="0" w:space="0" w:color="auto"/>
            <w:left w:val="none" w:sz="0" w:space="0" w:color="auto"/>
            <w:bottom w:val="none" w:sz="0" w:space="0" w:color="auto"/>
            <w:right w:val="none" w:sz="0" w:space="0" w:color="auto"/>
          </w:divBdr>
        </w:div>
        <w:div w:id="1874806695">
          <w:marLeft w:val="0"/>
          <w:marRight w:val="0"/>
          <w:marTop w:val="0"/>
          <w:marBottom w:val="0"/>
          <w:divBdr>
            <w:top w:val="none" w:sz="0" w:space="0" w:color="auto"/>
            <w:left w:val="none" w:sz="0" w:space="0" w:color="auto"/>
            <w:bottom w:val="none" w:sz="0" w:space="0" w:color="auto"/>
            <w:right w:val="none" w:sz="0" w:space="0" w:color="auto"/>
          </w:divBdr>
        </w:div>
        <w:div w:id="1899782252">
          <w:marLeft w:val="0"/>
          <w:marRight w:val="0"/>
          <w:marTop w:val="0"/>
          <w:marBottom w:val="0"/>
          <w:divBdr>
            <w:top w:val="none" w:sz="0" w:space="0" w:color="auto"/>
            <w:left w:val="none" w:sz="0" w:space="0" w:color="auto"/>
            <w:bottom w:val="none" w:sz="0" w:space="0" w:color="auto"/>
            <w:right w:val="none" w:sz="0" w:space="0" w:color="auto"/>
          </w:divBdr>
        </w:div>
        <w:div w:id="855463712">
          <w:marLeft w:val="0"/>
          <w:marRight w:val="0"/>
          <w:marTop w:val="0"/>
          <w:marBottom w:val="0"/>
          <w:divBdr>
            <w:top w:val="none" w:sz="0" w:space="0" w:color="auto"/>
            <w:left w:val="none" w:sz="0" w:space="0" w:color="auto"/>
            <w:bottom w:val="none" w:sz="0" w:space="0" w:color="auto"/>
            <w:right w:val="none" w:sz="0" w:space="0" w:color="auto"/>
          </w:divBdr>
        </w:div>
        <w:div w:id="213591428">
          <w:marLeft w:val="0"/>
          <w:marRight w:val="0"/>
          <w:marTop w:val="0"/>
          <w:marBottom w:val="0"/>
          <w:divBdr>
            <w:top w:val="none" w:sz="0" w:space="0" w:color="auto"/>
            <w:left w:val="none" w:sz="0" w:space="0" w:color="auto"/>
            <w:bottom w:val="none" w:sz="0" w:space="0" w:color="auto"/>
            <w:right w:val="none" w:sz="0" w:space="0" w:color="auto"/>
          </w:divBdr>
        </w:div>
        <w:div w:id="1391688147">
          <w:marLeft w:val="0"/>
          <w:marRight w:val="0"/>
          <w:marTop w:val="0"/>
          <w:marBottom w:val="0"/>
          <w:divBdr>
            <w:top w:val="none" w:sz="0" w:space="0" w:color="auto"/>
            <w:left w:val="none" w:sz="0" w:space="0" w:color="auto"/>
            <w:bottom w:val="none" w:sz="0" w:space="0" w:color="auto"/>
            <w:right w:val="none" w:sz="0" w:space="0" w:color="auto"/>
          </w:divBdr>
        </w:div>
        <w:div w:id="924848602">
          <w:marLeft w:val="0"/>
          <w:marRight w:val="0"/>
          <w:marTop w:val="0"/>
          <w:marBottom w:val="0"/>
          <w:divBdr>
            <w:top w:val="none" w:sz="0" w:space="0" w:color="auto"/>
            <w:left w:val="none" w:sz="0" w:space="0" w:color="auto"/>
            <w:bottom w:val="none" w:sz="0" w:space="0" w:color="auto"/>
            <w:right w:val="none" w:sz="0" w:space="0" w:color="auto"/>
          </w:divBdr>
        </w:div>
        <w:div w:id="1579367837">
          <w:marLeft w:val="0"/>
          <w:marRight w:val="0"/>
          <w:marTop w:val="0"/>
          <w:marBottom w:val="0"/>
          <w:divBdr>
            <w:top w:val="none" w:sz="0" w:space="0" w:color="auto"/>
            <w:left w:val="none" w:sz="0" w:space="0" w:color="auto"/>
            <w:bottom w:val="none" w:sz="0" w:space="0" w:color="auto"/>
            <w:right w:val="none" w:sz="0" w:space="0" w:color="auto"/>
          </w:divBdr>
        </w:div>
        <w:div w:id="927621006">
          <w:marLeft w:val="0"/>
          <w:marRight w:val="0"/>
          <w:marTop w:val="0"/>
          <w:marBottom w:val="0"/>
          <w:divBdr>
            <w:top w:val="none" w:sz="0" w:space="0" w:color="auto"/>
            <w:left w:val="none" w:sz="0" w:space="0" w:color="auto"/>
            <w:bottom w:val="none" w:sz="0" w:space="0" w:color="auto"/>
            <w:right w:val="none" w:sz="0" w:space="0" w:color="auto"/>
          </w:divBdr>
        </w:div>
        <w:div w:id="1767574550">
          <w:marLeft w:val="0"/>
          <w:marRight w:val="0"/>
          <w:marTop w:val="0"/>
          <w:marBottom w:val="0"/>
          <w:divBdr>
            <w:top w:val="none" w:sz="0" w:space="0" w:color="auto"/>
            <w:left w:val="none" w:sz="0" w:space="0" w:color="auto"/>
            <w:bottom w:val="none" w:sz="0" w:space="0" w:color="auto"/>
            <w:right w:val="none" w:sz="0" w:space="0" w:color="auto"/>
          </w:divBdr>
        </w:div>
        <w:div w:id="701251464">
          <w:marLeft w:val="0"/>
          <w:marRight w:val="0"/>
          <w:marTop w:val="0"/>
          <w:marBottom w:val="0"/>
          <w:divBdr>
            <w:top w:val="none" w:sz="0" w:space="0" w:color="auto"/>
            <w:left w:val="none" w:sz="0" w:space="0" w:color="auto"/>
            <w:bottom w:val="none" w:sz="0" w:space="0" w:color="auto"/>
            <w:right w:val="none" w:sz="0" w:space="0" w:color="auto"/>
          </w:divBdr>
        </w:div>
        <w:div w:id="1555967263">
          <w:marLeft w:val="0"/>
          <w:marRight w:val="0"/>
          <w:marTop w:val="0"/>
          <w:marBottom w:val="0"/>
          <w:divBdr>
            <w:top w:val="none" w:sz="0" w:space="0" w:color="auto"/>
            <w:left w:val="none" w:sz="0" w:space="0" w:color="auto"/>
            <w:bottom w:val="none" w:sz="0" w:space="0" w:color="auto"/>
            <w:right w:val="none" w:sz="0" w:space="0" w:color="auto"/>
          </w:divBdr>
        </w:div>
        <w:div w:id="523057903">
          <w:marLeft w:val="0"/>
          <w:marRight w:val="0"/>
          <w:marTop w:val="0"/>
          <w:marBottom w:val="0"/>
          <w:divBdr>
            <w:top w:val="none" w:sz="0" w:space="0" w:color="auto"/>
            <w:left w:val="none" w:sz="0" w:space="0" w:color="auto"/>
            <w:bottom w:val="none" w:sz="0" w:space="0" w:color="auto"/>
            <w:right w:val="none" w:sz="0" w:space="0" w:color="auto"/>
          </w:divBdr>
        </w:div>
        <w:div w:id="138154194">
          <w:marLeft w:val="0"/>
          <w:marRight w:val="0"/>
          <w:marTop w:val="0"/>
          <w:marBottom w:val="0"/>
          <w:divBdr>
            <w:top w:val="none" w:sz="0" w:space="0" w:color="auto"/>
            <w:left w:val="none" w:sz="0" w:space="0" w:color="auto"/>
            <w:bottom w:val="none" w:sz="0" w:space="0" w:color="auto"/>
            <w:right w:val="none" w:sz="0" w:space="0" w:color="auto"/>
          </w:divBdr>
        </w:div>
        <w:div w:id="1701779099">
          <w:marLeft w:val="0"/>
          <w:marRight w:val="0"/>
          <w:marTop w:val="0"/>
          <w:marBottom w:val="0"/>
          <w:divBdr>
            <w:top w:val="none" w:sz="0" w:space="0" w:color="auto"/>
            <w:left w:val="none" w:sz="0" w:space="0" w:color="auto"/>
            <w:bottom w:val="none" w:sz="0" w:space="0" w:color="auto"/>
            <w:right w:val="none" w:sz="0" w:space="0" w:color="auto"/>
          </w:divBdr>
        </w:div>
        <w:div w:id="1346597585">
          <w:marLeft w:val="0"/>
          <w:marRight w:val="0"/>
          <w:marTop w:val="0"/>
          <w:marBottom w:val="0"/>
          <w:divBdr>
            <w:top w:val="none" w:sz="0" w:space="0" w:color="auto"/>
            <w:left w:val="none" w:sz="0" w:space="0" w:color="auto"/>
            <w:bottom w:val="none" w:sz="0" w:space="0" w:color="auto"/>
            <w:right w:val="none" w:sz="0" w:space="0" w:color="auto"/>
          </w:divBdr>
        </w:div>
        <w:div w:id="1821842905">
          <w:marLeft w:val="0"/>
          <w:marRight w:val="0"/>
          <w:marTop w:val="0"/>
          <w:marBottom w:val="0"/>
          <w:divBdr>
            <w:top w:val="none" w:sz="0" w:space="0" w:color="auto"/>
            <w:left w:val="none" w:sz="0" w:space="0" w:color="auto"/>
            <w:bottom w:val="none" w:sz="0" w:space="0" w:color="auto"/>
            <w:right w:val="none" w:sz="0" w:space="0" w:color="auto"/>
          </w:divBdr>
        </w:div>
        <w:div w:id="508297552">
          <w:marLeft w:val="0"/>
          <w:marRight w:val="0"/>
          <w:marTop w:val="0"/>
          <w:marBottom w:val="0"/>
          <w:divBdr>
            <w:top w:val="none" w:sz="0" w:space="0" w:color="auto"/>
            <w:left w:val="none" w:sz="0" w:space="0" w:color="auto"/>
            <w:bottom w:val="none" w:sz="0" w:space="0" w:color="auto"/>
            <w:right w:val="none" w:sz="0" w:space="0" w:color="auto"/>
          </w:divBdr>
        </w:div>
        <w:div w:id="1656571539">
          <w:marLeft w:val="0"/>
          <w:marRight w:val="0"/>
          <w:marTop w:val="0"/>
          <w:marBottom w:val="0"/>
          <w:divBdr>
            <w:top w:val="none" w:sz="0" w:space="0" w:color="auto"/>
            <w:left w:val="none" w:sz="0" w:space="0" w:color="auto"/>
            <w:bottom w:val="none" w:sz="0" w:space="0" w:color="auto"/>
            <w:right w:val="none" w:sz="0" w:space="0" w:color="auto"/>
          </w:divBdr>
        </w:div>
        <w:div w:id="511917512">
          <w:marLeft w:val="0"/>
          <w:marRight w:val="0"/>
          <w:marTop w:val="0"/>
          <w:marBottom w:val="0"/>
          <w:divBdr>
            <w:top w:val="none" w:sz="0" w:space="0" w:color="auto"/>
            <w:left w:val="none" w:sz="0" w:space="0" w:color="auto"/>
            <w:bottom w:val="none" w:sz="0" w:space="0" w:color="auto"/>
            <w:right w:val="none" w:sz="0" w:space="0" w:color="auto"/>
          </w:divBdr>
        </w:div>
        <w:div w:id="799423929">
          <w:marLeft w:val="0"/>
          <w:marRight w:val="0"/>
          <w:marTop w:val="0"/>
          <w:marBottom w:val="0"/>
          <w:divBdr>
            <w:top w:val="none" w:sz="0" w:space="0" w:color="auto"/>
            <w:left w:val="none" w:sz="0" w:space="0" w:color="auto"/>
            <w:bottom w:val="none" w:sz="0" w:space="0" w:color="auto"/>
            <w:right w:val="none" w:sz="0" w:space="0" w:color="auto"/>
          </w:divBdr>
        </w:div>
        <w:div w:id="185099001">
          <w:marLeft w:val="0"/>
          <w:marRight w:val="0"/>
          <w:marTop w:val="0"/>
          <w:marBottom w:val="0"/>
          <w:divBdr>
            <w:top w:val="none" w:sz="0" w:space="0" w:color="auto"/>
            <w:left w:val="none" w:sz="0" w:space="0" w:color="auto"/>
            <w:bottom w:val="none" w:sz="0" w:space="0" w:color="auto"/>
            <w:right w:val="none" w:sz="0" w:space="0" w:color="auto"/>
          </w:divBdr>
        </w:div>
        <w:div w:id="341980262">
          <w:marLeft w:val="0"/>
          <w:marRight w:val="0"/>
          <w:marTop w:val="0"/>
          <w:marBottom w:val="0"/>
          <w:divBdr>
            <w:top w:val="none" w:sz="0" w:space="0" w:color="auto"/>
            <w:left w:val="none" w:sz="0" w:space="0" w:color="auto"/>
            <w:bottom w:val="none" w:sz="0" w:space="0" w:color="auto"/>
            <w:right w:val="none" w:sz="0" w:space="0" w:color="auto"/>
          </w:divBdr>
        </w:div>
        <w:div w:id="1016275408">
          <w:marLeft w:val="0"/>
          <w:marRight w:val="0"/>
          <w:marTop w:val="0"/>
          <w:marBottom w:val="0"/>
          <w:divBdr>
            <w:top w:val="none" w:sz="0" w:space="0" w:color="auto"/>
            <w:left w:val="none" w:sz="0" w:space="0" w:color="auto"/>
            <w:bottom w:val="none" w:sz="0" w:space="0" w:color="auto"/>
            <w:right w:val="none" w:sz="0" w:space="0" w:color="auto"/>
          </w:divBdr>
        </w:div>
        <w:div w:id="854616906">
          <w:marLeft w:val="0"/>
          <w:marRight w:val="0"/>
          <w:marTop w:val="0"/>
          <w:marBottom w:val="0"/>
          <w:divBdr>
            <w:top w:val="none" w:sz="0" w:space="0" w:color="auto"/>
            <w:left w:val="none" w:sz="0" w:space="0" w:color="auto"/>
            <w:bottom w:val="none" w:sz="0" w:space="0" w:color="auto"/>
            <w:right w:val="none" w:sz="0" w:space="0" w:color="auto"/>
          </w:divBdr>
        </w:div>
        <w:div w:id="699164808">
          <w:marLeft w:val="0"/>
          <w:marRight w:val="0"/>
          <w:marTop w:val="0"/>
          <w:marBottom w:val="0"/>
          <w:divBdr>
            <w:top w:val="none" w:sz="0" w:space="0" w:color="auto"/>
            <w:left w:val="none" w:sz="0" w:space="0" w:color="auto"/>
            <w:bottom w:val="none" w:sz="0" w:space="0" w:color="auto"/>
            <w:right w:val="none" w:sz="0" w:space="0" w:color="auto"/>
          </w:divBdr>
        </w:div>
        <w:div w:id="1136023349">
          <w:marLeft w:val="0"/>
          <w:marRight w:val="0"/>
          <w:marTop w:val="0"/>
          <w:marBottom w:val="0"/>
          <w:divBdr>
            <w:top w:val="none" w:sz="0" w:space="0" w:color="auto"/>
            <w:left w:val="none" w:sz="0" w:space="0" w:color="auto"/>
            <w:bottom w:val="none" w:sz="0" w:space="0" w:color="auto"/>
            <w:right w:val="none" w:sz="0" w:space="0" w:color="auto"/>
          </w:divBdr>
        </w:div>
      </w:divsChild>
    </w:div>
    <w:div w:id="676731241">
      <w:bodyDiv w:val="1"/>
      <w:marLeft w:val="0"/>
      <w:marRight w:val="0"/>
      <w:marTop w:val="0"/>
      <w:marBottom w:val="0"/>
      <w:divBdr>
        <w:top w:val="none" w:sz="0" w:space="0" w:color="auto"/>
        <w:left w:val="none" w:sz="0" w:space="0" w:color="auto"/>
        <w:bottom w:val="none" w:sz="0" w:space="0" w:color="auto"/>
        <w:right w:val="none" w:sz="0" w:space="0" w:color="auto"/>
      </w:divBdr>
    </w:div>
    <w:div w:id="752509105">
      <w:bodyDiv w:val="1"/>
      <w:marLeft w:val="0"/>
      <w:marRight w:val="0"/>
      <w:marTop w:val="0"/>
      <w:marBottom w:val="0"/>
      <w:divBdr>
        <w:top w:val="none" w:sz="0" w:space="0" w:color="auto"/>
        <w:left w:val="none" w:sz="0" w:space="0" w:color="auto"/>
        <w:bottom w:val="none" w:sz="0" w:space="0" w:color="auto"/>
        <w:right w:val="none" w:sz="0" w:space="0" w:color="auto"/>
      </w:divBdr>
      <w:divsChild>
        <w:div w:id="679889027">
          <w:marLeft w:val="0"/>
          <w:marRight w:val="0"/>
          <w:marTop w:val="0"/>
          <w:marBottom w:val="0"/>
          <w:divBdr>
            <w:top w:val="none" w:sz="0" w:space="0" w:color="auto"/>
            <w:left w:val="none" w:sz="0" w:space="0" w:color="auto"/>
            <w:bottom w:val="none" w:sz="0" w:space="0" w:color="auto"/>
            <w:right w:val="none" w:sz="0" w:space="0" w:color="auto"/>
          </w:divBdr>
          <w:divsChild>
            <w:div w:id="16686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2096">
      <w:bodyDiv w:val="1"/>
      <w:marLeft w:val="0"/>
      <w:marRight w:val="0"/>
      <w:marTop w:val="0"/>
      <w:marBottom w:val="0"/>
      <w:divBdr>
        <w:top w:val="none" w:sz="0" w:space="0" w:color="auto"/>
        <w:left w:val="none" w:sz="0" w:space="0" w:color="auto"/>
        <w:bottom w:val="none" w:sz="0" w:space="0" w:color="auto"/>
        <w:right w:val="none" w:sz="0" w:space="0" w:color="auto"/>
      </w:divBdr>
    </w:div>
    <w:div w:id="1113131497">
      <w:bodyDiv w:val="1"/>
      <w:marLeft w:val="0"/>
      <w:marRight w:val="0"/>
      <w:marTop w:val="0"/>
      <w:marBottom w:val="0"/>
      <w:divBdr>
        <w:top w:val="none" w:sz="0" w:space="0" w:color="auto"/>
        <w:left w:val="none" w:sz="0" w:space="0" w:color="auto"/>
        <w:bottom w:val="none" w:sz="0" w:space="0" w:color="auto"/>
        <w:right w:val="none" w:sz="0" w:space="0" w:color="auto"/>
      </w:divBdr>
    </w:div>
    <w:div w:id="1236472386">
      <w:bodyDiv w:val="1"/>
      <w:marLeft w:val="0"/>
      <w:marRight w:val="0"/>
      <w:marTop w:val="0"/>
      <w:marBottom w:val="0"/>
      <w:divBdr>
        <w:top w:val="none" w:sz="0" w:space="0" w:color="auto"/>
        <w:left w:val="none" w:sz="0" w:space="0" w:color="auto"/>
        <w:bottom w:val="none" w:sz="0" w:space="0" w:color="auto"/>
        <w:right w:val="none" w:sz="0" w:space="0" w:color="auto"/>
      </w:divBdr>
    </w:div>
    <w:div w:id="1700930632">
      <w:bodyDiv w:val="1"/>
      <w:marLeft w:val="0"/>
      <w:marRight w:val="0"/>
      <w:marTop w:val="0"/>
      <w:marBottom w:val="0"/>
      <w:divBdr>
        <w:top w:val="none" w:sz="0" w:space="0" w:color="auto"/>
        <w:left w:val="none" w:sz="0" w:space="0" w:color="auto"/>
        <w:bottom w:val="none" w:sz="0" w:space="0" w:color="auto"/>
        <w:right w:val="none" w:sz="0" w:space="0" w:color="auto"/>
      </w:divBdr>
      <w:divsChild>
        <w:div w:id="487672874">
          <w:marLeft w:val="0"/>
          <w:marRight w:val="0"/>
          <w:marTop w:val="0"/>
          <w:marBottom w:val="0"/>
          <w:divBdr>
            <w:top w:val="none" w:sz="0" w:space="0" w:color="auto"/>
            <w:left w:val="none" w:sz="0" w:space="0" w:color="auto"/>
            <w:bottom w:val="none" w:sz="0" w:space="0" w:color="auto"/>
            <w:right w:val="none" w:sz="0" w:space="0" w:color="auto"/>
          </w:divBdr>
          <w:divsChild>
            <w:div w:id="9526299">
              <w:marLeft w:val="0"/>
              <w:marRight w:val="0"/>
              <w:marTop w:val="0"/>
              <w:marBottom w:val="0"/>
              <w:divBdr>
                <w:top w:val="none" w:sz="0" w:space="0" w:color="auto"/>
                <w:left w:val="none" w:sz="0" w:space="0" w:color="auto"/>
                <w:bottom w:val="none" w:sz="0" w:space="0" w:color="auto"/>
                <w:right w:val="none" w:sz="0" w:space="0" w:color="auto"/>
              </w:divBdr>
              <w:divsChild>
                <w:div w:id="161088919">
                  <w:marLeft w:val="0"/>
                  <w:marRight w:val="0"/>
                  <w:marTop w:val="0"/>
                  <w:marBottom w:val="0"/>
                  <w:divBdr>
                    <w:top w:val="none" w:sz="0" w:space="0" w:color="auto"/>
                    <w:left w:val="none" w:sz="0" w:space="0" w:color="auto"/>
                    <w:bottom w:val="none" w:sz="0" w:space="0" w:color="auto"/>
                    <w:right w:val="none" w:sz="0" w:space="0" w:color="auto"/>
                  </w:divBdr>
                </w:div>
                <w:div w:id="1435395418">
                  <w:marLeft w:val="0"/>
                  <w:marRight w:val="0"/>
                  <w:marTop w:val="0"/>
                  <w:marBottom w:val="0"/>
                  <w:divBdr>
                    <w:top w:val="none" w:sz="0" w:space="0" w:color="auto"/>
                    <w:left w:val="none" w:sz="0" w:space="0" w:color="auto"/>
                    <w:bottom w:val="none" w:sz="0" w:space="0" w:color="auto"/>
                    <w:right w:val="none" w:sz="0" w:space="0" w:color="auto"/>
                  </w:divBdr>
                </w:div>
                <w:div w:id="1091664617">
                  <w:marLeft w:val="0"/>
                  <w:marRight w:val="0"/>
                  <w:marTop w:val="0"/>
                  <w:marBottom w:val="0"/>
                  <w:divBdr>
                    <w:top w:val="none" w:sz="0" w:space="0" w:color="auto"/>
                    <w:left w:val="none" w:sz="0" w:space="0" w:color="auto"/>
                    <w:bottom w:val="none" w:sz="0" w:space="0" w:color="auto"/>
                    <w:right w:val="none" w:sz="0" w:space="0" w:color="auto"/>
                  </w:divBdr>
                </w:div>
                <w:div w:id="1497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302">
      <w:bodyDiv w:val="1"/>
      <w:marLeft w:val="0"/>
      <w:marRight w:val="0"/>
      <w:marTop w:val="0"/>
      <w:marBottom w:val="0"/>
      <w:divBdr>
        <w:top w:val="none" w:sz="0" w:space="0" w:color="auto"/>
        <w:left w:val="none" w:sz="0" w:space="0" w:color="auto"/>
        <w:bottom w:val="none" w:sz="0" w:space="0" w:color="auto"/>
        <w:right w:val="none" w:sz="0" w:space="0" w:color="auto"/>
      </w:divBdr>
      <w:divsChild>
        <w:div w:id="1316296116">
          <w:marLeft w:val="0"/>
          <w:marRight w:val="0"/>
          <w:marTop w:val="0"/>
          <w:marBottom w:val="0"/>
          <w:divBdr>
            <w:top w:val="none" w:sz="0" w:space="0" w:color="auto"/>
            <w:left w:val="none" w:sz="0" w:space="0" w:color="auto"/>
            <w:bottom w:val="none" w:sz="0" w:space="0" w:color="auto"/>
            <w:right w:val="none" w:sz="0" w:space="0" w:color="auto"/>
          </w:divBdr>
          <w:divsChild>
            <w:div w:id="60298340">
              <w:marLeft w:val="0"/>
              <w:marRight w:val="0"/>
              <w:marTop w:val="0"/>
              <w:marBottom w:val="0"/>
              <w:divBdr>
                <w:top w:val="none" w:sz="0" w:space="0" w:color="auto"/>
                <w:left w:val="none" w:sz="0" w:space="0" w:color="auto"/>
                <w:bottom w:val="none" w:sz="0" w:space="0" w:color="auto"/>
                <w:right w:val="none" w:sz="0" w:space="0" w:color="auto"/>
              </w:divBdr>
              <w:divsChild>
                <w:div w:id="2036686173">
                  <w:marLeft w:val="0"/>
                  <w:marRight w:val="0"/>
                  <w:marTop w:val="0"/>
                  <w:marBottom w:val="0"/>
                  <w:divBdr>
                    <w:top w:val="none" w:sz="0" w:space="0" w:color="auto"/>
                    <w:left w:val="none" w:sz="0" w:space="0" w:color="auto"/>
                    <w:bottom w:val="none" w:sz="0" w:space="0" w:color="auto"/>
                    <w:right w:val="none" w:sz="0" w:space="0" w:color="auto"/>
                  </w:divBdr>
                </w:div>
                <w:div w:id="130948737">
                  <w:marLeft w:val="0"/>
                  <w:marRight w:val="0"/>
                  <w:marTop w:val="0"/>
                  <w:marBottom w:val="0"/>
                  <w:divBdr>
                    <w:top w:val="none" w:sz="0" w:space="0" w:color="auto"/>
                    <w:left w:val="none" w:sz="0" w:space="0" w:color="auto"/>
                    <w:bottom w:val="none" w:sz="0" w:space="0" w:color="auto"/>
                    <w:right w:val="none" w:sz="0" w:space="0" w:color="auto"/>
                  </w:divBdr>
                </w:div>
                <w:div w:id="10727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2941">
      <w:bodyDiv w:val="1"/>
      <w:marLeft w:val="0"/>
      <w:marRight w:val="0"/>
      <w:marTop w:val="0"/>
      <w:marBottom w:val="0"/>
      <w:divBdr>
        <w:top w:val="none" w:sz="0" w:space="0" w:color="auto"/>
        <w:left w:val="none" w:sz="0" w:space="0" w:color="auto"/>
        <w:bottom w:val="none" w:sz="0" w:space="0" w:color="auto"/>
        <w:right w:val="none" w:sz="0" w:space="0" w:color="auto"/>
      </w:divBdr>
    </w:div>
    <w:div w:id="2078237862">
      <w:bodyDiv w:val="1"/>
      <w:marLeft w:val="0"/>
      <w:marRight w:val="0"/>
      <w:marTop w:val="0"/>
      <w:marBottom w:val="0"/>
      <w:divBdr>
        <w:top w:val="none" w:sz="0" w:space="0" w:color="auto"/>
        <w:left w:val="none" w:sz="0" w:space="0" w:color="auto"/>
        <w:bottom w:val="none" w:sz="0" w:space="0" w:color="auto"/>
        <w:right w:val="none" w:sz="0" w:space="0" w:color="auto"/>
      </w:divBdr>
      <w:divsChild>
        <w:div w:id="99109705">
          <w:marLeft w:val="0"/>
          <w:marRight w:val="0"/>
          <w:marTop w:val="0"/>
          <w:marBottom w:val="0"/>
          <w:divBdr>
            <w:top w:val="none" w:sz="0" w:space="0" w:color="auto"/>
            <w:left w:val="none" w:sz="0" w:space="0" w:color="auto"/>
            <w:bottom w:val="none" w:sz="0" w:space="0" w:color="auto"/>
            <w:right w:val="none" w:sz="0" w:space="0" w:color="auto"/>
          </w:divBdr>
          <w:divsChild>
            <w:div w:id="48068173">
              <w:marLeft w:val="0"/>
              <w:marRight w:val="0"/>
              <w:marTop w:val="0"/>
              <w:marBottom w:val="0"/>
              <w:divBdr>
                <w:top w:val="none" w:sz="0" w:space="0" w:color="auto"/>
                <w:left w:val="none" w:sz="0" w:space="0" w:color="auto"/>
                <w:bottom w:val="none" w:sz="0" w:space="0" w:color="auto"/>
                <w:right w:val="none" w:sz="0" w:space="0" w:color="auto"/>
              </w:divBdr>
              <w:divsChild>
                <w:div w:id="1103526210">
                  <w:marLeft w:val="0"/>
                  <w:marRight w:val="0"/>
                  <w:marTop w:val="0"/>
                  <w:marBottom w:val="0"/>
                  <w:divBdr>
                    <w:top w:val="none" w:sz="0" w:space="0" w:color="auto"/>
                    <w:left w:val="none" w:sz="0" w:space="0" w:color="auto"/>
                    <w:bottom w:val="none" w:sz="0" w:space="0" w:color="auto"/>
                    <w:right w:val="none" w:sz="0" w:space="0" w:color="auto"/>
                  </w:divBdr>
                </w:div>
                <w:div w:id="385181387">
                  <w:marLeft w:val="0"/>
                  <w:marRight w:val="0"/>
                  <w:marTop w:val="0"/>
                  <w:marBottom w:val="0"/>
                  <w:divBdr>
                    <w:top w:val="none" w:sz="0" w:space="0" w:color="auto"/>
                    <w:left w:val="none" w:sz="0" w:space="0" w:color="auto"/>
                    <w:bottom w:val="none" w:sz="0" w:space="0" w:color="auto"/>
                    <w:right w:val="none" w:sz="0" w:space="0" w:color="auto"/>
                  </w:divBdr>
                </w:div>
                <w:div w:id="1883715009">
                  <w:marLeft w:val="0"/>
                  <w:marRight w:val="0"/>
                  <w:marTop w:val="0"/>
                  <w:marBottom w:val="0"/>
                  <w:divBdr>
                    <w:top w:val="none" w:sz="0" w:space="0" w:color="auto"/>
                    <w:left w:val="none" w:sz="0" w:space="0" w:color="auto"/>
                    <w:bottom w:val="none" w:sz="0" w:space="0" w:color="auto"/>
                    <w:right w:val="none" w:sz="0" w:space="0" w:color="auto"/>
                  </w:divBdr>
                </w:div>
                <w:div w:id="1323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7445">
      <w:bodyDiv w:val="1"/>
      <w:marLeft w:val="0"/>
      <w:marRight w:val="0"/>
      <w:marTop w:val="0"/>
      <w:marBottom w:val="0"/>
      <w:divBdr>
        <w:top w:val="none" w:sz="0" w:space="0" w:color="auto"/>
        <w:left w:val="none" w:sz="0" w:space="0" w:color="auto"/>
        <w:bottom w:val="none" w:sz="0" w:space="0" w:color="auto"/>
        <w:right w:val="none" w:sz="0" w:space="0" w:color="auto"/>
      </w:divBdr>
      <w:divsChild>
        <w:div w:id="1057776777">
          <w:marLeft w:val="0"/>
          <w:marRight w:val="0"/>
          <w:marTop w:val="0"/>
          <w:marBottom w:val="0"/>
          <w:divBdr>
            <w:top w:val="none" w:sz="0" w:space="0" w:color="auto"/>
            <w:left w:val="none" w:sz="0" w:space="0" w:color="auto"/>
            <w:bottom w:val="none" w:sz="0" w:space="0" w:color="auto"/>
            <w:right w:val="none" w:sz="0" w:space="0" w:color="auto"/>
          </w:divBdr>
          <w:divsChild>
            <w:div w:id="652754106">
              <w:marLeft w:val="0"/>
              <w:marRight w:val="0"/>
              <w:marTop w:val="0"/>
              <w:marBottom w:val="0"/>
              <w:divBdr>
                <w:top w:val="none" w:sz="0" w:space="0" w:color="auto"/>
                <w:left w:val="none" w:sz="0" w:space="0" w:color="auto"/>
                <w:bottom w:val="none" w:sz="0" w:space="0" w:color="auto"/>
                <w:right w:val="none" w:sz="0" w:space="0" w:color="auto"/>
              </w:divBdr>
              <w:divsChild>
                <w:div w:id="476343618">
                  <w:marLeft w:val="0"/>
                  <w:marRight w:val="0"/>
                  <w:marTop w:val="0"/>
                  <w:marBottom w:val="0"/>
                  <w:divBdr>
                    <w:top w:val="none" w:sz="0" w:space="0" w:color="auto"/>
                    <w:left w:val="none" w:sz="0" w:space="0" w:color="auto"/>
                    <w:bottom w:val="none" w:sz="0" w:space="0" w:color="auto"/>
                    <w:right w:val="none" w:sz="0" w:space="0" w:color="auto"/>
                  </w:divBdr>
                </w:div>
                <w:div w:id="1275672589">
                  <w:marLeft w:val="0"/>
                  <w:marRight w:val="0"/>
                  <w:marTop w:val="0"/>
                  <w:marBottom w:val="0"/>
                  <w:divBdr>
                    <w:top w:val="none" w:sz="0" w:space="0" w:color="auto"/>
                    <w:left w:val="none" w:sz="0" w:space="0" w:color="auto"/>
                    <w:bottom w:val="none" w:sz="0" w:space="0" w:color="auto"/>
                    <w:right w:val="none" w:sz="0" w:space="0" w:color="auto"/>
                  </w:divBdr>
                </w:div>
                <w:div w:id="664167628">
                  <w:marLeft w:val="0"/>
                  <w:marRight w:val="0"/>
                  <w:marTop w:val="0"/>
                  <w:marBottom w:val="0"/>
                  <w:divBdr>
                    <w:top w:val="none" w:sz="0" w:space="0" w:color="auto"/>
                    <w:left w:val="none" w:sz="0" w:space="0" w:color="auto"/>
                    <w:bottom w:val="none" w:sz="0" w:space="0" w:color="auto"/>
                    <w:right w:val="none" w:sz="0" w:space="0" w:color="auto"/>
                  </w:divBdr>
                </w:div>
                <w:div w:id="1898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jsrr/2025/v31i7333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086/26176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data.tuik.gov.tr/Bulten/Index?p=Bitkisel-Uretim-Istatistikleri-2023-49393"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jafr.2022.100396"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Sayfa1!$S$33</c:f>
              <c:strCache>
                <c:ptCount val="1"/>
                <c:pt idx="0">
                  <c:v>Fruit Area (da)</c:v>
                </c:pt>
              </c:strCache>
            </c:strRef>
          </c:tx>
          <c:spPr>
            <a:solidFill>
              <a:schemeClr val="accent1"/>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C245-4F0B-8E88-2AB58B8C1EAC}"/>
              </c:ext>
            </c:extLst>
          </c:dPt>
          <c:dPt>
            <c:idx val="1"/>
            <c:invertIfNegative val="0"/>
            <c:bubble3D val="0"/>
            <c:spPr>
              <a:solidFill>
                <a:srgbClr val="7030A0"/>
              </a:solidFill>
              <a:ln>
                <a:noFill/>
              </a:ln>
              <a:effectLst/>
              <a:sp3d/>
            </c:spPr>
            <c:extLst>
              <c:ext xmlns:c16="http://schemas.microsoft.com/office/drawing/2014/chart" uri="{C3380CC4-5D6E-409C-BE32-E72D297353CC}">
                <c16:uniqueId val="{00000003-C245-4F0B-8E88-2AB58B8C1EAC}"/>
              </c:ext>
            </c:extLst>
          </c:dPt>
          <c:dPt>
            <c:idx val="2"/>
            <c:invertIfNegative val="0"/>
            <c:bubble3D val="0"/>
            <c:spPr>
              <a:solidFill>
                <a:schemeClr val="bg1">
                  <a:lumMod val="50000"/>
                </a:schemeClr>
              </a:solidFill>
              <a:ln>
                <a:noFill/>
              </a:ln>
              <a:effectLst/>
              <a:sp3d/>
            </c:spPr>
            <c:extLst>
              <c:ext xmlns:c16="http://schemas.microsoft.com/office/drawing/2014/chart" uri="{C3380CC4-5D6E-409C-BE32-E72D297353CC}">
                <c16:uniqueId val="{00000005-C245-4F0B-8E88-2AB58B8C1EAC}"/>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7-C245-4F0B-8E88-2AB58B8C1EAC}"/>
              </c:ext>
            </c:extLst>
          </c:dPt>
          <c:dPt>
            <c:idx val="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9-C245-4F0B-8E88-2AB58B8C1EAC}"/>
              </c:ext>
            </c:extLst>
          </c:dPt>
          <c:dLbls>
            <c:dLbl>
              <c:idx val="4"/>
              <c:layout>
                <c:manualLayout>
                  <c:x val="2.22222222222221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45-4F0B-8E88-2AB58B8C1E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Sayfa1!$R$34:$R$39</c:f>
              <c:strCache>
                <c:ptCount val="6"/>
                <c:pt idx="0">
                  <c:v>Aegean</c:v>
                </c:pt>
                <c:pt idx="1">
                  <c:v>Southeastern Anatolia</c:v>
                </c:pt>
                <c:pt idx="2">
                  <c:v>Mediterranean</c:v>
                </c:pt>
                <c:pt idx="3">
                  <c:v>Eastern Black Sea</c:v>
                </c:pt>
                <c:pt idx="4">
                  <c:v>Eastern Marmara</c:v>
                </c:pt>
                <c:pt idx="5">
                  <c:v>Turkey Total</c:v>
                </c:pt>
              </c:strCache>
            </c:strRef>
          </c:cat>
          <c:val>
            <c:numRef>
              <c:f>Sayfa1!$S$34:$S$39</c:f>
              <c:numCache>
                <c:formatCode>#,##0</c:formatCode>
                <c:ptCount val="6"/>
                <c:pt idx="0">
                  <c:v>8652765</c:v>
                </c:pt>
                <c:pt idx="1">
                  <c:v>7428396</c:v>
                </c:pt>
                <c:pt idx="2">
                  <c:v>5969725</c:v>
                </c:pt>
                <c:pt idx="3">
                  <c:v>5052886</c:v>
                </c:pt>
                <c:pt idx="4">
                  <c:v>2977887</c:v>
                </c:pt>
                <c:pt idx="5">
                  <c:v>37992021</c:v>
                </c:pt>
              </c:numCache>
            </c:numRef>
          </c:val>
          <c:extLst>
            <c:ext xmlns:c16="http://schemas.microsoft.com/office/drawing/2014/chart" uri="{C3380CC4-5D6E-409C-BE32-E72D297353CC}">
              <c16:uniqueId val="{0000000A-C245-4F0B-8E88-2AB58B8C1EAC}"/>
            </c:ext>
          </c:extLst>
        </c:ser>
        <c:dLbls>
          <c:showLegendKey val="0"/>
          <c:showVal val="0"/>
          <c:showCatName val="0"/>
          <c:showSerName val="0"/>
          <c:showPercent val="0"/>
          <c:showBubbleSize val="0"/>
        </c:dLbls>
        <c:gapWidth val="150"/>
        <c:shape val="box"/>
        <c:axId val="1243986879"/>
        <c:axId val="1243987295"/>
        <c:axId val="0"/>
      </c:bar3DChart>
      <c:catAx>
        <c:axId val="1243986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7295"/>
        <c:crosses val="autoZero"/>
        <c:auto val="1"/>
        <c:lblAlgn val="ctr"/>
        <c:lblOffset val="100"/>
        <c:noMultiLvlLbl val="0"/>
      </c:catAx>
      <c:valAx>
        <c:axId val="1243987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7908932197954897"/>
          <c:y val="0.22014925373134328"/>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3.6309723162432743E-2"/>
          <c:y val="3.5066694088612051E-2"/>
          <c:w val="0.56713685110628131"/>
          <c:h val="0.93535256786931475"/>
        </c:manualLayout>
      </c:layout>
      <c:pieChart>
        <c:varyColors val="1"/>
        <c:ser>
          <c:idx val="0"/>
          <c:order val="0"/>
          <c:tx>
            <c:strRef>
              <c:f>Sayfa1!$Z$38</c:f>
              <c:strCache>
                <c:ptCount val="1"/>
                <c:pt idx="0">
                  <c:v>Vegetable Area (da)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35-4E5C-869A-8E1215D755A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35-4E5C-869A-8E1215D755A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E35-4E5C-869A-8E1215D755A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Sayfa1!$X$39:$Y$41</c:f>
              <c:multiLvlStrCache>
                <c:ptCount val="3"/>
                <c:lvl>
                  <c:pt idx="0">
                    <c:v>Aegean</c:v>
                  </c:pt>
                  <c:pt idx="1">
                    <c:v>Central Anatolia</c:v>
                  </c:pt>
                  <c:pt idx="2">
                    <c:v>Mediterranean</c:v>
                  </c:pt>
                </c:lvl>
                <c:lvl>
                  <c:pt idx="0">
                    <c:v>TR3</c:v>
                  </c:pt>
                  <c:pt idx="1">
                    <c:v>TR7</c:v>
                  </c:pt>
                  <c:pt idx="2">
                    <c:v>TR6</c:v>
                  </c:pt>
                </c:lvl>
              </c:multiLvlStrCache>
            </c:multiLvlStrRef>
          </c:cat>
          <c:val>
            <c:numRef>
              <c:f>Sayfa1!$Z$39:$Z$41</c:f>
              <c:numCache>
                <c:formatCode>#,##0</c:formatCode>
                <c:ptCount val="3"/>
                <c:pt idx="0">
                  <c:v>1175632</c:v>
                </c:pt>
                <c:pt idx="1">
                  <c:v>918247</c:v>
                </c:pt>
                <c:pt idx="2">
                  <c:v>914247</c:v>
                </c:pt>
              </c:numCache>
            </c:numRef>
          </c:val>
          <c:extLst>
            <c:ext xmlns:c16="http://schemas.microsoft.com/office/drawing/2014/chart" uri="{C3380CC4-5D6E-409C-BE32-E72D297353CC}">
              <c16:uniqueId val="{00000006-5E35-4E5C-869A-8E1215D755A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Sayfa1!$AC$73</c:f>
              <c:strCache>
                <c:ptCount val="1"/>
                <c:pt idx="0">
                  <c:v>Area (da)</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1DEE-4D6A-AADB-6E3C41A27C9F}"/>
              </c:ext>
            </c:extLst>
          </c:dPt>
          <c:dPt>
            <c:idx val="1"/>
            <c:invertIfNegative val="0"/>
            <c:bubble3D val="0"/>
            <c:spPr>
              <a:solidFill>
                <a:srgbClr val="FFFF00"/>
              </a:solidFill>
              <a:ln>
                <a:noFill/>
              </a:ln>
              <a:effectLst/>
            </c:spPr>
            <c:extLst>
              <c:ext xmlns:c16="http://schemas.microsoft.com/office/drawing/2014/chart" uri="{C3380CC4-5D6E-409C-BE32-E72D297353CC}">
                <c16:uniqueId val="{00000003-1DEE-4D6A-AADB-6E3C41A27C9F}"/>
              </c:ext>
            </c:extLst>
          </c:dPt>
          <c:dPt>
            <c:idx val="2"/>
            <c:invertIfNegative val="0"/>
            <c:bubble3D val="0"/>
            <c:spPr>
              <a:solidFill>
                <a:srgbClr val="7030A0"/>
              </a:solidFill>
              <a:ln>
                <a:noFill/>
              </a:ln>
              <a:effectLst/>
            </c:spPr>
            <c:extLst>
              <c:ext xmlns:c16="http://schemas.microsoft.com/office/drawing/2014/chart" uri="{C3380CC4-5D6E-409C-BE32-E72D297353CC}">
                <c16:uniqueId val="{00000005-1DEE-4D6A-AADB-6E3C41A27C9F}"/>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1DEE-4D6A-AADB-6E3C41A27C9F}"/>
              </c:ext>
            </c:extLst>
          </c:dPt>
          <c:dPt>
            <c:idx val="4"/>
            <c:invertIfNegative val="0"/>
            <c:bubble3D val="0"/>
            <c:spPr>
              <a:solidFill>
                <a:srgbClr val="FF0000"/>
              </a:solidFill>
              <a:ln>
                <a:noFill/>
              </a:ln>
              <a:effectLst/>
            </c:spPr>
            <c:extLst>
              <c:ext xmlns:c16="http://schemas.microsoft.com/office/drawing/2014/chart" uri="{C3380CC4-5D6E-409C-BE32-E72D297353CC}">
                <c16:uniqueId val="{00000009-1DEE-4D6A-AADB-6E3C41A27C9F}"/>
              </c:ext>
            </c:extLst>
          </c:dPt>
          <c:cat>
            <c:multiLvlStrRef>
              <c:f>Sayfa1!$AA$74:$AB$78</c:f>
              <c:multiLvlStrCache>
                <c:ptCount val="5"/>
                <c:lvl>
                  <c:pt idx="0">
                    <c:v>Istanbul</c:v>
                  </c:pt>
                  <c:pt idx="1">
                    <c:v>Aegean (Izmir)</c:v>
                  </c:pt>
                  <c:pt idx="2">
                    <c:v>Eastern Marmara</c:v>
                  </c:pt>
                  <c:pt idx="3">
                    <c:v>Remaining 9 Regions</c:v>
                  </c:pt>
                  <c:pt idx="4">
                    <c:v>Turkey Total</c:v>
                  </c:pt>
                </c:lvl>
                <c:lvl>
                  <c:pt idx="0">
                    <c:v>TR1</c:v>
                  </c:pt>
                  <c:pt idx="1">
                    <c:v>TR3</c:v>
                  </c:pt>
                  <c:pt idx="2">
                    <c:v>TR4</c:v>
                  </c:pt>
                  <c:pt idx="3">
                    <c:v>Other</c:v>
                  </c:pt>
                  <c:pt idx="4">
                    <c:v>Total</c:v>
                  </c:pt>
                </c:lvl>
              </c:multiLvlStrCache>
            </c:multiLvlStrRef>
          </c:cat>
          <c:val>
            <c:numRef>
              <c:f>Sayfa1!$AC$74:$AC$78</c:f>
              <c:numCache>
                <c:formatCode>#,##0.00</c:formatCode>
                <c:ptCount val="5"/>
                <c:pt idx="0">
                  <c:v>22494.9</c:v>
                </c:pt>
                <c:pt idx="1">
                  <c:v>18951.400000000001</c:v>
                </c:pt>
                <c:pt idx="2">
                  <c:v>13277.4</c:v>
                </c:pt>
                <c:pt idx="3">
                  <c:v>5267.6</c:v>
                </c:pt>
                <c:pt idx="4">
                  <c:v>59991.3</c:v>
                </c:pt>
              </c:numCache>
            </c:numRef>
          </c:val>
          <c:extLst>
            <c:ext xmlns:c16="http://schemas.microsoft.com/office/drawing/2014/chart" uri="{C3380CC4-5D6E-409C-BE32-E72D297353CC}">
              <c16:uniqueId val="{0000000A-1DEE-4D6A-AADB-6E3C41A27C9F}"/>
            </c:ext>
          </c:extLst>
        </c:ser>
        <c:dLbls>
          <c:showLegendKey val="0"/>
          <c:showVal val="0"/>
          <c:showCatName val="0"/>
          <c:showSerName val="0"/>
          <c:showPercent val="0"/>
          <c:showBubbleSize val="0"/>
        </c:dLbls>
        <c:gapWidth val="182"/>
        <c:axId val="1153240431"/>
        <c:axId val="1153241679"/>
      </c:barChart>
      <c:catAx>
        <c:axId val="1153240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1679"/>
        <c:crosses val="autoZero"/>
        <c:auto val="1"/>
        <c:lblAlgn val="ctr"/>
        <c:lblOffset val="100"/>
        <c:noMultiLvlLbl val="0"/>
      </c:catAx>
      <c:valAx>
        <c:axId val="115324167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0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3513</Words>
  <Characters>20026</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PC New 16</cp:lastModifiedBy>
  <cp:revision>102</cp:revision>
  <dcterms:created xsi:type="dcterms:W3CDTF">2026-01-11T22:51:00Z</dcterms:created>
  <dcterms:modified xsi:type="dcterms:W3CDTF">2026-01-22T06:45:00Z</dcterms:modified>
</cp:coreProperties>
</file>