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1CA" w:rsidRDefault="00DD21CA">
      <w:pPr>
        <w:pStyle w:val="Title"/>
        <w:spacing w:after="0"/>
        <w:jc w:val="both"/>
        <w:rPr>
          <w:rFonts w:ascii="Arial" w:hAnsi="Arial" w:cs="Arial"/>
        </w:rPr>
      </w:pPr>
    </w:p>
    <w:p w:rsidR="00DD21CA" w:rsidRDefault="00EF432E">
      <w:pPr>
        <w:pStyle w:val="Author"/>
        <w:spacing w:line="240" w:lineRule="auto"/>
        <w:rPr>
          <w:rFonts w:ascii="Arial" w:hAnsi="Arial" w:cs="Arial"/>
          <w:sz w:val="36"/>
        </w:rPr>
      </w:pPr>
      <w:r>
        <w:rPr>
          <w:rFonts w:ascii="Arial" w:hAnsi="Arial" w:cs="Arial"/>
          <w:bCs/>
          <w:iCs/>
          <w:kern w:val="28"/>
          <w:sz w:val="36"/>
        </w:rPr>
        <w:t xml:space="preserve">A Comparative Study of Drying Methods and Extraction Solvents on Antioxidant Properties of </w:t>
      </w:r>
      <w:proofErr w:type="spellStart"/>
      <w:r>
        <w:rPr>
          <w:rFonts w:ascii="Arial" w:hAnsi="Arial" w:cs="Arial"/>
          <w:bCs/>
          <w:i/>
          <w:kern w:val="28"/>
          <w:sz w:val="36"/>
        </w:rPr>
        <w:t>Persicaria</w:t>
      </w:r>
      <w:proofErr w:type="spellEnd"/>
      <w:r>
        <w:rPr>
          <w:rFonts w:ascii="Arial" w:hAnsi="Arial" w:cs="Arial"/>
          <w:bCs/>
          <w:i/>
          <w:kern w:val="28"/>
          <w:sz w:val="36"/>
        </w:rPr>
        <w:t xml:space="preserve"> minor</w:t>
      </w:r>
      <w:r>
        <w:rPr>
          <w:rFonts w:ascii="Arial" w:hAnsi="Arial" w:cs="Arial"/>
          <w:bCs/>
          <w:iCs/>
          <w:kern w:val="28"/>
          <w:sz w:val="36"/>
        </w:rPr>
        <w:t xml:space="preserve"> (</w:t>
      </w:r>
      <w:proofErr w:type="spellStart"/>
      <w:r>
        <w:rPr>
          <w:rFonts w:ascii="Arial" w:hAnsi="Arial" w:cs="Arial"/>
          <w:bCs/>
          <w:iCs/>
          <w:kern w:val="28"/>
          <w:sz w:val="36"/>
        </w:rPr>
        <w:t>Huds</w:t>
      </w:r>
      <w:proofErr w:type="spellEnd"/>
      <w:r>
        <w:rPr>
          <w:rFonts w:ascii="Arial" w:hAnsi="Arial" w:cs="Arial"/>
          <w:bCs/>
          <w:iCs/>
          <w:kern w:val="28"/>
          <w:sz w:val="36"/>
        </w:rPr>
        <w:t xml:space="preserve">.) </w:t>
      </w:r>
      <w:proofErr w:type="spellStart"/>
      <w:r>
        <w:rPr>
          <w:rFonts w:ascii="Arial" w:hAnsi="Arial" w:cs="Arial"/>
          <w:bCs/>
          <w:iCs/>
          <w:kern w:val="28"/>
          <w:sz w:val="36"/>
        </w:rPr>
        <w:t>Opiz</w:t>
      </w:r>
      <w:proofErr w:type="spellEnd"/>
    </w:p>
    <w:p w:rsidR="00DD21CA" w:rsidRDefault="00DD21CA">
      <w:pPr>
        <w:pStyle w:val="Author"/>
        <w:spacing w:line="240" w:lineRule="auto"/>
        <w:rPr>
          <w:rFonts w:ascii="Arial" w:hAnsi="Arial" w:cs="Arial"/>
          <w:lang w:val="en-MY" w:eastAsia="zh-CN"/>
        </w:rPr>
      </w:pPr>
    </w:p>
    <w:p w:rsidR="00DD21CA" w:rsidRDefault="00DD21CA">
      <w:pPr>
        <w:pStyle w:val="Affiliation"/>
        <w:spacing w:after="0" w:line="240" w:lineRule="auto"/>
        <w:rPr>
          <w:rFonts w:ascii="Arial" w:hAnsi="Arial" w:cs="Arial"/>
          <w:i/>
          <w:lang w:val="en-MY"/>
        </w:rPr>
      </w:pPr>
    </w:p>
    <w:p w:rsidR="00DD21CA" w:rsidRDefault="00DD21CA">
      <w:pPr>
        <w:pStyle w:val="Affiliation"/>
        <w:spacing w:after="0" w:line="240" w:lineRule="auto"/>
        <w:jc w:val="both"/>
        <w:rPr>
          <w:rFonts w:ascii="Arial" w:hAnsi="Arial" w:cs="Arial"/>
        </w:rPr>
      </w:pPr>
    </w:p>
    <w:p w:rsidR="00DD21CA" w:rsidRDefault="00EF432E">
      <w:pPr>
        <w:pStyle w:val="Copyright"/>
        <w:spacing w:after="0" w:line="240" w:lineRule="auto"/>
        <w:jc w:val="both"/>
        <w:rPr>
          <w:rFonts w:ascii="Arial" w:hAnsi="Arial" w:cs="Arial"/>
        </w:rPr>
        <w:sectPr w:rsidR="00DD21CA">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extent cx="5303520" cy="0"/>
                <wp:effectExtent l="0" t="0" r="0" b="0"/>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wpsCustomData="http://www.wps.cn/officeDocument/2013/wpsCustomData">
            <w:pict>
              <v:shape id="AutoShape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wSEHfPAAAAAgEAAA8AAAAAAAAAAQAg&#10;AAAAIgAAAGRycy9kb3ducmV2LnhtbFBLAQIUABQAAAAIAIdO4kBXEc6g3gEAAOEDAAAOAAAAAAAA&#10;AAEAIAAAAB4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rsidR="00DD21CA" w:rsidRDefault="00EF432E">
      <w:pPr>
        <w:pStyle w:val="AbstHead"/>
        <w:spacing w:after="0"/>
        <w:jc w:val="both"/>
        <w:rPr>
          <w:rFonts w:ascii="Arial" w:hAnsi="Arial" w:cs="Arial"/>
        </w:rPr>
      </w:pPr>
      <w:r>
        <w:rPr>
          <w:rFonts w:ascii="Arial" w:hAnsi="Arial" w:cs="Arial"/>
        </w:rPr>
        <w:t xml:space="preserve">ABSTRACT </w:t>
      </w:r>
    </w:p>
    <w:p w:rsidR="00DD21CA" w:rsidRDefault="00DD21C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DD21CA">
        <w:tc>
          <w:tcPr>
            <w:tcW w:w="9576" w:type="dxa"/>
            <w:shd w:val="clear" w:color="auto" w:fill="F2F2F2"/>
          </w:tcPr>
          <w:p w:rsidR="00DD21CA" w:rsidRDefault="00EF432E">
            <w:pPr>
              <w:pStyle w:val="Body"/>
              <w:spacing w:after="0"/>
              <w:rPr>
                <w:i/>
                <w:iCs/>
              </w:rPr>
            </w:pPr>
            <w:proofErr w:type="spellStart"/>
            <w:r>
              <w:rPr>
                <w:i/>
                <w:iCs/>
                <w:lang w:val="en-MY"/>
              </w:rPr>
              <w:t>Persicaria</w:t>
            </w:r>
            <w:proofErr w:type="spellEnd"/>
            <w:r>
              <w:rPr>
                <w:i/>
                <w:iCs/>
                <w:lang w:val="en-MY"/>
              </w:rPr>
              <w:t xml:space="preserve"> minor (</w:t>
            </w:r>
            <w:proofErr w:type="spellStart"/>
            <w:r>
              <w:rPr>
                <w:i/>
                <w:iCs/>
                <w:lang w:val="en-MY"/>
              </w:rPr>
              <w:t>kesum</w:t>
            </w:r>
            <w:proofErr w:type="spellEnd"/>
            <w:r>
              <w:rPr>
                <w:i/>
                <w:iCs/>
                <w:lang w:val="en-MY"/>
              </w:rPr>
              <w:t xml:space="preserve">), </w:t>
            </w:r>
            <w:r>
              <w:rPr>
                <w:lang w:val="en-MY"/>
              </w:rPr>
              <w:t>a popular Southeast Asian culinary herb, is valued for its health benefits, particularly potent antioxidant flavonoids like quercetin-3-glucuronide (Q3G) and quercitrin. While elite accessions have been identified based on quality and these marker compounds, the preservation of these bioactive compounds is significantly impacted by drying methods and extraction solvents</w:t>
            </w:r>
            <w:r>
              <w:t>.</w:t>
            </w:r>
          </w:p>
          <w:p w:rsidR="00DD21CA" w:rsidRDefault="00EF432E">
            <w:pPr>
              <w:pStyle w:val="Body"/>
              <w:spacing w:after="0"/>
              <w:rPr>
                <w:lang w:val="en-MY"/>
              </w:rPr>
            </w:pPr>
            <w:r>
              <w:rPr>
                <w:rFonts w:ascii="Arial" w:eastAsia="Calibri" w:hAnsi="Arial" w:cs="Arial"/>
                <w:b/>
                <w:szCs w:val="22"/>
              </w:rPr>
              <w:t xml:space="preserve">Aims: </w:t>
            </w:r>
            <w:r>
              <w:rPr>
                <w:lang w:val="en-MY"/>
              </w:rPr>
              <w:t xml:space="preserve">Therefore, this study aimed to evaluate the effects of different drying methods and extraction solvents on the antioxidant activity and phytochemical content of a selected elite </w:t>
            </w:r>
            <w:r>
              <w:rPr>
                <w:i/>
                <w:iCs/>
                <w:lang w:val="en-MY"/>
              </w:rPr>
              <w:t>P. minor</w:t>
            </w:r>
            <w:r>
              <w:rPr>
                <w:lang w:val="en-MY"/>
              </w:rPr>
              <w:t xml:space="preserve"> accession, MKSM10. </w:t>
            </w:r>
          </w:p>
          <w:p w:rsidR="00DD21CA" w:rsidRDefault="00EF432E">
            <w:pPr>
              <w:pStyle w:val="Body"/>
              <w:spacing w:after="0"/>
              <w:rPr>
                <w:rFonts w:ascii="Arial" w:eastAsia="Calibri" w:hAnsi="Arial" w:cs="Arial"/>
                <w:szCs w:val="22"/>
              </w:rPr>
            </w:pPr>
            <w:r>
              <w:rPr>
                <w:rFonts w:ascii="Arial" w:eastAsia="Calibri" w:hAnsi="Arial" w:cs="Arial"/>
                <w:b/>
                <w:szCs w:val="22"/>
              </w:rPr>
              <w:t xml:space="preserve">Study design: </w:t>
            </w:r>
            <w:r>
              <w:rPr>
                <w:rFonts w:ascii="Arial" w:eastAsia="Calibri" w:hAnsi="Arial" w:cs="Arial"/>
                <w:szCs w:val="22"/>
              </w:rPr>
              <w:t>The study was conducted using a completely randomized design (CRD) with a factorial arrangement of treatments involving two factors: drying temperature and extraction solvent.</w:t>
            </w:r>
          </w:p>
          <w:p w:rsidR="00DD21CA" w:rsidRDefault="00EF432E">
            <w:pPr>
              <w:pStyle w:val="Body"/>
              <w:spacing w:after="0"/>
              <w:rPr>
                <w:rFonts w:ascii="Arial" w:eastAsia="Calibri" w:hAnsi="Arial" w:cs="Arial"/>
                <w:szCs w:val="22"/>
              </w:rPr>
            </w:pPr>
            <w:r>
              <w:rPr>
                <w:rFonts w:ascii="Arial" w:eastAsia="Calibri" w:hAnsi="Arial" w:cs="Arial"/>
                <w:b/>
                <w:bCs/>
                <w:szCs w:val="22"/>
              </w:rPr>
              <w:t>Pla</w:t>
            </w:r>
            <w:r>
              <w:rPr>
                <w:rFonts w:ascii="Arial" w:eastAsia="Calibri" w:hAnsi="Arial" w:cs="Arial"/>
                <w:b/>
                <w:szCs w:val="22"/>
              </w:rPr>
              <w:t>ce and Duration of Study:</w:t>
            </w:r>
            <w:r>
              <w:rPr>
                <w:rFonts w:ascii="Arial" w:eastAsia="Calibri" w:hAnsi="Arial" w:cs="Arial"/>
                <w:szCs w:val="22"/>
              </w:rPr>
              <w:t xml:space="preserve"> The study was conducted at MARDI Headquarters between March 20</w:t>
            </w:r>
            <w:r>
              <w:rPr>
                <w:rFonts w:ascii="Arial" w:eastAsia="Calibri" w:hAnsi="Arial" w:cs="Arial"/>
                <w:szCs w:val="22"/>
                <w:lang w:val="en-MY"/>
              </w:rPr>
              <w:t>2</w:t>
            </w:r>
            <w:r>
              <w:rPr>
                <w:rFonts w:ascii="Arial" w:eastAsia="Calibri" w:hAnsi="Arial" w:cs="Arial"/>
                <w:szCs w:val="22"/>
              </w:rPr>
              <w:t>3 to August</w:t>
            </w:r>
            <w:r>
              <w:rPr>
                <w:rFonts w:ascii="Arial" w:eastAsia="Calibri" w:hAnsi="Arial" w:cs="Arial"/>
                <w:szCs w:val="22"/>
                <w:lang w:val="en-MY"/>
              </w:rPr>
              <w:t xml:space="preserve"> </w:t>
            </w:r>
            <w:r>
              <w:rPr>
                <w:rFonts w:ascii="Arial" w:eastAsia="Calibri" w:hAnsi="Arial" w:cs="Arial"/>
                <w:szCs w:val="22"/>
              </w:rPr>
              <w:t>20</w:t>
            </w:r>
            <w:r>
              <w:rPr>
                <w:rFonts w:ascii="Arial" w:eastAsia="Calibri" w:hAnsi="Arial" w:cs="Arial"/>
                <w:szCs w:val="22"/>
                <w:lang w:val="en-MY"/>
              </w:rPr>
              <w:t>2</w:t>
            </w:r>
            <w:r>
              <w:rPr>
                <w:rFonts w:ascii="Arial" w:eastAsia="Calibri" w:hAnsi="Arial" w:cs="Arial"/>
                <w:szCs w:val="22"/>
              </w:rPr>
              <w:t>3.</w:t>
            </w:r>
          </w:p>
          <w:p w:rsidR="00DD21CA" w:rsidRDefault="00EF432E">
            <w:pPr>
              <w:pStyle w:val="Body"/>
              <w:spacing w:after="0"/>
              <w:rPr>
                <w:lang w:val="en-MY"/>
              </w:rPr>
            </w:pPr>
            <w:r>
              <w:rPr>
                <w:rFonts w:ascii="Arial" w:eastAsia="Calibri" w:hAnsi="Arial" w:cs="Arial"/>
                <w:b/>
                <w:bCs/>
                <w:szCs w:val="22"/>
              </w:rPr>
              <w:t>Methodology:</w:t>
            </w:r>
            <w:r>
              <w:rPr>
                <w:rFonts w:ascii="Arial" w:eastAsia="Calibri" w:hAnsi="Arial" w:cs="Arial"/>
                <w:szCs w:val="22"/>
              </w:rPr>
              <w:t xml:space="preserve"> </w:t>
            </w:r>
            <w:r>
              <w:rPr>
                <w:lang w:val="en-MY"/>
              </w:rPr>
              <w:t xml:space="preserve">The aerial parts of </w:t>
            </w:r>
            <w:r>
              <w:rPr>
                <w:i/>
                <w:iCs/>
                <w:lang w:val="en-MY"/>
              </w:rPr>
              <w:t xml:space="preserve">P. minor </w:t>
            </w:r>
            <w:r>
              <w:rPr>
                <w:lang w:val="en-MY"/>
              </w:rPr>
              <w:t xml:space="preserve">were dried using oven (40°C, 50°C, 60°C, 70°C), ambient and </w:t>
            </w:r>
            <w:proofErr w:type="gramStart"/>
            <w:r>
              <w:rPr>
                <w:lang w:val="en-MY"/>
              </w:rPr>
              <w:t>freeze drying</w:t>
            </w:r>
            <w:proofErr w:type="gramEnd"/>
            <w:r>
              <w:rPr>
                <w:lang w:val="en-MY"/>
              </w:rPr>
              <w:t xml:space="preserve"> methods, then extracted with 70% methanol and distilled water. Antioxidant activity was assessed using established in vitro assays, while total phenolic content (TPC), total flavonoid content (TFC) and specific marker compounds, Q3G and quercitrin were quantified using spectrophotometry and </w:t>
            </w:r>
            <w:proofErr w:type="gramStart"/>
            <w:r>
              <w:rPr>
                <w:lang w:val="en-MY"/>
              </w:rPr>
              <w:t>high performance</w:t>
            </w:r>
            <w:proofErr w:type="gramEnd"/>
            <w:r>
              <w:rPr>
                <w:lang w:val="en-MY"/>
              </w:rPr>
              <w:t xml:space="preserve"> liquid chromatography (HPLC). </w:t>
            </w:r>
          </w:p>
          <w:p w:rsidR="00DD21CA" w:rsidRDefault="00EF432E">
            <w:pPr>
              <w:pStyle w:val="Body"/>
              <w:spacing w:after="0"/>
              <w:rPr>
                <w:rFonts w:ascii="Arial" w:eastAsia="Calibri" w:hAnsi="Arial" w:cs="Arial"/>
                <w:bCs/>
                <w:szCs w:val="22"/>
              </w:rPr>
            </w:pPr>
            <w:r>
              <w:rPr>
                <w:rFonts w:ascii="Arial" w:eastAsia="Calibri" w:hAnsi="Arial" w:cs="Arial"/>
                <w:b/>
                <w:bCs/>
                <w:szCs w:val="22"/>
              </w:rPr>
              <w:t>Results:</w:t>
            </w:r>
            <w:r>
              <w:rPr>
                <w:rFonts w:ascii="Arial" w:eastAsia="Calibri" w:hAnsi="Arial" w:cs="Arial"/>
                <w:szCs w:val="22"/>
              </w:rPr>
              <w:t xml:space="preserve"> </w:t>
            </w:r>
            <w:r>
              <w:rPr>
                <w:lang w:val="en-MY"/>
              </w:rPr>
              <w:t>Low temperature oven drying at 40°C optimized both the total phytochemical yield and the resulting antioxidant activity, particularly within aqueous extracts. In contrast, freeze drying proved superior for preserving specific key flavonoids, including Q3G and quercitrin, due to its efficacy in retaining heat-sensitive constituents.</w:t>
            </w:r>
          </w:p>
          <w:p w:rsidR="00DD21CA" w:rsidRDefault="00EF432E">
            <w:pPr>
              <w:pStyle w:val="Body"/>
              <w:spacing w:after="0"/>
              <w:rPr>
                <w:rFonts w:ascii="Arial" w:eastAsia="Calibri" w:hAnsi="Arial" w:cs="Arial"/>
                <w:szCs w:val="22"/>
                <w:lang w:val="en-MY"/>
              </w:rPr>
            </w:pPr>
            <w:r>
              <w:rPr>
                <w:rFonts w:ascii="Arial" w:eastAsia="Calibri" w:hAnsi="Arial" w:cs="Arial"/>
                <w:b/>
                <w:bCs/>
                <w:szCs w:val="22"/>
              </w:rPr>
              <w:t xml:space="preserve">Conclusion: </w:t>
            </w:r>
            <w:r>
              <w:rPr>
                <w:rFonts w:ascii="Arial" w:eastAsia="Calibri" w:hAnsi="Arial" w:cs="Arial"/>
                <w:szCs w:val="22"/>
              </w:rPr>
              <w:t>B</w:t>
            </w:r>
            <w:proofErr w:type="spellStart"/>
            <w:r>
              <w:rPr>
                <w:rFonts w:ascii="Arial" w:eastAsia="Calibri" w:hAnsi="Arial" w:cs="Arial"/>
                <w:szCs w:val="22"/>
                <w:lang w:val="en-MY"/>
              </w:rPr>
              <w:t>oth</w:t>
            </w:r>
            <w:proofErr w:type="spellEnd"/>
            <w:r>
              <w:rPr>
                <w:rFonts w:ascii="Arial" w:eastAsia="Calibri" w:hAnsi="Arial" w:cs="Arial"/>
                <w:szCs w:val="22"/>
                <w:lang w:val="en-MY"/>
              </w:rPr>
              <w:t xml:space="preserve"> drying techniques and extraction solvents significantly influenced the antioxidant properties of </w:t>
            </w:r>
            <w:r>
              <w:rPr>
                <w:rFonts w:ascii="Arial" w:eastAsia="Calibri" w:hAnsi="Arial" w:cs="Arial"/>
                <w:i/>
                <w:iCs/>
                <w:szCs w:val="22"/>
                <w:lang w:val="en-MY"/>
              </w:rPr>
              <w:t xml:space="preserve">P. minor. </w:t>
            </w:r>
            <w:r>
              <w:rPr>
                <w:rFonts w:ascii="Arial" w:eastAsia="Calibri" w:hAnsi="Arial" w:cs="Arial"/>
                <w:szCs w:val="22"/>
                <w:lang w:val="en-MY"/>
              </w:rPr>
              <w:t xml:space="preserve">These findings provide valuable insights for selecting optimal processing methods to </w:t>
            </w:r>
            <w:proofErr w:type="spellStart"/>
            <w:r>
              <w:rPr>
                <w:rFonts w:ascii="Arial" w:eastAsia="Calibri" w:hAnsi="Arial" w:cs="Arial"/>
                <w:szCs w:val="22"/>
                <w:lang w:val="en-MY"/>
              </w:rPr>
              <w:t>maximi</w:t>
            </w:r>
            <w:proofErr w:type="spellEnd"/>
            <w:r>
              <w:rPr>
                <w:rFonts w:ascii="Arial" w:eastAsia="Calibri" w:hAnsi="Arial" w:cs="Arial"/>
                <w:szCs w:val="22"/>
              </w:rPr>
              <w:t>z</w:t>
            </w:r>
            <w:r>
              <w:rPr>
                <w:rFonts w:ascii="Arial" w:eastAsia="Calibri" w:hAnsi="Arial" w:cs="Arial"/>
                <w:szCs w:val="22"/>
                <w:lang w:val="en-MY"/>
              </w:rPr>
              <w:t xml:space="preserve">e bioactive compound retention, supporting the future development of functional products derived from </w:t>
            </w:r>
            <w:r>
              <w:rPr>
                <w:rFonts w:ascii="Arial" w:eastAsia="Calibri" w:hAnsi="Arial" w:cs="Arial"/>
                <w:i/>
                <w:iCs/>
                <w:szCs w:val="22"/>
                <w:lang w:val="en-MY"/>
              </w:rPr>
              <w:t>P. minor.</w:t>
            </w:r>
            <w:r>
              <w:rPr>
                <w:rFonts w:ascii="Arial" w:eastAsia="Calibri" w:hAnsi="Arial" w:cs="Arial"/>
                <w:szCs w:val="22"/>
                <w:lang w:val="en-MY"/>
              </w:rPr>
              <w:t xml:space="preserve"> </w:t>
            </w:r>
          </w:p>
          <w:p w:rsidR="00DD21CA" w:rsidRDefault="00DD21CA">
            <w:pPr>
              <w:pStyle w:val="Body"/>
              <w:spacing w:after="0"/>
              <w:rPr>
                <w:rFonts w:ascii="Arial" w:eastAsia="Calibri" w:hAnsi="Arial" w:cs="Arial"/>
                <w:szCs w:val="22"/>
              </w:rPr>
            </w:pPr>
          </w:p>
        </w:tc>
      </w:tr>
    </w:tbl>
    <w:p w:rsidR="00DD21CA" w:rsidRDefault="00DD21CA">
      <w:pPr>
        <w:pStyle w:val="Body"/>
        <w:spacing w:after="0"/>
        <w:rPr>
          <w:rFonts w:ascii="Arial" w:hAnsi="Arial" w:cs="Arial"/>
          <w:i/>
        </w:rPr>
      </w:pPr>
    </w:p>
    <w:p w:rsidR="00DD21CA" w:rsidRDefault="00EF432E">
      <w:pPr>
        <w:pStyle w:val="Body"/>
        <w:spacing w:after="0"/>
        <w:rPr>
          <w:rFonts w:ascii="Arial" w:hAnsi="Arial" w:cs="Arial"/>
          <w:i/>
        </w:rPr>
      </w:pPr>
      <w:r>
        <w:rPr>
          <w:rFonts w:ascii="Arial" w:hAnsi="Arial" w:cs="Arial"/>
          <w:i/>
        </w:rPr>
        <w:t>Keywords: H</w:t>
      </w:r>
      <w:proofErr w:type="spellStart"/>
      <w:r>
        <w:rPr>
          <w:rFonts w:ascii="Arial" w:hAnsi="Arial" w:cs="Arial"/>
          <w:i/>
          <w:lang w:val="en"/>
        </w:rPr>
        <w:t>erbs</w:t>
      </w:r>
      <w:proofErr w:type="spellEnd"/>
      <w:r>
        <w:rPr>
          <w:rFonts w:ascii="Arial" w:hAnsi="Arial" w:cs="Arial"/>
          <w:i/>
          <w:lang w:val="en-MY"/>
        </w:rPr>
        <w:t xml:space="preserve">, </w:t>
      </w:r>
      <w:r>
        <w:rPr>
          <w:rFonts w:ascii="Arial" w:hAnsi="Arial" w:cs="Arial"/>
          <w:i/>
          <w:lang w:val="en"/>
        </w:rPr>
        <w:t>HPLC</w:t>
      </w:r>
      <w:r>
        <w:rPr>
          <w:rFonts w:ascii="Arial" w:hAnsi="Arial" w:cs="Arial"/>
          <w:i/>
          <w:lang w:val="en-MY"/>
        </w:rPr>
        <w:t>,</w:t>
      </w:r>
      <w:r>
        <w:rPr>
          <w:rFonts w:ascii="Arial" w:hAnsi="Arial" w:cs="Arial"/>
          <w:i/>
          <w:lang w:val="en"/>
        </w:rPr>
        <w:t xml:space="preserve"> </w:t>
      </w:r>
      <w:r>
        <w:rPr>
          <w:rFonts w:ascii="Arial" w:hAnsi="Arial" w:cs="Arial"/>
          <w:i/>
        </w:rPr>
        <w:t>P</w:t>
      </w:r>
      <w:proofErr w:type="spellStart"/>
      <w:r>
        <w:rPr>
          <w:rFonts w:ascii="Arial" w:hAnsi="Arial" w:cs="Arial"/>
          <w:i/>
          <w:lang w:val="en"/>
        </w:rPr>
        <w:t>hytochemicals</w:t>
      </w:r>
      <w:proofErr w:type="spellEnd"/>
      <w:r>
        <w:rPr>
          <w:rFonts w:ascii="Arial" w:hAnsi="Arial" w:cs="Arial"/>
          <w:i/>
          <w:lang w:val="en-MY"/>
        </w:rPr>
        <w:t>,</w:t>
      </w:r>
      <w:r>
        <w:rPr>
          <w:rFonts w:ascii="Arial" w:hAnsi="Arial" w:cs="Arial"/>
          <w:i/>
          <w:lang w:val="en"/>
        </w:rPr>
        <w:t xml:space="preserve"> </w:t>
      </w:r>
      <w:r>
        <w:rPr>
          <w:rFonts w:ascii="Arial" w:hAnsi="Arial" w:cs="Arial"/>
          <w:i/>
        </w:rPr>
        <w:t>P</w:t>
      </w:r>
      <w:proofErr w:type="spellStart"/>
      <w:r>
        <w:rPr>
          <w:rFonts w:ascii="Arial" w:hAnsi="Arial" w:cs="Arial"/>
          <w:i/>
          <w:lang w:val="en"/>
        </w:rPr>
        <w:t>ostharvest</w:t>
      </w:r>
      <w:proofErr w:type="spellEnd"/>
      <w:r>
        <w:rPr>
          <w:rFonts w:ascii="Arial" w:hAnsi="Arial" w:cs="Arial"/>
          <w:i/>
          <w:lang w:val="en-MY"/>
        </w:rPr>
        <w:t xml:space="preserve">, </w:t>
      </w:r>
      <w:r>
        <w:rPr>
          <w:rFonts w:ascii="Arial" w:hAnsi="Arial" w:cs="Arial"/>
          <w:i/>
        </w:rPr>
        <w:t>P</w:t>
      </w:r>
      <w:proofErr w:type="spellStart"/>
      <w:r>
        <w:rPr>
          <w:rFonts w:ascii="Arial" w:hAnsi="Arial" w:cs="Arial"/>
          <w:i/>
          <w:lang w:val="en"/>
        </w:rPr>
        <w:t>rocessing</w:t>
      </w:r>
      <w:proofErr w:type="spellEnd"/>
    </w:p>
    <w:p w:rsidR="00DD21CA" w:rsidRDefault="00DD21CA">
      <w:pPr>
        <w:pStyle w:val="Body"/>
        <w:spacing w:after="0"/>
        <w:rPr>
          <w:rFonts w:ascii="Arial" w:hAnsi="Arial" w:cs="Arial"/>
          <w:i/>
        </w:rPr>
      </w:pPr>
    </w:p>
    <w:p w:rsidR="00DD21CA" w:rsidRDefault="00EF432E">
      <w:pPr>
        <w:pStyle w:val="AbstHead"/>
        <w:spacing w:after="0"/>
        <w:jc w:val="both"/>
        <w:rPr>
          <w:rFonts w:ascii="Arial" w:hAnsi="Arial" w:cs="Arial"/>
        </w:rPr>
      </w:pPr>
      <w:r>
        <w:rPr>
          <w:rFonts w:ascii="Arial" w:hAnsi="Arial" w:cs="Arial"/>
        </w:rPr>
        <w:t xml:space="preserve">1. INTRODUCTION </w:t>
      </w:r>
    </w:p>
    <w:p w:rsidR="00DD21CA" w:rsidRDefault="00DD21CA">
      <w:pPr>
        <w:pStyle w:val="AbstHead"/>
        <w:spacing w:after="0"/>
        <w:jc w:val="both"/>
        <w:rPr>
          <w:rFonts w:ascii="Arial" w:hAnsi="Arial" w:cs="Arial"/>
        </w:rPr>
      </w:pPr>
    </w:p>
    <w:p w:rsidR="00DD21CA" w:rsidRDefault="00232767">
      <w:pPr>
        <w:pStyle w:val="Body"/>
        <w:spacing w:after="0"/>
        <w:rPr>
          <w:rFonts w:ascii="Arial" w:hAnsi="Arial" w:cs="Arial"/>
          <w:lang w:val="en-MY"/>
        </w:rPr>
      </w:pPr>
      <w:r>
        <w:rPr>
          <w:rFonts w:ascii="Arial" w:hAnsi="Arial" w:cs="Arial"/>
          <w:i/>
          <w:iCs/>
        </w:rPr>
        <w:t>“</w:t>
      </w:r>
      <w:proofErr w:type="spellStart"/>
      <w:r w:rsidR="00EF432E">
        <w:rPr>
          <w:rFonts w:ascii="Arial" w:hAnsi="Arial" w:cs="Arial"/>
          <w:i/>
          <w:iCs/>
        </w:rPr>
        <w:t>Persicaria</w:t>
      </w:r>
      <w:proofErr w:type="spellEnd"/>
      <w:r w:rsidR="00EF432E">
        <w:rPr>
          <w:rFonts w:ascii="Arial" w:hAnsi="Arial" w:cs="Arial"/>
          <w:i/>
          <w:iCs/>
        </w:rPr>
        <w:t xml:space="preserve"> minor </w:t>
      </w:r>
      <w:r w:rsidR="00EF432E">
        <w:rPr>
          <w:rFonts w:ascii="Arial" w:hAnsi="Arial" w:cs="Arial"/>
        </w:rPr>
        <w:t>(</w:t>
      </w:r>
      <w:proofErr w:type="spellStart"/>
      <w:r w:rsidR="00EF432E">
        <w:rPr>
          <w:rFonts w:ascii="Arial" w:hAnsi="Arial" w:cs="Arial"/>
        </w:rPr>
        <w:t>Huds</w:t>
      </w:r>
      <w:proofErr w:type="spellEnd"/>
      <w:r w:rsidR="00EF432E">
        <w:rPr>
          <w:rFonts w:ascii="Arial" w:hAnsi="Arial" w:cs="Arial"/>
        </w:rPr>
        <w:t xml:space="preserve">.) </w:t>
      </w:r>
      <w:proofErr w:type="spellStart"/>
      <w:r w:rsidR="00EF432E">
        <w:rPr>
          <w:rFonts w:ascii="Arial" w:hAnsi="Arial" w:cs="Arial"/>
        </w:rPr>
        <w:t>Opiz</w:t>
      </w:r>
      <w:proofErr w:type="spellEnd"/>
      <w:r w:rsidR="00EF432E">
        <w:rPr>
          <w:rFonts w:ascii="Arial" w:hAnsi="Arial" w:cs="Arial"/>
        </w:rPr>
        <w:t xml:space="preserve">, synonymously known as </w:t>
      </w:r>
      <w:r w:rsidR="00EF432E">
        <w:rPr>
          <w:rFonts w:ascii="Arial" w:hAnsi="Arial" w:cs="Arial"/>
          <w:i/>
          <w:iCs/>
        </w:rPr>
        <w:t>Polygonum minus</w:t>
      </w:r>
      <w:r w:rsidR="00EF432E">
        <w:rPr>
          <w:rFonts w:ascii="Arial" w:hAnsi="Arial" w:cs="Arial"/>
        </w:rPr>
        <w:t xml:space="preserve"> and </w:t>
      </w:r>
      <w:r w:rsidR="00EF432E">
        <w:rPr>
          <w:rFonts w:ascii="Arial" w:hAnsi="Arial" w:cs="Arial"/>
          <w:lang w:val="en-MY"/>
        </w:rPr>
        <w:t>local</w:t>
      </w:r>
      <w:proofErr w:type="spellStart"/>
      <w:r w:rsidR="00EF432E">
        <w:rPr>
          <w:rFonts w:ascii="Arial" w:hAnsi="Arial" w:cs="Arial"/>
        </w:rPr>
        <w:t>ly</w:t>
      </w:r>
      <w:proofErr w:type="spellEnd"/>
      <w:r w:rsidR="00EF432E">
        <w:rPr>
          <w:rFonts w:ascii="Arial" w:hAnsi="Arial" w:cs="Arial"/>
        </w:rPr>
        <w:t xml:space="preserve"> </w:t>
      </w:r>
      <w:r w:rsidR="00EF432E">
        <w:rPr>
          <w:rFonts w:ascii="Arial" w:hAnsi="Arial" w:cs="Arial"/>
          <w:lang w:val="en-MY"/>
        </w:rPr>
        <w:t xml:space="preserve">referred to </w:t>
      </w:r>
      <w:r w:rsidR="00EF432E">
        <w:rPr>
          <w:rFonts w:ascii="Arial" w:hAnsi="Arial" w:cs="Arial"/>
        </w:rPr>
        <w:t xml:space="preserve">as </w:t>
      </w:r>
      <w:proofErr w:type="spellStart"/>
      <w:r w:rsidR="00EF432E">
        <w:rPr>
          <w:rFonts w:ascii="Arial" w:hAnsi="Arial" w:cs="Arial"/>
          <w:i/>
          <w:iCs/>
        </w:rPr>
        <w:t>kesum</w:t>
      </w:r>
      <w:proofErr w:type="spellEnd"/>
      <w:r w:rsidR="00EF432E">
        <w:rPr>
          <w:rFonts w:ascii="Arial" w:hAnsi="Arial" w:cs="Arial"/>
        </w:rPr>
        <w:t xml:space="preserve">, is a shrubby, aromatic herb </w:t>
      </w:r>
      <w:r w:rsidR="00EF432E">
        <w:rPr>
          <w:rFonts w:ascii="Arial" w:hAnsi="Arial" w:cs="Arial"/>
          <w:lang w:val="en-MY"/>
        </w:rPr>
        <w:t>of</w:t>
      </w:r>
      <w:r w:rsidR="00EF432E">
        <w:rPr>
          <w:rFonts w:ascii="Arial" w:hAnsi="Arial" w:cs="Arial"/>
        </w:rPr>
        <w:t xml:space="preserve"> the family </w:t>
      </w:r>
      <w:proofErr w:type="spellStart"/>
      <w:r w:rsidR="00EF432E">
        <w:rPr>
          <w:rFonts w:ascii="Arial" w:hAnsi="Arial" w:cs="Arial"/>
        </w:rPr>
        <w:t>Polygonaceae</w:t>
      </w:r>
      <w:proofErr w:type="spellEnd"/>
      <w:r w:rsidR="00EF432E">
        <w:rPr>
          <w:rFonts w:ascii="Arial" w:hAnsi="Arial" w:cs="Arial"/>
        </w:rPr>
        <w:t>. Native to Southeast Asia, it is predominantly found in Malaysia, Indonesia, Thailand and Vietnam, but its distribution also extends to parts of Europe and Australia</w:t>
      </w:r>
      <w:r>
        <w:rPr>
          <w:rFonts w:ascii="Arial" w:hAnsi="Arial" w:cs="Arial"/>
        </w:rPr>
        <w:t>”</w:t>
      </w:r>
      <w:r w:rsidR="00EF432E">
        <w:rPr>
          <w:rFonts w:ascii="Arial" w:hAnsi="Arial" w:cs="Arial"/>
        </w:rPr>
        <w:t xml:space="preserve"> (</w:t>
      </w:r>
      <w:proofErr w:type="spellStart"/>
      <w:r w:rsidR="00EF432E">
        <w:rPr>
          <w:rFonts w:ascii="Arial" w:hAnsi="Arial" w:cs="Arial"/>
        </w:rPr>
        <w:t>Christapher</w:t>
      </w:r>
      <w:proofErr w:type="spellEnd"/>
      <w:r w:rsidR="00EF432E">
        <w:rPr>
          <w:rFonts w:ascii="Arial" w:hAnsi="Arial" w:cs="Arial"/>
        </w:rPr>
        <w:t xml:space="preserve"> et al., 2015</w:t>
      </w:r>
      <w:r w:rsidR="00EF432E">
        <w:rPr>
          <w:rFonts w:ascii="Arial" w:hAnsi="Arial" w:cs="Arial"/>
          <w:lang w:val="en-MY"/>
        </w:rPr>
        <w:t xml:space="preserve">; </w:t>
      </w:r>
      <w:r w:rsidR="00EF432E">
        <w:rPr>
          <w:rFonts w:ascii="Arial" w:hAnsi="Arial" w:cs="Arial"/>
        </w:rPr>
        <w:t>Lau et al., 2020</w:t>
      </w:r>
      <w:r w:rsidR="00706E89">
        <w:rPr>
          <w:rFonts w:ascii="Arial" w:hAnsi="Arial" w:cs="Arial"/>
        </w:rPr>
        <w:t xml:space="preserve">; </w:t>
      </w:r>
      <w:proofErr w:type="spellStart"/>
      <w:r w:rsidR="00706E89" w:rsidRPr="00706E89">
        <w:rPr>
          <w:rFonts w:ascii="Arial" w:hAnsi="Arial" w:cs="Arial"/>
        </w:rPr>
        <w:t>Mohd</w:t>
      </w:r>
      <w:proofErr w:type="spellEnd"/>
      <w:r w:rsidR="00706E89">
        <w:rPr>
          <w:rFonts w:ascii="Arial" w:hAnsi="Arial" w:cs="Arial"/>
        </w:rPr>
        <w:t xml:space="preserve"> et al., 2018</w:t>
      </w:r>
      <w:r w:rsidR="00EF432E">
        <w:rPr>
          <w:rFonts w:ascii="Arial" w:hAnsi="Arial" w:cs="Arial"/>
        </w:rPr>
        <w:t>).</w:t>
      </w:r>
      <w:r w:rsidR="00EF432E">
        <w:rPr>
          <w:rFonts w:ascii="Arial" w:hAnsi="Arial" w:cs="Arial"/>
          <w:lang w:val="en-MY"/>
        </w:rPr>
        <w:t xml:space="preserve"> </w:t>
      </w:r>
      <w:r>
        <w:rPr>
          <w:rFonts w:ascii="Arial" w:hAnsi="Arial" w:cs="Arial"/>
          <w:lang w:val="en-MY"/>
        </w:rPr>
        <w:t>“</w:t>
      </w:r>
      <w:r w:rsidR="00EF432E">
        <w:rPr>
          <w:rFonts w:ascii="Arial" w:hAnsi="Arial" w:cs="Arial"/>
        </w:rPr>
        <w:t xml:space="preserve">Depending on the region, </w:t>
      </w:r>
      <w:r w:rsidR="00EF432E">
        <w:rPr>
          <w:rFonts w:ascii="Arial" w:hAnsi="Arial" w:cs="Arial"/>
          <w:i/>
          <w:iCs/>
          <w:lang w:val="en-MY"/>
        </w:rPr>
        <w:t>P.</w:t>
      </w:r>
      <w:r w:rsidR="00EF432E">
        <w:rPr>
          <w:rFonts w:ascii="Arial" w:hAnsi="Arial" w:cs="Arial"/>
          <w:i/>
          <w:iCs/>
        </w:rPr>
        <w:t xml:space="preserve"> </w:t>
      </w:r>
      <w:r w:rsidR="00EF432E">
        <w:rPr>
          <w:rFonts w:ascii="Arial" w:hAnsi="Arial" w:cs="Arial"/>
          <w:i/>
          <w:iCs/>
          <w:lang w:val="en-MY"/>
        </w:rPr>
        <w:t>minor</w:t>
      </w:r>
      <w:r w:rsidR="00EF432E">
        <w:rPr>
          <w:rFonts w:ascii="Arial" w:hAnsi="Arial" w:cs="Arial"/>
          <w:i/>
          <w:iCs/>
        </w:rPr>
        <w:t xml:space="preserve"> </w:t>
      </w:r>
      <w:r w:rsidR="00EF432E">
        <w:rPr>
          <w:rFonts w:ascii="Arial" w:hAnsi="Arial" w:cs="Arial"/>
        </w:rPr>
        <w:t xml:space="preserve">is known by various vernacular names, including </w:t>
      </w:r>
      <w:r w:rsidR="00EF432E">
        <w:rPr>
          <w:rFonts w:ascii="Arial" w:hAnsi="Arial" w:cs="Arial"/>
          <w:i/>
          <w:iCs/>
        </w:rPr>
        <w:t>laksa</w:t>
      </w:r>
      <w:r w:rsidR="00EF432E">
        <w:rPr>
          <w:rFonts w:ascii="Arial" w:hAnsi="Arial" w:cs="Arial"/>
        </w:rPr>
        <w:t xml:space="preserve"> leaf, Vietnamese coriander, Cambodian mint, </w:t>
      </w:r>
      <w:proofErr w:type="spellStart"/>
      <w:r w:rsidR="00EF432E">
        <w:rPr>
          <w:rFonts w:ascii="Arial" w:hAnsi="Arial" w:cs="Arial"/>
          <w:i/>
          <w:iCs/>
        </w:rPr>
        <w:t>pakphai</w:t>
      </w:r>
      <w:proofErr w:type="spellEnd"/>
      <w:r w:rsidR="00EF432E">
        <w:rPr>
          <w:rFonts w:ascii="Arial" w:hAnsi="Arial" w:cs="Arial"/>
          <w:i/>
          <w:iCs/>
        </w:rPr>
        <w:t xml:space="preserve"> </w:t>
      </w:r>
      <w:r w:rsidR="00EF432E">
        <w:rPr>
          <w:rFonts w:ascii="Arial" w:hAnsi="Arial" w:cs="Arial"/>
        </w:rPr>
        <w:t>(Thai)</w:t>
      </w:r>
      <w:r w:rsidR="00EF432E">
        <w:rPr>
          <w:rFonts w:ascii="Arial" w:hAnsi="Arial" w:cs="Arial"/>
          <w:lang w:val="en-MY"/>
        </w:rPr>
        <w:t>,</w:t>
      </w:r>
      <w:r w:rsidR="00EF432E">
        <w:rPr>
          <w:rFonts w:ascii="Arial" w:hAnsi="Arial" w:cs="Arial"/>
        </w:rPr>
        <w:t xml:space="preserve"> </w:t>
      </w:r>
      <w:proofErr w:type="spellStart"/>
      <w:r w:rsidR="00EF432E">
        <w:rPr>
          <w:rFonts w:ascii="Arial" w:hAnsi="Arial" w:cs="Arial"/>
          <w:i/>
          <w:iCs/>
        </w:rPr>
        <w:t>rau</w:t>
      </w:r>
      <w:proofErr w:type="spellEnd"/>
      <w:r w:rsidR="00EF432E">
        <w:rPr>
          <w:rFonts w:ascii="Arial" w:hAnsi="Arial" w:cs="Arial"/>
          <w:i/>
          <w:iCs/>
        </w:rPr>
        <w:t xml:space="preserve"> ram</w:t>
      </w:r>
      <w:r w:rsidR="00EF432E">
        <w:rPr>
          <w:rFonts w:ascii="Arial" w:hAnsi="Arial" w:cs="Arial"/>
        </w:rPr>
        <w:t xml:space="preserve"> (Vietnam)</w:t>
      </w:r>
      <w:r w:rsidR="00EF432E">
        <w:rPr>
          <w:rFonts w:ascii="Arial" w:hAnsi="Arial" w:cs="Arial"/>
          <w:lang w:val="en-MY"/>
        </w:rPr>
        <w:t xml:space="preserve"> </w:t>
      </w:r>
      <w:r w:rsidR="00EF432E">
        <w:rPr>
          <w:rFonts w:ascii="Arial" w:hAnsi="Arial" w:cs="Arial"/>
        </w:rPr>
        <w:t>and</w:t>
      </w:r>
      <w:r w:rsidR="00EF432E">
        <w:rPr>
          <w:rFonts w:ascii="Arial" w:hAnsi="Arial" w:cs="Arial"/>
          <w:lang w:val="en-MY"/>
        </w:rPr>
        <w:t xml:space="preserve"> </w:t>
      </w:r>
      <w:proofErr w:type="spellStart"/>
      <w:r w:rsidR="00EF432E">
        <w:rPr>
          <w:rFonts w:ascii="Arial" w:hAnsi="Arial" w:cs="Arial"/>
          <w:i/>
          <w:iCs/>
          <w:lang w:val="en-MY"/>
        </w:rPr>
        <w:t>cenohom</w:t>
      </w:r>
      <w:proofErr w:type="spellEnd"/>
      <w:r w:rsidR="00EF432E">
        <w:rPr>
          <w:rFonts w:ascii="Arial" w:hAnsi="Arial" w:cs="Arial"/>
          <w:lang w:val="en-MY"/>
        </w:rPr>
        <w:t xml:space="preserve"> (Brunei)</w:t>
      </w:r>
      <w:r>
        <w:rPr>
          <w:rFonts w:ascii="Arial" w:hAnsi="Arial" w:cs="Arial"/>
          <w:lang w:val="en-MY"/>
        </w:rPr>
        <w:t>”</w:t>
      </w:r>
      <w:r w:rsidR="00EF432E">
        <w:rPr>
          <w:rFonts w:ascii="Arial" w:hAnsi="Arial" w:cs="Arial"/>
          <w:lang w:val="en-MY"/>
        </w:rPr>
        <w:t xml:space="preserve"> (Abdullah et al.</w:t>
      </w:r>
      <w:r w:rsidR="00EF432E">
        <w:rPr>
          <w:rFonts w:ascii="Arial" w:hAnsi="Arial" w:cs="Arial"/>
        </w:rPr>
        <w:t>,</w:t>
      </w:r>
      <w:r w:rsidR="00EF432E">
        <w:rPr>
          <w:rFonts w:ascii="Arial" w:hAnsi="Arial" w:cs="Arial"/>
          <w:lang w:val="en-MY"/>
        </w:rPr>
        <w:t xml:space="preserve"> 2017)</w:t>
      </w:r>
      <w:r w:rsidR="00EF432E">
        <w:rPr>
          <w:rFonts w:ascii="Arial" w:hAnsi="Arial" w:cs="Arial"/>
        </w:rPr>
        <w:t xml:space="preserve">, </w:t>
      </w:r>
      <w:r>
        <w:rPr>
          <w:rFonts w:ascii="Arial" w:hAnsi="Arial" w:cs="Arial"/>
        </w:rPr>
        <w:t>“</w:t>
      </w:r>
      <w:r w:rsidR="00EF432E">
        <w:rPr>
          <w:rFonts w:ascii="Arial" w:hAnsi="Arial" w:cs="Arial"/>
        </w:rPr>
        <w:t xml:space="preserve">reflecting its cultural and culinary significance across different countries. The leaves can be eaten raw as </w:t>
      </w:r>
      <w:proofErr w:type="spellStart"/>
      <w:r w:rsidR="00EF432E">
        <w:rPr>
          <w:rFonts w:ascii="Arial" w:hAnsi="Arial" w:cs="Arial"/>
          <w:i/>
          <w:iCs/>
        </w:rPr>
        <w:t>ulam</w:t>
      </w:r>
      <w:proofErr w:type="spellEnd"/>
      <w:r w:rsidR="00EF432E">
        <w:rPr>
          <w:rFonts w:ascii="Arial" w:hAnsi="Arial" w:cs="Arial"/>
        </w:rPr>
        <w:t xml:space="preserve">, equivalent to salad in other countries, and are often used as </w:t>
      </w:r>
      <w:proofErr w:type="spellStart"/>
      <w:r w:rsidR="00EF432E">
        <w:rPr>
          <w:rFonts w:ascii="Arial" w:hAnsi="Arial" w:cs="Arial"/>
        </w:rPr>
        <w:t>flavouring</w:t>
      </w:r>
      <w:proofErr w:type="spellEnd"/>
      <w:r w:rsidR="00EF432E">
        <w:rPr>
          <w:rFonts w:ascii="Arial" w:hAnsi="Arial" w:cs="Arial"/>
        </w:rPr>
        <w:t xml:space="preserve"> ingredient due to their strong aroma and </w:t>
      </w:r>
      <w:proofErr w:type="spellStart"/>
      <w:r w:rsidR="00EF432E">
        <w:rPr>
          <w:rFonts w:ascii="Arial" w:hAnsi="Arial" w:cs="Arial"/>
        </w:rPr>
        <w:t>fragran</w:t>
      </w:r>
      <w:r w:rsidR="00EF432E">
        <w:rPr>
          <w:rFonts w:ascii="Arial" w:hAnsi="Arial" w:cs="Arial"/>
          <w:lang w:val="en-MY"/>
        </w:rPr>
        <w:t>ce</w:t>
      </w:r>
      <w:proofErr w:type="spellEnd"/>
      <w:r w:rsidR="00877834">
        <w:rPr>
          <w:rFonts w:ascii="Arial" w:hAnsi="Arial" w:cs="Arial"/>
          <w:lang w:val="en-MY"/>
        </w:rPr>
        <w:t>”</w:t>
      </w:r>
      <w:r w:rsidR="00EF432E">
        <w:rPr>
          <w:rFonts w:ascii="Arial" w:hAnsi="Arial" w:cs="Arial"/>
        </w:rPr>
        <w:t xml:space="preserve"> (Vimala et al., 2011). </w:t>
      </w:r>
    </w:p>
    <w:p w:rsidR="00DD21CA" w:rsidRDefault="00DD21CA">
      <w:pPr>
        <w:pStyle w:val="Body"/>
        <w:spacing w:after="0"/>
        <w:rPr>
          <w:rFonts w:ascii="Arial" w:hAnsi="Arial" w:cs="Arial"/>
          <w:lang w:val="en-MY"/>
        </w:rPr>
      </w:pPr>
    </w:p>
    <w:p w:rsidR="00DD21CA" w:rsidRDefault="00232767">
      <w:pPr>
        <w:pStyle w:val="Body"/>
        <w:spacing w:after="0"/>
        <w:rPr>
          <w:rFonts w:ascii="Arial" w:hAnsi="Arial" w:cs="Arial"/>
        </w:rPr>
      </w:pPr>
      <w:r>
        <w:rPr>
          <w:rFonts w:ascii="Arial" w:hAnsi="Arial" w:cs="Arial"/>
        </w:rPr>
        <w:lastRenderedPageBreak/>
        <w:t>“</w:t>
      </w:r>
      <w:r w:rsidR="00EF432E">
        <w:rPr>
          <w:rFonts w:ascii="Arial" w:hAnsi="Arial" w:cs="Arial"/>
        </w:rPr>
        <w:t>Phytochemical investigations have revealed that</w:t>
      </w:r>
      <w:r w:rsidR="00EF432E">
        <w:rPr>
          <w:rFonts w:ascii="Arial" w:hAnsi="Arial" w:cs="Arial"/>
          <w:i/>
          <w:iCs/>
        </w:rPr>
        <w:t xml:space="preserve"> P. minor </w:t>
      </w:r>
      <w:r w:rsidR="00EF432E">
        <w:rPr>
          <w:rFonts w:ascii="Arial" w:hAnsi="Arial" w:cs="Arial"/>
        </w:rPr>
        <w:t>contains various classes of bioactive compounds</w:t>
      </w:r>
      <w:r w:rsidR="00EF432E">
        <w:rPr>
          <w:rFonts w:ascii="Arial" w:hAnsi="Arial" w:cs="Arial"/>
          <w:lang w:val="en-MY"/>
        </w:rPr>
        <w:t xml:space="preserve">. </w:t>
      </w:r>
      <w:r w:rsidR="00EF432E">
        <w:rPr>
          <w:rFonts w:ascii="Arial" w:hAnsi="Arial" w:cs="Arial"/>
        </w:rPr>
        <w:t xml:space="preserve">The distinctive aroma and fragrant nature of </w:t>
      </w:r>
      <w:r w:rsidR="00EF432E">
        <w:rPr>
          <w:rFonts w:ascii="Arial" w:hAnsi="Arial" w:cs="Arial"/>
          <w:i/>
          <w:iCs/>
          <w:lang w:val="en-MY"/>
        </w:rPr>
        <w:t>P. minor</w:t>
      </w:r>
      <w:r w:rsidR="00EF432E">
        <w:rPr>
          <w:rFonts w:ascii="Arial" w:hAnsi="Arial" w:cs="Arial"/>
          <w:i/>
          <w:iCs/>
        </w:rPr>
        <w:t xml:space="preserve"> </w:t>
      </w:r>
      <w:r w:rsidR="00EF432E">
        <w:rPr>
          <w:rFonts w:ascii="Arial" w:hAnsi="Arial" w:cs="Arial"/>
        </w:rPr>
        <w:t>are attributed to its high content of volatile aromatic essential oils (72.54%), which are mainly sesquiterpenes and aliphatic aldehydes.</w:t>
      </w:r>
      <w:r w:rsidR="00EF432E">
        <w:rPr>
          <w:rFonts w:ascii="Arial" w:hAnsi="Arial" w:cs="Arial"/>
          <w:lang w:val="en-MY"/>
        </w:rPr>
        <w:t xml:space="preserve"> </w:t>
      </w:r>
      <w:r w:rsidR="00EF432E">
        <w:rPr>
          <w:rFonts w:ascii="Arial" w:hAnsi="Arial" w:cs="Arial"/>
        </w:rPr>
        <w:t>Approximately, 77 compounds have been identified by gas chromatography mass spectrometry (GC-MS)</w:t>
      </w:r>
      <w:r w:rsidR="00877834">
        <w:rPr>
          <w:rFonts w:ascii="Arial" w:hAnsi="Arial" w:cs="Arial"/>
        </w:rPr>
        <w:t>”</w:t>
      </w:r>
      <w:r w:rsidR="00EF432E">
        <w:rPr>
          <w:rFonts w:ascii="Arial" w:hAnsi="Arial" w:cs="Arial"/>
          <w:lang w:val="en-MY"/>
        </w:rPr>
        <w:t xml:space="preserve"> (Abdullah et al., 2015)</w:t>
      </w:r>
      <w:r w:rsidR="00EF432E">
        <w:rPr>
          <w:rFonts w:ascii="Arial" w:hAnsi="Arial" w:cs="Arial"/>
        </w:rPr>
        <w:t xml:space="preserve">. </w:t>
      </w:r>
      <w:r>
        <w:rPr>
          <w:rFonts w:ascii="Arial" w:hAnsi="Arial" w:cs="Arial"/>
        </w:rPr>
        <w:t>“</w:t>
      </w:r>
      <w:r w:rsidR="00EF432E">
        <w:rPr>
          <w:rFonts w:ascii="Arial" w:hAnsi="Arial" w:cs="Arial"/>
        </w:rPr>
        <w:t xml:space="preserve">The major natural aliphatic aldehydes are </w:t>
      </w:r>
      <w:proofErr w:type="gramStart"/>
      <w:r w:rsidR="00EF432E">
        <w:rPr>
          <w:rFonts w:ascii="Arial" w:hAnsi="Arial" w:cs="Arial"/>
        </w:rPr>
        <w:t>decanal</w:t>
      </w:r>
      <w:proofErr w:type="gramEnd"/>
      <w:r w:rsidR="00EF432E">
        <w:rPr>
          <w:rFonts w:ascii="Arial" w:hAnsi="Arial" w:cs="Arial"/>
        </w:rPr>
        <w:t xml:space="preserve"> (24.36%) and dodecanal (48.18%). Other volatile compounds include 1-decanol (2.49%), 1-dodecanol (2.44%), undecanal (1.77%), </w:t>
      </w:r>
      <w:proofErr w:type="spellStart"/>
      <w:r w:rsidR="00EF432E">
        <w:rPr>
          <w:rFonts w:ascii="Arial" w:hAnsi="Arial" w:cs="Arial"/>
        </w:rPr>
        <w:t>tetradecanal</w:t>
      </w:r>
      <w:proofErr w:type="spellEnd"/>
      <w:r w:rsidR="00EF432E">
        <w:rPr>
          <w:rFonts w:ascii="Arial" w:hAnsi="Arial" w:cs="Arial"/>
        </w:rPr>
        <w:t xml:space="preserve"> (1.42%), 1-undecanol (1.41%), nonanal (0.86%), 1-nonanol (0.76%) and β-caryophyllene (0.18%).</w:t>
      </w:r>
      <w:r w:rsidR="00EF432E">
        <w:rPr>
          <w:rFonts w:ascii="Arial" w:hAnsi="Arial" w:cs="Arial"/>
          <w:lang w:val="en-MY"/>
        </w:rPr>
        <w:t xml:space="preserve"> </w:t>
      </w:r>
      <w:r w:rsidR="00EF432E">
        <w:rPr>
          <w:rFonts w:ascii="Arial" w:hAnsi="Arial" w:cs="Arial"/>
        </w:rPr>
        <w:t>In addition to the</w:t>
      </w:r>
      <w:r w:rsidR="00EF432E">
        <w:rPr>
          <w:rFonts w:ascii="Arial" w:hAnsi="Arial" w:cs="Arial"/>
          <w:lang w:val="en-MY"/>
        </w:rPr>
        <w:t>se</w:t>
      </w:r>
      <w:r w:rsidR="00EF432E">
        <w:rPr>
          <w:rFonts w:ascii="Arial" w:hAnsi="Arial" w:cs="Arial"/>
        </w:rPr>
        <w:t xml:space="preserve"> volatile compounds,</w:t>
      </w:r>
      <w:r w:rsidR="00EF432E">
        <w:rPr>
          <w:rFonts w:ascii="Arial" w:hAnsi="Arial" w:cs="Arial"/>
          <w:lang w:val="en-MY"/>
        </w:rPr>
        <w:t xml:space="preserve"> </w:t>
      </w:r>
      <w:r w:rsidR="00EF432E">
        <w:rPr>
          <w:rFonts w:ascii="Arial" w:hAnsi="Arial" w:cs="Arial"/>
          <w:i/>
          <w:iCs/>
          <w:lang w:val="en-MY"/>
        </w:rPr>
        <w:t>P. minor</w:t>
      </w:r>
      <w:r w:rsidR="00EF432E">
        <w:rPr>
          <w:rFonts w:ascii="Arial" w:hAnsi="Arial" w:cs="Arial"/>
          <w:lang w:val="en-MY"/>
        </w:rPr>
        <w:t xml:space="preserve"> contains </w:t>
      </w:r>
      <w:r w:rsidR="00EF432E">
        <w:rPr>
          <w:rFonts w:ascii="Arial" w:hAnsi="Arial" w:cs="Arial"/>
        </w:rPr>
        <w:t xml:space="preserve">specific flavonoids such as myricetin, quercetin, </w:t>
      </w:r>
      <w:proofErr w:type="spellStart"/>
      <w:r w:rsidR="00EF432E">
        <w:rPr>
          <w:rFonts w:ascii="Arial" w:hAnsi="Arial" w:cs="Arial"/>
        </w:rPr>
        <w:t>isoquercetin</w:t>
      </w:r>
      <w:proofErr w:type="spellEnd"/>
      <w:r w:rsidR="00EF432E">
        <w:rPr>
          <w:rFonts w:ascii="Arial" w:hAnsi="Arial" w:cs="Arial"/>
        </w:rPr>
        <w:t xml:space="preserve">, </w:t>
      </w:r>
      <w:proofErr w:type="spellStart"/>
      <w:r w:rsidR="00EF432E">
        <w:rPr>
          <w:rFonts w:ascii="Arial" w:hAnsi="Arial" w:cs="Arial"/>
        </w:rPr>
        <w:t>rutin</w:t>
      </w:r>
      <w:proofErr w:type="spellEnd"/>
      <w:r w:rsidR="00EF432E">
        <w:rPr>
          <w:rFonts w:ascii="Arial" w:hAnsi="Arial" w:cs="Arial"/>
        </w:rPr>
        <w:t xml:space="preserve">, catechin and quercetin-3-O-glucuronide (Q3G), all of which contribute to </w:t>
      </w:r>
      <w:r w:rsidR="00EF432E">
        <w:rPr>
          <w:rFonts w:ascii="Arial" w:hAnsi="Arial" w:cs="Arial"/>
          <w:lang w:val="en-MY"/>
        </w:rPr>
        <w:t>its</w:t>
      </w:r>
      <w:r w:rsidR="00EF432E">
        <w:rPr>
          <w:rFonts w:ascii="Arial" w:hAnsi="Arial" w:cs="Arial"/>
        </w:rPr>
        <w:t xml:space="preserve"> diverse pharmacological activities</w:t>
      </w:r>
      <w:r>
        <w:rPr>
          <w:rFonts w:ascii="Arial" w:hAnsi="Arial" w:cs="Arial"/>
        </w:rPr>
        <w:t>”</w:t>
      </w:r>
      <w:r w:rsidR="00EF432E">
        <w:rPr>
          <w:rFonts w:ascii="Arial" w:hAnsi="Arial" w:cs="Arial"/>
          <w:lang w:val="en-MY"/>
        </w:rPr>
        <w:t xml:space="preserve"> </w:t>
      </w:r>
      <w:r w:rsidR="00EF432E">
        <w:rPr>
          <w:rFonts w:ascii="Arial" w:hAnsi="Arial" w:cs="Arial"/>
          <w:lang w:eastAsia="zh-CN"/>
        </w:rPr>
        <w:t>(</w:t>
      </w:r>
      <w:proofErr w:type="spellStart"/>
      <w:r w:rsidR="00EF432E">
        <w:rPr>
          <w:rFonts w:ascii="Arial" w:hAnsi="Arial" w:cs="Arial"/>
          <w:lang w:eastAsia="zh-CN"/>
        </w:rPr>
        <w:t>Christapher</w:t>
      </w:r>
      <w:proofErr w:type="spellEnd"/>
      <w:r w:rsidR="00EF432E">
        <w:rPr>
          <w:rFonts w:ascii="Arial" w:hAnsi="Arial" w:cs="Arial"/>
          <w:lang w:eastAsia="zh-CN"/>
        </w:rPr>
        <w:t xml:space="preserve"> et al., 2015)</w:t>
      </w:r>
      <w:r w:rsidR="00EF432E">
        <w:rPr>
          <w:rFonts w:ascii="Arial" w:hAnsi="Arial" w:cs="Arial"/>
        </w:rPr>
        <w:t xml:space="preserve">. </w:t>
      </w:r>
      <w:r>
        <w:rPr>
          <w:rFonts w:ascii="Arial" w:hAnsi="Arial" w:cs="Arial"/>
        </w:rPr>
        <w:t>“</w:t>
      </w:r>
      <w:r w:rsidR="00EF432E">
        <w:rPr>
          <w:rFonts w:ascii="Arial" w:hAnsi="Arial" w:cs="Arial"/>
        </w:rPr>
        <w:t xml:space="preserve">These bioactive compounds are largely responsible for </w:t>
      </w:r>
      <w:r w:rsidR="00EF432E">
        <w:rPr>
          <w:rFonts w:ascii="Arial" w:hAnsi="Arial" w:cs="Arial"/>
          <w:lang w:val="en-MY"/>
        </w:rPr>
        <w:t xml:space="preserve">its </w:t>
      </w:r>
      <w:r w:rsidR="00EF432E">
        <w:rPr>
          <w:rFonts w:ascii="Arial" w:hAnsi="Arial" w:cs="Arial"/>
          <w:lang w:val="en-MY" w:eastAsia="zh-CN"/>
        </w:rPr>
        <w:t xml:space="preserve">antioxidant, antimicrobial, anticancer, immunostimulant </w:t>
      </w:r>
      <w:r w:rsidR="00EF432E">
        <w:rPr>
          <w:rFonts w:ascii="Arial" w:hAnsi="Arial" w:cs="Arial"/>
          <w:lang w:eastAsia="zh-CN"/>
        </w:rPr>
        <w:t>(</w:t>
      </w:r>
      <w:proofErr w:type="spellStart"/>
      <w:r w:rsidR="00EF432E">
        <w:rPr>
          <w:rFonts w:ascii="Arial" w:hAnsi="Arial" w:cs="Arial"/>
          <w:lang w:eastAsia="zh-CN"/>
        </w:rPr>
        <w:t>Christapher</w:t>
      </w:r>
      <w:proofErr w:type="spellEnd"/>
      <w:r w:rsidR="00EF432E">
        <w:rPr>
          <w:rFonts w:ascii="Arial" w:hAnsi="Arial" w:cs="Arial"/>
          <w:lang w:eastAsia="zh-CN"/>
        </w:rPr>
        <w:t xml:space="preserve"> et al., 2015), anti</w:t>
      </w:r>
      <w:r w:rsidR="00EF432E">
        <w:rPr>
          <w:rFonts w:ascii="Arial" w:hAnsi="Arial" w:cs="Arial"/>
          <w:lang w:val="en-MY" w:eastAsia="zh-CN"/>
        </w:rPr>
        <w:t>-</w:t>
      </w:r>
      <w:r w:rsidR="00EF432E">
        <w:rPr>
          <w:rFonts w:ascii="Arial" w:hAnsi="Arial" w:cs="Arial"/>
          <w:lang w:eastAsia="zh-CN"/>
        </w:rPr>
        <w:t>diarrheal, anti</w:t>
      </w:r>
      <w:r w:rsidR="00EF432E">
        <w:rPr>
          <w:rFonts w:ascii="Arial" w:hAnsi="Arial" w:cs="Arial"/>
          <w:lang w:val="en-MY" w:eastAsia="zh-CN"/>
        </w:rPr>
        <w:t>-</w:t>
      </w:r>
      <w:r w:rsidR="00EF432E">
        <w:rPr>
          <w:rFonts w:ascii="Arial" w:hAnsi="Arial" w:cs="Arial"/>
          <w:lang w:eastAsia="zh-CN"/>
        </w:rPr>
        <w:t xml:space="preserve">ulcer, </w:t>
      </w:r>
      <w:proofErr w:type="spellStart"/>
      <w:r w:rsidR="00EF432E">
        <w:rPr>
          <w:rFonts w:ascii="Arial" w:hAnsi="Arial" w:cs="Arial"/>
          <w:lang w:eastAsia="zh-CN"/>
        </w:rPr>
        <w:t>antiinflammatory</w:t>
      </w:r>
      <w:proofErr w:type="spellEnd"/>
      <w:r w:rsidR="00EF432E">
        <w:rPr>
          <w:rFonts w:ascii="Arial" w:hAnsi="Arial" w:cs="Arial"/>
          <w:lang w:eastAsia="zh-CN"/>
        </w:rPr>
        <w:t xml:space="preserve"> (Abubakar et al., 2015), anti-hyperlipidemic, anti-acetylcholinesterase and cytotoxicity</w:t>
      </w:r>
      <w:r>
        <w:rPr>
          <w:rFonts w:ascii="Arial" w:hAnsi="Arial" w:cs="Arial"/>
          <w:lang w:eastAsia="zh-CN"/>
        </w:rPr>
        <w:t xml:space="preserve">” </w:t>
      </w:r>
      <w:r w:rsidR="00EF432E">
        <w:rPr>
          <w:rFonts w:ascii="Arial" w:hAnsi="Arial" w:cs="Arial"/>
          <w:lang w:eastAsia="zh-CN"/>
        </w:rPr>
        <w:t>(Abdullah et al., 2015).</w:t>
      </w:r>
    </w:p>
    <w:p w:rsidR="00DD21CA" w:rsidRDefault="00EF432E">
      <w:pPr>
        <w:pStyle w:val="Body"/>
        <w:spacing w:after="0"/>
        <w:rPr>
          <w:rFonts w:ascii="Arial" w:hAnsi="Arial" w:cs="Arial"/>
          <w:lang w:val="en-MY"/>
        </w:rPr>
      </w:pPr>
      <w:r>
        <w:rPr>
          <w:rFonts w:ascii="Arial" w:hAnsi="Arial" w:cs="Arial"/>
        </w:rPr>
        <w:t xml:space="preserve"> </w:t>
      </w:r>
    </w:p>
    <w:p w:rsidR="00DD21CA" w:rsidRDefault="00232767">
      <w:pPr>
        <w:pStyle w:val="Body"/>
        <w:spacing w:after="0"/>
        <w:rPr>
          <w:rFonts w:ascii="Arial" w:hAnsi="Arial" w:cs="Arial"/>
          <w:lang w:val="en-MY"/>
        </w:rPr>
      </w:pPr>
      <w:r>
        <w:rPr>
          <w:rFonts w:ascii="Arial" w:hAnsi="Arial" w:cs="Arial"/>
          <w:lang w:val="en-MY"/>
        </w:rPr>
        <w:t>“</w:t>
      </w:r>
      <w:r w:rsidR="00EF432E">
        <w:rPr>
          <w:rFonts w:ascii="Arial" w:hAnsi="Arial" w:cs="Arial"/>
          <w:lang w:val="en-MY"/>
        </w:rPr>
        <w:t xml:space="preserve">Despite its promising bioactivity and widespread culinary use, </w:t>
      </w:r>
      <w:r w:rsidR="00EF432E">
        <w:rPr>
          <w:rFonts w:ascii="Arial" w:hAnsi="Arial" w:cs="Arial"/>
          <w:i/>
          <w:iCs/>
          <w:lang w:val="en-MY"/>
        </w:rPr>
        <w:t>P. minor</w:t>
      </w:r>
      <w:r w:rsidR="00EF432E">
        <w:rPr>
          <w:rFonts w:ascii="Arial" w:hAnsi="Arial" w:cs="Arial"/>
          <w:lang w:val="en-MY"/>
        </w:rPr>
        <w:t xml:space="preserve"> remains relatively underexplored compared to other herbal plants and commercial crops in Malaysia. Although traditionally valued, scientific investigations into its postharvest handling and phytochemical optimization are still limited. A major constraint to its commercial development is the lack of standardized postharvest and processing protocols that effectively preserve its bioactive constituents. Among these processes, drying plays a pivotal role by not only preventing deterioration, microbial contamination and enzymatic activity, thereby extending shelf life, but also by preserving essential phytochemicals that contribute to the plant's efficacy and functional properties</w:t>
      </w:r>
      <w:r>
        <w:rPr>
          <w:rFonts w:ascii="Arial" w:hAnsi="Arial" w:cs="Arial"/>
          <w:lang w:val="en-MY"/>
        </w:rPr>
        <w:t>”</w:t>
      </w:r>
      <w:r w:rsidR="00EF432E">
        <w:rPr>
          <w:rFonts w:ascii="Arial" w:hAnsi="Arial" w:cs="Arial"/>
          <w:lang w:val="en-MY"/>
        </w:rPr>
        <w:t xml:space="preserve"> (</w:t>
      </w:r>
      <w:proofErr w:type="spellStart"/>
      <w:r w:rsidR="00EF432E">
        <w:rPr>
          <w:rFonts w:ascii="Arial" w:hAnsi="Arial" w:cs="Arial"/>
          <w:lang w:val="en-MY"/>
        </w:rPr>
        <w:t>Elshaafi</w:t>
      </w:r>
      <w:proofErr w:type="spellEnd"/>
      <w:r w:rsidR="00EF432E">
        <w:rPr>
          <w:rFonts w:ascii="Arial" w:hAnsi="Arial" w:cs="Arial"/>
          <w:lang w:val="en-MY"/>
        </w:rPr>
        <w:t xml:space="preserve"> et al.</w:t>
      </w:r>
      <w:r w:rsidR="00EF432E">
        <w:rPr>
          <w:rFonts w:ascii="Arial" w:hAnsi="Arial" w:cs="Arial"/>
        </w:rPr>
        <w:t>,</w:t>
      </w:r>
      <w:r w:rsidR="00EF432E">
        <w:rPr>
          <w:rFonts w:ascii="Arial" w:hAnsi="Arial" w:cs="Arial"/>
          <w:lang w:val="en-MY"/>
        </w:rPr>
        <w:t xml:space="preserve"> 2020; Justine et al.</w:t>
      </w:r>
      <w:r w:rsidR="00EF432E">
        <w:rPr>
          <w:rFonts w:ascii="Arial" w:hAnsi="Arial" w:cs="Arial"/>
        </w:rPr>
        <w:t>,</w:t>
      </w:r>
      <w:r w:rsidR="00EF432E">
        <w:rPr>
          <w:rFonts w:ascii="Arial" w:hAnsi="Arial" w:cs="Arial"/>
          <w:lang w:val="en-MY"/>
        </w:rPr>
        <w:t xml:space="preserve"> 2019; Saifullah et al.</w:t>
      </w:r>
      <w:r w:rsidR="00EF432E">
        <w:rPr>
          <w:rFonts w:ascii="Arial" w:hAnsi="Arial" w:cs="Arial"/>
        </w:rPr>
        <w:t>,</w:t>
      </w:r>
      <w:r w:rsidR="00EF432E">
        <w:rPr>
          <w:rFonts w:ascii="Arial" w:hAnsi="Arial" w:cs="Arial"/>
          <w:lang w:val="en-MY"/>
        </w:rPr>
        <w:t xml:space="preserve"> 2019). </w:t>
      </w:r>
      <w:r>
        <w:rPr>
          <w:rFonts w:ascii="Arial" w:hAnsi="Arial" w:cs="Arial"/>
          <w:lang w:val="en-MY"/>
        </w:rPr>
        <w:t>“</w:t>
      </w:r>
      <w:r w:rsidR="00EF432E">
        <w:rPr>
          <w:rFonts w:ascii="Arial" w:hAnsi="Arial" w:cs="Arial"/>
          <w:lang w:val="en-MY"/>
        </w:rPr>
        <w:t>However, different drying techniques can significantly affect the stability, availability and concentration of antioxidant compounds</w:t>
      </w:r>
      <w:r>
        <w:rPr>
          <w:rFonts w:ascii="Arial" w:hAnsi="Arial" w:cs="Arial"/>
          <w:lang w:val="en-MY"/>
        </w:rPr>
        <w:t>”</w:t>
      </w:r>
      <w:r w:rsidR="00EF432E">
        <w:rPr>
          <w:rFonts w:ascii="Arial" w:hAnsi="Arial" w:cs="Arial"/>
          <w:lang w:val="en-MY"/>
        </w:rPr>
        <w:t xml:space="preserve"> (</w:t>
      </w:r>
      <w:proofErr w:type="spellStart"/>
      <w:r w:rsidR="00EF432E">
        <w:rPr>
          <w:rFonts w:ascii="Arial" w:hAnsi="Arial" w:cs="Arial"/>
          <w:lang w:val="en-MY"/>
        </w:rPr>
        <w:t>Elshaafi</w:t>
      </w:r>
      <w:proofErr w:type="spellEnd"/>
      <w:r w:rsidR="00EF432E">
        <w:rPr>
          <w:rFonts w:ascii="Arial" w:hAnsi="Arial" w:cs="Arial"/>
          <w:lang w:val="en-MY"/>
        </w:rPr>
        <w:t xml:space="preserve"> et al.</w:t>
      </w:r>
      <w:r w:rsidR="00EF432E">
        <w:rPr>
          <w:rFonts w:ascii="Arial" w:hAnsi="Arial" w:cs="Arial"/>
        </w:rPr>
        <w:t>,</w:t>
      </w:r>
      <w:r w:rsidR="00EF432E">
        <w:rPr>
          <w:rFonts w:ascii="Arial" w:hAnsi="Arial" w:cs="Arial"/>
          <w:lang w:val="en-MY"/>
        </w:rPr>
        <w:t xml:space="preserve"> 2020; Saifullah et al</w:t>
      </w:r>
      <w:r w:rsidR="00EF432E">
        <w:rPr>
          <w:rFonts w:ascii="Arial" w:hAnsi="Arial" w:cs="Arial"/>
        </w:rPr>
        <w:t>.,</w:t>
      </w:r>
      <w:r w:rsidR="00EF432E">
        <w:rPr>
          <w:rFonts w:ascii="Arial" w:hAnsi="Arial" w:cs="Arial"/>
          <w:lang w:val="en-MY"/>
        </w:rPr>
        <w:t xml:space="preserve"> 2019). Conventional drying methods such as oven or sun drying are widely practiced, but these can lead to degradation of thermolabile compounds. In contrast, advanced techniques such as freeze drying (lyophilization), a low temperature dehydration method, are widely reported to preserve the phytochemical integrity and antioxidant properties of medicinal plants more effectively.</w:t>
      </w:r>
    </w:p>
    <w:p w:rsidR="00DD21CA" w:rsidRDefault="00DD21CA">
      <w:pPr>
        <w:pStyle w:val="Body"/>
        <w:spacing w:after="0"/>
        <w:rPr>
          <w:rFonts w:ascii="Arial" w:hAnsi="Arial" w:cs="Arial"/>
          <w:lang w:val="en-MY"/>
        </w:rPr>
      </w:pPr>
    </w:p>
    <w:p w:rsidR="00DD21CA" w:rsidRDefault="00232767">
      <w:pPr>
        <w:pStyle w:val="Body"/>
        <w:spacing w:after="0"/>
        <w:rPr>
          <w:rFonts w:ascii="Arial" w:hAnsi="Arial" w:cs="Arial"/>
        </w:rPr>
      </w:pPr>
      <w:r>
        <w:rPr>
          <w:rFonts w:ascii="Arial" w:hAnsi="Arial" w:cs="Arial"/>
        </w:rPr>
        <w:t>“</w:t>
      </w:r>
      <w:r w:rsidR="00EF432E">
        <w:rPr>
          <w:rFonts w:ascii="Arial" w:hAnsi="Arial" w:cs="Arial"/>
        </w:rPr>
        <w:t>In addition to drying, the extraction method serves a critical function</w:t>
      </w:r>
      <w:r w:rsidR="00EF432E">
        <w:rPr>
          <w:rFonts w:ascii="Arial" w:hAnsi="Arial" w:cs="Arial"/>
          <w:lang w:val="en-MY"/>
        </w:rPr>
        <w:t xml:space="preserve"> in</w:t>
      </w:r>
      <w:r w:rsidR="00EF432E">
        <w:rPr>
          <w:rFonts w:ascii="Arial" w:hAnsi="Arial" w:cs="Arial"/>
        </w:rPr>
        <w:t xml:space="preserve"> determining the recovery of phytochemicals and their antioxidant activity. Solvent polarity, extraction time, temperature and method (e.g., maceration, reflux, ultrasound-assisted extraction) all contribute to the efficiency of phytochemical recovery</w:t>
      </w:r>
      <w:r>
        <w:rPr>
          <w:rFonts w:ascii="Arial" w:hAnsi="Arial" w:cs="Arial"/>
        </w:rPr>
        <w:t>”</w:t>
      </w:r>
      <w:r w:rsidR="00EF432E">
        <w:rPr>
          <w:rFonts w:ascii="Arial" w:hAnsi="Arial" w:cs="Arial"/>
        </w:rPr>
        <w:t xml:space="preserve"> (</w:t>
      </w:r>
      <w:r w:rsidR="00EF432E">
        <w:rPr>
          <w:rFonts w:ascii="Arial" w:hAnsi="Arial" w:cs="Arial"/>
          <w:lang w:val="en-MY"/>
        </w:rPr>
        <w:t>Chew et al.</w:t>
      </w:r>
      <w:r w:rsidR="00EF432E">
        <w:rPr>
          <w:rFonts w:ascii="Arial" w:hAnsi="Arial" w:cs="Arial"/>
        </w:rPr>
        <w:t>,</w:t>
      </w:r>
      <w:r w:rsidR="00EF432E">
        <w:rPr>
          <w:rFonts w:ascii="Arial" w:hAnsi="Arial" w:cs="Arial"/>
          <w:lang w:val="en-MY"/>
        </w:rPr>
        <w:t xml:space="preserve"> 2011; </w:t>
      </w:r>
      <w:proofErr w:type="spellStart"/>
      <w:r w:rsidR="00EF432E">
        <w:rPr>
          <w:rFonts w:ascii="Arial" w:hAnsi="Arial" w:cs="Arial"/>
          <w:lang w:val="en-MY"/>
        </w:rPr>
        <w:t>Lezoul</w:t>
      </w:r>
      <w:proofErr w:type="spellEnd"/>
      <w:r w:rsidR="00EF432E">
        <w:rPr>
          <w:rFonts w:ascii="Arial" w:hAnsi="Arial" w:cs="Arial"/>
          <w:lang w:val="en-MY"/>
        </w:rPr>
        <w:t xml:space="preserve"> et al.</w:t>
      </w:r>
      <w:r w:rsidR="00EF432E">
        <w:rPr>
          <w:rFonts w:ascii="Arial" w:hAnsi="Arial" w:cs="Arial"/>
        </w:rPr>
        <w:t>,</w:t>
      </w:r>
      <w:r w:rsidR="00EF432E">
        <w:rPr>
          <w:rFonts w:ascii="Arial" w:hAnsi="Arial" w:cs="Arial"/>
          <w:lang w:val="en-MY"/>
        </w:rPr>
        <w:t xml:space="preserve"> 2020</w:t>
      </w:r>
      <w:r w:rsidR="00EF432E">
        <w:rPr>
          <w:rFonts w:ascii="Arial" w:hAnsi="Arial" w:cs="Arial"/>
        </w:rPr>
        <w:t xml:space="preserve">). </w:t>
      </w:r>
      <w:r w:rsidR="00EF432E">
        <w:rPr>
          <w:rFonts w:ascii="Arial" w:hAnsi="Arial" w:cs="Arial"/>
          <w:lang w:val="en-MY"/>
        </w:rPr>
        <w:t xml:space="preserve">Solvent polarity </w:t>
      </w:r>
      <w:r w:rsidR="00EF432E">
        <w:rPr>
          <w:rFonts w:ascii="Arial" w:hAnsi="Arial" w:cs="Arial"/>
        </w:rPr>
        <w:t>significantly affects both the composition of extracted compounds and the resulting antioxidant activity</w:t>
      </w:r>
      <w:r w:rsidR="00EF432E">
        <w:rPr>
          <w:rFonts w:ascii="Arial" w:hAnsi="Arial" w:cs="Arial"/>
          <w:lang w:val="en-MY"/>
        </w:rPr>
        <w:t xml:space="preserve"> (Pham et al.</w:t>
      </w:r>
      <w:r w:rsidR="00EF432E">
        <w:rPr>
          <w:rFonts w:ascii="Arial" w:hAnsi="Arial" w:cs="Arial"/>
        </w:rPr>
        <w:t>,</w:t>
      </w:r>
      <w:r w:rsidR="00EF432E">
        <w:rPr>
          <w:rFonts w:ascii="Arial" w:hAnsi="Arial" w:cs="Arial"/>
          <w:lang w:val="en-MY"/>
        </w:rPr>
        <w:t xml:space="preserve"> 2015)</w:t>
      </w:r>
      <w:r w:rsidR="00EF432E">
        <w:rPr>
          <w:rFonts w:ascii="Arial" w:hAnsi="Arial" w:cs="Arial"/>
        </w:rPr>
        <w:t>.</w:t>
      </w:r>
      <w:r w:rsidR="00EF432E">
        <w:rPr>
          <w:rFonts w:ascii="Arial" w:hAnsi="Arial" w:cs="Arial"/>
          <w:lang w:val="en-MY"/>
        </w:rPr>
        <w:t xml:space="preserve"> </w:t>
      </w:r>
      <w:r>
        <w:rPr>
          <w:rFonts w:ascii="Arial" w:hAnsi="Arial" w:cs="Arial"/>
          <w:lang w:val="en-MY"/>
        </w:rPr>
        <w:t>“</w:t>
      </w:r>
      <w:r w:rsidR="00EF432E">
        <w:rPr>
          <w:rFonts w:ascii="Arial" w:hAnsi="Arial" w:cs="Arial"/>
          <w:lang w:val="en-MY"/>
        </w:rPr>
        <w:t>Polar solvents like ethanol, methanol and water are commonly used to extract phenolics and flavonoids, but their efficiency varies based on the polarity and structure of target compounds</w:t>
      </w:r>
      <w:r>
        <w:rPr>
          <w:rFonts w:ascii="Arial" w:hAnsi="Arial" w:cs="Arial"/>
          <w:lang w:val="en-MY"/>
        </w:rPr>
        <w:t>”</w:t>
      </w:r>
      <w:r w:rsidR="00EF432E">
        <w:rPr>
          <w:rFonts w:ascii="Arial" w:hAnsi="Arial" w:cs="Arial"/>
          <w:lang w:val="en-MY"/>
        </w:rPr>
        <w:t xml:space="preserve"> (</w:t>
      </w:r>
      <w:proofErr w:type="spellStart"/>
      <w:r w:rsidR="00EF432E">
        <w:rPr>
          <w:rFonts w:ascii="Arial" w:hAnsi="Arial" w:cs="Arial"/>
          <w:lang w:val="en-MY"/>
        </w:rPr>
        <w:t>Anakwuru</w:t>
      </w:r>
      <w:proofErr w:type="spellEnd"/>
      <w:r w:rsidR="00EF432E">
        <w:rPr>
          <w:rFonts w:ascii="Arial" w:hAnsi="Arial" w:cs="Arial"/>
          <w:lang w:val="en-MY"/>
        </w:rPr>
        <w:t xml:space="preserve"> et al.</w:t>
      </w:r>
      <w:r w:rsidR="00EF432E">
        <w:rPr>
          <w:rFonts w:ascii="Arial" w:hAnsi="Arial" w:cs="Arial"/>
        </w:rPr>
        <w:t>,</w:t>
      </w:r>
      <w:r w:rsidR="00EF432E">
        <w:rPr>
          <w:rFonts w:ascii="Arial" w:hAnsi="Arial" w:cs="Arial"/>
          <w:lang w:val="en-MY"/>
        </w:rPr>
        <w:t xml:space="preserve"> 2011; Justine et al.</w:t>
      </w:r>
      <w:r w:rsidR="00EF432E">
        <w:rPr>
          <w:rFonts w:ascii="Arial" w:hAnsi="Arial" w:cs="Arial"/>
        </w:rPr>
        <w:t>,</w:t>
      </w:r>
      <w:r w:rsidR="00EF432E">
        <w:rPr>
          <w:rFonts w:ascii="Arial" w:hAnsi="Arial" w:cs="Arial"/>
          <w:lang w:val="en-MY"/>
        </w:rPr>
        <w:t xml:space="preserve"> 2019; </w:t>
      </w:r>
      <w:proofErr w:type="spellStart"/>
      <w:r w:rsidR="00EF432E">
        <w:rPr>
          <w:rFonts w:ascii="Arial" w:hAnsi="Arial" w:cs="Arial"/>
          <w:lang w:val="en-MY"/>
        </w:rPr>
        <w:t>Lezoul</w:t>
      </w:r>
      <w:proofErr w:type="spellEnd"/>
      <w:r w:rsidR="00EF432E">
        <w:rPr>
          <w:rFonts w:ascii="Arial" w:hAnsi="Arial" w:cs="Arial"/>
          <w:lang w:val="en-MY"/>
        </w:rPr>
        <w:t xml:space="preserve"> et al.</w:t>
      </w:r>
      <w:r w:rsidR="00EF432E">
        <w:rPr>
          <w:rFonts w:ascii="Arial" w:hAnsi="Arial" w:cs="Arial"/>
        </w:rPr>
        <w:t>,</w:t>
      </w:r>
      <w:r w:rsidR="00EF432E">
        <w:rPr>
          <w:rFonts w:ascii="Arial" w:hAnsi="Arial" w:cs="Arial"/>
          <w:lang w:val="en-MY"/>
        </w:rPr>
        <w:t xml:space="preserve"> 2020). </w:t>
      </w:r>
      <w:r>
        <w:rPr>
          <w:rFonts w:ascii="Arial" w:hAnsi="Arial" w:cs="Arial"/>
          <w:lang w:val="en-MY"/>
        </w:rPr>
        <w:t>“</w:t>
      </w:r>
      <w:r w:rsidR="00EF432E">
        <w:rPr>
          <w:rFonts w:ascii="Arial" w:hAnsi="Arial" w:cs="Arial"/>
        </w:rPr>
        <w:t>Previous studies on other medicinal herbs have demonstrated that the interaction between drying and extraction conditions significantly affects antioxidant capacity and bioactive yield</w:t>
      </w:r>
      <w:r>
        <w:rPr>
          <w:rFonts w:ascii="Arial" w:hAnsi="Arial" w:cs="Arial"/>
        </w:rPr>
        <w:t>”</w:t>
      </w:r>
      <w:r w:rsidR="00EF432E">
        <w:rPr>
          <w:rFonts w:ascii="Arial" w:hAnsi="Arial" w:cs="Arial"/>
        </w:rPr>
        <w:t xml:space="preserve"> </w:t>
      </w:r>
      <w:r w:rsidR="00EF432E">
        <w:rPr>
          <w:rFonts w:ascii="Arial" w:hAnsi="Arial" w:cs="Arial"/>
          <w:lang w:val="en-MY"/>
        </w:rPr>
        <w:t>(</w:t>
      </w:r>
      <w:proofErr w:type="spellStart"/>
      <w:r w:rsidR="00EF432E">
        <w:rPr>
          <w:rFonts w:ascii="Arial" w:hAnsi="Arial" w:cs="Arial"/>
          <w:lang w:val="en-MY"/>
        </w:rPr>
        <w:t>Elshaafi</w:t>
      </w:r>
      <w:proofErr w:type="spellEnd"/>
      <w:r w:rsidR="00EF432E">
        <w:rPr>
          <w:rFonts w:ascii="Arial" w:hAnsi="Arial" w:cs="Arial"/>
          <w:lang w:val="en-MY"/>
        </w:rPr>
        <w:t xml:space="preserve"> et al.</w:t>
      </w:r>
      <w:r w:rsidR="00EF432E">
        <w:rPr>
          <w:rFonts w:ascii="Arial" w:hAnsi="Arial" w:cs="Arial"/>
        </w:rPr>
        <w:t>,</w:t>
      </w:r>
      <w:r w:rsidR="00EF432E">
        <w:rPr>
          <w:rFonts w:ascii="Arial" w:hAnsi="Arial" w:cs="Arial"/>
          <w:lang w:val="en-MY"/>
        </w:rPr>
        <w:t xml:space="preserve"> 2020; Justine et al.</w:t>
      </w:r>
      <w:r w:rsidR="00EF432E">
        <w:rPr>
          <w:rFonts w:ascii="Arial" w:hAnsi="Arial" w:cs="Arial"/>
        </w:rPr>
        <w:t>,</w:t>
      </w:r>
      <w:r w:rsidR="00EF432E">
        <w:rPr>
          <w:rFonts w:ascii="Arial" w:hAnsi="Arial" w:cs="Arial"/>
          <w:lang w:val="en-MY"/>
        </w:rPr>
        <w:t xml:space="preserve"> 2019</w:t>
      </w:r>
      <w:r w:rsidR="00EF432E">
        <w:rPr>
          <w:rFonts w:ascii="Arial" w:hAnsi="Arial" w:cs="Arial"/>
        </w:rPr>
        <w:t>). However, such interactions remain insufficiently explored in</w:t>
      </w:r>
      <w:r w:rsidR="00EF432E">
        <w:rPr>
          <w:rFonts w:ascii="Arial" w:hAnsi="Arial" w:cs="Arial"/>
          <w:lang w:val="en-MY"/>
        </w:rPr>
        <w:t xml:space="preserve"> </w:t>
      </w:r>
      <w:r w:rsidR="00EF432E">
        <w:rPr>
          <w:rFonts w:ascii="Arial" w:hAnsi="Arial" w:cs="Arial"/>
          <w:i/>
          <w:iCs/>
          <w:lang w:val="en-MY"/>
        </w:rPr>
        <w:t>P. minor</w:t>
      </w:r>
      <w:r w:rsidR="00EF432E">
        <w:rPr>
          <w:rFonts w:ascii="Arial" w:hAnsi="Arial" w:cs="Arial"/>
        </w:rPr>
        <w:t xml:space="preserve">. To fully </w:t>
      </w:r>
      <w:proofErr w:type="spellStart"/>
      <w:r w:rsidR="00EF432E">
        <w:rPr>
          <w:rFonts w:ascii="Arial" w:hAnsi="Arial" w:cs="Arial"/>
        </w:rPr>
        <w:t>utili</w:t>
      </w:r>
      <w:proofErr w:type="spellEnd"/>
      <w:r w:rsidR="00EF432E">
        <w:rPr>
          <w:rFonts w:ascii="Arial" w:hAnsi="Arial" w:cs="Arial"/>
          <w:lang w:val="en-MY"/>
        </w:rPr>
        <w:t>z</w:t>
      </w:r>
      <w:r w:rsidR="00EF432E">
        <w:rPr>
          <w:rFonts w:ascii="Arial" w:hAnsi="Arial" w:cs="Arial"/>
        </w:rPr>
        <w:t>e</w:t>
      </w:r>
      <w:r w:rsidR="00EF432E">
        <w:rPr>
          <w:rFonts w:ascii="Arial" w:hAnsi="Arial" w:cs="Arial"/>
          <w:i/>
          <w:iCs/>
        </w:rPr>
        <w:t xml:space="preserve"> </w:t>
      </w:r>
      <w:r w:rsidR="00EF432E">
        <w:rPr>
          <w:rFonts w:ascii="Arial" w:hAnsi="Arial" w:cs="Arial"/>
          <w:i/>
          <w:iCs/>
          <w:lang w:val="en-MY"/>
        </w:rPr>
        <w:t xml:space="preserve">P. minor </w:t>
      </w:r>
      <w:r w:rsidR="00EF432E">
        <w:rPr>
          <w:rFonts w:ascii="Arial" w:hAnsi="Arial" w:cs="Arial"/>
        </w:rPr>
        <w:t>as a high</w:t>
      </w:r>
      <w:r w:rsidR="00EF432E">
        <w:rPr>
          <w:rFonts w:ascii="Arial" w:hAnsi="Arial" w:cs="Arial"/>
          <w:lang w:val="en-MY"/>
        </w:rPr>
        <w:t xml:space="preserve"> </w:t>
      </w:r>
      <w:r w:rsidR="00EF432E">
        <w:rPr>
          <w:rFonts w:ascii="Arial" w:hAnsi="Arial" w:cs="Arial"/>
        </w:rPr>
        <w:t xml:space="preserve">value functional ingredient, it is essential to understand how these factors influence its antioxidant and phytochemical </w:t>
      </w:r>
      <w:r w:rsidR="00EF432E">
        <w:rPr>
          <w:rFonts w:ascii="Arial" w:hAnsi="Arial" w:cs="Arial"/>
          <w:lang w:val="en-MY"/>
        </w:rPr>
        <w:t>composition</w:t>
      </w:r>
      <w:r w:rsidR="00EF432E">
        <w:rPr>
          <w:rFonts w:ascii="Arial" w:hAnsi="Arial" w:cs="Arial"/>
        </w:rPr>
        <w:t>.</w:t>
      </w:r>
    </w:p>
    <w:p w:rsidR="00DD21CA" w:rsidRDefault="00DD21CA">
      <w:pPr>
        <w:pStyle w:val="Body"/>
        <w:spacing w:after="0"/>
        <w:rPr>
          <w:rFonts w:ascii="Arial" w:hAnsi="Arial" w:cs="Arial"/>
        </w:rPr>
      </w:pPr>
    </w:p>
    <w:p w:rsidR="00DD21CA" w:rsidRDefault="00EF432E">
      <w:pPr>
        <w:pStyle w:val="Body"/>
        <w:spacing w:after="0"/>
        <w:rPr>
          <w:rFonts w:ascii="Arial" w:hAnsi="Arial" w:cs="Arial"/>
        </w:rPr>
      </w:pPr>
      <w:r>
        <w:rPr>
          <w:rFonts w:ascii="Arial" w:hAnsi="Arial" w:cs="Arial"/>
        </w:rPr>
        <w:t>Given these considerations, the present study aims to investigate the effects of different drying techniques (oven drying at various temperatures</w:t>
      </w:r>
      <w:r>
        <w:rPr>
          <w:rFonts w:ascii="Arial" w:hAnsi="Arial" w:cs="Arial"/>
          <w:lang w:val="en-MY"/>
        </w:rPr>
        <w:t xml:space="preserve">, </w:t>
      </w:r>
      <w:r>
        <w:rPr>
          <w:rFonts w:ascii="Arial" w:hAnsi="Arial" w:cs="Arial"/>
        </w:rPr>
        <w:t>ambient drying</w:t>
      </w:r>
      <w:r>
        <w:rPr>
          <w:rFonts w:ascii="Arial" w:hAnsi="Arial" w:cs="Arial"/>
          <w:lang w:val="en-MY"/>
        </w:rPr>
        <w:t xml:space="preserve"> and </w:t>
      </w:r>
      <w:proofErr w:type="spellStart"/>
      <w:r>
        <w:rPr>
          <w:rFonts w:ascii="Arial" w:hAnsi="Arial" w:cs="Arial"/>
          <w:lang w:val="en-MY"/>
        </w:rPr>
        <w:t>fr</w:t>
      </w:r>
      <w:r>
        <w:rPr>
          <w:rFonts w:ascii="Arial" w:hAnsi="Arial" w:cs="Arial"/>
        </w:rPr>
        <w:t>eeze</w:t>
      </w:r>
      <w:proofErr w:type="spellEnd"/>
      <w:r>
        <w:rPr>
          <w:rFonts w:ascii="Arial" w:hAnsi="Arial" w:cs="Arial"/>
        </w:rPr>
        <w:t xml:space="preserve"> drying) and extraction solvents (70% methanol and distilled water) on the antioxidant activity and phytochemical </w:t>
      </w:r>
      <w:r>
        <w:rPr>
          <w:rFonts w:ascii="Arial" w:hAnsi="Arial" w:cs="Arial"/>
          <w:lang w:val="en-MY"/>
        </w:rPr>
        <w:t xml:space="preserve">composition </w:t>
      </w:r>
      <w:r>
        <w:rPr>
          <w:rFonts w:ascii="Arial" w:hAnsi="Arial" w:cs="Arial"/>
        </w:rPr>
        <w:t xml:space="preserve">of </w:t>
      </w:r>
      <w:r>
        <w:rPr>
          <w:rFonts w:ascii="Arial" w:hAnsi="Arial" w:cs="Arial"/>
          <w:i/>
          <w:iCs/>
          <w:lang w:val="en-MY"/>
        </w:rPr>
        <w:t>P. minor</w:t>
      </w:r>
      <w:r>
        <w:rPr>
          <w:rFonts w:ascii="Arial" w:hAnsi="Arial" w:cs="Arial"/>
          <w:i/>
          <w:iCs/>
        </w:rPr>
        <w:t xml:space="preserve">. </w:t>
      </w:r>
      <w:r>
        <w:rPr>
          <w:rFonts w:ascii="Arial" w:hAnsi="Arial" w:cs="Arial"/>
        </w:rPr>
        <w:t xml:space="preserve">The findings will contribute to the development of </w:t>
      </w:r>
      <w:proofErr w:type="spellStart"/>
      <w:r>
        <w:rPr>
          <w:rFonts w:ascii="Arial" w:hAnsi="Arial" w:cs="Arial"/>
        </w:rPr>
        <w:t>standardi</w:t>
      </w:r>
      <w:proofErr w:type="spellEnd"/>
      <w:r>
        <w:rPr>
          <w:rFonts w:ascii="Arial" w:hAnsi="Arial" w:cs="Arial"/>
          <w:lang w:val="en-MY"/>
        </w:rPr>
        <w:t>z</w:t>
      </w:r>
      <w:r>
        <w:rPr>
          <w:rFonts w:ascii="Arial" w:hAnsi="Arial" w:cs="Arial"/>
        </w:rPr>
        <w:t xml:space="preserve">ed postharvest and extraction protocols that could support the </w:t>
      </w:r>
      <w:proofErr w:type="spellStart"/>
      <w:r>
        <w:rPr>
          <w:rFonts w:ascii="Arial" w:hAnsi="Arial" w:cs="Arial"/>
        </w:rPr>
        <w:t>commerciali</w:t>
      </w:r>
      <w:proofErr w:type="spellEnd"/>
      <w:r>
        <w:rPr>
          <w:rFonts w:ascii="Arial" w:hAnsi="Arial" w:cs="Arial"/>
          <w:lang w:val="en-MY"/>
        </w:rPr>
        <w:t>z</w:t>
      </w:r>
      <w:proofErr w:type="spellStart"/>
      <w:r>
        <w:rPr>
          <w:rFonts w:ascii="Arial" w:hAnsi="Arial" w:cs="Arial"/>
        </w:rPr>
        <w:t>ation</w:t>
      </w:r>
      <w:proofErr w:type="spellEnd"/>
      <w:r>
        <w:rPr>
          <w:rFonts w:ascii="Arial" w:hAnsi="Arial" w:cs="Arial"/>
        </w:rPr>
        <w:t xml:space="preserve"> and scientific advancement of </w:t>
      </w:r>
      <w:r>
        <w:rPr>
          <w:rFonts w:ascii="Arial" w:hAnsi="Arial" w:cs="Arial"/>
          <w:i/>
          <w:iCs/>
        </w:rPr>
        <w:t>P. minor</w:t>
      </w:r>
      <w:r>
        <w:rPr>
          <w:rFonts w:ascii="Arial" w:hAnsi="Arial" w:cs="Arial"/>
        </w:rPr>
        <w:t>-based nutraceuticals</w:t>
      </w:r>
      <w:r>
        <w:rPr>
          <w:rFonts w:ascii="Arial" w:hAnsi="Arial" w:cs="Arial"/>
          <w:lang w:val="en-MY"/>
        </w:rPr>
        <w:t xml:space="preserve"> </w:t>
      </w:r>
      <w:r>
        <w:rPr>
          <w:rFonts w:ascii="Arial" w:hAnsi="Arial" w:cs="Arial"/>
        </w:rPr>
        <w:t>and functional food products.</w:t>
      </w:r>
    </w:p>
    <w:p w:rsidR="00DD21CA" w:rsidRDefault="00DD21CA">
      <w:pPr>
        <w:pStyle w:val="Body"/>
        <w:spacing w:after="0"/>
        <w:rPr>
          <w:rFonts w:ascii="Arial" w:hAnsi="Arial" w:cs="Arial"/>
          <w:color w:val="0000FF"/>
          <w:lang w:val="en-MY"/>
        </w:rPr>
      </w:pPr>
    </w:p>
    <w:p w:rsidR="00DD21CA" w:rsidRDefault="00DD21CA">
      <w:pPr>
        <w:pStyle w:val="AbstHead"/>
        <w:spacing w:after="0"/>
        <w:jc w:val="both"/>
        <w:rPr>
          <w:rFonts w:ascii="Arial" w:hAnsi="Arial" w:cs="Arial"/>
        </w:rPr>
      </w:pPr>
    </w:p>
    <w:p w:rsidR="00DD21CA" w:rsidRDefault="00EF432E">
      <w:pPr>
        <w:pStyle w:val="AbstHead"/>
        <w:spacing w:after="0"/>
        <w:jc w:val="both"/>
        <w:rPr>
          <w:rFonts w:ascii="Arial" w:hAnsi="Arial" w:cs="Arial"/>
        </w:rPr>
      </w:pPr>
      <w:r>
        <w:rPr>
          <w:rFonts w:ascii="Arial" w:hAnsi="Arial" w:cs="Arial"/>
        </w:rPr>
        <w:t>2. material and methods</w:t>
      </w:r>
    </w:p>
    <w:p w:rsidR="00DD21CA" w:rsidRDefault="00DD21CA">
      <w:pPr>
        <w:pStyle w:val="AbstHead"/>
        <w:spacing w:after="0"/>
        <w:jc w:val="both"/>
        <w:rPr>
          <w:rFonts w:ascii="Arial" w:hAnsi="Arial" w:cs="Arial"/>
        </w:rPr>
      </w:pPr>
    </w:p>
    <w:p w:rsidR="00DD21CA" w:rsidRDefault="00EF432E">
      <w:pPr>
        <w:pStyle w:val="Body"/>
        <w:spacing w:after="0"/>
        <w:rPr>
          <w:rFonts w:ascii="Arial" w:hAnsi="Arial" w:cs="Arial"/>
          <w:b/>
          <w:sz w:val="22"/>
          <w:lang w:val="en-MY"/>
        </w:rPr>
      </w:pPr>
      <w:r>
        <w:rPr>
          <w:rFonts w:ascii="Arial" w:hAnsi="Arial" w:cs="Arial"/>
          <w:b/>
          <w:caps/>
          <w:sz w:val="22"/>
        </w:rPr>
        <w:t xml:space="preserve">2.1 </w:t>
      </w:r>
      <w:r>
        <w:rPr>
          <w:rFonts w:ascii="Arial" w:hAnsi="Arial" w:cs="Arial"/>
          <w:b/>
          <w:sz w:val="22"/>
          <w:lang w:val="en-MY"/>
        </w:rPr>
        <w:t>P</w:t>
      </w:r>
      <w:r>
        <w:rPr>
          <w:rFonts w:ascii="Arial" w:hAnsi="Arial" w:cs="Arial"/>
          <w:b/>
          <w:sz w:val="22"/>
        </w:rPr>
        <w:t>reparation of p</w:t>
      </w:r>
      <w:proofErr w:type="spellStart"/>
      <w:r>
        <w:rPr>
          <w:rFonts w:ascii="Arial" w:hAnsi="Arial" w:cs="Arial"/>
          <w:b/>
          <w:sz w:val="22"/>
          <w:lang w:val="en-MY"/>
        </w:rPr>
        <w:t>lant</w:t>
      </w:r>
      <w:proofErr w:type="spellEnd"/>
      <w:r>
        <w:rPr>
          <w:rFonts w:ascii="Arial" w:hAnsi="Arial" w:cs="Arial"/>
          <w:b/>
          <w:sz w:val="22"/>
          <w:lang w:val="en-MY"/>
        </w:rPr>
        <w:t xml:space="preserve"> materials </w:t>
      </w:r>
    </w:p>
    <w:p w:rsidR="00DD21CA" w:rsidRDefault="00DD21CA">
      <w:pPr>
        <w:pStyle w:val="Body"/>
        <w:spacing w:after="0"/>
        <w:rPr>
          <w:rFonts w:ascii="Arial" w:hAnsi="Arial" w:cs="Arial"/>
          <w:b/>
          <w:sz w:val="22"/>
          <w:lang w:val="en-MY"/>
        </w:rPr>
      </w:pPr>
    </w:p>
    <w:p w:rsidR="00DD21CA" w:rsidRDefault="00EF432E">
      <w:pPr>
        <w:pStyle w:val="Body"/>
        <w:spacing w:after="0"/>
        <w:rPr>
          <w:rFonts w:ascii="Arial" w:hAnsi="Arial" w:cs="Arial"/>
          <w:lang w:val="en-MY" w:eastAsia="zh-CN"/>
        </w:rPr>
      </w:pPr>
      <w:r>
        <w:rPr>
          <w:rFonts w:ascii="Arial" w:hAnsi="Arial" w:cs="Arial"/>
          <w:lang w:val="en-MY" w:eastAsia="zh-CN"/>
        </w:rPr>
        <w:t xml:space="preserve">Fresh aerial parts of </w:t>
      </w:r>
      <w:r>
        <w:rPr>
          <w:rFonts w:ascii="Arial" w:hAnsi="Arial" w:cs="Arial"/>
          <w:i/>
          <w:iCs/>
          <w:lang w:val="en-MY" w:eastAsia="zh-CN"/>
        </w:rPr>
        <w:t>P. minor</w:t>
      </w:r>
      <w:r>
        <w:rPr>
          <w:rFonts w:ascii="Arial" w:hAnsi="Arial" w:cs="Arial"/>
          <w:lang w:val="en-MY" w:eastAsia="zh-CN"/>
        </w:rPr>
        <w:t xml:space="preserve">, harvested at 16 weeks of maturity, were obtained from a commercial farm located in Bukit </w:t>
      </w:r>
      <w:proofErr w:type="spellStart"/>
      <w:r>
        <w:rPr>
          <w:rFonts w:ascii="Arial" w:hAnsi="Arial" w:cs="Arial"/>
          <w:lang w:val="en-MY" w:eastAsia="zh-CN"/>
        </w:rPr>
        <w:t>Lagong</w:t>
      </w:r>
      <w:proofErr w:type="spellEnd"/>
      <w:r>
        <w:rPr>
          <w:rFonts w:ascii="Arial" w:hAnsi="Arial" w:cs="Arial"/>
          <w:lang w:val="en-MY" w:eastAsia="zh-CN"/>
        </w:rPr>
        <w:t xml:space="preserve">, </w:t>
      </w:r>
      <w:proofErr w:type="spellStart"/>
      <w:r>
        <w:rPr>
          <w:rFonts w:ascii="Arial" w:hAnsi="Arial" w:cs="Arial"/>
          <w:lang w:val="en-MY" w:eastAsia="zh-CN"/>
        </w:rPr>
        <w:t>Batu</w:t>
      </w:r>
      <w:proofErr w:type="spellEnd"/>
      <w:r>
        <w:rPr>
          <w:rFonts w:ascii="Arial" w:hAnsi="Arial" w:cs="Arial"/>
          <w:lang w:val="en-MY" w:eastAsia="zh-CN"/>
        </w:rPr>
        <w:t xml:space="preserve"> Caves, Selangor, Malaysia. Upon arrival at a packing house, the samples were immersed in a clean water bath to eliminate dirt and contaminants, followed by a sanitation process using chlorinated water at a concentration of 150 ppm for 30 seconds.</w:t>
      </w:r>
    </w:p>
    <w:p w:rsidR="00DD21CA" w:rsidRDefault="00DD21CA">
      <w:pPr>
        <w:pStyle w:val="Body"/>
        <w:spacing w:after="0"/>
        <w:rPr>
          <w:rFonts w:ascii="Arial" w:hAnsi="Arial" w:cs="Arial"/>
          <w:lang w:val="en-MY" w:eastAsia="zh-CN"/>
        </w:rPr>
      </w:pPr>
    </w:p>
    <w:p w:rsidR="00DD21CA" w:rsidRDefault="00EF432E">
      <w:pPr>
        <w:pStyle w:val="Body"/>
        <w:spacing w:after="0"/>
        <w:rPr>
          <w:rFonts w:ascii="Arial" w:hAnsi="Arial" w:cs="Arial"/>
          <w:lang w:val="en-MY" w:eastAsia="zh-CN"/>
        </w:rPr>
      </w:pPr>
      <w:r>
        <w:rPr>
          <w:rFonts w:ascii="Arial" w:hAnsi="Arial" w:cs="Arial"/>
          <w:lang w:val="en-MY" w:eastAsia="zh-CN"/>
        </w:rPr>
        <w:t xml:space="preserve">To investigate the effects of different drying methods, six techniques were applied: oven drying at four temperatures (40°C, 50°C, 60°C and 70°C), ambient drying and freeze drying. Oven drying was performed using a </w:t>
      </w:r>
      <w:proofErr w:type="spellStart"/>
      <w:r>
        <w:rPr>
          <w:rFonts w:ascii="Arial" w:hAnsi="Arial" w:cs="Arial"/>
          <w:lang w:val="en-MY" w:eastAsia="zh-CN"/>
        </w:rPr>
        <w:t>Memmert</w:t>
      </w:r>
      <w:proofErr w:type="spellEnd"/>
      <w:r>
        <w:rPr>
          <w:rFonts w:ascii="Arial" w:hAnsi="Arial" w:cs="Arial"/>
          <w:lang w:val="en-MY" w:eastAsia="zh-CN"/>
        </w:rPr>
        <w:t xml:space="preserve"> oven (Germany), while freeze drying was conducted using a </w:t>
      </w:r>
      <w:proofErr w:type="spellStart"/>
      <w:r>
        <w:rPr>
          <w:rFonts w:ascii="Arial" w:hAnsi="Arial" w:cs="Arial"/>
          <w:lang w:val="en-MY" w:eastAsia="zh-CN"/>
        </w:rPr>
        <w:t>Labconco</w:t>
      </w:r>
      <w:proofErr w:type="spellEnd"/>
      <w:r>
        <w:rPr>
          <w:rFonts w:ascii="Arial" w:hAnsi="Arial" w:cs="Arial"/>
          <w:lang w:val="en-MY" w:eastAsia="zh-CN"/>
        </w:rPr>
        <w:t xml:space="preserve"> freeze dryer (USA). The drying duration varied depending on the technique applied: oven drying at 40°C (O40) required 52 hours, at 50°C (O50) 10.5 hours, at 60°C (O60) 7 hours, and at 70°C (O70) 4.5 hours. In contrast, ambient drying (AD) was performed over 169 hours, while freeze drying (FD) was completed in 96 hours. All samples were dried to a final moisture content of 8–10%. They were subsequently ground into fine powder (0.25 mm particle size) and sealed in aluminium foil pouches until further analysis.</w:t>
      </w:r>
    </w:p>
    <w:p w:rsidR="00DD21CA" w:rsidRDefault="00DD21CA">
      <w:pPr>
        <w:pStyle w:val="Body"/>
        <w:spacing w:after="0"/>
        <w:rPr>
          <w:rFonts w:ascii="Arial" w:hAnsi="Arial" w:cs="Arial"/>
          <w:lang w:val="en-MY" w:eastAsia="zh-CN"/>
        </w:rPr>
      </w:pPr>
    </w:p>
    <w:p w:rsidR="00DD21CA" w:rsidRDefault="00DD21CA">
      <w:pPr>
        <w:pStyle w:val="Body"/>
        <w:spacing w:after="0"/>
        <w:rPr>
          <w:rFonts w:ascii="Arial" w:hAnsi="Arial" w:cs="Arial"/>
          <w:lang w:val="en-MY"/>
        </w:rPr>
      </w:pPr>
    </w:p>
    <w:p w:rsidR="00DD21CA" w:rsidRDefault="00EF432E">
      <w:pPr>
        <w:pStyle w:val="Body"/>
        <w:spacing w:after="0"/>
        <w:rPr>
          <w:rFonts w:ascii="Arial" w:hAnsi="Arial" w:cs="Arial"/>
          <w:b/>
          <w:sz w:val="22"/>
          <w:lang w:eastAsia="zh-CN"/>
        </w:rPr>
      </w:pPr>
      <w:r>
        <w:rPr>
          <w:rFonts w:ascii="Arial" w:hAnsi="Arial" w:cs="Arial"/>
          <w:b/>
          <w:caps/>
          <w:sz w:val="22"/>
          <w:lang w:val="en-MY"/>
        </w:rPr>
        <w:t>2.2</w:t>
      </w:r>
      <w:r>
        <w:rPr>
          <w:rFonts w:ascii="Arial" w:hAnsi="Arial" w:cs="Arial"/>
          <w:b/>
          <w:caps/>
          <w:sz w:val="22"/>
        </w:rPr>
        <w:t xml:space="preserve"> </w:t>
      </w:r>
      <w:r>
        <w:rPr>
          <w:rFonts w:ascii="Arial" w:hAnsi="Arial" w:cs="Arial"/>
          <w:b/>
          <w:sz w:val="22"/>
          <w:lang w:eastAsia="zh-CN"/>
        </w:rPr>
        <w:t>Preparation of crude extracts</w:t>
      </w:r>
    </w:p>
    <w:p w:rsidR="00DD21CA" w:rsidRDefault="00DD21CA">
      <w:pPr>
        <w:pStyle w:val="Body"/>
        <w:spacing w:after="0"/>
        <w:rPr>
          <w:rFonts w:ascii="Arial" w:hAnsi="Arial" w:cs="Arial"/>
          <w:b/>
          <w:sz w:val="22"/>
          <w:lang w:eastAsia="zh-CN"/>
        </w:rPr>
      </w:pPr>
    </w:p>
    <w:p w:rsidR="00DD21CA" w:rsidRDefault="00EF432E">
      <w:pPr>
        <w:pStyle w:val="Body"/>
        <w:spacing w:after="0"/>
        <w:rPr>
          <w:rFonts w:ascii="Arial" w:hAnsi="Arial" w:cs="Arial"/>
          <w:bCs/>
          <w:lang w:eastAsia="zh-CN"/>
        </w:rPr>
      </w:pPr>
      <w:r>
        <w:rPr>
          <w:rFonts w:ascii="Arial" w:hAnsi="Arial" w:cs="Arial"/>
          <w:bCs/>
          <w:lang w:eastAsia="zh-CN"/>
        </w:rPr>
        <w:t xml:space="preserve">The powdered </w:t>
      </w:r>
      <w:r>
        <w:rPr>
          <w:rFonts w:ascii="Arial" w:hAnsi="Arial" w:cs="Arial"/>
          <w:bCs/>
          <w:i/>
          <w:iCs/>
          <w:lang w:eastAsia="zh-CN"/>
        </w:rPr>
        <w:t>P. minor</w:t>
      </w:r>
      <w:r>
        <w:rPr>
          <w:rFonts w:ascii="Arial" w:hAnsi="Arial" w:cs="Arial"/>
          <w:bCs/>
          <w:lang w:eastAsia="zh-CN"/>
        </w:rPr>
        <w:t xml:space="preserve"> samples were extracted with 70% methanol at a 1:10 (w/v) ratio using an ultrasonication-assisted method (JAC Ultrasonic, Korea), operating at high power (300 W) within a temperature range of 40–50°C. After a 1-hour extraction period, the mixtures were centrifuged at 10,000 rpm for 15 minutes using a centrifuge (Heraeus </w:t>
      </w:r>
      <w:proofErr w:type="spellStart"/>
      <w:r>
        <w:rPr>
          <w:rFonts w:ascii="Arial" w:hAnsi="Arial" w:cs="Arial"/>
          <w:bCs/>
          <w:lang w:eastAsia="zh-CN"/>
        </w:rPr>
        <w:t>Multifuge</w:t>
      </w:r>
      <w:proofErr w:type="spellEnd"/>
      <w:r>
        <w:rPr>
          <w:rFonts w:ascii="Arial" w:hAnsi="Arial" w:cs="Arial"/>
          <w:bCs/>
          <w:lang w:eastAsia="zh-CN"/>
        </w:rPr>
        <w:t xml:space="preserve"> X3R, Germany) to separate the supernatant from the sediment. For aqueous extraction, a reflux method was employed using a Soxhlet apparatus (</w:t>
      </w:r>
      <w:proofErr w:type="spellStart"/>
      <w:r>
        <w:rPr>
          <w:rFonts w:ascii="Arial" w:hAnsi="Arial" w:cs="Arial"/>
          <w:bCs/>
          <w:lang w:eastAsia="zh-CN"/>
        </w:rPr>
        <w:t>Glas</w:t>
      </w:r>
      <w:proofErr w:type="spellEnd"/>
      <w:r>
        <w:rPr>
          <w:rFonts w:ascii="Arial" w:hAnsi="Arial" w:cs="Arial"/>
          <w:bCs/>
          <w:lang w:eastAsia="zh-CN"/>
        </w:rPr>
        <w:t>-Col, USA). The powdered sample was mixed with distilled water at a 1:10 (w/v) ratio and subjected to continuous extraction at 100°C for 4 hours. Following extraction, the mixture was filtered through Whatman No. 1 filter paper to separate the supernatant. The resulting aqueous extract was then concentrated using a rotary evaporator (</w:t>
      </w:r>
      <w:proofErr w:type="spellStart"/>
      <w:r>
        <w:rPr>
          <w:rFonts w:ascii="Arial" w:hAnsi="Arial" w:cs="Arial"/>
          <w:bCs/>
          <w:lang w:eastAsia="zh-CN"/>
        </w:rPr>
        <w:t>Buchi</w:t>
      </w:r>
      <w:proofErr w:type="spellEnd"/>
      <w:r>
        <w:rPr>
          <w:rFonts w:ascii="Arial" w:hAnsi="Arial" w:cs="Arial"/>
          <w:bCs/>
          <w:lang w:eastAsia="zh-CN"/>
        </w:rPr>
        <w:t>, Switzerland) and subsequently freeze-dried for further analysis.</w:t>
      </w:r>
    </w:p>
    <w:p w:rsidR="00DD21CA" w:rsidRDefault="00DD21CA">
      <w:pPr>
        <w:pStyle w:val="Body"/>
        <w:spacing w:after="0"/>
        <w:rPr>
          <w:rFonts w:ascii="Arial" w:hAnsi="Arial" w:cs="Arial"/>
          <w:b/>
          <w:sz w:val="22"/>
          <w:lang w:eastAsia="zh-CN"/>
        </w:rPr>
      </w:pPr>
    </w:p>
    <w:p w:rsidR="00DD21CA" w:rsidRDefault="00DD21CA">
      <w:pPr>
        <w:pStyle w:val="Body"/>
        <w:spacing w:after="0"/>
        <w:rPr>
          <w:rFonts w:ascii="Arial" w:hAnsi="Arial" w:cs="Arial"/>
        </w:rPr>
      </w:pPr>
    </w:p>
    <w:p w:rsidR="00DD21CA" w:rsidRDefault="00EF432E">
      <w:pPr>
        <w:pStyle w:val="Body"/>
        <w:spacing w:after="0"/>
        <w:rPr>
          <w:rFonts w:ascii="Arial" w:hAnsi="Arial" w:cs="Arial"/>
          <w:b/>
          <w:sz w:val="22"/>
          <w:lang w:val="en-MY" w:eastAsia="zh-CN"/>
        </w:rPr>
      </w:pPr>
      <w:r>
        <w:rPr>
          <w:rFonts w:ascii="Arial" w:hAnsi="Arial" w:cs="Arial"/>
          <w:b/>
          <w:caps/>
          <w:sz w:val="22"/>
          <w:lang w:val="en-MY"/>
        </w:rPr>
        <w:t>2.</w:t>
      </w:r>
      <w:r>
        <w:rPr>
          <w:rFonts w:ascii="Arial" w:hAnsi="Arial" w:cs="Arial"/>
          <w:b/>
          <w:caps/>
          <w:sz w:val="22"/>
        </w:rPr>
        <w:t xml:space="preserve">3 </w:t>
      </w:r>
      <w:r>
        <w:rPr>
          <w:rFonts w:ascii="Arial" w:hAnsi="Arial" w:cs="Arial"/>
          <w:b/>
          <w:sz w:val="22"/>
          <w:lang w:val="en-MY" w:eastAsia="zh-CN"/>
        </w:rPr>
        <w:t>Determination of antioxidant activity</w:t>
      </w:r>
    </w:p>
    <w:p w:rsidR="00DD21CA" w:rsidRDefault="00DD21CA">
      <w:pPr>
        <w:pStyle w:val="Body"/>
        <w:spacing w:after="0"/>
        <w:rPr>
          <w:rFonts w:ascii="Arial" w:hAnsi="Arial" w:cs="Arial"/>
        </w:rPr>
      </w:pPr>
    </w:p>
    <w:p w:rsidR="00DD21CA" w:rsidRDefault="00EF432E">
      <w:pPr>
        <w:pStyle w:val="Body"/>
        <w:spacing w:after="0"/>
        <w:rPr>
          <w:rFonts w:ascii="Arial" w:hAnsi="Arial" w:cs="Arial"/>
        </w:rPr>
      </w:pPr>
      <w:r>
        <w:rPr>
          <w:rFonts w:ascii="Arial" w:hAnsi="Arial" w:cs="Arial"/>
          <w:b/>
          <w:u w:val="single"/>
          <w:lang w:val="en-MY"/>
        </w:rPr>
        <w:t>2</w:t>
      </w:r>
      <w:r>
        <w:rPr>
          <w:rFonts w:ascii="Arial" w:hAnsi="Arial" w:cs="Arial"/>
          <w:b/>
          <w:u w:val="single"/>
        </w:rPr>
        <w:t xml:space="preserve">.3.1 </w:t>
      </w:r>
      <w:r>
        <w:rPr>
          <w:rFonts w:ascii="Arial" w:hAnsi="Arial" w:cs="Arial"/>
          <w:b/>
          <w:u w:val="single"/>
          <w:lang w:val="en-MY" w:eastAsia="zh-CN"/>
        </w:rPr>
        <w:t xml:space="preserve">DPPH </w:t>
      </w:r>
      <w:r>
        <w:rPr>
          <w:rFonts w:ascii="Arial" w:hAnsi="Arial" w:cs="Arial"/>
          <w:b/>
          <w:u w:val="single"/>
          <w:lang w:eastAsia="zh-CN"/>
        </w:rPr>
        <w:t>radical scavenging</w:t>
      </w:r>
    </w:p>
    <w:p w:rsidR="00DD21CA" w:rsidRDefault="00DD21CA">
      <w:pPr>
        <w:pStyle w:val="Body"/>
        <w:spacing w:after="0"/>
        <w:rPr>
          <w:rFonts w:ascii="Arial" w:hAnsi="Arial" w:cs="Arial"/>
        </w:rPr>
      </w:pPr>
    </w:p>
    <w:p w:rsidR="00DD21CA" w:rsidRDefault="00232767">
      <w:pPr>
        <w:pStyle w:val="Body"/>
        <w:spacing w:after="0"/>
        <w:rPr>
          <w:rFonts w:ascii="Arial" w:hAnsi="Arial" w:cs="Arial"/>
          <w:iCs/>
          <w:lang w:eastAsia="zh-CN"/>
        </w:rPr>
      </w:pPr>
      <w:r>
        <w:rPr>
          <w:rFonts w:ascii="Arial" w:hAnsi="Arial" w:cs="Arial"/>
          <w:iCs/>
          <w:lang w:eastAsia="zh-CN"/>
        </w:rPr>
        <w:t>“</w:t>
      </w:r>
      <w:r w:rsidR="00EF432E">
        <w:rPr>
          <w:rFonts w:ascii="Arial" w:hAnsi="Arial" w:cs="Arial"/>
          <w:iCs/>
          <w:lang w:eastAsia="zh-CN"/>
        </w:rPr>
        <w:t>The scavenging activity of the test samples on 2,2-diphenyl-1-picrylhydrazyl (DPPH) radicals was evaluated according to our previous work</w:t>
      </w:r>
      <w:r>
        <w:rPr>
          <w:rFonts w:ascii="Arial" w:hAnsi="Arial" w:cs="Arial"/>
          <w:iCs/>
          <w:lang w:eastAsia="zh-CN"/>
        </w:rPr>
        <w:t>”</w:t>
      </w:r>
      <w:r w:rsidR="00EF432E">
        <w:rPr>
          <w:rFonts w:ascii="Arial" w:hAnsi="Arial" w:cs="Arial"/>
          <w:iCs/>
          <w:lang w:eastAsia="zh-CN"/>
        </w:rPr>
        <w:t xml:space="preserve"> (</w:t>
      </w:r>
      <w:proofErr w:type="spellStart"/>
      <w:r w:rsidR="00EF432E">
        <w:rPr>
          <w:rFonts w:ascii="Arial" w:hAnsi="Arial" w:cs="Arial"/>
          <w:iCs/>
          <w:lang w:eastAsia="zh-CN"/>
        </w:rPr>
        <w:t>Mirfat</w:t>
      </w:r>
      <w:proofErr w:type="spellEnd"/>
      <w:r w:rsidR="00EF432E">
        <w:rPr>
          <w:rFonts w:ascii="Arial" w:hAnsi="Arial" w:cs="Arial"/>
          <w:iCs/>
          <w:lang w:eastAsia="zh-CN"/>
        </w:rPr>
        <w:t xml:space="preserve"> et al., 2024</w:t>
      </w:r>
      <w:r w:rsidR="00EF432E">
        <w:rPr>
          <w:rFonts w:ascii="Arial" w:hAnsi="Arial" w:cs="Arial"/>
          <w:iCs/>
          <w:lang w:val="en-MY" w:eastAsia="zh-CN"/>
        </w:rPr>
        <w:t>a</w:t>
      </w:r>
      <w:r w:rsidR="00EF432E">
        <w:rPr>
          <w:rFonts w:ascii="Arial" w:hAnsi="Arial" w:cs="Arial"/>
          <w:iCs/>
          <w:lang w:eastAsia="zh-CN"/>
        </w:rPr>
        <w:t xml:space="preserve">). Various concentrations of </w:t>
      </w:r>
      <w:r w:rsidR="00EF432E">
        <w:rPr>
          <w:rFonts w:ascii="Arial" w:hAnsi="Arial" w:cs="Arial"/>
          <w:i/>
          <w:lang w:val="en-MY" w:eastAsia="zh-CN"/>
        </w:rPr>
        <w:t xml:space="preserve">P. minor </w:t>
      </w:r>
      <w:r w:rsidR="00EF432E">
        <w:rPr>
          <w:rFonts w:ascii="Arial" w:hAnsi="Arial" w:cs="Arial"/>
          <w:iCs/>
          <w:lang w:eastAsia="zh-CN"/>
        </w:rPr>
        <w:t xml:space="preserve">extracts in methanol were prepared to give a final volume of 7 </w:t>
      </w:r>
      <w:proofErr w:type="spellStart"/>
      <w:r w:rsidR="00EF432E">
        <w:rPr>
          <w:rFonts w:ascii="Arial" w:hAnsi="Arial" w:cs="Arial"/>
          <w:iCs/>
          <w:lang w:eastAsia="zh-CN"/>
        </w:rPr>
        <w:t>μL</w:t>
      </w:r>
      <w:proofErr w:type="spellEnd"/>
      <w:r w:rsidR="00EF432E">
        <w:rPr>
          <w:rFonts w:ascii="Arial" w:hAnsi="Arial" w:cs="Arial"/>
          <w:iCs/>
          <w:lang w:eastAsia="zh-CN"/>
        </w:rPr>
        <w:t xml:space="preserve"> and were mixed with 280 </w:t>
      </w:r>
      <w:proofErr w:type="spellStart"/>
      <w:r w:rsidR="00EF432E">
        <w:rPr>
          <w:rFonts w:ascii="Arial" w:hAnsi="Arial" w:cs="Arial"/>
          <w:iCs/>
          <w:lang w:eastAsia="zh-CN"/>
        </w:rPr>
        <w:t>μL</w:t>
      </w:r>
      <w:proofErr w:type="spellEnd"/>
      <w:r w:rsidR="00EF432E">
        <w:rPr>
          <w:rFonts w:ascii="Arial" w:hAnsi="Arial" w:cs="Arial"/>
          <w:iCs/>
          <w:lang w:eastAsia="zh-CN"/>
        </w:rPr>
        <w:t xml:space="preserve"> of methanolic solution containing DPPH radicals resulting in a final concentration of 0.06 </w:t>
      </w:r>
      <w:proofErr w:type="spellStart"/>
      <w:r w:rsidR="00EF432E">
        <w:rPr>
          <w:rFonts w:ascii="Arial" w:hAnsi="Arial" w:cs="Arial"/>
          <w:iCs/>
          <w:lang w:eastAsia="zh-CN"/>
        </w:rPr>
        <w:t>mM.</w:t>
      </w:r>
      <w:proofErr w:type="spellEnd"/>
      <w:r w:rsidR="00EF432E">
        <w:rPr>
          <w:rFonts w:ascii="Arial" w:hAnsi="Arial" w:cs="Arial"/>
          <w:iCs/>
          <w:lang w:eastAsia="zh-CN"/>
        </w:rPr>
        <w:t xml:space="preserve"> The reaction mixture was vigorously shaken and left to stand for 30 min</w:t>
      </w:r>
      <w:proofErr w:type="spellStart"/>
      <w:r w:rsidR="00EF432E">
        <w:rPr>
          <w:rFonts w:ascii="Arial" w:hAnsi="Arial" w:cs="Arial"/>
          <w:iCs/>
          <w:lang w:val="en-MY" w:eastAsia="zh-CN"/>
        </w:rPr>
        <w:t>ute</w:t>
      </w:r>
      <w:proofErr w:type="spellEnd"/>
      <w:r w:rsidR="00EF432E">
        <w:rPr>
          <w:rFonts w:ascii="Arial" w:hAnsi="Arial" w:cs="Arial"/>
          <w:iCs/>
          <w:lang w:eastAsia="zh-CN"/>
        </w:rPr>
        <w:t xml:space="preserve">s in the dark. The negative control contained all reagents without the test samples, while methanol was used as a blank. The DPPH radical scavenging activity was determined by measuring the absorbance at 517 nm using a microplate reader (Eon </w:t>
      </w:r>
      <w:proofErr w:type="spellStart"/>
      <w:r w:rsidR="00EF432E">
        <w:rPr>
          <w:rFonts w:ascii="Arial" w:hAnsi="Arial" w:cs="Arial"/>
          <w:iCs/>
          <w:lang w:eastAsia="zh-CN"/>
        </w:rPr>
        <w:t>Biotek</w:t>
      </w:r>
      <w:proofErr w:type="spellEnd"/>
      <w:r w:rsidR="00EF432E">
        <w:rPr>
          <w:rFonts w:ascii="Arial" w:hAnsi="Arial" w:cs="Arial"/>
          <w:iCs/>
          <w:lang w:eastAsia="zh-CN"/>
        </w:rPr>
        <w:t>, VT, USA). The percentage of inhibition of the DPPH radicals was calculated as follows:</w:t>
      </w:r>
    </w:p>
    <w:p w:rsidR="00DD21CA" w:rsidRDefault="00DD21CA">
      <w:pPr>
        <w:pStyle w:val="Body"/>
        <w:spacing w:after="0"/>
        <w:rPr>
          <w:rFonts w:ascii="Arial" w:hAnsi="Arial" w:cs="Arial"/>
          <w:iCs/>
          <w:lang w:eastAsia="zh-CN"/>
        </w:rPr>
      </w:pPr>
    </w:p>
    <w:p w:rsidR="00DD21CA" w:rsidRDefault="00EF432E">
      <w:pPr>
        <w:pStyle w:val="Body"/>
        <w:spacing w:after="0"/>
        <w:rPr>
          <w:rFonts w:ascii="Arial" w:hAnsi="Arial" w:cs="Arial"/>
          <w:iCs/>
          <w:lang w:eastAsia="zh-CN"/>
        </w:rPr>
      </w:pPr>
      <w:r>
        <w:rPr>
          <w:rFonts w:ascii="Arial" w:hAnsi="Arial" w:cs="Arial"/>
          <w:iCs/>
          <w:lang w:eastAsia="zh-CN"/>
        </w:rPr>
        <w:t>Inhibition (%) = (Absorbance of control − Absorbance of test sample) / (Absorbance control) x 100%</w:t>
      </w:r>
    </w:p>
    <w:p w:rsidR="00DD21CA" w:rsidRDefault="00DD21CA">
      <w:pPr>
        <w:pStyle w:val="Body"/>
        <w:spacing w:after="0"/>
        <w:rPr>
          <w:rFonts w:ascii="Arial" w:hAnsi="Arial" w:cs="Arial"/>
          <w:iCs/>
          <w:lang w:eastAsia="zh-CN"/>
        </w:rPr>
      </w:pPr>
    </w:p>
    <w:p w:rsidR="00DD21CA" w:rsidRDefault="00EF432E">
      <w:pPr>
        <w:pStyle w:val="Body"/>
        <w:spacing w:after="0"/>
        <w:rPr>
          <w:rFonts w:ascii="Arial" w:hAnsi="Arial" w:cs="Arial"/>
          <w:iCs/>
          <w:lang w:eastAsia="zh-CN"/>
        </w:rPr>
      </w:pPr>
      <w:r>
        <w:rPr>
          <w:rFonts w:ascii="Arial" w:hAnsi="Arial" w:cs="Arial"/>
          <w:iCs/>
          <w:lang w:eastAsia="zh-CN"/>
        </w:rPr>
        <w:t>A graph of the DPPH inhibition percentage of each sample against the sample concentration was plotted. The final results were expressed as IC</w:t>
      </w:r>
      <w:r>
        <w:rPr>
          <w:rFonts w:ascii="Arial" w:hAnsi="Arial" w:cs="Arial"/>
          <w:iCs/>
          <w:vertAlign w:val="subscript"/>
          <w:lang w:eastAsia="zh-CN"/>
        </w:rPr>
        <w:t xml:space="preserve">50 </w:t>
      </w:r>
      <w:r>
        <w:rPr>
          <w:rFonts w:ascii="Arial" w:hAnsi="Arial" w:cs="Arial"/>
          <w:iCs/>
          <w:lang w:eastAsia="zh-CN"/>
        </w:rPr>
        <w:t>value, which is the inhibitory concentration at which DPPH radicals were scavenged by 50%. All procedures were conducted in triplicates with a minimum exposure to light.</w:t>
      </w:r>
    </w:p>
    <w:p w:rsidR="00DD21CA" w:rsidRDefault="00DD21CA">
      <w:pPr>
        <w:pStyle w:val="Body"/>
        <w:spacing w:after="0"/>
        <w:rPr>
          <w:rFonts w:ascii="Arial" w:hAnsi="Arial" w:cs="Arial"/>
          <w:iCs/>
          <w:lang w:eastAsia="zh-CN"/>
        </w:rPr>
      </w:pPr>
    </w:p>
    <w:p w:rsidR="00DD21CA" w:rsidRDefault="00EF432E">
      <w:pPr>
        <w:pStyle w:val="Body"/>
        <w:spacing w:after="0"/>
        <w:rPr>
          <w:rFonts w:ascii="Arial" w:hAnsi="Arial" w:cs="Arial"/>
          <w:b/>
          <w:u w:val="single"/>
          <w:lang w:eastAsia="zh-CN"/>
        </w:rPr>
      </w:pPr>
      <w:r>
        <w:rPr>
          <w:rFonts w:ascii="Arial" w:hAnsi="Arial" w:cs="Arial"/>
          <w:b/>
          <w:u w:val="single"/>
          <w:lang w:val="en-MY"/>
        </w:rPr>
        <w:t>2.</w:t>
      </w:r>
      <w:r>
        <w:rPr>
          <w:rFonts w:ascii="Arial" w:hAnsi="Arial" w:cs="Arial"/>
          <w:b/>
          <w:u w:val="single"/>
        </w:rPr>
        <w:t>3.</w:t>
      </w:r>
      <w:r>
        <w:rPr>
          <w:rFonts w:ascii="Arial" w:hAnsi="Arial" w:cs="Arial"/>
          <w:b/>
          <w:u w:val="single"/>
          <w:lang w:val="en-MY"/>
        </w:rPr>
        <w:t>2</w:t>
      </w:r>
      <w:r>
        <w:rPr>
          <w:rFonts w:ascii="Arial" w:hAnsi="Arial" w:cs="Arial"/>
          <w:b/>
          <w:u w:val="single"/>
        </w:rPr>
        <w:t xml:space="preserve"> </w:t>
      </w:r>
      <w:r>
        <w:rPr>
          <w:rFonts w:ascii="Arial" w:hAnsi="Arial" w:cs="Arial"/>
          <w:b/>
          <w:u w:val="single"/>
          <w:lang w:eastAsia="zh-CN"/>
        </w:rPr>
        <w:t xml:space="preserve">Ferric reducing antioxidant power </w:t>
      </w:r>
    </w:p>
    <w:p w:rsidR="00DD21CA" w:rsidRDefault="00DD21CA">
      <w:pPr>
        <w:pStyle w:val="Body"/>
        <w:spacing w:after="0"/>
        <w:rPr>
          <w:rFonts w:ascii="Arial" w:hAnsi="Arial" w:cs="Arial"/>
          <w:b/>
          <w:u w:val="single"/>
          <w:lang w:eastAsia="zh-CN"/>
        </w:rPr>
      </w:pPr>
    </w:p>
    <w:p w:rsidR="00232767" w:rsidRPr="00232767" w:rsidRDefault="00232767" w:rsidP="001D0C85">
      <w:pPr>
        <w:jc w:val="both"/>
        <w:rPr>
          <w:rFonts w:ascii="Times New Roman" w:hAnsi="Times New Roman"/>
          <w:szCs w:val="24"/>
        </w:rPr>
      </w:pPr>
      <w:r w:rsidRPr="00232767">
        <w:rPr>
          <w:rFonts w:ascii="Times New Roman" w:hAnsi="Times New Roman"/>
          <w:szCs w:val="24"/>
        </w:rPr>
        <w:t>Ferric reducing antioxidant power (FRAP) was assesse</w:t>
      </w:r>
      <w:bookmarkStart w:id="0" w:name="_GoBack"/>
      <w:bookmarkEnd w:id="0"/>
      <w:r w:rsidRPr="00232767">
        <w:rPr>
          <w:rFonts w:ascii="Times New Roman" w:hAnsi="Times New Roman"/>
          <w:szCs w:val="24"/>
        </w:rPr>
        <w:t>d through the conversion of ferric-</w:t>
      </w:r>
      <w:proofErr w:type="spellStart"/>
      <w:r w:rsidRPr="00232767">
        <w:rPr>
          <w:rFonts w:ascii="Times New Roman" w:hAnsi="Times New Roman"/>
          <w:szCs w:val="24"/>
        </w:rPr>
        <w:t>tripiridyltriazine</w:t>
      </w:r>
      <w:proofErr w:type="spellEnd"/>
      <w:r w:rsidRPr="00232767">
        <w:rPr>
          <w:rFonts w:ascii="Times New Roman" w:hAnsi="Times New Roman"/>
          <w:szCs w:val="24"/>
        </w:rPr>
        <w:t xml:space="preserve"> (Fe3+-TPTZ) into a blue-colored ferrous form (Fe2+-TPTZ) (</w:t>
      </w:r>
      <w:proofErr w:type="spellStart"/>
      <w:r w:rsidRPr="00232767">
        <w:rPr>
          <w:rFonts w:ascii="Times New Roman" w:hAnsi="Times New Roman"/>
          <w:szCs w:val="24"/>
        </w:rPr>
        <w:t>Mirfat</w:t>
      </w:r>
      <w:proofErr w:type="spellEnd"/>
      <w:r w:rsidRPr="00232767">
        <w:rPr>
          <w:rFonts w:ascii="Times New Roman" w:hAnsi="Times New Roman"/>
          <w:szCs w:val="24"/>
        </w:rPr>
        <w:t xml:space="preserve"> et al., 2024a). The active FRAP reagent was made by combining 300 mM acetate buffer (pH 3.6), a 10 mM TPTZ (Sigma, USA) solution, and 20 mM ferric chloride hexahydrate (FeCl3.6H2O) (Sigma, USA) in a 10:1:1 ratio, then heated to 37ºC in a water bath before use. Seven microliters of sample and twenty microliters of distilled water (dH2O) were combined with 200 microliters of FRAP reagent and incubated at 37ºC for four minutes. The absorbance of the reaction solution was assessed at 593 nm relative to a blank. Ferrous sulfate heptahydrate (FeSO4.7H2O) served as a reference standard (100-1000 mM) for creating a calibration curve. The ultimate findings were presented as the concentration of antioxidants demonstrating ferric-reducing ability in Fe </w:t>
      </w:r>
      <w:proofErr w:type="spellStart"/>
      <w:r w:rsidRPr="00232767">
        <w:rPr>
          <w:rFonts w:ascii="Times New Roman" w:hAnsi="Times New Roman"/>
          <w:szCs w:val="24"/>
        </w:rPr>
        <w:t>μmoL</w:t>
      </w:r>
      <w:proofErr w:type="spellEnd"/>
      <w:r w:rsidRPr="00232767">
        <w:rPr>
          <w:rFonts w:ascii="Times New Roman" w:hAnsi="Times New Roman"/>
          <w:szCs w:val="24"/>
        </w:rPr>
        <w:t>/mg of sample</w:t>
      </w:r>
    </w:p>
    <w:p w:rsidR="00DD21CA" w:rsidRDefault="00DD21CA">
      <w:pPr>
        <w:pStyle w:val="Body"/>
        <w:spacing w:after="0"/>
        <w:rPr>
          <w:rFonts w:ascii="Arial" w:hAnsi="Arial" w:cs="Arial"/>
          <w:iCs/>
          <w:lang w:eastAsia="zh-CN"/>
        </w:rPr>
      </w:pPr>
    </w:p>
    <w:p w:rsidR="00DD21CA" w:rsidRDefault="00DD21CA">
      <w:pPr>
        <w:pStyle w:val="Body"/>
        <w:spacing w:after="0"/>
        <w:rPr>
          <w:rFonts w:ascii="Arial" w:hAnsi="Arial" w:cs="Arial"/>
          <w:iCs/>
          <w:lang w:eastAsia="zh-CN"/>
        </w:rPr>
      </w:pPr>
    </w:p>
    <w:p w:rsidR="00DD21CA" w:rsidRDefault="00EF432E">
      <w:pPr>
        <w:pStyle w:val="Body"/>
        <w:spacing w:after="0"/>
        <w:rPr>
          <w:rFonts w:ascii="Arial" w:hAnsi="Arial" w:cs="Arial"/>
          <w:b/>
          <w:sz w:val="22"/>
          <w:lang w:val="en-MY" w:eastAsia="zh-CN"/>
        </w:rPr>
      </w:pPr>
      <w:r>
        <w:rPr>
          <w:rFonts w:ascii="Arial" w:hAnsi="Arial" w:cs="Arial"/>
          <w:b/>
          <w:caps/>
          <w:sz w:val="22"/>
          <w:lang w:val="en-MY"/>
        </w:rPr>
        <w:t>2.</w:t>
      </w:r>
      <w:r>
        <w:rPr>
          <w:rFonts w:ascii="Arial" w:hAnsi="Arial" w:cs="Arial"/>
          <w:b/>
          <w:caps/>
          <w:sz w:val="22"/>
        </w:rPr>
        <w:t xml:space="preserve">4 </w:t>
      </w:r>
      <w:r>
        <w:rPr>
          <w:rFonts w:ascii="Arial" w:hAnsi="Arial" w:cs="Arial"/>
          <w:b/>
          <w:sz w:val="22"/>
          <w:lang w:val="en-MY" w:eastAsia="zh-CN"/>
        </w:rPr>
        <w:t>Determination of phytochemical content</w:t>
      </w:r>
    </w:p>
    <w:p w:rsidR="00DD21CA" w:rsidRDefault="00DD21CA">
      <w:pPr>
        <w:pStyle w:val="Body"/>
        <w:spacing w:after="0"/>
        <w:rPr>
          <w:rFonts w:ascii="Arial" w:hAnsi="Arial" w:cs="Arial"/>
          <w:b/>
          <w:sz w:val="22"/>
          <w:lang w:val="en-MY" w:eastAsia="zh-CN"/>
        </w:rPr>
      </w:pPr>
    </w:p>
    <w:p w:rsidR="00DD21CA" w:rsidRDefault="00EF432E">
      <w:pPr>
        <w:pStyle w:val="Body"/>
        <w:spacing w:after="0"/>
        <w:rPr>
          <w:rFonts w:ascii="Arial" w:hAnsi="Arial" w:cs="Arial"/>
          <w:b/>
          <w:u w:val="single"/>
          <w:lang w:val="en-MY" w:eastAsia="zh-CN"/>
        </w:rPr>
      </w:pPr>
      <w:r>
        <w:rPr>
          <w:rFonts w:ascii="Arial" w:hAnsi="Arial" w:cs="Arial"/>
          <w:b/>
          <w:u w:val="single"/>
          <w:lang w:val="en-MY" w:eastAsia="zh-CN"/>
        </w:rPr>
        <w:t>2</w:t>
      </w:r>
      <w:r>
        <w:rPr>
          <w:rFonts w:ascii="Arial" w:hAnsi="Arial" w:cs="Arial"/>
          <w:b/>
          <w:u w:val="single"/>
          <w:lang w:eastAsia="zh-CN"/>
        </w:rPr>
        <w:t>.4</w:t>
      </w:r>
      <w:r>
        <w:rPr>
          <w:rFonts w:ascii="Arial" w:hAnsi="Arial" w:cs="Arial"/>
          <w:b/>
          <w:u w:val="single"/>
          <w:lang w:val="en-MY" w:eastAsia="zh-CN"/>
        </w:rPr>
        <w:t>.1 Total phenolic content</w:t>
      </w:r>
    </w:p>
    <w:p w:rsidR="00DD21CA" w:rsidRDefault="00DD21CA">
      <w:pPr>
        <w:pStyle w:val="Body"/>
        <w:spacing w:after="0"/>
        <w:rPr>
          <w:rFonts w:ascii="Arial" w:hAnsi="Arial" w:cs="Arial"/>
          <w:bCs/>
          <w:lang w:val="en-MY" w:eastAsia="zh-CN"/>
        </w:rPr>
      </w:pPr>
    </w:p>
    <w:p w:rsidR="00DD21CA" w:rsidRDefault="00EF432E">
      <w:pPr>
        <w:pStyle w:val="Body"/>
        <w:spacing w:after="0"/>
        <w:rPr>
          <w:rFonts w:ascii="Arial" w:hAnsi="Arial" w:cs="Arial"/>
          <w:bCs/>
          <w:lang w:val="en-MY" w:eastAsia="zh-CN"/>
        </w:rPr>
      </w:pPr>
      <w:r>
        <w:rPr>
          <w:rFonts w:ascii="Arial" w:hAnsi="Arial" w:cs="Arial"/>
          <w:bCs/>
          <w:lang w:val="en-MY" w:eastAsia="zh-CN"/>
        </w:rPr>
        <w:t xml:space="preserve">Total phenolic content of the test samples was estimated according to the </w:t>
      </w:r>
      <w:proofErr w:type="spellStart"/>
      <w:r>
        <w:rPr>
          <w:rFonts w:ascii="Arial" w:hAnsi="Arial" w:cs="Arial"/>
          <w:bCs/>
          <w:lang w:val="en-MY" w:eastAsia="zh-CN"/>
        </w:rPr>
        <w:t>Folin</w:t>
      </w:r>
      <w:proofErr w:type="spellEnd"/>
      <w:r>
        <w:rPr>
          <w:rFonts w:ascii="Arial" w:hAnsi="Arial" w:cs="Arial"/>
          <w:bCs/>
          <w:lang w:val="en-MY" w:eastAsia="zh-CN"/>
        </w:rPr>
        <w:t>–</w:t>
      </w:r>
      <w:proofErr w:type="spellStart"/>
      <w:r>
        <w:rPr>
          <w:rFonts w:ascii="Arial" w:hAnsi="Arial" w:cs="Arial"/>
          <w:bCs/>
          <w:lang w:val="en-MY" w:eastAsia="zh-CN"/>
        </w:rPr>
        <w:t>Ciocalte</w:t>
      </w:r>
      <w:proofErr w:type="spellEnd"/>
      <w:r>
        <w:rPr>
          <w:rFonts w:ascii="Arial" w:hAnsi="Arial" w:cs="Arial"/>
          <w:bCs/>
          <w:lang w:eastAsia="zh-CN"/>
        </w:rPr>
        <w:t>a</w:t>
      </w:r>
      <w:r>
        <w:rPr>
          <w:rFonts w:ascii="Arial" w:hAnsi="Arial" w:cs="Arial"/>
          <w:bCs/>
          <w:lang w:val="en-MY" w:eastAsia="zh-CN"/>
        </w:rPr>
        <w:t xml:space="preserve">u </w:t>
      </w:r>
      <w:proofErr w:type="spellStart"/>
      <w:r>
        <w:rPr>
          <w:rFonts w:ascii="Arial" w:hAnsi="Arial" w:cs="Arial"/>
          <w:bCs/>
          <w:lang w:val="en-MY" w:eastAsia="zh-CN"/>
        </w:rPr>
        <w:t>colo</w:t>
      </w:r>
      <w:proofErr w:type="spellEnd"/>
      <w:r>
        <w:rPr>
          <w:rFonts w:ascii="Arial" w:hAnsi="Arial" w:cs="Arial"/>
          <w:bCs/>
          <w:lang w:eastAsia="zh-CN"/>
        </w:rPr>
        <w:t>u</w:t>
      </w:r>
      <w:proofErr w:type="spellStart"/>
      <w:r>
        <w:rPr>
          <w:rFonts w:ascii="Arial" w:hAnsi="Arial" w:cs="Arial"/>
          <w:bCs/>
          <w:lang w:val="en-MY" w:eastAsia="zh-CN"/>
        </w:rPr>
        <w:t>rimetric</w:t>
      </w:r>
      <w:proofErr w:type="spellEnd"/>
      <w:r>
        <w:rPr>
          <w:rFonts w:ascii="Arial" w:hAnsi="Arial" w:cs="Arial"/>
          <w:bCs/>
          <w:lang w:val="en-MY" w:eastAsia="zh-CN"/>
        </w:rPr>
        <w:t xml:space="preserve"> method as described in our previous work (</w:t>
      </w:r>
      <w:proofErr w:type="spellStart"/>
      <w:r>
        <w:rPr>
          <w:rFonts w:ascii="Arial" w:hAnsi="Arial" w:cs="Arial"/>
          <w:bCs/>
          <w:lang w:val="en-MY" w:eastAsia="zh-CN"/>
        </w:rPr>
        <w:t>Mirfat</w:t>
      </w:r>
      <w:proofErr w:type="spellEnd"/>
      <w:r>
        <w:rPr>
          <w:rFonts w:ascii="Arial" w:hAnsi="Arial" w:cs="Arial"/>
          <w:bCs/>
          <w:lang w:val="en-MY" w:eastAsia="zh-CN"/>
        </w:rPr>
        <w:t xml:space="preserve"> et al.</w:t>
      </w:r>
      <w:r>
        <w:rPr>
          <w:rFonts w:ascii="Arial" w:hAnsi="Arial" w:cs="Arial"/>
          <w:bCs/>
          <w:lang w:eastAsia="zh-CN"/>
        </w:rPr>
        <w:t>,</w:t>
      </w:r>
      <w:r>
        <w:rPr>
          <w:rFonts w:ascii="Arial" w:hAnsi="Arial" w:cs="Arial"/>
          <w:bCs/>
          <w:lang w:val="en-MY" w:eastAsia="zh-CN"/>
        </w:rPr>
        <w:t xml:space="preserve"> 2024a). Briefly, a 50 </w:t>
      </w:r>
      <w:proofErr w:type="spellStart"/>
      <w:r>
        <w:rPr>
          <w:rFonts w:ascii="Arial" w:hAnsi="Arial" w:cs="Arial"/>
          <w:bCs/>
          <w:lang w:val="en-MY" w:eastAsia="zh-CN"/>
        </w:rPr>
        <w:t>μL</w:t>
      </w:r>
      <w:proofErr w:type="spellEnd"/>
      <w:r>
        <w:rPr>
          <w:rFonts w:ascii="Arial" w:hAnsi="Arial" w:cs="Arial"/>
          <w:bCs/>
          <w:lang w:val="en-MY" w:eastAsia="zh-CN"/>
        </w:rPr>
        <w:t xml:space="preserve"> test sample was mixed with 100 </w:t>
      </w:r>
      <w:proofErr w:type="spellStart"/>
      <w:r>
        <w:rPr>
          <w:rFonts w:ascii="Arial" w:hAnsi="Arial" w:cs="Arial"/>
          <w:bCs/>
          <w:lang w:val="en-MY" w:eastAsia="zh-CN"/>
        </w:rPr>
        <w:t>μL</w:t>
      </w:r>
      <w:proofErr w:type="spellEnd"/>
      <w:r>
        <w:rPr>
          <w:rFonts w:ascii="Arial" w:hAnsi="Arial" w:cs="Arial"/>
          <w:bCs/>
          <w:lang w:val="en-MY" w:eastAsia="zh-CN"/>
        </w:rPr>
        <w:t xml:space="preserve"> </w:t>
      </w:r>
      <w:proofErr w:type="spellStart"/>
      <w:r>
        <w:rPr>
          <w:rFonts w:ascii="Arial" w:hAnsi="Arial" w:cs="Arial"/>
          <w:bCs/>
          <w:lang w:val="en-MY" w:eastAsia="zh-CN"/>
        </w:rPr>
        <w:t>Folin</w:t>
      </w:r>
      <w:proofErr w:type="spellEnd"/>
      <w:r>
        <w:rPr>
          <w:rFonts w:ascii="Arial" w:hAnsi="Arial" w:cs="Arial"/>
          <w:bCs/>
          <w:lang w:val="en-MY" w:eastAsia="zh-CN"/>
        </w:rPr>
        <w:t xml:space="preserve"> </w:t>
      </w:r>
      <w:proofErr w:type="spellStart"/>
      <w:r>
        <w:rPr>
          <w:rFonts w:ascii="Arial" w:hAnsi="Arial" w:cs="Arial"/>
          <w:bCs/>
          <w:lang w:val="en-MY" w:eastAsia="zh-CN"/>
        </w:rPr>
        <w:t>Ciocalteau’s</w:t>
      </w:r>
      <w:proofErr w:type="spellEnd"/>
      <w:r>
        <w:rPr>
          <w:rFonts w:ascii="Arial" w:hAnsi="Arial" w:cs="Arial"/>
          <w:bCs/>
          <w:lang w:val="en-MY" w:eastAsia="zh-CN"/>
        </w:rPr>
        <w:t xml:space="preserve"> phenol reagent. After 3 minutes, 100 </w:t>
      </w:r>
      <w:proofErr w:type="spellStart"/>
      <w:r>
        <w:rPr>
          <w:rFonts w:ascii="Arial" w:hAnsi="Arial" w:cs="Arial"/>
          <w:bCs/>
          <w:lang w:val="en-MY" w:eastAsia="zh-CN"/>
        </w:rPr>
        <w:t>μL</w:t>
      </w:r>
      <w:proofErr w:type="spellEnd"/>
      <w:r>
        <w:rPr>
          <w:rFonts w:ascii="Arial" w:hAnsi="Arial" w:cs="Arial"/>
          <w:bCs/>
          <w:lang w:val="en-MY" w:eastAsia="zh-CN"/>
        </w:rPr>
        <w:t xml:space="preserve"> 10% sodium carbonate (Na</w:t>
      </w:r>
      <w:r>
        <w:rPr>
          <w:rFonts w:ascii="Arial" w:hAnsi="Arial" w:cs="Arial"/>
          <w:bCs/>
          <w:vertAlign w:val="subscript"/>
          <w:lang w:val="en-MY" w:eastAsia="zh-CN"/>
        </w:rPr>
        <w:t>2</w:t>
      </w:r>
      <w:r>
        <w:rPr>
          <w:rFonts w:ascii="Arial" w:hAnsi="Arial" w:cs="Arial"/>
          <w:bCs/>
          <w:lang w:val="en-MY" w:eastAsia="zh-CN"/>
        </w:rPr>
        <w:t>CO</w:t>
      </w:r>
      <w:r>
        <w:rPr>
          <w:rFonts w:ascii="Arial" w:hAnsi="Arial" w:cs="Arial"/>
          <w:bCs/>
          <w:vertAlign w:val="subscript"/>
          <w:lang w:val="en-MY" w:eastAsia="zh-CN"/>
        </w:rPr>
        <w:t>3</w:t>
      </w:r>
      <w:r>
        <w:rPr>
          <w:rFonts w:ascii="Arial" w:hAnsi="Arial" w:cs="Arial"/>
          <w:bCs/>
          <w:lang w:val="en-MY" w:eastAsia="zh-CN"/>
        </w:rPr>
        <w:t>) was added to the reaction mixture and allowed to stand in the dark for 60 minutes. The analysis was carried out in triplicates with a minimum exposure of light. The resulting blue-coloured complex was measured at 725 nm against a blank. Gallic acid was used as a reference standard and the content of total phenol was expressed in gallic acid equivalents (GAE) in milligram per g samples through the calibration curve.</w:t>
      </w:r>
    </w:p>
    <w:p w:rsidR="00DD21CA" w:rsidRDefault="00DD21CA">
      <w:pPr>
        <w:pStyle w:val="Body"/>
        <w:spacing w:after="0"/>
        <w:rPr>
          <w:rFonts w:ascii="Arial" w:hAnsi="Arial" w:cs="Arial"/>
          <w:bCs/>
          <w:lang w:val="en-MY" w:eastAsia="zh-CN"/>
        </w:rPr>
      </w:pPr>
    </w:p>
    <w:p w:rsidR="00DD21CA" w:rsidRDefault="00EF432E">
      <w:pPr>
        <w:pStyle w:val="Body"/>
        <w:spacing w:after="0"/>
        <w:rPr>
          <w:rFonts w:ascii="Arial" w:hAnsi="Arial" w:cs="Arial"/>
          <w:b/>
          <w:u w:val="single"/>
          <w:lang w:val="en-MY" w:eastAsia="zh-CN"/>
        </w:rPr>
      </w:pPr>
      <w:r>
        <w:rPr>
          <w:rFonts w:ascii="Arial" w:hAnsi="Arial" w:cs="Arial"/>
          <w:b/>
          <w:u w:val="single"/>
          <w:lang w:val="en-MY" w:eastAsia="zh-CN"/>
        </w:rPr>
        <w:t>2.</w:t>
      </w:r>
      <w:r>
        <w:rPr>
          <w:rFonts w:ascii="Arial" w:hAnsi="Arial" w:cs="Arial"/>
          <w:b/>
          <w:u w:val="single"/>
          <w:lang w:eastAsia="zh-CN"/>
        </w:rPr>
        <w:t>4</w:t>
      </w:r>
      <w:r>
        <w:rPr>
          <w:rFonts w:ascii="Arial" w:hAnsi="Arial" w:cs="Arial"/>
          <w:b/>
          <w:u w:val="single"/>
          <w:lang w:val="en-MY" w:eastAsia="zh-CN"/>
        </w:rPr>
        <w:t>.2 Total flavonoid content</w:t>
      </w:r>
    </w:p>
    <w:p w:rsidR="00DD21CA" w:rsidRDefault="00DD21CA">
      <w:pPr>
        <w:pStyle w:val="Body"/>
        <w:spacing w:after="0"/>
        <w:rPr>
          <w:rFonts w:ascii="Arial" w:hAnsi="Arial" w:cs="Arial"/>
          <w:b/>
          <w:u w:val="single"/>
          <w:lang w:val="en-MY" w:eastAsia="zh-CN"/>
        </w:rPr>
      </w:pPr>
    </w:p>
    <w:p w:rsidR="00DD21CA" w:rsidRDefault="00EF432E">
      <w:pPr>
        <w:pStyle w:val="Body"/>
        <w:spacing w:after="0"/>
        <w:rPr>
          <w:rFonts w:ascii="Arial" w:hAnsi="Arial" w:cs="Arial"/>
          <w:bCs/>
          <w:lang w:val="en-MY" w:eastAsia="zh-CN"/>
        </w:rPr>
      </w:pPr>
      <w:r>
        <w:rPr>
          <w:rFonts w:ascii="Arial" w:hAnsi="Arial" w:cs="Arial"/>
          <w:bCs/>
          <w:lang w:val="en-MY" w:eastAsia="zh-CN"/>
        </w:rPr>
        <w:t xml:space="preserve">The aluminium chloride method was used for the determination of total flavonoids following a previously reported by </w:t>
      </w:r>
      <w:proofErr w:type="spellStart"/>
      <w:r>
        <w:rPr>
          <w:rFonts w:ascii="Arial" w:hAnsi="Arial" w:cs="Arial"/>
          <w:bCs/>
          <w:lang w:val="en-MY" w:eastAsia="zh-CN"/>
        </w:rPr>
        <w:t>Mirfat</w:t>
      </w:r>
      <w:proofErr w:type="spellEnd"/>
      <w:r>
        <w:rPr>
          <w:rFonts w:ascii="Arial" w:hAnsi="Arial" w:cs="Arial"/>
          <w:bCs/>
          <w:lang w:val="en-MY" w:eastAsia="zh-CN"/>
        </w:rPr>
        <w:t xml:space="preserve"> et al. (2024a). An aliquot of 30 </w:t>
      </w:r>
      <w:proofErr w:type="spellStart"/>
      <w:r>
        <w:rPr>
          <w:rFonts w:ascii="Arial" w:hAnsi="Arial" w:cs="Arial"/>
          <w:bCs/>
          <w:lang w:val="en-MY" w:eastAsia="zh-CN"/>
        </w:rPr>
        <w:t>μL</w:t>
      </w:r>
      <w:proofErr w:type="spellEnd"/>
      <w:r>
        <w:rPr>
          <w:rFonts w:ascii="Arial" w:hAnsi="Arial" w:cs="Arial"/>
          <w:bCs/>
          <w:lang w:val="en-MY" w:eastAsia="zh-CN"/>
        </w:rPr>
        <w:t xml:space="preserve"> of extract was diluted with 120 </w:t>
      </w:r>
      <w:proofErr w:type="spellStart"/>
      <w:r>
        <w:rPr>
          <w:rFonts w:ascii="Arial" w:hAnsi="Arial" w:cs="Arial"/>
          <w:bCs/>
          <w:lang w:val="en-MY" w:eastAsia="zh-CN"/>
        </w:rPr>
        <w:t>μL</w:t>
      </w:r>
      <w:proofErr w:type="spellEnd"/>
      <w:r>
        <w:rPr>
          <w:rFonts w:ascii="Arial" w:hAnsi="Arial" w:cs="Arial"/>
          <w:bCs/>
          <w:lang w:val="en-MY" w:eastAsia="zh-CN"/>
        </w:rPr>
        <w:t xml:space="preserve"> dH</w:t>
      </w:r>
      <w:r>
        <w:rPr>
          <w:rFonts w:ascii="Arial" w:hAnsi="Arial" w:cs="Arial"/>
          <w:bCs/>
          <w:vertAlign w:val="subscript"/>
          <w:lang w:val="en-MY" w:eastAsia="zh-CN"/>
        </w:rPr>
        <w:t>2</w:t>
      </w:r>
      <w:r>
        <w:rPr>
          <w:rFonts w:ascii="Arial" w:hAnsi="Arial" w:cs="Arial"/>
          <w:bCs/>
          <w:lang w:val="en-MY" w:eastAsia="zh-CN"/>
        </w:rPr>
        <w:t xml:space="preserve">O. Initially, 9 </w:t>
      </w:r>
      <w:proofErr w:type="spellStart"/>
      <w:r>
        <w:rPr>
          <w:rFonts w:ascii="Arial" w:hAnsi="Arial" w:cs="Arial"/>
          <w:bCs/>
          <w:lang w:val="en-MY" w:eastAsia="zh-CN"/>
        </w:rPr>
        <w:t>μL</w:t>
      </w:r>
      <w:proofErr w:type="spellEnd"/>
      <w:r>
        <w:rPr>
          <w:rFonts w:ascii="Arial" w:hAnsi="Arial" w:cs="Arial"/>
          <w:bCs/>
          <w:lang w:val="en-MY" w:eastAsia="zh-CN"/>
        </w:rPr>
        <w:t xml:space="preserve"> 5% sodium nitrite (NaNO</w:t>
      </w:r>
      <w:r>
        <w:rPr>
          <w:rFonts w:ascii="Arial" w:hAnsi="Arial" w:cs="Arial"/>
          <w:bCs/>
          <w:vertAlign w:val="subscript"/>
          <w:lang w:val="en-MY" w:eastAsia="zh-CN"/>
        </w:rPr>
        <w:t>2</w:t>
      </w:r>
      <w:r>
        <w:rPr>
          <w:rFonts w:ascii="Arial" w:hAnsi="Arial" w:cs="Arial"/>
          <w:bCs/>
          <w:lang w:val="en-MY" w:eastAsia="zh-CN"/>
        </w:rPr>
        <w:t xml:space="preserve">) solution </w:t>
      </w:r>
      <w:r>
        <w:rPr>
          <w:rFonts w:ascii="Arial" w:hAnsi="Arial" w:cs="Arial"/>
          <w:bCs/>
          <w:lang w:val="en-MY" w:eastAsia="zh-CN"/>
        </w:rPr>
        <w:lastRenderedPageBreak/>
        <w:t xml:space="preserve">was added and allowed to react for 5 minutes. Then, 9 </w:t>
      </w:r>
      <w:proofErr w:type="spellStart"/>
      <w:r>
        <w:rPr>
          <w:rFonts w:ascii="Arial" w:hAnsi="Arial" w:cs="Arial"/>
          <w:bCs/>
          <w:lang w:val="en-MY" w:eastAsia="zh-CN"/>
        </w:rPr>
        <w:t>μL</w:t>
      </w:r>
      <w:proofErr w:type="spellEnd"/>
      <w:r>
        <w:rPr>
          <w:rFonts w:ascii="Arial" w:hAnsi="Arial" w:cs="Arial"/>
          <w:bCs/>
          <w:lang w:val="en-MY" w:eastAsia="zh-CN"/>
        </w:rPr>
        <w:t xml:space="preserve"> 10% </w:t>
      </w:r>
      <w:proofErr w:type="spellStart"/>
      <w:r>
        <w:rPr>
          <w:rFonts w:ascii="Arial" w:hAnsi="Arial" w:cs="Arial"/>
          <w:bCs/>
          <w:lang w:val="en-MY" w:eastAsia="zh-CN"/>
        </w:rPr>
        <w:t>aluminum</w:t>
      </w:r>
      <w:proofErr w:type="spellEnd"/>
      <w:r>
        <w:rPr>
          <w:rFonts w:ascii="Arial" w:hAnsi="Arial" w:cs="Arial"/>
          <w:bCs/>
          <w:lang w:val="en-MY" w:eastAsia="zh-CN"/>
        </w:rPr>
        <w:t xml:space="preserve"> chloride (AlCl</w:t>
      </w:r>
      <w:r>
        <w:rPr>
          <w:rFonts w:ascii="Arial" w:hAnsi="Arial" w:cs="Arial"/>
          <w:bCs/>
          <w:vertAlign w:val="subscript"/>
          <w:lang w:val="en-MY" w:eastAsia="zh-CN"/>
        </w:rPr>
        <w:t>3</w:t>
      </w:r>
      <w:r>
        <w:rPr>
          <w:rFonts w:ascii="Arial" w:hAnsi="Arial" w:cs="Arial"/>
          <w:bCs/>
          <w:lang w:val="en-MY" w:eastAsia="zh-CN"/>
        </w:rPr>
        <w:t xml:space="preserve">) solution was added and left to stand for 5 minutes. Finally, 60 </w:t>
      </w:r>
      <w:proofErr w:type="spellStart"/>
      <w:r>
        <w:rPr>
          <w:rFonts w:ascii="Arial" w:hAnsi="Arial" w:cs="Arial"/>
          <w:bCs/>
          <w:lang w:val="en-MY" w:eastAsia="zh-CN"/>
        </w:rPr>
        <w:t>μL</w:t>
      </w:r>
      <w:proofErr w:type="spellEnd"/>
      <w:r>
        <w:rPr>
          <w:rFonts w:ascii="Arial" w:hAnsi="Arial" w:cs="Arial"/>
          <w:bCs/>
          <w:lang w:val="en-MY" w:eastAsia="zh-CN"/>
        </w:rPr>
        <w:t xml:space="preserve"> sodium hydroxide (NaOH) and 72 </w:t>
      </w:r>
      <w:proofErr w:type="spellStart"/>
      <w:r>
        <w:rPr>
          <w:rFonts w:ascii="Arial" w:hAnsi="Arial" w:cs="Arial"/>
          <w:bCs/>
          <w:lang w:val="en-MY" w:eastAsia="zh-CN"/>
        </w:rPr>
        <w:t>μL</w:t>
      </w:r>
      <w:proofErr w:type="spellEnd"/>
      <w:r>
        <w:rPr>
          <w:rFonts w:ascii="Arial" w:hAnsi="Arial" w:cs="Arial"/>
          <w:bCs/>
          <w:lang w:val="en-MY" w:eastAsia="zh-CN"/>
        </w:rPr>
        <w:t xml:space="preserve"> dH</w:t>
      </w:r>
      <w:r>
        <w:rPr>
          <w:rFonts w:ascii="Arial" w:hAnsi="Arial" w:cs="Arial"/>
          <w:bCs/>
          <w:vertAlign w:val="subscript"/>
          <w:lang w:val="en-MY" w:eastAsia="zh-CN"/>
        </w:rPr>
        <w:t>2</w:t>
      </w:r>
      <w:r>
        <w:rPr>
          <w:rFonts w:ascii="Arial" w:hAnsi="Arial" w:cs="Arial"/>
          <w:bCs/>
          <w:lang w:val="en-MY" w:eastAsia="zh-CN"/>
        </w:rPr>
        <w:t xml:space="preserve">O were added, and the mixture was well-mixed with a vortex. All samples were </w:t>
      </w:r>
      <w:proofErr w:type="spellStart"/>
      <w:r>
        <w:rPr>
          <w:rFonts w:ascii="Arial" w:hAnsi="Arial" w:cs="Arial"/>
          <w:bCs/>
          <w:lang w:val="en-MY" w:eastAsia="zh-CN"/>
        </w:rPr>
        <w:t>analyzed</w:t>
      </w:r>
      <w:proofErr w:type="spellEnd"/>
      <w:r>
        <w:rPr>
          <w:rFonts w:ascii="Arial" w:hAnsi="Arial" w:cs="Arial"/>
          <w:bCs/>
          <w:lang w:val="en-MY" w:eastAsia="zh-CN"/>
        </w:rPr>
        <w:t xml:space="preserve"> in triplicates and the absorbance was measured immediately at 510 nm against a blank. The total flavonoid content was calculated from the calibration curve using </w:t>
      </w:r>
      <w:proofErr w:type="spellStart"/>
      <w:r>
        <w:rPr>
          <w:rFonts w:ascii="Arial" w:hAnsi="Arial" w:cs="Arial"/>
          <w:bCs/>
          <w:lang w:val="en-MY" w:eastAsia="zh-CN"/>
        </w:rPr>
        <w:t>rutin</w:t>
      </w:r>
      <w:proofErr w:type="spellEnd"/>
      <w:r>
        <w:rPr>
          <w:rFonts w:ascii="Arial" w:hAnsi="Arial" w:cs="Arial"/>
          <w:bCs/>
          <w:lang w:val="en-MY" w:eastAsia="zh-CN"/>
        </w:rPr>
        <w:t xml:space="preserve"> as a standard reference. The data were expressed as </w:t>
      </w:r>
      <w:proofErr w:type="spellStart"/>
      <w:r>
        <w:rPr>
          <w:rFonts w:ascii="Arial" w:hAnsi="Arial" w:cs="Arial"/>
          <w:bCs/>
          <w:lang w:val="en-MY" w:eastAsia="zh-CN"/>
        </w:rPr>
        <w:t>rutin</w:t>
      </w:r>
      <w:proofErr w:type="spellEnd"/>
      <w:r>
        <w:rPr>
          <w:rFonts w:ascii="Arial" w:hAnsi="Arial" w:cs="Arial"/>
          <w:bCs/>
          <w:lang w:val="en-MY" w:eastAsia="zh-CN"/>
        </w:rPr>
        <w:t xml:space="preserve"> equivalents (RE) in milligram per g samples.</w:t>
      </w:r>
    </w:p>
    <w:p w:rsidR="00DD21CA" w:rsidRDefault="00DD21CA">
      <w:pPr>
        <w:pStyle w:val="Body"/>
        <w:spacing w:after="0"/>
        <w:rPr>
          <w:rFonts w:ascii="Arial" w:hAnsi="Arial" w:cs="Arial"/>
          <w:bCs/>
          <w:lang w:val="en-MY" w:eastAsia="zh-CN"/>
        </w:rPr>
      </w:pPr>
    </w:p>
    <w:p w:rsidR="00DD21CA" w:rsidRDefault="00DD21CA">
      <w:pPr>
        <w:pStyle w:val="Body"/>
        <w:spacing w:after="0"/>
        <w:rPr>
          <w:rFonts w:ascii="Arial" w:hAnsi="Arial" w:cs="Arial"/>
          <w:bCs/>
          <w:lang w:val="en-MY" w:eastAsia="zh-CN"/>
        </w:rPr>
      </w:pPr>
    </w:p>
    <w:p w:rsidR="00DD21CA" w:rsidRDefault="00EF432E">
      <w:pPr>
        <w:pStyle w:val="Body"/>
        <w:spacing w:after="0"/>
        <w:rPr>
          <w:rFonts w:ascii="Arial" w:hAnsi="Arial" w:cs="Arial"/>
          <w:b/>
          <w:sz w:val="22"/>
          <w:szCs w:val="22"/>
          <w:lang w:val="en-MY" w:eastAsia="zh-CN"/>
        </w:rPr>
      </w:pPr>
      <w:r>
        <w:rPr>
          <w:rFonts w:ascii="Arial" w:hAnsi="Arial" w:cs="Arial"/>
          <w:sz w:val="22"/>
          <w:szCs w:val="22"/>
        </w:rPr>
        <w:t xml:space="preserve"> </w:t>
      </w:r>
      <w:r>
        <w:rPr>
          <w:rFonts w:ascii="Arial" w:hAnsi="Arial" w:cs="Arial"/>
          <w:b/>
          <w:bCs/>
          <w:sz w:val="22"/>
          <w:szCs w:val="22"/>
          <w:lang w:val="en-MY"/>
        </w:rPr>
        <w:t>2.</w:t>
      </w:r>
      <w:r>
        <w:rPr>
          <w:rFonts w:ascii="Arial" w:hAnsi="Arial" w:cs="Arial"/>
          <w:b/>
          <w:bCs/>
          <w:sz w:val="22"/>
          <w:szCs w:val="22"/>
        </w:rPr>
        <w:t>5</w:t>
      </w:r>
      <w:r>
        <w:rPr>
          <w:rFonts w:ascii="Arial" w:hAnsi="Arial" w:cs="Arial"/>
          <w:b/>
          <w:bCs/>
          <w:sz w:val="22"/>
          <w:szCs w:val="22"/>
          <w:lang w:val="en-MY"/>
        </w:rPr>
        <w:t xml:space="preserve"> </w:t>
      </w:r>
      <w:r>
        <w:rPr>
          <w:rFonts w:ascii="Arial" w:hAnsi="Arial" w:cs="Arial"/>
          <w:b/>
          <w:sz w:val="22"/>
          <w:szCs w:val="22"/>
          <w:lang w:val="en-MY" w:eastAsia="zh-CN"/>
        </w:rPr>
        <w:t xml:space="preserve">Identification of </w:t>
      </w:r>
      <w:r>
        <w:rPr>
          <w:rFonts w:ascii="Arial" w:hAnsi="Arial" w:cs="Arial"/>
          <w:b/>
          <w:sz w:val="22"/>
          <w:szCs w:val="22"/>
          <w:lang w:eastAsia="zh-CN"/>
        </w:rPr>
        <w:t>q</w:t>
      </w:r>
      <w:r>
        <w:rPr>
          <w:rFonts w:ascii="Arial" w:hAnsi="Arial" w:cs="Arial"/>
          <w:b/>
          <w:sz w:val="22"/>
          <w:szCs w:val="22"/>
          <w:lang w:val="en-MY" w:eastAsia="zh-CN"/>
        </w:rPr>
        <w:t>uercetin-3-O-glucuronide and quercitrin</w:t>
      </w:r>
    </w:p>
    <w:p w:rsidR="00DD21CA" w:rsidRDefault="00DD21CA">
      <w:pPr>
        <w:pStyle w:val="Body"/>
        <w:spacing w:after="0"/>
        <w:rPr>
          <w:rFonts w:ascii="Arial" w:hAnsi="Arial" w:cs="Arial"/>
          <w:b/>
          <w:sz w:val="22"/>
          <w:lang w:val="en-MY" w:eastAsia="zh-CN"/>
        </w:rPr>
      </w:pPr>
    </w:p>
    <w:p w:rsidR="00DD21CA" w:rsidRDefault="00EF432E">
      <w:pPr>
        <w:pStyle w:val="Body"/>
        <w:spacing w:after="0"/>
        <w:rPr>
          <w:rFonts w:ascii="Arial" w:hAnsi="Arial" w:cs="Arial"/>
          <w:iCs/>
          <w:lang w:val="en-MY" w:eastAsia="zh-CN"/>
        </w:rPr>
      </w:pPr>
      <w:r>
        <w:rPr>
          <w:rFonts w:ascii="Arial" w:hAnsi="Arial" w:cs="Arial"/>
          <w:iCs/>
          <w:lang w:val="en-MY" w:eastAsia="zh-CN"/>
        </w:rPr>
        <w:t xml:space="preserve">Quantification of two key flavonoid compounds, </w:t>
      </w:r>
      <w:bookmarkStart w:id="1" w:name="_Hlk201789924"/>
      <w:r>
        <w:rPr>
          <w:rFonts w:ascii="Arial" w:hAnsi="Arial" w:cs="Arial"/>
          <w:iCs/>
          <w:lang w:val="en-MY" w:eastAsia="zh-CN"/>
        </w:rPr>
        <w:t>quercetin-3-O-glucuronide (Q3G) and quercitrin</w:t>
      </w:r>
      <w:bookmarkEnd w:id="1"/>
      <w:r>
        <w:rPr>
          <w:rFonts w:ascii="Arial" w:hAnsi="Arial" w:cs="Arial"/>
          <w:iCs/>
          <w:lang w:val="en-MY" w:eastAsia="zh-CN"/>
        </w:rPr>
        <w:t xml:space="preserve"> was performed using high performance liquid chromatography (HPLC) (</w:t>
      </w:r>
      <w:proofErr w:type="spellStart"/>
      <w:r>
        <w:rPr>
          <w:rFonts w:ascii="Arial" w:hAnsi="Arial" w:cs="Arial"/>
          <w:iCs/>
          <w:lang w:val="en-MY" w:eastAsia="zh-CN"/>
        </w:rPr>
        <w:t>Mirfat</w:t>
      </w:r>
      <w:proofErr w:type="spellEnd"/>
      <w:r>
        <w:rPr>
          <w:rFonts w:ascii="Arial" w:hAnsi="Arial" w:cs="Arial"/>
          <w:iCs/>
          <w:lang w:val="en-MY" w:eastAsia="zh-CN"/>
        </w:rPr>
        <w:t xml:space="preserve"> et al.</w:t>
      </w:r>
      <w:r>
        <w:rPr>
          <w:rFonts w:ascii="Arial" w:hAnsi="Arial" w:cs="Arial"/>
          <w:iCs/>
          <w:lang w:eastAsia="zh-CN"/>
        </w:rPr>
        <w:t>,</w:t>
      </w:r>
      <w:r>
        <w:rPr>
          <w:rFonts w:ascii="Arial" w:hAnsi="Arial" w:cs="Arial"/>
          <w:iCs/>
          <w:lang w:val="en-MY" w:eastAsia="zh-CN"/>
        </w:rPr>
        <w:t xml:space="preserve"> 2024b). The analysis was conducted on an Agilent 1290 Infinity Series system equipped with a quaternary pump, vacuum degasser, diode array detector (DAD), autosampler and column oven. Separation was achieved on an </w:t>
      </w:r>
      <w:proofErr w:type="spellStart"/>
      <w:r>
        <w:rPr>
          <w:rFonts w:ascii="Arial" w:hAnsi="Arial" w:cs="Arial"/>
          <w:iCs/>
          <w:lang w:val="en-MY" w:eastAsia="zh-CN"/>
        </w:rPr>
        <w:t>XBridge</w:t>
      </w:r>
      <w:proofErr w:type="spellEnd"/>
      <w:r>
        <w:rPr>
          <w:rFonts w:ascii="Arial" w:hAnsi="Arial" w:cs="Arial"/>
          <w:iCs/>
          <w:lang w:val="en-MY" w:eastAsia="zh-CN"/>
        </w:rPr>
        <w:t xml:space="preserve"> C18 column (150 mm × 4.6 mm, 3.5 µm; Waters, USA) maintained at 40°C. The mobile phases consisted of water with 0.1% formic acid (A) and acetonitrile with 0.1% formic acid (B), delivered in a binary linear gradient: 0 min – 11% B; 10 min – 12% B; 30 min – 40% B; 35 min – 90% B; 37 min – 90% B; 40 min – 11% B. The column was re-equilibrated with 11% B for 10 minutes prior to the next injection. All solvents were of HPLC grade. The flow rate was set at 1.3 mL/min, and the injection volume was 5 µL. Detection was carried out at 375 nm using the DAD. The retention times for Q3G and quercitrin were 11.9 minutes and 15.9 minutes, respectively. Identification and quantification of these target compounds in all extract samples were accomplished based on their characteristic retention times and comparison with standard calibration curves generated from authenticated external standards.</w:t>
      </w:r>
    </w:p>
    <w:p w:rsidR="00DD21CA" w:rsidRDefault="00DD21CA">
      <w:pPr>
        <w:pStyle w:val="Body"/>
        <w:spacing w:after="0"/>
        <w:rPr>
          <w:rFonts w:ascii="Arial" w:hAnsi="Arial" w:cs="Arial"/>
          <w:iCs/>
          <w:lang w:val="en-MY" w:eastAsia="zh-CN"/>
        </w:rPr>
      </w:pPr>
    </w:p>
    <w:p w:rsidR="00DD21CA" w:rsidRDefault="00EF432E">
      <w:pPr>
        <w:pStyle w:val="Body"/>
        <w:spacing w:after="0"/>
        <w:rPr>
          <w:rFonts w:ascii="Arial" w:hAnsi="Arial" w:cs="Arial"/>
          <w:b/>
          <w:bCs/>
          <w:iCs/>
          <w:sz w:val="22"/>
          <w:szCs w:val="22"/>
          <w:lang w:val="en-MY" w:eastAsia="zh-CN"/>
        </w:rPr>
      </w:pPr>
      <w:r>
        <w:rPr>
          <w:rFonts w:ascii="Arial" w:hAnsi="Arial" w:cs="Arial"/>
          <w:b/>
          <w:bCs/>
          <w:iCs/>
          <w:sz w:val="22"/>
          <w:szCs w:val="22"/>
          <w:lang w:val="en-MY" w:eastAsia="zh-CN"/>
        </w:rPr>
        <w:t>2.</w:t>
      </w:r>
      <w:r>
        <w:rPr>
          <w:rFonts w:ascii="Arial" w:hAnsi="Arial" w:cs="Arial"/>
          <w:b/>
          <w:bCs/>
          <w:iCs/>
          <w:sz w:val="22"/>
          <w:szCs w:val="22"/>
          <w:lang w:eastAsia="zh-CN"/>
        </w:rPr>
        <w:t>6</w:t>
      </w:r>
      <w:r>
        <w:rPr>
          <w:rFonts w:ascii="Arial" w:hAnsi="Arial" w:cs="Arial"/>
          <w:b/>
          <w:bCs/>
          <w:iCs/>
          <w:sz w:val="22"/>
          <w:szCs w:val="22"/>
          <w:lang w:val="en-MY" w:eastAsia="zh-CN"/>
        </w:rPr>
        <w:t xml:space="preserve"> Statistical analysis</w:t>
      </w:r>
    </w:p>
    <w:p w:rsidR="00DD21CA" w:rsidRDefault="00DD21CA">
      <w:pPr>
        <w:pStyle w:val="Body"/>
        <w:spacing w:after="0"/>
        <w:rPr>
          <w:rFonts w:ascii="Arial" w:hAnsi="Arial" w:cs="Arial"/>
          <w:b/>
          <w:bCs/>
          <w:iCs/>
          <w:sz w:val="22"/>
          <w:szCs w:val="22"/>
          <w:lang w:val="en-MY" w:eastAsia="zh-CN"/>
        </w:rPr>
      </w:pPr>
    </w:p>
    <w:p w:rsidR="00DD21CA" w:rsidRDefault="00EF432E">
      <w:pPr>
        <w:pStyle w:val="Body"/>
        <w:spacing w:after="0"/>
        <w:rPr>
          <w:rFonts w:ascii="Arial" w:hAnsi="Arial" w:cs="Arial"/>
          <w:iCs/>
          <w:lang w:val="en-MY" w:eastAsia="zh-CN"/>
        </w:rPr>
      </w:pPr>
      <w:r>
        <w:rPr>
          <w:rFonts w:ascii="Arial" w:hAnsi="Arial" w:cs="Arial"/>
          <w:iCs/>
          <w:lang w:val="en-MY" w:eastAsia="zh-CN"/>
        </w:rPr>
        <w:t xml:space="preserve">All experiments were carried out in triplicates and presented as means ± standard deviations (SD). The data were statistically </w:t>
      </w:r>
      <w:proofErr w:type="spellStart"/>
      <w:r>
        <w:rPr>
          <w:rFonts w:ascii="Arial" w:hAnsi="Arial" w:cs="Arial"/>
          <w:iCs/>
          <w:lang w:val="en-MY" w:eastAsia="zh-CN"/>
        </w:rPr>
        <w:t>analy</w:t>
      </w:r>
      <w:proofErr w:type="spellEnd"/>
      <w:r>
        <w:rPr>
          <w:rFonts w:ascii="Arial" w:hAnsi="Arial" w:cs="Arial"/>
          <w:iCs/>
          <w:lang w:eastAsia="zh-CN"/>
        </w:rPr>
        <w:t>z</w:t>
      </w:r>
      <w:r>
        <w:rPr>
          <w:rFonts w:ascii="Arial" w:hAnsi="Arial" w:cs="Arial"/>
          <w:iCs/>
          <w:lang w:val="en-MY" w:eastAsia="zh-CN"/>
        </w:rPr>
        <w:t>ed by analysis of variance (ANOVA) and Tukey’s post hoc test using SPSS software, version 20 (SPSS Inc; Chicago, IL, USA). A value of P&lt;0.05 was considered to be statistically significant.</w:t>
      </w:r>
    </w:p>
    <w:p w:rsidR="00DD21CA" w:rsidRDefault="00DD21CA">
      <w:pPr>
        <w:pStyle w:val="Body"/>
        <w:spacing w:after="0"/>
        <w:rPr>
          <w:rFonts w:ascii="Arial" w:hAnsi="Arial" w:cs="Arial"/>
          <w:iCs/>
          <w:lang w:val="en-MY" w:eastAsia="zh-CN"/>
        </w:rPr>
      </w:pPr>
    </w:p>
    <w:p w:rsidR="00DD21CA" w:rsidRDefault="00DD21CA">
      <w:pPr>
        <w:pStyle w:val="Body"/>
        <w:spacing w:after="0"/>
        <w:rPr>
          <w:rFonts w:ascii="Arial" w:hAnsi="Arial" w:cs="Arial"/>
          <w:iCs/>
          <w:lang w:eastAsia="zh-CN"/>
        </w:rPr>
      </w:pPr>
    </w:p>
    <w:p w:rsidR="00DD21CA" w:rsidRDefault="00EF432E">
      <w:pPr>
        <w:pStyle w:val="Head1"/>
        <w:numPr>
          <w:ilvl w:val="0"/>
          <w:numId w:val="3"/>
        </w:numPr>
        <w:spacing w:after="0"/>
        <w:jc w:val="both"/>
        <w:rPr>
          <w:rFonts w:ascii="Arial" w:hAnsi="Arial" w:cs="Arial"/>
        </w:rPr>
      </w:pPr>
      <w:r>
        <w:rPr>
          <w:rFonts w:ascii="Arial" w:hAnsi="Arial" w:cs="Arial"/>
        </w:rPr>
        <w:t>results and discussion</w:t>
      </w:r>
    </w:p>
    <w:p w:rsidR="00DD21CA" w:rsidRDefault="00DD21CA">
      <w:pPr>
        <w:pStyle w:val="Head1"/>
        <w:spacing w:after="0"/>
        <w:jc w:val="both"/>
        <w:rPr>
          <w:rFonts w:ascii="Arial" w:hAnsi="Arial" w:cs="Arial"/>
        </w:rPr>
      </w:pPr>
    </w:p>
    <w:p w:rsidR="00DD21CA" w:rsidRDefault="00EF432E">
      <w:pPr>
        <w:pStyle w:val="Body"/>
        <w:numPr>
          <w:ilvl w:val="1"/>
          <w:numId w:val="3"/>
        </w:numPr>
        <w:spacing w:after="0"/>
        <w:rPr>
          <w:rFonts w:ascii="Arial" w:hAnsi="Arial" w:cs="Arial"/>
          <w:b/>
          <w:sz w:val="22"/>
        </w:rPr>
      </w:pPr>
      <w:r>
        <w:rPr>
          <w:rFonts w:ascii="Arial" w:hAnsi="Arial" w:cs="Arial"/>
          <w:b/>
          <w:sz w:val="22"/>
        </w:rPr>
        <w:t xml:space="preserve">Antioxidant activity </w:t>
      </w:r>
    </w:p>
    <w:p w:rsidR="00DD21CA" w:rsidRDefault="00EF432E">
      <w:pPr>
        <w:pStyle w:val="Head1"/>
        <w:spacing w:after="0"/>
        <w:jc w:val="both"/>
        <w:rPr>
          <w:rFonts w:ascii="Arial" w:hAnsi="Arial" w:cs="Arial"/>
          <w:b w:val="0"/>
          <w:bCs/>
          <w:caps w:val="0"/>
          <w:sz w:val="20"/>
        </w:rPr>
      </w:pPr>
      <w:proofErr w:type="spellStart"/>
      <w:r>
        <w:rPr>
          <w:rFonts w:ascii="Arial" w:hAnsi="Arial" w:cs="Arial"/>
          <w:b w:val="0"/>
          <w:bCs/>
          <w:i/>
          <w:iCs/>
          <w:caps w:val="0"/>
          <w:sz w:val="20"/>
          <w:lang w:val="en-MY"/>
        </w:rPr>
        <w:t>Persicaria</w:t>
      </w:r>
      <w:proofErr w:type="spellEnd"/>
      <w:r>
        <w:rPr>
          <w:rFonts w:ascii="Arial" w:hAnsi="Arial" w:cs="Arial"/>
          <w:b w:val="0"/>
          <w:bCs/>
          <w:i/>
          <w:iCs/>
          <w:caps w:val="0"/>
          <w:sz w:val="20"/>
          <w:lang w:val="en-MY"/>
        </w:rPr>
        <w:t xml:space="preserve"> minor </w:t>
      </w:r>
      <w:r>
        <w:rPr>
          <w:rFonts w:ascii="Arial" w:hAnsi="Arial" w:cs="Arial"/>
          <w:b w:val="0"/>
          <w:bCs/>
          <w:caps w:val="0"/>
          <w:sz w:val="20"/>
          <w:lang w:val="en-MY"/>
        </w:rPr>
        <w:t>has been highlighted as a promising source of antioxidants in many previous studies (Abdullah et al.</w:t>
      </w:r>
      <w:r>
        <w:rPr>
          <w:rFonts w:ascii="Arial" w:hAnsi="Arial" w:cs="Arial"/>
          <w:b w:val="0"/>
          <w:bCs/>
          <w:caps w:val="0"/>
          <w:sz w:val="20"/>
        </w:rPr>
        <w:t>,</w:t>
      </w:r>
      <w:r>
        <w:rPr>
          <w:rFonts w:ascii="Arial" w:hAnsi="Arial" w:cs="Arial"/>
          <w:b w:val="0"/>
          <w:bCs/>
          <w:caps w:val="0"/>
          <w:sz w:val="20"/>
          <w:lang w:val="en-MY"/>
        </w:rPr>
        <w:t xml:space="preserve"> 2017; Lau et al.</w:t>
      </w:r>
      <w:r>
        <w:rPr>
          <w:rFonts w:ascii="Arial" w:hAnsi="Arial" w:cs="Arial"/>
          <w:b w:val="0"/>
          <w:bCs/>
          <w:caps w:val="0"/>
          <w:sz w:val="20"/>
        </w:rPr>
        <w:t>,</w:t>
      </w:r>
      <w:r>
        <w:rPr>
          <w:rFonts w:ascii="Arial" w:hAnsi="Arial" w:cs="Arial"/>
          <w:b w:val="0"/>
          <w:bCs/>
          <w:caps w:val="0"/>
          <w:sz w:val="20"/>
          <w:lang w:val="en-MY"/>
        </w:rPr>
        <w:t xml:space="preserve"> 2020; Vimala et al.</w:t>
      </w:r>
      <w:r>
        <w:rPr>
          <w:rFonts w:ascii="Arial" w:hAnsi="Arial" w:cs="Arial"/>
          <w:b w:val="0"/>
          <w:bCs/>
          <w:caps w:val="0"/>
          <w:sz w:val="20"/>
        </w:rPr>
        <w:t>,</w:t>
      </w:r>
      <w:r>
        <w:rPr>
          <w:rFonts w:ascii="Arial" w:hAnsi="Arial" w:cs="Arial"/>
          <w:b w:val="0"/>
          <w:bCs/>
          <w:caps w:val="0"/>
          <w:sz w:val="20"/>
          <w:lang w:val="en-MY"/>
        </w:rPr>
        <w:t xml:space="preserve"> 2011). In agreement with this, </w:t>
      </w:r>
      <w:proofErr w:type="spellStart"/>
      <w:r>
        <w:rPr>
          <w:rFonts w:ascii="Arial" w:hAnsi="Arial" w:cs="Arial"/>
          <w:b w:val="0"/>
          <w:bCs/>
          <w:caps w:val="0"/>
          <w:sz w:val="20"/>
          <w:lang w:val="en-MY"/>
        </w:rPr>
        <w:t>Christapher</w:t>
      </w:r>
      <w:proofErr w:type="spellEnd"/>
      <w:r>
        <w:rPr>
          <w:rFonts w:ascii="Arial" w:hAnsi="Arial" w:cs="Arial"/>
          <w:b w:val="0"/>
          <w:bCs/>
          <w:caps w:val="0"/>
          <w:sz w:val="20"/>
          <w:lang w:val="en-MY"/>
        </w:rPr>
        <w:t xml:space="preserve"> et al. (2015) reported that its methanolic extracts demonstrated strong antioxidant activity in both DPPH radical scavenging and </w:t>
      </w:r>
      <w:r>
        <w:rPr>
          <w:rFonts w:ascii="Arial" w:hAnsi="Arial" w:cs="Arial"/>
          <w:b w:val="0"/>
          <w:bCs/>
          <w:caps w:val="0"/>
          <w:sz w:val="20"/>
        </w:rPr>
        <w:t>ferric reducing antioxidant power</w:t>
      </w:r>
      <w:r>
        <w:rPr>
          <w:rFonts w:ascii="Arial" w:hAnsi="Arial" w:cs="Arial"/>
          <w:b w:val="0"/>
          <w:bCs/>
          <w:caps w:val="0"/>
          <w:sz w:val="20"/>
          <w:lang w:val="en-MY"/>
        </w:rPr>
        <w:t xml:space="preserve"> (FRAP) assays. This activity was largely attributed to the presence of various antioxidant constituents, particularly polyphenols such as flavonoids, phenolic acids and tannins. In the present study (Table 1), t</w:t>
      </w:r>
      <w:r>
        <w:rPr>
          <w:rFonts w:ascii="Arial" w:hAnsi="Arial" w:cs="Arial"/>
          <w:b w:val="0"/>
          <w:bCs/>
          <w:caps w:val="0"/>
          <w:sz w:val="20"/>
        </w:rPr>
        <w:t>he antioxidant activity of</w:t>
      </w:r>
      <w:r>
        <w:rPr>
          <w:rFonts w:ascii="Arial" w:hAnsi="Arial" w:cs="Arial"/>
          <w:b w:val="0"/>
          <w:bCs/>
          <w:i/>
          <w:iCs/>
          <w:caps w:val="0"/>
          <w:sz w:val="20"/>
        </w:rPr>
        <w:t xml:space="preserve"> P</w:t>
      </w:r>
      <w:r>
        <w:rPr>
          <w:rFonts w:ascii="Arial" w:hAnsi="Arial" w:cs="Arial"/>
          <w:b w:val="0"/>
          <w:bCs/>
          <w:i/>
          <w:iCs/>
          <w:caps w:val="0"/>
          <w:sz w:val="20"/>
          <w:lang w:val="en-MY"/>
        </w:rPr>
        <w:t>.</w:t>
      </w:r>
      <w:r>
        <w:rPr>
          <w:rFonts w:ascii="Arial" w:hAnsi="Arial" w:cs="Arial"/>
          <w:b w:val="0"/>
          <w:bCs/>
          <w:i/>
          <w:iCs/>
          <w:caps w:val="0"/>
          <w:sz w:val="20"/>
        </w:rPr>
        <w:t xml:space="preserve"> minor </w:t>
      </w:r>
      <w:r>
        <w:rPr>
          <w:rFonts w:ascii="Arial" w:hAnsi="Arial" w:cs="Arial"/>
          <w:b w:val="0"/>
          <w:bCs/>
          <w:caps w:val="0"/>
          <w:sz w:val="20"/>
        </w:rPr>
        <w:t>extracts prepared using different drying methods and solvents (70% methanol and distilled water) was assessed through DPPH radical scavenging activity</w:t>
      </w:r>
      <w:r>
        <w:rPr>
          <w:rFonts w:ascii="Arial" w:hAnsi="Arial" w:cs="Arial"/>
          <w:b w:val="0"/>
          <w:bCs/>
          <w:caps w:val="0"/>
          <w:sz w:val="20"/>
          <w:lang w:val="en-MY"/>
        </w:rPr>
        <w:t xml:space="preserve"> (</w:t>
      </w:r>
      <w:r>
        <w:rPr>
          <w:rFonts w:ascii="Arial" w:hAnsi="Arial" w:cs="Arial"/>
          <w:b w:val="0"/>
          <w:bCs/>
          <w:caps w:val="0"/>
          <w:sz w:val="20"/>
        </w:rPr>
        <w:t>IC</w:t>
      </w:r>
      <w:r>
        <w:rPr>
          <w:rFonts w:ascii="Arial" w:hAnsi="Arial" w:cs="Arial"/>
          <w:b w:val="0"/>
          <w:bCs/>
          <w:caps w:val="0"/>
          <w:sz w:val="20"/>
          <w:vertAlign w:val="subscript"/>
        </w:rPr>
        <w:t>50</w:t>
      </w:r>
      <w:r>
        <w:rPr>
          <w:rFonts w:ascii="Arial" w:hAnsi="Arial" w:cs="Arial"/>
          <w:b w:val="0"/>
          <w:bCs/>
          <w:caps w:val="0"/>
          <w:sz w:val="20"/>
          <w:lang w:val="en-MY"/>
        </w:rPr>
        <w:t xml:space="preserve">) </w:t>
      </w:r>
      <w:r>
        <w:rPr>
          <w:rFonts w:ascii="Arial" w:hAnsi="Arial" w:cs="Arial"/>
          <w:b w:val="0"/>
          <w:bCs/>
          <w:caps w:val="0"/>
          <w:sz w:val="20"/>
        </w:rPr>
        <w:t>and</w:t>
      </w:r>
      <w:r>
        <w:rPr>
          <w:rFonts w:ascii="Arial" w:hAnsi="Arial" w:cs="Arial"/>
          <w:b w:val="0"/>
          <w:bCs/>
          <w:caps w:val="0"/>
          <w:sz w:val="20"/>
          <w:lang w:val="en-MY"/>
        </w:rPr>
        <w:t xml:space="preserve"> </w:t>
      </w:r>
      <w:r>
        <w:rPr>
          <w:rFonts w:ascii="Arial" w:hAnsi="Arial" w:cs="Arial"/>
          <w:b w:val="0"/>
          <w:bCs/>
          <w:caps w:val="0"/>
          <w:sz w:val="20"/>
        </w:rPr>
        <w:t>FRAP</w:t>
      </w:r>
      <w:r>
        <w:rPr>
          <w:rFonts w:ascii="Arial" w:hAnsi="Arial" w:cs="Arial"/>
          <w:b w:val="0"/>
          <w:bCs/>
          <w:caps w:val="0"/>
          <w:sz w:val="20"/>
          <w:lang w:val="en-MY"/>
        </w:rPr>
        <w:t xml:space="preserve"> assays</w:t>
      </w:r>
      <w:r>
        <w:rPr>
          <w:rFonts w:ascii="Arial" w:hAnsi="Arial" w:cs="Arial"/>
          <w:b w:val="0"/>
          <w:bCs/>
          <w:caps w:val="0"/>
          <w:sz w:val="20"/>
        </w:rPr>
        <w:t xml:space="preserve">. </w:t>
      </w:r>
      <w:r w:rsidR="00232767">
        <w:rPr>
          <w:rFonts w:ascii="Arial" w:hAnsi="Arial" w:cs="Arial"/>
          <w:b w:val="0"/>
          <w:bCs/>
          <w:caps w:val="0"/>
          <w:sz w:val="20"/>
        </w:rPr>
        <w:t>“</w:t>
      </w:r>
      <w:r>
        <w:rPr>
          <w:rFonts w:ascii="Arial" w:hAnsi="Arial" w:cs="Arial"/>
          <w:b w:val="0"/>
          <w:bCs/>
          <w:caps w:val="0"/>
          <w:sz w:val="20"/>
        </w:rPr>
        <w:t>A strong antioxidant capacity is reflected by low IC</w:t>
      </w:r>
      <w:r>
        <w:rPr>
          <w:rFonts w:ascii="Arial" w:hAnsi="Arial" w:cs="Arial"/>
          <w:b w:val="0"/>
          <w:bCs/>
          <w:caps w:val="0"/>
          <w:sz w:val="20"/>
          <w:vertAlign w:val="subscript"/>
        </w:rPr>
        <w:t>50</w:t>
      </w:r>
      <w:r>
        <w:rPr>
          <w:rFonts w:ascii="Arial" w:hAnsi="Arial" w:cs="Arial"/>
          <w:b w:val="0"/>
          <w:bCs/>
          <w:caps w:val="0"/>
          <w:sz w:val="20"/>
        </w:rPr>
        <w:t xml:space="preserve"> values and high FRAP </w:t>
      </w:r>
      <w:r>
        <w:rPr>
          <w:rFonts w:ascii="Arial" w:hAnsi="Arial" w:cs="Arial"/>
          <w:b w:val="0"/>
          <w:bCs/>
          <w:caps w:val="0"/>
          <w:sz w:val="20"/>
          <w:lang w:val="en-MY"/>
        </w:rPr>
        <w:t>measurement</w:t>
      </w:r>
      <w:r>
        <w:rPr>
          <w:rFonts w:ascii="Arial" w:hAnsi="Arial" w:cs="Arial"/>
          <w:b w:val="0"/>
          <w:bCs/>
          <w:caps w:val="0"/>
          <w:sz w:val="20"/>
        </w:rPr>
        <w:t>. Since scavenging activity is inversely related to IC</w:t>
      </w:r>
      <w:r>
        <w:rPr>
          <w:rFonts w:ascii="Arial" w:hAnsi="Arial" w:cs="Arial"/>
          <w:b w:val="0"/>
          <w:bCs/>
          <w:caps w:val="0"/>
          <w:sz w:val="20"/>
          <w:vertAlign w:val="subscript"/>
        </w:rPr>
        <w:t>50</w:t>
      </w:r>
      <w:r>
        <w:rPr>
          <w:rFonts w:ascii="Arial" w:hAnsi="Arial" w:cs="Arial"/>
          <w:b w:val="0"/>
          <w:bCs/>
          <w:caps w:val="0"/>
          <w:sz w:val="20"/>
        </w:rPr>
        <w:t>, values below 10 mg/mL are considered indicative of effective antioxidant potential</w:t>
      </w:r>
      <w:r w:rsidR="00232767">
        <w:rPr>
          <w:rFonts w:ascii="Arial" w:hAnsi="Arial" w:cs="Arial"/>
          <w:b w:val="0"/>
          <w:bCs/>
          <w:caps w:val="0"/>
          <w:sz w:val="20"/>
        </w:rPr>
        <w:t>”</w:t>
      </w:r>
      <w:r>
        <w:rPr>
          <w:rFonts w:ascii="Arial" w:hAnsi="Arial" w:cs="Arial"/>
          <w:b w:val="0"/>
          <w:bCs/>
          <w:caps w:val="0"/>
          <w:sz w:val="20"/>
        </w:rPr>
        <w:t xml:space="preserve"> (Lee et al., 2007).</w:t>
      </w:r>
    </w:p>
    <w:p w:rsidR="00DD21CA" w:rsidRDefault="00DD21CA">
      <w:pPr>
        <w:pStyle w:val="Head1"/>
        <w:spacing w:after="0"/>
        <w:jc w:val="both"/>
        <w:rPr>
          <w:rFonts w:ascii="Arial" w:hAnsi="Arial" w:cs="Arial"/>
          <w:b w:val="0"/>
          <w:bCs/>
          <w:caps w:val="0"/>
          <w:sz w:val="20"/>
        </w:rPr>
      </w:pPr>
    </w:p>
    <w:p w:rsidR="00DD21CA" w:rsidRDefault="00EF432E">
      <w:pPr>
        <w:pStyle w:val="Head1"/>
        <w:spacing w:after="0"/>
        <w:jc w:val="both"/>
        <w:rPr>
          <w:rFonts w:ascii="Arial" w:hAnsi="Arial" w:cs="Arial"/>
          <w:b w:val="0"/>
          <w:bCs/>
          <w:caps w:val="0"/>
          <w:sz w:val="20"/>
          <w:lang w:val="en-MY"/>
        </w:rPr>
      </w:pPr>
      <w:r>
        <w:rPr>
          <w:rFonts w:ascii="Arial" w:hAnsi="Arial" w:cs="Arial"/>
          <w:b w:val="0"/>
          <w:bCs/>
          <w:caps w:val="0"/>
          <w:sz w:val="20"/>
        </w:rPr>
        <w:t>Among the methanolic extracts, freeze drying (FD), oven drying at 40°C (OD40) and a</w:t>
      </w:r>
      <w:proofErr w:type="spellStart"/>
      <w:r>
        <w:rPr>
          <w:rFonts w:ascii="Arial" w:hAnsi="Arial" w:cs="Arial"/>
          <w:b w:val="0"/>
          <w:bCs/>
          <w:caps w:val="0"/>
          <w:sz w:val="20"/>
          <w:lang w:val="en-MY"/>
        </w:rPr>
        <w:t>mbient</w:t>
      </w:r>
      <w:proofErr w:type="spellEnd"/>
      <w:r>
        <w:rPr>
          <w:rFonts w:ascii="Arial" w:hAnsi="Arial" w:cs="Arial"/>
          <w:b w:val="0"/>
          <w:bCs/>
          <w:caps w:val="0"/>
          <w:sz w:val="20"/>
        </w:rPr>
        <w:t xml:space="preserve"> drying (AD) produced</w:t>
      </w:r>
      <w:r>
        <w:rPr>
          <w:rFonts w:ascii="Arial" w:hAnsi="Arial" w:cs="Arial"/>
          <w:b w:val="0"/>
          <w:bCs/>
          <w:caps w:val="0"/>
          <w:sz w:val="20"/>
          <w:lang w:val="en-MY"/>
        </w:rPr>
        <w:t xml:space="preserve"> </w:t>
      </w:r>
      <w:r>
        <w:rPr>
          <w:rFonts w:ascii="Arial" w:hAnsi="Arial" w:cs="Arial"/>
          <w:b w:val="0"/>
          <w:bCs/>
          <w:caps w:val="0"/>
          <w:sz w:val="20"/>
        </w:rPr>
        <w:t xml:space="preserve">the strongest antioxidant activity, with </w:t>
      </w:r>
      <w:r>
        <w:rPr>
          <w:rFonts w:ascii="Arial" w:hAnsi="Arial" w:cs="Arial"/>
          <w:b w:val="0"/>
          <w:bCs/>
          <w:caps w:val="0"/>
          <w:sz w:val="20"/>
          <w:lang w:val="en-MY"/>
        </w:rPr>
        <w:t xml:space="preserve">the lowest </w:t>
      </w:r>
      <w:r>
        <w:rPr>
          <w:rFonts w:ascii="Arial" w:hAnsi="Arial" w:cs="Arial"/>
          <w:b w:val="0"/>
          <w:bCs/>
          <w:caps w:val="0"/>
          <w:sz w:val="20"/>
        </w:rPr>
        <w:t>IC</w:t>
      </w:r>
      <w:r>
        <w:rPr>
          <w:rFonts w:ascii="Arial" w:hAnsi="Arial" w:cs="Arial"/>
          <w:b w:val="0"/>
          <w:bCs/>
          <w:caps w:val="0"/>
          <w:sz w:val="20"/>
          <w:vertAlign w:val="subscript"/>
        </w:rPr>
        <w:t>50</w:t>
      </w:r>
      <w:r>
        <w:rPr>
          <w:rFonts w:ascii="Arial" w:hAnsi="Arial" w:cs="Arial"/>
          <w:b w:val="0"/>
          <w:bCs/>
          <w:caps w:val="0"/>
          <w:sz w:val="20"/>
        </w:rPr>
        <w:t xml:space="preserve"> values (2.012, 2.276 and 2.519 mg/mL, respectively).</w:t>
      </w:r>
      <w:r>
        <w:rPr>
          <w:rFonts w:ascii="Arial" w:hAnsi="Arial" w:cs="Arial"/>
          <w:b w:val="0"/>
          <w:bCs/>
          <w:caps w:val="0"/>
          <w:sz w:val="20"/>
          <w:lang w:val="en-MY"/>
        </w:rPr>
        <w:t xml:space="preserve"> </w:t>
      </w:r>
      <w:r>
        <w:rPr>
          <w:rFonts w:ascii="Arial" w:hAnsi="Arial" w:cs="Arial"/>
          <w:b w:val="0"/>
          <w:bCs/>
          <w:caps w:val="0"/>
          <w:sz w:val="20"/>
        </w:rPr>
        <w:t>Conversely, samples subjected to higher oven drying temperatures (OD60 and OD70) showed markedly reduced antioxidant capacity, with IC</w:t>
      </w:r>
      <w:r>
        <w:rPr>
          <w:rFonts w:ascii="Arial" w:hAnsi="Arial" w:cs="Arial"/>
          <w:b w:val="0"/>
          <w:bCs/>
          <w:caps w:val="0"/>
          <w:sz w:val="20"/>
          <w:vertAlign w:val="subscript"/>
        </w:rPr>
        <w:t>50</w:t>
      </w:r>
      <w:r>
        <w:rPr>
          <w:rFonts w:ascii="Arial" w:hAnsi="Arial" w:cs="Arial"/>
          <w:b w:val="0"/>
          <w:bCs/>
          <w:caps w:val="0"/>
          <w:sz w:val="20"/>
        </w:rPr>
        <w:t xml:space="preserve"> values exceeding 9.5 mg/mL, suggesting </w:t>
      </w:r>
      <w:r>
        <w:rPr>
          <w:rFonts w:ascii="Arial" w:hAnsi="Arial" w:cs="Arial"/>
          <w:b w:val="0"/>
          <w:bCs/>
          <w:caps w:val="0"/>
          <w:sz w:val="20"/>
          <w:lang w:val="en-MY"/>
        </w:rPr>
        <w:t xml:space="preserve">a </w:t>
      </w:r>
      <w:r>
        <w:rPr>
          <w:rFonts w:ascii="Arial" w:hAnsi="Arial" w:cs="Arial"/>
          <w:b w:val="0"/>
          <w:bCs/>
          <w:caps w:val="0"/>
          <w:sz w:val="20"/>
        </w:rPr>
        <w:t>substantial degradation of thermolabile antioxidant constituents.</w:t>
      </w:r>
      <w:r>
        <w:rPr>
          <w:rFonts w:ascii="Arial" w:hAnsi="Arial" w:cs="Arial"/>
          <w:b w:val="0"/>
          <w:bCs/>
          <w:caps w:val="0"/>
          <w:sz w:val="20"/>
          <w:lang w:val="en-MY"/>
        </w:rPr>
        <w:t xml:space="preserve"> </w:t>
      </w:r>
      <w:r>
        <w:rPr>
          <w:rFonts w:ascii="Arial" w:hAnsi="Arial" w:cs="Arial"/>
          <w:b w:val="0"/>
          <w:bCs/>
          <w:caps w:val="0"/>
          <w:sz w:val="20"/>
          <w:lang w:val="en-MY" w:eastAsia="zh-CN"/>
        </w:rPr>
        <w:t xml:space="preserve">According to </w:t>
      </w:r>
      <w:proofErr w:type="spellStart"/>
      <w:r>
        <w:rPr>
          <w:rFonts w:ascii="Arial" w:hAnsi="Arial" w:cs="Arial"/>
          <w:b w:val="0"/>
          <w:bCs/>
          <w:caps w:val="0"/>
          <w:sz w:val="20"/>
          <w:lang w:val="en-MY" w:eastAsia="zh-CN"/>
        </w:rPr>
        <w:t>ElGamal</w:t>
      </w:r>
      <w:proofErr w:type="spellEnd"/>
      <w:r>
        <w:rPr>
          <w:rFonts w:ascii="Arial" w:hAnsi="Arial" w:cs="Arial"/>
          <w:b w:val="0"/>
          <w:bCs/>
          <w:caps w:val="0"/>
          <w:sz w:val="20"/>
          <w:lang w:val="en-MY" w:eastAsia="zh-CN"/>
        </w:rPr>
        <w:t xml:space="preserve"> et al. (2023), thermal degradation of phenolics accelerates sharply at elevated temperatures primarily due to the oxidation of thermolabile compounds, as evidenced in a study of eight medicinal plants where oven drying at 70°C led to significantly greater losses of phytochemicals and antioxidant potential compared to freeze-drying. </w:t>
      </w:r>
      <w:r>
        <w:rPr>
          <w:rFonts w:ascii="Arial" w:hAnsi="Arial" w:cs="Arial"/>
          <w:b w:val="0"/>
          <w:bCs/>
          <w:caps w:val="0"/>
          <w:sz w:val="20"/>
          <w:lang w:val="en-MY"/>
        </w:rPr>
        <w:t>Besides thermal degradation, increased polyphenol oxidase activity during high temperature drying further accelerates the breakdown of phenolic compounds, leading to diminished antioxidant activity (Hu et al.</w:t>
      </w:r>
      <w:r>
        <w:rPr>
          <w:rFonts w:ascii="Arial" w:hAnsi="Arial" w:cs="Arial"/>
          <w:b w:val="0"/>
          <w:bCs/>
          <w:caps w:val="0"/>
          <w:sz w:val="20"/>
        </w:rPr>
        <w:t>,</w:t>
      </w:r>
      <w:r>
        <w:rPr>
          <w:rFonts w:ascii="Arial" w:hAnsi="Arial" w:cs="Arial"/>
          <w:b w:val="0"/>
          <w:bCs/>
          <w:caps w:val="0"/>
          <w:sz w:val="20"/>
          <w:lang w:val="en-MY"/>
        </w:rPr>
        <w:t xml:space="preserve"> 2021). </w:t>
      </w:r>
    </w:p>
    <w:p w:rsidR="00DD21CA" w:rsidRDefault="00DD21CA">
      <w:pPr>
        <w:pStyle w:val="Head1"/>
        <w:spacing w:after="0"/>
        <w:jc w:val="both"/>
        <w:rPr>
          <w:rFonts w:ascii="Arial" w:hAnsi="Arial" w:cs="Arial"/>
          <w:b w:val="0"/>
          <w:bCs/>
          <w:caps w:val="0"/>
          <w:sz w:val="20"/>
          <w:lang w:val="en-MY"/>
        </w:rPr>
      </w:pPr>
    </w:p>
    <w:p w:rsidR="00DD21CA" w:rsidRDefault="00EF432E">
      <w:pPr>
        <w:pStyle w:val="Head1"/>
        <w:spacing w:after="0"/>
        <w:jc w:val="both"/>
        <w:rPr>
          <w:rFonts w:ascii="Arial" w:hAnsi="Arial" w:cs="Arial"/>
          <w:b w:val="0"/>
          <w:bCs/>
          <w:caps w:val="0"/>
          <w:sz w:val="20"/>
          <w:lang w:val="en-MY"/>
        </w:rPr>
      </w:pPr>
      <w:r>
        <w:rPr>
          <w:rFonts w:ascii="Arial" w:hAnsi="Arial" w:cs="Arial"/>
          <w:b w:val="0"/>
          <w:bCs/>
          <w:caps w:val="0"/>
          <w:sz w:val="20"/>
        </w:rPr>
        <w:t xml:space="preserve">A similar pattern was observed for </w:t>
      </w:r>
      <w:r>
        <w:rPr>
          <w:rFonts w:ascii="Arial" w:hAnsi="Arial" w:cs="Arial"/>
          <w:b w:val="0"/>
          <w:bCs/>
          <w:i/>
          <w:iCs/>
          <w:caps w:val="0"/>
          <w:sz w:val="20"/>
          <w:lang w:val="en-MY"/>
        </w:rPr>
        <w:t>P. minor</w:t>
      </w:r>
      <w:r>
        <w:rPr>
          <w:rFonts w:ascii="Arial" w:hAnsi="Arial" w:cs="Arial"/>
          <w:b w:val="0"/>
          <w:bCs/>
          <w:i/>
          <w:iCs/>
          <w:caps w:val="0"/>
          <w:sz w:val="20"/>
        </w:rPr>
        <w:t xml:space="preserve"> </w:t>
      </w:r>
      <w:r>
        <w:rPr>
          <w:rFonts w:ascii="Arial" w:hAnsi="Arial" w:cs="Arial"/>
          <w:b w:val="0"/>
          <w:bCs/>
          <w:caps w:val="0"/>
          <w:sz w:val="20"/>
        </w:rPr>
        <w:t xml:space="preserve">aqueous extracts. </w:t>
      </w:r>
      <w:r>
        <w:rPr>
          <w:rFonts w:ascii="Arial" w:hAnsi="Arial" w:cs="Arial"/>
          <w:b w:val="0"/>
          <w:bCs/>
          <w:caps w:val="0"/>
          <w:sz w:val="20"/>
          <w:lang w:val="en-MY"/>
        </w:rPr>
        <w:t xml:space="preserve">The </w:t>
      </w:r>
      <w:r>
        <w:rPr>
          <w:rFonts w:ascii="Arial" w:hAnsi="Arial" w:cs="Arial"/>
          <w:b w:val="0"/>
          <w:bCs/>
          <w:caps w:val="0"/>
          <w:sz w:val="20"/>
        </w:rPr>
        <w:t>OD40 and FD samples showed the lowest IC</w:t>
      </w:r>
      <w:r>
        <w:rPr>
          <w:rFonts w:ascii="Arial" w:hAnsi="Arial" w:cs="Arial"/>
          <w:b w:val="0"/>
          <w:bCs/>
          <w:caps w:val="0"/>
          <w:sz w:val="20"/>
          <w:vertAlign w:val="subscript"/>
        </w:rPr>
        <w:t>50</w:t>
      </w:r>
      <w:r>
        <w:rPr>
          <w:rFonts w:ascii="Arial" w:hAnsi="Arial" w:cs="Arial"/>
          <w:b w:val="0"/>
          <w:bCs/>
          <w:caps w:val="0"/>
          <w:sz w:val="20"/>
        </w:rPr>
        <w:t xml:space="preserve"> values (2.104 and 2.453 mg/mL),</w:t>
      </w:r>
      <w:r>
        <w:rPr>
          <w:rFonts w:ascii="Arial" w:hAnsi="Arial" w:cs="Arial"/>
          <w:b w:val="0"/>
          <w:bCs/>
          <w:caps w:val="0"/>
          <w:sz w:val="20"/>
          <w:lang w:val="en-MY"/>
        </w:rPr>
        <w:t xml:space="preserve"> </w:t>
      </w:r>
      <w:r>
        <w:rPr>
          <w:rFonts w:ascii="Arial" w:hAnsi="Arial" w:cs="Arial"/>
          <w:b w:val="0"/>
          <w:bCs/>
          <w:caps w:val="0"/>
          <w:sz w:val="20"/>
        </w:rPr>
        <w:t xml:space="preserve">indicating </w:t>
      </w:r>
      <w:r>
        <w:rPr>
          <w:rFonts w:ascii="Arial" w:hAnsi="Arial" w:cs="Arial"/>
          <w:b w:val="0"/>
          <w:bCs/>
          <w:caps w:val="0"/>
          <w:sz w:val="20"/>
          <w:lang w:val="en-MY"/>
        </w:rPr>
        <w:t xml:space="preserve">a </w:t>
      </w:r>
      <w:r>
        <w:rPr>
          <w:rFonts w:ascii="Arial" w:hAnsi="Arial" w:cs="Arial"/>
          <w:b w:val="0"/>
          <w:bCs/>
          <w:caps w:val="0"/>
          <w:sz w:val="20"/>
        </w:rPr>
        <w:t>strong activity, while samples dried at higher temperatures</w:t>
      </w:r>
      <w:r>
        <w:rPr>
          <w:rFonts w:ascii="Arial" w:hAnsi="Arial" w:cs="Arial"/>
          <w:b w:val="0"/>
          <w:bCs/>
          <w:caps w:val="0"/>
          <w:sz w:val="20"/>
          <w:lang w:val="en-MY"/>
        </w:rPr>
        <w:t xml:space="preserve">, </w:t>
      </w:r>
      <w:r>
        <w:rPr>
          <w:rFonts w:ascii="Arial" w:hAnsi="Arial" w:cs="Arial"/>
          <w:b w:val="0"/>
          <w:bCs/>
          <w:caps w:val="0"/>
          <w:sz w:val="20"/>
        </w:rPr>
        <w:t>particularly OD50 and OD60</w:t>
      </w:r>
      <w:r>
        <w:rPr>
          <w:rFonts w:ascii="Arial" w:hAnsi="Arial" w:cs="Arial"/>
          <w:b w:val="0"/>
          <w:bCs/>
          <w:caps w:val="0"/>
          <w:sz w:val="20"/>
          <w:lang w:val="en-MY"/>
        </w:rPr>
        <w:t xml:space="preserve"> </w:t>
      </w:r>
      <w:r>
        <w:rPr>
          <w:rFonts w:ascii="Arial" w:hAnsi="Arial" w:cs="Arial"/>
          <w:b w:val="0"/>
          <w:bCs/>
          <w:caps w:val="0"/>
          <w:sz w:val="20"/>
        </w:rPr>
        <w:t>had significantly</w:t>
      </w:r>
      <w:r>
        <w:rPr>
          <w:rFonts w:ascii="Arial" w:hAnsi="Arial" w:cs="Arial"/>
          <w:b w:val="0"/>
          <w:bCs/>
          <w:caps w:val="0"/>
          <w:sz w:val="20"/>
          <w:lang w:val="en-MY"/>
        </w:rPr>
        <w:t xml:space="preserve"> (P&lt;0.05)</w:t>
      </w:r>
      <w:r>
        <w:rPr>
          <w:rFonts w:ascii="Arial" w:hAnsi="Arial" w:cs="Arial"/>
          <w:b w:val="0"/>
          <w:bCs/>
          <w:caps w:val="0"/>
          <w:sz w:val="20"/>
        </w:rPr>
        <w:t xml:space="preserve"> higher IC</w:t>
      </w:r>
      <w:r>
        <w:rPr>
          <w:rFonts w:ascii="Arial" w:hAnsi="Arial" w:cs="Arial"/>
          <w:b w:val="0"/>
          <w:bCs/>
          <w:caps w:val="0"/>
          <w:sz w:val="20"/>
          <w:vertAlign w:val="subscript"/>
        </w:rPr>
        <w:t>50</w:t>
      </w:r>
      <w:r>
        <w:rPr>
          <w:rFonts w:ascii="Arial" w:hAnsi="Arial" w:cs="Arial"/>
          <w:b w:val="0"/>
          <w:bCs/>
          <w:caps w:val="0"/>
          <w:sz w:val="20"/>
        </w:rPr>
        <w:t xml:space="preserve"> values (&gt;10 mg/mL), suggesting</w:t>
      </w:r>
      <w:r>
        <w:rPr>
          <w:rFonts w:ascii="Arial" w:hAnsi="Arial" w:cs="Arial"/>
          <w:b w:val="0"/>
          <w:bCs/>
          <w:caps w:val="0"/>
          <w:sz w:val="20"/>
          <w:lang w:val="en-MY"/>
        </w:rPr>
        <w:t xml:space="preserve"> a</w:t>
      </w:r>
      <w:r>
        <w:rPr>
          <w:rFonts w:ascii="Arial" w:hAnsi="Arial" w:cs="Arial"/>
          <w:b w:val="0"/>
          <w:bCs/>
          <w:caps w:val="0"/>
          <w:sz w:val="20"/>
        </w:rPr>
        <w:t xml:space="preserve"> </w:t>
      </w:r>
      <w:r>
        <w:rPr>
          <w:rFonts w:ascii="Arial" w:hAnsi="Arial" w:cs="Arial"/>
          <w:b w:val="0"/>
          <w:bCs/>
          <w:caps w:val="0"/>
          <w:sz w:val="20"/>
          <w:lang w:val="en-MY"/>
        </w:rPr>
        <w:t xml:space="preserve">weaker </w:t>
      </w:r>
      <w:r>
        <w:rPr>
          <w:rFonts w:ascii="Arial" w:hAnsi="Arial" w:cs="Arial"/>
          <w:b w:val="0"/>
          <w:bCs/>
          <w:caps w:val="0"/>
          <w:sz w:val="20"/>
        </w:rPr>
        <w:t xml:space="preserve">antioxidant </w:t>
      </w:r>
      <w:r>
        <w:rPr>
          <w:rFonts w:ascii="Arial" w:hAnsi="Arial" w:cs="Arial"/>
          <w:b w:val="0"/>
          <w:bCs/>
          <w:caps w:val="0"/>
          <w:sz w:val="20"/>
          <w:lang w:val="en-MY"/>
        </w:rPr>
        <w:t>activity</w:t>
      </w:r>
      <w:r>
        <w:rPr>
          <w:rFonts w:ascii="Arial" w:hAnsi="Arial" w:cs="Arial"/>
          <w:b w:val="0"/>
          <w:bCs/>
          <w:caps w:val="0"/>
          <w:sz w:val="20"/>
        </w:rPr>
        <w:t>.</w:t>
      </w:r>
      <w:r>
        <w:rPr>
          <w:rFonts w:ascii="Arial" w:hAnsi="Arial" w:cs="Arial"/>
          <w:b w:val="0"/>
          <w:bCs/>
          <w:caps w:val="0"/>
          <w:sz w:val="20"/>
          <w:lang w:val="en-MY"/>
        </w:rPr>
        <w:t xml:space="preserve"> These findings align with </w:t>
      </w:r>
      <w:proofErr w:type="spellStart"/>
      <w:r>
        <w:rPr>
          <w:rFonts w:ascii="Arial" w:hAnsi="Arial" w:cs="Arial"/>
          <w:b w:val="0"/>
          <w:bCs/>
          <w:caps w:val="0"/>
          <w:sz w:val="20"/>
          <w:lang w:val="en-MY"/>
        </w:rPr>
        <w:t>Elshaafi</w:t>
      </w:r>
      <w:proofErr w:type="spellEnd"/>
      <w:r>
        <w:rPr>
          <w:rFonts w:ascii="Arial" w:hAnsi="Arial" w:cs="Arial"/>
          <w:b w:val="0"/>
          <w:bCs/>
          <w:caps w:val="0"/>
          <w:sz w:val="20"/>
          <w:lang w:val="en-MY"/>
        </w:rPr>
        <w:t xml:space="preserve"> et al. (2020), who reported that thermal degradation is the primary factor contributing to the significant decline in antioxidant activity at elevated drying temperatures. Oven drying at 50°C and above resulted in lower antioxidant </w:t>
      </w:r>
      <w:r>
        <w:rPr>
          <w:rFonts w:ascii="Arial" w:hAnsi="Arial" w:cs="Arial"/>
          <w:b w:val="0"/>
          <w:bCs/>
          <w:caps w:val="0"/>
          <w:sz w:val="20"/>
          <w:lang w:val="en-MY"/>
        </w:rPr>
        <w:lastRenderedPageBreak/>
        <w:t>activity and phytochemical content in fig (</w:t>
      </w:r>
      <w:proofErr w:type="spellStart"/>
      <w:r>
        <w:rPr>
          <w:rFonts w:ascii="Arial" w:hAnsi="Arial" w:cs="Arial"/>
          <w:b w:val="0"/>
          <w:bCs/>
          <w:i/>
          <w:iCs/>
          <w:caps w:val="0"/>
          <w:sz w:val="20"/>
          <w:lang w:val="en-MY" w:eastAsia="zh-CN"/>
        </w:rPr>
        <w:t>Ficus</w:t>
      </w:r>
      <w:proofErr w:type="spellEnd"/>
      <w:r>
        <w:rPr>
          <w:rFonts w:ascii="Arial" w:hAnsi="Arial" w:cs="Arial"/>
          <w:b w:val="0"/>
          <w:bCs/>
          <w:i/>
          <w:iCs/>
          <w:caps w:val="0"/>
          <w:sz w:val="20"/>
          <w:lang w:val="en-MY" w:eastAsia="zh-CN"/>
        </w:rPr>
        <w:t xml:space="preserve"> </w:t>
      </w:r>
      <w:proofErr w:type="spellStart"/>
      <w:r>
        <w:rPr>
          <w:rFonts w:ascii="Arial" w:hAnsi="Arial" w:cs="Arial"/>
          <w:b w:val="0"/>
          <w:bCs/>
          <w:i/>
          <w:iCs/>
          <w:caps w:val="0"/>
          <w:sz w:val="20"/>
          <w:lang w:val="en-MY" w:eastAsia="zh-CN"/>
        </w:rPr>
        <w:t>carica</w:t>
      </w:r>
      <w:proofErr w:type="spellEnd"/>
      <w:r>
        <w:rPr>
          <w:rFonts w:ascii="Arial" w:hAnsi="Arial" w:cs="Arial"/>
          <w:b w:val="0"/>
          <w:bCs/>
          <w:caps w:val="0"/>
          <w:sz w:val="20"/>
          <w:lang w:val="en-MY" w:eastAsia="zh-CN"/>
        </w:rPr>
        <w:t xml:space="preserve">) </w:t>
      </w:r>
      <w:r>
        <w:rPr>
          <w:rFonts w:ascii="Arial" w:hAnsi="Arial" w:cs="Arial"/>
          <w:b w:val="0"/>
          <w:bCs/>
          <w:caps w:val="0"/>
          <w:sz w:val="20"/>
          <w:lang w:val="en-MY"/>
        </w:rPr>
        <w:t>leaves, suggesting that the decline was due to the degradation of heat-sensitive phenolic and flavonoid compounds (</w:t>
      </w:r>
      <w:proofErr w:type="spellStart"/>
      <w:r>
        <w:rPr>
          <w:rFonts w:ascii="Arial" w:hAnsi="Arial" w:cs="Arial"/>
          <w:b w:val="0"/>
          <w:bCs/>
          <w:caps w:val="0"/>
          <w:sz w:val="20"/>
          <w:lang w:val="en-MY"/>
        </w:rPr>
        <w:t>Elshaafi</w:t>
      </w:r>
      <w:proofErr w:type="spellEnd"/>
      <w:r>
        <w:rPr>
          <w:rFonts w:ascii="Arial" w:hAnsi="Arial" w:cs="Arial"/>
          <w:b w:val="0"/>
          <w:bCs/>
          <w:caps w:val="0"/>
          <w:sz w:val="20"/>
          <w:lang w:val="en-MY"/>
        </w:rPr>
        <w:t xml:space="preserve"> et al.</w:t>
      </w:r>
      <w:r>
        <w:rPr>
          <w:rFonts w:ascii="Arial" w:hAnsi="Arial" w:cs="Arial"/>
          <w:b w:val="0"/>
          <w:bCs/>
          <w:caps w:val="0"/>
          <w:sz w:val="20"/>
        </w:rPr>
        <w:t>,</w:t>
      </w:r>
      <w:r>
        <w:rPr>
          <w:rFonts w:ascii="Arial" w:hAnsi="Arial" w:cs="Arial"/>
          <w:b w:val="0"/>
          <w:bCs/>
          <w:caps w:val="0"/>
          <w:sz w:val="20"/>
          <w:lang w:val="en-MY"/>
        </w:rPr>
        <w:t xml:space="preserve"> 2020).</w:t>
      </w:r>
    </w:p>
    <w:p w:rsidR="00DD21CA" w:rsidRDefault="00DD21CA">
      <w:pPr>
        <w:pStyle w:val="Head1"/>
        <w:spacing w:after="0"/>
        <w:jc w:val="both"/>
        <w:rPr>
          <w:rFonts w:ascii="Arial" w:hAnsi="Arial" w:cs="Arial"/>
          <w:b w:val="0"/>
          <w:bCs/>
          <w:caps w:val="0"/>
          <w:sz w:val="20"/>
          <w:lang w:val="en-MY" w:eastAsia="zh-CN"/>
        </w:rPr>
      </w:pPr>
    </w:p>
    <w:p w:rsidR="00DD21CA" w:rsidRDefault="00EF432E">
      <w:pPr>
        <w:pStyle w:val="Head1"/>
        <w:spacing w:after="0"/>
        <w:jc w:val="both"/>
        <w:rPr>
          <w:rFonts w:ascii="Arial" w:hAnsi="Arial" w:cs="Arial"/>
          <w:b w:val="0"/>
          <w:bCs/>
          <w:caps w:val="0"/>
          <w:sz w:val="20"/>
          <w:lang w:val="en-MY"/>
        </w:rPr>
      </w:pPr>
      <w:r>
        <w:rPr>
          <w:rFonts w:ascii="Arial" w:hAnsi="Arial" w:cs="Arial"/>
          <w:b w:val="0"/>
          <w:bCs/>
          <w:caps w:val="0"/>
          <w:sz w:val="20"/>
          <w:lang w:val="en-MY"/>
        </w:rPr>
        <w:t>FRAP values further corroborated the DPPH findings. Methanolic OD40 and FD extracts showed the highest reducing power (10.198 and 9.878 </w:t>
      </w:r>
      <w:proofErr w:type="spellStart"/>
      <w:r>
        <w:rPr>
          <w:rFonts w:ascii="Arial" w:hAnsi="Arial" w:cs="Arial"/>
          <w:b w:val="0"/>
          <w:bCs/>
          <w:caps w:val="0"/>
          <w:sz w:val="20"/>
          <w:lang w:val="en-MY"/>
        </w:rPr>
        <w:t>μmol</w:t>
      </w:r>
      <w:proofErr w:type="spellEnd"/>
      <w:r>
        <w:rPr>
          <w:rFonts w:ascii="Arial" w:hAnsi="Arial" w:cs="Arial"/>
          <w:b w:val="0"/>
          <w:bCs/>
          <w:caps w:val="0"/>
          <w:sz w:val="20"/>
          <w:lang w:val="en-MY"/>
        </w:rPr>
        <w:t xml:space="preserve">/mg, respectively), compared to samples dried at higher temperatures. OD70, OD60 and OD50 methanolic extracts exhibited significantly (P&lt;0.05) lower FRAP values (2.418, 1.659 and 1.811 </w:t>
      </w:r>
      <w:proofErr w:type="spellStart"/>
      <w:r>
        <w:rPr>
          <w:rFonts w:ascii="Arial" w:hAnsi="Arial" w:cs="Arial"/>
          <w:b w:val="0"/>
          <w:bCs/>
          <w:caps w:val="0"/>
          <w:sz w:val="20"/>
          <w:lang w:val="en-MY"/>
        </w:rPr>
        <w:t>μmol</w:t>
      </w:r>
      <w:proofErr w:type="spellEnd"/>
      <w:r>
        <w:rPr>
          <w:rFonts w:ascii="Arial" w:hAnsi="Arial" w:cs="Arial"/>
          <w:b w:val="0"/>
          <w:bCs/>
          <w:caps w:val="0"/>
          <w:sz w:val="20"/>
          <w:lang w:val="en-MY"/>
        </w:rPr>
        <w:t xml:space="preserve">/mg, respectively). Interestingly, in the aqueous extracts, OD40 showed the highest FRAP activity across all samples (16.451 </w:t>
      </w:r>
      <w:proofErr w:type="spellStart"/>
      <w:r>
        <w:rPr>
          <w:rFonts w:ascii="Arial" w:hAnsi="Arial" w:cs="Arial"/>
          <w:b w:val="0"/>
          <w:bCs/>
          <w:caps w:val="0"/>
          <w:sz w:val="20"/>
          <w:lang w:val="en-MY"/>
        </w:rPr>
        <w:t>μmol</w:t>
      </w:r>
      <w:proofErr w:type="spellEnd"/>
      <w:r>
        <w:rPr>
          <w:rFonts w:ascii="Arial" w:hAnsi="Arial" w:cs="Arial"/>
          <w:b w:val="0"/>
          <w:bCs/>
          <w:caps w:val="0"/>
          <w:sz w:val="20"/>
          <w:lang w:val="en-MY"/>
        </w:rPr>
        <w:t xml:space="preserve">/mg), surpassing even methanolic extracts. Conversely, OD60 and OD70 samples had the weakest reducing power, suggesting possible thermal breakdown of antioxidant constituents. </w:t>
      </w:r>
      <w:proofErr w:type="gramStart"/>
      <w:r>
        <w:rPr>
          <w:rFonts w:ascii="Arial" w:hAnsi="Arial" w:cs="Arial"/>
          <w:b w:val="0"/>
          <w:bCs/>
          <w:caps w:val="0"/>
          <w:sz w:val="20"/>
          <w:lang w:val="en-MY"/>
        </w:rPr>
        <w:t>These result</w:t>
      </w:r>
      <w:proofErr w:type="gramEnd"/>
      <w:r>
        <w:rPr>
          <w:rFonts w:ascii="Arial" w:hAnsi="Arial" w:cs="Arial"/>
          <w:b w:val="0"/>
          <w:bCs/>
          <w:caps w:val="0"/>
          <w:sz w:val="20"/>
          <w:lang w:val="en-MY"/>
        </w:rPr>
        <w:t xml:space="preserve"> indicate that water was highly effective in extracting certain polar antioxidant compounds, such as phenolics, especially under low temperature drying conditions. This observation is consistent with the findings of </w:t>
      </w:r>
      <w:proofErr w:type="spellStart"/>
      <w:r>
        <w:rPr>
          <w:rFonts w:ascii="Arial" w:hAnsi="Arial" w:cs="Arial"/>
          <w:b w:val="0"/>
          <w:bCs/>
          <w:caps w:val="0"/>
          <w:sz w:val="20"/>
          <w:lang w:val="en-MY"/>
        </w:rPr>
        <w:t>Altemimi</w:t>
      </w:r>
      <w:proofErr w:type="spellEnd"/>
      <w:r>
        <w:rPr>
          <w:rFonts w:ascii="Arial" w:hAnsi="Arial" w:cs="Arial"/>
          <w:b w:val="0"/>
          <w:bCs/>
          <w:caps w:val="0"/>
          <w:sz w:val="20"/>
          <w:lang w:val="en-MY"/>
        </w:rPr>
        <w:t xml:space="preserve"> et al. (2017), who reported that water-soluble extracts of the herbaceous plant </w:t>
      </w:r>
      <w:proofErr w:type="spellStart"/>
      <w:r>
        <w:rPr>
          <w:rFonts w:ascii="Arial" w:hAnsi="Arial" w:cs="Arial"/>
          <w:b w:val="0"/>
          <w:bCs/>
          <w:i/>
          <w:iCs/>
          <w:caps w:val="0"/>
          <w:sz w:val="20"/>
          <w:lang w:val="en-MY"/>
        </w:rPr>
        <w:t>Dracocephalum</w:t>
      </w:r>
      <w:proofErr w:type="spellEnd"/>
      <w:r>
        <w:rPr>
          <w:rFonts w:ascii="Arial" w:hAnsi="Arial" w:cs="Arial"/>
          <w:b w:val="0"/>
          <w:bCs/>
          <w:i/>
          <w:iCs/>
          <w:caps w:val="0"/>
          <w:sz w:val="20"/>
          <w:lang w:val="en-MY"/>
        </w:rPr>
        <w:t xml:space="preserve"> </w:t>
      </w:r>
      <w:proofErr w:type="spellStart"/>
      <w:r>
        <w:rPr>
          <w:rFonts w:ascii="Arial" w:hAnsi="Arial" w:cs="Arial"/>
          <w:b w:val="0"/>
          <w:bCs/>
          <w:i/>
          <w:iCs/>
          <w:caps w:val="0"/>
          <w:sz w:val="20"/>
          <w:lang w:val="en-MY"/>
        </w:rPr>
        <w:t>moldavica</w:t>
      </w:r>
      <w:proofErr w:type="spellEnd"/>
      <w:r>
        <w:rPr>
          <w:rFonts w:ascii="Arial" w:hAnsi="Arial" w:cs="Arial"/>
          <w:b w:val="0"/>
          <w:bCs/>
          <w:caps w:val="0"/>
          <w:sz w:val="20"/>
          <w:lang w:val="en-MY"/>
        </w:rPr>
        <w:t xml:space="preserve"> exhibited strong antioxidant activity, largely attributed to polar phenolic compounds such as caffeic acid and </w:t>
      </w:r>
      <w:proofErr w:type="spellStart"/>
      <w:r>
        <w:rPr>
          <w:rFonts w:ascii="Arial" w:hAnsi="Arial" w:cs="Arial"/>
          <w:b w:val="0"/>
          <w:bCs/>
          <w:caps w:val="0"/>
          <w:sz w:val="20"/>
          <w:lang w:val="en-MY"/>
        </w:rPr>
        <w:t>rosmarinic</w:t>
      </w:r>
      <w:proofErr w:type="spellEnd"/>
      <w:r>
        <w:rPr>
          <w:rFonts w:ascii="Arial" w:hAnsi="Arial" w:cs="Arial"/>
          <w:b w:val="0"/>
          <w:bCs/>
          <w:caps w:val="0"/>
          <w:sz w:val="20"/>
          <w:lang w:val="en-MY"/>
        </w:rPr>
        <w:t xml:space="preserve"> acid. Furthermore, Tripathi et al. (2025) found a strong positive correlation between high polarity solvents (such as water) and enhanced antioxidant capacity, confirming the high affinity of potent antioxidant compounds for more polar environments. </w:t>
      </w:r>
    </w:p>
    <w:p w:rsidR="00DD21CA" w:rsidRDefault="00DD21CA">
      <w:pPr>
        <w:pStyle w:val="Head1"/>
        <w:spacing w:after="0"/>
        <w:jc w:val="both"/>
        <w:rPr>
          <w:rFonts w:ascii="Arial" w:hAnsi="Arial" w:cs="Arial"/>
          <w:b w:val="0"/>
          <w:bCs/>
          <w:caps w:val="0"/>
          <w:sz w:val="20"/>
          <w:lang w:val="en-MY"/>
        </w:rPr>
      </w:pPr>
    </w:p>
    <w:p w:rsidR="00DD21CA" w:rsidRDefault="00EF432E">
      <w:pPr>
        <w:pStyle w:val="Head1"/>
        <w:spacing w:after="0"/>
        <w:jc w:val="both"/>
        <w:rPr>
          <w:rFonts w:ascii="Arial" w:hAnsi="Arial" w:cs="Arial"/>
          <w:b w:val="0"/>
          <w:bCs/>
          <w:caps w:val="0"/>
          <w:sz w:val="20"/>
          <w:lang w:val="en-MY"/>
        </w:rPr>
      </w:pPr>
      <w:r>
        <w:rPr>
          <w:rFonts w:ascii="Arial" w:hAnsi="Arial" w:cs="Arial"/>
          <w:b w:val="0"/>
          <w:bCs/>
          <w:caps w:val="0"/>
          <w:sz w:val="20"/>
          <w:lang w:val="en-MY"/>
        </w:rPr>
        <w:t xml:space="preserve">In summary, low temperature oven drying at 40°C and freeze drying were the most effective methods for preserving the antioxidant activity of </w:t>
      </w:r>
      <w:r>
        <w:rPr>
          <w:rFonts w:ascii="Arial" w:hAnsi="Arial" w:cs="Arial"/>
          <w:b w:val="0"/>
          <w:bCs/>
          <w:i/>
          <w:iCs/>
          <w:caps w:val="0"/>
          <w:sz w:val="20"/>
          <w:lang w:val="en-MY"/>
        </w:rPr>
        <w:t>P. minor</w:t>
      </w:r>
      <w:r>
        <w:rPr>
          <w:rFonts w:ascii="Arial" w:hAnsi="Arial" w:cs="Arial"/>
          <w:b w:val="0"/>
          <w:bCs/>
          <w:caps w:val="0"/>
          <w:sz w:val="20"/>
          <w:lang w:val="en-MY"/>
        </w:rPr>
        <w:t xml:space="preserve"> in both methanolic and aqueous extracts. The enhanced retention observed in OD40 and FD samples is likely attributed to minimal thermal degradation of phenolics and flavonoids during processing. In contrast, exposure to elevated temperatures, especially during oven drying at ≥50°C, reduced antioxidant potential, suggesting thermal degradation or transformation of key antioxidant compounds. While both extraction solvents were effective, aqueous extracts from OD40 samples showed particularly stronger reducing power, indicating that water may be more suitable for extracting certain water-soluble antioxidants under mild drying conditions.</w:t>
      </w:r>
    </w:p>
    <w:p w:rsidR="00DD21CA" w:rsidRDefault="00DD21CA">
      <w:pPr>
        <w:pStyle w:val="Head1"/>
        <w:spacing w:after="0"/>
        <w:jc w:val="both"/>
        <w:rPr>
          <w:rFonts w:ascii="Arial" w:hAnsi="Arial" w:cs="Arial"/>
          <w:sz w:val="20"/>
        </w:rPr>
      </w:pPr>
    </w:p>
    <w:p w:rsidR="00DD21CA" w:rsidRDefault="00DD21CA">
      <w:pPr>
        <w:tabs>
          <w:tab w:val="left" w:pos="1080"/>
        </w:tabs>
        <w:jc w:val="both"/>
        <w:rPr>
          <w:rFonts w:ascii="Arial" w:hAnsi="Arial" w:cs="Arial"/>
        </w:rPr>
      </w:pPr>
    </w:p>
    <w:p w:rsidR="00DD21CA" w:rsidRDefault="00EF432E">
      <w:pPr>
        <w:pStyle w:val="Body"/>
        <w:spacing w:after="0"/>
        <w:jc w:val="left"/>
        <w:rPr>
          <w:rFonts w:ascii="Arial" w:hAnsi="Arial" w:cs="Arial"/>
          <w:b/>
          <w:bCs/>
          <w:lang w:val="en-MY" w:eastAsia="zh-CN"/>
        </w:rPr>
      </w:pPr>
      <w:r>
        <w:rPr>
          <w:rFonts w:ascii="Arial" w:hAnsi="Arial" w:cs="Arial"/>
          <w:b/>
          <w:bCs/>
          <w:lang w:val="en-MY"/>
        </w:rPr>
        <w:t xml:space="preserve">Table 1. </w:t>
      </w:r>
      <w:r>
        <w:rPr>
          <w:rFonts w:ascii="Arial" w:hAnsi="Arial" w:cs="Arial"/>
          <w:b/>
          <w:bCs/>
          <w:lang w:val="en-MY" w:eastAsia="zh-CN"/>
        </w:rPr>
        <w:t xml:space="preserve">Effect of drying methods and extraction solvents on the antioxidant activity of </w:t>
      </w:r>
      <w:r>
        <w:rPr>
          <w:rFonts w:ascii="Arial" w:hAnsi="Arial" w:cs="Arial"/>
          <w:b/>
          <w:bCs/>
          <w:i/>
          <w:iCs/>
          <w:lang w:val="en-MY" w:eastAsia="zh-CN"/>
        </w:rPr>
        <w:t>P. minor</w:t>
      </w:r>
      <w:r>
        <w:rPr>
          <w:rFonts w:ascii="Arial" w:hAnsi="Arial" w:cs="Arial"/>
          <w:b/>
          <w:bCs/>
          <w:lang w:val="en-MY" w:eastAsia="zh-CN"/>
        </w:rPr>
        <w:t xml:space="preserve"> extracts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1914"/>
        <w:gridCol w:w="2503"/>
        <w:gridCol w:w="2503"/>
      </w:tblGrid>
      <w:tr w:rsidR="00DD21CA">
        <w:tc>
          <w:tcPr>
            <w:tcW w:w="3828" w:type="dxa"/>
            <w:gridSpan w:val="2"/>
            <w:tcBorders>
              <w:top w:val="single" w:sz="18" w:space="0" w:color="auto"/>
              <w:bottom w:val="single" w:sz="4" w:space="0" w:color="auto"/>
            </w:tcBorders>
          </w:tcPr>
          <w:p w:rsidR="00DD21CA" w:rsidRDefault="00DD21CA">
            <w:pPr>
              <w:pStyle w:val="Body"/>
              <w:spacing w:after="0"/>
              <w:rPr>
                <w:rFonts w:ascii="Arial" w:hAnsi="Arial" w:cs="Arial"/>
                <w:sz w:val="20"/>
                <w:szCs w:val="20"/>
                <w:lang w:val="en-MY"/>
              </w:rPr>
            </w:pPr>
          </w:p>
          <w:p w:rsidR="00DD21CA" w:rsidRDefault="00EF432E">
            <w:pPr>
              <w:pStyle w:val="Body"/>
              <w:spacing w:after="0"/>
              <w:rPr>
                <w:rFonts w:ascii="Arial" w:hAnsi="Arial" w:cs="Arial"/>
                <w:sz w:val="20"/>
                <w:szCs w:val="20"/>
                <w:lang w:val="en-MY" w:eastAsia="zh-CN"/>
              </w:rPr>
            </w:pPr>
            <w:r>
              <w:rPr>
                <w:rFonts w:ascii="Arial" w:hAnsi="Arial" w:cs="Arial"/>
                <w:sz w:val="20"/>
                <w:szCs w:val="20"/>
                <w:lang w:val="en-MY"/>
              </w:rPr>
              <w:t>Sample</w:t>
            </w:r>
          </w:p>
        </w:tc>
        <w:tc>
          <w:tcPr>
            <w:tcW w:w="2503" w:type="dxa"/>
            <w:tcBorders>
              <w:top w:val="single" w:sz="18" w:space="0" w:color="auto"/>
              <w:bottom w:val="single" w:sz="4" w:space="0" w:color="auto"/>
            </w:tcBorders>
          </w:tcPr>
          <w:p w:rsidR="00DD21CA" w:rsidRDefault="00EF432E">
            <w:pPr>
              <w:pStyle w:val="Body"/>
              <w:spacing w:after="0"/>
              <w:jc w:val="left"/>
              <w:rPr>
                <w:rFonts w:ascii="Arial" w:hAnsi="Arial" w:cs="Arial"/>
                <w:sz w:val="20"/>
                <w:szCs w:val="20"/>
                <w:lang w:val="en-MY" w:eastAsia="zh-CN"/>
              </w:rPr>
            </w:pPr>
            <w:r>
              <w:rPr>
                <w:rFonts w:ascii="Arial" w:hAnsi="Arial" w:cs="Arial"/>
                <w:sz w:val="20"/>
                <w:szCs w:val="20"/>
                <w:lang w:val="en-MY"/>
              </w:rPr>
              <w:t>DPPH radical scavenging activity, IC</w:t>
            </w:r>
            <w:r>
              <w:rPr>
                <w:rFonts w:ascii="Arial" w:hAnsi="Arial" w:cs="Arial"/>
                <w:sz w:val="20"/>
                <w:szCs w:val="20"/>
                <w:vertAlign w:val="subscript"/>
                <w:lang w:val="en-MY"/>
              </w:rPr>
              <w:t>50</w:t>
            </w:r>
            <w:r>
              <w:rPr>
                <w:rFonts w:ascii="Arial" w:hAnsi="Arial" w:cs="Arial"/>
                <w:sz w:val="20"/>
                <w:szCs w:val="20"/>
                <w:lang w:val="en-MY"/>
              </w:rPr>
              <w:t xml:space="preserve"> (mg/mL)</w:t>
            </w:r>
          </w:p>
        </w:tc>
        <w:tc>
          <w:tcPr>
            <w:tcW w:w="2503" w:type="dxa"/>
            <w:tcBorders>
              <w:top w:val="single" w:sz="18" w:space="0" w:color="auto"/>
              <w:bottom w:val="single" w:sz="4" w:space="0" w:color="auto"/>
            </w:tcBorders>
          </w:tcPr>
          <w:p w:rsidR="00DD21CA" w:rsidRDefault="00EF432E">
            <w:pPr>
              <w:pStyle w:val="Body"/>
              <w:spacing w:after="0"/>
              <w:jc w:val="left"/>
              <w:rPr>
                <w:rFonts w:ascii="Arial" w:hAnsi="Arial" w:cs="Arial"/>
                <w:sz w:val="20"/>
                <w:szCs w:val="20"/>
                <w:lang w:val="en-MY" w:eastAsia="zh-CN"/>
              </w:rPr>
            </w:pPr>
            <w:r>
              <w:rPr>
                <w:rFonts w:ascii="Arial" w:hAnsi="Arial" w:cs="Arial"/>
                <w:sz w:val="20"/>
                <w:szCs w:val="20"/>
                <w:lang w:val="en-MY"/>
              </w:rPr>
              <w:t>Ferric reducing antioxidant power (</w:t>
            </w:r>
            <w:proofErr w:type="spellStart"/>
            <w:r>
              <w:rPr>
                <w:rFonts w:ascii="Arial" w:hAnsi="Arial" w:cs="Arial"/>
                <w:sz w:val="20"/>
                <w:szCs w:val="20"/>
                <w:lang w:val="en-MY" w:eastAsia="zh-CN"/>
              </w:rPr>
              <w:t>μmoL</w:t>
            </w:r>
            <w:proofErr w:type="spellEnd"/>
            <w:r>
              <w:rPr>
                <w:rFonts w:ascii="Arial" w:hAnsi="Arial" w:cs="Arial"/>
                <w:sz w:val="20"/>
                <w:szCs w:val="20"/>
                <w:lang w:val="en-MY" w:eastAsia="zh-CN"/>
              </w:rPr>
              <w:t>/mg)</w:t>
            </w:r>
          </w:p>
        </w:tc>
      </w:tr>
      <w:tr w:rsidR="00DD21CA">
        <w:tc>
          <w:tcPr>
            <w:tcW w:w="1914" w:type="dxa"/>
            <w:tcBorders>
              <w:top w:val="single" w:sz="4" w:space="0" w:color="auto"/>
              <w:bottom w:val="nil"/>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eastAsia="zh-CN"/>
              </w:rPr>
              <w:t>70% methanol</w:t>
            </w:r>
          </w:p>
        </w:tc>
        <w:tc>
          <w:tcPr>
            <w:tcW w:w="1914" w:type="dxa"/>
            <w:tcBorders>
              <w:top w:val="single" w:sz="4" w:space="0" w:color="auto"/>
              <w:bottom w:val="nil"/>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eastAsia="zh-CN"/>
              </w:rPr>
              <w:t>OD40</w:t>
            </w:r>
          </w:p>
        </w:tc>
        <w:tc>
          <w:tcPr>
            <w:tcW w:w="2503" w:type="dxa"/>
            <w:tcBorders>
              <w:top w:val="single" w:sz="4" w:space="0" w:color="auto"/>
              <w:bottom w:val="nil"/>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rPr>
              <w:t>2.276 a</w:t>
            </w:r>
          </w:p>
        </w:tc>
        <w:tc>
          <w:tcPr>
            <w:tcW w:w="2503" w:type="dxa"/>
            <w:tcBorders>
              <w:top w:val="single" w:sz="4" w:space="0" w:color="auto"/>
              <w:bottom w:val="nil"/>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rPr>
              <w:t>10.198 b</w:t>
            </w:r>
          </w:p>
        </w:tc>
      </w:tr>
      <w:tr w:rsidR="00DD21CA">
        <w:tc>
          <w:tcPr>
            <w:tcW w:w="1914" w:type="dxa"/>
            <w:tcBorders>
              <w:top w:val="nil"/>
              <w:bottom w:val="nil"/>
            </w:tcBorders>
          </w:tcPr>
          <w:p w:rsidR="00DD21CA" w:rsidRDefault="00DD21CA">
            <w:pPr>
              <w:pStyle w:val="Body"/>
              <w:spacing w:after="0"/>
              <w:rPr>
                <w:rFonts w:ascii="Arial" w:hAnsi="Arial" w:cs="Arial"/>
                <w:sz w:val="20"/>
                <w:szCs w:val="20"/>
                <w:lang w:val="en-MY" w:eastAsia="zh-CN"/>
              </w:rPr>
            </w:pPr>
          </w:p>
        </w:tc>
        <w:tc>
          <w:tcPr>
            <w:tcW w:w="1914" w:type="dxa"/>
            <w:tcBorders>
              <w:top w:val="nil"/>
              <w:bottom w:val="nil"/>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eastAsia="zh-CN"/>
              </w:rPr>
              <w:t>OD50</w:t>
            </w:r>
          </w:p>
        </w:tc>
        <w:tc>
          <w:tcPr>
            <w:tcW w:w="2503" w:type="dxa"/>
            <w:tcBorders>
              <w:top w:val="nil"/>
              <w:bottom w:val="nil"/>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rPr>
              <w:t>5.642 b</w:t>
            </w:r>
          </w:p>
        </w:tc>
        <w:tc>
          <w:tcPr>
            <w:tcW w:w="2503" w:type="dxa"/>
            <w:tcBorders>
              <w:top w:val="nil"/>
              <w:bottom w:val="nil"/>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rPr>
              <w:t>1.811 d</w:t>
            </w:r>
          </w:p>
        </w:tc>
      </w:tr>
      <w:tr w:rsidR="00DD21CA">
        <w:tc>
          <w:tcPr>
            <w:tcW w:w="1914" w:type="dxa"/>
            <w:tcBorders>
              <w:top w:val="nil"/>
              <w:bottom w:val="nil"/>
            </w:tcBorders>
          </w:tcPr>
          <w:p w:rsidR="00DD21CA" w:rsidRDefault="00DD21CA">
            <w:pPr>
              <w:pStyle w:val="Body"/>
              <w:spacing w:after="0"/>
              <w:rPr>
                <w:rFonts w:ascii="Arial" w:hAnsi="Arial" w:cs="Arial"/>
                <w:sz w:val="20"/>
                <w:szCs w:val="20"/>
                <w:lang w:val="en-MY" w:eastAsia="zh-CN"/>
              </w:rPr>
            </w:pPr>
          </w:p>
        </w:tc>
        <w:tc>
          <w:tcPr>
            <w:tcW w:w="1914" w:type="dxa"/>
            <w:tcBorders>
              <w:top w:val="nil"/>
              <w:bottom w:val="nil"/>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eastAsia="zh-CN"/>
              </w:rPr>
              <w:t>OD60</w:t>
            </w:r>
          </w:p>
        </w:tc>
        <w:tc>
          <w:tcPr>
            <w:tcW w:w="2503" w:type="dxa"/>
            <w:tcBorders>
              <w:top w:val="nil"/>
              <w:bottom w:val="nil"/>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rPr>
              <w:t>9.593 c</w:t>
            </w:r>
          </w:p>
        </w:tc>
        <w:tc>
          <w:tcPr>
            <w:tcW w:w="2503" w:type="dxa"/>
            <w:tcBorders>
              <w:top w:val="nil"/>
              <w:bottom w:val="nil"/>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rPr>
              <w:t>1.659 d</w:t>
            </w:r>
          </w:p>
        </w:tc>
      </w:tr>
      <w:tr w:rsidR="00DD21CA">
        <w:tc>
          <w:tcPr>
            <w:tcW w:w="1914" w:type="dxa"/>
            <w:tcBorders>
              <w:top w:val="nil"/>
              <w:bottom w:val="nil"/>
            </w:tcBorders>
          </w:tcPr>
          <w:p w:rsidR="00DD21CA" w:rsidRDefault="00DD21CA">
            <w:pPr>
              <w:pStyle w:val="Body"/>
              <w:spacing w:after="0"/>
              <w:rPr>
                <w:rFonts w:ascii="Arial" w:hAnsi="Arial" w:cs="Arial"/>
                <w:sz w:val="20"/>
                <w:szCs w:val="20"/>
                <w:lang w:val="en-MY" w:eastAsia="zh-CN"/>
              </w:rPr>
            </w:pPr>
          </w:p>
        </w:tc>
        <w:tc>
          <w:tcPr>
            <w:tcW w:w="1914" w:type="dxa"/>
            <w:tcBorders>
              <w:top w:val="nil"/>
              <w:bottom w:val="nil"/>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eastAsia="zh-CN"/>
              </w:rPr>
              <w:t>OD70</w:t>
            </w:r>
          </w:p>
        </w:tc>
        <w:tc>
          <w:tcPr>
            <w:tcW w:w="2503" w:type="dxa"/>
            <w:tcBorders>
              <w:top w:val="nil"/>
              <w:bottom w:val="nil"/>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rPr>
              <w:t>9.872 c</w:t>
            </w:r>
          </w:p>
        </w:tc>
        <w:tc>
          <w:tcPr>
            <w:tcW w:w="2503" w:type="dxa"/>
            <w:tcBorders>
              <w:top w:val="nil"/>
              <w:bottom w:val="nil"/>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rPr>
              <w:t>2.418 d</w:t>
            </w:r>
          </w:p>
        </w:tc>
      </w:tr>
      <w:tr w:rsidR="00DD21CA">
        <w:tc>
          <w:tcPr>
            <w:tcW w:w="1914" w:type="dxa"/>
            <w:tcBorders>
              <w:top w:val="nil"/>
              <w:bottom w:val="nil"/>
            </w:tcBorders>
          </w:tcPr>
          <w:p w:rsidR="00DD21CA" w:rsidRDefault="00DD21CA">
            <w:pPr>
              <w:pStyle w:val="Body"/>
              <w:spacing w:after="0"/>
              <w:rPr>
                <w:rFonts w:ascii="Arial" w:hAnsi="Arial" w:cs="Arial"/>
                <w:sz w:val="20"/>
                <w:szCs w:val="20"/>
                <w:lang w:val="en-MY" w:eastAsia="zh-CN"/>
              </w:rPr>
            </w:pPr>
          </w:p>
        </w:tc>
        <w:tc>
          <w:tcPr>
            <w:tcW w:w="1914" w:type="dxa"/>
            <w:tcBorders>
              <w:top w:val="nil"/>
              <w:bottom w:val="nil"/>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eastAsia="zh-CN"/>
              </w:rPr>
              <w:t>AD</w:t>
            </w:r>
          </w:p>
        </w:tc>
        <w:tc>
          <w:tcPr>
            <w:tcW w:w="2503" w:type="dxa"/>
            <w:tcBorders>
              <w:top w:val="nil"/>
              <w:bottom w:val="nil"/>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rPr>
              <w:t>2.519 a</w:t>
            </w:r>
          </w:p>
        </w:tc>
        <w:tc>
          <w:tcPr>
            <w:tcW w:w="2503" w:type="dxa"/>
            <w:tcBorders>
              <w:top w:val="nil"/>
              <w:bottom w:val="nil"/>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rPr>
              <w:t>7.363 c</w:t>
            </w:r>
          </w:p>
        </w:tc>
      </w:tr>
      <w:tr w:rsidR="00DD21CA">
        <w:tc>
          <w:tcPr>
            <w:tcW w:w="1914" w:type="dxa"/>
            <w:tcBorders>
              <w:top w:val="nil"/>
              <w:bottom w:val="single" w:sz="4" w:space="0" w:color="auto"/>
            </w:tcBorders>
          </w:tcPr>
          <w:p w:rsidR="00DD21CA" w:rsidRDefault="00DD21CA">
            <w:pPr>
              <w:pStyle w:val="Body"/>
              <w:spacing w:after="0"/>
              <w:rPr>
                <w:rFonts w:ascii="Arial" w:hAnsi="Arial" w:cs="Arial"/>
                <w:sz w:val="20"/>
                <w:szCs w:val="20"/>
                <w:lang w:val="en-MY" w:eastAsia="zh-CN"/>
              </w:rPr>
            </w:pPr>
          </w:p>
        </w:tc>
        <w:tc>
          <w:tcPr>
            <w:tcW w:w="1914" w:type="dxa"/>
            <w:tcBorders>
              <w:top w:val="nil"/>
              <w:bottom w:val="single" w:sz="4" w:space="0" w:color="auto"/>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eastAsia="zh-CN"/>
              </w:rPr>
              <w:t>FD</w:t>
            </w:r>
          </w:p>
        </w:tc>
        <w:tc>
          <w:tcPr>
            <w:tcW w:w="2503" w:type="dxa"/>
            <w:tcBorders>
              <w:top w:val="nil"/>
              <w:bottom w:val="single" w:sz="4" w:space="0" w:color="auto"/>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rPr>
              <w:t>2.012 a</w:t>
            </w:r>
          </w:p>
        </w:tc>
        <w:tc>
          <w:tcPr>
            <w:tcW w:w="2503" w:type="dxa"/>
            <w:tcBorders>
              <w:top w:val="nil"/>
              <w:bottom w:val="single" w:sz="4" w:space="0" w:color="auto"/>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rPr>
              <w:t>9.878 b</w:t>
            </w:r>
          </w:p>
        </w:tc>
      </w:tr>
      <w:tr w:rsidR="00DD21CA">
        <w:tc>
          <w:tcPr>
            <w:tcW w:w="1914" w:type="dxa"/>
            <w:tcBorders>
              <w:top w:val="single" w:sz="4" w:space="0" w:color="auto"/>
              <w:bottom w:val="nil"/>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eastAsia="zh-CN"/>
              </w:rPr>
              <w:t>Distilled water</w:t>
            </w:r>
          </w:p>
        </w:tc>
        <w:tc>
          <w:tcPr>
            <w:tcW w:w="1914" w:type="dxa"/>
            <w:tcBorders>
              <w:top w:val="single" w:sz="4" w:space="0" w:color="auto"/>
              <w:bottom w:val="nil"/>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eastAsia="zh-CN"/>
              </w:rPr>
              <w:t>OD40</w:t>
            </w:r>
          </w:p>
        </w:tc>
        <w:tc>
          <w:tcPr>
            <w:tcW w:w="2503" w:type="dxa"/>
            <w:tcBorders>
              <w:top w:val="single" w:sz="4" w:space="0" w:color="auto"/>
              <w:bottom w:val="nil"/>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rPr>
              <w:t>2.104 a</w:t>
            </w:r>
          </w:p>
        </w:tc>
        <w:tc>
          <w:tcPr>
            <w:tcW w:w="2503" w:type="dxa"/>
            <w:tcBorders>
              <w:top w:val="single" w:sz="4" w:space="0" w:color="auto"/>
              <w:bottom w:val="nil"/>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rPr>
              <w:t>16.451 a</w:t>
            </w:r>
          </w:p>
        </w:tc>
      </w:tr>
      <w:tr w:rsidR="00DD21CA">
        <w:tc>
          <w:tcPr>
            <w:tcW w:w="1914" w:type="dxa"/>
            <w:tcBorders>
              <w:top w:val="nil"/>
              <w:bottom w:val="nil"/>
            </w:tcBorders>
          </w:tcPr>
          <w:p w:rsidR="00DD21CA" w:rsidRDefault="00DD21CA">
            <w:pPr>
              <w:pStyle w:val="Body"/>
              <w:spacing w:after="0"/>
              <w:rPr>
                <w:rFonts w:ascii="Arial" w:hAnsi="Arial" w:cs="Arial"/>
                <w:sz w:val="20"/>
                <w:szCs w:val="20"/>
                <w:lang w:val="en-MY" w:eastAsia="zh-CN"/>
              </w:rPr>
            </w:pPr>
          </w:p>
        </w:tc>
        <w:tc>
          <w:tcPr>
            <w:tcW w:w="1914" w:type="dxa"/>
            <w:tcBorders>
              <w:top w:val="nil"/>
              <w:bottom w:val="nil"/>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eastAsia="zh-CN"/>
              </w:rPr>
              <w:t>OD50</w:t>
            </w:r>
          </w:p>
        </w:tc>
        <w:tc>
          <w:tcPr>
            <w:tcW w:w="2503" w:type="dxa"/>
            <w:tcBorders>
              <w:top w:val="nil"/>
              <w:bottom w:val="nil"/>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rPr>
              <w:t>10.153 d</w:t>
            </w:r>
          </w:p>
        </w:tc>
        <w:tc>
          <w:tcPr>
            <w:tcW w:w="2503" w:type="dxa"/>
            <w:tcBorders>
              <w:top w:val="nil"/>
              <w:bottom w:val="nil"/>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rPr>
              <w:t>9.953 b</w:t>
            </w:r>
          </w:p>
        </w:tc>
      </w:tr>
      <w:tr w:rsidR="00DD21CA">
        <w:tc>
          <w:tcPr>
            <w:tcW w:w="1914" w:type="dxa"/>
            <w:tcBorders>
              <w:top w:val="nil"/>
              <w:bottom w:val="nil"/>
            </w:tcBorders>
          </w:tcPr>
          <w:p w:rsidR="00DD21CA" w:rsidRDefault="00DD21CA">
            <w:pPr>
              <w:pStyle w:val="Body"/>
              <w:spacing w:after="0"/>
              <w:rPr>
                <w:rFonts w:ascii="Arial" w:hAnsi="Arial" w:cs="Arial"/>
                <w:sz w:val="20"/>
                <w:szCs w:val="20"/>
                <w:lang w:val="en-MY" w:eastAsia="zh-CN"/>
              </w:rPr>
            </w:pPr>
          </w:p>
        </w:tc>
        <w:tc>
          <w:tcPr>
            <w:tcW w:w="1914" w:type="dxa"/>
            <w:tcBorders>
              <w:top w:val="nil"/>
              <w:bottom w:val="nil"/>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eastAsia="zh-CN"/>
              </w:rPr>
              <w:t>OD60</w:t>
            </w:r>
          </w:p>
        </w:tc>
        <w:tc>
          <w:tcPr>
            <w:tcW w:w="2503" w:type="dxa"/>
            <w:tcBorders>
              <w:top w:val="nil"/>
              <w:bottom w:val="nil"/>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rPr>
              <w:t>12.929 d</w:t>
            </w:r>
          </w:p>
        </w:tc>
        <w:tc>
          <w:tcPr>
            <w:tcW w:w="2503" w:type="dxa"/>
            <w:tcBorders>
              <w:top w:val="nil"/>
              <w:bottom w:val="nil"/>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rPr>
              <w:t>3.285 d</w:t>
            </w:r>
          </w:p>
        </w:tc>
      </w:tr>
      <w:tr w:rsidR="00DD21CA">
        <w:tc>
          <w:tcPr>
            <w:tcW w:w="1914" w:type="dxa"/>
            <w:tcBorders>
              <w:top w:val="nil"/>
              <w:bottom w:val="nil"/>
            </w:tcBorders>
          </w:tcPr>
          <w:p w:rsidR="00DD21CA" w:rsidRDefault="00DD21CA">
            <w:pPr>
              <w:pStyle w:val="Body"/>
              <w:spacing w:after="0"/>
              <w:rPr>
                <w:rFonts w:ascii="Arial" w:hAnsi="Arial" w:cs="Arial"/>
                <w:sz w:val="20"/>
                <w:szCs w:val="20"/>
                <w:lang w:val="en-MY" w:eastAsia="zh-CN"/>
              </w:rPr>
            </w:pPr>
          </w:p>
        </w:tc>
        <w:tc>
          <w:tcPr>
            <w:tcW w:w="1914" w:type="dxa"/>
            <w:tcBorders>
              <w:top w:val="nil"/>
              <w:bottom w:val="nil"/>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eastAsia="zh-CN"/>
              </w:rPr>
              <w:t>OD70</w:t>
            </w:r>
          </w:p>
        </w:tc>
        <w:tc>
          <w:tcPr>
            <w:tcW w:w="2503" w:type="dxa"/>
            <w:tcBorders>
              <w:top w:val="nil"/>
              <w:bottom w:val="nil"/>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rPr>
              <w:t>5.676 b</w:t>
            </w:r>
          </w:p>
        </w:tc>
        <w:tc>
          <w:tcPr>
            <w:tcW w:w="2503" w:type="dxa"/>
            <w:tcBorders>
              <w:top w:val="nil"/>
              <w:bottom w:val="nil"/>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rPr>
              <w:t>1.062 d</w:t>
            </w:r>
          </w:p>
        </w:tc>
      </w:tr>
      <w:tr w:rsidR="00DD21CA">
        <w:tc>
          <w:tcPr>
            <w:tcW w:w="1914" w:type="dxa"/>
            <w:tcBorders>
              <w:top w:val="nil"/>
              <w:bottom w:val="nil"/>
            </w:tcBorders>
          </w:tcPr>
          <w:p w:rsidR="00DD21CA" w:rsidRDefault="00DD21CA">
            <w:pPr>
              <w:pStyle w:val="Body"/>
              <w:spacing w:after="0"/>
              <w:rPr>
                <w:rFonts w:ascii="Arial" w:hAnsi="Arial" w:cs="Arial"/>
                <w:sz w:val="20"/>
                <w:szCs w:val="20"/>
                <w:lang w:val="en-MY" w:eastAsia="zh-CN"/>
              </w:rPr>
            </w:pPr>
          </w:p>
        </w:tc>
        <w:tc>
          <w:tcPr>
            <w:tcW w:w="1914" w:type="dxa"/>
            <w:tcBorders>
              <w:top w:val="nil"/>
              <w:bottom w:val="nil"/>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eastAsia="zh-CN"/>
              </w:rPr>
              <w:t>AD</w:t>
            </w:r>
          </w:p>
        </w:tc>
        <w:tc>
          <w:tcPr>
            <w:tcW w:w="2503" w:type="dxa"/>
            <w:tcBorders>
              <w:top w:val="nil"/>
              <w:bottom w:val="nil"/>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rPr>
              <w:t>8.778 cd</w:t>
            </w:r>
          </w:p>
        </w:tc>
        <w:tc>
          <w:tcPr>
            <w:tcW w:w="2503" w:type="dxa"/>
            <w:tcBorders>
              <w:top w:val="nil"/>
              <w:bottom w:val="nil"/>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rPr>
              <w:t>6.539 c</w:t>
            </w:r>
          </w:p>
        </w:tc>
      </w:tr>
      <w:tr w:rsidR="00DD21CA">
        <w:tc>
          <w:tcPr>
            <w:tcW w:w="1914" w:type="dxa"/>
            <w:tcBorders>
              <w:top w:val="nil"/>
              <w:bottom w:val="single" w:sz="18" w:space="0" w:color="auto"/>
            </w:tcBorders>
          </w:tcPr>
          <w:p w:rsidR="00DD21CA" w:rsidRDefault="00DD21CA">
            <w:pPr>
              <w:pStyle w:val="Body"/>
              <w:spacing w:after="0"/>
              <w:rPr>
                <w:rFonts w:ascii="Arial" w:hAnsi="Arial" w:cs="Arial"/>
                <w:sz w:val="20"/>
                <w:szCs w:val="20"/>
                <w:lang w:val="en-MY" w:eastAsia="zh-CN"/>
              </w:rPr>
            </w:pPr>
          </w:p>
        </w:tc>
        <w:tc>
          <w:tcPr>
            <w:tcW w:w="1914" w:type="dxa"/>
            <w:tcBorders>
              <w:top w:val="nil"/>
              <w:bottom w:val="single" w:sz="18" w:space="0" w:color="auto"/>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eastAsia="zh-CN"/>
              </w:rPr>
              <w:t>FD</w:t>
            </w:r>
          </w:p>
        </w:tc>
        <w:tc>
          <w:tcPr>
            <w:tcW w:w="2503" w:type="dxa"/>
            <w:tcBorders>
              <w:top w:val="nil"/>
              <w:bottom w:val="single" w:sz="18" w:space="0" w:color="auto"/>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rPr>
              <w:t>2.453 a</w:t>
            </w:r>
          </w:p>
        </w:tc>
        <w:tc>
          <w:tcPr>
            <w:tcW w:w="2503" w:type="dxa"/>
            <w:tcBorders>
              <w:top w:val="nil"/>
              <w:bottom w:val="single" w:sz="18" w:space="0" w:color="auto"/>
            </w:tcBorders>
          </w:tcPr>
          <w:p w:rsidR="00DD21CA" w:rsidRDefault="00EF432E">
            <w:pPr>
              <w:pStyle w:val="Body"/>
              <w:spacing w:after="0"/>
              <w:rPr>
                <w:rFonts w:ascii="Arial" w:hAnsi="Arial" w:cs="Arial"/>
                <w:sz w:val="20"/>
                <w:szCs w:val="20"/>
                <w:lang w:val="en-MY" w:eastAsia="zh-CN"/>
              </w:rPr>
            </w:pPr>
            <w:r>
              <w:rPr>
                <w:rFonts w:ascii="Arial" w:hAnsi="Arial" w:cs="Arial"/>
                <w:sz w:val="20"/>
                <w:szCs w:val="20"/>
                <w:lang w:val="en-MY"/>
              </w:rPr>
              <w:t>10.723 b</w:t>
            </w:r>
          </w:p>
        </w:tc>
      </w:tr>
    </w:tbl>
    <w:p w:rsidR="00DD21CA" w:rsidRDefault="00EF432E">
      <w:pPr>
        <w:pStyle w:val="Body"/>
        <w:spacing w:after="0"/>
        <w:rPr>
          <w:rFonts w:ascii="Arial" w:hAnsi="Arial" w:cs="Arial"/>
          <w:i/>
          <w:iCs/>
          <w:sz w:val="18"/>
          <w:szCs w:val="18"/>
          <w:lang w:val="en-MY"/>
        </w:rPr>
      </w:pPr>
      <w:r>
        <w:rPr>
          <w:rFonts w:ascii="Arial" w:hAnsi="Arial" w:cs="Arial"/>
          <w:i/>
          <w:iCs/>
          <w:sz w:val="18"/>
          <w:szCs w:val="18"/>
          <w:lang w:eastAsia="zh-CN"/>
        </w:rPr>
        <w:t>*</w:t>
      </w:r>
      <w:r>
        <w:rPr>
          <w:rFonts w:ascii="Arial" w:hAnsi="Arial" w:cs="Arial"/>
          <w:i/>
          <w:iCs/>
          <w:sz w:val="18"/>
          <w:szCs w:val="18"/>
          <w:lang w:val="en-MY" w:eastAsia="zh-CN"/>
        </w:rPr>
        <w:t>O40: oven drying at 40°C; O50: oven drying at 50°C; O60: oven drying at 60°C; O70: oven drying at 70°C; AD: ambient drying; FD: freeze drying; means in each column marked by the same letter are not significantly different at P&lt;0.05 according to Tukey’s test.</w:t>
      </w:r>
      <w:r>
        <w:rPr>
          <w:rFonts w:ascii="Arial" w:hAnsi="Arial" w:cs="Arial"/>
          <w:i/>
          <w:iCs/>
          <w:sz w:val="18"/>
          <w:szCs w:val="18"/>
          <w:lang w:val="en-MY"/>
        </w:rPr>
        <w:t xml:space="preserve"> </w:t>
      </w:r>
    </w:p>
    <w:p w:rsidR="00DD21CA" w:rsidRDefault="00DD21CA">
      <w:pPr>
        <w:pStyle w:val="Body"/>
        <w:spacing w:after="0"/>
        <w:rPr>
          <w:rFonts w:ascii="Arial" w:hAnsi="Arial" w:cs="Arial"/>
          <w:lang w:val="en-MY"/>
        </w:rPr>
      </w:pPr>
    </w:p>
    <w:p w:rsidR="00DD21CA" w:rsidRDefault="00DD21CA">
      <w:pPr>
        <w:pStyle w:val="Body"/>
        <w:spacing w:after="0"/>
        <w:rPr>
          <w:rFonts w:ascii="Arial" w:hAnsi="Arial" w:cs="Arial"/>
          <w:lang w:val="en-MY"/>
        </w:rPr>
      </w:pPr>
    </w:p>
    <w:p w:rsidR="00DD21CA" w:rsidRDefault="00EF432E">
      <w:pPr>
        <w:pStyle w:val="Body"/>
        <w:spacing w:after="0"/>
        <w:rPr>
          <w:rFonts w:ascii="Arial" w:hAnsi="Arial" w:cs="Arial"/>
          <w:b/>
          <w:bCs/>
          <w:sz w:val="22"/>
          <w:szCs w:val="22"/>
          <w:lang w:val="en-MY"/>
        </w:rPr>
      </w:pPr>
      <w:r>
        <w:rPr>
          <w:rFonts w:ascii="Arial" w:hAnsi="Arial" w:cs="Arial"/>
          <w:b/>
          <w:bCs/>
          <w:sz w:val="22"/>
          <w:szCs w:val="22"/>
          <w:lang w:val="en-MY"/>
        </w:rPr>
        <w:t>3.2 Phytochemical content</w:t>
      </w:r>
    </w:p>
    <w:p w:rsidR="00DD21CA" w:rsidRDefault="00DD21CA">
      <w:pPr>
        <w:pStyle w:val="Body"/>
        <w:spacing w:after="0"/>
        <w:rPr>
          <w:rFonts w:ascii="Arial" w:hAnsi="Arial" w:cs="Arial"/>
          <w:b/>
          <w:bCs/>
          <w:sz w:val="22"/>
          <w:szCs w:val="22"/>
          <w:lang w:val="en-MY"/>
        </w:rPr>
      </w:pPr>
    </w:p>
    <w:p w:rsidR="00DD21CA" w:rsidRDefault="00EF432E">
      <w:pPr>
        <w:tabs>
          <w:tab w:val="left" w:pos="1080"/>
        </w:tabs>
        <w:jc w:val="both"/>
        <w:rPr>
          <w:rFonts w:ascii="Arial" w:hAnsi="Arial" w:cs="Arial"/>
          <w:lang w:val="en-MY" w:eastAsia="zh-CN"/>
        </w:rPr>
      </w:pPr>
      <w:r>
        <w:rPr>
          <w:rFonts w:ascii="Arial" w:hAnsi="Arial" w:cs="Arial"/>
          <w:lang w:val="en-MY" w:eastAsia="zh-CN"/>
        </w:rPr>
        <w:t>Phenolic compounds, including flavonoids, are synthesized through the phenylpropanoid pathway and represent one of the most abundant and widely distributed classes of plant secondary metabolites (</w:t>
      </w:r>
      <w:proofErr w:type="spellStart"/>
      <w:r>
        <w:rPr>
          <w:rFonts w:ascii="Arial" w:hAnsi="Arial" w:cs="Arial"/>
          <w:lang w:val="en-MY" w:eastAsia="zh-CN"/>
        </w:rPr>
        <w:t>Passo</w:t>
      </w:r>
      <w:proofErr w:type="spellEnd"/>
      <w:r>
        <w:rPr>
          <w:rFonts w:ascii="Arial" w:hAnsi="Arial" w:cs="Arial"/>
          <w:lang w:val="en-MY" w:eastAsia="zh-CN"/>
        </w:rPr>
        <w:t xml:space="preserve"> </w:t>
      </w:r>
      <w:proofErr w:type="spellStart"/>
      <w:r>
        <w:rPr>
          <w:rFonts w:ascii="Arial" w:hAnsi="Arial" w:cs="Arial"/>
          <w:lang w:val="en-MY" w:eastAsia="zh-CN"/>
        </w:rPr>
        <w:t>Tsamo</w:t>
      </w:r>
      <w:proofErr w:type="spellEnd"/>
      <w:r>
        <w:rPr>
          <w:rFonts w:ascii="Arial" w:hAnsi="Arial" w:cs="Arial"/>
          <w:lang w:val="en-MY" w:eastAsia="zh-CN"/>
        </w:rPr>
        <w:t xml:space="preserve"> et al.</w:t>
      </w:r>
      <w:r>
        <w:rPr>
          <w:rFonts w:ascii="Arial" w:hAnsi="Arial" w:cs="Arial"/>
          <w:lang w:eastAsia="zh-CN"/>
        </w:rPr>
        <w:t>,</w:t>
      </w:r>
      <w:r>
        <w:rPr>
          <w:rFonts w:ascii="Arial" w:hAnsi="Arial" w:cs="Arial"/>
          <w:lang w:val="en-MY" w:eastAsia="zh-CN"/>
        </w:rPr>
        <w:t xml:space="preserve"> 2015). To evaluate the effect of different drying methods and extraction solvents on the phytochemical composition of </w:t>
      </w:r>
      <w:r>
        <w:rPr>
          <w:rFonts w:ascii="Arial" w:hAnsi="Arial" w:cs="Arial"/>
          <w:i/>
          <w:iCs/>
          <w:lang w:val="en-MY" w:eastAsia="zh-CN"/>
        </w:rPr>
        <w:t xml:space="preserve">P. minor, </w:t>
      </w:r>
      <w:r>
        <w:rPr>
          <w:rFonts w:ascii="Arial" w:hAnsi="Arial" w:cs="Arial"/>
          <w:lang w:val="en-MY" w:eastAsia="zh-CN"/>
        </w:rPr>
        <w:t>total phenolic content (TPC) and total flavonoid content (TFC) were quantified.</w:t>
      </w:r>
    </w:p>
    <w:p w:rsidR="00DD21CA" w:rsidRDefault="00DD21CA">
      <w:pPr>
        <w:tabs>
          <w:tab w:val="left" w:pos="1080"/>
        </w:tabs>
        <w:jc w:val="both"/>
        <w:rPr>
          <w:rFonts w:ascii="Arial" w:hAnsi="Arial" w:cs="Arial"/>
          <w:lang w:val="en-MY" w:eastAsia="zh-CN"/>
        </w:rPr>
      </w:pPr>
    </w:p>
    <w:p w:rsidR="00DD21CA" w:rsidRDefault="00EF432E">
      <w:pPr>
        <w:tabs>
          <w:tab w:val="left" w:pos="1080"/>
        </w:tabs>
        <w:jc w:val="both"/>
        <w:rPr>
          <w:rFonts w:ascii="Arial" w:hAnsi="Arial" w:cs="Arial"/>
          <w:lang w:val="en-MY" w:eastAsia="zh-CN"/>
        </w:rPr>
      </w:pPr>
      <w:r>
        <w:rPr>
          <w:rFonts w:ascii="Arial" w:hAnsi="Arial" w:cs="Arial"/>
          <w:lang w:val="en-MY" w:eastAsia="zh-CN"/>
        </w:rPr>
        <w:t xml:space="preserve">As shown in Table 2, both the drying method and the choice of extraction solvent significantly (P&lt;0.05) affected TPC and TFC of </w:t>
      </w:r>
      <w:r>
        <w:rPr>
          <w:rFonts w:ascii="Arial" w:hAnsi="Arial" w:cs="Arial"/>
          <w:i/>
          <w:iCs/>
          <w:lang w:val="en-MY" w:eastAsia="zh-CN"/>
        </w:rPr>
        <w:t>P. minor</w:t>
      </w:r>
      <w:r>
        <w:rPr>
          <w:rFonts w:ascii="Arial" w:hAnsi="Arial" w:cs="Arial"/>
          <w:lang w:val="en-MY" w:eastAsia="zh-CN"/>
        </w:rPr>
        <w:t xml:space="preserve"> extracts. Among the methanolic extracts, OD70, FD and OD40 produced the highest TPC (10.812, 10.674 and 10.045 mg GAE/g, respectively). These results indicate that while extreme low temperatures (FD) effectively preserve phenolics, certain high temperature conditions like OD70 may also facilitate the release or transformation of heat stable phenolic compounds. This is in line with Justine et al. (2019) who reported that thermal drying can enhance the release of cell wall-bound phenolics through the breakdown of cellular structures, thus improving the extract yield. Additionally, thermal processing can inactivate polyphenol oxidase, thereby contributing to the preservation of these compounds. However, in the present study, OD70 was notably less effective in preserving flavonoids (2.497 mg RE/g), highlighting their thermolabile </w:t>
      </w:r>
      <w:r>
        <w:rPr>
          <w:rFonts w:ascii="Arial" w:hAnsi="Arial" w:cs="Arial"/>
          <w:lang w:val="en-MY" w:eastAsia="zh-CN"/>
        </w:rPr>
        <w:lastRenderedPageBreak/>
        <w:t>nature and sensitivity to high temperatures. Justine et al. (2019) also noted that flavonoids are particularly sensitive to thermal degradation during drying. The highest TFC was recorded in low temperature oven drying, OD40 (7.244 mg RE/g), followed by AD (5.408 mg RE/g) and FD (5.171 mg RE/g), indicating that milder drying conditions are preferable for retaining flavonoid compounds. This is further supported by Saifullah et al. (2019), who demonstrated that freeze drying of lemon myrtle (</w:t>
      </w:r>
      <w:proofErr w:type="spellStart"/>
      <w:r>
        <w:rPr>
          <w:rFonts w:ascii="Arial" w:hAnsi="Arial" w:cs="Arial"/>
          <w:i/>
          <w:iCs/>
          <w:lang w:val="en-MY" w:eastAsia="zh-CN"/>
        </w:rPr>
        <w:t>Backhousia</w:t>
      </w:r>
      <w:proofErr w:type="spellEnd"/>
      <w:r>
        <w:rPr>
          <w:rFonts w:ascii="Arial" w:hAnsi="Arial" w:cs="Arial"/>
          <w:i/>
          <w:iCs/>
          <w:lang w:val="en-MY" w:eastAsia="zh-CN"/>
        </w:rPr>
        <w:t xml:space="preserve"> </w:t>
      </w:r>
      <w:proofErr w:type="spellStart"/>
      <w:r>
        <w:rPr>
          <w:rFonts w:ascii="Arial" w:hAnsi="Arial" w:cs="Arial"/>
          <w:i/>
          <w:iCs/>
          <w:lang w:val="en-MY" w:eastAsia="zh-CN"/>
        </w:rPr>
        <w:t>citriodora</w:t>
      </w:r>
      <w:proofErr w:type="spellEnd"/>
      <w:r>
        <w:rPr>
          <w:rFonts w:ascii="Arial" w:hAnsi="Arial" w:cs="Arial"/>
          <w:lang w:val="en-MY" w:eastAsia="zh-CN"/>
        </w:rPr>
        <w:t>) leaves retained higher TFC and antioxidant activity compared to hot air drying at 50°C, 70°C and 90°C, as well as vacuum, microwave, sun and shade drying methods.</w:t>
      </w:r>
    </w:p>
    <w:p w:rsidR="00DD21CA" w:rsidRDefault="00DD21CA">
      <w:pPr>
        <w:tabs>
          <w:tab w:val="left" w:pos="1080"/>
        </w:tabs>
        <w:jc w:val="both"/>
        <w:rPr>
          <w:rFonts w:ascii="Arial" w:hAnsi="Arial" w:cs="Arial"/>
          <w:lang w:val="en-MY" w:eastAsia="zh-CN"/>
        </w:rPr>
      </w:pPr>
    </w:p>
    <w:p w:rsidR="00DD21CA" w:rsidRDefault="00EF432E">
      <w:pPr>
        <w:tabs>
          <w:tab w:val="left" w:pos="1080"/>
        </w:tabs>
        <w:jc w:val="both"/>
        <w:rPr>
          <w:rFonts w:ascii="Arial" w:hAnsi="Arial" w:cs="Arial"/>
          <w:lang w:val="en-MY" w:eastAsia="zh-CN"/>
        </w:rPr>
      </w:pPr>
      <w:r>
        <w:rPr>
          <w:rFonts w:ascii="Arial" w:hAnsi="Arial" w:cs="Arial"/>
          <w:lang w:val="en-MY" w:eastAsia="zh-CN"/>
        </w:rPr>
        <w:t xml:space="preserve">A similar pattern was observed in aqueous extracts, where both OD40 and FD again demonstrated effective preservation of TPC (13.693 and 13.648 mg GAE/g, respectively) (Table 2). Consistent with the FRAP results, aqueous extracts exhibited higher TPC levels than their methanolic counterparts, suggesting that phenolic compounds may play a central role in the observed antioxidant activity. This finding aligns with Pham et al. (2015), who reported that water was the most effective solvent for extracting phenolics from medicinal plant </w:t>
      </w:r>
      <w:proofErr w:type="spellStart"/>
      <w:r>
        <w:rPr>
          <w:rFonts w:ascii="Arial" w:hAnsi="Arial" w:cs="Arial"/>
          <w:i/>
          <w:iCs/>
          <w:lang w:val="en-MY" w:eastAsia="zh-CN"/>
        </w:rPr>
        <w:t>Helicteres</w:t>
      </w:r>
      <w:proofErr w:type="spellEnd"/>
      <w:r>
        <w:rPr>
          <w:rFonts w:ascii="Arial" w:hAnsi="Arial" w:cs="Arial"/>
          <w:i/>
          <w:iCs/>
          <w:lang w:val="en-MY" w:eastAsia="zh-CN"/>
        </w:rPr>
        <w:t xml:space="preserve"> </w:t>
      </w:r>
      <w:proofErr w:type="spellStart"/>
      <w:r>
        <w:rPr>
          <w:rFonts w:ascii="Arial" w:hAnsi="Arial" w:cs="Arial"/>
          <w:i/>
          <w:iCs/>
          <w:lang w:val="en-MY" w:eastAsia="zh-CN"/>
        </w:rPr>
        <w:t>hirsuta</w:t>
      </w:r>
      <w:proofErr w:type="spellEnd"/>
      <w:r>
        <w:rPr>
          <w:rFonts w:ascii="Arial" w:hAnsi="Arial" w:cs="Arial"/>
          <w:i/>
          <w:iCs/>
          <w:lang w:val="en-MY" w:eastAsia="zh-CN"/>
        </w:rPr>
        <w:t xml:space="preserve"> </w:t>
      </w:r>
      <w:r>
        <w:rPr>
          <w:rFonts w:ascii="Arial" w:hAnsi="Arial" w:cs="Arial"/>
          <w:lang w:val="en-MY" w:eastAsia="zh-CN"/>
        </w:rPr>
        <w:t xml:space="preserve">leaves, followed by methanol. The higher affinity of these compounds for polar solvents likely accounts for this extraction efficiency. OD40 also yielded the highest TFC (3.882 mg RE/g), followed closely by FD (3.831 mg RE/g). These phytochemical trends are consistent with the antioxidant results, where extracts obtained through OD40 and FD showed stronger antioxidant activity, compared to other drying treatments. These findings </w:t>
      </w:r>
      <w:proofErr w:type="gramStart"/>
      <w:r>
        <w:rPr>
          <w:rFonts w:ascii="Arial" w:hAnsi="Arial" w:cs="Arial"/>
          <w:lang w:val="en-MY" w:eastAsia="zh-CN"/>
        </w:rPr>
        <w:t>are in agreement</w:t>
      </w:r>
      <w:proofErr w:type="gramEnd"/>
      <w:r>
        <w:rPr>
          <w:rFonts w:ascii="Arial" w:hAnsi="Arial" w:cs="Arial"/>
          <w:lang w:val="en-MY" w:eastAsia="zh-CN"/>
        </w:rPr>
        <w:t xml:space="preserve"> with </w:t>
      </w:r>
      <w:proofErr w:type="spellStart"/>
      <w:r>
        <w:rPr>
          <w:rFonts w:ascii="Arial" w:hAnsi="Arial" w:cs="Arial"/>
          <w:lang w:val="en-MY" w:eastAsia="zh-CN"/>
        </w:rPr>
        <w:t>Elshaafi</w:t>
      </w:r>
      <w:proofErr w:type="spellEnd"/>
      <w:r>
        <w:rPr>
          <w:rFonts w:ascii="Arial" w:hAnsi="Arial" w:cs="Arial"/>
          <w:lang w:val="en-MY" w:eastAsia="zh-CN"/>
        </w:rPr>
        <w:t xml:space="preserve"> et al. (2020) who reported that drying fig (</w:t>
      </w:r>
      <w:r>
        <w:rPr>
          <w:rFonts w:ascii="Arial" w:hAnsi="Arial" w:cs="Arial"/>
          <w:i/>
          <w:iCs/>
          <w:lang w:val="en-MY" w:eastAsia="zh-CN"/>
        </w:rPr>
        <w:t xml:space="preserve">F. </w:t>
      </w:r>
      <w:proofErr w:type="spellStart"/>
      <w:r>
        <w:rPr>
          <w:rFonts w:ascii="Arial" w:hAnsi="Arial" w:cs="Arial"/>
          <w:i/>
          <w:iCs/>
          <w:lang w:val="en-MY" w:eastAsia="zh-CN"/>
        </w:rPr>
        <w:t>carica</w:t>
      </w:r>
      <w:proofErr w:type="spellEnd"/>
      <w:r>
        <w:rPr>
          <w:rFonts w:ascii="Arial" w:hAnsi="Arial" w:cs="Arial"/>
          <w:lang w:val="en-MY" w:eastAsia="zh-CN"/>
        </w:rPr>
        <w:t xml:space="preserve">) leaves at 40°C exhibited the strongest correlation between TPC, TFC and antioxidant capacity. Conversely, samples subjected to higher oven temperatures exhibited substantial reductions in TPC and TFC, which correlated with a weakened antioxidant capacity. While </w:t>
      </w:r>
      <w:proofErr w:type="spellStart"/>
      <w:r>
        <w:rPr>
          <w:rFonts w:ascii="Arial" w:hAnsi="Arial" w:cs="Arial"/>
          <w:lang w:val="en-MY" w:eastAsia="zh-CN"/>
        </w:rPr>
        <w:t>Elshaafi</w:t>
      </w:r>
      <w:proofErr w:type="spellEnd"/>
      <w:r>
        <w:rPr>
          <w:rFonts w:ascii="Arial" w:hAnsi="Arial" w:cs="Arial"/>
          <w:lang w:val="en-MY" w:eastAsia="zh-CN"/>
        </w:rPr>
        <w:t xml:space="preserve"> et al. (2020) found that oven drying at 40°C best preserved the antioxidant properties, Saifullah et al. (2019) reported that freeze drying yielded the highest phytochemical content in lemon myrtle (</w:t>
      </w:r>
      <w:r>
        <w:rPr>
          <w:rFonts w:ascii="Arial" w:hAnsi="Arial" w:cs="Arial"/>
          <w:i/>
          <w:iCs/>
          <w:lang w:val="en-MY" w:eastAsia="zh-CN"/>
        </w:rPr>
        <w:t xml:space="preserve">B. </w:t>
      </w:r>
      <w:proofErr w:type="spellStart"/>
      <w:r>
        <w:rPr>
          <w:rFonts w:ascii="Arial" w:hAnsi="Arial" w:cs="Arial"/>
          <w:i/>
          <w:iCs/>
          <w:lang w:val="en-MY" w:eastAsia="zh-CN"/>
        </w:rPr>
        <w:t>citriodora</w:t>
      </w:r>
      <w:proofErr w:type="spellEnd"/>
      <w:r>
        <w:rPr>
          <w:rFonts w:ascii="Arial" w:hAnsi="Arial" w:cs="Arial"/>
          <w:lang w:val="en-MY" w:eastAsia="zh-CN"/>
        </w:rPr>
        <w:t>) leaves. Although the optimal methods differed, both studies emphasize the effectiveness of gentle drying approaches in preserving heat-sensitive phytochemical compounds.</w:t>
      </w:r>
    </w:p>
    <w:p w:rsidR="00DD21CA" w:rsidRDefault="00DD21CA">
      <w:pPr>
        <w:tabs>
          <w:tab w:val="left" w:pos="1080"/>
        </w:tabs>
        <w:jc w:val="both"/>
        <w:rPr>
          <w:rFonts w:ascii="Arial" w:hAnsi="Arial" w:cs="Arial"/>
          <w:lang w:val="en-MY" w:eastAsia="zh-CN"/>
        </w:rPr>
      </w:pPr>
    </w:p>
    <w:p w:rsidR="00DD21CA" w:rsidRDefault="00EF432E">
      <w:pPr>
        <w:tabs>
          <w:tab w:val="left" w:pos="1080"/>
        </w:tabs>
        <w:jc w:val="both"/>
        <w:rPr>
          <w:rFonts w:ascii="Arial" w:hAnsi="Arial" w:cs="Arial"/>
          <w:lang w:val="en-MY" w:eastAsia="zh-CN"/>
        </w:rPr>
      </w:pPr>
      <w:r>
        <w:rPr>
          <w:rFonts w:ascii="Arial" w:hAnsi="Arial" w:cs="Arial"/>
          <w:lang w:val="en-MY" w:eastAsia="zh-CN"/>
        </w:rPr>
        <w:t xml:space="preserve">Overall, low temperature oven drying (40°C) and freeze drying emerged as the most </w:t>
      </w:r>
      <w:proofErr w:type="spellStart"/>
      <w:r>
        <w:rPr>
          <w:rFonts w:ascii="Arial" w:hAnsi="Arial" w:cs="Arial"/>
          <w:lang w:val="en-MY" w:eastAsia="zh-CN"/>
        </w:rPr>
        <w:t>favorable</w:t>
      </w:r>
      <w:proofErr w:type="spellEnd"/>
      <w:r>
        <w:rPr>
          <w:rFonts w:ascii="Arial" w:hAnsi="Arial" w:cs="Arial"/>
          <w:lang w:val="en-MY" w:eastAsia="zh-CN"/>
        </w:rPr>
        <w:t xml:space="preserve"> techniques for preserving both phenolics and flavonoids in</w:t>
      </w:r>
      <w:r>
        <w:rPr>
          <w:rFonts w:ascii="Arial" w:hAnsi="Arial" w:cs="Arial"/>
          <w:i/>
          <w:iCs/>
          <w:lang w:val="en-MY" w:eastAsia="zh-CN"/>
        </w:rPr>
        <w:t xml:space="preserve"> P. minor. </w:t>
      </w:r>
      <w:r>
        <w:rPr>
          <w:rFonts w:ascii="Arial" w:hAnsi="Arial" w:cs="Arial"/>
          <w:lang w:val="en-MY" w:eastAsia="zh-CN"/>
        </w:rPr>
        <w:t xml:space="preserve">These methods were particularly effective in retaining thermolabile bioactive compounds, especially when paired with polar solvents like 70% methanol </w:t>
      </w:r>
      <w:proofErr w:type="gramStart"/>
      <w:r>
        <w:rPr>
          <w:rFonts w:ascii="Arial" w:hAnsi="Arial" w:cs="Arial"/>
          <w:lang w:val="en-MY" w:eastAsia="zh-CN"/>
        </w:rPr>
        <w:t>an</w:t>
      </w:r>
      <w:proofErr w:type="gramEnd"/>
      <w:r>
        <w:rPr>
          <w:rFonts w:ascii="Arial" w:hAnsi="Arial" w:cs="Arial"/>
          <w:lang w:val="en-MY" w:eastAsia="zh-CN"/>
        </w:rPr>
        <w:t xml:space="preserve"> distilled water, thereby optimizing the phytochemical yield of the extracts.</w:t>
      </w:r>
    </w:p>
    <w:p w:rsidR="00DD21CA" w:rsidRDefault="00DD21CA">
      <w:pPr>
        <w:tabs>
          <w:tab w:val="left" w:pos="1080"/>
        </w:tabs>
        <w:jc w:val="both"/>
        <w:rPr>
          <w:rFonts w:ascii="Arial" w:hAnsi="Arial" w:cs="Arial"/>
          <w:lang w:val="en-MY" w:eastAsia="zh-CN"/>
        </w:rPr>
      </w:pPr>
    </w:p>
    <w:p w:rsidR="00DD21CA" w:rsidRDefault="00DD21CA">
      <w:pPr>
        <w:tabs>
          <w:tab w:val="left" w:pos="1080"/>
        </w:tabs>
        <w:jc w:val="both"/>
        <w:rPr>
          <w:rFonts w:ascii="Arial" w:hAnsi="Arial" w:cs="Arial"/>
          <w:lang w:val="en-MY" w:eastAsia="zh-CN"/>
        </w:rPr>
      </w:pPr>
    </w:p>
    <w:p w:rsidR="00DD21CA" w:rsidRDefault="00EF432E">
      <w:pPr>
        <w:pStyle w:val="Body"/>
        <w:spacing w:after="0"/>
        <w:rPr>
          <w:rFonts w:ascii="Arial" w:hAnsi="Arial"/>
          <w:b/>
          <w:lang w:val="en-MY" w:eastAsia="zh-CN"/>
        </w:rPr>
      </w:pPr>
      <w:r>
        <w:rPr>
          <w:rFonts w:ascii="Arial" w:hAnsi="Arial"/>
          <w:b/>
          <w:lang w:val="en-MY"/>
        </w:rPr>
        <w:t xml:space="preserve">Table 2. </w:t>
      </w:r>
      <w:r>
        <w:rPr>
          <w:rFonts w:ascii="Arial" w:hAnsi="Arial"/>
          <w:b/>
          <w:lang w:val="en-MY" w:eastAsia="zh-CN"/>
        </w:rPr>
        <w:t xml:space="preserve">Effect of drying methods and extraction solvents on the phytochemical content of </w:t>
      </w:r>
      <w:r>
        <w:rPr>
          <w:rFonts w:ascii="Arial" w:hAnsi="Arial"/>
          <w:b/>
          <w:i/>
          <w:iCs/>
          <w:lang w:val="en-MY" w:eastAsia="zh-CN"/>
        </w:rPr>
        <w:t>P. minor</w:t>
      </w:r>
      <w:r>
        <w:rPr>
          <w:rFonts w:ascii="Arial" w:hAnsi="Arial"/>
          <w:b/>
          <w:lang w:val="en-MY" w:eastAsia="zh-CN"/>
        </w:rPr>
        <w:t xml:space="preserve"> extracts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1914"/>
        <w:gridCol w:w="2503"/>
        <w:gridCol w:w="2503"/>
      </w:tblGrid>
      <w:tr w:rsidR="00DD21CA">
        <w:tc>
          <w:tcPr>
            <w:tcW w:w="3828" w:type="dxa"/>
            <w:gridSpan w:val="2"/>
            <w:tcBorders>
              <w:top w:val="single" w:sz="18" w:space="0" w:color="auto"/>
              <w:bottom w:val="single" w:sz="4" w:space="0" w:color="auto"/>
            </w:tcBorders>
          </w:tcPr>
          <w:p w:rsidR="00DD21CA" w:rsidRDefault="00DD21CA">
            <w:pPr>
              <w:pStyle w:val="Body"/>
              <w:spacing w:after="0"/>
              <w:rPr>
                <w:rFonts w:ascii="Arial" w:hAnsi="Arial"/>
                <w:bCs/>
                <w:lang w:val="en-MY"/>
              </w:rPr>
            </w:pPr>
          </w:p>
          <w:p w:rsidR="00DD21CA" w:rsidRDefault="00EF432E">
            <w:pPr>
              <w:pStyle w:val="Body"/>
              <w:spacing w:after="0"/>
              <w:rPr>
                <w:rFonts w:ascii="Arial" w:hAnsi="Arial"/>
                <w:bCs/>
                <w:lang w:val="en-MY" w:eastAsia="zh-CN"/>
              </w:rPr>
            </w:pPr>
            <w:r>
              <w:rPr>
                <w:rFonts w:ascii="Arial" w:hAnsi="Arial"/>
                <w:bCs/>
                <w:lang w:val="en-MY"/>
              </w:rPr>
              <w:t>Sample</w:t>
            </w:r>
          </w:p>
        </w:tc>
        <w:tc>
          <w:tcPr>
            <w:tcW w:w="2503" w:type="dxa"/>
            <w:tcBorders>
              <w:top w:val="single" w:sz="18" w:space="0" w:color="auto"/>
              <w:bottom w:val="single" w:sz="4" w:space="0" w:color="auto"/>
            </w:tcBorders>
          </w:tcPr>
          <w:p w:rsidR="00DD21CA" w:rsidRDefault="00EF432E">
            <w:pPr>
              <w:pStyle w:val="Body"/>
              <w:spacing w:after="0"/>
              <w:rPr>
                <w:rFonts w:ascii="Arial" w:hAnsi="Arial"/>
                <w:bCs/>
                <w:lang w:val="en-MY"/>
              </w:rPr>
            </w:pPr>
            <w:r>
              <w:rPr>
                <w:rFonts w:ascii="Arial" w:hAnsi="Arial"/>
                <w:bCs/>
                <w:lang w:val="en-MY"/>
              </w:rPr>
              <w:t>Total phenolic content</w:t>
            </w:r>
          </w:p>
          <w:p w:rsidR="00DD21CA" w:rsidRDefault="00EF432E">
            <w:pPr>
              <w:pStyle w:val="Body"/>
              <w:spacing w:after="0"/>
              <w:rPr>
                <w:rFonts w:ascii="Arial" w:hAnsi="Arial"/>
                <w:bCs/>
                <w:lang w:val="en-MY" w:eastAsia="zh-CN"/>
              </w:rPr>
            </w:pPr>
            <w:r>
              <w:rPr>
                <w:rFonts w:ascii="Arial" w:hAnsi="Arial"/>
                <w:bCs/>
                <w:lang w:val="en-MY"/>
              </w:rPr>
              <w:t xml:space="preserve">(mg GAE/g) </w:t>
            </w:r>
          </w:p>
        </w:tc>
        <w:tc>
          <w:tcPr>
            <w:tcW w:w="2503" w:type="dxa"/>
            <w:tcBorders>
              <w:top w:val="single" w:sz="18" w:space="0" w:color="auto"/>
              <w:bottom w:val="single" w:sz="4" w:space="0" w:color="auto"/>
            </w:tcBorders>
          </w:tcPr>
          <w:p w:rsidR="00DD21CA" w:rsidRDefault="00EF432E">
            <w:pPr>
              <w:pStyle w:val="Body"/>
              <w:spacing w:after="0"/>
              <w:rPr>
                <w:rFonts w:ascii="Arial" w:hAnsi="Arial"/>
                <w:bCs/>
                <w:lang w:val="en-MY"/>
              </w:rPr>
            </w:pPr>
            <w:r>
              <w:rPr>
                <w:rFonts w:ascii="Arial" w:hAnsi="Arial"/>
                <w:bCs/>
                <w:lang w:val="en-MY"/>
              </w:rPr>
              <w:t xml:space="preserve">Total flavonoid content </w:t>
            </w:r>
          </w:p>
          <w:p w:rsidR="00DD21CA" w:rsidRDefault="00EF432E">
            <w:pPr>
              <w:pStyle w:val="Body"/>
              <w:spacing w:after="0"/>
              <w:rPr>
                <w:rFonts w:ascii="Arial" w:hAnsi="Arial"/>
                <w:bCs/>
                <w:lang w:val="en-MY" w:eastAsia="zh-CN"/>
              </w:rPr>
            </w:pPr>
            <w:r>
              <w:rPr>
                <w:rFonts w:ascii="Arial" w:hAnsi="Arial"/>
                <w:bCs/>
                <w:lang w:val="en-MY"/>
              </w:rPr>
              <w:t>(</w:t>
            </w:r>
            <w:r>
              <w:rPr>
                <w:rFonts w:ascii="Arial" w:hAnsi="Arial"/>
                <w:bCs/>
                <w:lang w:eastAsia="zh-CN"/>
              </w:rPr>
              <w:t>mg RE/g</w:t>
            </w:r>
            <w:r>
              <w:rPr>
                <w:rFonts w:ascii="Arial" w:hAnsi="Arial"/>
                <w:bCs/>
                <w:lang w:val="en-MY" w:eastAsia="zh-CN"/>
              </w:rPr>
              <w:t>)</w:t>
            </w:r>
          </w:p>
        </w:tc>
      </w:tr>
      <w:tr w:rsidR="00DD21CA">
        <w:tc>
          <w:tcPr>
            <w:tcW w:w="1914" w:type="dxa"/>
            <w:tcBorders>
              <w:top w:val="single" w:sz="4" w:space="0" w:color="auto"/>
              <w:bottom w:val="nil"/>
            </w:tcBorders>
          </w:tcPr>
          <w:p w:rsidR="00DD21CA" w:rsidRDefault="00EF432E">
            <w:pPr>
              <w:pStyle w:val="Body"/>
              <w:spacing w:after="0"/>
              <w:rPr>
                <w:rFonts w:ascii="Arial" w:hAnsi="Arial"/>
                <w:bCs/>
                <w:lang w:val="en-MY" w:eastAsia="zh-CN"/>
              </w:rPr>
            </w:pPr>
            <w:r>
              <w:rPr>
                <w:rFonts w:ascii="Arial" w:hAnsi="Arial"/>
                <w:bCs/>
                <w:lang w:val="en-MY" w:eastAsia="zh-CN"/>
              </w:rPr>
              <w:t>70% methanol</w:t>
            </w:r>
          </w:p>
        </w:tc>
        <w:tc>
          <w:tcPr>
            <w:tcW w:w="1914" w:type="dxa"/>
            <w:tcBorders>
              <w:top w:val="single" w:sz="4" w:space="0" w:color="auto"/>
              <w:bottom w:val="nil"/>
            </w:tcBorders>
          </w:tcPr>
          <w:p w:rsidR="00DD21CA" w:rsidRDefault="00EF432E">
            <w:pPr>
              <w:pStyle w:val="Body"/>
              <w:spacing w:after="0"/>
              <w:rPr>
                <w:rFonts w:ascii="Arial" w:hAnsi="Arial"/>
                <w:bCs/>
                <w:lang w:val="en-MY" w:eastAsia="zh-CN"/>
              </w:rPr>
            </w:pPr>
            <w:r>
              <w:rPr>
                <w:rFonts w:ascii="Arial" w:hAnsi="Arial"/>
                <w:bCs/>
                <w:lang w:val="en-MY" w:eastAsia="zh-CN"/>
              </w:rPr>
              <w:t>OD40</w:t>
            </w:r>
          </w:p>
        </w:tc>
        <w:tc>
          <w:tcPr>
            <w:tcW w:w="2503" w:type="dxa"/>
            <w:tcBorders>
              <w:top w:val="single" w:sz="4" w:space="0" w:color="auto"/>
              <w:bottom w:val="nil"/>
            </w:tcBorders>
          </w:tcPr>
          <w:p w:rsidR="00DD21CA" w:rsidRDefault="00EF432E">
            <w:pPr>
              <w:pStyle w:val="Body"/>
              <w:spacing w:after="0"/>
              <w:rPr>
                <w:rFonts w:ascii="Arial" w:hAnsi="Arial"/>
                <w:bCs/>
                <w:lang w:val="en-MY" w:eastAsia="zh-CN"/>
              </w:rPr>
            </w:pPr>
            <w:r>
              <w:rPr>
                <w:rFonts w:ascii="Arial" w:hAnsi="Arial"/>
                <w:bCs/>
                <w:lang w:val="en-MY" w:eastAsia="zh-CN"/>
              </w:rPr>
              <w:t>10.045 ab</w:t>
            </w:r>
          </w:p>
        </w:tc>
        <w:tc>
          <w:tcPr>
            <w:tcW w:w="2503" w:type="dxa"/>
            <w:tcBorders>
              <w:top w:val="single" w:sz="4" w:space="0" w:color="auto"/>
              <w:bottom w:val="nil"/>
            </w:tcBorders>
          </w:tcPr>
          <w:p w:rsidR="00DD21CA" w:rsidRDefault="00EF432E">
            <w:pPr>
              <w:pStyle w:val="Body"/>
              <w:spacing w:after="0"/>
              <w:rPr>
                <w:rFonts w:ascii="Arial" w:hAnsi="Arial"/>
                <w:bCs/>
                <w:lang w:val="en-MY" w:eastAsia="zh-CN"/>
              </w:rPr>
            </w:pPr>
            <w:r>
              <w:rPr>
                <w:rFonts w:ascii="Arial" w:hAnsi="Arial"/>
                <w:bCs/>
                <w:lang w:val="en-MY" w:eastAsia="zh-CN"/>
              </w:rPr>
              <w:t>7.244 a</w:t>
            </w:r>
          </w:p>
        </w:tc>
      </w:tr>
      <w:tr w:rsidR="00DD21CA">
        <w:tc>
          <w:tcPr>
            <w:tcW w:w="1914" w:type="dxa"/>
            <w:tcBorders>
              <w:top w:val="nil"/>
              <w:bottom w:val="nil"/>
            </w:tcBorders>
          </w:tcPr>
          <w:p w:rsidR="00DD21CA" w:rsidRDefault="00DD21CA">
            <w:pPr>
              <w:pStyle w:val="Body"/>
              <w:spacing w:after="0"/>
              <w:rPr>
                <w:rFonts w:ascii="Arial" w:hAnsi="Arial"/>
                <w:bCs/>
                <w:lang w:val="en-MY" w:eastAsia="zh-CN"/>
              </w:rPr>
            </w:pPr>
          </w:p>
        </w:tc>
        <w:tc>
          <w:tcPr>
            <w:tcW w:w="1914" w:type="dxa"/>
            <w:tcBorders>
              <w:top w:val="nil"/>
              <w:bottom w:val="nil"/>
            </w:tcBorders>
          </w:tcPr>
          <w:p w:rsidR="00DD21CA" w:rsidRDefault="00EF432E">
            <w:pPr>
              <w:pStyle w:val="Body"/>
              <w:spacing w:after="0"/>
              <w:rPr>
                <w:rFonts w:ascii="Arial" w:hAnsi="Arial"/>
                <w:bCs/>
                <w:lang w:val="en-MY" w:eastAsia="zh-CN"/>
              </w:rPr>
            </w:pPr>
            <w:r>
              <w:rPr>
                <w:rFonts w:ascii="Arial" w:hAnsi="Arial"/>
                <w:bCs/>
                <w:lang w:val="en-MY" w:eastAsia="zh-CN"/>
              </w:rPr>
              <w:t>OD50</w:t>
            </w:r>
          </w:p>
        </w:tc>
        <w:tc>
          <w:tcPr>
            <w:tcW w:w="2503" w:type="dxa"/>
            <w:tcBorders>
              <w:top w:val="nil"/>
              <w:bottom w:val="nil"/>
            </w:tcBorders>
          </w:tcPr>
          <w:p w:rsidR="00DD21CA" w:rsidRDefault="00EF432E">
            <w:pPr>
              <w:pStyle w:val="Body"/>
              <w:spacing w:after="0"/>
              <w:rPr>
                <w:rFonts w:ascii="Arial" w:hAnsi="Arial"/>
                <w:bCs/>
                <w:lang w:val="en-MY" w:eastAsia="zh-CN"/>
              </w:rPr>
            </w:pPr>
            <w:r>
              <w:rPr>
                <w:rFonts w:ascii="Arial" w:hAnsi="Arial"/>
                <w:bCs/>
                <w:lang w:val="en-MY" w:eastAsia="zh-CN"/>
              </w:rPr>
              <w:t>4.855 c</w:t>
            </w:r>
          </w:p>
        </w:tc>
        <w:tc>
          <w:tcPr>
            <w:tcW w:w="2503" w:type="dxa"/>
            <w:tcBorders>
              <w:top w:val="nil"/>
              <w:bottom w:val="nil"/>
            </w:tcBorders>
          </w:tcPr>
          <w:p w:rsidR="00DD21CA" w:rsidRDefault="00EF432E">
            <w:pPr>
              <w:pStyle w:val="Body"/>
              <w:spacing w:after="0"/>
              <w:rPr>
                <w:rFonts w:ascii="Arial" w:hAnsi="Arial"/>
                <w:bCs/>
                <w:lang w:val="en-MY" w:eastAsia="zh-CN"/>
              </w:rPr>
            </w:pPr>
            <w:r>
              <w:rPr>
                <w:rFonts w:ascii="Arial" w:hAnsi="Arial"/>
                <w:bCs/>
                <w:lang w:val="en-MY" w:eastAsia="zh-CN"/>
              </w:rPr>
              <w:t>2.628 c</w:t>
            </w:r>
          </w:p>
        </w:tc>
      </w:tr>
      <w:tr w:rsidR="00DD21CA">
        <w:tc>
          <w:tcPr>
            <w:tcW w:w="1914" w:type="dxa"/>
            <w:tcBorders>
              <w:top w:val="nil"/>
              <w:bottom w:val="nil"/>
            </w:tcBorders>
          </w:tcPr>
          <w:p w:rsidR="00DD21CA" w:rsidRDefault="00DD21CA">
            <w:pPr>
              <w:pStyle w:val="Body"/>
              <w:spacing w:after="0"/>
              <w:rPr>
                <w:rFonts w:ascii="Arial" w:hAnsi="Arial"/>
                <w:bCs/>
                <w:lang w:val="en-MY" w:eastAsia="zh-CN"/>
              </w:rPr>
            </w:pPr>
          </w:p>
        </w:tc>
        <w:tc>
          <w:tcPr>
            <w:tcW w:w="1914" w:type="dxa"/>
            <w:tcBorders>
              <w:top w:val="nil"/>
              <w:bottom w:val="nil"/>
            </w:tcBorders>
          </w:tcPr>
          <w:p w:rsidR="00DD21CA" w:rsidRDefault="00EF432E">
            <w:pPr>
              <w:pStyle w:val="Body"/>
              <w:spacing w:after="0"/>
              <w:rPr>
                <w:rFonts w:ascii="Arial" w:hAnsi="Arial"/>
                <w:bCs/>
                <w:lang w:val="en-MY" w:eastAsia="zh-CN"/>
              </w:rPr>
            </w:pPr>
            <w:r>
              <w:rPr>
                <w:rFonts w:ascii="Arial" w:hAnsi="Arial"/>
                <w:bCs/>
                <w:lang w:val="en-MY" w:eastAsia="zh-CN"/>
              </w:rPr>
              <w:t>OD60</w:t>
            </w:r>
          </w:p>
        </w:tc>
        <w:tc>
          <w:tcPr>
            <w:tcW w:w="2503" w:type="dxa"/>
            <w:tcBorders>
              <w:top w:val="nil"/>
              <w:bottom w:val="nil"/>
            </w:tcBorders>
          </w:tcPr>
          <w:p w:rsidR="00DD21CA" w:rsidRDefault="00EF432E">
            <w:pPr>
              <w:pStyle w:val="Body"/>
              <w:spacing w:after="0"/>
              <w:rPr>
                <w:rFonts w:ascii="Arial" w:hAnsi="Arial"/>
                <w:bCs/>
                <w:lang w:val="en-MY" w:eastAsia="zh-CN"/>
              </w:rPr>
            </w:pPr>
            <w:r>
              <w:rPr>
                <w:rFonts w:ascii="Arial" w:hAnsi="Arial"/>
                <w:bCs/>
                <w:lang w:val="en-MY" w:eastAsia="zh-CN"/>
              </w:rPr>
              <w:t>3.769 c</w:t>
            </w:r>
          </w:p>
        </w:tc>
        <w:tc>
          <w:tcPr>
            <w:tcW w:w="2503" w:type="dxa"/>
            <w:tcBorders>
              <w:top w:val="nil"/>
              <w:bottom w:val="nil"/>
            </w:tcBorders>
          </w:tcPr>
          <w:p w:rsidR="00DD21CA" w:rsidRDefault="00EF432E">
            <w:pPr>
              <w:pStyle w:val="Body"/>
              <w:spacing w:after="0"/>
              <w:rPr>
                <w:rFonts w:ascii="Arial" w:hAnsi="Arial"/>
                <w:bCs/>
                <w:lang w:val="en-MY" w:eastAsia="zh-CN"/>
              </w:rPr>
            </w:pPr>
            <w:r>
              <w:rPr>
                <w:rFonts w:ascii="Arial" w:hAnsi="Arial"/>
                <w:bCs/>
                <w:lang w:val="en-MY" w:eastAsia="zh-CN"/>
              </w:rPr>
              <w:t>2.057 cd</w:t>
            </w:r>
          </w:p>
        </w:tc>
      </w:tr>
      <w:tr w:rsidR="00DD21CA">
        <w:tc>
          <w:tcPr>
            <w:tcW w:w="1914" w:type="dxa"/>
            <w:tcBorders>
              <w:top w:val="nil"/>
              <w:bottom w:val="nil"/>
            </w:tcBorders>
          </w:tcPr>
          <w:p w:rsidR="00DD21CA" w:rsidRDefault="00DD21CA">
            <w:pPr>
              <w:pStyle w:val="Body"/>
              <w:spacing w:after="0"/>
              <w:rPr>
                <w:rFonts w:ascii="Arial" w:hAnsi="Arial"/>
                <w:bCs/>
                <w:lang w:val="en-MY" w:eastAsia="zh-CN"/>
              </w:rPr>
            </w:pPr>
          </w:p>
        </w:tc>
        <w:tc>
          <w:tcPr>
            <w:tcW w:w="1914" w:type="dxa"/>
            <w:tcBorders>
              <w:top w:val="nil"/>
              <w:bottom w:val="nil"/>
            </w:tcBorders>
          </w:tcPr>
          <w:p w:rsidR="00DD21CA" w:rsidRDefault="00EF432E">
            <w:pPr>
              <w:pStyle w:val="Body"/>
              <w:spacing w:after="0"/>
              <w:rPr>
                <w:rFonts w:ascii="Arial" w:hAnsi="Arial"/>
                <w:bCs/>
                <w:lang w:val="en-MY" w:eastAsia="zh-CN"/>
              </w:rPr>
            </w:pPr>
            <w:r>
              <w:rPr>
                <w:rFonts w:ascii="Arial" w:hAnsi="Arial"/>
                <w:bCs/>
                <w:lang w:val="en-MY" w:eastAsia="zh-CN"/>
              </w:rPr>
              <w:t>OD70</w:t>
            </w:r>
          </w:p>
        </w:tc>
        <w:tc>
          <w:tcPr>
            <w:tcW w:w="2503" w:type="dxa"/>
            <w:tcBorders>
              <w:top w:val="nil"/>
              <w:bottom w:val="nil"/>
            </w:tcBorders>
          </w:tcPr>
          <w:p w:rsidR="00DD21CA" w:rsidRDefault="00EF432E">
            <w:pPr>
              <w:pStyle w:val="Body"/>
              <w:spacing w:after="0"/>
              <w:rPr>
                <w:rFonts w:ascii="Arial" w:hAnsi="Arial"/>
                <w:bCs/>
                <w:lang w:val="en-MY" w:eastAsia="zh-CN"/>
              </w:rPr>
            </w:pPr>
            <w:r>
              <w:rPr>
                <w:rFonts w:ascii="Arial" w:hAnsi="Arial"/>
                <w:bCs/>
                <w:lang w:val="en-MY" w:eastAsia="zh-CN"/>
              </w:rPr>
              <w:t>10.812 ab</w:t>
            </w:r>
          </w:p>
        </w:tc>
        <w:tc>
          <w:tcPr>
            <w:tcW w:w="2503" w:type="dxa"/>
            <w:tcBorders>
              <w:top w:val="nil"/>
              <w:bottom w:val="nil"/>
            </w:tcBorders>
          </w:tcPr>
          <w:p w:rsidR="00DD21CA" w:rsidRDefault="00EF432E">
            <w:pPr>
              <w:pStyle w:val="Body"/>
              <w:spacing w:after="0"/>
              <w:rPr>
                <w:rFonts w:ascii="Arial" w:hAnsi="Arial"/>
                <w:bCs/>
                <w:lang w:val="en-MY" w:eastAsia="zh-CN"/>
              </w:rPr>
            </w:pPr>
            <w:r>
              <w:rPr>
                <w:rFonts w:ascii="Arial" w:hAnsi="Arial"/>
                <w:bCs/>
                <w:lang w:val="en-MY" w:eastAsia="zh-CN"/>
              </w:rPr>
              <w:t>2.497 c</w:t>
            </w:r>
          </w:p>
        </w:tc>
      </w:tr>
      <w:tr w:rsidR="00DD21CA">
        <w:tc>
          <w:tcPr>
            <w:tcW w:w="1914" w:type="dxa"/>
            <w:tcBorders>
              <w:top w:val="nil"/>
              <w:bottom w:val="nil"/>
            </w:tcBorders>
          </w:tcPr>
          <w:p w:rsidR="00DD21CA" w:rsidRDefault="00DD21CA">
            <w:pPr>
              <w:pStyle w:val="Body"/>
              <w:spacing w:after="0"/>
              <w:rPr>
                <w:rFonts w:ascii="Arial" w:hAnsi="Arial"/>
                <w:bCs/>
                <w:lang w:val="en-MY" w:eastAsia="zh-CN"/>
              </w:rPr>
            </w:pPr>
          </w:p>
        </w:tc>
        <w:tc>
          <w:tcPr>
            <w:tcW w:w="1914" w:type="dxa"/>
            <w:tcBorders>
              <w:top w:val="nil"/>
              <w:bottom w:val="nil"/>
            </w:tcBorders>
          </w:tcPr>
          <w:p w:rsidR="00DD21CA" w:rsidRDefault="00EF432E">
            <w:pPr>
              <w:pStyle w:val="Body"/>
              <w:spacing w:after="0"/>
              <w:rPr>
                <w:rFonts w:ascii="Arial" w:hAnsi="Arial"/>
                <w:bCs/>
                <w:lang w:val="en-MY" w:eastAsia="zh-CN"/>
              </w:rPr>
            </w:pPr>
            <w:r>
              <w:rPr>
                <w:rFonts w:ascii="Arial" w:hAnsi="Arial"/>
                <w:bCs/>
                <w:lang w:val="en-MY" w:eastAsia="zh-CN"/>
              </w:rPr>
              <w:t>AD</w:t>
            </w:r>
          </w:p>
        </w:tc>
        <w:tc>
          <w:tcPr>
            <w:tcW w:w="2503" w:type="dxa"/>
            <w:tcBorders>
              <w:top w:val="nil"/>
              <w:bottom w:val="nil"/>
            </w:tcBorders>
          </w:tcPr>
          <w:p w:rsidR="00DD21CA" w:rsidRDefault="00EF432E">
            <w:pPr>
              <w:pStyle w:val="Body"/>
              <w:spacing w:after="0"/>
              <w:rPr>
                <w:rFonts w:ascii="Arial" w:hAnsi="Arial"/>
                <w:bCs/>
                <w:lang w:val="en-MY" w:eastAsia="zh-CN"/>
              </w:rPr>
            </w:pPr>
            <w:r>
              <w:rPr>
                <w:rFonts w:ascii="Arial" w:hAnsi="Arial"/>
                <w:bCs/>
                <w:lang w:val="en-MY" w:eastAsia="zh-CN"/>
              </w:rPr>
              <w:t>8.311 b</w:t>
            </w:r>
          </w:p>
        </w:tc>
        <w:tc>
          <w:tcPr>
            <w:tcW w:w="2503" w:type="dxa"/>
            <w:tcBorders>
              <w:top w:val="nil"/>
              <w:bottom w:val="nil"/>
            </w:tcBorders>
          </w:tcPr>
          <w:p w:rsidR="00DD21CA" w:rsidRDefault="00EF432E">
            <w:pPr>
              <w:pStyle w:val="Body"/>
              <w:spacing w:after="0"/>
              <w:rPr>
                <w:rFonts w:ascii="Arial" w:hAnsi="Arial"/>
                <w:bCs/>
                <w:lang w:val="en-MY" w:eastAsia="zh-CN"/>
              </w:rPr>
            </w:pPr>
            <w:r>
              <w:rPr>
                <w:rFonts w:ascii="Arial" w:hAnsi="Arial"/>
                <w:bCs/>
                <w:lang w:val="en-MY" w:eastAsia="zh-CN"/>
              </w:rPr>
              <w:t>5.408 b</w:t>
            </w:r>
          </w:p>
        </w:tc>
      </w:tr>
      <w:tr w:rsidR="00DD21CA">
        <w:tc>
          <w:tcPr>
            <w:tcW w:w="1914" w:type="dxa"/>
            <w:tcBorders>
              <w:top w:val="nil"/>
              <w:bottom w:val="single" w:sz="4" w:space="0" w:color="auto"/>
            </w:tcBorders>
          </w:tcPr>
          <w:p w:rsidR="00DD21CA" w:rsidRDefault="00DD21CA">
            <w:pPr>
              <w:pStyle w:val="Body"/>
              <w:spacing w:after="0"/>
              <w:rPr>
                <w:rFonts w:ascii="Arial" w:hAnsi="Arial"/>
                <w:bCs/>
                <w:lang w:val="en-MY" w:eastAsia="zh-CN"/>
              </w:rPr>
            </w:pPr>
          </w:p>
        </w:tc>
        <w:tc>
          <w:tcPr>
            <w:tcW w:w="1914" w:type="dxa"/>
            <w:tcBorders>
              <w:top w:val="nil"/>
              <w:bottom w:val="single" w:sz="4" w:space="0" w:color="auto"/>
            </w:tcBorders>
          </w:tcPr>
          <w:p w:rsidR="00DD21CA" w:rsidRDefault="00EF432E">
            <w:pPr>
              <w:pStyle w:val="Body"/>
              <w:spacing w:after="0"/>
              <w:rPr>
                <w:rFonts w:ascii="Arial" w:hAnsi="Arial"/>
                <w:bCs/>
                <w:lang w:val="en-MY" w:eastAsia="zh-CN"/>
              </w:rPr>
            </w:pPr>
            <w:r>
              <w:rPr>
                <w:rFonts w:ascii="Arial" w:hAnsi="Arial"/>
                <w:bCs/>
                <w:lang w:val="en-MY" w:eastAsia="zh-CN"/>
              </w:rPr>
              <w:t>FD</w:t>
            </w:r>
          </w:p>
        </w:tc>
        <w:tc>
          <w:tcPr>
            <w:tcW w:w="2503" w:type="dxa"/>
            <w:tcBorders>
              <w:top w:val="nil"/>
              <w:bottom w:val="single" w:sz="4" w:space="0" w:color="auto"/>
            </w:tcBorders>
          </w:tcPr>
          <w:p w:rsidR="00DD21CA" w:rsidRDefault="00EF432E">
            <w:pPr>
              <w:pStyle w:val="Body"/>
              <w:spacing w:after="0"/>
              <w:rPr>
                <w:rFonts w:ascii="Arial" w:hAnsi="Arial"/>
                <w:bCs/>
                <w:lang w:val="en-MY" w:eastAsia="zh-CN"/>
              </w:rPr>
            </w:pPr>
            <w:r>
              <w:rPr>
                <w:rFonts w:ascii="Arial" w:hAnsi="Arial"/>
                <w:bCs/>
                <w:lang w:val="en-MY" w:eastAsia="zh-CN"/>
              </w:rPr>
              <w:t>10.674 ab</w:t>
            </w:r>
          </w:p>
        </w:tc>
        <w:tc>
          <w:tcPr>
            <w:tcW w:w="2503" w:type="dxa"/>
            <w:tcBorders>
              <w:top w:val="nil"/>
              <w:bottom w:val="single" w:sz="4" w:space="0" w:color="auto"/>
            </w:tcBorders>
          </w:tcPr>
          <w:p w:rsidR="00DD21CA" w:rsidRDefault="00EF432E">
            <w:pPr>
              <w:pStyle w:val="Body"/>
              <w:spacing w:after="0"/>
              <w:rPr>
                <w:rFonts w:ascii="Arial" w:hAnsi="Arial"/>
                <w:bCs/>
                <w:lang w:val="en-MY" w:eastAsia="zh-CN"/>
              </w:rPr>
            </w:pPr>
            <w:r>
              <w:rPr>
                <w:rFonts w:ascii="Arial" w:hAnsi="Arial"/>
                <w:bCs/>
                <w:lang w:val="en-MY" w:eastAsia="zh-CN"/>
              </w:rPr>
              <w:t>5.171 b</w:t>
            </w:r>
          </w:p>
        </w:tc>
      </w:tr>
      <w:tr w:rsidR="00DD21CA">
        <w:tc>
          <w:tcPr>
            <w:tcW w:w="1914" w:type="dxa"/>
            <w:tcBorders>
              <w:top w:val="single" w:sz="4" w:space="0" w:color="auto"/>
              <w:bottom w:val="nil"/>
            </w:tcBorders>
          </w:tcPr>
          <w:p w:rsidR="00DD21CA" w:rsidRDefault="00EF432E">
            <w:pPr>
              <w:pStyle w:val="Body"/>
              <w:spacing w:after="0"/>
              <w:rPr>
                <w:rFonts w:ascii="Arial" w:hAnsi="Arial"/>
                <w:bCs/>
                <w:lang w:val="en-MY" w:eastAsia="zh-CN"/>
              </w:rPr>
            </w:pPr>
            <w:r>
              <w:rPr>
                <w:rFonts w:ascii="Arial" w:hAnsi="Arial"/>
                <w:bCs/>
                <w:lang w:val="en-MY" w:eastAsia="zh-CN"/>
              </w:rPr>
              <w:t>Distilled water</w:t>
            </w:r>
          </w:p>
        </w:tc>
        <w:tc>
          <w:tcPr>
            <w:tcW w:w="1914" w:type="dxa"/>
            <w:tcBorders>
              <w:top w:val="single" w:sz="4" w:space="0" w:color="auto"/>
              <w:bottom w:val="nil"/>
            </w:tcBorders>
          </w:tcPr>
          <w:p w:rsidR="00DD21CA" w:rsidRDefault="00EF432E">
            <w:pPr>
              <w:pStyle w:val="Body"/>
              <w:spacing w:after="0"/>
              <w:rPr>
                <w:rFonts w:ascii="Arial" w:hAnsi="Arial"/>
                <w:bCs/>
                <w:lang w:val="en-MY" w:eastAsia="zh-CN"/>
              </w:rPr>
            </w:pPr>
            <w:r>
              <w:rPr>
                <w:rFonts w:ascii="Arial" w:hAnsi="Arial"/>
                <w:bCs/>
                <w:lang w:val="en-MY" w:eastAsia="zh-CN"/>
              </w:rPr>
              <w:t>OD40</w:t>
            </w:r>
          </w:p>
        </w:tc>
        <w:tc>
          <w:tcPr>
            <w:tcW w:w="2503" w:type="dxa"/>
            <w:tcBorders>
              <w:top w:val="single" w:sz="4" w:space="0" w:color="auto"/>
              <w:bottom w:val="nil"/>
            </w:tcBorders>
          </w:tcPr>
          <w:p w:rsidR="00DD21CA" w:rsidRDefault="00EF432E">
            <w:pPr>
              <w:pStyle w:val="Body"/>
              <w:spacing w:after="0"/>
              <w:rPr>
                <w:rFonts w:ascii="Arial" w:hAnsi="Arial"/>
                <w:bCs/>
                <w:lang w:val="en-MY" w:eastAsia="zh-CN"/>
              </w:rPr>
            </w:pPr>
            <w:r>
              <w:rPr>
                <w:rFonts w:ascii="Arial" w:hAnsi="Arial"/>
                <w:bCs/>
                <w:lang w:val="en-MY" w:eastAsia="zh-CN"/>
              </w:rPr>
              <w:t>13.693 a</w:t>
            </w:r>
          </w:p>
        </w:tc>
        <w:tc>
          <w:tcPr>
            <w:tcW w:w="2503" w:type="dxa"/>
            <w:tcBorders>
              <w:top w:val="single" w:sz="4" w:space="0" w:color="auto"/>
              <w:bottom w:val="nil"/>
            </w:tcBorders>
          </w:tcPr>
          <w:p w:rsidR="00DD21CA" w:rsidRDefault="00EF432E">
            <w:pPr>
              <w:pStyle w:val="Body"/>
              <w:spacing w:after="0"/>
              <w:rPr>
                <w:rFonts w:ascii="Arial" w:hAnsi="Arial"/>
                <w:bCs/>
                <w:lang w:val="en-MY" w:eastAsia="zh-CN"/>
              </w:rPr>
            </w:pPr>
            <w:r>
              <w:rPr>
                <w:rFonts w:ascii="Arial" w:hAnsi="Arial"/>
                <w:bCs/>
                <w:lang w:val="en-MY" w:eastAsia="zh-CN"/>
              </w:rPr>
              <w:t>3.882 b</w:t>
            </w:r>
          </w:p>
        </w:tc>
      </w:tr>
      <w:tr w:rsidR="00DD21CA">
        <w:tc>
          <w:tcPr>
            <w:tcW w:w="1914" w:type="dxa"/>
            <w:tcBorders>
              <w:top w:val="nil"/>
              <w:bottom w:val="nil"/>
            </w:tcBorders>
          </w:tcPr>
          <w:p w:rsidR="00DD21CA" w:rsidRDefault="00DD21CA">
            <w:pPr>
              <w:pStyle w:val="Body"/>
              <w:spacing w:after="0"/>
              <w:rPr>
                <w:rFonts w:ascii="Arial" w:hAnsi="Arial"/>
                <w:bCs/>
                <w:lang w:val="en-MY" w:eastAsia="zh-CN"/>
              </w:rPr>
            </w:pPr>
          </w:p>
        </w:tc>
        <w:tc>
          <w:tcPr>
            <w:tcW w:w="1914" w:type="dxa"/>
            <w:tcBorders>
              <w:top w:val="nil"/>
              <w:bottom w:val="nil"/>
            </w:tcBorders>
          </w:tcPr>
          <w:p w:rsidR="00DD21CA" w:rsidRDefault="00EF432E">
            <w:pPr>
              <w:pStyle w:val="Body"/>
              <w:spacing w:after="0"/>
              <w:rPr>
                <w:rFonts w:ascii="Arial" w:hAnsi="Arial"/>
                <w:bCs/>
                <w:lang w:val="en-MY" w:eastAsia="zh-CN"/>
              </w:rPr>
            </w:pPr>
            <w:r>
              <w:rPr>
                <w:rFonts w:ascii="Arial" w:hAnsi="Arial"/>
                <w:bCs/>
                <w:lang w:val="en-MY" w:eastAsia="zh-CN"/>
              </w:rPr>
              <w:t>OD50</w:t>
            </w:r>
          </w:p>
        </w:tc>
        <w:tc>
          <w:tcPr>
            <w:tcW w:w="2503" w:type="dxa"/>
            <w:tcBorders>
              <w:top w:val="nil"/>
              <w:bottom w:val="nil"/>
            </w:tcBorders>
          </w:tcPr>
          <w:p w:rsidR="00DD21CA" w:rsidRDefault="00EF432E">
            <w:pPr>
              <w:pStyle w:val="Body"/>
              <w:spacing w:after="0"/>
              <w:rPr>
                <w:rFonts w:ascii="Arial" w:hAnsi="Arial"/>
                <w:bCs/>
                <w:lang w:val="en-MY" w:eastAsia="zh-CN"/>
              </w:rPr>
            </w:pPr>
            <w:r>
              <w:rPr>
                <w:rFonts w:ascii="Arial" w:hAnsi="Arial"/>
                <w:bCs/>
                <w:lang w:val="en-MY" w:eastAsia="zh-CN"/>
              </w:rPr>
              <w:t>12.263 a</w:t>
            </w:r>
          </w:p>
        </w:tc>
        <w:tc>
          <w:tcPr>
            <w:tcW w:w="2503" w:type="dxa"/>
            <w:tcBorders>
              <w:top w:val="nil"/>
              <w:bottom w:val="nil"/>
            </w:tcBorders>
          </w:tcPr>
          <w:p w:rsidR="00DD21CA" w:rsidRDefault="00EF432E">
            <w:pPr>
              <w:pStyle w:val="Body"/>
              <w:spacing w:after="0"/>
              <w:rPr>
                <w:rFonts w:ascii="Arial" w:hAnsi="Arial"/>
                <w:bCs/>
                <w:lang w:val="en-MY" w:eastAsia="zh-CN"/>
              </w:rPr>
            </w:pPr>
            <w:r>
              <w:rPr>
                <w:rFonts w:ascii="Arial" w:hAnsi="Arial"/>
                <w:bCs/>
                <w:lang w:val="en-MY" w:eastAsia="zh-CN"/>
              </w:rPr>
              <w:t>3.548 b</w:t>
            </w:r>
          </w:p>
        </w:tc>
      </w:tr>
      <w:tr w:rsidR="00DD21CA">
        <w:trPr>
          <w:trHeight w:val="90"/>
        </w:trPr>
        <w:tc>
          <w:tcPr>
            <w:tcW w:w="1914" w:type="dxa"/>
            <w:tcBorders>
              <w:top w:val="nil"/>
              <w:bottom w:val="nil"/>
            </w:tcBorders>
          </w:tcPr>
          <w:p w:rsidR="00DD21CA" w:rsidRDefault="00DD21CA">
            <w:pPr>
              <w:pStyle w:val="Body"/>
              <w:spacing w:after="0"/>
              <w:rPr>
                <w:rFonts w:ascii="Arial" w:hAnsi="Arial"/>
                <w:bCs/>
                <w:lang w:val="en-MY" w:eastAsia="zh-CN"/>
              </w:rPr>
            </w:pPr>
          </w:p>
        </w:tc>
        <w:tc>
          <w:tcPr>
            <w:tcW w:w="1914" w:type="dxa"/>
            <w:tcBorders>
              <w:top w:val="nil"/>
              <w:bottom w:val="nil"/>
            </w:tcBorders>
          </w:tcPr>
          <w:p w:rsidR="00DD21CA" w:rsidRDefault="00EF432E">
            <w:pPr>
              <w:pStyle w:val="Body"/>
              <w:spacing w:after="0"/>
              <w:rPr>
                <w:rFonts w:ascii="Arial" w:hAnsi="Arial"/>
                <w:bCs/>
                <w:lang w:val="en-MY" w:eastAsia="zh-CN"/>
              </w:rPr>
            </w:pPr>
            <w:r>
              <w:rPr>
                <w:rFonts w:ascii="Arial" w:hAnsi="Arial"/>
                <w:bCs/>
                <w:lang w:val="en-MY" w:eastAsia="zh-CN"/>
              </w:rPr>
              <w:t>OD60</w:t>
            </w:r>
          </w:p>
        </w:tc>
        <w:tc>
          <w:tcPr>
            <w:tcW w:w="2503" w:type="dxa"/>
            <w:tcBorders>
              <w:top w:val="nil"/>
              <w:bottom w:val="nil"/>
            </w:tcBorders>
          </w:tcPr>
          <w:p w:rsidR="00DD21CA" w:rsidRDefault="00EF432E">
            <w:pPr>
              <w:pStyle w:val="Body"/>
              <w:spacing w:after="0"/>
              <w:rPr>
                <w:rFonts w:ascii="Arial" w:hAnsi="Arial"/>
                <w:bCs/>
                <w:lang w:val="en-MY" w:eastAsia="zh-CN"/>
              </w:rPr>
            </w:pPr>
            <w:r>
              <w:rPr>
                <w:rFonts w:ascii="Arial" w:hAnsi="Arial"/>
                <w:bCs/>
                <w:lang w:val="en-MY" w:eastAsia="zh-CN"/>
              </w:rPr>
              <w:t>9.264 b</w:t>
            </w:r>
          </w:p>
        </w:tc>
        <w:tc>
          <w:tcPr>
            <w:tcW w:w="2503" w:type="dxa"/>
            <w:tcBorders>
              <w:top w:val="nil"/>
              <w:bottom w:val="nil"/>
            </w:tcBorders>
          </w:tcPr>
          <w:p w:rsidR="00DD21CA" w:rsidRDefault="00EF432E">
            <w:pPr>
              <w:pStyle w:val="Body"/>
              <w:spacing w:after="0"/>
              <w:rPr>
                <w:rFonts w:ascii="Arial" w:hAnsi="Arial"/>
                <w:bCs/>
                <w:lang w:val="en-MY" w:eastAsia="zh-CN"/>
              </w:rPr>
            </w:pPr>
            <w:r>
              <w:rPr>
                <w:rFonts w:ascii="Arial" w:hAnsi="Arial"/>
                <w:bCs/>
                <w:lang w:val="en-MY" w:eastAsia="zh-CN"/>
              </w:rPr>
              <w:t>2.228 c</w:t>
            </w:r>
          </w:p>
        </w:tc>
      </w:tr>
      <w:tr w:rsidR="00DD21CA">
        <w:tc>
          <w:tcPr>
            <w:tcW w:w="1914" w:type="dxa"/>
            <w:tcBorders>
              <w:top w:val="nil"/>
              <w:bottom w:val="nil"/>
            </w:tcBorders>
          </w:tcPr>
          <w:p w:rsidR="00DD21CA" w:rsidRDefault="00DD21CA">
            <w:pPr>
              <w:pStyle w:val="Body"/>
              <w:spacing w:after="0"/>
              <w:rPr>
                <w:rFonts w:ascii="Arial" w:hAnsi="Arial"/>
                <w:bCs/>
                <w:lang w:val="en-MY" w:eastAsia="zh-CN"/>
              </w:rPr>
            </w:pPr>
          </w:p>
        </w:tc>
        <w:tc>
          <w:tcPr>
            <w:tcW w:w="1914" w:type="dxa"/>
            <w:tcBorders>
              <w:top w:val="nil"/>
              <w:bottom w:val="nil"/>
            </w:tcBorders>
          </w:tcPr>
          <w:p w:rsidR="00DD21CA" w:rsidRDefault="00EF432E">
            <w:pPr>
              <w:pStyle w:val="Body"/>
              <w:spacing w:after="0"/>
              <w:rPr>
                <w:rFonts w:ascii="Arial" w:hAnsi="Arial"/>
                <w:bCs/>
                <w:lang w:val="en-MY" w:eastAsia="zh-CN"/>
              </w:rPr>
            </w:pPr>
            <w:r>
              <w:rPr>
                <w:rFonts w:ascii="Arial" w:hAnsi="Arial"/>
                <w:bCs/>
                <w:lang w:val="en-MY" w:eastAsia="zh-CN"/>
              </w:rPr>
              <w:t>OD70</w:t>
            </w:r>
          </w:p>
        </w:tc>
        <w:tc>
          <w:tcPr>
            <w:tcW w:w="2503" w:type="dxa"/>
            <w:tcBorders>
              <w:top w:val="nil"/>
              <w:bottom w:val="nil"/>
            </w:tcBorders>
          </w:tcPr>
          <w:p w:rsidR="00DD21CA" w:rsidRDefault="00EF432E">
            <w:pPr>
              <w:pStyle w:val="Body"/>
              <w:spacing w:after="0"/>
              <w:rPr>
                <w:rFonts w:ascii="Arial" w:hAnsi="Arial"/>
                <w:bCs/>
                <w:lang w:val="en-MY" w:eastAsia="zh-CN"/>
              </w:rPr>
            </w:pPr>
            <w:r>
              <w:rPr>
                <w:rFonts w:ascii="Arial" w:hAnsi="Arial"/>
                <w:bCs/>
                <w:lang w:val="en-MY" w:eastAsia="zh-CN"/>
              </w:rPr>
              <w:t>9.045 b</w:t>
            </w:r>
          </w:p>
        </w:tc>
        <w:tc>
          <w:tcPr>
            <w:tcW w:w="2503" w:type="dxa"/>
            <w:tcBorders>
              <w:top w:val="nil"/>
              <w:bottom w:val="nil"/>
            </w:tcBorders>
          </w:tcPr>
          <w:p w:rsidR="00DD21CA" w:rsidRDefault="00EF432E">
            <w:pPr>
              <w:pStyle w:val="Body"/>
              <w:spacing w:after="0"/>
              <w:rPr>
                <w:rFonts w:ascii="Arial" w:hAnsi="Arial"/>
                <w:bCs/>
                <w:lang w:val="en-MY" w:eastAsia="zh-CN"/>
              </w:rPr>
            </w:pPr>
            <w:r>
              <w:rPr>
                <w:rFonts w:ascii="Arial" w:hAnsi="Arial"/>
                <w:bCs/>
                <w:lang w:val="en-MY" w:eastAsia="zh-CN"/>
              </w:rPr>
              <w:t>1.851 d</w:t>
            </w:r>
          </w:p>
        </w:tc>
      </w:tr>
      <w:tr w:rsidR="00DD21CA">
        <w:tc>
          <w:tcPr>
            <w:tcW w:w="1914" w:type="dxa"/>
            <w:tcBorders>
              <w:top w:val="nil"/>
              <w:bottom w:val="nil"/>
            </w:tcBorders>
          </w:tcPr>
          <w:p w:rsidR="00DD21CA" w:rsidRDefault="00DD21CA">
            <w:pPr>
              <w:pStyle w:val="Body"/>
              <w:spacing w:after="0"/>
              <w:rPr>
                <w:rFonts w:ascii="Arial" w:hAnsi="Arial"/>
                <w:bCs/>
                <w:lang w:val="en-MY" w:eastAsia="zh-CN"/>
              </w:rPr>
            </w:pPr>
          </w:p>
        </w:tc>
        <w:tc>
          <w:tcPr>
            <w:tcW w:w="1914" w:type="dxa"/>
            <w:tcBorders>
              <w:top w:val="nil"/>
              <w:bottom w:val="nil"/>
            </w:tcBorders>
          </w:tcPr>
          <w:p w:rsidR="00DD21CA" w:rsidRDefault="00EF432E">
            <w:pPr>
              <w:pStyle w:val="Body"/>
              <w:spacing w:after="0"/>
              <w:rPr>
                <w:rFonts w:ascii="Arial" w:hAnsi="Arial"/>
                <w:bCs/>
                <w:lang w:val="en-MY" w:eastAsia="zh-CN"/>
              </w:rPr>
            </w:pPr>
            <w:r>
              <w:rPr>
                <w:rFonts w:ascii="Arial" w:hAnsi="Arial"/>
                <w:bCs/>
                <w:lang w:val="en-MY" w:eastAsia="zh-CN"/>
              </w:rPr>
              <w:t>AD</w:t>
            </w:r>
          </w:p>
        </w:tc>
        <w:tc>
          <w:tcPr>
            <w:tcW w:w="2503" w:type="dxa"/>
            <w:tcBorders>
              <w:top w:val="nil"/>
              <w:bottom w:val="nil"/>
            </w:tcBorders>
          </w:tcPr>
          <w:p w:rsidR="00DD21CA" w:rsidRDefault="00EF432E">
            <w:pPr>
              <w:pStyle w:val="Body"/>
              <w:spacing w:after="0"/>
              <w:rPr>
                <w:rFonts w:ascii="Arial" w:hAnsi="Arial"/>
                <w:bCs/>
                <w:lang w:val="en-MY" w:eastAsia="zh-CN"/>
              </w:rPr>
            </w:pPr>
            <w:r>
              <w:rPr>
                <w:rFonts w:ascii="Arial" w:hAnsi="Arial"/>
                <w:bCs/>
                <w:lang w:val="en-MY" w:eastAsia="zh-CN"/>
              </w:rPr>
              <w:t>11.756 ab</w:t>
            </w:r>
          </w:p>
        </w:tc>
        <w:tc>
          <w:tcPr>
            <w:tcW w:w="2503" w:type="dxa"/>
            <w:tcBorders>
              <w:top w:val="nil"/>
              <w:bottom w:val="nil"/>
            </w:tcBorders>
          </w:tcPr>
          <w:p w:rsidR="00DD21CA" w:rsidRDefault="00EF432E">
            <w:pPr>
              <w:pStyle w:val="Body"/>
              <w:spacing w:after="0"/>
              <w:rPr>
                <w:rFonts w:ascii="Arial" w:hAnsi="Arial"/>
                <w:bCs/>
                <w:lang w:val="en-MY" w:eastAsia="zh-CN"/>
              </w:rPr>
            </w:pPr>
            <w:r>
              <w:rPr>
                <w:rFonts w:ascii="Arial" w:hAnsi="Arial"/>
                <w:bCs/>
                <w:lang w:val="en-MY" w:eastAsia="zh-CN"/>
              </w:rPr>
              <w:t xml:space="preserve">2.931 </w:t>
            </w:r>
            <w:proofErr w:type="spellStart"/>
            <w:r>
              <w:rPr>
                <w:rFonts w:ascii="Arial" w:hAnsi="Arial"/>
                <w:bCs/>
                <w:lang w:val="en-MY" w:eastAsia="zh-CN"/>
              </w:rPr>
              <w:t>bc</w:t>
            </w:r>
            <w:proofErr w:type="spellEnd"/>
          </w:p>
        </w:tc>
      </w:tr>
      <w:tr w:rsidR="00DD21CA">
        <w:tc>
          <w:tcPr>
            <w:tcW w:w="1914" w:type="dxa"/>
            <w:tcBorders>
              <w:top w:val="nil"/>
              <w:bottom w:val="single" w:sz="18" w:space="0" w:color="auto"/>
            </w:tcBorders>
          </w:tcPr>
          <w:p w:rsidR="00DD21CA" w:rsidRDefault="00DD21CA">
            <w:pPr>
              <w:pStyle w:val="Body"/>
              <w:spacing w:after="0"/>
              <w:rPr>
                <w:rFonts w:ascii="Arial" w:hAnsi="Arial"/>
                <w:bCs/>
                <w:lang w:val="en-MY" w:eastAsia="zh-CN"/>
              </w:rPr>
            </w:pPr>
          </w:p>
        </w:tc>
        <w:tc>
          <w:tcPr>
            <w:tcW w:w="1914" w:type="dxa"/>
            <w:tcBorders>
              <w:top w:val="nil"/>
              <w:bottom w:val="single" w:sz="18" w:space="0" w:color="auto"/>
            </w:tcBorders>
          </w:tcPr>
          <w:p w:rsidR="00DD21CA" w:rsidRDefault="00EF432E">
            <w:pPr>
              <w:pStyle w:val="Body"/>
              <w:spacing w:after="0"/>
              <w:rPr>
                <w:rFonts w:ascii="Arial" w:hAnsi="Arial"/>
                <w:bCs/>
                <w:lang w:val="en-MY" w:eastAsia="zh-CN"/>
              </w:rPr>
            </w:pPr>
            <w:r>
              <w:rPr>
                <w:rFonts w:ascii="Arial" w:hAnsi="Arial"/>
                <w:bCs/>
                <w:lang w:val="en-MY" w:eastAsia="zh-CN"/>
              </w:rPr>
              <w:t>FD</w:t>
            </w:r>
          </w:p>
        </w:tc>
        <w:tc>
          <w:tcPr>
            <w:tcW w:w="2503" w:type="dxa"/>
            <w:tcBorders>
              <w:top w:val="nil"/>
              <w:bottom w:val="single" w:sz="18" w:space="0" w:color="auto"/>
            </w:tcBorders>
          </w:tcPr>
          <w:p w:rsidR="00DD21CA" w:rsidRDefault="00EF432E">
            <w:pPr>
              <w:pStyle w:val="Body"/>
              <w:spacing w:after="0"/>
              <w:rPr>
                <w:rFonts w:ascii="Arial" w:hAnsi="Arial"/>
                <w:bCs/>
                <w:lang w:val="en-MY" w:eastAsia="zh-CN"/>
              </w:rPr>
            </w:pPr>
            <w:r>
              <w:rPr>
                <w:rFonts w:ascii="Arial" w:hAnsi="Arial"/>
                <w:bCs/>
                <w:lang w:val="en-MY" w:eastAsia="zh-CN"/>
              </w:rPr>
              <w:t>13.648 a</w:t>
            </w:r>
          </w:p>
        </w:tc>
        <w:tc>
          <w:tcPr>
            <w:tcW w:w="2503" w:type="dxa"/>
            <w:tcBorders>
              <w:top w:val="nil"/>
              <w:bottom w:val="single" w:sz="18" w:space="0" w:color="auto"/>
            </w:tcBorders>
          </w:tcPr>
          <w:p w:rsidR="00DD21CA" w:rsidRDefault="00EF432E">
            <w:pPr>
              <w:pStyle w:val="Body"/>
              <w:spacing w:after="0"/>
              <w:rPr>
                <w:rFonts w:ascii="Arial" w:hAnsi="Arial"/>
                <w:bCs/>
                <w:lang w:val="en-MY" w:eastAsia="zh-CN"/>
              </w:rPr>
            </w:pPr>
            <w:r>
              <w:rPr>
                <w:rFonts w:ascii="Arial" w:hAnsi="Arial"/>
                <w:bCs/>
                <w:lang w:val="en-MY" w:eastAsia="zh-CN"/>
              </w:rPr>
              <w:t>3.831 b</w:t>
            </w:r>
          </w:p>
        </w:tc>
      </w:tr>
    </w:tbl>
    <w:p w:rsidR="00DD21CA" w:rsidRDefault="00EF432E">
      <w:pPr>
        <w:pStyle w:val="Body"/>
        <w:spacing w:after="0"/>
        <w:rPr>
          <w:rFonts w:ascii="Arial" w:hAnsi="Arial"/>
          <w:bCs/>
          <w:i/>
          <w:iCs/>
          <w:sz w:val="18"/>
          <w:szCs w:val="18"/>
          <w:lang w:val="en-MY" w:eastAsia="zh-CN"/>
        </w:rPr>
      </w:pPr>
      <w:r>
        <w:rPr>
          <w:rFonts w:ascii="Arial" w:hAnsi="Arial"/>
          <w:bCs/>
          <w:i/>
          <w:iCs/>
          <w:sz w:val="18"/>
          <w:szCs w:val="18"/>
          <w:lang w:eastAsia="zh-CN"/>
        </w:rPr>
        <w:t>*</w:t>
      </w:r>
      <w:r>
        <w:rPr>
          <w:rFonts w:ascii="Arial" w:hAnsi="Arial"/>
          <w:bCs/>
          <w:i/>
          <w:iCs/>
          <w:sz w:val="18"/>
          <w:szCs w:val="18"/>
          <w:lang w:val="en-MY" w:eastAsia="zh-CN"/>
        </w:rPr>
        <w:t>O40: oven drying at 40°C; O50: oven drying at 50°C; O60: oven drying at 60°C; O70: oven drying at 70°C; AD: ambient drying; FD: freeze drying; means in each column marked by the same letter are not significantly different at P&lt;0.05 according to Tukey’s test.</w:t>
      </w:r>
      <w:r>
        <w:rPr>
          <w:rFonts w:ascii="Arial" w:hAnsi="Arial"/>
          <w:bCs/>
          <w:i/>
          <w:iCs/>
          <w:sz w:val="18"/>
          <w:szCs w:val="18"/>
        </w:rPr>
        <w:t xml:space="preserve"> </w:t>
      </w:r>
    </w:p>
    <w:p w:rsidR="00DD21CA" w:rsidRDefault="00DD21CA">
      <w:pPr>
        <w:pStyle w:val="Body"/>
        <w:spacing w:after="0"/>
        <w:rPr>
          <w:rFonts w:ascii="Arial" w:hAnsi="Arial" w:cs="Arial"/>
          <w:lang w:val="en-MY"/>
        </w:rPr>
      </w:pPr>
    </w:p>
    <w:p w:rsidR="00DD21CA" w:rsidRDefault="00DD21CA">
      <w:pPr>
        <w:pStyle w:val="Body"/>
        <w:spacing w:after="0"/>
        <w:rPr>
          <w:rFonts w:ascii="Arial" w:hAnsi="Arial" w:cs="Arial"/>
          <w:lang w:val="en-MY"/>
        </w:rPr>
      </w:pPr>
    </w:p>
    <w:p w:rsidR="00DD21CA" w:rsidRDefault="00EF432E">
      <w:pPr>
        <w:pStyle w:val="Body"/>
        <w:rPr>
          <w:rFonts w:ascii="Arial" w:hAnsi="Arial" w:cs="Arial"/>
          <w:b/>
          <w:u w:val="single"/>
          <w:lang w:val="en-MY"/>
        </w:rPr>
      </w:pPr>
      <w:r>
        <w:rPr>
          <w:rFonts w:ascii="Arial" w:hAnsi="Arial" w:cs="Arial"/>
          <w:b/>
          <w:u w:val="single"/>
          <w:lang w:val="en-MY"/>
        </w:rPr>
        <w:t>3.</w:t>
      </w:r>
      <w:r>
        <w:rPr>
          <w:rFonts w:ascii="Arial" w:hAnsi="Arial" w:cs="Arial"/>
          <w:b/>
          <w:u w:val="single"/>
        </w:rPr>
        <w:t>3</w:t>
      </w:r>
      <w:r>
        <w:rPr>
          <w:rFonts w:ascii="Arial" w:hAnsi="Arial" w:cs="Arial"/>
          <w:b/>
          <w:u w:val="single"/>
          <w:lang w:val="en-MY"/>
        </w:rPr>
        <w:t xml:space="preserve"> </w:t>
      </w:r>
      <w:bookmarkStart w:id="2" w:name="_Hlk201790327"/>
      <w:r>
        <w:rPr>
          <w:rFonts w:ascii="Arial" w:hAnsi="Arial" w:cs="Arial"/>
          <w:b/>
          <w:u w:val="single"/>
          <w:lang w:val="en-MY"/>
        </w:rPr>
        <w:t>Quercetin-3-O-glucuronide and quercitrin</w:t>
      </w:r>
      <w:bookmarkEnd w:id="2"/>
    </w:p>
    <w:p w:rsidR="00DD21CA" w:rsidRDefault="00EF432E">
      <w:pPr>
        <w:pStyle w:val="Body"/>
        <w:rPr>
          <w:rFonts w:ascii="Arial" w:hAnsi="Arial" w:cs="Arial"/>
          <w:bCs/>
          <w:lang w:val="en-MY"/>
        </w:rPr>
      </w:pPr>
      <w:r>
        <w:rPr>
          <w:rFonts w:ascii="Arial" w:hAnsi="Arial" w:cs="Arial"/>
          <w:bCs/>
          <w:lang w:val="en-MY"/>
        </w:rPr>
        <w:t>The HPLC chromatogram confirmed the presence of quercetin-3-O-glucuronide (Q3G) and quercitrin based on their respective retention times (Figure 1).  Quercetin-3-O-glucuronide (Q3G) and quercitrin were identified at retention times (</w:t>
      </w:r>
      <w:proofErr w:type="spellStart"/>
      <w:r>
        <w:rPr>
          <w:rFonts w:ascii="Arial" w:hAnsi="Arial" w:cs="Arial"/>
          <w:bCs/>
          <w:lang w:val="en-MY"/>
        </w:rPr>
        <w:t>tR</w:t>
      </w:r>
      <w:proofErr w:type="spellEnd"/>
      <w:r>
        <w:rPr>
          <w:rFonts w:ascii="Arial" w:hAnsi="Arial" w:cs="Arial"/>
          <w:bCs/>
          <w:lang w:val="en-MY"/>
        </w:rPr>
        <w:t>) of 11.9 and 15.9 minutes, respectively, with their general molecular structures illustrated in Figure 2.</w:t>
      </w:r>
    </w:p>
    <w:p w:rsidR="00DD21CA" w:rsidRDefault="00EF432E">
      <w:pPr>
        <w:pStyle w:val="Body"/>
        <w:rPr>
          <w:rFonts w:ascii="Arial" w:hAnsi="Arial" w:cs="Arial"/>
          <w:bCs/>
          <w:lang w:val="en-MY"/>
        </w:rPr>
      </w:pPr>
      <w:r>
        <w:rPr>
          <w:rFonts w:ascii="Arial" w:hAnsi="Arial" w:cs="Arial"/>
          <w:bCs/>
          <w:lang w:val="en-MY"/>
        </w:rPr>
        <w:t xml:space="preserve">In </w:t>
      </w:r>
      <w:r>
        <w:rPr>
          <w:rFonts w:ascii="Arial" w:hAnsi="Arial" w:cs="Arial"/>
          <w:bCs/>
          <w:i/>
          <w:iCs/>
          <w:lang w:val="en-MY"/>
        </w:rPr>
        <w:t>P. minor</w:t>
      </w:r>
      <w:r>
        <w:rPr>
          <w:rFonts w:ascii="Arial" w:hAnsi="Arial" w:cs="Arial"/>
          <w:bCs/>
          <w:lang w:val="en-MY"/>
        </w:rPr>
        <w:t xml:space="preserve">, the predominant phenolic compounds are flavonoids, particularly glycosides of the </w:t>
      </w:r>
      <w:proofErr w:type="spellStart"/>
      <w:r>
        <w:rPr>
          <w:rFonts w:ascii="Arial" w:hAnsi="Arial" w:cs="Arial"/>
          <w:bCs/>
          <w:lang w:val="en-MY"/>
        </w:rPr>
        <w:t>flavonol</w:t>
      </w:r>
      <w:proofErr w:type="spellEnd"/>
      <w:r>
        <w:rPr>
          <w:rFonts w:ascii="Arial" w:hAnsi="Arial" w:cs="Arial"/>
          <w:bCs/>
          <w:lang w:val="en-MY"/>
        </w:rPr>
        <w:t xml:space="preserve"> quercetin. Figure 3 highlights the concentration of Q3G, one of the major quercetin derivatives identified in this species. It was observed that both the drying technique and solvent type significantly influenced Q3G retention. In methanolic extracts, FD and OD40 exhibited the highest Q3G levels with 4.877 mg/g and 4.324 mg/g, respectively. Conversely, samples subjected to higher </w:t>
      </w:r>
      <w:r>
        <w:rPr>
          <w:rFonts w:ascii="Arial" w:hAnsi="Arial" w:cs="Arial"/>
          <w:bCs/>
          <w:lang w:val="en-MY"/>
        </w:rPr>
        <w:lastRenderedPageBreak/>
        <w:t>drying temperatures (OD50, OD60 and OD70) showed markedly reduced Q3G concentrations. According to Saifullah et al. (2019), h</w:t>
      </w:r>
      <w:r>
        <w:rPr>
          <w:rFonts w:ascii="Arial" w:hAnsi="Arial" w:cs="Arial"/>
          <w:bCs/>
          <w:lang w:val="en-MY" w:eastAsia="zh-CN"/>
        </w:rPr>
        <w:t xml:space="preserve">ot air oven drying </w:t>
      </w:r>
      <w:r>
        <w:rPr>
          <w:rFonts w:ascii="Arial" w:hAnsi="Arial" w:cs="Arial"/>
          <w:bCs/>
          <w:lang w:val="en-MY"/>
        </w:rPr>
        <w:t>temperatures exert varying effects on individual phenolic compounds, likely due to their distinct molecular structures that influence their susceptibility to oxidation, enzymatic degradation and other thermal reactions. The same study also reported that freeze-dried lemon myrtle (</w:t>
      </w:r>
      <w:r>
        <w:rPr>
          <w:rFonts w:ascii="Arial" w:hAnsi="Arial" w:cs="Arial"/>
          <w:bCs/>
          <w:i/>
          <w:iCs/>
          <w:lang w:val="en-MY" w:eastAsia="zh-CN"/>
        </w:rPr>
        <w:t xml:space="preserve">B. </w:t>
      </w:r>
      <w:proofErr w:type="spellStart"/>
      <w:r>
        <w:rPr>
          <w:rFonts w:ascii="Arial" w:hAnsi="Arial" w:cs="Arial"/>
          <w:bCs/>
          <w:i/>
          <w:iCs/>
          <w:lang w:val="en-MY" w:eastAsia="zh-CN"/>
        </w:rPr>
        <w:t>citriodora</w:t>
      </w:r>
      <w:proofErr w:type="spellEnd"/>
      <w:r>
        <w:rPr>
          <w:rFonts w:ascii="Arial" w:hAnsi="Arial" w:cs="Arial"/>
          <w:bCs/>
          <w:lang w:val="en-MY" w:eastAsia="zh-CN"/>
        </w:rPr>
        <w:t>)</w:t>
      </w:r>
      <w:r>
        <w:rPr>
          <w:rFonts w:ascii="Arial" w:hAnsi="Arial" w:cs="Arial"/>
          <w:bCs/>
          <w:lang w:val="en-MY"/>
        </w:rPr>
        <w:t xml:space="preserve"> leaves contained the highest concentration of gallic acid, followed by those subjected to hot air drying (≥50°C</w:t>
      </w:r>
      <w:r>
        <w:rPr>
          <w:rFonts w:ascii="Arial" w:hAnsi="Arial" w:cs="Arial"/>
          <w:bCs/>
          <w:lang w:val="en-MY" w:eastAsia="zh-CN"/>
        </w:rPr>
        <w:t xml:space="preserve">) </w:t>
      </w:r>
      <w:r>
        <w:rPr>
          <w:rFonts w:ascii="Arial" w:hAnsi="Arial" w:cs="Arial"/>
          <w:bCs/>
          <w:lang w:val="en-MY"/>
        </w:rPr>
        <w:t>and other conventional drying methods.</w:t>
      </w:r>
    </w:p>
    <w:p w:rsidR="00DD21CA" w:rsidRDefault="00EF432E">
      <w:pPr>
        <w:pStyle w:val="Body"/>
        <w:rPr>
          <w:rFonts w:ascii="Arial" w:hAnsi="Arial" w:cs="Arial"/>
          <w:bCs/>
          <w:lang w:val="en-MY"/>
        </w:rPr>
      </w:pPr>
      <w:r>
        <w:rPr>
          <w:rFonts w:ascii="Arial" w:hAnsi="Arial" w:cs="Arial"/>
          <w:bCs/>
          <w:lang w:val="en-MY"/>
        </w:rPr>
        <w:t>Aqueous extracts followed a comparable trend (Figure 3), with FD yielding the highest Q3G content (8.988 mg/g) across all drying treatments. Interestingly, AD also retained relatively high levels of Q3G (8.151 mg/g), although not as consistently as FD and OD40. This may be due to the slower drying rate at room temperature, which helps prevent heat damage and better preserves sensitive compounds. Similarly, Hu et al. (2021) reported that ambient (air) drying effectively preserves flavonoids in mulberry (</w:t>
      </w:r>
      <w:proofErr w:type="spellStart"/>
      <w:r>
        <w:rPr>
          <w:rFonts w:ascii="Arial" w:hAnsi="Arial" w:cs="Arial"/>
          <w:bCs/>
          <w:i/>
          <w:iCs/>
          <w:lang w:val="en-MY"/>
        </w:rPr>
        <w:t>Morus</w:t>
      </w:r>
      <w:proofErr w:type="spellEnd"/>
      <w:r>
        <w:rPr>
          <w:rFonts w:ascii="Arial" w:hAnsi="Arial" w:cs="Arial"/>
          <w:bCs/>
          <w:lang w:val="en-MY"/>
        </w:rPr>
        <w:t xml:space="preserve"> sp.) leaves, likely due to its gradual moisture removal. The slower drying process may allow mesophyll cells to stay active longer, continuing to convert intermediate metabolites into flavonoids and increasing their levels. Meanwhile, the consistently higher Q3G levels in aqueous extracts compared to methanolic extracts may also suggest a greater solubility or extractability of Q3G in water, potentially due to its highly polar glucuronide moiety. According to Srinivas et al. (2010), quercetin works better as an antioxidant in a water-soluble phase than in a lipid-soluble phase, up to eight times greater. This is because quercetin with sugar groups (like glucosides or glucuronides) has lower octanol–water partition coefficient compared to quercetin aglycone, indicating greater water solubility. </w:t>
      </w:r>
      <w:r>
        <w:rPr>
          <w:rFonts w:ascii="Arial" w:hAnsi="Arial" w:cs="Arial"/>
          <w:bCs/>
          <w:lang w:val="en-MY" w:eastAsia="zh-CN"/>
        </w:rPr>
        <w:t>Given that water has a higher polarity than methanol, it is more effective in extracting highly polar flavonoids such as Q3G and quercitrin.</w:t>
      </w:r>
    </w:p>
    <w:p w:rsidR="00DD21CA" w:rsidRDefault="00EF432E">
      <w:pPr>
        <w:pStyle w:val="Body"/>
        <w:rPr>
          <w:rFonts w:ascii="Arial" w:hAnsi="Arial" w:cs="Arial"/>
          <w:bCs/>
          <w:lang w:val="en-MY"/>
        </w:rPr>
      </w:pPr>
      <w:r>
        <w:rPr>
          <w:rFonts w:ascii="Arial" w:hAnsi="Arial" w:cs="Arial"/>
          <w:bCs/>
          <w:lang w:val="en-MY"/>
        </w:rPr>
        <w:t xml:space="preserve">These observations reflect the thermolabile and polar characteristics of Q3G, which favour both aqueous extraction and retention under low or non-thermal drying conditions. Freeze drying, which employs low temperatures and vacuum, was particularly effective in stabilizing Q3G, especially in aqueous extracts. Likewise, OD40 and AD served as practical alternatives by minimizing thermal degradation during processing. </w:t>
      </w:r>
    </w:p>
    <w:p w:rsidR="00DD21CA" w:rsidRDefault="00EF432E">
      <w:pPr>
        <w:pStyle w:val="Body"/>
        <w:rPr>
          <w:rFonts w:ascii="Arial" w:hAnsi="Arial" w:cs="Arial"/>
          <w:bCs/>
          <w:lang w:val="en-MY"/>
        </w:rPr>
      </w:pPr>
      <w:r>
        <w:rPr>
          <w:rFonts w:ascii="Arial" w:hAnsi="Arial" w:cs="Arial"/>
          <w:bCs/>
          <w:lang w:val="en-MY"/>
        </w:rPr>
        <w:t xml:space="preserve">Similar to Q3G, freeze drying yielded the highest quercitrin concentrations in both methanolic and aqueous extracts (Figure 4). In methanolic extracts, FD (1.148 mg/g) demonstrated quercitrin levels comparable to those of OD40 (1.029 mg/g), both of which retained higher concentrations compared to higher temperature treatments (OD50, OD60 and OD70). Notably, aqueous extraction was more effective than methanolic extraction in recovering quercitrin, particularly under FD and AD conditions, which yielded the highest concentrations at 1.693 mg/g and 1.447 mg/g, respectively. The enhanced retention observed under FD and AD further highlights the importance of gentle drying methods in preserving heat-sensitive flavonoids in </w:t>
      </w:r>
      <w:r>
        <w:rPr>
          <w:rFonts w:ascii="Arial" w:hAnsi="Arial" w:cs="Arial"/>
          <w:bCs/>
          <w:i/>
          <w:iCs/>
          <w:lang w:val="en-MY"/>
        </w:rPr>
        <w:t>P. minor.</w:t>
      </w:r>
      <w:r>
        <w:rPr>
          <w:rFonts w:ascii="Arial" w:hAnsi="Arial" w:cs="Arial"/>
          <w:bCs/>
          <w:lang w:val="en-MY"/>
        </w:rPr>
        <w:t xml:space="preserve"> These results suggest that, due to its polar </w:t>
      </w:r>
      <w:proofErr w:type="spellStart"/>
      <w:r>
        <w:rPr>
          <w:rFonts w:ascii="Arial" w:hAnsi="Arial" w:cs="Arial"/>
          <w:bCs/>
          <w:lang w:val="en-MY"/>
        </w:rPr>
        <w:t>glycosidic</w:t>
      </w:r>
      <w:proofErr w:type="spellEnd"/>
      <w:r>
        <w:rPr>
          <w:rFonts w:ascii="Arial" w:hAnsi="Arial" w:cs="Arial"/>
          <w:bCs/>
          <w:lang w:val="en-MY"/>
        </w:rPr>
        <w:t xml:space="preserve"> structure, quercitrin is more efficiently extracted with water under low-temperature or mild drying conditions. In addition, the flavonoid compound also possesses multiple hydroxyl groups that confer high polarity, making it more soluble in polar solvents like water. This structural characteristic explains the superior extraction efficiency and higher recovery of flavonoids observed with water-based extractions (</w:t>
      </w:r>
      <w:proofErr w:type="spellStart"/>
      <w:r>
        <w:rPr>
          <w:rFonts w:ascii="Arial" w:hAnsi="Arial" w:cs="Arial"/>
          <w:bCs/>
          <w:lang w:val="en-MY"/>
        </w:rPr>
        <w:t>Kabubii</w:t>
      </w:r>
      <w:proofErr w:type="spellEnd"/>
      <w:r>
        <w:rPr>
          <w:rFonts w:ascii="Arial" w:hAnsi="Arial" w:cs="Arial"/>
          <w:bCs/>
          <w:lang w:val="en-MY"/>
        </w:rPr>
        <w:t xml:space="preserve"> et al</w:t>
      </w:r>
      <w:r>
        <w:rPr>
          <w:rFonts w:ascii="Arial" w:hAnsi="Arial" w:cs="Arial"/>
          <w:bCs/>
        </w:rPr>
        <w:t>.,</w:t>
      </w:r>
      <w:r>
        <w:rPr>
          <w:rFonts w:ascii="Arial" w:hAnsi="Arial" w:cs="Arial"/>
          <w:bCs/>
          <w:lang w:val="en-MY"/>
        </w:rPr>
        <w:t xml:space="preserve"> 2023).</w:t>
      </w:r>
    </w:p>
    <w:p w:rsidR="00DD21CA" w:rsidRDefault="00EF432E">
      <w:pPr>
        <w:pStyle w:val="Body"/>
        <w:rPr>
          <w:rFonts w:ascii="Arial" w:hAnsi="Arial" w:cs="Arial"/>
          <w:bCs/>
          <w:lang w:val="en-MY"/>
        </w:rPr>
      </w:pPr>
      <w:r>
        <w:rPr>
          <w:rFonts w:ascii="Arial" w:hAnsi="Arial" w:cs="Arial"/>
          <w:bCs/>
          <w:lang w:val="en-MY"/>
        </w:rPr>
        <w:t xml:space="preserve">The present study reaffirms that combining gentle drying methods, particularly freeze drying and low temperature oven drying (40°C) with water extraction, offers an optimal strategy for maximizing the recovery of Q3G and quercitrin in </w:t>
      </w:r>
      <w:r>
        <w:rPr>
          <w:rFonts w:ascii="Arial" w:hAnsi="Arial" w:cs="Arial"/>
          <w:bCs/>
          <w:i/>
          <w:iCs/>
          <w:lang w:val="en-MY"/>
        </w:rPr>
        <w:t>P. minor.</w:t>
      </w:r>
      <w:r>
        <w:rPr>
          <w:rFonts w:ascii="Arial" w:hAnsi="Arial" w:cs="Arial"/>
          <w:bCs/>
          <w:lang w:val="en-MY"/>
        </w:rPr>
        <w:t xml:space="preserve"> Water is a preferred solvent due to its non-toxic, environmentally friendly and cost-effective nature compared to methanol (</w:t>
      </w:r>
      <w:proofErr w:type="spellStart"/>
      <w:r>
        <w:rPr>
          <w:rFonts w:ascii="Arial" w:hAnsi="Arial" w:cs="Arial"/>
          <w:bCs/>
          <w:lang w:val="en-MY"/>
        </w:rPr>
        <w:t>Lezoul</w:t>
      </w:r>
      <w:proofErr w:type="spellEnd"/>
      <w:r>
        <w:rPr>
          <w:rFonts w:ascii="Arial" w:hAnsi="Arial" w:cs="Arial"/>
          <w:bCs/>
          <w:lang w:val="en-MY"/>
        </w:rPr>
        <w:t xml:space="preserve"> et al.</w:t>
      </w:r>
      <w:r>
        <w:rPr>
          <w:rFonts w:ascii="Arial" w:hAnsi="Arial" w:cs="Arial"/>
          <w:bCs/>
        </w:rPr>
        <w:t>,</w:t>
      </w:r>
      <w:r>
        <w:rPr>
          <w:rFonts w:ascii="Arial" w:hAnsi="Arial" w:cs="Arial"/>
          <w:bCs/>
          <w:lang w:val="en-MY"/>
        </w:rPr>
        <w:t xml:space="preserve"> 2020). While freeze drying consistently offers effective phytochemical retention, its high energy demand and operational cost make it less feasible for large scale production. In contrast, oven drying </w:t>
      </w:r>
      <w:r>
        <w:rPr>
          <w:rFonts w:ascii="Arial" w:hAnsi="Arial" w:cs="Arial"/>
          <w:bCs/>
          <w:i/>
          <w:iCs/>
          <w:lang w:val="en-MY"/>
        </w:rPr>
        <w:t>P. minor</w:t>
      </w:r>
      <w:r>
        <w:rPr>
          <w:rFonts w:ascii="Arial" w:hAnsi="Arial" w:cs="Arial"/>
          <w:bCs/>
          <w:lang w:val="en-MY"/>
        </w:rPr>
        <w:t xml:space="preserve"> at 40°C presents a more practical and cost-effective alternative. It consumes significantly less energy and offers simpler operation and process control, along with the added benefit of a shorter drying duration (52 hours). This makes it more viable option for industrial settings where cost-efficiency and bioactive compound preservation are critical.</w:t>
      </w:r>
    </w:p>
    <w:p w:rsidR="00DD21CA" w:rsidRDefault="00EF432E">
      <w:pPr>
        <w:pStyle w:val="Body"/>
        <w:rPr>
          <w:rFonts w:ascii="Arial" w:hAnsi="Arial" w:cs="Arial"/>
          <w:bCs/>
          <w:lang w:val="en-MY"/>
        </w:rPr>
      </w:pPr>
      <w:r>
        <w:rPr>
          <w:rFonts w:ascii="Arial" w:hAnsi="Arial" w:cs="Arial"/>
          <w:bCs/>
          <w:noProof/>
        </w:rPr>
        <w:lastRenderedPageBreak/>
        <w:drawing>
          <wp:inline distT="0" distB="0" distL="0" distR="0">
            <wp:extent cx="3733800" cy="2504440"/>
            <wp:effectExtent l="0" t="0" r="0" b="10160"/>
            <wp:docPr id="5645245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524575" name="Picture 3"/>
                    <pic:cNvPicPr>
                      <a:picLocks noChangeAspect="1"/>
                    </pic:cNvPicPr>
                  </pic:nvPicPr>
                  <pic:blipFill>
                    <a:blip r:embed="rId15"/>
                    <a:stretch>
                      <a:fillRect/>
                    </a:stretch>
                  </pic:blipFill>
                  <pic:spPr>
                    <a:xfrm>
                      <a:off x="0" y="0"/>
                      <a:ext cx="3733800" cy="2504440"/>
                    </a:xfrm>
                    <a:prstGeom prst="rect">
                      <a:avLst/>
                    </a:prstGeom>
                  </pic:spPr>
                </pic:pic>
              </a:graphicData>
            </a:graphic>
          </wp:inline>
        </w:drawing>
      </w:r>
    </w:p>
    <w:p w:rsidR="00DD21CA" w:rsidRDefault="00EF432E">
      <w:pPr>
        <w:tabs>
          <w:tab w:val="left" w:pos="1080"/>
        </w:tabs>
        <w:jc w:val="both"/>
        <w:rPr>
          <w:rFonts w:ascii="Arial" w:hAnsi="Arial"/>
          <w:b/>
          <w:lang w:val="en-MY"/>
        </w:rPr>
      </w:pPr>
      <w:r>
        <w:rPr>
          <w:rFonts w:ascii="Arial" w:hAnsi="Arial" w:cs="Arial"/>
          <w:b/>
          <w:bCs/>
          <w:szCs w:val="22"/>
        </w:rPr>
        <w:t xml:space="preserve">Fig. 1. </w:t>
      </w:r>
      <w:r>
        <w:rPr>
          <w:rFonts w:ascii="Arial" w:hAnsi="Arial"/>
          <w:b/>
          <w:lang w:val="en-MY"/>
        </w:rPr>
        <w:t xml:space="preserve">HPLC chromatographic profile of quercetin-3-O-glucuronide, quercitrin reference standard and </w:t>
      </w:r>
      <w:r>
        <w:rPr>
          <w:rFonts w:ascii="Arial" w:hAnsi="Arial"/>
          <w:b/>
          <w:i/>
          <w:iCs/>
          <w:lang w:val="en-MY"/>
        </w:rPr>
        <w:t xml:space="preserve">P. minor </w:t>
      </w:r>
      <w:r>
        <w:rPr>
          <w:rFonts w:ascii="Arial" w:hAnsi="Arial"/>
          <w:b/>
          <w:lang w:val="en-MY"/>
        </w:rPr>
        <w:t>extract</w:t>
      </w:r>
    </w:p>
    <w:p w:rsidR="00DD21CA" w:rsidRDefault="00DD21CA">
      <w:pPr>
        <w:tabs>
          <w:tab w:val="left" w:pos="1080"/>
        </w:tabs>
        <w:jc w:val="both"/>
        <w:rPr>
          <w:rFonts w:ascii="Arial" w:hAnsi="Arial"/>
          <w:b/>
          <w:lang w:val="en-MY"/>
        </w:rPr>
      </w:pPr>
    </w:p>
    <w:p w:rsidR="00DD21CA" w:rsidRDefault="00DD21CA">
      <w:pPr>
        <w:tabs>
          <w:tab w:val="left" w:pos="1080"/>
        </w:tabs>
        <w:jc w:val="both"/>
        <w:rPr>
          <w:rFonts w:ascii="Arial" w:hAnsi="Arial"/>
          <w:b/>
          <w:lang w:val="en-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DD21CA">
        <w:tc>
          <w:tcPr>
            <w:tcW w:w="4530" w:type="dxa"/>
          </w:tcPr>
          <w:p w:rsidR="00DD21CA" w:rsidRDefault="00EF432E">
            <w:pPr>
              <w:pStyle w:val="PMMB33textspaceafter"/>
              <w:jc w:val="center"/>
              <w:rPr>
                <w:bCs/>
                <w:i/>
                <w:iCs/>
                <w:sz w:val="20"/>
                <w:szCs w:val="20"/>
                <w:lang w:val="en-MY"/>
              </w:rPr>
            </w:pPr>
            <w:r>
              <w:rPr>
                <w:bCs/>
                <w:i/>
                <w:iCs/>
                <w:noProof/>
                <w:sz w:val="20"/>
                <w:szCs w:val="20"/>
                <w:lang w:eastAsia="en-US" w:bidi="ar-SA"/>
              </w:rPr>
              <w:drawing>
                <wp:anchor distT="0" distB="0" distL="114300" distR="114300" simplePos="0" relativeHeight="251662336" behindDoc="1" locked="0" layoutInCell="1" allowOverlap="1">
                  <wp:simplePos x="0" y="0"/>
                  <wp:positionH relativeFrom="column">
                    <wp:posOffset>552450</wp:posOffset>
                  </wp:positionH>
                  <wp:positionV relativeFrom="paragraph">
                    <wp:posOffset>0</wp:posOffset>
                  </wp:positionV>
                  <wp:extent cx="1602105" cy="1602105"/>
                  <wp:effectExtent l="0" t="0" r="10795" b="10795"/>
                  <wp:wrapThrough wrapText="bothSides">
                    <wp:wrapPolygon edited="0">
                      <wp:start x="15753" y="171"/>
                      <wp:lineTo x="15581" y="514"/>
                      <wp:lineTo x="15410" y="2397"/>
                      <wp:lineTo x="13356" y="4452"/>
                      <wp:lineTo x="13356" y="5650"/>
                      <wp:lineTo x="0" y="5822"/>
                      <wp:lineTo x="0" y="7363"/>
                      <wp:lineTo x="3253" y="8390"/>
                      <wp:lineTo x="3253" y="9760"/>
                      <wp:lineTo x="4109" y="11130"/>
                      <wp:lineTo x="4966" y="11130"/>
                      <wp:lineTo x="4794" y="13869"/>
                      <wp:lineTo x="5650" y="16609"/>
                      <wp:lineTo x="5650" y="17465"/>
                      <wp:lineTo x="8048" y="19348"/>
                      <wp:lineTo x="9075" y="19348"/>
                      <wp:lineTo x="9075" y="21403"/>
                      <wp:lineTo x="15753" y="21403"/>
                      <wp:lineTo x="15924" y="20547"/>
                      <wp:lineTo x="15410" y="19862"/>
                      <wp:lineTo x="19691" y="19006"/>
                      <wp:lineTo x="19862" y="17465"/>
                      <wp:lineTo x="16609" y="16609"/>
                      <wp:lineTo x="19862" y="14040"/>
                      <wp:lineTo x="20205" y="13356"/>
                      <wp:lineTo x="19520" y="12842"/>
                      <wp:lineTo x="14725" y="11130"/>
                      <wp:lineTo x="12157" y="8390"/>
                      <wp:lineTo x="15068" y="8390"/>
                      <wp:lineTo x="18492" y="6849"/>
                      <wp:lineTo x="18321" y="5650"/>
                      <wp:lineTo x="21403" y="3424"/>
                      <wp:lineTo x="21403" y="2055"/>
                      <wp:lineTo x="18492" y="171"/>
                      <wp:lineTo x="15753" y="171"/>
                    </wp:wrapPolygon>
                  </wp:wrapThrough>
                  <wp:docPr id="4" name="Picture 4" descr="q3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q3g"/>
                          <pic:cNvPicPr>
                            <a:picLocks noChangeAspect="1"/>
                          </pic:cNvPicPr>
                        </pic:nvPicPr>
                        <pic:blipFill>
                          <a:blip r:embed="rId16"/>
                          <a:stretch>
                            <a:fillRect/>
                          </a:stretch>
                        </pic:blipFill>
                        <pic:spPr>
                          <a:xfrm>
                            <a:off x="0" y="0"/>
                            <a:ext cx="1602105" cy="1602105"/>
                          </a:xfrm>
                          <a:prstGeom prst="rect">
                            <a:avLst/>
                          </a:prstGeom>
                        </pic:spPr>
                      </pic:pic>
                    </a:graphicData>
                  </a:graphic>
                </wp:anchor>
              </w:drawing>
            </w:r>
          </w:p>
        </w:tc>
        <w:tc>
          <w:tcPr>
            <w:tcW w:w="4530" w:type="dxa"/>
          </w:tcPr>
          <w:p w:rsidR="00DD21CA" w:rsidRDefault="00EF432E">
            <w:pPr>
              <w:pStyle w:val="PMMB33textspaceafter"/>
              <w:jc w:val="center"/>
              <w:rPr>
                <w:bCs/>
                <w:i/>
                <w:iCs/>
                <w:sz w:val="20"/>
                <w:szCs w:val="20"/>
                <w:lang w:val="en-MY"/>
              </w:rPr>
            </w:pPr>
            <w:r>
              <w:rPr>
                <w:bCs/>
                <w:i/>
                <w:iCs/>
                <w:noProof/>
                <w:sz w:val="20"/>
                <w:szCs w:val="20"/>
                <w:lang w:eastAsia="en-US" w:bidi="ar-SA"/>
              </w:rPr>
              <w:drawing>
                <wp:anchor distT="0" distB="0" distL="114300" distR="114300" simplePos="0" relativeHeight="251661312" behindDoc="1" locked="0" layoutInCell="1" allowOverlap="1">
                  <wp:simplePos x="0" y="0"/>
                  <wp:positionH relativeFrom="column">
                    <wp:posOffset>506730</wp:posOffset>
                  </wp:positionH>
                  <wp:positionV relativeFrom="paragraph">
                    <wp:posOffset>182880</wp:posOffset>
                  </wp:positionV>
                  <wp:extent cx="1623060" cy="1263015"/>
                  <wp:effectExtent l="0" t="0" r="2540" b="6985"/>
                  <wp:wrapThrough wrapText="bothSides">
                    <wp:wrapPolygon edited="0">
                      <wp:start x="18592" y="0"/>
                      <wp:lineTo x="15211" y="434"/>
                      <wp:lineTo x="13014" y="1738"/>
                      <wp:lineTo x="13014" y="3475"/>
                      <wp:lineTo x="0" y="4127"/>
                      <wp:lineTo x="0" y="6081"/>
                      <wp:lineTo x="3042" y="6950"/>
                      <wp:lineTo x="3042" y="8688"/>
                      <wp:lineTo x="3718" y="10425"/>
                      <wp:lineTo x="4394" y="10425"/>
                      <wp:lineTo x="4732" y="14552"/>
                      <wp:lineTo x="10648" y="17376"/>
                      <wp:lineTo x="11831" y="17376"/>
                      <wp:lineTo x="13183" y="20851"/>
                      <wp:lineTo x="13521" y="21285"/>
                      <wp:lineTo x="16056" y="21285"/>
                      <wp:lineTo x="16225" y="20851"/>
                      <wp:lineTo x="21465" y="19982"/>
                      <wp:lineTo x="21465" y="18027"/>
                      <wp:lineTo x="19437" y="17376"/>
                      <wp:lineTo x="21465" y="13249"/>
                      <wp:lineTo x="19775" y="11729"/>
                      <wp:lineTo x="14366" y="10425"/>
                      <wp:lineTo x="15042" y="10425"/>
                      <wp:lineTo x="21296" y="7385"/>
                      <wp:lineTo x="21465" y="6299"/>
                      <wp:lineTo x="20958" y="5647"/>
                      <wp:lineTo x="17746" y="3475"/>
                      <wp:lineTo x="19099" y="3475"/>
                      <wp:lineTo x="21296" y="1303"/>
                      <wp:lineTo x="21296" y="0"/>
                      <wp:lineTo x="18592" y="0"/>
                    </wp:wrapPolygon>
                  </wp:wrapThrough>
                  <wp:docPr id="5" name="Picture 5" descr="Quercit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uercitrin"/>
                          <pic:cNvPicPr>
                            <a:picLocks noChangeAspect="1"/>
                          </pic:cNvPicPr>
                        </pic:nvPicPr>
                        <pic:blipFill>
                          <a:blip r:embed="rId17"/>
                          <a:stretch>
                            <a:fillRect/>
                          </a:stretch>
                        </pic:blipFill>
                        <pic:spPr>
                          <a:xfrm>
                            <a:off x="0" y="0"/>
                            <a:ext cx="1623060" cy="1263015"/>
                          </a:xfrm>
                          <a:prstGeom prst="rect">
                            <a:avLst/>
                          </a:prstGeom>
                        </pic:spPr>
                      </pic:pic>
                    </a:graphicData>
                  </a:graphic>
                </wp:anchor>
              </w:drawing>
            </w:r>
          </w:p>
          <w:p w:rsidR="00DD21CA" w:rsidRDefault="00DD21CA">
            <w:pPr>
              <w:pStyle w:val="PMMB33textspaceafter"/>
              <w:jc w:val="left"/>
              <w:rPr>
                <w:bCs/>
                <w:i/>
                <w:iCs/>
                <w:sz w:val="20"/>
                <w:szCs w:val="20"/>
                <w:lang w:val="en-MY"/>
              </w:rPr>
            </w:pPr>
          </w:p>
        </w:tc>
      </w:tr>
      <w:tr w:rsidR="00DD21CA">
        <w:tc>
          <w:tcPr>
            <w:tcW w:w="4530" w:type="dxa"/>
          </w:tcPr>
          <w:p w:rsidR="00DD21CA" w:rsidRDefault="00EF432E">
            <w:pPr>
              <w:pStyle w:val="PMMB33textspaceafter"/>
              <w:ind w:firstLine="0"/>
              <w:jc w:val="center"/>
              <w:rPr>
                <w:b/>
                <w:szCs w:val="24"/>
                <w:lang w:val="en-MY"/>
              </w:rPr>
            </w:pPr>
            <w:r>
              <w:rPr>
                <w:b/>
                <w:szCs w:val="24"/>
                <w:lang w:val="en-MY"/>
              </w:rPr>
              <w:t>Quercetin-3-O-glucuronide</w:t>
            </w:r>
          </w:p>
        </w:tc>
        <w:tc>
          <w:tcPr>
            <w:tcW w:w="4530" w:type="dxa"/>
          </w:tcPr>
          <w:p w:rsidR="00DD21CA" w:rsidRDefault="00EF432E">
            <w:pPr>
              <w:pStyle w:val="PMMB33textspaceafter"/>
              <w:ind w:firstLine="0"/>
              <w:jc w:val="center"/>
              <w:rPr>
                <w:b/>
                <w:szCs w:val="24"/>
                <w:lang w:val="en-MY"/>
              </w:rPr>
            </w:pPr>
            <w:r>
              <w:rPr>
                <w:b/>
                <w:szCs w:val="24"/>
                <w:lang w:val="en-MY"/>
              </w:rPr>
              <w:t>Quercitrin</w:t>
            </w:r>
          </w:p>
        </w:tc>
      </w:tr>
    </w:tbl>
    <w:p w:rsidR="00DD21CA" w:rsidRDefault="00EF432E">
      <w:pPr>
        <w:tabs>
          <w:tab w:val="left" w:pos="1080"/>
        </w:tabs>
        <w:jc w:val="both"/>
        <w:rPr>
          <w:rFonts w:ascii="Arial" w:hAnsi="Arial"/>
          <w:b/>
          <w:lang w:val="en-MY"/>
        </w:rPr>
      </w:pPr>
      <w:r>
        <w:rPr>
          <w:rFonts w:ascii="Arial" w:hAnsi="Arial"/>
          <w:b/>
          <w:lang w:val="en-MY"/>
        </w:rPr>
        <w:t>Fig</w:t>
      </w:r>
      <w:r>
        <w:rPr>
          <w:rFonts w:ascii="Arial" w:hAnsi="Arial"/>
          <w:b/>
        </w:rPr>
        <w:t>.</w:t>
      </w:r>
      <w:r>
        <w:rPr>
          <w:rFonts w:ascii="Arial" w:hAnsi="Arial"/>
          <w:b/>
          <w:lang w:val="en-MY"/>
        </w:rPr>
        <w:t xml:space="preserve"> 2. Molecular structures of quercetin-3-O-glucuronide and quercitrin</w:t>
      </w:r>
    </w:p>
    <w:p w:rsidR="00DD21CA" w:rsidRDefault="00DD21CA">
      <w:pPr>
        <w:tabs>
          <w:tab w:val="left" w:pos="1080"/>
        </w:tabs>
        <w:jc w:val="both"/>
        <w:rPr>
          <w:rFonts w:ascii="Arial" w:hAnsi="Arial"/>
          <w:b/>
          <w:lang w:val="en-MY"/>
        </w:rPr>
      </w:pPr>
    </w:p>
    <w:p w:rsidR="00DD21CA" w:rsidRDefault="00DD21CA">
      <w:pPr>
        <w:pStyle w:val="Body"/>
        <w:spacing w:after="0"/>
        <w:rPr>
          <w:rFonts w:ascii="Arial" w:hAnsi="Arial" w:cs="Arial"/>
        </w:rPr>
      </w:pPr>
    </w:p>
    <w:p w:rsidR="00DD21CA" w:rsidRDefault="00EF432E">
      <w:pPr>
        <w:pStyle w:val="Body"/>
        <w:spacing w:after="0"/>
      </w:pPr>
      <w:r>
        <w:rPr>
          <w:noProof/>
        </w:rPr>
        <w:drawing>
          <wp:inline distT="0" distB="0" distL="114300" distR="114300">
            <wp:extent cx="4289425" cy="2429510"/>
            <wp:effectExtent l="4445" t="4445" r="11430" b="17145"/>
            <wp:docPr id="6247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D21CA" w:rsidRDefault="00DD21CA">
      <w:pPr>
        <w:tabs>
          <w:tab w:val="left" w:pos="1080"/>
        </w:tabs>
        <w:jc w:val="both"/>
        <w:rPr>
          <w:rFonts w:ascii="Arial" w:hAnsi="Arial"/>
          <w:b/>
          <w:lang w:val="en-MY"/>
        </w:rPr>
      </w:pPr>
    </w:p>
    <w:p w:rsidR="00DD21CA" w:rsidRDefault="00EF432E">
      <w:pPr>
        <w:tabs>
          <w:tab w:val="left" w:pos="1080"/>
        </w:tabs>
        <w:jc w:val="both"/>
        <w:rPr>
          <w:rFonts w:ascii="Arial" w:hAnsi="Arial"/>
          <w:b/>
          <w:lang w:val="en-MY"/>
        </w:rPr>
      </w:pPr>
      <w:r>
        <w:rPr>
          <w:rFonts w:ascii="Arial" w:hAnsi="Arial"/>
          <w:b/>
          <w:lang w:val="en-MY"/>
        </w:rPr>
        <w:t>Fig</w:t>
      </w:r>
      <w:r>
        <w:rPr>
          <w:rFonts w:ascii="Arial" w:hAnsi="Arial"/>
          <w:b/>
        </w:rPr>
        <w:t>.</w:t>
      </w:r>
      <w:r>
        <w:rPr>
          <w:rFonts w:ascii="Arial" w:hAnsi="Arial"/>
          <w:b/>
          <w:lang w:val="en-MY"/>
        </w:rPr>
        <w:t xml:space="preserve"> 3. Quercetin-3-O-glucuronide (Q3G) content in </w:t>
      </w:r>
      <w:r>
        <w:rPr>
          <w:rFonts w:ascii="Arial" w:hAnsi="Arial"/>
          <w:b/>
          <w:i/>
          <w:iCs/>
          <w:lang w:val="en-MY"/>
        </w:rPr>
        <w:t>P. mino</w:t>
      </w:r>
      <w:r>
        <w:rPr>
          <w:rFonts w:ascii="Arial" w:hAnsi="Arial"/>
          <w:b/>
          <w:lang w:val="en-MY"/>
        </w:rPr>
        <w:t>r extracts</w:t>
      </w:r>
    </w:p>
    <w:p w:rsidR="00DD21CA" w:rsidRDefault="00DD21CA">
      <w:pPr>
        <w:tabs>
          <w:tab w:val="left" w:pos="1080"/>
        </w:tabs>
        <w:jc w:val="both"/>
        <w:rPr>
          <w:rFonts w:ascii="Arial" w:hAnsi="Arial"/>
          <w:b/>
          <w:lang w:val="en-MY"/>
        </w:rPr>
      </w:pPr>
    </w:p>
    <w:p w:rsidR="00DD21CA" w:rsidRDefault="00EF432E">
      <w:pPr>
        <w:pStyle w:val="Body"/>
        <w:spacing w:after="0"/>
        <w:rPr>
          <w:rFonts w:ascii="Arial" w:hAnsi="Arial" w:cs="Arial"/>
          <w:i/>
          <w:iCs/>
          <w:sz w:val="18"/>
          <w:szCs w:val="18"/>
          <w:lang w:val="en-MY" w:eastAsia="zh-CN"/>
        </w:rPr>
      </w:pPr>
      <w:r>
        <w:rPr>
          <w:rFonts w:ascii="Arial" w:hAnsi="Arial" w:cs="Arial"/>
          <w:i/>
          <w:iCs/>
          <w:sz w:val="18"/>
          <w:szCs w:val="18"/>
          <w:lang w:val="en-MY" w:eastAsia="zh-CN"/>
        </w:rPr>
        <w:t>O40: oven drying at 40°C; O50: oven drying at 50°C; O60: oven drying at 60°C; O70: oven drying at 70°C; AD: ambient drying; FD: freeze drying. Values with the same letter are not significantly different (P&lt;0.05) according to Tukey’s test</w:t>
      </w:r>
    </w:p>
    <w:p w:rsidR="00DD21CA" w:rsidRDefault="00DD21CA">
      <w:pPr>
        <w:pStyle w:val="Body"/>
        <w:spacing w:after="0"/>
        <w:rPr>
          <w:rFonts w:ascii="Arial" w:hAnsi="Arial" w:cs="Arial"/>
          <w:i/>
          <w:iCs/>
          <w:sz w:val="18"/>
          <w:szCs w:val="18"/>
          <w:lang w:val="en-MY" w:eastAsia="zh-CN"/>
        </w:rPr>
      </w:pPr>
    </w:p>
    <w:p w:rsidR="00DD21CA" w:rsidRDefault="00DD21CA">
      <w:pPr>
        <w:pStyle w:val="Body"/>
        <w:spacing w:after="0"/>
        <w:rPr>
          <w:rFonts w:ascii="Arial" w:hAnsi="Arial" w:cs="Arial"/>
          <w:i/>
          <w:iCs/>
          <w:sz w:val="18"/>
          <w:szCs w:val="18"/>
          <w:lang w:val="en-MY" w:eastAsia="zh-CN"/>
        </w:rPr>
      </w:pPr>
    </w:p>
    <w:p w:rsidR="00DD21CA" w:rsidRDefault="00EF432E">
      <w:pPr>
        <w:pStyle w:val="Body"/>
        <w:spacing w:after="0"/>
        <w:rPr>
          <w:rFonts w:ascii="Arial" w:hAnsi="Arial" w:cs="Arial"/>
          <w:i/>
          <w:iCs/>
          <w:sz w:val="18"/>
          <w:szCs w:val="18"/>
          <w:lang w:val="en-MY" w:eastAsia="zh-CN"/>
        </w:rPr>
      </w:pPr>
      <w:r>
        <w:rPr>
          <w:noProof/>
        </w:rPr>
        <w:drawing>
          <wp:inline distT="0" distB="0" distL="114300" distR="114300">
            <wp:extent cx="4258945" cy="2413635"/>
            <wp:effectExtent l="4445" t="4445" r="16510" b="7620"/>
            <wp:docPr id="6247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D21CA" w:rsidRDefault="00DD21CA">
      <w:pPr>
        <w:pStyle w:val="Body"/>
        <w:spacing w:after="0"/>
      </w:pPr>
    </w:p>
    <w:p w:rsidR="00DD21CA" w:rsidRDefault="00EF432E">
      <w:pPr>
        <w:pStyle w:val="Body"/>
        <w:spacing w:after="0"/>
        <w:rPr>
          <w:rFonts w:ascii="Arial" w:hAnsi="Arial"/>
          <w:b/>
          <w:lang w:val="en-MY"/>
        </w:rPr>
      </w:pPr>
      <w:r>
        <w:rPr>
          <w:rFonts w:ascii="Arial" w:hAnsi="Arial"/>
          <w:b/>
          <w:lang w:val="en-MY"/>
        </w:rPr>
        <w:t>Fig</w:t>
      </w:r>
      <w:r>
        <w:rPr>
          <w:rFonts w:ascii="Arial" w:hAnsi="Arial"/>
          <w:b/>
        </w:rPr>
        <w:t>.</w:t>
      </w:r>
      <w:r>
        <w:rPr>
          <w:rFonts w:ascii="Arial" w:hAnsi="Arial"/>
          <w:b/>
          <w:lang w:val="en-MY"/>
        </w:rPr>
        <w:t xml:space="preserve"> 4. Quercitrin content in</w:t>
      </w:r>
      <w:r>
        <w:rPr>
          <w:rFonts w:ascii="Arial" w:hAnsi="Arial"/>
          <w:b/>
          <w:i/>
          <w:iCs/>
          <w:lang w:val="en-MY"/>
        </w:rPr>
        <w:t xml:space="preserve"> P. minor </w:t>
      </w:r>
      <w:r>
        <w:rPr>
          <w:rFonts w:ascii="Arial" w:hAnsi="Arial"/>
          <w:b/>
          <w:lang w:val="en-MY"/>
        </w:rPr>
        <w:t>extracts</w:t>
      </w:r>
    </w:p>
    <w:p w:rsidR="00DD21CA" w:rsidRDefault="00DD21CA">
      <w:pPr>
        <w:pStyle w:val="Body"/>
        <w:spacing w:after="0"/>
        <w:rPr>
          <w:rFonts w:ascii="Arial" w:hAnsi="Arial"/>
          <w:b/>
          <w:lang w:val="en-MY"/>
        </w:rPr>
      </w:pPr>
    </w:p>
    <w:p w:rsidR="00DD21CA" w:rsidRDefault="00EF432E">
      <w:pPr>
        <w:pStyle w:val="Body"/>
        <w:spacing w:after="0"/>
        <w:rPr>
          <w:rFonts w:ascii="Arial" w:hAnsi="Arial" w:cs="Arial"/>
          <w:i/>
          <w:iCs/>
          <w:sz w:val="18"/>
          <w:szCs w:val="18"/>
          <w:lang w:val="en-MY" w:eastAsia="zh-CN"/>
        </w:rPr>
      </w:pPr>
      <w:r>
        <w:rPr>
          <w:rFonts w:ascii="Arial" w:hAnsi="Arial" w:cs="Arial"/>
          <w:i/>
          <w:iCs/>
          <w:sz w:val="18"/>
          <w:szCs w:val="18"/>
          <w:lang w:val="en-MY" w:eastAsia="zh-CN"/>
        </w:rPr>
        <w:t xml:space="preserve">O40: oven drying at 40°C; O50: oven drying at 50°C; O60: oven drying at 60°C; O70: oven drying at 70°C; AD: ambient drying; FD: freeze drying. Values with the same letter are not significantly different (P&lt;0.05) according to Tukey’s test </w:t>
      </w:r>
    </w:p>
    <w:p w:rsidR="00DD21CA" w:rsidRDefault="00DD21CA">
      <w:pPr>
        <w:pStyle w:val="Body"/>
        <w:spacing w:after="0"/>
        <w:rPr>
          <w:rFonts w:ascii="Arial" w:hAnsi="Arial"/>
          <w:b/>
          <w:lang w:val="en-MY"/>
        </w:rPr>
      </w:pPr>
    </w:p>
    <w:p w:rsidR="00DD21CA" w:rsidRDefault="00DD21CA">
      <w:pPr>
        <w:pStyle w:val="Body"/>
        <w:spacing w:after="0"/>
        <w:rPr>
          <w:rFonts w:ascii="Arial" w:hAnsi="Arial"/>
          <w:b/>
          <w:lang w:val="en-MY"/>
        </w:rPr>
      </w:pPr>
    </w:p>
    <w:p w:rsidR="00DD21CA" w:rsidRDefault="00EF432E">
      <w:pPr>
        <w:pStyle w:val="ConcHead"/>
        <w:spacing w:after="0"/>
        <w:jc w:val="both"/>
        <w:rPr>
          <w:rFonts w:ascii="Arial" w:hAnsi="Arial" w:cs="Arial"/>
        </w:rPr>
      </w:pPr>
      <w:r>
        <w:rPr>
          <w:rFonts w:ascii="Arial" w:hAnsi="Arial" w:cs="Arial"/>
        </w:rPr>
        <w:t>4. Conclusion</w:t>
      </w:r>
    </w:p>
    <w:p w:rsidR="00DD21CA" w:rsidRDefault="00DD21CA">
      <w:pPr>
        <w:pStyle w:val="ConcHead"/>
        <w:spacing w:after="0"/>
        <w:jc w:val="both"/>
        <w:rPr>
          <w:rFonts w:ascii="Arial" w:hAnsi="Arial" w:cs="Arial"/>
        </w:rPr>
      </w:pPr>
    </w:p>
    <w:p w:rsidR="00DD21CA" w:rsidRDefault="00EF432E">
      <w:pPr>
        <w:pStyle w:val="Body"/>
        <w:spacing w:after="0"/>
        <w:rPr>
          <w:rFonts w:ascii="Arial" w:hAnsi="Arial" w:cs="Arial"/>
          <w:lang w:val="en-MY"/>
        </w:rPr>
      </w:pPr>
      <w:r>
        <w:rPr>
          <w:rFonts w:ascii="Arial" w:hAnsi="Arial" w:cs="Arial"/>
          <w:lang w:val="en-MY"/>
        </w:rPr>
        <w:t xml:space="preserve">This study provides a strong foundation for developing optimized postharvest and extraction protocols for </w:t>
      </w:r>
      <w:r>
        <w:rPr>
          <w:rFonts w:ascii="Arial" w:hAnsi="Arial" w:cs="Arial"/>
          <w:i/>
          <w:iCs/>
          <w:lang w:val="en-MY"/>
        </w:rPr>
        <w:t xml:space="preserve">P. minor, </w:t>
      </w:r>
      <w:r>
        <w:rPr>
          <w:rFonts w:ascii="Arial" w:hAnsi="Arial" w:cs="Arial"/>
          <w:lang w:val="en-MY"/>
        </w:rPr>
        <w:t>particularly when targeting high value antioxidant compounds for functional food and nutraceutical applications. Low temperature oven drying at 40°C proved to be the most effective method for enhancing antioxidant activity and phytochemical yield, particularly in aqueous extracts. Freeze drying, on the other hand, was superior in preserving key flavonoids such as quercetin-3-O-glucuronide (Q3G) and quercitrin, highlighting its effectiveness in retaining heat-sensitive compounds. However, oven drying serves as a more practical and cost-effective alternative for industrial scale applications. Aqueous extraction, when combined with gentle drying techniques, is a viable and eco-friendly alternative for recovering the bioactive compounds, aligning with the increasing demand for green extraction technologies. Future research should explore scaling up low temperature drying techniques and validating the stability of preserved compounds during long term storage and formulation development. Investigations into synergistic effects between different phenolic and flavonoid compounds in</w:t>
      </w:r>
      <w:r>
        <w:rPr>
          <w:rFonts w:ascii="Arial" w:hAnsi="Arial" w:cs="Arial"/>
          <w:i/>
          <w:iCs/>
          <w:lang w:val="en-MY"/>
        </w:rPr>
        <w:t xml:space="preserve"> P. minor </w:t>
      </w:r>
      <w:r>
        <w:rPr>
          <w:rFonts w:ascii="Arial" w:hAnsi="Arial" w:cs="Arial"/>
          <w:lang w:val="en-MY"/>
        </w:rPr>
        <w:t>extracts may further clarify the mechanisms underlying their antioxidant activity.</w:t>
      </w:r>
    </w:p>
    <w:p w:rsidR="00DD21CA" w:rsidRDefault="00DD21CA">
      <w:pPr>
        <w:pStyle w:val="Body"/>
        <w:spacing w:after="0"/>
        <w:rPr>
          <w:rFonts w:ascii="Arial" w:hAnsi="Arial" w:cs="Arial"/>
          <w:lang w:val="en-MY"/>
        </w:rPr>
      </w:pPr>
    </w:p>
    <w:p w:rsidR="00DD21CA" w:rsidRDefault="00DD21CA">
      <w:pPr>
        <w:pStyle w:val="Body"/>
        <w:spacing w:after="0"/>
        <w:rPr>
          <w:rFonts w:ascii="Arial" w:hAnsi="Arial" w:cs="Arial"/>
          <w:lang w:val="en-MY"/>
        </w:rPr>
      </w:pPr>
    </w:p>
    <w:p w:rsidR="00DD21CA" w:rsidRDefault="00EF432E">
      <w:pPr>
        <w:rPr>
          <w:rFonts w:ascii="Arial" w:eastAsia="Calibri" w:hAnsi="Arial" w:cs="Arial"/>
          <w:b/>
          <w:bCs/>
          <w:kern w:val="2"/>
          <w:sz w:val="22"/>
          <w:szCs w:val="22"/>
        </w:rPr>
      </w:pPr>
      <w:bookmarkStart w:id="3" w:name="_Hlk180402183"/>
      <w:bookmarkStart w:id="4" w:name="_Hlk197682619"/>
      <w:bookmarkStart w:id="5" w:name="_Hlk197351200"/>
      <w:bookmarkStart w:id="6" w:name="_Hlk183680988"/>
      <w:r>
        <w:rPr>
          <w:rFonts w:ascii="Arial" w:eastAsia="Calibri" w:hAnsi="Arial" w:cs="Arial"/>
          <w:b/>
          <w:bCs/>
          <w:kern w:val="2"/>
          <w:sz w:val="22"/>
          <w:szCs w:val="22"/>
        </w:rPr>
        <w:t xml:space="preserve">DISCLAIMER (ARTIFICIAL INTELLIGENCE) </w:t>
      </w:r>
    </w:p>
    <w:p w:rsidR="00DD21CA" w:rsidRDefault="00DD21CA">
      <w:pPr>
        <w:rPr>
          <w:rFonts w:ascii="Arial" w:eastAsia="Calibri" w:hAnsi="Arial" w:cs="Arial"/>
          <w:b/>
          <w:bCs/>
          <w:kern w:val="2"/>
          <w:sz w:val="22"/>
          <w:szCs w:val="22"/>
        </w:rPr>
      </w:pPr>
    </w:p>
    <w:p w:rsidR="00DD21CA" w:rsidRDefault="00EF432E">
      <w:pPr>
        <w:rPr>
          <w:rFonts w:ascii="Arial" w:eastAsia="Calibri" w:hAnsi="Arial" w:cs="Arial"/>
          <w:kern w:val="2"/>
        </w:rPr>
      </w:pPr>
      <w:r>
        <w:rPr>
          <w:rFonts w:ascii="Arial" w:eastAsia="Calibri" w:hAnsi="Arial" w:cs="Arial"/>
          <w:kern w:val="2"/>
        </w:rPr>
        <w:t>Author(s) hereby declares that no generative AI technologies such as Large Language Models (</w:t>
      </w:r>
      <w:proofErr w:type="spellStart"/>
      <w:r>
        <w:rPr>
          <w:rFonts w:ascii="Arial" w:eastAsia="Calibri" w:hAnsi="Arial" w:cs="Arial"/>
          <w:kern w:val="2"/>
        </w:rPr>
        <w:t>ChatGPT</w:t>
      </w:r>
      <w:proofErr w:type="spellEnd"/>
      <w:r>
        <w:rPr>
          <w:rFonts w:ascii="Arial" w:eastAsia="Calibri" w:hAnsi="Arial" w:cs="Arial"/>
          <w:kern w:val="2"/>
        </w:rPr>
        <w:t xml:space="preserve">, COPILOT, etc.) and text-to-image generators have been used during the writing or editing of this manuscript. </w:t>
      </w:r>
    </w:p>
    <w:p w:rsidR="00DD21CA" w:rsidRDefault="00DD21CA">
      <w:pPr>
        <w:rPr>
          <w:rFonts w:ascii="Calibri" w:eastAsia="Calibri" w:hAnsi="Calibri"/>
          <w:kern w:val="2"/>
          <w:highlight w:val="yellow"/>
        </w:rPr>
      </w:pPr>
    </w:p>
    <w:bookmarkEnd w:id="3"/>
    <w:bookmarkEnd w:id="4"/>
    <w:bookmarkEnd w:id="5"/>
    <w:bookmarkEnd w:id="6"/>
    <w:p w:rsidR="00DD21CA" w:rsidRDefault="00DD21CA">
      <w:pPr>
        <w:pStyle w:val="ReferHead"/>
        <w:spacing w:after="0"/>
        <w:jc w:val="both"/>
        <w:rPr>
          <w:rFonts w:ascii="Arial" w:hAnsi="Arial" w:cs="Arial"/>
        </w:rPr>
      </w:pPr>
    </w:p>
    <w:p w:rsidR="00DD21CA" w:rsidRDefault="00EF432E">
      <w:pPr>
        <w:pStyle w:val="ReferHead"/>
        <w:spacing w:after="0"/>
        <w:jc w:val="both"/>
        <w:rPr>
          <w:rFonts w:ascii="Arial" w:hAnsi="Arial" w:cs="Arial"/>
        </w:rPr>
      </w:pPr>
      <w:r>
        <w:rPr>
          <w:rFonts w:ascii="Arial" w:hAnsi="Arial" w:cs="Arial"/>
        </w:rPr>
        <w:t>References</w:t>
      </w:r>
    </w:p>
    <w:p w:rsidR="00DD21CA" w:rsidRDefault="00DD21CA">
      <w:pPr>
        <w:pStyle w:val="ReferHead"/>
        <w:spacing w:after="0"/>
        <w:jc w:val="both"/>
        <w:rPr>
          <w:rFonts w:ascii="Arial" w:hAnsi="Arial" w:cs="Arial"/>
        </w:rPr>
      </w:pPr>
    </w:p>
    <w:p w:rsidR="00DD21CA" w:rsidRDefault="00EF432E">
      <w:pPr>
        <w:pStyle w:val="Body"/>
        <w:numPr>
          <w:ilvl w:val="0"/>
          <w:numId w:val="4"/>
        </w:numPr>
        <w:spacing w:after="0"/>
        <w:rPr>
          <w:rFonts w:ascii="Arial" w:hAnsi="Arial" w:cs="Arial"/>
          <w:lang w:eastAsia="zh-CN"/>
        </w:rPr>
      </w:pPr>
      <w:r>
        <w:rPr>
          <w:rFonts w:ascii="Arial" w:hAnsi="Arial" w:cs="Arial"/>
          <w:lang w:val="en-MY" w:eastAsia="zh-CN"/>
        </w:rPr>
        <w:t xml:space="preserve">Abdullah, M. A., </w:t>
      </w:r>
      <w:proofErr w:type="spellStart"/>
      <w:r>
        <w:rPr>
          <w:rFonts w:ascii="Arial" w:hAnsi="Arial" w:cs="Arial"/>
          <w:lang w:val="en-MY" w:eastAsia="zh-CN"/>
        </w:rPr>
        <w:t>Mohd</w:t>
      </w:r>
      <w:proofErr w:type="spellEnd"/>
      <w:r>
        <w:rPr>
          <w:rFonts w:ascii="Arial" w:hAnsi="Arial" w:cs="Arial"/>
          <w:lang w:val="en-MY" w:eastAsia="zh-CN"/>
        </w:rPr>
        <w:t xml:space="preserve"> Ali, J., </w:t>
      </w:r>
      <w:proofErr w:type="spellStart"/>
      <w:r>
        <w:rPr>
          <w:rFonts w:ascii="Arial" w:hAnsi="Arial" w:cs="Arial"/>
          <w:lang w:val="en-MY" w:eastAsia="zh-CN"/>
        </w:rPr>
        <w:t>Abolmaesoomi</w:t>
      </w:r>
      <w:proofErr w:type="spellEnd"/>
      <w:r>
        <w:rPr>
          <w:rFonts w:ascii="Arial" w:hAnsi="Arial" w:cs="Arial"/>
          <w:lang w:val="en-MY" w:eastAsia="zh-CN"/>
        </w:rPr>
        <w:t xml:space="preserve">, M., Abdul-Rahman, P. R., &amp; Hashim, H. O. (2017). Anti-proliferative, in vitro antioxidant, and cellular antioxidant activities of the leaf extracts from </w:t>
      </w:r>
      <w:r>
        <w:rPr>
          <w:rFonts w:ascii="Arial" w:hAnsi="Arial" w:cs="Arial"/>
          <w:i/>
          <w:iCs/>
          <w:lang w:val="en-MY" w:eastAsia="zh-CN"/>
        </w:rPr>
        <w:t xml:space="preserve">Polygonum minus </w:t>
      </w:r>
      <w:proofErr w:type="spellStart"/>
      <w:r>
        <w:rPr>
          <w:rFonts w:ascii="Arial" w:hAnsi="Arial" w:cs="Arial"/>
          <w:lang w:val="en-MY" w:eastAsia="zh-CN"/>
        </w:rPr>
        <w:t>Huds</w:t>
      </w:r>
      <w:proofErr w:type="spellEnd"/>
      <w:r>
        <w:rPr>
          <w:rFonts w:ascii="Arial" w:hAnsi="Arial" w:cs="Arial"/>
          <w:lang w:val="en-MY" w:eastAsia="zh-CN"/>
        </w:rPr>
        <w:t xml:space="preserve">: Effects of solvent polarity. International Journal of Food Properties, 20(Suppl.1), 846-862. </w:t>
      </w:r>
      <w:hyperlink r:id="rId20" w:history="1">
        <w:r>
          <w:rPr>
            <w:rStyle w:val="Hyperlink"/>
            <w:rFonts w:ascii="Arial" w:hAnsi="Arial" w:cs="Arial"/>
            <w:lang w:val="en-MY" w:eastAsia="zh-CN"/>
          </w:rPr>
          <w:t>https://doi.org/10.1080/10942912.2017.131559</w:t>
        </w:r>
      </w:hyperlink>
      <w:r>
        <w:rPr>
          <w:rFonts w:ascii="Arial" w:hAnsi="Arial" w:cs="Arial"/>
          <w:lang w:val="en-MY" w:eastAsia="zh-CN"/>
        </w:rPr>
        <w:t xml:space="preserve"> </w:t>
      </w:r>
    </w:p>
    <w:p w:rsidR="00DD21CA" w:rsidRDefault="00EF432E">
      <w:pPr>
        <w:pStyle w:val="Body"/>
        <w:numPr>
          <w:ilvl w:val="0"/>
          <w:numId w:val="4"/>
        </w:numPr>
        <w:spacing w:after="0"/>
        <w:rPr>
          <w:rFonts w:ascii="Arial" w:hAnsi="Arial" w:cs="Arial"/>
          <w:lang w:eastAsia="zh-CN"/>
        </w:rPr>
      </w:pPr>
      <w:r>
        <w:rPr>
          <w:rFonts w:ascii="Arial" w:hAnsi="Arial" w:cs="Arial"/>
          <w:lang w:eastAsia="zh-CN"/>
        </w:rPr>
        <w:t xml:space="preserve">Abubakar, M. A., </w:t>
      </w:r>
      <w:proofErr w:type="spellStart"/>
      <w:r>
        <w:rPr>
          <w:rFonts w:ascii="Arial" w:hAnsi="Arial" w:cs="Arial"/>
          <w:lang w:eastAsia="zh-CN"/>
        </w:rPr>
        <w:t>Zulkifli</w:t>
      </w:r>
      <w:proofErr w:type="spellEnd"/>
      <w:r>
        <w:rPr>
          <w:rFonts w:ascii="Arial" w:hAnsi="Arial" w:cs="Arial"/>
          <w:lang w:eastAsia="zh-CN"/>
        </w:rPr>
        <w:t xml:space="preserve">, R. M., Hassan, W. N., Shariff, A. H. M., Malek, N. A. N., Zakaria, Z., &amp; Ahmad, F. (2015). Antibacterial properties of </w:t>
      </w:r>
      <w:proofErr w:type="spellStart"/>
      <w:r>
        <w:rPr>
          <w:rFonts w:ascii="Arial" w:hAnsi="Arial" w:cs="Arial"/>
          <w:i/>
          <w:iCs/>
          <w:lang w:eastAsia="zh-CN"/>
        </w:rPr>
        <w:t>Persicaria</w:t>
      </w:r>
      <w:proofErr w:type="spellEnd"/>
      <w:r>
        <w:rPr>
          <w:rFonts w:ascii="Arial" w:hAnsi="Arial" w:cs="Arial"/>
          <w:i/>
          <w:iCs/>
          <w:lang w:eastAsia="zh-CN"/>
        </w:rPr>
        <w:t xml:space="preserve"> minor</w:t>
      </w:r>
      <w:r>
        <w:rPr>
          <w:rFonts w:ascii="Arial" w:hAnsi="Arial" w:cs="Arial"/>
          <w:lang w:eastAsia="zh-CN"/>
        </w:rPr>
        <w:t xml:space="preserve"> (</w:t>
      </w:r>
      <w:proofErr w:type="spellStart"/>
      <w:r>
        <w:rPr>
          <w:rFonts w:ascii="Arial" w:hAnsi="Arial" w:cs="Arial"/>
          <w:lang w:eastAsia="zh-CN"/>
        </w:rPr>
        <w:t>Huds</w:t>
      </w:r>
      <w:proofErr w:type="spellEnd"/>
      <w:r>
        <w:rPr>
          <w:rFonts w:ascii="Arial" w:hAnsi="Arial" w:cs="Arial"/>
          <w:lang w:eastAsia="zh-CN"/>
        </w:rPr>
        <w:t xml:space="preserve">.) ethanolic and aqueous-ethanolic leaf extracts. Journal of Applied Pharmaceutical Science, 5(Suppl 2), 50-56. </w:t>
      </w:r>
      <w:hyperlink r:id="rId21" w:history="1">
        <w:r>
          <w:rPr>
            <w:rStyle w:val="Hyperlink"/>
            <w:rFonts w:ascii="Arial" w:hAnsi="Arial" w:cs="Arial"/>
            <w:lang w:eastAsia="zh-CN"/>
          </w:rPr>
          <w:t>https://doi.org/10.7324/JAPS.2015.58.S8</w:t>
        </w:r>
      </w:hyperlink>
      <w:r>
        <w:rPr>
          <w:rFonts w:ascii="Arial" w:hAnsi="Arial" w:cs="Arial"/>
          <w:lang w:eastAsia="zh-CN"/>
        </w:rPr>
        <w:t xml:space="preserve"> </w:t>
      </w:r>
    </w:p>
    <w:p w:rsidR="00DD21CA" w:rsidRDefault="00EF432E">
      <w:pPr>
        <w:pStyle w:val="Body"/>
        <w:numPr>
          <w:ilvl w:val="0"/>
          <w:numId w:val="4"/>
        </w:numPr>
        <w:spacing w:after="0"/>
        <w:rPr>
          <w:rFonts w:ascii="Arial" w:hAnsi="Arial" w:cs="Arial"/>
          <w:lang w:eastAsia="zh-CN"/>
        </w:rPr>
      </w:pPr>
      <w:r>
        <w:rPr>
          <w:rFonts w:ascii="Arial" w:hAnsi="Arial" w:cs="Arial"/>
          <w:lang w:val="sv-SE" w:eastAsia="zh-CN"/>
        </w:rPr>
        <w:t xml:space="preserve">Altemimi, A., Lakhssassi, N., Baharlouei, A., Watson, D. G., &amp; Lightfoot, D. A. (2017). Phytochemicals: Extraction, isolation, and identification of bioactive compounds from plant extracts. Plants, 6(4), 42. </w:t>
      </w:r>
      <w:r>
        <w:rPr>
          <w:rFonts w:ascii="Arial" w:hAnsi="Arial" w:cs="Arial"/>
          <w:lang w:val="sv-SE" w:eastAsia="zh-CN"/>
        </w:rPr>
        <w:fldChar w:fldCharType="begin"/>
      </w:r>
      <w:r>
        <w:rPr>
          <w:rFonts w:ascii="Arial" w:hAnsi="Arial" w:cs="Arial"/>
          <w:lang w:val="sv-SE" w:eastAsia="zh-CN"/>
        </w:rPr>
        <w:instrText xml:space="preserve"> HYPERLINK "https://doi.org/10.3390/plants604004" </w:instrText>
      </w:r>
      <w:r>
        <w:rPr>
          <w:rFonts w:ascii="Arial" w:hAnsi="Arial" w:cs="Arial"/>
          <w:lang w:val="sv-SE" w:eastAsia="zh-CN"/>
        </w:rPr>
        <w:fldChar w:fldCharType="separate"/>
      </w:r>
      <w:r>
        <w:rPr>
          <w:rStyle w:val="Hyperlink"/>
          <w:rFonts w:ascii="Arial" w:hAnsi="Arial" w:cs="Arial"/>
          <w:lang w:val="sv-SE" w:eastAsia="zh-CN"/>
        </w:rPr>
        <w:t>https://doi.org/10.3390/plants604004</w:t>
      </w:r>
      <w:r>
        <w:rPr>
          <w:rFonts w:ascii="Arial" w:hAnsi="Arial" w:cs="Arial"/>
          <w:lang w:val="sv-SE" w:eastAsia="zh-CN"/>
        </w:rPr>
        <w:fldChar w:fldCharType="end"/>
      </w:r>
      <w:r>
        <w:rPr>
          <w:rFonts w:ascii="Arial" w:hAnsi="Arial" w:cs="Arial"/>
          <w:lang w:val="sv-SE" w:eastAsia="zh-CN"/>
        </w:rPr>
        <w:t xml:space="preserve"> </w:t>
      </w:r>
    </w:p>
    <w:p w:rsidR="00DD21CA" w:rsidRDefault="00EF432E">
      <w:pPr>
        <w:pStyle w:val="Body"/>
        <w:numPr>
          <w:ilvl w:val="0"/>
          <w:numId w:val="4"/>
        </w:numPr>
        <w:spacing w:after="0"/>
        <w:rPr>
          <w:rFonts w:ascii="Arial" w:hAnsi="Arial" w:cs="Arial"/>
          <w:lang w:val="en-MY" w:eastAsia="zh-CN"/>
        </w:rPr>
      </w:pPr>
      <w:proofErr w:type="spellStart"/>
      <w:r>
        <w:rPr>
          <w:rFonts w:ascii="Arial" w:hAnsi="Arial" w:cs="Arial"/>
          <w:lang w:val="en-MY" w:eastAsia="zh-CN"/>
        </w:rPr>
        <w:lastRenderedPageBreak/>
        <w:t>Anokwuru</w:t>
      </w:r>
      <w:proofErr w:type="spellEnd"/>
      <w:r>
        <w:rPr>
          <w:rFonts w:ascii="Arial" w:hAnsi="Arial" w:cs="Arial"/>
          <w:lang w:val="en-MY" w:eastAsia="zh-CN"/>
        </w:rPr>
        <w:t xml:space="preserve">, C. P., </w:t>
      </w:r>
      <w:proofErr w:type="spellStart"/>
      <w:r>
        <w:rPr>
          <w:rFonts w:ascii="Arial" w:hAnsi="Arial" w:cs="Arial"/>
          <w:lang w:val="en-MY" w:eastAsia="zh-CN"/>
        </w:rPr>
        <w:t>Anyasor</w:t>
      </w:r>
      <w:proofErr w:type="spellEnd"/>
      <w:r>
        <w:rPr>
          <w:rFonts w:ascii="Arial" w:hAnsi="Arial" w:cs="Arial"/>
          <w:lang w:val="en-MY" w:eastAsia="zh-CN"/>
        </w:rPr>
        <w:t xml:space="preserve">, G. N., </w:t>
      </w:r>
      <w:proofErr w:type="spellStart"/>
      <w:r>
        <w:rPr>
          <w:rFonts w:ascii="Arial" w:hAnsi="Arial" w:cs="Arial"/>
          <w:lang w:val="en-MY" w:eastAsia="zh-CN"/>
        </w:rPr>
        <w:t>Ajibaye</w:t>
      </w:r>
      <w:proofErr w:type="spellEnd"/>
      <w:r>
        <w:rPr>
          <w:rFonts w:ascii="Arial" w:hAnsi="Arial" w:cs="Arial"/>
          <w:lang w:val="en-MY" w:eastAsia="zh-CN"/>
        </w:rPr>
        <w:t xml:space="preserve">, O., </w:t>
      </w:r>
      <w:proofErr w:type="spellStart"/>
      <w:r>
        <w:rPr>
          <w:rFonts w:ascii="Arial" w:hAnsi="Arial" w:cs="Arial"/>
          <w:lang w:val="en-MY" w:eastAsia="zh-CN"/>
        </w:rPr>
        <w:t>Fakoya</w:t>
      </w:r>
      <w:proofErr w:type="spellEnd"/>
      <w:r>
        <w:rPr>
          <w:rFonts w:ascii="Arial" w:hAnsi="Arial" w:cs="Arial"/>
          <w:lang w:val="en-MY" w:eastAsia="zh-CN"/>
        </w:rPr>
        <w:t xml:space="preserve">, O., &amp; </w:t>
      </w:r>
      <w:proofErr w:type="spellStart"/>
      <w:r>
        <w:rPr>
          <w:rFonts w:ascii="Arial" w:hAnsi="Arial" w:cs="Arial"/>
          <w:lang w:val="en-MY" w:eastAsia="zh-CN"/>
        </w:rPr>
        <w:t>Okebugwu</w:t>
      </w:r>
      <w:proofErr w:type="spellEnd"/>
      <w:r>
        <w:rPr>
          <w:rFonts w:ascii="Arial" w:hAnsi="Arial" w:cs="Arial"/>
          <w:lang w:val="en-MY" w:eastAsia="zh-CN"/>
        </w:rPr>
        <w:t xml:space="preserve">, P. (2011). Effect of extraction solvents on phenolic, flavonoid and antioxidant activities of three Nigerian medicinal plants. Nature and Science, 9(7), 53-61. </w:t>
      </w:r>
      <w:hyperlink r:id="rId22" w:history="1">
        <w:r>
          <w:rPr>
            <w:rStyle w:val="Hyperlink"/>
            <w:rFonts w:ascii="Arial" w:hAnsi="Arial" w:cs="Arial"/>
            <w:lang w:val="en-MY" w:eastAsia="zh-CN"/>
          </w:rPr>
          <w:t>http://www.sciencepub.net/nature</w:t>
        </w:r>
      </w:hyperlink>
      <w:r>
        <w:rPr>
          <w:rFonts w:ascii="Arial" w:hAnsi="Arial" w:cs="Arial"/>
          <w:lang w:val="en-MY" w:eastAsia="zh-CN"/>
        </w:rPr>
        <w:t xml:space="preserve"> </w:t>
      </w:r>
    </w:p>
    <w:p w:rsidR="00DD21CA" w:rsidRDefault="00EF432E">
      <w:pPr>
        <w:pStyle w:val="Body"/>
        <w:numPr>
          <w:ilvl w:val="0"/>
          <w:numId w:val="4"/>
        </w:numPr>
        <w:spacing w:after="0"/>
        <w:rPr>
          <w:rFonts w:ascii="Arial" w:hAnsi="Arial" w:cs="Arial"/>
          <w:lang w:val="en-MY" w:eastAsia="zh-CN"/>
        </w:rPr>
      </w:pPr>
      <w:r>
        <w:rPr>
          <w:rFonts w:ascii="Arial" w:hAnsi="Arial" w:cs="Arial"/>
          <w:lang w:val="en-MY" w:eastAsia="zh-CN"/>
        </w:rPr>
        <w:t xml:space="preserve">Chew, K.K., Khoo, M.Z., Ng, S.Y., </w:t>
      </w:r>
      <w:proofErr w:type="spellStart"/>
      <w:r>
        <w:rPr>
          <w:rFonts w:ascii="Arial" w:hAnsi="Arial" w:cs="Arial"/>
          <w:lang w:val="en-MY" w:eastAsia="zh-CN"/>
        </w:rPr>
        <w:t>Thoo</w:t>
      </w:r>
      <w:proofErr w:type="spellEnd"/>
      <w:r>
        <w:rPr>
          <w:rFonts w:ascii="Arial" w:hAnsi="Arial" w:cs="Arial"/>
          <w:lang w:val="en-MY" w:eastAsia="zh-CN"/>
        </w:rPr>
        <w:t xml:space="preserve">, Y.Y., Wan Aida, W.M., &amp; Ho, C.W. (2011). Effect of ethanol concentration, extraction time and extraction temperature on the recovery of phenolic compounds and antioxidant capacity of </w:t>
      </w:r>
      <w:r>
        <w:rPr>
          <w:rFonts w:ascii="Arial" w:hAnsi="Arial" w:cs="Arial"/>
          <w:i/>
          <w:iCs/>
          <w:lang w:val="en-MY" w:eastAsia="zh-CN"/>
        </w:rPr>
        <w:t xml:space="preserve">Orthosiphon </w:t>
      </w:r>
      <w:proofErr w:type="spellStart"/>
      <w:r>
        <w:rPr>
          <w:rFonts w:ascii="Arial" w:hAnsi="Arial" w:cs="Arial"/>
          <w:i/>
          <w:iCs/>
          <w:lang w:val="en-MY" w:eastAsia="zh-CN"/>
        </w:rPr>
        <w:t>stamineus</w:t>
      </w:r>
      <w:proofErr w:type="spellEnd"/>
      <w:r>
        <w:rPr>
          <w:rFonts w:ascii="Arial" w:hAnsi="Arial" w:cs="Arial"/>
          <w:lang w:val="en-MY" w:eastAsia="zh-CN"/>
        </w:rPr>
        <w:t xml:space="preserve"> extracts. International Food Research Journal, 18(4), 1427-1435. </w:t>
      </w:r>
      <w:hyperlink r:id="rId23" w:tgtFrame="https://www.google.com/_blank" w:history="1">
        <w:r>
          <w:rPr>
            <w:color w:val="FA2D66"/>
            <w:u w:val="single"/>
          </w:rPr>
          <w:t>http://www.ifrj.upm.edu.my/18%20(04)%202011/(32)IFRJ-2011-023.pdf</w:t>
        </w:r>
      </w:hyperlink>
    </w:p>
    <w:p w:rsidR="00DD21CA" w:rsidRDefault="00EF432E">
      <w:pPr>
        <w:pStyle w:val="Body"/>
        <w:numPr>
          <w:ilvl w:val="0"/>
          <w:numId w:val="4"/>
        </w:numPr>
        <w:spacing w:after="0"/>
        <w:rPr>
          <w:rFonts w:ascii="Arial" w:hAnsi="Arial" w:cs="Arial"/>
          <w:lang w:eastAsia="zh-CN"/>
        </w:rPr>
      </w:pPr>
      <w:proofErr w:type="spellStart"/>
      <w:r>
        <w:rPr>
          <w:rFonts w:ascii="Arial" w:hAnsi="Arial" w:cs="Arial"/>
        </w:rPr>
        <w:t>Christapher</w:t>
      </w:r>
      <w:proofErr w:type="spellEnd"/>
      <w:r>
        <w:rPr>
          <w:rFonts w:ascii="Arial" w:hAnsi="Arial" w:cs="Arial"/>
        </w:rPr>
        <w:t xml:space="preserve">, P. V., Xin, T. Y., </w:t>
      </w:r>
      <w:proofErr w:type="spellStart"/>
      <w:r>
        <w:rPr>
          <w:rFonts w:ascii="Arial" w:hAnsi="Arial" w:cs="Arial"/>
        </w:rPr>
        <w:t>Kiun</w:t>
      </w:r>
      <w:proofErr w:type="spellEnd"/>
      <w:r>
        <w:rPr>
          <w:rFonts w:ascii="Arial" w:hAnsi="Arial" w:cs="Arial"/>
        </w:rPr>
        <w:t xml:space="preserve">, C. F., </w:t>
      </w:r>
      <w:proofErr w:type="spellStart"/>
      <w:r>
        <w:rPr>
          <w:rFonts w:ascii="Arial" w:hAnsi="Arial" w:cs="Arial"/>
        </w:rPr>
        <w:t>Leng</w:t>
      </w:r>
      <w:proofErr w:type="spellEnd"/>
      <w:r>
        <w:rPr>
          <w:rFonts w:ascii="Arial" w:hAnsi="Arial" w:cs="Arial"/>
        </w:rPr>
        <w:t xml:space="preserve">, L. C., Fu, N. G., Yuan, G. L., Parasuraman, S., &amp; </w:t>
      </w:r>
      <w:proofErr w:type="spellStart"/>
      <w:r>
        <w:rPr>
          <w:rFonts w:ascii="Arial" w:hAnsi="Arial" w:cs="Arial"/>
        </w:rPr>
        <w:t>Vikneswaran</w:t>
      </w:r>
      <w:proofErr w:type="spellEnd"/>
      <w:r>
        <w:rPr>
          <w:rFonts w:ascii="Arial" w:hAnsi="Arial" w:cs="Arial"/>
        </w:rPr>
        <w:t xml:space="preserve">, M. (2015). Evaluation of analgesic, anti-inflammatory, antipyretic and antiulcer effect of aqueous and methanol extracts of leaves of </w:t>
      </w:r>
      <w:r>
        <w:rPr>
          <w:rFonts w:ascii="Arial" w:hAnsi="Arial" w:cs="Arial"/>
          <w:i/>
          <w:iCs/>
        </w:rPr>
        <w:t>Polygonum minus</w:t>
      </w:r>
      <w:r>
        <w:rPr>
          <w:rFonts w:ascii="Arial" w:hAnsi="Arial" w:cs="Arial"/>
        </w:rPr>
        <w:t xml:space="preserve"> </w:t>
      </w:r>
      <w:proofErr w:type="spellStart"/>
      <w:r>
        <w:rPr>
          <w:rFonts w:ascii="Arial" w:hAnsi="Arial" w:cs="Arial"/>
        </w:rPr>
        <w:t>Huds</w:t>
      </w:r>
      <w:proofErr w:type="spellEnd"/>
      <w:r>
        <w:rPr>
          <w:rFonts w:ascii="Arial" w:hAnsi="Arial" w:cs="Arial"/>
        </w:rPr>
        <w:t>. (</w:t>
      </w:r>
      <w:proofErr w:type="spellStart"/>
      <w:r>
        <w:rPr>
          <w:rFonts w:ascii="Arial" w:hAnsi="Arial" w:cs="Arial"/>
        </w:rPr>
        <w:t>Polygonaceae</w:t>
      </w:r>
      <w:proofErr w:type="spellEnd"/>
      <w:r>
        <w:rPr>
          <w:rFonts w:ascii="Arial" w:hAnsi="Arial" w:cs="Arial"/>
        </w:rPr>
        <w:t xml:space="preserve">) in rodents. Archives of Medicine and Health Sciences, 3(1), 12-17. </w:t>
      </w:r>
      <w:hyperlink r:id="rId24" w:history="1">
        <w:r>
          <w:rPr>
            <w:rStyle w:val="Hyperlink"/>
            <w:rFonts w:ascii="Arial" w:hAnsi="Arial" w:cs="Arial"/>
          </w:rPr>
          <w:t>https://doi.org/10.4103/2321-4848.154919</w:t>
        </w:r>
      </w:hyperlink>
      <w:r>
        <w:rPr>
          <w:rFonts w:ascii="Arial" w:hAnsi="Arial" w:cs="Arial"/>
        </w:rPr>
        <w:t xml:space="preserve"> </w:t>
      </w:r>
    </w:p>
    <w:p w:rsidR="00DD21CA" w:rsidRDefault="00EF432E">
      <w:pPr>
        <w:pStyle w:val="Body"/>
        <w:numPr>
          <w:ilvl w:val="0"/>
          <w:numId w:val="4"/>
        </w:numPr>
        <w:spacing w:after="0"/>
        <w:rPr>
          <w:rFonts w:ascii="Arial" w:hAnsi="Arial" w:cs="Arial"/>
          <w:lang w:eastAsia="zh-CN"/>
        </w:rPr>
      </w:pPr>
      <w:proofErr w:type="spellStart"/>
      <w:r>
        <w:rPr>
          <w:rFonts w:ascii="Arial" w:hAnsi="Arial" w:cs="Arial"/>
          <w:lang w:eastAsia="zh-CN"/>
        </w:rPr>
        <w:t>ElGamal</w:t>
      </w:r>
      <w:proofErr w:type="spellEnd"/>
      <w:r>
        <w:rPr>
          <w:rFonts w:ascii="Arial" w:hAnsi="Arial" w:cs="Arial"/>
          <w:lang w:eastAsia="zh-CN"/>
        </w:rPr>
        <w:t>, R., Song, C., Rayan, A. M., Liu, C., Al-</w:t>
      </w:r>
      <w:proofErr w:type="spellStart"/>
      <w:r>
        <w:rPr>
          <w:rFonts w:ascii="Arial" w:hAnsi="Arial" w:cs="Arial"/>
          <w:lang w:eastAsia="zh-CN"/>
        </w:rPr>
        <w:t>Rejaie</w:t>
      </w:r>
      <w:proofErr w:type="spellEnd"/>
      <w:r>
        <w:rPr>
          <w:rFonts w:ascii="Arial" w:hAnsi="Arial" w:cs="Arial"/>
          <w:lang w:eastAsia="zh-CN"/>
        </w:rPr>
        <w:t xml:space="preserve">, S., &amp; </w:t>
      </w:r>
      <w:proofErr w:type="spellStart"/>
      <w:r>
        <w:rPr>
          <w:rFonts w:ascii="Arial" w:hAnsi="Arial" w:cs="Arial"/>
          <w:lang w:eastAsia="zh-CN"/>
        </w:rPr>
        <w:t>ElMasry</w:t>
      </w:r>
      <w:proofErr w:type="spellEnd"/>
      <w:r>
        <w:rPr>
          <w:rFonts w:ascii="Arial" w:hAnsi="Arial" w:cs="Arial"/>
          <w:lang w:eastAsia="zh-CN"/>
        </w:rPr>
        <w:t xml:space="preserve">, G. (2023). Thermal degradation of bioactive compounds during drying process of horticultural and agronomic products: </w:t>
      </w:r>
      <w:r>
        <w:rPr>
          <w:rFonts w:ascii="Arial" w:hAnsi="Arial" w:cs="Arial"/>
          <w:lang w:val="en-MY" w:eastAsia="zh-CN"/>
        </w:rPr>
        <w:t>A</w:t>
      </w:r>
      <w:r>
        <w:rPr>
          <w:rFonts w:ascii="Arial" w:hAnsi="Arial" w:cs="Arial"/>
          <w:lang w:eastAsia="zh-CN"/>
        </w:rPr>
        <w:t xml:space="preserve"> comprehensive overview. Agronomy, 13(6), 1580. </w:t>
      </w:r>
      <w:r>
        <w:rPr>
          <w:rFonts w:ascii="Arial" w:hAnsi="Arial" w:cs="Arial"/>
          <w:color w:val="F6267E"/>
          <w:u w:val="single"/>
          <w:lang w:eastAsia="zh-CN"/>
        </w:rPr>
        <w:t>https://doi.org/10.3390/agronomy13061580</w:t>
      </w:r>
    </w:p>
    <w:p w:rsidR="00DD21CA" w:rsidRDefault="00EF432E">
      <w:pPr>
        <w:pStyle w:val="Body"/>
        <w:numPr>
          <w:ilvl w:val="0"/>
          <w:numId w:val="4"/>
        </w:numPr>
        <w:spacing w:after="0"/>
        <w:rPr>
          <w:rFonts w:ascii="Arial" w:hAnsi="Arial" w:cs="Arial"/>
          <w:lang w:eastAsia="zh-CN"/>
        </w:rPr>
      </w:pPr>
      <w:proofErr w:type="spellStart"/>
      <w:r>
        <w:rPr>
          <w:rFonts w:ascii="Arial" w:hAnsi="Arial" w:cs="Arial"/>
          <w:lang w:eastAsia="zh-CN"/>
        </w:rPr>
        <w:t>Elshaafi</w:t>
      </w:r>
      <w:proofErr w:type="spellEnd"/>
      <w:r>
        <w:rPr>
          <w:rFonts w:ascii="Arial" w:hAnsi="Arial" w:cs="Arial"/>
          <w:lang w:eastAsia="zh-CN"/>
        </w:rPr>
        <w:t>, I. M., Musa, K. H., &amp; Abdullah Sani, N. (2020). Effect of oven and freeze drying on antioxidant activity, total phenolic and total flavonoid contents of fig (</w:t>
      </w:r>
      <w:proofErr w:type="spellStart"/>
      <w:r>
        <w:rPr>
          <w:rFonts w:ascii="Arial" w:hAnsi="Arial" w:cs="Arial"/>
          <w:i/>
          <w:iCs/>
          <w:lang w:eastAsia="zh-CN"/>
        </w:rPr>
        <w:t>Ficus</w:t>
      </w:r>
      <w:proofErr w:type="spellEnd"/>
      <w:r>
        <w:rPr>
          <w:rFonts w:ascii="Arial" w:hAnsi="Arial" w:cs="Arial"/>
          <w:i/>
          <w:iCs/>
          <w:lang w:eastAsia="zh-CN"/>
        </w:rPr>
        <w:t xml:space="preserve"> </w:t>
      </w:r>
      <w:proofErr w:type="spellStart"/>
      <w:r>
        <w:rPr>
          <w:rFonts w:ascii="Arial" w:hAnsi="Arial" w:cs="Arial"/>
          <w:i/>
          <w:iCs/>
          <w:lang w:eastAsia="zh-CN"/>
        </w:rPr>
        <w:t>carica</w:t>
      </w:r>
      <w:proofErr w:type="spellEnd"/>
      <w:r>
        <w:rPr>
          <w:rFonts w:ascii="Arial" w:hAnsi="Arial" w:cs="Arial"/>
          <w:lang w:eastAsia="zh-CN"/>
        </w:rPr>
        <w:t xml:space="preserve"> L.) </w:t>
      </w:r>
      <w:r>
        <w:rPr>
          <w:rFonts w:ascii="Arial" w:hAnsi="Arial" w:cs="Arial"/>
          <w:lang w:val="en-MY" w:eastAsia="zh-CN"/>
        </w:rPr>
        <w:t>l</w:t>
      </w:r>
      <w:r>
        <w:rPr>
          <w:rFonts w:ascii="Arial" w:hAnsi="Arial" w:cs="Arial"/>
          <w:lang w:eastAsia="zh-CN"/>
        </w:rPr>
        <w:t xml:space="preserve">eaves. Food Research. </w:t>
      </w:r>
      <w:hyperlink r:id="rId25" w:history="1">
        <w:r>
          <w:rPr>
            <w:rStyle w:val="Hyperlink"/>
            <w:rFonts w:ascii="Arial" w:hAnsi="Arial" w:cs="Arial"/>
            <w:lang w:eastAsia="zh-CN"/>
          </w:rPr>
          <w:t>https://doi.org/10.26656/fr.2017.4(6).072</w:t>
        </w:r>
      </w:hyperlink>
      <w:r>
        <w:rPr>
          <w:rFonts w:ascii="Arial" w:hAnsi="Arial" w:cs="Arial"/>
          <w:lang w:eastAsia="zh-CN"/>
        </w:rPr>
        <w:t xml:space="preserve"> </w:t>
      </w:r>
    </w:p>
    <w:p w:rsidR="00DD21CA" w:rsidRDefault="00EF432E">
      <w:pPr>
        <w:pStyle w:val="Body"/>
        <w:numPr>
          <w:ilvl w:val="0"/>
          <w:numId w:val="4"/>
        </w:numPr>
        <w:spacing w:after="0"/>
        <w:rPr>
          <w:rFonts w:ascii="Arial" w:hAnsi="Arial" w:cs="Arial"/>
        </w:rPr>
      </w:pPr>
      <w:r>
        <w:rPr>
          <w:rFonts w:ascii="Arial" w:hAnsi="Arial" w:cs="Arial"/>
        </w:rPr>
        <w:t>Hu, L., Wang, C., Guo, X., Chen, D., Zhou, W., Chen, X., &amp; Zhang, Q. (2021). Flavonoid levels and antioxidant capacity of mulberry leaves: effects of growth period and drying methods. Frontiers in Plant Science</w:t>
      </w:r>
      <w:r>
        <w:rPr>
          <w:rFonts w:ascii="Arial" w:hAnsi="Arial" w:cs="Arial"/>
          <w:lang w:val="en-MY"/>
        </w:rPr>
        <w:t>,</w:t>
      </w:r>
      <w:r>
        <w:rPr>
          <w:rFonts w:ascii="Arial" w:hAnsi="Arial" w:cs="Arial"/>
        </w:rPr>
        <w:t xml:space="preserve"> 12, 684974. </w:t>
      </w:r>
      <w:hyperlink r:id="rId26" w:history="1">
        <w:r>
          <w:rPr>
            <w:rStyle w:val="Hyperlink"/>
            <w:rFonts w:ascii="Arial" w:hAnsi="Arial" w:cs="Arial"/>
          </w:rPr>
          <w:t>https://doi.org/10.3389/fpls.2021.684974</w:t>
        </w:r>
      </w:hyperlink>
      <w:r>
        <w:rPr>
          <w:rFonts w:ascii="Arial" w:hAnsi="Arial" w:cs="Arial"/>
        </w:rPr>
        <w:t xml:space="preserve">  </w:t>
      </w:r>
    </w:p>
    <w:p w:rsidR="00DD21CA" w:rsidRDefault="00EF432E">
      <w:pPr>
        <w:pStyle w:val="Body"/>
        <w:numPr>
          <w:ilvl w:val="0"/>
          <w:numId w:val="4"/>
        </w:numPr>
        <w:spacing w:after="0"/>
        <w:rPr>
          <w:rFonts w:ascii="Arial" w:hAnsi="Arial" w:cs="Arial"/>
        </w:rPr>
      </w:pPr>
      <w:r>
        <w:rPr>
          <w:rFonts w:ascii="Arial" w:hAnsi="Arial" w:cs="Arial"/>
        </w:rPr>
        <w:t xml:space="preserve">Justine, V. T., Mustafa, M., </w:t>
      </w:r>
      <w:proofErr w:type="spellStart"/>
      <w:r>
        <w:rPr>
          <w:rFonts w:ascii="Arial" w:hAnsi="Arial" w:cs="Arial"/>
        </w:rPr>
        <w:t>Kankara</w:t>
      </w:r>
      <w:proofErr w:type="spellEnd"/>
      <w:r>
        <w:rPr>
          <w:rFonts w:ascii="Arial" w:hAnsi="Arial" w:cs="Arial"/>
        </w:rPr>
        <w:t xml:space="preserve">, S. S., &amp; Go, R. (2019). Effect of drying methods and extraction solvents on phenolic antioxidants and antioxidant activity of </w:t>
      </w:r>
      <w:proofErr w:type="spellStart"/>
      <w:r>
        <w:rPr>
          <w:rFonts w:ascii="Arial" w:hAnsi="Arial" w:cs="Arial"/>
        </w:rPr>
        <w:t>Scurrula</w:t>
      </w:r>
      <w:proofErr w:type="spellEnd"/>
      <w:r>
        <w:rPr>
          <w:rFonts w:ascii="Arial" w:hAnsi="Arial" w:cs="Arial"/>
        </w:rPr>
        <w:t xml:space="preserve"> </w:t>
      </w:r>
      <w:proofErr w:type="spellStart"/>
      <w:r>
        <w:rPr>
          <w:rFonts w:ascii="Arial" w:hAnsi="Arial" w:cs="Arial"/>
        </w:rPr>
        <w:t>ferruginea</w:t>
      </w:r>
      <w:proofErr w:type="spellEnd"/>
      <w:r>
        <w:rPr>
          <w:rFonts w:ascii="Arial" w:hAnsi="Arial" w:cs="Arial"/>
        </w:rPr>
        <w:t xml:space="preserve"> (Jack) </w:t>
      </w:r>
      <w:proofErr w:type="spellStart"/>
      <w:r>
        <w:rPr>
          <w:rFonts w:ascii="Arial" w:hAnsi="Arial" w:cs="Arial"/>
        </w:rPr>
        <w:t>Danser</w:t>
      </w:r>
      <w:proofErr w:type="spellEnd"/>
      <w:r>
        <w:rPr>
          <w:rFonts w:ascii="Arial" w:hAnsi="Arial" w:cs="Arial"/>
        </w:rPr>
        <w:t xml:space="preserve"> (</w:t>
      </w:r>
      <w:proofErr w:type="spellStart"/>
      <w:r>
        <w:rPr>
          <w:rFonts w:ascii="Arial" w:hAnsi="Arial" w:cs="Arial"/>
        </w:rPr>
        <w:t>Loranthaceae</w:t>
      </w:r>
      <w:proofErr w:type="spellEnd"/>
      <w:r>
        <w:rPr>
          <w:rFonts w:ascii="Arial" w:hAnsi="Arial" w:cs="Arial"/>
        </w:rPr>
        <w:t xml:space="preserve">) leaf extracts. </w:t>
      </w:r>
      <w:proofErr w:type="spellStart"/>
      <w:r>
        <w:rPr>
          <w:rFonts w:ascii="Arial" w:hAnsi="Arial" w:cs="Arial"/>
        </w:rPr>
        <w:t>Sains</w:t>
      </w:r>
      <w:proofErr w:type="spellEnd"/>
      <w:r>
        <w:rPr>
          <w:rFonts w:ascii="Arial" w:hAnsi="Arial" w:cs="Arial"/>
        </w:rPr>
        <w:t xml:space="preserve"> </w:t>
      </w:r>
      <w:proofErr w:type="spellStart"/>
      <w:r>
        <w:rPr>
          <w:rFonts w:ascii="Arial" w:hAnsi="Arial" w:cs="Arial"/>
        </w:rPr>
        <w:t>Malaysiana</w:t>
      </w:r>
      <w:proofErr w:type="spellEnd"/>
      <w:r>
        <w:rPr>
          <w:rFonts w:ascii="Arial" w:hAnsi="Arial" w:cs="Arial"/>
        </w:rPr>
        <w:t xml:space="preserve">, 48(7), 1383–1393. </w:t>
      </w:r>
      <w:hyperlink r:id="rId27" w:history="1">
        <w:r>
          <w:rPr>
            <w:rStyle w:val="Hyperlink"/>
            <w:rFonts w:ascii="Arial" w:hAnsi="Arial" w:cs="Arial"/>
          </w:rPr>
          <w:t>https://doi.org/10.17576/jsm-2019-4807-07</w:t>
        </w:r>
      </w:hyperlink>
      <w:r>
        <w:rPr>
          <w:rFonts w:ascii="Arial" w:hAnsi="Arial" w:cs="Arial"/>
        </w:rPr>
        <w:t xml:space="preserve"> </w:t>
      </w:r>
    </w:p>
    <w:p w:rsidR="00DD21CA" w:rsidRDefault="00EF432E">
      <w:pPr>
        <w:pStyle w:val="Body"/>
        <w:numPr>
          <w:ilvl w:val="0"/>
          <w:numId w:val="4"/>
        </w:numPr>
        <w:spacing w:after="0"/>
        <w:rPr>
          <w:rFonts w:ascii="Arial" w:hAnsi="Arial" w:cs="Arial"/>
        </w:rPr>
      </w:pPr>
      <w:proofErr w:type="spellStart"/>
      <w:r>
        <w:rPr>
          <w:rFonts w:ascii="Arial" w:hAnsi="Arial" w:cs="Arial"/>
        </w:rPr>
        <w:t>Kabubii</w:t>
      </w:r>
      <w:proofErr w:type="spellEnd"/>
      <w:r>
        <w:rPr>
          <w:rFonts w:ascii="Arial" w:hAnsi="Arial" w:cs="Arial"/>
        </w:rPr>
        <w:t xml:space="preserve">, Z. N., </w:t>
      </w:r>
      <w:proofErr w:type="spellStart"/>
      <w:r>
        <w:rPr>
          <w:rFonts w:ascii="Arial" w:hAnsi="Arial" w:cs="Arial"/>
        </w:rPr>
        <w:t>Mbaria</w:t>
      </w:r>
      <w:proofErr w:type="spellEnd"/>
      <w:r>
        <w:rPr>
          <w:rFonts w:ascii="Arial" w:hAnsi="Arial" w:cs="Arial"/>
        </w:rPr>
        <w:t xml:space="preserve">, J. M., </w:t>
      </w:r>
      <w:proofErr w:type="spellStart"/>
      <w:r>
        <w:rPr>
          <w:rFonts w:ascii="Arial" w:hAnsi="Arial" w:cs="Arial"/>
        </w:rPr>
        <w:t>Mathiu</w:t>
      </w:r>
      <w:proofErr w:type="spellEnd"/>
      <w:r>
        <w:rPr>
          <w:rFonts w:ascii="Arial" w:hAnsi="Arial" w:cs="Arial"/>
        </w:rPr>
        <w:t xml:space="preserve">, M. P., </w:t>
      </w:r>
      <w:proofErr w:type="spellStart"/>
      <w:r>
        <w:rPr>
          <w:rFonts w:ascii="Arial" w:hAnsi="Arial" w:cs="Arial"/>
        </w:rPr>
        <w:t>Wanjohi</w:t>
      </w:r>
      <w:proofErr w:type="spellEnd"/>
      <w:r>
        <w:rPr>
          <w:rFonts w:ascii="Arial" w:hAnsi="Arial" w:cs="Arial"/>
        </w:rPr>
        <w:t xml:space="preserve">, J. M., &amp; </w:t>
      </w:r>
      <w:proofErr w:type="spellStart"/>
      <w:r>
        <w:rPr>
          <w:rFonts w:ascii="Arial" w:hAnsi="Arial" w:cs="Arial"/>
        </w:rPr>
        <w:t>Nyaboga</w:t>
      </w:r>
      <w:proofErr w:type="spellEnd"/>
      <w:r>
        <w:rPr>
          <w:rFonts w:ascii="Arial" w:hAnsi="Arial" w:cs="Arial"/>
        </w:rPr>
        <w:t xml:space="preserve">, E. N. (2023). Evaluation of seasonal variation, effect of extraction solvent on phytochemicals and antioxidant activity on </w:t>
      </w:r>
      <w:r>
        <w:rPr>
          <w:rFonts w:ascii="Arial" w:hAnsi="Arial" w:cs="Arial"/>
          <w:i/>
          <w:iCs/>
        </w:rPr>
        <w:t xml:space="preserve">Rosmarinus officinalis </w:t>
      </w:r>
      <w:r>
        <w:rPr>
          <w:rFonts w:ascii="Arial" w:hAnsi="Arial" w:cs="Arial"/>
        </w:rPr>
        <w:t xml:space="preserve">grown in different </w:t>
      </w:r>
      <w:proofErr w:type="spellStart"/>
      <w:r>
        <w:rPr>
          <w:rFonts w:ascii="Arial" w:hAnsi="Arial" w:cs="Arial"/>
        </w:rPr>
        <w:t>agro</w:t>
      </w:r>
      <w:proofErr w:type="spellEnd"/>
      <w:r>
        <w:rPr>
          <w:rFonts w:ascii="Arial" w:hAnsi="Arial" w:cs="Arial"/>
        </w:rPr>
        <w:t xml:space="preserve">-ecological zones of Kiambu County, Kenya. CABI Agriculture and Bioscience, 4(1), 1-10. </w:t>
      </w:r>
      <w:hyperlink r:id="rId28" w:history="1">
        <w:r>
          <w:rPr>
            <w:rStyle w:val="Hyperlink"/>
            <w:rFonts w:ascii="Arial" w:hAnsi="Arial" w:cs="Arial"/>
          </w:rPr>
          <w:t>https://doi.org/10.1186/s43170-023-00141-x</w:t>
        </w:r>
      </w:hyperlink>
      <w:r>
        <w:rPr>
          <w:rFonts w:ascii="Arial" w:hAnsi="Arial" w:cs="Arial"/>
        </w:rPr>
        <w:t xml:space="preserve"> </w:t>
      </w:r>
    </w:p>
    <w:p w:rsidR="00DD21CA" w:rsidRDefault="00EF432E">
      <w:pPr>
        <w:pStyle w:val="Body"/>
        <w:numPr>
          <w:ilvl w:val="0"/>
          <w:numId w:val="4"/>
        </w:numPr>
        <w:spacing w:after="0"/>
        <w:rPr>
          <w:rFonts w:ascii="Arial" w:hAnsi="Arial" w:cs="Arial"/>
        </w:rPr>
      </w:pPr>
      <w:r>
        <w:rPr>
          <w:rFonts w:ascii="Arial" w:hAnsi="Arial" w:cs="Arial"/>
        </w:rPr>
        <w:t xml:space="preserve">Lau, B.F., Chua, L.S., &amp; </w:t>
      </w:r>
      <w:proofErr w:type="spellStart"/>
      <w:r>
        <w:rPr>
          <w:rFonts w:ascii="Arial" w:hAnsi="Arial" w:cs="Arial"/>
        </w:rPr>
        <w:t>Mustaffa</w:t>
      </w:r>
      <w:proofErr w:type="spellEnd"/>
      <w:r>
        <w:rPr>
          <w:rFonts w:ascii="Arial" w:hAnsi="Arial" w:cs="Arial"/>
        </w:rPr>
        <w:t xml:space="preserve">, N.M. (2020). A review </w:t>
      </w:r>
      <w:r>
        <w:rPr>
          <w:rFonts w:ascii="Arial" w:hAnsi="Arial" w:cs="Arial"/>
          <w:lang w:val="en-MY"/>
        </w:rPr>
        <w:t>o</w:t>
      </w:r>
      <w:r>
        <w:rPr>
          <w:rFonts w:ascii="Arial" w:hAnsi="Arial" w:cs="Arial"/>
        </w:rPr>
        <w:t xml:space="preserve">n </w:t>
      </w:r>
      <w:r>
        <w:rPr>
          <w:rFonts w:ascii="Arial" w:hAnsi="Arial" w:cs="Arial"/>
          <w:lang w:val="en-MY"/>
        </w:rPr>
        <w:t>t</w:t>
      </w:r>
      <w:r>
        <w:rPr>
          <w:rFonts w:ascii="Arial" w:hAnsi="Arial" w:cs="Arial"/>
        </w:rPr>
        <w:t xml:space="preserve">he ethnobotany </w:t>
      </w:r>
      <w:r>
        <w:rPr>
          <w:rFonts w:ascii="Arial" w:hAnsi="Arial" w:cs="Arial"/>
          <w:lang w:val="en-MY"/>
        </w:rPr>
        <w:t>a</w:t>
      </w:r>
      <w:proofErr w:type="spellStart"/>
      <w:r>
        <w:rPr>
          <w:rFonts w:ascii="Arial" w:hAnsi="Arial" w:cs="Arial"/>
        </w:rPr>
        <w:t>nd</w:t>
      </w:r>
      <w:proofErr w:type="spellEnd"/>
      <w:r>
        <w:rPr>
          <w:rFonts w:ascii="Arial" w:hAnsi="Arial" w:cs="Arial"/>
        </w:rPr>
        <w:t xml:space="preserve"> pharmacological activities </w:t>
      </w:r>
      <w:r>
        <w:rPr>
          <w:rFonts w:ascii="Arial" w:hAnsi="Arial" w:cs="Arial"/>
          <w:lang w:val="en-MY"/>
        </w:rPr>
        <w:t>o</w:t>
      </w:r>
      <w:r>
        <w:rPr>
          <w:rFonts w:ascii="Arial" w:hAnsi="Arial" w:cs="Arial"/>
        </w:rPr>
        <w:t xml:space="preserve">f </w:t>
      </w:r>
      <w:proofErr w:type="spellStart"/>
      <w:r>
        <w:rPr>
          <w:rFonts w:ascii="Arial" w:hAnsi="Arial" w:cs="Arial"/>
          <w:i/>
          <w:iCs/>
        </w:rPr>
        <w:t>Persicaria</w:t>
      </w:r>
      <w:proofErr w:type="spellEnd"/>
      <w:r>
        <w:rPr>
          <w:rFonts w:ascii="Arial" w:hAnsi="Arial" w:cs="Arial"/>
          <w:i/>
          <w:iCs/>
        </w:rPr>
        <w:t xml:space="preserve"> minor</w:t>
      </w:r>
      <w:r>
        <w:rPr>
          <w:rFonts w:ascii="Arial" w:hAnsi="Arial" w:cs="Arial"/>
        </w:rPr>
        <w:t xml:space="preserve"> (</w:t>
      </w:r>
      <w:r>
        <w:rPr>
          <w:rFonts w:ascii="Arial" w:hAnsi="Arial" w:cs="Arial"/>
          <w:i/>
          <w:iCs/>
          <w:lang w:val="en-MY"/>
        </w:rPr>
        <w:t>k</w:t>
      </w:r>
      <w:proofErr w:type="spellStart"/>
      <w:r>
        <w:rPr>
          <w:rFonts w:ascii="Arial" w:hAnsi="Arial" w:cs="Arial"/>
          <w:i/>
          <w:iCs/>
        </w:rPr>
        <w:t>esum</w:t>
      </w:r>
      <w:proofErr w:type="spellEnd"/>
      <w:r>
        <w:rPr>
          <w:rFonts w:ascii="Arial" w:hAnsi="Arial" w:cs="Arial"/>
        </w:rPr>
        <w:t xml:space="preserve">). Journal of Ethnopharmacology, 249, 112366. </w:t>
      </w:r>
      <w:r>
        <w:rPr>
          <w:rFonts w:ascii="Arial" w:hAnsi="Arial" w:cs="Arial"/>
          <w:color w:val="F6267E"/>
          <w:u w:val="single"/>
        </w:rPr>
        <w:t>https://doi.org/10.1016/j.jep.2019.112366.</w:t>
      </w:r>
    </w:p>
    <w:p w:rsidR="00DD21CA" w:rsidRDefault="00EF432E">
      <w:pPr>
        <w:pStyle w:val="Body"/>
        <w:numPr>
          <w:ilvl w:val="0"/>
          <w:numId w:val="4"/>
        </w:numPr>
        <w:spacing w:after="0"/>
        <w:rPr>
          <w:rFonts w:ascii="Arial" w:hAnsi="Arial" w:cs="Arial"/>
          <w:lang w:eastAsia="zh-CN"/>
        </w:rPr>
      </w:pPr>
      <w:r>
        <w:rPr>
          <w:rFonts w:ascii="Arial" w:hAnsi="Arial" w:cs="Arial"/>
          <w:lang w:eastAsia="zh-CN"/>
        </w:rPr>
        <w:t xml:space="preserve">Lee, Y. L., Tsung, Y. M., &amp; Mau, J. L. (2007). Antioxidant properties of various extracts from </w:t>
      </w:r>
      <w:proofErr w:type="spellStart"/>
      <w:r>
        <w:rPr>
          <w:rFonts w:ascii="Arial" w:hAnsi="Arial" w:cs="Arial"/>
          <w:i/>
          <w:iCs/>
          <w:lang w:eastAsia="zh-CN"/>
        </w:rPr>
        <w:t>Hypsizigus</w:t>
      </w:r>
      <w:proofErr w:type="spellEnd"/>
      <w:r>
        <w:rPr>
          <w:rFonts w:ascii="Arial" w:hAnsi="Arial" w:cs="Arial"/>
          <w:i/>
          <w:iCs/>
          <w:lang w:eastAsia="zh-CN"/>
        </w:rPr>
        <w:t xml:space="preserve"> </w:t>
      </w:r>
      <w:proofErr w:type="spellStart"/>
      <w:r>
        <w:rPr>
          <w:rFonts w:ascii="Arial" w:hAnsi="Arial" w:cs="Arial"/>
          <w:i/>
          <w:iCs/>
          <w:lang w:eastAsia="zh-CN"/>
        </w:rPr>
        <w:t>marmoreus</w:t>
      </w:r>
      <w:proofErr w:type="spellEnd"/>
      <w:r>
        <w:rPr>
          <w:rFonts w:ascii="Arial" w:hAnsi="Arial" w:cs="Arial"/>
          <w:lang w:eastAsia="zh-CN"/>
        </w:rPr>
        <w:t xml:space="preserve">. Food Chemistry, 104(1), 1-9. </w:t>
      </w:r>
      <w:hyperlink r:id="rId29" w:history="1">
        <w:r>
          <w:rPr>
            <w:rStyle w:val="Hyperlink"/>
            <w:rFonts w:ascii="Arial" w:hAnsi="Arial" w:cs="Arial"/>
            <w:lang w:eastAsia="zh-CN"/>
          </w:rPr>
          <w:t>https://doi.org/10.1016/j.foodchem.2006.10.063</w:t>
        </w:r>
      </w:hyperlink>
      <w:r>
        <w:rPr>
          <w:rFonts w:ascii="Arial" w:hAnsi="Arial" w:cs="Arial"/>
          <w:lang w:eastAsia="zh-CN"/>
        </w:rPr>
        <w:t xml:space="preserve"> </w:t>
      </w:r>
    </w:p>
    <w:p w:rsidR="00DD21CA" w:rsidRDefault="00EF432E">
      <w:pPr>
        <w:pStyle w:val="Body"/>
        <w:numPr>
          <w:ilvl w:val="0"/>
          <w:numId w:val="4"/>
        </w:numPr>
        <w:spacing w:after="0"/>
        <w:rPr>
          <w:rFonts w:ascii="Arial" w:hAnsi="Arial" w:cs="Arial"/>
          <w:lang w:eastAsia="zh-CN"/>
        </w:rPr>
      </w:pPr>
      <w:proofErr w:type="spellStart"/>
      <w:r>
        <w:rPr>
          <w:rFonts w:ascii="Arial" w:hAnsi="Arial" w:cs="Arial"/>
          <w:lang w:eastAsia="zh-CN"/>
        </w:rPr>
        <w:t>Lezoul</w:t>
      </w:r>
      <w:proofErr w:type="spellEnd"/>
      <w:r>
        <w:rPr>
          <w:rFonts w:ascii="Arial" w:hAnsi="Arial" w:cs="Arial"/>
          <w:lang w:eastAsia="zh-CN"/>
        </w:rPr>
        <w:t xml:space="preserve">, N. E. H., </w:t>
      </w:r>
      <w:proofErr w:type="spellStart"/>
      <w:r>
        <w:rPr>
          <w:rFonts w:ascii="Arial" w:hAnsi="Arial" w:cs="Arial"/>
          <w:lang w:eastAsia="zh-CN"/>
        </w:rPr>
        <w:t>Belkadi</w:t>
      </w:r>
      <w:proofErr w:type="spellEnd"/>
      <w:r>
        <w:rPr>
          <w:rFonts w:ascii="Arial" w:hAnsi="Arial" w:cs="Arial"/>
          <w:lang w:eastAsia="zh-CN"/>
        </w:rPr>
        <w:t xml:space="preserve">, M., Habibi, F., &amp; </w:t>
      </w:r>
      <w:proofErr w:type="spellStart"/>
      <w:r>
        <w:rPr>
          <w:rFonts w:ascii="Arial" w:hAnsi="Arial" w:cs="Arial"/>
          <w:lang w:eastAsia="zh-CN"/>
        </w:rPr>
        <w:t>Guillén</w:t>
      </w:r>
      <w:proofErr w:type="spellEnd"/>
      <w:r>
        <w:rPr>
          <w:rFonts w:ascii="Arial" w:hAnsi="Arial" w:cs="Arial"/>
          <w:lang w:eastAsia="zh-CN"/>
        </w:rPr>
        <w:t xml:space="preserve"> F. (2020). Extraction processes with several solvents on total bioactive compounds in different organs of three medicinal plants. Molecules </w:t>
      </w:r>
      <w:hyperlink r:id="rId30" w:history="1">
        <w:r>
          <w:rPr>
            <w:rStyle w:val="Hyperlink"/>
            <w:rFonts w:ascii="Arial" w:hAnsi="Arial" w:cs="Arial"/>
            <w:lang w:eastAsia="zh-CN"/>
          </w:rPr>
          <w:t>https://doi.org/10.3390/molecules25204672</w:t>
        </w:r>
      </w:hyperlink>
      <w:r>
        <w:rPr>
          <w:rFonts w:ascii="Arial" w:hAnsi="Arial" w:cs="Arial"/>
          <w:lang w:eastAsia="zh-CN"/>
        </w:rPr>
        <w:t xml:space="preserve"> </w:t>
      </w:r>
    </w:p>
    <w:p w:rsidR="00DD21CA" w:rsidRDefault="00EF432E">
      <w:pPr>
        <w:pStyle w:val="Body"/>
        <w:numPr>
          <w:ilvl w:val="0"/>
          <w:numId w:val="4"/>
        </w:numPr>
        <w:spacing w:after="0"/>
        <w:rPr>
          <w:rFonts w:ascii="Arial" w:hAnsi="Arial" w:cs="Arial"/>
          <w:lang w:eastAsia="zh-CN"/>
        </w:rPr>
      </w:pPr>
      <w:proofErr w:type="spellStart"/>
      <w:r>
        <w:rPr>
          <w:rFonts w:ascii="Arial" w:hAnsi="Arial" w:cs="Arial"/>
          <w:lang w:eastAsia="zh-CN"/>
        </w:rPr>
        <w:t>Mirfat</w:t>
      </w:r>
      <w:proofErr w:type="spellEnd"/>
      <w:r>
        <w:rPr>
          <w:rFonts w:ascii="Arial" w:hAnsi="Arial" w:cs="Arial"/>
          <w:lang w:eastAsia="zh-CN"/>
        </w:rPr>
        <w:t xml:space="preserve">, A.H.S., </w:t>
      </w:r>
      <w:proofErr w:type="spellStart"/>
      <w:r>
        <w:rPr>
          <w:rFonts w:ascii="Arial" w:hAnsi="Arial" w:cs="Arial"/>
          <w:lang w:eastAsia="zh-CN"/>
        </w:rPr>
        <w:t>Mohd</w:t>
      </w:r>
      <w:proofErr w:type="spellEnd"/>
      <w:r>
        <w:rPr>
          <w:rFonts w:ascii="Arial" w:hAnsi="Arial" w:cs="Arial"/>
          <w:lang w:eastAsia="zh-CN"/>
        </w:rPr>
        <w:t xml:space="preserve">. Effendi, M.N., Norma, H., Muhammad Faris, M.R., Muhammad </w:t>
      </w:r>
      <w:proofErr w:type="spellStart"/>
      <w:r>
        <w:rPr>
          <w:rFonts w:ascii="Arial" w:hAnsi="Arial" w:cs="Arial"/>
          <w:lang w:eastAsia="zh-CN"/>
        </w:rPr>
        <w:t>Faidhi</w:t>
      </w:r>
      <w:proofErr w:type="spellEnd"/>
      <w:r>
        <w:rPr>
          <w:rFonts w:ascii="Arial" w:hAnsi="Arial" w:cs="Arial"/>
          <w:lang w:eastAsia="zh-CN"/>
        </w:rPr>
        <w:t xml:space="preserve">, T., </w:t>
      </w:r>
      <w:proofErr w:type="spellStart"/>
      <w:r>
        <w:rPr>
          <w:rFonts w:ascii="Arial" w:hAnsi="Arial" w:cs="Arial"/>
          <w:lang w:eastAsia="zh-CN"/>
        </w:rPr>
        <w:t>Ainon</w:t>
      </w:r>
      <w:proofErr w:type="spellEnd"/>
      <w:r>
        <w:rPr>
          <w:rFonts w:ascii="Arial" w:hAnsi="Arial" w:cs="Arial"/>
          <w:lang w:eastAsia="zh-CN"/>
        </w:rPr>
        <w:t xml:space="preserve">, D.Z., &amp; </w:t>
      </w:r>
      <w:proofErr w:type="spellStart"/>
      <w:r>
        <w:rPr>
          <w:rFonts w:ascii="Arial" w:hAnsi="Arial" w:cs="Arial"/>
          <w:lang w:eastAsia="zh-CN"/>
        </w:rPr>
        <w:t>Hanim</w:t>
      </w:r>
      <w:proofErr w:type="spellEnd"/>
      <w:r>
        <w:rPr>
          <w:rFonts w:ascii="Arial" w:hAnsi="Arial" w:cs="Arial"/>
          <w:lang w:eastAsia="zh-CN"/>
        </w:rPr>
        <w:t xml:space="preserve">, A. (2024). Evaluation of phytochemical, antioxidant and antimicrobial properties of different accessions of </w:t>
      </w:r>
      <w:proofErr w:type="spellStart"/>
      <w:r>
        <w:rPr>
          <w:rFonts w:ascii="Arial" w:hAnsi="Arial" w:cs="Arial"/>
          <w:i/>
          <w:iCs/>
          <w:lang w:eastAsia="zh-CN"/>
        </w:rPr>
        <w:t>Persicaria</w:t>
      </w:r>
      <w:proofErr w:type="spellEnd"/>
      <w:r>
        <w:rPr>
          <w:rFonts w:ascii="Arial" w:hAnsi="Arial" w:cs="Arial"/>
          <w:i/>
          <w:iCs/>
          <w:lang w:eastAsia="zh-CN"/>
        </w:rPr>
        <w:t xml:space="preserve"> minor </w:t>
      </w:r>
      <w:r>
        <w:rPr>
          <w:rFonts w:ascii="Arial" w:hAnsi="Arial" w:cs="Arial"/>
          <w:lang w:eastAsia="zh-CN"/>
        </w:rPr>
        <w:t>(</w:t>
      </w:r>
      <w:proofErr w:type="spellStart"/>
      <w:r>
        <w:rPr>
          <w:rFonts w:ascii="Arial" w:hAnsi="Arial" w:cs="Arial"/>
          <w:i/>
          <w:iCs/>
          <w:lang w:eastAsia="zh-CN"/>
        </w:rPr>
        <w:t>kesum</w:t>
      </w:r>
      <w:proofErr w:type="spellEnd"/>
      <w:r>
        <w:rPr>
          <w:rFonts w:ascii="Arial" w:hAnsi="Arial" w:cs="Arial"/>
          <w:lang w:eastAsia="zh-CN"/>
        </w:rPr>
        <w:t xml:space="preserve">). Food Research Journal, 8 (Supp. 4), 57-64. </w:t>
      </w:r>
      <w:hyperlink r:id="rId31" w:history="1">
        <w:r>
          <w:rPr>
            <w:rStyle w:val="Hyperlink"/>
            <w:rFonts w:ascii="Arial" w:hAnsi="Arial" w:cs="Arial"/>
            <w:lang w:eastAsia="zh-CN"/>
          </w:rPr>
          <w:t>https://doi.org/10.26656/fr.2017.8(S4).6</w:t>
        </w:r>
      </w:hyperlink>
      <w:r>
        <w:rPr>
          <w:rFonts w:ascii="Arial" w:hAnsi="Arial" w:cs="Arial"/>
          <w:lang w:eastAsia="zh-CN"/>
        </w:rPr>
        <w:t xml:space="preserve"> </w:t>
      </w:r>
    </w:p>
    <w:p w:rsidR="00DD21CA" w:rsidRDefault="00EF432E">
      <w:pPr>
        <w:pStyle w:val="Body"/>
        <w:numPr>
          <w:ilvl w:val="0"/>
          <w:numId w:val="4"/>
        </w:numPr>
        <w:spacing w:after="0"/>
        <w:rPr>
          <w:rFonts w:ascii="Arial" w:hAnsi="Arial" w:cs="Arial"/>
          <w:lang w:val="sv-SE" w:eastAsia="zh-CN"/>
        </w:rPr>
      </w:pPr>
      <w:proofErr w:type="spellStart"/>
      <w:r>
        <w:rPr>
          <w:rFonts w:ascii="Arial" w:hAnsi="Arial" w:cs="Arial"/>
          <w:lang w:eastAsia="zh-CN"/>
        </w:rPr>
        <w:t>Mirfat</w:t>
      </w:r>
      <w:proofErr w:type="spellEnd"/>
      <w:r>
        <w:rPr>
          <w:rFonts w:ascii="Arial" w:hAnsi="Arial" w:cs="Arial"/>
          <w:lang w:eastAsia="zh-CN"/>
        </w:rPr>
        <w:t xml:space="preserve">, A. H. S., </w:t>
      </w:r>
      <w:proofErr w:type="spellStart"/>
      <w:r>
        <w:rPr>
          <w:rFonts w:ascii="Arial" w:hAnsi="Arial" w:cs="Arial"/>
          <w:lang w:eastAsia="zh-CN"/>
        </w:rPr>
        <w:t>Rosalizan</w:t>
      </w:r>
      <w:proofErr w:type="spellEnd"/>
      <w:r>
        <w:rPr>
          <w:rFonts w:ascii="Arial" w:hAnsi="Arial" w:cs="Arial"/>
          <w:lang w:eastAsia="zh-CN"/>
        </w:rPr>
        <w:t xml:space="preserve">, M. S., Razali, M., </w:t>
      </w:r>
      <w:proofErr w:type="spellStart"/>
      <w:r>
        <w:rPr>
          <w:rFonts w:ascii="Arial" w:hAnsi="Arial" w:cs="Arial"/>
          <w:lang w:eastAsia="zh-CN"/>
        </w:rPr>
        <w:t>Mohd</w:t>
      </w:r>
      <w:proofErr w:type="spellEnd"/>
      <w:r>
        <w:rPr>
          <w:rFonts w:ascii="Arial" w:hAnsi="Arial" w:cs="Arial"/>
          <w:lang w:eastAsia="zh-CN"/>
        </w:rPr>
        <w:t xml:space="preserve"> Effendi, M. N., Norma, H., Muhammad Faris, M. R., </w:t>
      </w:r>
      <w:proofErr w:type="spellStart"/>
      <w:r>
        <w:rPr>
          <w:rFonts w:ascii="Arial" w:hAnsi="Arial" w:cs="Arial"/>
          <w:lang w:eastAsia="zh-CN"/>
        </w:rPr>
        <w:t>Zulkefli</w:t>
      </w:r>
      <w:proofErr w:type="spellEnd"/>
      <w:r>
        <w:rPr>
          <w:rFonts w:ascii="Arial" w:hAnsi="Arial" w:cs="Arial"/>
          <w:lang w:eastAsia="zh-CN"/>
        </w:rPr>
        <w:t xml:space="preserve">, A. R., Muhammad </w:t>
      </w:r>
      <w:proofErr w:type="spellStart"/>
      <w:r>
        <w:rPr>
          <w:rFonts w:ascii="Arial" w:hAnsi="Arial" w:cs="Arial"/>
          <w:lang w:eastAsia="zh-CN"/>
        </w:rPr>
        <w:t>Faidhi</w:t>
      </w:r>
      <w:proofErr w:type="spellEnd"/>
      <w:r>
        <w:rPr>
          <w:rFonts w:ascii="Arial" w:hAnsi="Arial" w:cs="Arial"/>
          <w:lang w:eastAsia="zh-CN"/>
        </w:rPr>
        <w:t xml:space="preserve">, T., &amp; </w:t>
      </w:r>
      <w:proofErr w:type="spellStart"/>
      <w:r>
        <w:rPr>
          <w:rFonts w:ascii="Arial" w:hAnsi="Arial" w:cs="Arial"/>
          <w:lang w:eastAsia="zh-CN"/>
        </w:rPr>
        <w:t>Saidatul</w:t>
      </w:r>
      <w:proofErr w:type="spellEnd"/>
      <w:r>
        <w:rPr>
          <w:rFonts w:ascii="Arial" w:hAnsi="Arial" w:cs="Arial"/>
          <w:lang w:eastAsia="zh-CN"/>
        </w:rPr>
        <w:t xml:space="preserve"> Aqilah, M. Y. (2024). </w:t>
      </w:r>
      <w:proofErr w:type="spellStart"/>
      <w:r>
        <w:rPr>
          <w:rFonts w:ascii="Arial" w:hAnsi="Arial" w:cs="Arial"/>
          <w:lang w:eastAsia="zh-CN"/>
        </w:rPr>
        <w:t>Kaedah</w:t>
      </w:r>
      <w:proofErr w:type="spellEnd"/>
      <w:r>
        <w:rPr>
          <w:rFonts w:ascii="Arial" w:hAnsi="Arial" w:cs="Arial"/>
          <w:lang w:eastAsia="zh-CN"/>
        </w:rPr>
        <w:t xml:space="preserve"> </w:t>
      </w:r>
      <w:proofErr w:type="spellStart"/>
      <w:r>
        <w:rPr>
          <w:rFonts w:ascii="Arial" w:hAnsi="Arial" w:cs="Arial"/>
          <w:lang w:eastAsia="zh-CN"/>
        </w:rPr>
        <w:t>analitikal</w:t>
      </w:r>
      <w:proofErr w:type="spellEnd"/>
      <w:r>
        <w:rPr>
          <w:rFonts w:ascii="Arial" w:hAnsi="Arial" w:cs="Arial"/>
          <w:lang w:eastAsia="zh-CN"/>
        </w:rPr>
        <w:t xml:space="preserve"> </w:t>
      </w:r>
      <w:proofErr w:type="spellStart"/>
      <w:r>
        <w:rPr>
          <w:rFonts w:ascii="Arial" w:hAnsi="Arial" w:cs="Arial"/>
          <w:lang w:eastAsia="zh-CN"/>
        </w:rPr>
        <w:t>bagi</w:t>
      </w:r>
      <w:proofErr w:type="spellEnd"/>
      <w:r>
        <w:rPr>
          <w:rFonts w:ascii="Arial" w:hAnsi="Arial" w:cs="Arial"/>
          <w:lang w:eastAsia="zh-CN"/>
        </w:rPr>
        <w:t xml:space="preserve"> </w:t>
      </w:r>
      <w:proofErr w:type="spellStart"/>
      <w:r>
        <w:rPr>
          <w:rFonts w:ascii="Arial" w:hAnsi="Arial" w:cs="Arial"/>
          <w:lang w:eastAsia="zh-CN"/>
        </w:rPr>
        <w:t>penentuan</w:t>
      </w:r>
      <w:proofErr w:type="spellEnd"/>
      <w:r>
        <w:rPr>
          <w:rFonts w:ascii="Arial" w:hAnsi="Arial" w:cs="Arial"/>
          <w:lang w:eastAsia="zh-CN"/>
        </w:rPr>
        <w:t xml:space="preserve"> </w:t>
      </w:r>
      <w:proofErr w:type="spellStart"/>
      <w:r>
        <w:rPr>
          <w:rFonts w:ascii="Arial" w:hAnsi="Arial" w:cs="Arial"/>
          <w:lang w:eastAsia="zh-CN"/>
        </w:rPr>
        <w:t>kandungan</w:t>
      </w:r>
      <w:proofErr w:type="spellEnd"/>
      <w:r>
        <w:rPr>
          <w:rFonts w:ascii="Arial" w:hAnsi="Arial" w:cs="Arial"/>
          <w:lang w:eastAsia="zh-CN"/>
        </w:rPr>
        <w:t xml:space="preserve"> </w:t>
      </w:r>
      <w:proofErr w:type="spellStart"/>
      <w:r>
        <w:rPr>
          <w:rFonts w:ascii="Arial" w:hAnsi="Arial" w:cs="Arial"/>
          <w:lang w:eastAsia="zh-CN"/>
        </w:rPr>
        <w:t>sebatian</w:t>
      </w:r>
      <w:proofErr w:type="spellEnd"/>
      <w:r>
        <w:rPr>
          <w:rFonts w:ascii="Arial" w:hAnsi="Arial" w:cs="Arial"/>
          <w:lang w:eastAsia="zh-CN"/>
        </w:rPr>
        <w:t xml:space="preserve"> </w:t>
      </w:r>
      <w:proofErr w:type="spellStart"/>
      <w:r>
        <w:rPr>
          <w:rFonts w:ascii="Arial" w:hAnsi="Arial" w:cs="Arial"/>
          <w:lang w:eastAsia="zh-CN"/>
        </w:rPr>
        <w:t>terbitan</w:t>
      </w:r>
      <w:proofErr w:type="spellEnd"/>
      <w:r>
        <w:rPr>
          <w:rFonts w:ascii="Arial" w:hAnsi="Arial" w:cs="Arial"/>
          <w:lang w:eastAsia="zh-CN"/>
        </w:rPr>
        <w:t xml:space="preserve"> quercetin </w:t>
      </w:r>
      <w:proofErr w:type="spellStart"/>
      <w:r>
        <w:rPr>
          <w:rFonts w:ascii="Arial" w:hAnsi="Arial" w:cs="Arial"/>
          <w:lang w:eastAsia="zh-CN"/>
        </w:rPr>
        <w:t>dalam</w:t>
      </w:r>
      <w:proofErr w:type="spellEnd"/>
      <w:r>
        <w:rPr>
          <w:rFonts w:ascii="Arial" w:hAnsi="Arial" w:cs="Arial"/>
          <w:lang w:eastAsia="zh-CN"/>
        </w:rPr>
        <w:t xml:space="preserve"> </w:t>
      </w:r>
      <w:proofErr w:type="spellStart"/>
      <w:r>
        <w:rPr>
          <w:rFonts w:ascii="Arial" w:hAnsi="Arial" w:cs="Arial"/>
          <w:lang w:eastAsia="zh-CN"/>
        </w:rPr>
        <w:t>ekstrak</w:t>
      </w:r>
      <w:proofErr w:type="spellEnd"/>
      <w:r>
        <w:rPr>
          <w:rFonts w:ascii="Arial" w:hAnsi="Arial" w:cs="Arial"/>
          <w:lang w:eastAsia="zh-CN"/>
        </w:rPr>
        <w:t xml:space="preserve"> </w:t>
      </w:r>
      <w:proofErr w:type="spellStart"/>
      <w:r>
        <w:rPr>
          <w:rFonts w:ascii="Arial" w:hAnsi="Arial" w:cs="Arial"/>
          <w:lang w:eastAsia="zh-CN"/>
        </w:rPr>
        <w:t>kesum</w:t>
      </w:r>
      <w:proofErr w:type="spellEnd"/>
      <w:r>
        <w:rPr>
          <w:rFonts w:ascii="Arial" w:hAnsi="Arial" w:cs="Arial"/>
          <w:lang w:eastAsia="zh-CN"/>
        </w:rPr>
        <w:t xml:space="preserve">. </w:t>
      </w:r>
      <w:proofErr w:type="spellStart"/>
      <w:r>
        <w:rPr>
          <w:rFonts w:ascii="Arial" w:hAnsi="Arial" w:cs="Arial"/>
          <w:lang w:eastAsia="zh-CN"/>
        </w:rPr>
        <w:t>Buletin</w:t>
      </w:r>
      <w:proofErr w:type="spellEnd"/>
      <w:r>
        <w:rPr>
          <w:rFonts w:ascii="Arial" w:hAnsi="Arial" w:cs="Arial"/>
          <w:lang w:eastAsia="zh-CN"/>
        </w:rPr>
        <w:t xml:space="preserve"> </w:t>
      </w:r>
      <w:proofErr w:type="spellStart"/>
      <w:r>
        <w:rPr>
          <w:rFonts w:ascii="Arial" w:hAnsi="Arial" w:cs="Arial"/>
          <w:lang w:eastAsia="zh-CN"/>
        </w:rPr>
        <w:t>Teknologi</w:t>
      </w:r>
      <w:proofErr w:type="spellEnd"/>
      <w:r>
        <w:rPr>
          <w:rFonts w:ascii="Arial" w:hAnsi="Arial" w:cs="Arial"/>
          <w:lang w:eastAsia="zh-CN"/>
        </w:rPr>
        <w:t xml:space="preserve"> MARDI, 40, 31–41. </w:t>
      </w:r>
      <w:hyperlink r:id="rId32" w:tgtFrame="https://www.google.com/_blank" w:history="1">
        <w:r>
          <w:rPr>
            <w:color w:val="F6267E"/>
            <w:u w:val="single"/>
          </w:rPr>
          <w:t>http://ebuletin.mardi.gov.my/buletin/40/Mirfat.pdf</w:t>
        </w:r>
      </w:hyperlink>
    </w:p>
    <w:p w:rsidR="00DD21CA" w:rsidRDefault="00EF432E">
      <w:pPr>
        <w:pStyle w:val="Body"/>
        <w:numPr>
          <w:ilvl w:val="0"/>
          <w:numId w:val="4"/>
        </w:numPr>
        <w:spacing w:after="0"/>
        <w:rPr>
          <w:rFonts w:ascii="Arial" w:hAnsi="Arial" w:cs="Arial"/>
          <w:lang w:eastAsia="zh-CN"/>
        </w:rPr>
      </w:pPr>
      <w:r>
        <w:rPr>
          <w:rFonts w:ascii="Arial" w:hAnsi="Arial" w:cs="Arial"/>
          <w:lang w:val="sv-SE" w:eastAsia="zh-CN"/>
        </w:rPr>
        <w:t>Passo Tsamo, V. C., Herent, M. F., Tomekpe, K., Happi Emaga, T., Quetin-Leclercq, J., Rogez, H., Larondelle, Y., &amp; Andre, C. (2015). Phenolic profiling in the pulp and peel of nine plantain cultivars (</w:t>
      </w:r>
      <w:r>
        <w:rPr>
          <w:rFonts w:ascii="Arial" w:hAnsi="Arial" w:cs="Arial"/>
          <w:i/>
          <w:iCs/>
          <w:lang w:val="sv-SE" w:eastAsia="zh-CN"/>
        </w:rPr>
        <w:t>Musa</w:t>
      </w:r>
      <w:r>
        <w:rPr>
          <w:rFonts w:ascii="Arial" w:hAnsi="Arial" w:cs="Arial"/>
          <w:lang w:val="sv-SE" w:eastAsia="zh-CN"/>
        </w:rPr>
        <w:t xml:space="preserve"> sp.). Food Chemistry, 167, 197–204. </w:t>
      </w:r>
      <w:r>
        <w:rPr>
          <w:rFonts w:ascii="Arial" w:hAnsi="Arial" w:cs="Arial"/>
          <w:lang w:val="sv-SE" w:eastAsia="zh-CN"/>
        </w:rPr>
        <w:fldChar w:fldCharType="begin"/>
      </w:r>
      <w:r>
        <w:rPr>
          <w:rFonts w:ascii="Arial" w:hAnsi="Arial" w:cs="Arial"/>
          <w:lang w:val="sv-SE" w:eastAsia="zh-CN"/>
        </w:rPr>
        <w:instrText xml:space="preserve"> HYPERLINK "https://doi.org/10.1016/j.foodchem.2014.06.095" </w:instrText>
      </w:r>
      <w:r>
        <w:rPr>
          <w:rFonts w:ascii="Arial" w:hAnsi="Arial" w:cs="Arial"/>
          <w:lang w:val="sv-SE" w:eastAsia="zh-CN"/>
        </w:rPr>
        <w:fldChar w:fldCharType="separate"/>
      </w:r>
      <w:r>
        <w:rPr>
          <w:rStyle w:val="Hyperlink"/>
          <w:rFonts w:ascii="Arial" w:hAnsi="Arial" w:cs="Arial"/>
          <w:lang w:val="sv-SE" w:eastAsia="zh-CN"/>
        </w:rPr>
        <w:t>https://doi.org/10.1016/j.foodchem.2014.06.095</w:t>
      </w:r>
      <w:r>
        <w:rPr>
          <w:rFonts w:ascii="Arial" w:hAnsi="Arial" w:cs="Arial"/>
          <w:lang w:val="sv-SE" w:eastAsia="zh-CN"/>
        </w:rPr>
        <w:fldChar w:fldCharType="end"/>
      </w:r>
      <w:r>
        <w:rPr>
          <w:rFonts w:ascii="Arial" w:hAnsi="Arial" w:cs="Arial"/>
          <w:lang w:val="sv-SE" w:eastAsia="zh-CN"/>
        </w:rPr>
        <w:t xml:space="preserve"> </w:t>
      </w:r>
    </w:p>
    <w:p w:rsidR="00DD21CA" w:rsidRDefault="00EF432E">
      <w:pPr>
        <w:pStyle w:val="Body"/>
        <w:numPr>
          <w:ilvl w:val="0"/>
          <w:numId w:val="4"/>
        </w:numPr>
        <w:spacing w:after="0"/>
        <w:rPr>
          <w:rFonts w:ascii="Arial" w:hAnsi="Arial" w:cs="Arial"/>
          <w:lang w:eastAsia="zh-CN"/>
        </w:rPr>
      </w:pPr>
      <w:r>
        <w:rPr>
          <w:rFonts w:ascii="Arial" w:hAnsi="Arial" w:cs="Arial"/>
          <w:lang w:eastAsia="zh-CN"/>
        </w:rPr>
        <w:t xml:space="preserve">Pham, H. N. T., Nguyen, V. T., </w:t>
      </w:r>
      <w:proofErr w:type="spellStart"/>
      <w:r>
        <w:rPr>
          <w:rFonts w:ascii="Arial" w:hAnsi="Arial" w:cs="Arial"/>
          <w:lang w:eastAsia="zh-CN"/>
        </w:rPr>
        <w:t>Vuong</w:t>
      </w:r>
      <w:proofErr w:type="spellEnd"/>
      <w:r>
        <w:rPr>
          <w:rFonts w:ascii="Arial" w:hAnsi="Arial" w:cs="Arial"/>
          <w:lang w:eastAsia="zh-CN"/>
        </w:rPr>
        <w:t xml:space="preserve">, Q. V., Bowyer, M. C., &amp; Scarlett, C. J. (2015). Effect of extraction solvents and drying methods on the physicochemical and antioxidant properties of </w:t>
      </w:r>
      <w:proofErr w:type="spellStart"/>
      <w:r>
        <w:rPr>
          <w:rFonts w:ascii="Arial" w:hAnsi="Arial" w:cs="Arial"/>
          <w:i/>
          <w:iCs/>
          <w:lang w:eastAsia="zh-CN"/>
        </w:rPr>
        <w:t>Helicteres</w:t>
      </w:r>
      <w:proofErr w:type="spellEnd"/>
      <w:r>
        <w:rPr>
          <w:rFonts w:ascii="Arial" w:hAnsi="Arial" w:cs="Arial"/>
          <w:i/>
          <w:iCs/>
          <w:lang w:eastAsia="zh-CN"/>
        </w:rPr>
        <w:t xml:space="preserve"> </w:t>
      </w:r>
      <w:proofErr w:type="spellStart"/>
      <w:r>
        <w:rPr>
          <w:rFonts w:ascii="Arial" w:hAnsi="Arial" w:cs="Arial"/>
          <w:i/>
          <w:iCs/>
          <w:lang w:eastAsia="zh-CN"/>
        </w:rPr>
        <w:t>hirsuta</w:t>
      </w:r>
      <w:proofErr w:type="spellEnd"/>
      <w:r>
        <w:rPr>
          <w:rFonts w:ascii="Arial" w:hAnsi="Arial" w:cs="Arial"/>
          <w:lang w:eastAsia="zh-CN"/>
        </w:rPr>
        <w:t xml:space="preserve"> </w:t>
      </w:r>
      <w:proofErr w:type="spellStart"/>
      <w:r>
        <w:rPr>
          <w:rFonts w:ascii="Arial" w:hAnsi="Arial" w:cs="Arial"/>
          <w:lang w:eastAsia="zh-CN"/>
        </w:rPr>
        <w:t>Lour</w:t>
      </w:r>
      <w:proofErr w:type="spellEnd"/>
      <w:r>
        <w:rPr>
          <w:rFonts w:ascii="Arial" w:hAnsi="Arial" w:cs="Arial"/>
          <w:lang w:eastAsia="zh-CN"/>
        </w:rPr>
        <w:t xml:space="preserve">. </w:t>
      </w:r>
      <w:r>
        <w:rPr>
          <w:rFonts w:ascii="Arial" w:hAnsi="Arial" w:cs="Arial"/>
          <w:lang w:val="en-MY" w:eastAsia="zh-CN"/>
        </w:rPr>
        <w:t>l</w:t>
      </w:r>
      <w:r>
        <w:rPr>
          <w:rFonts w:ascii="Arial" w:hAnsi="Arial" w:cs="Arial"/>
          <w:lang w:eastAsia="zh-CN"/>
        </w:rPr>
        <w:t xml:space="preserve">eaves. Technologies, 3(4), 285-301. </w:t>
      </w:r>
      <w:hyperlink r:id="rId33" w:history="1">
        <w:r>
          <w:rPr>
            <w:rStyle w:val="Hyperlink"/>
            <w:rFonts w:ascii="Arial" w:hAnsi="Arial" w:cs="Arial"/>
            <w:lang w:eastAsia="zh-CN"/>
          </w:rPr>
          <w:t>https://doi.org/10.3390/technologies3040285</w:t>
        </w:r>
      </w:hyperlink>
      <w:r>
        <w:rPr>
          <w:rFonts w:ascii="Arial" w:hAnsi="Arial" w:cs="Arial"/>
          <w:lang w:eastAsia="zh-CN"/>
        </w:rPr>
        <w:t xml:space="preserve"> </w:t>
      </w:r>
    </w:p>
    <w:p w:rsidR="00DD21CA" w:rsidRDefault="00EF432E">
      <w:pPr>
        <w:pStyle w:val="Body"/>
        <w:numPr>
          <w:ilvl w:val="0"/>
          <w:numId w:val="4"/>
        </w:numPr>
        <w:spacing w:after="0"/>
        <w:rPr>
          <w:rFonts w:ascii="Arial" w:hAnsi="Arial" w:cs="Arial"/>
          <w:lang w:eastAsia="zh-CN"/>
        </w:rPr>
      </w:pPr>
      <w:r>
        <w:rPr>
          <w:rFonts w:ascii="Arial" w:hAnsi="Arial" w:cs="Arial"/>
          <w:lang w:eastAsia="zh-CN"/>
        </w:rPr>
        <w:t xml:space="preserve">Saifullah, M., McCullum, R., McCluskey, A., &amp; </w:t>
      </w:r>
      <w:proofErr w:type="spellStart"/>
      <w:r>
        <w:rPr>
          <w:rFonts w:ascii="Arial" w:hAnsi="Arial" w:cs="Arial"/>
          <w:lang w:eastAsia="zh-CN"/>
        </w:rPr>
        <w:t>Vuong</w:t>
      </w:r>
      <w:proofErr w:type="spellEnd"/>
      <w:r>
        <w:rPr>
          <w:rFonts w:ascii="Arial" w:hAnsi="Arial" w:cs="Arial"/>
          <w:lang w:eastAsia="zh-CN"/>
        </w:rPr>
        <w:t xml:space="preserve">, Q. (2019). Effects of different drying methods on extractable phenolic compounds and antioxidant properties from lemon myrtle dried leaves. </w:t>
      </w:r>
      <w:proofErr w:type="spellStart"/>
      <w:r>
        <w:rPr>
          <w:rFonts w:ascii="Arial" w:hAnsi="Arial" w:cs="Arial"/>
          <w:lang w:eastAsia="zh-CN"/>
        </w:rPr>
        <w:t>Heliyon</w:t>
      </w:r>
      <w:proofErr w:type="spellEnd"/>
      <w:r>
        <w:rPr>
          <w:rFonts w:ascii="Arial" w:hAnsi="Arial" w:cs="Arial"/>
          <w:lang w:eastAsia="zh-CN"/>
        </w:rPr>
        <w:t xml:space="preserve">. </w:t>
      </w:r>
      <w:hyperlink r:id="rId34" w:history="1">
        <w:r>
          <w:rPr>
            <w:rStyle w:val="Hyperlink"/>
            <w:rFonts w:ascii="Arial" w:hAnsi="Arial" w:cs="Arial"/>
            <w:lang w:eastAsia="zh-CN"/>
          </w:rPr>
          <w:t>https://doi.org/10.1016/j.heliyon.2019.e03044</w:t>
        </w:r>
      </w:hyperlink>
      <w:r>
        <w:rPr>
          <w:rFonts w:ascii="Arial" w:hAnsi="Arial" w:cs="Arial"/>
          <w:lang w:eastAsia="zh-CN"/>
        </w:rPr>
        <w:t xml:space="preserve"> </w:t>
      </w:r>
    </w:p>
    <w:p w:rsidR="00DD21CA" w:rsidRDefault="00EF432E">
      <w:pPr>
        <w:pStyle w:val="Body"/>
        <w:numPr>
          <w:ilvl w:val="0"/>
          <w:numId w:val="4"/>
        </w:numPr>
        <w:spacing w:after="0"/>
        <w:rPr>
          <w:rFonts w:ascii="Arial" w:hAnsi="Arial" w:cs="Arial"/>
          <w:lang w:val="en-MY"/>
        </w:rPr>
      </w:pPr>
      <w:r>
        <w:rPr>
          <w:rFonts w:ascii="Arial" w:hAnsi="Arial" w:cs="Arial"/>
        </w:rPr>
        <w:t xml:space="preserve">Srinivas, K., King, J.W., Howard, L.R., &amp; </w:t>
      </w:r>
      <w:proofErr w:type="spellStart"/>
      <w:r>
        <w:rPr>
          <w:rFonts w:ascii="Arial" w:hAnsi="Arial" w:cs="Arial"/>
        </w:rPr>
        <w:t>Monrad</w:t>
      </w:r>
      <w:proofErr w:type="spellEnd"/>
      <w:r>
        <w:rPr>
          <w:rFonts w:ascii="Arial" w:hAnsi="Arial" w:cs="Arial"/>
        </w:rPr>
        <w:t xml:space="preserve">, J.K. (2010). Solubility and solution thermodynamic properties of quercetin and quercetin dihydrate in subcritical water. Journal of Food Engineering, 100(2), 208-218. </w:t>
      </w:r>
      <w:hyperlink r:id="rId35" w:history="1">
        <w:r>
          <w:rPr>
            <w:rStyle w:val="Hyperlink"/>
            <w:rFonts w:ascii="Arial" w:hAnsi="Arial" w:cs="Arial"/>
            <w:color w:val="F6267E"/>
          </w:rPr>
          <w:t>https://doi.org/10.1016/j.jfoodeng.2010.04.001</w:t>
        </w:r>
      </w:hyperlink>
      <w:r>
        <w:rPr>
          <w:rFonts w:ascii="Arial" w:hAnsi="Arial" w:cs="Arial"/>
        </w:rPr>
        <w:t xml:space="preserve"> </w:t>
      </w:r>
    </w:p>
    <w:p w:rsidR="00DD21CA" w:rsidRDefault="00EF432E">
      <w:pPr>
        <w:pStyle w:val="Body"/>
        <w:numPr>
          <w:ilvl w:val="0"/>
          <w:numId w:val="4"/>
        </w:numPr>
        <w:spacing w:after="0"/>
        <w:rPr>
          <w:rFonts w:ascii="Arial" w:hAnsi="Arial" w:cs="Arial"/>
          <w:lang w:val="en-MY"/>
        </w:rPr>
      </w:pPr>
      <w:r>
        <w:rPr>
          <w:rFonts w:ascii="Arial" w:hAnsi="Arial" w:cs="Arial"/>
          <w:lang w:val="en-MY"/>
        </w:rPr>
        <w:t>Tripathi, S., Singh, S., Mishra, N., &amp; Mishra, N. (2025). The impact of solvent polarity on the phenolic and antioxidant capacity of green coffee beans (</w:t>
      </w:r>
      <w:r>
        <w:rPr>
          <w:rFonts w:ascii="Arial" w:hAnsi="Arial" w:cs="Arial"/>
          <w:i/>
          <w:iCs/>
          <w:lang w:val="en-MY"/>
        </w:rPr>
        <w:t xml:space="preserve">Robusta </w:t>
      </w:r>
      <w:r>
        <w:rPr>
          <w:rFonts w:ascii="Arial" w:hAnsi="Arial" w:cs="Arial"/>
          <w:lang w:val="en-MY"/>
        </w:rPr>
        <w:t>species) extracts. Current Research in Nutrition and Food Science, 13(2).</w:t>
      </w:r>
      <w:r>
        <w:rPr>
          <w:rFonts w:ascii="Arial" w:hAnsi="Arial" w:cs="Arial"/>
          <w:color w:val="F6267E"/>
          <w:u w:val="single"/>
          <w:lang w:val="en-MY"/>
        </w:rPr>
        <w:t xml:space="preserve"> https://dx.doi.org/10.12944/CRNFSJ.13.2.27</w:t>
      </w:r>
    </w:p>
    <w:p w:rsidR="00DD21CA" w:rsidRPr="00706E89" w:rsidRDefault="00EF432E">
      <w:pPr>
        <w:pStyle w:val="Body"/>
        <w:numPr>
          <w:ilvl w:val="0"/>
          <w:numId w:val="4"/>
        </w:numPr>
        <w:spacing w:after="0"/>
        <w:rPr>
          <w:rFonts w:ascii="Arial" w:hAnsi="Arial" w:cs="Arial"/>
          <w:lang w:val="en-MY"/>
        </w:rPr>
      </w:pPr>
      <w:r>
        <w:rPr>
          <w:rFonts w:ascii="Arial" w:hAnsi="Arial" w:cs="Arial"/>
          <w:lang w:val="en-MY"/>
        </w:rPr>
        <w:t>V</w:t>
      </w:r>
      <w:r>
        <w:rPr>
          <w:rFonts w:ascii="Arial" w:hAnsi="Arial" w:cs="Arial"/>
          <w:lang w:val="en-MY" w:eastAsia="zh-CN"/>
        </w:rPr>
        <w:t xml:space="preserve">imala, S., </w:t>
      </w:r>
      <w:proofErr w:type="spellStart"/>
      <w:r>
        <w:rPr>
          <w:rFonts w:ascii="Arial" w:hAnsi="Arial" w:cs="Arial"/>
          <w:lang w:val="en-MY" w:eastAsia="zh-CN"/>
        </w:rPr>
        <w:t>Rohana</w:t>
      </w:r>
      <w:proofErr w:type="spellEnd"/>
      <w:r>
        <w:rPr>
          <w:rFonts w:ascii="Arial" w:hAnsi="Arial" w:cs="Arial"/>
          <w:lang w:val="en-MY" w:eastAsia="zh-CN"/>
        </w:rPr>
        <w:t xml:space="preserve">, S., </w:t>
      </w:r>
      <w:proofErr w:type="spellStart"/>
      <w:r>
        <w:rPr>
          <w:rFonts w:ascii="Arial" w:hAnsi="Arial" w:cs="Arial"/>
          <w:lang w:val="en-MY" w:eastAsia="zh-CN"/>
        </w:rPr>
        <w:t>Rashih</w:t>
      </w:r>
      <w:proofErr w:type="spellEnd"/>
      <w:r>
        <w:rPr>
          <w:rFonts w:ascii="Arial" w:hAnsi="Arial" w:cs="Arial"/>
          <w:lang w:val="en-MY" w:eastAsia="zh-CN"/>
        </w:rPr>
        <w:t xml:space="preserve">, A.A., </w:t>
      </w:r>
      <w:r>
        <w:rPr>
          <w:rFonts w:ascii="Arial" w:hAnsi="Arial" w:cs="Arial"/>
          <w:lang w:eastAsia="zh-CN"/>
        </w:rPr>
        <w:t>&amp;</w:t>
      </w:r>
      <w:r>
        <w:rPr>
          <w:rFonts w:ascii="Arial" w:hAnsi="Arial" w:cs="Arial"/>
          <w:lang w:val="en-MY" w:eastAsia="zh-CN"/>
        </w:rPr>
        <w:t xml:space="preserve"> </w:t>
      </w:r>
      <w:proofErr w:type="spellStart"/>
      <w:r>
        <w:rPr>
          <w:rFonts w:ascii="Arial" w:hAnsi="Arial" w:cs="Arial"/>
          <w:lang w:val="en-MY" w:eastAsia="zh-CN"/>
        </w:rPr>
        <w:t>Juliza</w:t>
      </w:r>
      <w:proofErr w:type="spellEnd"/>
      <w:r>
        <w:rPr>
          <w:rFonts w:ascii="Arial" w:hAnsi="Arial" w:cs="Arial"/>
          <w:lang w:val="en-MY" w:eastAsia="zh-CN"/>
        </w:rPr>
        <w:t xml:space="preserve">, M. </w:t>
      </w:r>
      <w:r>
        <w:rPr>
          <w:rFonts w:ascii="Arial" w:hAnsi="Arial" w:cs="Arial"/>
          <w:lang w:eastAsia="zh-CN"/>
        </w:rPr>
        <w:t>(</w:t>
      </w:r>
      <w:r>
        <w:rPr>
          <w:rFonts w:ascii="Arial" w:hAnsi="Arial" w:cs="Arial"/>
          <w:lang w:val="en-MY" w:eastAsia="zh-CN"/>
        </w:rPr>
        <w:t>2011</w:t>
      </w:r>
      <w:r>
        <w:rPr>
          <w:rFonts w:ascii="Arial" w:hAnsi="Arial" w:cs="Arial"/>
          <w:lang w:eastAsia="zh-CN"/>
        </w:rPr>
        <w:t>)</w:t>
      </w:r>
      <w:r>
        <w:rPr>
          <w:rFonts w:ascii="Arial" w:hAnsi="Arial" w:cs="Arial"/>
          <w:lang w:val="en-MY" w:eastAsia="zh-CN"/>
        </w:rPr>
        <w:t xml:space="preserve">. Antioxidant evaluation in Malaysian medicinal plant: </w:t>
      </w:r>
      <w:proofErr w:type="spellStart"/>
      <w:r>
        <w:rPr>
          <w:rFonts w:ascii="Arial" w:hAnsi="Arial" w:cs="Arial"/>
          <w:i/>
          <w:iCs/>
          <w:lang w:val="en-MY" w:eastAsia="zh-CN"/>
        </w:rPr>
        <w:t>Persicaria</w:t>
      </w:r>
      <w:proofErr w:type="spellEnd"/>
      <w:r>
        <w:rPr>
          <w:rFonts w:ascii="Arial" w:hAnsi="Arial" w:cs="Arial"/>
          <w:i/>
          <w:iCs/>
          <w:lang w:val="en-MY" w:eastAsia="zh-CN"/>
        </w:rPr>
        <w:t xml:space="preserve"> minor</w:t>
      </w:r>
      <w:r>
        <w:rPr>
          <w:rFonts w:ascii="Arial" w:hAnsi="Arial" w:cs="Arial"/>
          <w:lang w:val="en-MY" w:eastAsia="zh-CN"/>
        </w:rPr>
        <w:t xml:space="preserve"> (</w:t>
      </w:r>
      <w:proofErr w:type="spellStart"/>
      <w:r>
        <w:rPr>
          <w:rFonts w:ascii="Arial" w:hAnsi="Arial" w:cs="Arial"/>
          <w:lang w:val="en-MY" w:eastAsia="zh-CN"/>
        </w:rPr>
        <w:t>Huds</w:t>
      </w:r>
      <w:proofErr w:type="spellEnd"/>
      <w:r>
        <w:rPr>
          <w:rFonts w:ascii="Arial" w:hAnsi="Arial" w:cs="Arial"/>
          <w:lang w:val="en-MY" w:eastAsia="zh-CN"/>
        </w:rPr>
        <w:t>.) leaf. Science Journal of Medicine and Clinical Trials</w:t>
      </w:r>
      <w:r>
        <w:rPr>
          <w:rFonts w:ascii="Arial" w:hAnsi="Arial" w:cs="Arial"/>
          <w:lang w:eastAsia="zh-CN"/>
        </w:rPr>
        <w:t>,</w:t>
      </w:r>
      <w:r>
        <w:rPr>
          <w:rFonts w:ascii="Arial" w:hAnsi="Arial" w:cs="Arial"/>
          <w:lang w:val="en-MY" w:eastAsia="zh-CN"/>
        </w:rPr>
        <w:t xml:space="preserve"> Article ID sjmct-215, 9-16.  </w:t>
      </w:r>
      <w:hyperlink r:id="rId36" w:tgtFrame="https://www.google.com/_blank" w:history="1">
        <w:r>
          <w:rPr>
            <w:rFonts w:ascii="Arial" w:hAnsi="Arial" w:cs="Arial"/>
            <w:color w:val="F6267E"/>
            <w:u w:val="single"/>
            <w:lang w:val="en-MY" w:eastAsia="zh-CN"/>
          </w:rPr>
          <w:t>https://www.sjpub.org/sjmct/sjmct-215.pdf</w:t>
        </w:r>
      </w:hyperlink>
    </w:p>
    <w:p w:rsidR="00706E89" w:rsidRDefault="00706E89">
      <w:pPr>
        <w:pStyle w:val="Body"/>
        <w:numPr>
          <w:ilvl w:val="0"/>
          <w:numId w:val="4"/>
        </w:numPr>
        <w:spacing w:after="0"/>
        <w:rPr>
          <w:rFonts w:ascii="Arial" w:hAnsi="Arial" w:cs="Arial"/>
          <w:lang w:val="en-MY"/>
        </w:rPr>
      </w:pPr>
      <w:proofErr w:type="spellStart"/>
      <w:r w:rsidRPr="00706E89">
        <w:rPr>
          <w:rFonts w:ascii="Arial" w:hAnsi="Arial" w:cs="Arial"/>
          <w:lang w:val="en-MY"/>
        </w:rPr>
        <w:lastRenderedPageBreak/>
        <w:t>Mohd</w:t>
      </w:r>
      <w:proofErr w:type="spellEnd"/>
      <w:r w:rsidRPr="00706E89">
        <w:rPr>
          <w:rFonts w:ascii="Arial" w:hAnsi="Arial" w:cs="Arial"/>
          <w:lang w:val="en-MY"/>
        </w:rPr>
        <w:t xml:space="preserve"> Hafiz Ibrahim, Nurul </w:t>
      </w:r>
      <w:proofErr w:type="spellStart"/>
      <w:r w:rsidRPr="00706E89">
        <w:rPr>
          <w:rFonts w:ascii="Arial" w:hAnsi="Arial" w:cs="Arial"/>
          <w:lang w:val="en-MY"/>
        </w:rPr>
        <w:t>Najaa</w:t>
      </w:r>
      <w:proofErr w:type="spellEnd"/>
      <w:r w:rsidRPr="00706E89">
        <w:rPr>
          <w:rFonts w:ascii="Arial" w:hAnsi="Arial" w:cs="Arial"/>
          <w:lang w:val="en-MY"/>
        </w:rPr>
        <w:t xml:space="preserve"> </w:t>
      </w:r>
      <w:proofErr w:type="spellStart"/>
      <w:r w:rsidRPr="00706E89">
        <w:rPr>
          <w:rFonts w:ascii="Arial" w:hAnsi="Arial" w:cs="Arial"/>
          <w:lang w:val="en-MY"/>
        </w:rPr>
        <w:t>Muah</w:t>
      </w:r>
      <w:proofErr w:type="spellEnd"/>
      <w:r w:rsidRPr="00706E89">
        <w:rPr>
          <w:rFonts w:ascii="Arial" w:hAnsi="Arial" w:cs="Arial"/>
          <w:lang w:val="en-MY"/>
        </w:rPr>
        <w:t xml:space="preserve"> &amp; Nurul </w:t>
      </w:r>
      <w:proofErr w:type="spellStart"/>
      <w:r w:rsidRPr="00706E89">
        <w:rPr>
          <w:rFonts w:ascii="Arial" w:hAnsi="Arial" w:cs="Arial"/>
          <w:lang w:val="en-MY"/>
        </w:rPr>
        <w:t>Amalina</w:t>
      </w:r>
      <w:proofErr w:type="spellEnd"/>
      <w:r w:rsidRPr="00706E89">
        <w:rPr>
          <w:rFonts w:ascii="Arial" w:hAnsi="Arial" w:cs="Arial"/>
          <w:lang w:val="en-MY"/>
        </w:rPr>
        <w:t xml:space="preserve"> </w:t>
      </w:r>
      <w:proofErr w:type="spellStart"/>
      <w:r w:rsidRPr="00706E89">
        <w:rPr>
          <w:rFonts w:ascii="Arial" w:hAnsi="Arial" w:cs="Arial"/>
          <w:lang w:val="en-MY"/>
        </w:rPr>
        <w:t>Mohd</w:t>
      </w:r>
      <w:proofErr w:type="spellEnd"/>
      <w:r w:rsidRPr="00706E89">
        <w:rPr>
          <w:rFonts w:ascii="Arial" w:hAnsi="Arial" w:cs="Arial"/>
          <w:lang w:val="en-MY"/>
        </w:rPr>
        <w:t xml:space="preserve"> Zain. (2018). Growth, Carbon Assimilation and Biochemical Changes of Polygonum minus </w:t>
      </w:r>
      <w:proofErr w:type="spellStart"/>
      <w:r w:rsidRPr="00706E89">
        <w:rPr>
          <w:rFonts w:ascii="Arial" w:hAnsi="Arial" w:cs="Arial"/>
          <w:lang w:val="en-MY"/>
        </w:rPr>
        <w:t>Huds</w:t>
      </w:r>
      <w:proofErr w:type="spellEnd"/>
      <w:r w:rsidRPr="00706E89">
        <w:rPr>
          <w:rFonts w:ascii="Arial" w:hAnsi="Arial" w:cs="Arial"/>
          <w:lang w:val="en-MY"/>
        </w:rPr>
        <w:t xml:space="preserve"> as Affected by Nitrogen Fertilization. Annual Research &amp; Review in Biology, 26(1), 1–17. https://doi.org/10.9734/ARRB/2018/41106</w:t>
      </w:r>
    </w:p>
    <w:p w:rsidR="00DD21CA" w:rsidRDefault="00DD21CA">
      <w:pPr>
        <w:pStyle w:val="Body"/>
        <w:spacing w:after="0"/>
        <w:ind w:left="360"/>
        <w:rPr>
          <w:rFonts w:ascii="Arial" w:hAnsi="Arial" w:cs="Arial"/>
          <w:lang w:val="en-MY"/>
        </w:rPr>
      </w:pPr>
    </w:p>
    <w:sectPr w:rsidR="00DD21CA">
      <w:headerReference w:type="even" r:id="rId37"/>
      <w:headerReference w:type="default" r:id="rId38"/>
      <w:footerReference w:type="default" r:id="rId39"/>
      <w:headerReference w:type="first" r:id="rId4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6BC" w:rsidRDefault="008266BC">
      <w:r>
        <w:separator/>
      </w:r>
    </w:p>
  </w:endnote>
  <w:endnote w:type="continuationSeparator" w:id="0">
    <w:p w:rsidR="008266BC" w:rsidRDefault="0082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1CA" w:rsidRDefault="00DD2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1CA" w:rsidRDefault="00DD21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1CA" w:rsidRDefault="00DD21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1CA" w:rsidRDefault="00DD2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6BC" w:rsidRDefault="008266BC">
      <w:r>
        <w:separator/>
      </w:r>
    </w:p>
  </w:footnote>
  <w:footnote w:type="continuationSeparator" w:id="0">
    <w:p w:rsidR="008266BC" w:rsidRDefault="00826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1CA" w:rsidRDefault="001D0C85">
    <w:pPr>
      <w:pStyle w:val="Header"/>
    </w:pPr>
    <w:r>
      <w:pict w14:anchorId="107C5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992829" o:spid="_x0000_s2050" type="#_x0000_t136" style="position:absolute;margin-left:0;margin-top:0;width:684.1pt;height:77.1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1CA" w:rsidRDefault="001D0C85">
    <w:pPr>
      <w:pStyle w:val="Header"/>
    </w:pPr>
    <w:r>
      <w:pict w14:anchorId="0CDC8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992830" o:spid="_x0000_s2051" type="#_x0000_t136" style="position:absolute;margin-left:0;margin-top:0;width:684.1pt;height:77.1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1CA" w:rsidRDefault="001D0C85">
    <w:pPr>
      <w:ind w:left="2160"/>
      <w:jc w:val="center"/>
      <w:rPr>
        <w:rFonts w:ascii="Times New Roman" w:eastAsia="Calibri" w:hAnsi="Times New Roman"/>
        <w:i/>
        <w:sz w:val="18"/>
        <w:szCs w:val="22"/>
      </w:rPr>
    </w:pPr>
    <w:r>
      <w:pict w14:anchorId="6D1DE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992828" o:spid="_x0000_s2049" type="#_x0000_t136" style="position:absolute;left:0;text-align:left;margin-left:0;margin-top:0;width:684.1pt;height:77.1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DD21CA" w:rsidRDefault="00EF432E">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DD21CA" w:rsidRDefault="00EF432E">
    <w:pPr>
      <w:jc w:val="center"/>
      <w:rPr>
        <w:rFonts w:ascii="Times New Roman" w:eastAsia="Calibri" w:hAnsi="Times New Roman"/>
        <w:i/>
        <w:sz w:val="18"/>
        <w:szCs w:val="22"/>
      </w:rPr>
    </w:pPr>
    <w:r>
      <w:rPr>
        <w:rFonts w:ascii="Times New Roman" w:eastAsia="Calibri" w:hAnsi="Times New Roman"/>
        <w:i/>
        <w:sz w:val="18"/>
        <w:szCs w:val="22"/>
      </w:rPr>
      <w:t>.</w:t>
    </w:r>
  </w:p>
  <w:p w:rsidR="00DD21CA" w:rsidRDefault="00EF432E">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DD21CA" w:rsidRDefault="00EF432E">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DD21CA" w:rsidRDefault="00EF432E">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DD21CA" w:rsidRDefault="00EF432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1CA" w:rsidRDefault="001D0C8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992832" o:spid="_x0000_s2053" type="#_x0000_t136" style="position:absolute;margin-left:0;margin-top:0;width:684.1pt;height:77.1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1CA" w:rsidRDefault="001D0C8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992833" o:spid="_x0000_s2054" type="#_x0000_t136" style="position:absolute;margin-left:0;margin-top:0;width:684.1pt;height:77.15pt;rotation:315;z-index:-25165004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1CA" w:rsidRDefault="001D0C8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992831" o:spid="_x0000_s2052" type="#_x0000_t136" style="position:absolute;margin-left:0;margin-top:0;width:684.1pt;height:77.1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B76D9"/>
    <w:multiLevelType w:val="multilevel"/>
    <w:tmpl w:val="19FB76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0A245F"/>
    <w:multiLevelType w:val="multilevel"/>
    <w:tmpl w:val="250A245F"/>
    <w:lvl w:ilvl="0">
      <w:start w:val="1"/>
      <w:numFmt w:val="decimal"/>
      <w:pStyle w:val="PMMB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3" w15:restartNumberingAfterBreak="0">
    <w:nsid w:val="7FE226BD"/>
    <w:multiLevelType w:val="multilevel"/>
    <w:tmpl w:val="7FE226BD"/>
    <w:lvl w:ilvl="0">
      <w:start w:val="3"/>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yNTMxs7Q0MbQ0MzBR0lEKTi0uzszPAykwrAUAwz2g1SwAAAA="/>
  </w:docVars>
  <w:rsids>
    <w:rsidRoot w:val="00172A27"/>
    <w:rsid w:val="00000F8F"/>
    <w:rsid w:val="0002328C"/>
    <w:rsid w:val="00030174"/>
    <w:rsid w:val="0003075E"/>
    <w:rsid w:val="00041323"/>
    <w:rsid w:val="0004579C"/>
    <w:rsid w:val="00071F64"/>
    <w:rsid w:val="00096B8D"/>
    <w:rsid w:val="000A021E"/>
    <w:rsid w:val="000A47FA"/>
    <w:rsid w:val="000A65D3"/>
    <w:rsid w:val="000B1E33"/>
    <w:rsid w:val="000D689F"/>
    <w:rsid w:val="000E3C74"/>
    <w:rsid w:val="000E5E1A"/>
    <w:rsid w:val="000E7B7B"/>
    <w:rsid w:val="000E7D62"/>
    <w:rsid w:val="0010127F"/>
    <w:rsid w:val="00103357"/>
    <w:rsid w:val="00106FC4"/>
    <w:rsid w:val="00123C9F"/>
    <w:rsid w:val="00126190"/>
    <w:rsid w:val="00130F17"/>
    <w:rsid w:val="001320BF"/>
    <w:rsid w:val="00141115"/>
    <w:rsid w:val="00163BC4"/>
    <w:rsid w:val="00172A27"/>
    <w:rsid w:val="00172CFE"/>
    <w:rsid w:val="0018170C"/>
    <w:rsid w:val="00186E5C"/>
    <w:rsid w:val="00191062"/>
    <w:rsid w:val="00192B72"/>
    <w:rsid w:val="001A29D8"/>
    <w:rsid w:val="001A5CAA"/>
    <w:rsid w:val="001B0427"/>
    <w:rsid w:val="001D0C85"/>
    <w:rsid w:val="001D3A51"/>
    <w:rsid w:val="001E10D2"/>
    <w:rsid w:val="001E25B4"/>
    <w:rsid w:val="001E44FE"/>
    <w:rsid w:val="00200595"/>
    <w:rsid w:val="00204835"/>
    <w:rsid w:val="002057D6"/>
    <w:rsid w:val="002125B3"/>
    <w:rsid w:val="00222183"/>
    <w:rsid w:val="00231920"/>
    <w:rsid w:val="0023195C"/>
    <w:rsid w:val="00232767"/>
    <w:rsid w:val="0024282C"/>
    <w:rsid w:val="002460DC"/>
    <w:rsid w:val="00250985"/>
    <w:rsid w:val="002556F6"/>
    <w:rsid w:val="00277B93"/>
    <w:rsid w:val="00283105"/>
    <w:rsid w:val="00284C4C"/>
    <w:rsid w:val="00287E68"/>
    <w:rsid w:val="00296529"/>
    <w:rsid w:val="002A0CC2"/>
    <w:rsid w:val="002B27FB"/>
    <w:rsid w:val="002B685A"/>
    <w:rsid w:val="002C57D2"/>
    <w:rsid w:val="002D2283"/>
    <w:rsid w:val="002E0D56"/>
    <w:rsid w:val="002E123C"/>
    <w:rsid w:val="002E64A2"/>
    <w:rsid w:val="002F7E21"/>
    <w:rsid w:val="00303347"/>
    <w:rsid w:val="00315186"/>
    <w:rsid w:val="0032176A"/>
    <w:rsid w:val="0033343E"/>
    <w:rsid w:val="00347537"/>
    <w:rsid w:val="003512C2"/>
    <w:rsid w:val="003630CD"/>
    <w:rsid w:val="00371FB6"/>
    <w:rsid w:val="003763C1"/>
    <w:rsid w:val="00376BBE"/>
    <w:rsid w:val="00381E97"/>
    <w:rsid w:val="00391CA6"/>
    <w:rsid w:val="0039224F"/>
    <w:rsid w:val="003A43A4"/>
    <w:rsid w:val="003A7E18"/>
    <w:rsid w:val="003B5C01"/>
    <w:rsid w:val="003B7BC5"/>
    <w:rsid w:val="003C4C86"/>
    <w:rsid w:val="003C5838"/>
    <w:rsid w:val="003C6258"/>
    <w:rsid w:val="003E2904"/>
    <w:rsid w:val="00401927"/>
    <w:rsid w:val="0041027F"/>
    <w:rsid w:val="00412475"/>
    <w:rsid w:val="00423789"/>
    <w:rsid w:val="004328A3"/>
    <w:rsid w:val="00440F43"/>
    <w:rsid w:val="00441B6F"/>
    <w:rsid w:val="00446221"/>
    <w:rsid w:val="00450E62"/>
    <w:rsid w:val="004539DB"/>
    <w:rsid w:val="00471A80"/>
    <w:rsid w:val="00482804"/>
    <w:rsid w:val="00485C28"/>
    <w:rsid w:val="00493C2F"/>
    <w:rsid w:val="004978E7"/>
    <w:rsid w:val="004B2DD9"/>
    <w:rsid w:val="004B4392"/>
    <w:rsid w:val="004B76C3"/>
    <w:rsid w:val="004C1C1A"/>
    <w:rsid w:val="004C218A"/>
    <w:rsid w:val="004C6736"/>
    <w:rsid w:val="004D305E"/>
    <w:rsid w:val="004D4277"/>
    <w:rsid w:val="004D707B"/>
    <w:rsid w:val="00501EEB"/>
    <w:rsid w:val="00502516"/>
    <w:rsid w:val="00505F06"/>
    <w:rsid w:val="00506828"/>
    <w:rsid w:val="00524BC1"/>
    <w:rsid w:val="0053056E"/>
    <w:rsid w:val="00554FDA"/>
    <w:rsid w:val="0057517D"/>
    <w:rsid w:val="00575FF3"/>
    <w:rsid w:val="00582A07"/>
    <w:rsid w:val="00595C8B"/>
    <w:rsid w:val="005C6786"/>
    <w:rsid w:val="005C784C"/>
    <w:rsid w:val="005D17F6"/>
    <w:rsid w:val="005E5539"/>
    <w:rsid w:val="005F3135"/>
    <w:rsid w:val="00602BF5"/>
    <w:rsid w:val="00617FDD"/>
    <w:rsid w:val="006205FE"/>
    <w:rsid w:val="00622CBD"/>
    <w:rsid w:val="00633614"/>
    <w:rsid w:val="00633F68"/>
    <w:rsid w:val="00636EB2"/>
    <w:rsid w:val="006375B8"/>
    <w:rsid w:val="006459A6"/>
    <w:rsid w:val="0066510A"/>
    <w:rsid w:val="00673F9F"/>
    <w:rsid w:val="00686953"/>
    <w:rsid w:val="00687DEA"/>
    <w:rsid w:val="00687E67"/>
    <w:rsid w:val="006967F7"/>
    <w:rsid w:val="006A1F99"/>
    <w:rsid w:val="006A250C"/>
    <w:rsid w:val="006B21D3"/>
    <w:rsid w:val="006B57D0"/>
    <w:rsid w:val="006C14B1"/>
    <w:rsid w:val="006D30FF"/>
    <w:rsid w:val="006D6940"/>
    <w:rsid w:val="006F11EC"/>
    <w:rsid w:val="0070082C"/>
    <w:rsid w:val="00706E89"/>
    <w:rsid w:val="00712B7D"/>
    <w:rsid w:val="007369E6"/>
    <w:rsid w:val="00746E59"/>
    <w:rsid w:val="00754C9A"/>
    <w:rsid w:val="0075599A"/>
    <w:rsid w:val="00761D52"/>
    <w:rsid w:val="0077749E"/>
    <w:rsid w:val="00790ADA"/>
    <w:rsid w:val="00794FE3"/>
    <w:rsid w:val="007A5927"/>
    <w:rsid w:val="007B40D3"/>
    <w:rsid w:val="007B685D"/>
    <w:rsid w:val="007C1C61"/>
    <w:rsid w:val="007D2288"/>
    <w:rsid w:val="007E088F"/>
    <w:rsid w:val="007E30D9"/>
    <w:rsid w:val="007F4ADB"/>
    <w:rsid w:val="007F7B32"/>
    <w:rsid w:val="00804BC2"/>
    <w:rsid w:val="008052CF"/>
    <w:rsid w:val="0081431A"/>
    <w:rsid w:val="008266BC"/>
    <w:rsid w:val="0083216F"/>
    <w:rsid w:val="00851D57"/>
    <w:rsid w:val="00860000"/>
    <w:rsid w:val="00863BD3"/>
    <w:rsid w:val="008641ED"/>
    <w:rsid w:val="00866D66"/>
    <w:rsid w:val="008671C6"/>
    <w:rsid w:val="00875803"/>
    <w:rsid w:val="00877834"/>
    <w:rsid w:val="008A67B7"/>
    <w:rsid w:val="008B459E"/>
    <w:rsid w:val="008D13FA"/>
    <w:rsid w:val="008E13AE"/>
    <w:rsid w:val="008E1506"/>
    <w:rsid w:val="008E710C"/>
    <w:rsid w:val="008F44D1"/>
    <w:rsid w:val="008F69D6"/>
    <w:rsid w:val="00902823"/>
    <w:rsid w:val="00915CA6"/>
    <w:rsid w:val="00927834"/>
    <w:rsid w:val="00931AAF"/>
    <w:rsid w:val="009500A6"/>
    <w:rsid w:val="00957C18"/>
    <w:rsid w:val="009659BA"/>
    <w:rsid w:val="00971534"/>
    <w:rsid w:val="00983040"/>
    <w:rsid w:val="00990ED6"/>
    <w:rsid w:val="00996E47"/>
    <w:rsid w:val="009B3FB9"/>
    <w:rsid w:val="009C2465"/>
    <w:rsid w:val="009D35A0"/>
    <w:rsid w:val="009D7EB7"/>
    <w:rsid w:val="009E048A"/>
    <w:rsid w:val="009E08E9"/>
    <w:rsid w:val="009E3DB9"/>
    <w:rsid w:val="009E6E35"/>
    <w:rsid w:val="009F0674"/>
    <w:rsid w:val="009F0EDA"/>
    <w:rsid w:val="00A03B96"/>
    <w:rsid w:val="00A05B19"/>
    <w:rsid w:val="00A1134E"/>
    <w:rsid w:val="00A2095F"/>
    <w:rsid w:val="00A24E7E"/>
    <w:rsid w:val="00A258C3"/>
    <w:rsid w:val="00A33FEF"/>
    <w:rsid w:val="00A347C0"/>
    <w:rsid w:val="00A37CF8"/>
    <w:rsid w:val="00A4292D"/>
    <w:rsid w:val="00A44DDE"/>
    <w:rsid w:val="00A51431"/>
    <w:rsid w:val="00A539AD"/>
    <w:rsid w:val="00A63890"/>
    <w:rsid w:val="00A760AE"/>
    <w:rsid w:val="00A768E5"/>
    <w:rsid w:val="00A94063"/>
    <w:rsid w:val="00AA6219"/>
    <w:rsid w:val="00AA74E0"/>
    <w:rsid w:val="00AB703F"/>
    <w:rsid w:val="00AC6BB8"/>
    <w:rsid w:val="00AE008F"/>
    <w:rsid w:val="00AF37F6"/>
    <w:rsid w:val="00B01FCD"/>
    <w:rsid w:val="00B129D6"/>
    <w:rsid w:val="00B1776C"/>
    <w:rsid w:val="00B22A39"/>
    <w:rsid w:val="00B416E7"/>
    <w:rsid w:val="00B52583"/>
    <w:rsid w:val="00B52896"/>
    <w:rsid w:val="00B5517E"/>
    <w:rsid w:val="00B62F62"/>
    <w:rsid w:val="00B82513"/>
    <w:rsid w:val="00B82B57"/>
    <w:rsid w:val="00B82BC0"/>
    <w:rsid w:val="00B95236"/>
    <w:rsid w:val="00B96BD9"/>
    <w:rsid w:val="00BA1B01"/>
    <w:rsid w:val="00BA2641"/>
    <w:rsid w:val="00BB37AA"/>
    <w:rsid w:val="00BC53A0"/>
    <w:rsid w:val="00BE62AD"/>
    <w:rsid w:val="00BF121F"/>
    <w:rsid w:val="00BF1F80"/>
    <w:rsid w:val="00C166EF"/>
    <w:rsid w:val="00C17EB0"/>
    <w:rsid w:val="00C27F5F"/>
    <w:rsid w:val="00C30A0F"/>
    <w:rsid w:val="00C31B18"/>
    <w:rsid w:val="00C37E61"/>
    <w:rsid w:val="00C70F1B"/>
    <w:rsid w:val="00C71A47"/>
    <w:rsid w:val="00C7464C"/>
    <w:rsid w:val="00C85588"/>
    <w:rsid w:val="00C9474F"/>
    <w:rsid w:val="00CD6755"/>
    <w:rsid w:val="00CD6856"/>
    <w:rsid w:val="00CE0089"/>
    <w:rsid w:val="00CE23C9"/>
    <w:rsid w:val="00CE793C"/>
    <w:rsid w:val="00CE7A41"/>
    <w:rsid w:val="00CF193C"/>
    <w:rsid w:val="00CF548E"/>
    <w:rsid w:val="00D12694"/>
    <w:rsid w:val="00D173F1"/>
    <w:rsid w:val="00D37088"/>
    <w:rsid w:val="00D439B3"/>
    <w:rsid w:val="00D7157C"/>
    <w:rsid w:val="00D74830"/>
    <w:rsid w:val="00D74CB0"/>
    <w:rsid w:val="00D8295D"/>
    <w:rsid w:val="00D9080A"/>
    <w:rsid w:val="00DC2A65"/>
    <w:rsid w:val="00DD21CA"/>
    <w:rsid w:val="00DE13DA"/>
    <w:rsid w:val="00DE15F0"/>
    <w:rsid w:val="00DE5663"/>
    <w:rsid w:val="00DE78AA"/>
    <w:rsid w:val="00E01B2F"/>
    <w:rsid w:val="00E053D0"/>
    <w:rsid w:val="00E15994"/>
    <w:rsid w:val="00E16D85"/>
    <w:rsid w:val="00E23043"/>
    <w:rsid w:val="00E3114E"/>
    <w:rsid w:val="00E31A70"/>
    <w:rsid w:val="00E35B02"/>
    <w:rsid w:val="00E66496"/>
    <w:rsid w:val="00E66A93"/>
    <w:rsid w:val="00E66B35"/>
    <w:rsid w:val="00E66E10"/>
    <w:rsid w:val="00E71179"/>
    <w:rsid w:val="00E769F6"/>
    <w:rsid w:val="00E77AA6"/>
    <w:rsid w:val="00E8407C"/>
    <w:rsid w:val="00E84ABD"/>
    <w:rsid w:val="00E84F3C"/>
    <w:rsid w:val="00EA012C"/>
    <w:rsid w:val="00EC2DA3"/>
    <w:rsid w:val="00EC6A55"/>
    <w:rsid w:val="00ED0288"/>
    <w:rsid w:val="00ED44C5"/>
    <w:rsid w:val="00ED5321"/>
    <w:rsid w:val="00ED5CA7"/>
    <w:rsid w:val="00EE52CB"/>
    <w:rsid w:val="00EF0050"/>
    <w:rsid w:val="00EF432E"/>
    <w:rsid w:val="00EF581D"/>
    <w:rsid w:val="00EF7FD8"/>
    <w:rsid w:val="00F06F59"/>
    <w:rsid w:val="00F11A96"/>
    <w:rsid w:val="00F15C93"/>
    <w:rsid w:val="00F17988"/>
    <w:rsid w:val="00F469F0"/>
    <w:rsid w:val="00F51E93"/>
    <w:rsid w:val="00F52BCD"/>
    <w:rsid w:val="00F53273"/>
    <w:rsid w:val="00F54D9A"/>
    <w:rsid w:val="00F6653D"/>
    <w:rsid w:val="00F755E4"/>
    <w:rsid w:val="00F75E33"/>
    <w:rsid w:val="00F77D02"/>
    <w:rsid w:val="00FB3A86"/>
    <w:rsid w:val="00FD36C8"/>
    <w:rsid w:val="00FD662D"/>
    <w:rsid w:val="00FE4930"/>
    <w:rsid w:val="056B4F06"/>
    <w:rsid w:val="071A1AC3"/>
    <w:rsid w:val="0874351C"/>
    <w:rsid w:val="0AB86A22"/>
    <w:rsid w:val="0C644107"/>
    <w:rsid w:val="0FEE3ACE"/>
    <w:rsid w:val="107C1BD9"/>
    <w:rsid w:val="1A59307E"/>
    <w:rsid w:val="1BAB698D"/>
    <w:rsid w:val="1BC65E20"/>
    <w:rsid w:val="1C130192"/>
    <w:rsid w:val="1D383F58"/>
    <w:rsid w:val="20834165"/>
    <w:rsid w:val="244439A2"/>
    <w:rsid w:val="25330F95"/>
    <w:rsid w:val="25ED213F"/>
    <w:rsid w:val="2C82063F"/>
    <w:rsid w:val="2F983B3A"/>
    <w:rsid w:val="32ED7D11"/>
    <w:rsid w:val="3C55096A"/>
    <w:rsid w:val="44857C2F"/>
    <w:rsid w:val="451A5933"/>
    <w:rsid w:val="49C75309"/>
    <w:rsid w:val="4BBC50BF"/>
    <w:rsid w:val="4CD94E20"/>
    <w:rsid w:val="55B043A7"/>
    <w:rsid w:val="5CD765E0"/>
    <w:rsid w:val="62392EB4"/>
    <w:rsid w:val="67982E9C"/>
    <w:rsid w:val="6CAB4C8F"/>
    <w:rsid w:val="6CD77780"/>
    <w:rsid w:val="722C5638"/>
    <w:rsid w:val="74FE7A4C"/>
    <w:rsid w:val="75D5641A"/>
    <w:rsid w:val="7EC14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51141C48"/>
  <w15:docId w15:val="{4C07155E-5ECF-47E6-A343-C55C5DD3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5">
    <w:name w:val="heading 5"/>
    <w:next w:val="Normal"/>
    <w:semiHidden/>
    <w:unhideWhenUsed/>
    <w:qFormat/>
    <w:pPr>
      <w:spacing w:beforeAutospacing="1" w:afterAutospacing="1"/>
      <w:outlineLvl w:val="4"/>
    </w:pPr>
    <w:rPr>
      <w:rFonts w:ascii="SimSun" w:hAnsi="SimSun" w:hint="eastAsia"/>
      <w:b/>
      <w:bCs/>
      <w:lang w:eastAsia="zh-CN"/>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CommentSubject">
    <w:name w:val="annotation subject"/>
    <w:basedOn w:val="CommentText"/>
    <w:next w:val="CommentText"/>
    <w:link w:val="CommentSubjectChar"/>
    <w:semiHidden/>
    <w:unhideWhenUsed/>
    <w:qFormat/>
    <w:rPr>
      <w:rFonts w:ascii="Helvetica" w:hAnsi="Helvetica"/>
      <w:b/>
      <w:bCs/>
      <w:lang w:val="en-US" w:eastAsia="en-U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semiHidden/>
    <w:unhideWhenUsed/>
    <w:qFormat/>
    <w:pPr>
      <w:spacing w:beforeAutospacing="1" w:afterAutospacing="1"/>
    </w:pPr>
    <w:rPr>
      <w:rFonts w:ascii="Times New Roman" w:eastAsia="SimSun" w:hAnsi="Times New Roman"/>
      <w:sz w:val="24"/>
      <w:szCs w:val="24"/>
      <w:lang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MMB21heading1">
    <w:name w:val="PMMB_2.1_heading1"/>
    <w:basedOn w:val="PMMB23heading3"/>
    <w:qFormat/>
    <w:pPr>
      <w:outlineLvl w:val="0"/>
    </w:pPr>
    <w:rPr>
      <w:b/>
    </w:rPr>
  </w:style>
  <w:style w:type="paragraph" w:customStyle="1" w:styleId="PMMB23heading3">
    <w:name w:val="PMMB_2.3_heading3"/>
    <w:basedOn w:val="PMMB31text"/>
    <w:qFormat/>
    <w:pPr>
      <w:spacing w:before="240" w:after="120"/>
      <w:ind w:firstLine="0"/>
      <w:jc w:val="left"/>
      <w:outlineLvl w:val="2"/>
    </w:pPr>
  </w:style>
  <w:style w:type="paragraph" w:customStyle="1" w:styleId="PMMB31text">
    <w:name w:val="PMMB_3.1_text"/>
    <w:qFormat/>
    <w:pPr>
      <w:adjustRightInd w:val="0"/>
      <w:snapToGrid w:val="0"/>
      <w:spacing w:after="160" w:line="260" w:lineRule="atLeast"/>
      <w:ind w:firstLine="425"/>
      <w:jc w:val="both"/>
    </w:pPr>
    <w:rPr>
      <w:rFonts w:eastAsia="Times New Roman"/>
      <w:snapToGrid w:val="0"/>
      <w:color w:val="000000"/>
      <w:sz w:val="24"/>
      <w:szCs w:val="22"/>
      <w:lang w:eastAsia="de-DE" w:bidi="en-US"/>
    </w:rPr>
  </w:style>
  <w:style w:type="character" w:customStyle="1" w:styleId="Heading3Char">
    <w:name w:val="Heading 3 Char"/>
    <w:basedOn w:val="DefaultParagraphFont"/>
    <w:link w:val="Heading3"/>
    <w:semiHidden/>
    <w:qFormat/>
    <w:rPr>
      <w:rFonts w:asciiTheme="majorHAnsi" w:eastAsiaTheme="majorEastAsia" w:hAnsiTheme="majorHAnsi" w:cstheme="majorBidi"/>
      <w:color w:val="244061" w:themeColor="accent1" w:themeShade="80"/>
      <w:sz w:val="24"/>
      <w:szCs w:val="24"/>
      <w:lang w:val="en-US" w:eastAsia="en-US"/>
    </w:rPr>
  </w:style>
  <w:style w:type="character" w:customStyle="1" w:styleId="Heading6Char">
    <w:name w:val="Heading 6 Char"/>
    <w:basedOn w:val="DefaultParagraphFont"/>
    <w:link w:val="Heading6"/>
    <w:semiHidden/>
    <w:qFormat/>
    <w:rPr>
      <w:rFonts w:asciiTheme="majorHAnsi" w:eastAsiaTheme="majorEastAsia" w:hAnsiTheme="majorHAnsi" w:cstheme="majorBidi"/>
      <w:color w:val="244061" w:themeColor="accent1" w:themeShade="80"/>
      <w:lang w:val="en-US" w:eastAsia="en-US"/>
    </w:rPr>
  </w:style>
  <w:style w:type="paragraph" w:customStyle="1" w:styleId="PMMB62Acknowledgments">
    <w:name w:val="PMMB_6.2_Acknowledgments"/>
    <w:qFormat/>
    <w:pPr>
      <w:adjustRightInd w:val="0"/>
      <w:snapToGrid w:val="0"/>
      <w:spacing w:before="120" w:after="160" w:line="200" w:lineRule="atLeast"/>
      <w:jc w:val="both"/>
    </w:pPr>
    <w:rPr>
      <w:rFonts w:eastAsia="Times New Roman"/>
      <w:snapToGrid w:val="0"/>
      <w:color w:val="000000"/>
      <w:sz w:val="18"/>
      <w:lang w:eastAsia="de-DE" w:bidi="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ommentSubjectChar">
    <w:name w:val="Comment Subject Char"/>
    <w:basedOn w:val="CommentTextChar"/>
    <w:link w:val="CommentSubject"/>
    <w:semiHidden/>
    <w:qFormat/>
    <w:rPr>
      <w:rFonts w:ascii="Helvetica" w:eastAsia="Times New Roman" w:hAnsi="Helvetica"/>
      <w:b/>
      <w:bCs/>
      <w:lang w:val="en-US" w:eastAsia="en-US"/>
    </w:rPr>
  </w:style>
  <w:style w:type="paragraph" w:customStyle="1" w:styleId="PMMB13authornames">
    <w:name w:val="PMMB_1.3_authornames"/>
    <w:basedOn w:val="PMMB31text"/>
    <w:next w:val="PMMB14history"/>
    <w:qFormat/>
    <w:pPr>
      <w:spacing w:after="120"/>
      <w:ind w:firstLine="0"/>
      <w:jc w:val="left"/>
    </w:pPr>
    <w:rPr>
      <w:snapToGrid/>
      <w:sz w:val="20"/>
    </w:rPr>
  </w:style>
  <w:style w:type="paragraph" w:customStyle="1" w:styleId="PMMB14history">
    <w:name w:val="PMMB_1.4_history"/>
    <w:basedOn w:val="PMMB62Acknowledgments"/>
    <w:next w:val="Normal"/>
    <w:qFormat/>
    <w:pPr>
      <w:ind w:left="113"/>
      <w:jc w:val="left"/>
    </w:pPr>
    <w:rPr>
      <w:snapToGrid/>
    </w:rPr>
  </w:style>
  <w:style w:type="paragraph" w:customStyle="1" w:styleId="PMMB16affiliation">
    <w:name w:val="PMMB_1.6_affiliation"/>
    <w:basedOn w:val="PMMB62Acknowledgments"/>
    <w:qFormat/>
    <w:pPr>
      <w:spacing w:before="0"/>
      <w:ind w:left="311" w:hanging="198"/>
      <w:jc w:val="left"/>
    </w:pPr>
    <w:rPr>
      <w:snapToGrid/>
      <w:sz w:val="20"/>
      <w:szCs w:val="18"/>
    </w:rPr>
  </w:style>
  <w:style w:type="paragraph" w:customStyle="1" w:styleId="PMMB17abstract">
    <w:name w:val="PMMB_1.7_abstract"/>
    <w:basedOn w:val="PMMB31text"/>
    <w:next w:val="PMMB18keywords"/>
    <w:qFormat/>
    <w:pPr>
      <w:spacing w:before="240"/>
      <w:ind w:left="113" w:firstLine="0"/>
    </w:pPr>
    <w:rPr>
      <w:snapToGrid/>
    </w:rPr>
  </w:style>
  <w:style w:type="paragraph" w:customStyle="1" w:styleId="PMMB18keywords">
    <w:name w:val="PMMB_1.8_keywords"/>
    <w:basedOn w:val="PMMB31text"/>
    <w:next w:val="Normal"/>
    <w:qFormat/>
    <w:pPr>
      <w:spacing w:before="240"/>
      <w:ind w:left="113" w:firstLine="0"/>
    </w:pPr>
  </w:style>
  <w:style w:type="paragraph" w:customStyle="1" w:styleId="PMMB33textspaceafter">
    <w:name w:val="PMMB_3.3_text_space_after"/>
    <w:basedOn w:val="PMMB31text"/>
    <w:qFormat/>
    <w:pPr>
      <w:spacing w:after="240"/>
    </w:pPr>
  </w:style>
  <w:style w:type="paragraph" w:customStyle="1" w:styleId="PMMB22heading2">
    <w:name w:val="PMMB_2.2_heading2"/>
    <w:basedOn w:val="Normal"/>
    <w:qFormat/>
    <w:pPr>
      <w:kinsoku w:val="0"/>
      <w:overflowPunct w:val="0"/>
      <w:autoSpaceDE w:val="0"/>
      <w:autoSpaceDN w:val="0"/>
      <w:adjustRightInd w:val="0"/>
      <w:snapToGrid w:val="0"/>
      <w:spacing w:before="240" w:after="120" w:line="260" w:lineRule="atLeast"/>
      <w:outlineLvl w:val="1"/>
    </w:pPr>
    <w:rPr>
      <w:i/>
      <w:snapToGrid w:val="0"/>
      <w:szCs w:val="22"/>
      <w:lang w:bidi="en-US"/>
    </w:rPr>
  </w:style>
  <w:style w:type="paragraph" w:customStyle="1" w:styleId="PMMB71References">
    <w:name w:val="PMMB_7.1_References"/>
    <w:basedOn w:val="PMMB62Acknowledgments"/>
    <w:qFormat/>
    <w:pPr>
      <w:numPr>
        <w:numId w:val="2"/>
      </w:numPr>
      <w:spacing w:before="0" w:line="260" w:lineRule="atLeast"/>
      <w:ind w:left="425" w:hanging="425"/>
    </w:pPr>
  </w:style>
  <w:style w:type="paragraph" w:customStyle="1" w:styleId="Default">
    <w:name w:val="Default"/>
    <w:uiPriority w:val="99"/>
    <w:unhideWhenUsed/>
    <w:qFormat/>
    <w:pPr>
      <w:widowControl w:val="0"/>
      <w:autoSpaceDE w:val="0"/>
      <w:autoSpaceDN w:val="0"/>
      <w:adjustRightInd w:val="0"/>
    </w:pPr>
    <w:rPr>
      <w:rFonts w:ascii="Arial" w:hAnsi="Arial"/>
      <w:color w:val="000000"/>
      <w:sz w:val="24"/>
      <w:szCs w:val="24"/>
    </w:rPr>
  </w:style>
  <w:style w:type="character" w:customStyle="1" w:styleId="blue">
    <w:name w:val="blue"/>
    <w:basedOn w:val="DefaultParagraphFont"/>
    <w:rsid w:val="00232767"/>
  </w:style>
  <w:style w:type="character" w:customStyle="1" w:styleId="red">
    <w:name w:val="red"/>
    <w:basedOn w:val="DefaultParagraphFont"/>
    <w:rsid w:val="00232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325351">
      <w:bodyDiv w:val="1"/>
      <w:marLeft w:val="0"/>
      <w:marRight w:val="0"/>
      <w:marTop w:val="0"/>
      <w:marBottom w:val="0"/>
      <w:divBdr>
        <w:top w:val="none" w:sz="0" w:space="0" w:color="auto"/>
        <w:left w:val="none" w:sz="0" w:space="0" w:color="auto"/>
        <w:bottom w:val="none" w:sz="0" w:space="0" w:color="auto"/>
        <w:right w:val="none" w:sz="0" w:space="0" w:color="auto"/>
      </w:divBdr>
      <w:divsChild>
        <w:div w:id="498732721">
          <w:marLeft w:val="0"/>
          <w:marRight w:val="0"/>
          <w:marTop w:val="0"/>
          <w:marBottom w:val="0"/>
          <w:divBdr>
            <w:top w:val="none" w:sz="0" w:space="0" w:color="auto"/>
            <w:left w:val="none" w:sz="0" w:space="0" w:color="auto"/>
            <w:bottom w:val="none" w:sz="0" w:space="0" w:color="auto"/>
            <w:right w:val="none" w:sz="0" w:space="0" w:color="auto"/>
          </w:divBdr>
          <w:divsChild>
            <w:div w:id="980767640">
              <w:marLeft w:val="0"/>
              <w:marRight w:val="0"/>
              <w:marTop w:val="0"/>
              <w:marBottom w:val="0"/>
              <w:divBdr>
                <w:top w:val="none" w:sz="0" w:space="0" w:color="auto"/>
                <w:left w:val="none" w:sz="0" w:space="0" w:color="auto"/>
                <w:bottom w:val="none" w:sz="0" w:space="0" w:color="auto"/>
                <w:right w:val="none" w:sz="0" w:space="0" w:color="auto"/>
              </w:divBdr>
              <w:divsChild>
                <w:div w:id="1181311241">
                  <w:marLeft w:val="0"/>
                  <w:marRight w:val="0"/>
                  <w:marTop w:val="0"/>
                  <w:marBottom w:val="0"/>
                  <w:divBdr>
                    <w:top w:val="none" w:sz="0" w:space="0" w:color="auto"/>
                    <w:left w:val="none" w:sz="0" w:space="0" w:color="auto"/>
                    <w:bottom w:val="none" w:sz="0" w:space="0" w:color="auto"/>
                    <w:right w:val="none" w:sz="0" w:space="0" w:color="auto"/>
                  </w:divBdr>
                  <w:divsChild>
                    <w:div w:id="15404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407929">
      <w:bodyDiv w:val="1"/>
      <w:marLeft w:val="0"/>
      <w:marRight w:val="0"/>
      <w:marTop w:val="0"/>
      <w:marBottom w:val="0"/>
      <w:divBdr>
        <w:top w:val="none" w:sz="0" w:space="0" w:color="auto"/>
        <w:left w:val="none" w:sz="0" w:space="0" w:color="auto"/>
        <w:bottom w:val="none" w:sz="0" w:space="0" w:color="auto"/>
        <w:right w:val="none" w:sz="0" w:space="0" w:color="auto"/>
      </w:divBdr>
      <w:divsChild>
        <w:div w:id="15546549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chart" Target="charts/chart1.xml"/><Relationship Id="rId26" Type="http://schemas.openxmlformats.org/officeDocument/2006/relationships/hyperlink" Target="https://doi.org/10.3389/fpls.2021.684974" TargetMode="External"/><Relationship Id="rId39" Type="http://schemas.openxmlformats.org/officeDocument/2006/relationships/footer" Target="footer4.xml"/><Relationship Id="rId21" Type="http://schemas.openxmlformats.org/officeDocument/2006/relationships/hyperlink" Target="https://doi.org/10.7324/JAPS.2015.58.S8" TargetMode="External"/><Relationship Id="rId34" Type="http://schemas.openxmlformats.org/officeDocument/2006/relationships/hyperlink" Target="https://doi.org/10.1016/j.heliyon.2019.e03044"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2.GIF"/><Relationship Id="rId20" Type="http://schemas.openxmlformats.org/officeDocument/2006/relationships/hyperlink" Target="https://doi.org/10.1080/10942912.2017.131559" TargetMode="External"/><Relationship Id="rId29" Type="http://schemas.openxmlformats.org/officeDocument/2006/relationships/hyperlink" Target="https://doi.org/10.1016/j.foodchem.2006.10.06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4103/2321-4848.154919" TargetMode="External"/><Relationship Id="rId32" Type="http://schemas.openxmlformats.org/officeDocument/2006/relationships/hyperlink" Target="http://ebuletin.mardi.gov.my/buletin/40/Mirfat.pdf"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yperlink" Target="http://www.ifrj.upm.edu.my/18%20(04)%202011/(32)IFRJ-2011-023.pdf" TargetMode="External"/><Relationship Id="rId28" Type="http://schemas.openxmlformats.org/officeDocument/2006/relationships/hyperlink" Target="https://doi.org/10.1186/s43170-023-00141-x" TargetMode="External"/><Relationship Id="rId36" Type="http://schemas.openxmlformats.org/officeDocument/2006/relationships/hyperlink" Target="https://www.sjpub.org/sjmct/sjmct-215.pdf" TargetMode="External"/><Relationship Id="rId10" Type="http://schemas.openxmlformats.org/officeDocument/2006/relationships/header" Target="header2.xml"/><Relationship Id="rId19" Type="http://schemas.openxmlformats.org/officeDocument/2006/relationships/chart" Target="charts/chart2.xml"/><Relationship Id="rId31" Type="http://schemas.openxmlformats.org/officeDocument/2006/relationships/hyperlink" Target="https://doi.org/10.26656/fr.2017.8(S4).6"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sciencepub.net/nature" TargetMode="External"/><Relationship Id="rId27" Type="http://schemas.openxmlformats.org/officeDocument/2006/relationships/hyperlink" Target="https://doi.org/10.17576/jsm-2019-4807-07" TargetMode="External"/><Relationship Id="rId30" Type="http://schemas.openxmlformats.org/officeDocument/2006/relationships/hyperlink" Target="https://doi.org/10.3390/molecules25204672" TargetMode="External"/><Relationship Id="rId35" Type="http://schemas.openxmlformats.org/officeDocument/2006/relationships/hyperlink" Target="https://doi.org/10.1016/j.jfoodeng.2010.04.001"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https://doi.org/10.26656/fr.2017.4(6).072" TargetMode="External"/><Relationship Id="rId33" Type="http://schemas.openxmlformats.org/officeDocument/2006/relationships/hyperlink" Target="https://doi.org/10.3390/technologies3040285" TargetMode="External"/><Relationship Id="rId38" Type="http://schemas.openxmlformats.org/officeDocument/2006/relationships/header" Target="header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IC4\Penerbitan\Penerbitan%202024\BTM\HPLC%20Kesum%20BTM.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IC4\Penerbitan\Penerbitan%202024\BTM\HPLC%20Kesum%20BTM.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'[HPLC Kesum BTM.xls]Sheet3'!$B$3</c:f>
              <c:strCache>
                <c:ptCount val="1"/>
                <c:pt idx="0">
                  <c:v>70% Methanol</c:v>
                </c:pt>
              </c:strCache>
            </c:strRef>
          </c:tx>
          <c:spPr>
            <a:solidFill>
              <a:schemeClr val="accent1"/>
            </a:solidFill>
            <a:ln>
              <a:noFill/>
            </a:ln>
            <a:effectLst/>
          </c:spPr>
          <c:invertIfNegative val="0"/>
          <c:dLbls>
            <c:dLbl>
              <c:idx val="0"/>
              <c:tx>
                <c:rich>
                  <a:bodyPr/>
                  <a:lstStyle/>
                  <a:p>
                    <a:r>
                      <a:rPr lang="en-US" altLang="en-US"/>
                      <a:t>b</a:t>
                    </a:r>
                    <a:endParaRPr lang="en-US" alt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B61-44C2-B60A-1838741E5420}"/>
                </c:ext>
              </c:extLst>
            </c:dLbl>
            <c:dLbl>
              <c:idx val="1"/>
              <c:tx>
                <c:rich>
                  <a:bodyPr/>
                  <a:lstStyle/>
                  <a:p>
                    <a:r>
                      <a:rPr lang="en-US"/>
                      <a:t>c</a:t>
                    </a:r>
                    <a:endParaRPr 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B61-44C2-B60A-1838741E5420}"/>
                </c:ext>
              </c:extLst>
            </c:dLbl>
            <c:dLbl>
              <c:idx val="2"/>
              <c:tx>
                <c:rich>
                  <a:bodyPr/>
                  <a:lstStyle/>
                  <a:p>
                    <a:r>
                      <a:rPr lang="en-US"/>
                      <a:t>c</a:t>
                    </a:r>
                    <a:endParaRPr 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B61-44C2-B60A-1838741E5420}"/>
                </c:ext>
              </c:extLst>
            </c:dLbl>
            <c:dLbl>
              <c:idx val="3"/>
              <c:layout>
                <c:manualLayout>
                  <c:x val="-1.0185067526416E-16"/>
                  <c:y val="-4.6296296296296301E-2"/>
                </c:manualLayout>
              </c:layout>
              <c:tx>
                <c:rich>
                  <a:bodyPr/>
                  <a:lstStyle/>
                  <a:p>
                    <a:r>
                      <a:rPr lang="en-US"/>
                      <a:t>c</a:t>
                    </a:r>
                    <a:endParaRPr 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B61-44C2-B60A-1838741E5420}"/>
                </c:ext>
              </c:extLst>
            </c:dLbl>
            <c:dLbl>
              <c:idx val="4"/>
              <c:tx>
                <c:rich>
                  <a:bodyPr/>
                  <a:lstStyle/>
                  <a:p>
                    <a:r>
                      <a:rPr lang="en-US" altLang="en-US"/>
                      <a:t>c</a:t>
                    </a:r>
                    <a:endParaRPr lang="en-US" alt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B61-44C2-B60A-1838741E5420}"/>
                </c:ext>
              </c:extLst>
            </c:dLbl>
            <c:dLbl>
              <c:idx val="5"/>
              <c:tx>
                <c:rich>
                  <a:bodyPr/>
                  <a:lstStyle/>
                  <a:p>
                    <a:r>
                      <a:rPr lang="en-US" altLang="en-US"/>
                      <a:t>b</a:t>
                    </a:r>
                    <a:endParaRPr lang="en-US" alt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B61-44C2-B60A-1838741E5420}"/>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'[HPLC Kesum BTM.xls]Sheet3'!$E$4:$E$9</c:f>
                <c:numCache>
                  <c:formatCode>General</c:formatCode>
                  <c:ptCount val="6"/>
                  <c:pt idx="0">
                    <c:v>0.222</c:v>
                  </c:pt>
                  <c:pt idx="1">
                    <c:v>0.11799999999999999</c:v>
                  </c:pt>
                  <c:pt idx="2">
                    <c:v>0.249</c:v>
                  </c:pt>
                  <c:pt idx="3">
                    <c:v>0.83299999999999996</c:v>
                  </c:pt>
                  <c:pt idx="4">
                    <c:v>0.13041220431130399</c:v>
                  </c:pt>
                  <c:pt idx="5">
                    <c:v>0.115</c:v>
                  </c:pt>
                </c:numCache>
              </c:numRef>
            </c:plus>
            <c:minus>
              <c:numRef>
                <c:f>'[HPLC Kesum BTM.xls]Sheet3'!$E$4:$E$9</c:f>
                <c:numCache>
                  <c:formatCode>General</c:formatCode>
                  <c:ptCount val="6"/>
                  <c:pt idx="0">
                    <c:v>0.222</c:v>
                  </c:pt>
                  <c:pt idx="1">
                    <c:v>0.11799999999999999</c:v>
                  </c:pt>
                  <c:pt idx="2">
                    <c:v>0.249</c:v>
                  </c:pt>
                  <c:pt idx="3">
                    <c:v>0.83299999999999996</c:v>
                  </c:pt>
                  <c:pt idx="4">
                    <c:v>0.13041220431130399</c:v>
                  </c:pt>
                  <c:pt idx="5">
                    <c:v>0.115</c:v>
                  </c:pt>
                </c:numCache>
              </c:numRef>
            </c:minus>
            <c:spPr>
              <a:noFill/>
              <a:ln w="9525" cap="flat" cmpd="sng" algn="ctr">
                <a:solidFill>
                  <a:schemeClr val="tx1">
                    <a:lumMod val="65000"/>
                    <a:lumOff val="35000"/>
                  </a:schemeClr>
                </a:solidFill>
                <a:prstDash val="solid"/>
                <a:round/>
              </a:ln>
              <a:effectLst/>
            </c:spPr>
          </c:errBars>
          <c:cat>
            <c:strRef>
              <c:f>'[HPLC Kesum BTM.xls]Sheet3'!$A$4:$A$9</c:f>
              <c:strCache>
                <c:ptCount val="6"/>
                <c:pt idx="0">
                  <c:v>O40</c:v>
                </c:pt>
                <c:pt idx="1">
                  <c:v>O50</c:v>
                </c:pt>
                <c:pt idx="2">
                  <c:v>O60</c:v>
                </c:pt>
                <c:pt idx="3">
                  <c:v>O70</c:v>
                </c:pt>
                <c:pt idx="4">
                  <c:v>AD</c:v>
                </c:pt>
                <c:pt idx="5">
                  <c:v>FD</c:v>
                </c:pt>
              </c:strCache>
            </c:strRef>
          </c:cat>
          <c:val>
            <c:numRef>
              <c:f>'[HPLC Kesum BTM.xls]Sheet3'!$B$4:$B$9</c:f>
              <c:numCache>
                <c:formatCode>0.000</c:formatCode>
                <c:ptCount val="6"/>
                <c:pt idx="0">
                  <c:v>4.3239999999999998</c:v>
                </c:pt>
                <c:pt idx="1">
                  <c:v>2.0840000000000001</c:v>
                </c:pt>
                <c:pt idx="2">
                  <c:v>2.63</c:v>
                </c:pt>
                <c:pt idx="3">
                  <c:v>1.6779999999999999</c:v>
                </c:pt>
                <c:pt idx="4">
                  <c:v>3.51812666666667</c:v>
                </c:pt>
                <c:pt idx="5">
                  <c:v>4.8767800000000001</c:v>
                </c:pt>
              </c:numCache>
            </c:numRef>
          </c:val>
          <c:extLst>
            <c:ext xmlns:c16="http://schemas.microsoft.com/office/drawing/2014/chart" uri="{C3380CC4-5D6E-409C-BE32-E72D297353CC}">
              <c16:uniqueId val="{00000006-BB61-44C2-B60A-1838741E5420}"/>
            </c:ext>
          </c:extLst>
        </c:ser>
        <c:ser>
          <c:idx val="1"/>
          <c:order val="1"/>
          <c:tx>
            <c:strRef>
              <c:f>'[HPLC Kesum BTM.xls]Sheet3'!$C$3</c:f>
              <c:strCache>
                <c:ptCount val="1"/>
                <c:pt idx="0">
                  <c:v>Distilled water</c:v>
                </c:pt>
              </c:strCache>
            </c:strRef>
          </c:tx>
          <c:spPr>
            <a:solidFill>
              <a:schemeClr val="accent2"/>
            </a:solidFill>
            <a:ln>
              <a:noFill/>
            </a:ln>
            <a:effectLst/>
          </c:spPr>
          <c:invertIfNegative val="0"/>
          <c:dLbls>
            <c:dLbl>
              <c:idx val="0"/>
              <c:layout>
                <c:manualLayout>
                  <c:x val="0"/>
                  <c:y val="-1.1574074074074099E-2"/>
                </c:manualLayout>
              </c:layout>
              <c:tx>
                <c:rich>
                  <a:bodyPr rot="0" spcFirstLastPara="1" vertOverflow="ellipsis" vert="horz" wrap="square" lIns="38100" tIns="19050" rIns="38100" bIns="19050" anchor="ctr" anchorCtr="1">
                    <a:noAutofit/>
                  </a:bodyPr>
                  <a:lstStyle/>
                  <a:p>
                    <a:pPr>
                      <a:defRPr lang="en-US" sz="900" b="0" i="0" u="none" strike="noStrike" kern="1200" baseline="0">
                        <a:solidFill>
                          <a:schemeClr val="tx1">
                            <a:lumMod val="75000"/>
                            <a:lumOff val="25000"/>
                          </a:schemeClr>
                        </a:solidFill>
                        <a:latin typeface="+mn-lt"/>
                        <a:ea typeface="+mn-ea"/>
                        <a:cs typeface="+mn-cs"/>
                      </a:defRPr>
                    </a:pPr>
                    <a:r>
                      <a:rPr lang="en-US" altLang="en-US"/>
                      <a:t>a</a:t>
                    </a:r>
                    <a:endParaRPr lang="en-US" alt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spPr>
                <a:noFill/>
                <a:ln>
                  <a:noFill/>
                </a:ln>
                <a:effectLst/>
              </c:sp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7-BB61-44C2-B60A-1838741E5420}"/>
                </c:ext>
              </c:extLst>
            </c:dLbl>
            <c:dLbl>
              <c:idx val="1"/>
              <c:tx>
                <c:rich>
                  <a:bodyPr/>
                  <a:lstStyle/>
                  <a:p>
                    <a:r>
                      <a:rPr lang="en-US" altLang="en-US"/>
                      <a:t>b</a:t>
                    </a:r>
                    <a:endParaRPr lang="en-US" alt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B61-44C2-B60A-1838741E5420}"/>
                </c:ext>
              </c:extLst>
            </c:dLbl>
            <c:dLbl>
              <c:idx val="2"/>
              <c:tx>
                <c:rich>
                  <a:bodyPr/>
                  <a:lstStyle/>
                  <a:p>
                    <a:r>
                      <a:rPr lang="en-US" altLang="en-US"/>
                      <a:t>b</a:t>
                    </a:r>
                    <a:endParaRPr lang="en-US" alt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B61-44C2-B60A-1838741E5420}"/>
                </c:ext>
              </c:extLst>
            </c:dLbl>
            <c:dLbl>
              <c:idx val="3"/>
              <c:tx>
                <c:rich>
                  <a:bodyPr/>
                  <a:lstStyle/>
                  <a:p>
                    <a:r>
                      <a:rPr lang="en-US" altLang="en-US"/>
                      <a:t>c</a:t>
                    </a:r>
                    <a:endParaRPr lang="en-US" alt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B61-44C2-B60A-1838741E5420}"/>
                </c:ext>
              </c:extLst>
            </c:dLbl>
            <c:dLbl>
              <c:idx val="4"/>
              <c:layout>
                <c:manualLayout>
                  <c:x val="-1.0185067526416E-16"/>
                  <c:y val="-4.6296296296296301E-2"/>
                </c:manualLayout>
              </c:layout>
              <c:tx>
                <c:rich>
                  <a:bodyPr/>
                  <a:lstStyle/>
                  <a:p>
                    <a:r>
                      <a:rPr lang="en-US"/>
                      <a:t>a</a:t>
                    </a:r>
                    <a:endParaRPr 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B61-44C2-B60A-1838741E5420}"/>
                </c:ext>
              </c:extLst>
            </c:dLbl>
            <c:dLbl>
              <c:idx val="5"/>
              <c:tx>
                <c:rich>
                  <a:bodyPr rot="0" spcFirstLastPara="1" vertOverflow="ellipsis" vert="horz" wrap="square" lIns="38100" tIns="19050" rIns="38100" bIns="19050" anchor="ctr" anchorCtr="1">
                    <a:noAutofit/>
                  </a:bodyPr>
                  <a:lstStyle/>
                  <a:p>
                    <a:pPr>
                      <a:defRPr lang="en-US" sz="900" b="0" i="0" u="none" strike="noStrike" kern="1200" baseline="0">
                        <a:solidFill>
                          <a:schemeClr val="tx1">
                            <a:lumMod val="75000"/>
                            <a:lumOff val="25000"/>
                          </a:schemeClr>
                        </a:solidFill>
                        <a:latin typeface="+mn-lt"/>
                        <a:ea typeface="+mn-ea"/>
                        <a:cs typeface="+mn-cs"/>
                      </a:defRPr>
                    </a:pPr>
                    <a:r>
                      <a:rPr lang="en-US"/>
                      <a:t>a</a:t>
                    </a:r>
                    <a:endParaRPr 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spPr>
                <a:noFill/>
                <a:ln>
                  <a:noFill/>
                </a:ln>
                <a:effectLst/>
              </c:sp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C-BB61-44C2-B60A-1838741E5420}"/>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'[HPLC Kesum BTM.xls]Sheet3'!$F$4:$F$9</c:f>
                <c:numCache>
                  <c:formatCode>General</c:formatCode>
                  <c:ptCount val="6"/>
                  <c:pt idx="0">
                    <c:v>0.42299999999999999</c:v>
                  </c:pt>
                  <c:pt idx="1">
                    <c:v>0.21299999999999999</c:v>
                  </c:pt>
                  <c:pt idx="2">
                    <c:v>0.25900000000000001</c:v>
                  </c:pt>
                  <c:pt idx="3">
                    <c:v>0.19800000000000001</c:v>
                  </c:pt>
                  <c:pt idx="4">
                    <c:v>0.86776144187213</c:v>
                  </c:pt>
                  <c:pt idx="5">
                    <c:v>0.35277557313396901</c:v>
                  </c:pt>
                </c:numCache>
              </c:numRef>
            </c:plus>
            <c:minus>
              <c:numRef>
                <c:f>'[HPLC Kesum BTM.xls]Sheet3'!$F$4:$F$9</c:f>
                <c:numCache>
                  <c:formatCode>General</c:formatCode>
                  <c:ptCount val="6"/>
                  <c:pt idx="0">
                    <c:v>0.42299999999999999</c:v>
                  </c:pt>
                  <c:pt idx="1">
                    <c:v>0.21299999999999999</c:v>
                  </c:pt>
                  <c:pt idx="2">
                    <c:v>0.25900000000000001</c:v>
                  </c:pt>
                  <c:pt idx="3">
                    <c:v>0.19800000000000001</c:v>
                  </c:pt>
                  <c:pt idx="4">
                    <c:v>0.86776144187213</c:v>
                  </c:pt>
                  <c:pt idx="5">
                    <c:v>0.35277557313396901</c:v>
                  </c:pt>
                </c:numCache>
              </c:numRef>
            </c:minus>
            <c:spPr>
              <a:noFill/>
              <a:ln w="9525" cap="flat" cmpd="sng" algn="ctr">
                <a:solidFill>
                  <a:schemeClr val="tx1">
                    <a:lumMod val="65000"/>
                    <a:lumOff val="35000"/>
                  </a:schemeClr>
                </a:solidFill>
                <a:prstDash val="solid"/>
                <a:round/>
              </a:ln>
              <a:effectLst/>
            </c:spPr>
          </c:errBars>
          <c:cat>
            <c:strRef>
              <c:f>'[HPLC Kesum BTM.xls]Sheet3'!$A$4:$A$9</c:f>
              <c:strCache>
                <c:ptCount val="6"/>
                <c:pt idx="0">
                  <c:v>O40</c:v>
                </c:pt>
                <c:pt idx="1">
                  <c:v>O50</c:v>
                </c:pt>
                <c:pt idx="2">
                  <c:v>O60</c:v>
                </c:pt>
                <c:pt idx="3">
                  <c:v>O70</c:v>
                </c:pt>
                <c:pt idx="4">
                  <c:v>AD</c:v>
                </c:pt>
                <c:pt idx="5">
                  <c:v>FD</c:v>
                </c:pt>
              </c:strCache>
            </c:strRef>
          </c:cat>
          <c:val>
            <c:numRef>
              <c:f>'[HPLC Kesum BTM.xls]Sheet3'!$C$4:$C$9</c:f>
              <c:numCache>
                <c:formatCode>0.000</c:formatCode>
                <c:ptCount val="6"/>
                <c:pt idx="0">
                  <c:v>6.9690000000000003</c:v>
                </c:pt>
                <c:pt idx="1">
                  <c:v>5.4169999999999998</c:v>
                </c:pt>
                <c:pt idx="2">
                  <c:v>5.8540000000000001</c:v>
                </c:pt>
                <c:pt idx="3">
                  <c:v>3.585</c:v>
                </c:pt>
                <c:pt idx="4">
                  <c:v>8.1511999999999993</c:v>
                </c:pt>
                <c:pt idx="5">
                  <c:v>8.9875500000000006</c:v>
                </c:pt>
              </c:numCache>
            </c:numRef>
          </c:val>
          <c:extLst>
            <c:ext xmlns:c16="http://schemas.microsoft.com/office/drawing/2014/chart" uri="{C3380CC4-5D6E-409C-BE32-E72D297353CC}">
              <c16:uniqueId val="{0000000D-BB61-44C2-B60A-1838741E5420}"/>
            </c:ext>
          </c:extLst>
        </c:ser>
        <c:dLbls>
          <c:showLegendKey val="0"/>
          <c:showVal val="0"/>
          <c:showCatName val="0"/>
          <c:showSerName val="0"/>
          <c:showPercent val="0"/>
          <c:showBubbleSize val="0"/>
        </c:dLbls>
        <c:gapWidth val="219"/>
        <c:overlap val="-27"/>
        <c:axId val="780938305"/>
        <c:axId val="615108162"/>
      </c:barChart>
      <c:catAx>
        <c:axId val="780938305"/>
        <c:scaling>
          <c:orientation val="minMax"/>
        </c:scaling>
        <c:delete val="0"/>
        <c:axPos val="b"/>
        <c:numFmt formatCode="General" sourceLinked="0"/>
        <c:majorTickMark val="out"/>
        <c:minorTickMark val="none"/>
        <c:tickLblPos val="nextTo"/>
        <c:spPr>
          <a:noFill/>
          <a:ln w="9525" cap="flat" cmpd="sng" algn="ctr">
            <a:solidFill>
              <a:schemeClr val="tx1">
                <a:lumMod val="50000"/>
                <a:lumOff val="50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15108162"/>
        <c:crosses val="autoZero"/>
        <c:auto val="1"/>
        <c:lblAlgn val="ctr"/>
        <c:lblOffset val="100"/>
        <c:noMultiLvlLbl val="0"/>
      </c:catAx>
      <c:valAx>
        <c:axId val="61510816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MY"/>
                  <a:t>Quercetin-3-glucuronide (mg/g)</a:t>
                </a:r>
                <a:endParaRPr lang="en-MY" sz="10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overlay val="0"/>
          <c:spPr>
            <a:noFill/>
            <a:ln>
              <a:noFill/>
            </a:ln>
            <a:effectLst/>
          </c:spPr>
        </c:title>
        <c:numFmt formatCode="0.0" sourceLinked="0"/>
        <c:majorTickMark val="out"/>
        <c:minorTickMark val="none"/>
        <c:tickLblPos val="nextTo"/>
        <c:spPr>
          <a:noFill/>
          <a:ln w="6350" cap="flat" cmpd="sng" algn="ctr">
            <a:solidFill>
              <a:schemeClr val="tx1">
                <a:lumMod val="50000"/>
                <a:lumOff val="50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80938305"/>
        <c:crosses val="autoZero"/>
        <c:crossBetween val="between"/>
      </c:valAx>
      <c:spPr>
        <a:noFill/>
        <a:ln w="3175">
          <a:noFill/>
        </a:ln>
      </c:spPr>
    </c:plotArea>
    <c:legend>
      <c:legendPos val="t"/>
      <c:layout>
        <c:manualLayout>
          <c:xMode val="edge"/>
          <c:yMode val="edge"/>
          <c:x val="0.27318547681539801"/>
          <c:y val="0.12037037037037"/>
          <c:w val="0.420295494313211"/>
          <c:h val="7.8125546806649196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51628943-35dd-4c4a-9eaf-d3d538bd56ba}"/>
      </c:ext>
    </c:extLst>
  </c:chart>
  <c:spPr>
    <a:solidFill>
      <a:schemeClr val="bg1"/>
    </a:solidFill>
    <a:ln w="9525" cap="flat" cmpd="sng" algn="ctr">
      <a:solidFill>
        <a:schemeClr val="tx1">
          <a:lumMod val="50000"/>
          <a:lumOff val="50000"/>
        </a:schemeClr>
      </a:solidFill>
      <a:prstDash val="solid"/>
      <a:round/>
    </a:ln>
    <a:effectLst/>
  </c:spPr>
  <c:txPr>
    <a:bodyPr wrap="square"/>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'[HPLC Kesum BTM.xls]Sheet3'!$B$13</c:f>
              <c:strCache>
                <c:ptCount val="1"/>
                <c:pt idx="0">
                  <c:v>70% Methanol</c:v>
                </c:pt>
              </c:strCache>
            </c:strRef>
          </c:tx>
          <c:spPr>
            <a:solidFill>
              <a:schemeClr val="accent1"/>
            </a:solidFill>
            <a:ln>
              <a:noFill/>
            </a:ln>
            <a:effectLst/>
          </c:spPr>
          <c:invertIfNegative val="0"/>
          <c:dLbls>
            <c:dLbl>
              <c:idx val="0"/>
              <c:tx>
                <c:rich>
                  <a:bodyPr/>
                  <a:lstStyle/>
                  <a:p>
                    <a:r>
                      <a:rPr lang="en-US" altLang="en-US"/>
                      <a:t>b</a:t>
                    </a:r>
                    <a:endParaRPr lang="en-US" alt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94E-42B7-B3E8-C5AF573F942E}"/>
                </c:ext>
              </c:extLst>
            </c:dLbl>
            <c:dLbl>
              <c:idx val="1"/>
              <c:tx>
                <c:rich>
                  <a:bodyPr/>
                  <a:lstStyle/>
                  <a:p>
                    <a:r>
                      <a:rPr lang="en-US"/>
                      <a:t>c</a:t>
                    </a:r>
                    <a:endParaRPr 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94E-42B7-B3E8-C5AF573F942E}"/>
                </c:ext>
              </c:extLst>
            </c:dLbl>
            <c:dLbl>
              <c:idx val="2"/>
              <c:tx>
                <c:rich>
                  <a:bodyPr/>
                  <a:lstStyle/>
                  <a:p>
                    <a:r>
                      <a:rPr lang="en-US" altLang="en-US"/>
                      <a:t>b</a:t>
                    </a:r>
                    <a:endParaRPr lang="en-US" alt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94E-42B7-B3E8-C5AF573F942E}"/>
                </c:ext>
              </c:extLst>
            </c:dLbl>
            <c:dLbl>
              <c:idx val="3"/>
              <c:tx>
                <c:rich>
                  <a:bodyPr/>
                  <a:lstStyle/>
                  <a:p>
                    <a:r>
                      <a:rPr lang="en-US" altLang="en-US"/>
                      <a:t>b</a:t>
                    </a:r>
                    <a:endParaRPr lang="en-US" alt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94E-42B7-B3E8-C5AF573F942E}"/>
                </c:ext>
              </c:extLst>
            </c:dLbl>
            <c:dLbl>
              <c:idx val="4"/>
              <c:tx>
                <c:rich>
                  <a:bodyPr/>
                  <a:lstStyle/>
                  <a:p>
                    <a:r>
                      <a:rPr lang="en-US"/>
                      <a:t>b</a:t>
                    </a:r>
                    <a:endParaRPr 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94E-42B7-B3E8-C5AF573F942E}"/>
                </c:ext>
              </c:extLst>
            </c:dLbl>
            <c:dLbl>
              <c:idx val="5"/>
              <c:layout>
                <c:manualLayout>
                  <c:x val="-1.0185067526416E-16"/>
                  <c:y val="-1.38888888888889E-2"/>
                </c:manualLayout>
              </c:layout>
              <c:tx>
                <c:rich>
                  <a:bodyPr/>
                  <a:lstStyle/>
                  <a:p>
                    <a:r>
                      <a:rPr lang="en-US" altLang="en-US"/>
                      <a:t>b</a:t>
                    </a:r>
                    <a:endParaRPr lang="en-US" alt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94E-42B7-B3E8-C5AF573F942E}"/>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'[HPLC Kesum BTM.xls]Sheet3'!$E$14:$E$19</c:f>
                <c:numCache>
                  <c:formatCode>General</c:formatCode>
                  <c:ptCount val="6"/>
                  <c:pt idx="0">
                    <c:v>5.3715364965094797E-2</c:v>
                  </c:pt>
                  <c:pt idx="1">
                    <c:v>2.3526434068936199E-2</c:v>
                  </c:pt>
                  <c:pt idx="2">
                    <c:v>6.9366924635112098E-2</c:v>
                  </c:pt>
                  <c:pt idx="3">
                    <c:v>4.2227655629930499E-2</c:v>
                  </c:pt>
                  <c:pt idx="4">
                    <c:v>3.3402222222222E-2</c:v>
                  </c:pt>
                  <c:pt idx="5">
                    <c:v>8.6999999999999994E-2</c:v>
                  </c:pt>
                </c:numCache>
              </c:numRef>
            </c:plus>
            <c:minus>
              <c:numRef>
                <c:f>'[HPLC Kesum BTM.xls]Sheet3'!$E$14:$E$19</c:f>
                <c:numCache>
                  <c:formatCode>General</c:formatCode>
                  <c:ptCount val="6"/>
                  <c:pt idx="0">
                    <c:v>5.3715364965094797E-2</c:v>
                  </c:pt>
                  <c:pt idx="1">
                    <c:v>2.3526434068936199E-2</c:v>
                  </c:pt>
                  <c:pt idx="2">
                    <c:v>6.9366924635112098E-2</c:v>
                  </c:pt>
                  <c:pt idx="3">
                    <c:v>4.2227655629930499E-2</c:v>
                  </c:pt>
                  <c:pt idx="4">
                    <c:v>3.3402222222222E-2</c:v>
                  </c:pt>
                  <c:pt idx="5">
                    <c:v>8.6999999999999994E-2</c:v>
                  </c:pt>
                </c:numCache>
              </c:numRef>
            </c:minus>
            <c:spPr>
              <a:noFill/>
              <a:ln w="9525" cap="flat" cmpd="sng" algn="ctr">
                <a:solidFill>
                  <a:schemeClr val="tx1">
                    <a:lumMod val="65000"/>
                    <a:lumOff val="35000"/>
                  </a:schemeClr>
                </a:solidFill>
                <a:prstDash val="solid"/>
                <a:round/>
              </a:ln>
              <a:effectLst/>
            </c:spPr>
          </c:errBars>
          <c:cat>
            <c:strRef>
              <c:f>'[HPLC Kesum BTM.xls]Sheet3'!$A$14:$A$19</c:f>
              <c:strCache>
                <c:ptCount val="6"/>
                <c:pt idx="0">
                  <c:v>O40</c:v>
                </c:pt>
                <c:pt idx="1">
                  <c:v>O50</c:v>
                </c:pt>
                <c:pt idx="2">
                  <c:v>O60</c:v>
                </c:pt>
                <c:pt idx="3">
                  <c:v>O70</c:v>
                </c:pt>
                <c:pt idx="4">
                  <c:v>AD</c:v>
                </c:pt>
                <c:pt idx="5">
                  <c:v>FD</c:v>
                </c:pt>
              </c:strCache>
            </c:strRef>
          </c:cat>
          <c:val>
            <c:numRef>
              <c:f>'[HPLC Kesum BTM.xls]Sheet3'!$B$14:$B$19</c:f>
              <c:numCache>
                <c:formatCode>General</c:formatCode>
                <c:ptCount val="6"/>
                <c:pt idx="0">
                  <c:v>1.0289999999999999</c:v>
                </c:pt>
                <c:pt idx="1">
                  <c:v>0.377</c:v>
                </c:pt>
                <c:pt idx="2">
                  <c:v>0.97799999999999998</c:v>
                </c:pt>
                <c:pt idx="3">
                  <c:v>0.877</c:v>
                </c:pt>
                <c:pt idx="4">
                  <c:v>0.83299999999999996</c:v>
                </c:pt>
                <c:pt idx="5">
                  <c:v>1.1479999999999999</c:v>
                </c:pt>
              </c:numCache>
            </c:numRef>
          </c:val>
          <c:extLst>
            <c:ext xmlns:c16="http://schemas.microsoft.com/office/drawing/2014/chart" uri="{C3380CC4-5D6E-409C-BE32-E72D297353CC}">
              <c16:uniqueId val="{00000006-094E-42B7-B3E8-C5AF573F942E}"/>
            </c:ext>
          </c:extLst>
        </c:ser>
        <c:ser>
          <c:idx val="1"/>
          <c:order val="1"/>
          <c:tx>
            <c:strRef>
              <c:f>'[HPLC Kesum BTM.xls]Sheet3'!$C$13</c:f>
              <c:strCache>
                <c:ptCount val="1"/>
                <c:pt idx="0">
                  <c:v>Distilled water</c:v>
                </c:pt>
              </c:strCache>
            </c:strRef>
          </c:tx>
          <c:spPr>
            <a:solidFill>
              <a:schemeClr val="accent2"/>
            </a:solidFill>
            <a:ln>
              <a:noFill/>
            </a:ln>
            <a:effectLst/>
          </c:spPr>
          <c:invertIfNegative val="0"/>
          <c:dLbls>
            <c:dLbl>
              <c:idx val="0"/>
              <c:tx>
                <c:rich>
                  <a:bodyPr/>
                  <a:lstStyle/>
                  <a:p>
                    <a:r>
                      <a:rPr lang="en-US" altLang="en-US"/>
                      <a:t>c</a:t>
                    </a:r>
                    <a:endParaRPr lang="en-US" alt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94E-42B7-B3E8-C5AF573F942E}"/>
                </c:ext>
              </c:extLst>
            </c:dLbl>
            <c:dLbl>
              <c:idx val="1"/>
              <c:tx>
                <c:rich>
                  <a:bodyPr/>
                  <a:lstStyle/>
                  <a:p>
                    <a:r>
                      <a:rPr lang="en-US" altLang="en-US"/>
                      <a:t>c</a:t>
                    </a:r>
                    <a:endParaRPr lang="en-US" alt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94E-42B7-B3E8-C5AF573F942E}"/>
                </c:ext>
              </c:extLst>
            </c:dLbl>
            <c:dLbl>
              <c:idx val="2"/>
              <c:tx>
                <c:rich>
                  <a:bodyPr/>
                  <a:lstStyle/>
                  <a:p>
                    <a:r>
                      <a:rPr lang="en-US" altLang="en-US"/>
                      <a:t>c</a:t>
                    </a:r>
                    <a:endParaRPr lang="en-US" alt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94E-42B7-B3E8-C5AF573F942E}"/>
                </c:ext>
              </c:extLst>
            </c:dLbl>
            <c:dLbl>
              <c:idx val="3"/>
              <c:tx>
                <c:rich>
                  <a:bodyPr/>
                  <a:lstStyle/>
                  <a:p>
                    <a:r>
                      <a:rPr lang="en-US" altLang="en-US"/>
                      <a:t>c</a:t>
                    </a:r>
                    <a:endParaRPr lang="en-US" alt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94E-42B7-B3E8-C5AF573F942E}"/>
                </c:ext>
              </c:extLst>
            </c:dLbl>
            <c:dLbl>
              <c:idx val="4"/>
              <c:layout>
                <c:manualLayout>
                  <c:x val="0"/>
                  <c:y val="-4.6296296296296301E-2"/>
                </c:manualLayout>
              </c:layout>
              <c:tx>
                <c:rich>
                  <a:bodyPr/>
                  <a:lstStyle/>
                  <a:p>
                    <a:r>
                      <a:rPr lang="en-US"/>
                      <a:t>a</a:t>
                    </a:r>
                    <a:endParaRPr 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94E-42B7-B3E8-C5AF573F942E}"/>
                </c:ext>
              </c:extLst>
            </c:dLbl>
            <c:dLbl>
              <c:idx val="5"/>
              <c:layout>
                <c:manualLayout>
                  <c:x val="0"/>
                  <c:y val="-1.38888888888889E-2"/>
                </c:manualLayout>
              </c:layout>
              <c:tx>
                <c:rich>
                  <a:bodyPr/>
                  <a:lstStyle/>
                  <a:p>
                    <a:r>
                      <a:rPr lang="en-US"/>
                      <a:t>a</a:t>
                    </a:r>
                    <a:endParaRPr 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94E-42B7-B3E8-C5AF573F942E}"/>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'[HPLC Kesum BTM.xls]Sheet3'!$F$14:$F$19</c:f>
                <c:numCache>
                  <c:formatCode>General</c:formatCode>
                  <c:ptCount val="6"/>
                  <c:pt idx="0">
                    <c:v>0.01</c:v>
                  </c:pt>
                  <c:pt idx="1">
                    <c:v>4.0000000000000001E-3</c:v>
                  </c:pt>
                  <c:pt idx="2">
                    <c:v>7.1999999999999995E-2</c:v>
                  </c:pt>
                  <c:pt idx="3">
                    <c:v>0.06</c:v>
                  </c:pt>
                  <c:pt idx="4">
                    <c:v>0.158</c:v>
                  </c:pt>
                  <c:pt idx="5">
                    <c:v>7.5999999999999998E-2</c:v>
                  </c:pt>
                </c:numCache>
              </c:numRef>
            </c:plus>
            <c:minus>
              <c:numRef>
                <c:f>'[HPLC Kesum BTM.xls]Sheet3'!$F$14:$F$19</c:f>
                <c:numCache>
                  <c:formatCode>General</c:formatCode>
                  <c:ptCount val="6"/>
                  <c:pt idx="0">
                    <c:v>0.01</c:v>
                  </c:pt>
                  <c:pt idx="1">
                    <c:v>4.0000000000000001E-3</c:v>
                  </c:pt>
                  <c:pt idx="2">
                    <c:v>7.1999999999999995E-2</c:v>
                  </c:pt>
                  <c:pt idx="3">
                    <c:v>0.06</c:v>
                  </c:pt>
                  <c:pt idx="4">
                    <c:v>0.158</c:v>
                  </c:pt>
                  <c:pt idx="5">
                    <c:v>7.5999999999999998E-2</c:v>
                  </c:pt>
                </c:numCache>
              </c:numRef>
            </c:minus>
            <c:spPr>
              <a:noFill/>
              <a:ln w="9525" cap="flat" cmpd="sng" algn="ctr">
                <a:solidFill>
                  <a:schemeClr val="tx1">
                    <a:lumMod val="65000"/>
                    <a:lumOff val="35000"/>
                  </a:schemeClr>
                </a:solidFill>
                <a:prstDash val="solid"/>
                <a:round/>
              </a:ln>
              <a:effectLst/>
            </c:spPr>
          </c:errBars>
          <c:cat>
            <c:strRef>
              <c:f>'[HPLC Kesum BTM.xls]Sheet3'!$A$14:$A$19</c:f>
              <c:strCache>
                <c:ptCount val="6"/>
                <c:pt idx="0">
                  <c:v>O40</c:v>
                </c:pt>
                <c:pt idx="1">
                  <c:v>O50</c:v>
                </c:pt>
                <c:pt idx="2">
                  <c:v>O60</c:v>
                </c:pt>
                <c:pt idx="3">
                  <c:v>O70</c:v>
                </c:pt>
                <c:pt idx="4">
                  <c:v>AD</c:v>
                </c:pt>
                <c:pt idx="5">
                  <c:v>FD</c:v>
                </c:pt>
              </c:strCache>
            </c:strRef>
          </c:cat>
          <c:val>
            <c:numRef>
              <c:f>'[HPLC Kesum BTM.xls]Sheet3'!$C$14:$C$19</c:f>
              <c:numCache>
                <c:formatCode>General</c:formatCode>
                <c:ptCount val="6"/>
                <c:pt idx="0">
                  <c:v>0.16</c:v>
                </c:pt>
                <c:pt idx="1">
                  <c:v>0.128</c:v>
                </c:pt>
                <c:pt idx="2">
                  <c:v>0.14499999999999999</c:v>
                </c:pt>
                <c:pt idx="3">
                  <c:v>0.126</c:v>
                </c:pt>
                <c:pt idx="4">
                  <c:v>1.4470000000000001</c:v>
                </c:pt>
                <c:pt idx="5">
                  <c:v>1.6930000000000001</c:v>
                </c:pt>
              </c:numCache>
            </c:numRef>
          </c:val>
          <c:extLst>
            <c:ext xmlns:c16="http://schemas.microsoft.com/office/drawing/2014/chart" uri="{C3380CC4-5D6E-409C-BE32-E72D297353CC}">
              <c16:uniqueId val="{0000000D-094E-42B7-B3E8-C5AF573F942E}"/>
            </c:ext>
          </c:extLst>
        </c:ser>
        <c:dLbls>
          <c:showLegendKey val="0"/>
          <c:showVal val="0"/>
          <c:showCatName val="0"/>
          <c:showSerName val="0"/>
          <c:showPercent val="0"/>
          <c:showBubbleSize val="0"/>
        </c:dLbls>
        <c:gapWidth val="219"/>
        <c:overlap val="-27"/>
        <c:axId val="88830096"/>
        <c:axId val="884033467"/>
      </c:barChart>
      <c:catAx>
        <c:axId val="88830096"/>
        <c:scaling>
          <c:orientation val="minMax"/>
        </c:scaling>
        <c:delete val="0"/>
        <c:axPos val="b"/>
        <c:numFmt formatCode="General" sourceLinked="0"/>
        <c:majorTickMark val="out"/>
        <c:minorTickMark val="none"/>
        <c:tickLblPos val="nextTo"/>
        <c:spPr>
          <a:noFill/>
          <a:ln w="9525" cap="flat" cmpd="sng" algn="ctr">
            <a:solidFill>
              <a:schemeClr val="tx1">
                <a:lumMod val="50000"/>
                <a:lumOff val="50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84033467"/>
        <c:crosses val="autoZero"/>
        <c:auto val="1"/>
        <c:lblAlgn val="ctr"/>
        <c:lblOffset val="100"/>
        <c:noMultiLvlLbl val="0"/>
      </c:catAx>
      <c:valAx>
        <c:axId val="884033467"/>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MY"/>
                  <a:t>Quercitrin (mg/g)</a:t>
                </a:r>
                <a:endParaRPr lang="en-MY" sz="10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overlay val="0"/>
          <c:spPr>
            <a:noFill/>
            <a:ln>
              <a:noFill/>
            </a:ln>
            <a:effectLst/>
          </c:spPr>
        </c:title>
        <c:numFmt formatCode="General" sourceLinked="1"/>
        <c:majorTickMark val="out"/>
        <c:minorTickMark val="none"/>
        <c:tickLblPos val="nextTo"/>
        <c:spPr>
          <a:noFill/>
          <a:ln w="6350" cap="flat" cmpd="sng" algn="ctr">
            <a:solidFill>
              <a:schemeClr val="tx1">
                <a:lumMod val="50000"/>
                <a:lumOff val="50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8830096"/>
        <c:crosses val="autoZero"/>
        <c:crossBetween val="between"/>
      </c:valAx>
      <c:spPr>
        <a:noFill/>
        <a:ln w="3175">
          <a:noFill/>
        </a:ln>
      </c:spPr>
    </c:plotArea>
    <c:legend>
      <c:legendPos val="t"/>
      <c:layout>
        <c:manualLayout>
          <c:xMode val="edge"/>
          <c:yMode val="edge"/>
          <c:x val="0.28985214348206501"/>
          <c:y val="0.101851851851852"/>
          <c:w val="0.420295494313211"/>
          <c:h val="7.8125546806649196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0dde2362-67c7-47f2-8a87-f55426236738}"/>
      </c:ext>
    </c:extLst>
  </c:chart>
  <c:spPr>
    <a:solidFill>
      <a:schemeClr val="bg1"/>
    </a:solidFill>
    <a:ln w="9525" cap="flat" cmpd="sng" algn="ctr">
      <a:solidFill>
        <a:schemeClr val="tx1">
          <a:lumMod val="50000"/>
          <a:lumOff val="50000"/>
        </a:schemeClr>
      </a:solidFill>
      <a:prstDash val="solid"/>
      <a:round/>
    </a:ln>
    <a:effectLst/>
  </c:spPr>
  <c:txPr>
    <a:bodyPr wrap="square"/>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569A31-A15C-4AC3-A33F-7F4A38C4B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6287</Words>
  <Characters>35840</Characters>
  <Application>Microsoft Office Word</Application>
  <DocSecurity>0</DocSecurity>
  <Lines>298</Lines>
  <Paragraphs>84</Paragraphs>
  <ScaleCrop>false</ScaleCrop>
  <Company>aaaa</Company>
  <LinksUpToDate>false</LinksUpToDate>
  <CharactersWithSpaces>42043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48</cp:revision>
  <cp:lastPrinted>1999-07-06T11:00:00Z</cp:lastPrinted>
  <dcterms:created xsi:type="dcterms:W3CDTF">2025-08-12T13:48:00Z</dcterms:created>
  <dcterms:modified xsi:type="dcterms:W3CDTF">2026-01-07T10:51:00Z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B6E20092A6E443F093AAE71F009A9182_13</vt:lpwstr>
  </property>
</Properties>
</file>