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F0C6" w14:textId="67F9C412" w:rsidR="00235CA5" w:rsidRPr="00235CA5" w:rsidRDefault="00687B7E" w:rsidP="00235CA5">
      <w:pPr>
        <w:jc w:val="center"/>
        <w:rPr>
          <w:b/>
          <w:bCs/>
          <w:noProof/>
        </w:rPr>
      </w:pPr>
      <w:r w:rsidRPr="00687B7E">
        <w:rPr>
          <w:b/>
          <w:bCs/>
          <w:noProof/>
        </w:rPr>
        <w:t>The Impact of Natural Disasters on Community Welfare</w:t>
      </w:r>
    </w:p>
    <w:p w14:paraId="69DE1742" w14:textId="29657848" w:rsidR="00235CA5" w:rsidRDefault="00235CA5" w:rsidP="003758D3">
      <w:pPr>
        <w:jc w:val="center"/>
        <w:rPr>
          <w:noProof/>
        </w:rPr>
      </w:pPr>
    </w:p>
    <w:p w14:paraId="34C41C60" w14:textId="77777777" w:rsidR="00370701" w:rsidRDefault="00370701" w:rsidP="003758D3">
      <w:pPr>
        <w:jc w:val="center"/>
        <w:rPr>
          <w:noProof/>
        </w:rPr>
      </w:pPr>
    </w:p>
    <w:p w14:paraId="47D46AC1" w14:textId="5F5FA123" w:rsidR="003758D3" w:rsidRPr="00477C7B" w:rsidRDefault="003758D3" w:rsidP="003758D3">
      <w:pPr>
        <w:jc w:val="center"/>
        <w:rPr>
          <w:b/>
          <w:bCs/>
          <w:noProof/>
        </w:rPr>
      </w:pPr>
      <w:r w:rsidRPr="00477C7B">
        <w:rPr>
          <w:b/>
          <w:bCs/>
          <w:noProof/>
        </w:rPr>
        <w:t>Abstra</w:t>
      </w:r>
      <w:r w:rsidR="00687B7E">
        <w:rPr>
          <w:b/>
          <w:bCs/>
          <w:noProof/>
        </w:rPr>
        <w:t>ct</w:t>
      </w:r>
    </w:p>
    <w:p w14:paraId="0A3F50F1" w14:textId="2683214B" w:rsidR="003758D3" w:rsidRDefault="00687B7E" w:rsidP="00B65905">
      <w:pPr>
        <w:ind w:left="993" w:right="946"/>
        <w:jc w:val="both"/>
        <w:rPr>
          <w:noProof/>
        </w:rPr>
      </w:pPr>
      <w:r w:rsidRPr="00687B7E">
        <w:rPr>
          <w:noProof/>
        </w:rPr>
        <w:t>Natural disasters are a source of shocks that have the potential to impact community well-being in a sustainable manner, not only through material losses but also through changes in household perceptions and expectations. This study aims to analyze the effect of disaster intensity on community well-being by focusing on two dimensions of subjective well-being: life satisfaction and five-year life expectancy. This study uses household data from the Indonesia Family Life Survey (IFLS) and measures disaster intensity based on the frequency of disaster events experienced by households. Empirical analysis was conducted using linear regression with robust standard errors to estimate the relationship between disaster intensity and well-being indicators, controlling for household socioeconomic characteristics. The results show that disaster intensity significantly influences the decline in life satisfaction and weakens community life expectancy in the future. This finding indicates that disaster impacts are intertemporal, where repeated disaster exposure not only reduces current well-being but also erodes households' hopes and sense of security regarding the sustainability of their livelihoods. Overall, this study emphasizes the importance of incorporating subjective well-being and future expectations into disaster impact analysis to gain a more comprehensive understanding of the implications of disasters on community well-being.</w:t>
      </w:r>
    </w:p>
    <w:p w14:paraId="36E2E0B4" w14:textId="602F7000" w:rsidR="003758D3" w:rsidRDefault="00687B7E" w:rsidP="00687B7E">
      <w:pPr>
        <w:ind w:left="993"/>
        <w:rPr>
          <w:noProof/>
        </w:rPr>
      </w:pPr>
      <w:r>
        <w:rPr>
          <w:noProof/>
        </w:rPr>
        <w:t>Keywords: Natural Disasters; Community Welfare;</w:t>
      </w:r>
      <w:r w:rsidR="00A72C4D" w:rsidRPr="00A72C4D">
        <w:t xml:space="preserve"> community well-being</w:t>
      </w:r>
      <w:r w:rsidR="00A72C4D">
        <w:t xml:space="preserve">; </w:t>
      </w:r>
      <w:r w:rsidR="00A72C4D" w:rsidRPr="00A72C4D">
        <w:rPr>
          <w:noProof/>
        </w:rPr>
        <w:t>sustainable manner</w:t>
      </w:r>
      <w:r w:rsidR="00A72C4D">
        <w:rPr>
          <w:noProof/>
        </w:rPr>
        <w:t>;</w:t>
      </w:r>
      <w:r>
        <w:rPr>
          <w:noProof/>
        </w:rPr>
        <w:t xml:space="preserve"> Indonesia</w:t>
      </w:r>
    </w:p>
    <w:p w14:paraId="10D42517" w14:textId="77777777" w:rsidR="003758D3" w:rsidRDefault="003758D3">
      <w:pPr>
        <w:rPr>
          <w:noProof/>
        </w:rPr>
      </w:pPr>
    </w:p>
    <w:p w14:paraId="15449428" w14:textId="751D93A9" w:rsidR="00235CA5" w:rsidRPr="00235CA5" w:rsidRDefault="00687B7E" w:rsidP="00235CA5">
      <w:pPr>
        <w:pStyle w:val="ListParagraph"/>
        <w:numPr>
          <w:ilvl w:val="0"/>
          <w:numId w:val="1"/>
        </w:numPr>
        <w:ind w:left="426"/>
        <w:rPr>
          <w:b/>
          <w:bCs/>
          <w:noProof/>
        </w:rPr>
      </w:pPr>
      <w:r>
        <w:rPr>
          <w:b/>
          <w:bCs/>
          <w:noProof/>
        </w:rPr>
        <w:t>Introduction</w:t>
      </w:r>
    </w:p>
    <w:p w14:paraId="60546783" w14:textId="01D3395E" w:rsidR="0018521D" w:rsidRDefault="00687B7E" w:rsidP="0018521D">
      <w:pPr>
        <w:ind w:left="426"/>
        <w:jc w:val="both"/>
        <w:rPr>
          <w:noProof/>
        </w:rPr>
      </w:pPr>
      <w:r w:rsidRPr="00687B7E">
        <w:rPr>
          <w:noProof/>
        </w:rPr>
        <w:t>Natural disasters are a major source of shocks that directly impact people's well-being. In many regions, disasters not only cause physical damage and economic losses but also create ongoing uncertainty in household life</w:t>
      </w:r>
      <w:r w:rsidR="004765BD">
        <w:rPr>
          <w:noProof/>
        </w:rPr>
        <w:t xml:space="preserve"> </w:t>
      </w:r>
      <w:r w:rsidR="004765BD" w:rsidRPr="004765BD">
        <w:rPr>
          <w:noProof/>
          <w:color w:val="0070C0"/>
        </w:rPr>
        <w:fldChar w:fldCharType="begin" w:fldLock="1"/>
      </w:r>
      <w:r w:rsidR="004765BD">
        <w:rPr>
          <w:noProof/>
          <w:color w:val="0070C0"/>
        </w:rPr>
        <w:instrText>ADDIN CSL_CITATION {"citationItems":[{"id":"ITEM-1","itemData":{"ISSN":"0264-2751","author":[{"dropping-particle":"","family":"Guo","given":"Xiaona","non-dropping-particle":"","parse-names":false,"suffix":""},{"dropping-particle":"","family":"Cheng","given":"Jie","non-dropping-particle":"","parse-names":false,"suffix":""},{"dropping-particle":"","family":"Yin","given":"Chenglong","non-dropping-particle":"","parse-names":false,"suffix":""},{"dropping-particle":"","family":"Li","given":"Qiang","non-dropping-particle":"","parse-names":false,"suffix":""},{"dropping-particle":"","family":"Chen","given":"Ruishan","non-dropping-particle":"","parse-names":false,"suffix":""},{"dropping-particle":"","family":"Fang","given":"Jiayi","non-dropping-particle":"","parse-names":false,"suffix":""}],"container-title":"Cities","id":"ITEM-1","issued":{"date-parts":[["2023"]]},"page":"104168","publisher":"Elsevier","title":"The extraordinary Zhengzhou flood of 7/20, 2021: How extreme weather and human response compounding to the disaster","type":"article-journal","volume":"134"},"uris":["http://www.mendeley.com/documents/?uuid=973a572f-9548-40b6-b088-4ece2d17b434"]},{"id":"ITEM-2","itemData":{"ISSN":"2212-4209","author":[{"dropping-particle":"","family":"Ahmad","given":"Mokbul Morshed","non-dropping-particle":"","parse-names":false,"suffix":""},{"dropping-particle":"","family":"Yaseen","given":"Muhammad","non-dropping-particle":"","parse-names":false,"suffix":""},{"dropping-particle":"","family":"Saqib","given":"Shahab E","non-dropping-particle":"","parse-names":false,"suffix":""}],"container-title":"International Journal of Disaster Risk Reduction","id":"ITEM-2","issued":{"date-parts":[["2022"]]},"page":"103210","publisher":"Elsevier","title":"Climate change impacts of drought on the livelihood of dryland smallholders: Implications of adaptation challenges","type":"article-journal","volume":"80"},"uris":["http://www.mendeley.com/documents/?uuid=e2ff789e-43b9-47e7-8eb8-d308b8edae3a"]},{"id":"ITEM-3","itemData":{"ISSN":"0066-4308","author":[{"dropping-particle":"","family":"Bonanno","given":"George A","non-dropping-particle":"","parse-names":false,"suffix":""},{"dropping-particle":"","family":"Chen","given":"Shuquan","non-dropping-particle":"","parse-names":false,"suffix":""},{"dropping-particle":"","family":"Bagrodia","given":"Rohini","non-dropping-particle":"","parse-names":false,"suffix":""},{"dropping-particle":"","family":"Galatzer-Levy","given":"Isaac R","non-dropping-particle":"","parse-names":false,"suffix":""}],"container-title":"Annual review of psychology","id":"ITEM-3","issue":"1","issued":{"date-parts":[["2024"]]},"page":"573-599","publisher":"Annual Reviews","title":"Resilience and disaster: flexible adaptation in the face of uncertain threat","type":"article-journal","volume":"75"},"uris":["http://www.mendeley.com/documents/?uuid=ed1776b6-4c14-4160-8c1b-1cb24df6698d"]}],"mendeley":{"formattedCitation":"(Ahmad et al., 2022; Bonanno et al., 2024; Guo et al., 2023)","plainTextFormattedCitation":"(Ahmad et al., 2022; Bonanno et al., 2024; Guo et al., 2023)","previouslyFormattedCitation":"(Ahmad et al., 2022; Bonanno et al., 2024; Guo et al., 2023)"},"properties":{"noteIndex":0},"schema":"https://github.com/citation-style-language/schema/raw/master/csl-citation.json"}</w:instrText>
      </w:r>
      <w:r w:rsidR="004765BD" w:rsidRPr="004765BD">
        <w:rPr>
          <w:noProof/>
          <w:color w:val="0070C0"/>
        </w:rPr>
        <w:fldChar w:fldCharType="separate"/>
      </w:r>
      <w:r w:rsidR="004765BD" w:rsidRPr="004765BD">
        <w:rPr>
          <w:noProof/>
          <w:color w:val="0070C0"/>
        </w:rPr>
        <w:t>(Ahmad et al., 2022; Bonanno et al., 2024; Guo et al., 2023)</w:t>
      </w:r>
      <w:r w:rsidR="004765BD" w:rsidRPr="004765BD">
        <w:rPr>
          <w:noProof/>
          <w:color w:val="0070C0"/>
        </w:rPr>
        <w:fldChar w:fldCharType="end"/>
      </w:r>
      <w:r w:rsidR="0018521D">
        <w:rPr>
          <w:noProof/>
        </w:rPr>
        <w:t xml:space="preserve">. </w:t>
      </w:r>
      <w:r w:rsidRPr="00687B7E">
        <w:rPr>
          <w:noProof/>
        </w:rPr>
        <w:t>These impacts make disasters an important factor in determining the quality of life of people, especially in vulnerable areas and those experiencing repeated disasters.</w:t>
      </w:r>
    </w:p>
    <w:p w14:paraId="151CA8E2" w14:textId="62550A72" w:rsidR="0018521D" w:rsidRDefault="00687B7E" w:rsidP="0018521D">
      <w:pPr>
        <w:ind w:left="426"/>
        <w:jc w:val="both"/>
        <w:rPr>
          <w:noProof/>
        </w:rPr>
      </w:pPr>
      <w:r w:rsidRPr="00687B7E">
        <w:rPr>
          <w:noProof/>
        </w:rPr>
        <w:t>In the context of well-being, the impact of disasters is often analyzed through objective indicators such as income loss, asset damage, or increased poverty levels</w:t>
      </w:r>
      <w:r w:rsidR="003215A2">
        <w:rPr>
          <w:noProof/>
        </w:rPr>
        <w:t xml:space="preserve"> </w:t>
      </w:r>
      <w:r w:rsidR="003215A2" w:rsidRPr="003215A2">
        <w:rPr>
          <w:noProof/>
          <w:color w:val="0070C0"/>
          <w:highlight w:val="yellow"/>
        </w:rPr>
        <w:fldChar w:fldCharType="begin" w:fldLock="1"/>
      </w:r>
      <w:r w:rsidR="003215A2">
        <w:rPr>
          <w:noProof/>
          <w:color w:val="0070C0"/>
          <w:highlight w:val="yellow"/>
        </w:rPr>
        <w:instrText>ADDIN CSL_CITATION {"citationItems":[{"id":"ITEM-1","itemData":{"ISSN":"2071-1050","author":[{"dropping-particle":"","family":"Rahman","given":"Moh Shadiqur","non-dropping-particle":"","parse-names":false,"suffix":""},{"dropping-particle":"","family":"Andriatmoko","given":"Novil Dedy","non-dropping-particle":"","parse-names":false,"suffix":""},{"dropping-particle":"","family":"Saeri","given":"Moh","non-dropping-particle":"","parse-names":false,"suffix":""},{"dropping-particle":"","family":"Subagio","given":"Herman","non-dropping-particle":"","parse-names":false,"suffix":""},{"dropping-particle":"","family":"Malik","given":"Afrizal","non-dropping-particle":"","parse-names":false,"suffix":""},{"dropping-particle":"","family":"Triastono","given":"Joko","non-dropping-particle":"","parse-names":false,"suffix":""},{"dropping-particle":"","family":"Oelviani","given":"Renie","non-dropping-particle":"","parse-names":false,"suffix":""},{"dropping-particle":"","family":"Kilmanun","given":"Juliana C","non-dropping-particle":"","parse-names":false,"suffix":""},{"dropping-particle":"","family":"Silva","given":"Helena","non-dropping-particle":"da","parse-names":false,"suffix":""},{"dropping-particle":"","family":"Pesireron","given":"Marietje","non-dropping-particle":"","parse-names":false,"suffix":""}],"container-title":"Sustainability","id":"ITEM-1","issue":"6","issued":{"date-parts":[["2022"]]},"page":"3383","publisher":"MDPI","title":"Climate disasters and subjective well-being among urban and rural residents in Indonesia","type":"article-journal","volume":"14"},"uris":["http://www.mendeley.com/documents/?uuid=9ec2f360-e2de-4d71-80c1-50e9507443af"]},{"id":"ITEM-2","itemData":{"ISSN":"0975-4253","author":[{"dropping-particle":"","family":"Tiwari","given":"Piyush","non-dropping-particle":"","parse-names":false,"suffix":""},{"dropping-particle":"","family":"Shukla","given":"Jyoti","non-dropping-particle":"","parse-names":false,"suffix":""}],"container-title":"Environment and Urbanization ASIA","id":"ITEM-2","issue":"2","issued":{"date-parts":[["2022"]]},"page":"323-332","publisher":"SAGE Publications Sage India: New Delhi, India","title":"Post-disaster reconstruction, well-being and sustainable development goals: A conceptual framework","type":"article-journal","volume":"13"},"uris":["http://www.mendeley.com/documents/?uuid=976ab08f-5ad2-4d9f-bffc-5b200d434178"]},{"id":"ITEM-3","itemData":{"ISSN":"2772-655X","author":[{"dropping-particle":"","family":"Friberg","given":"John","non-dropping-particle":"","parse-names":false,"suffix":""}],"container-title":"World Development Sustainability","id":"ITEM-3","issued":{"date-parts":[["2022"]]},"page":"100022","publisher":"Elsevier","title":"When the poor lose even more: A framework of normalized measures for disaster impacts and household economic vulnerability","type":"article-journal","volume":"1"},"uris":["http://www.mendeley.com/documents/?uuid=61a621f6-c546-4c5c-9172-9f92606fc1bc"]},{"id":"ITEM-4","itemData":{"author":[{"dropping-particle":"","family":"Sunarti","given":"Euis","non-dropping-particle":"","parse-names":false,"suffix":""},{"dropping-particle":"","family":"Johan","given":"Irni Rahmayani","non-dropping-particle":"","parse-names":false,"suffix":""},{"dropping-particle":"","family":"Rosullih","given":"Mullina","non-dropping-particle":"","parse-names":false,"suffix":""},{"dropping-particle":"","family":"Sholikhah","given":"Nur Faizatus","non-dropping-particle":"","parse-names":false,"suffix":""}],"container-title":"Pakistan Journal of Humanities and Social Sciences","id":"ITEM-4","issue":"3","issued":{"date-parts":[["2022"]]},"page":"968-977","title":"Factors affecting family welfare of Garut-Indonesia flash flood survivors: A case study of impact disaster on SDGs","type":"article-journal","volume":"10"},"uris":["http://www.mendeley.com/documents/?uuid=acb6cdc2-e02f-475f-b19a-7ba44241ef1d"]}],"mendeley":{"formattedCitation":"(Friberg, 2022; Rahman et al., 2022; Sunarti et al., 2022; Tiwari &amp; Shukla, 2022)","plainTextFormattedCitation":"(Friberg, 2022; Rahman et al., 2022; Sunarti et al., 2022; Tiwari &amp; Shukla, 2022)","previouslyFormattedCitation":"(Friberg, 2022; Rahman et al., 2022; Tiwari &amp; Shukla, 2022)"},"properties":{"noteIndex":0},"schema":"https://github.com/citation-style-language/schema/raw/master/csl-citation.json"}</w:instrText>
      </w:r>
      <w:r w:rsidR="003215A2" w:rsidRPr="003215A2">
        <w:rPr>
          <w:noProof/>
          <w:color w:val="0070C0"/>
          <w:highlight w:val="yellow"/>
        </w:rPr>
        <w:fldChar w:fldCharType="separate"/>
      </w:r>
      <w:r w:rsidR="003215A2" w:rsidRPr="003215A2">
        <w:rPr>
          <w:noProof/>
          <w:color w:val="0070C0"/>
          <w:highlight w:val="yellow"/>
        </w:rPr>
        <w:t>(Friberg, 2022; Rahman et al., 2022; Sunarti et al., 2022; Tiwari &amp; Shukla, 2022)</w:t>
      </w:r>
      <w:r w:rsidR="003215A2" w:rsidRPr="003215A2">
        <w:rPr>
          <w:noProof/>
          <w:color w:val="0070C0"/>
          <w:highlight w:val="yellow"/>
        </w:rPr>
        <w:fldChar w:fldCharType="end"/>
      </w:r>
      <w:r w:rsidRPr="00687B7E">
        <w:rPr>
          <w:noProof/>
        </w:rPr>
        <w:t>. However, this approach does not fully reflect how households actually experience and assess the impact of disasters in their daily lives. Community well-being also encompasses a subjective dimension, namely how individuals assess their life satisfaction and how they view future life prospects. This dimension is important because it reflects the psychological state, sense of security, and expectations of households, which are not always reflected in conventional economic indicators.</w:t>
      </w:r>
    </w:p>
    <w:p w14:paraId="7A7A1925" w14:textId="443F13B0" w:rsidR="0018521D" w:rsidRDefault="00687B7E" w:rsidP="0018521D">
      <w:pPr>
        <w:ind w:left="426"/>
        <w:jc w:val="both"/>
        <w:rPr>
          <w:noProof/>
        </w:rPr>
      </w:pPr>
      <w:r w:rsidRPr="00687B7E">
        <w:rPr>
          <w:noProof/>
        </w:rPr>
        <w:t>Disasters, especially those that occur repeatedly, have the potential to reduce the subjective well-being of households</w:t>
      </w:r>
      <w:r w:rsidR="004765BD">
        <w:rPr>
          <w:noProof/>
        </w:rPr>
        <w:t xml:space="preserve"> </w:t>
      </w:r>
      <w:r w:rsidR="004765BD" w:rsidRPr="004765BD">
        <w:rPr>
          <w:noProof/>
          <w:color w:val="0070C0"/>
        </w:rPr>
        <w:fldChar w:fldCharType="begin" w:fldLock="1"/>
      </w:r>
      <w:r w:rsidR="00CD3858">
        <w:rPr>
          <w:noProof/>
          <w:color w:val="0070C0"/>
        </w:rPr>
        <w:instrText>ADDIN CSL_CITATION {"citationItems":[{"id":"ITEM-1","itemData":{"ISSN":"2296-701X","author":[{"dropping-particle":"","family":"Huang","given":"Lei","non-dropping-particle":"","parse-names":false,"suffix":""}],"container-title":"Frontiers in Ecology and Evolution","id":"ITEM-1","issued":{"date-parts":[["2022"]]},"page":"898557","publisher":"Frontiers Media SA","title":"Effect of natural hazards on the income and sense of subjective well-being of rural residents: evidence from rural China","type":"article-journal","volume":"10"},"uris":["http://www.mendeley.com/documents/?uuid=016ff41b-1d72-43a9-b385-ebbbee7e332f"]},{"id":"ITEM-2","itemData":{"ISSN":"0924-6460","author":[{"dropping-particle":"","family":"Gunby","given":"Nicholas","non-dropping-particle":"","parse-names":false,"suffix":""},{"dropping-particle":"","family":"Coupé","given":"Tom","non-dropping-particle":"","parse-names":false,"suffix":""}],"container-title":"Environmental and Resource Economics","id":"ITEM-2","issue":"2","issued":{"date-parts":[["2023"]]},"page":"409-438","publisher":"Springer","title":"Weather-related home damage and subjective well-being","type":"article-journal","volume":"84"},"uris":["http://www.mendeley.com/documents/?uuid=c2aa36ba-7ffc-40e3-812a-a2ce4e2bbc81"]},{"id":"ITEM-3","itemData":{"author":[{"dropping-particle":"","family":"Bhadra","given":"Subhasis","non-dropping-particle":"","parse-names":false,"suffix":""},{"dropping-particle":"","family":"Dyer","given":"Allen R","non-dropping-particle":"","parse-names":false,"suffix":""}],"container-title":"Handbook of health and well-being: Challenges, strategies and future trends","id":"ITEM-3","issued":{"date-parts":[["2022"]]},"page":"637-667","publisher":"Springer","title":"Resilience and well-being among the survivors of natural disasters and conflicts","type":"chapter"},"uris":["http://www.mendeley.com/documents/?uuid=7399d192-1970-4b7c-9ae5-09b6b756d6eb"]}],"mendeley":{"formattedCitation":"(Bhadra &amp; Dyer, 2022; Gunby &amp; Coupé, 2023; Huang, 2022)","plainTextFormattedCitation":"(Bhadra &amp; Dyer, 2022; Gunby &amp; Coupé, 2023; Huang, 2022)","previouslyFormattedCitation":"(Bhadra &amp; Dyer, 2022; Gunby &amp; Coupé, 2023; Huang, 2022)"},"properties":{"noteIndex":0},"schema":"https://github.com/citation-style-language/schema/raw/master/csl-citation.json"}</w:instrText>
      </w:r>
      <w:r w:rsidR="004765BD" w:rsidRPr="004765BD">
        <w:rPr>
          <w:noProof/>
          <w:color w:val="0070C0"/>
        </w:rPr>
        <w:fldChar w:fldCharType="separate"/>
      </w:r>
      <w:r w:rsidR="00CD3858" w:rsidRPr="00CD3858">
        <w:rPr>
          <w:noProof/>
          <w:color w:val="0070C0"/>
        </w:rPr>
        <w:t>(Bhadra &amp; Dyer, 2022; Gunby &amp; Coupé, 2023; Huang, 2022)</w:t>
      </w:r>
      <w:r w:rsidR="004765BD" w:rsidRPr="004765BD">
        <w:rPr>
          <w:noProof/>
          <w:color w:val="0070C0"/>
        </w:rPr>
        <w:fldChar w:fldCharType="end"/>
      </w:r>
      <w:r w:rsidR="0018521D">
        <w:rPr>
          <w:noProof/>
        </w:rPr>
        <w:t xml:space="preserve">. </w:t>
      </w:r>
      <w:r w:rsidRPr="00687B7E">
        <w:rPr>
          <w:noProof/>
        </w:rPr>
        <w:t xml:space="preserve">The damage and </w:t>
      </w:r>
      <w:r w:rsidRPr="00687B7E">
        <w:rPr>
          <w:noProof/>
        </w:rPr>
        <w:lastRenderedPageBreak/>
        <w:t>loss experienced can reduce satisfaction with current living conditions, while the uncertainty created by future disaster risks can undermine medium- to long-term optimism and hope</w:t>
      </w:r>
      <w:r w:rsidR="00CD3858">
        <w:rPr>
          <w:noProof/>
        </w:rPr>
        <w:t xml:space="preserve"> </w:t>
      </w:r>
      <w:r w:rsidR="00CD3858" w:rsidRPr="00CD3858">
        <w:rPr>
          <w:noProof/>
          <w:color w:val="0070C0"/>
        </w:rPr>
        <w:fldChar w:fldCharType="begin" w:fldLock="1"/>
      </w:r>
      <w:r w:rsidR="00CD3858">
        <w:rPr>
          <w:noProof/>
          <w:color w:val="0070C0"/>
        </w:rPr>
        <w:instrText>ADDIN CSL_CITATION {"citationItems":[{"id":"ITEM-1","itemData":{"author":[{"dropping-particle":"","family":"Buheji","given":"Mohamed","non-dropping-particle":"","parse-names":false,"suffix":""},{"dropping-particle":"","family":"Mushimiyimana","given":"Emmanuel","non-dropping-particle":"","parse-names":false,"suffix":""}],"container-title":"International Journal of Management (IJM)","id":"ITEM-1","issue":"1","issued":{"date-parts":[["2024"]]},"title":"LIVE’AN ASSESSMENT OF CURRENT SCENARIOS &amp; FORESIGHTED FUTURE","type":"article-journal","volume":"15"},"uris":["http://www.mendeley.com/documents/?uuid=c50980ab-ebb5-417d-a6af-8ac0f9da6d59"]},{"id":"ITEM-2","itemData":{"ISSN":"0092-0703","author":[{"dropping-particle":"","family":"Mende","given":"Martin","non-dropping-particle":"","parse-names":false,"suffix":""},{"dropping-particle":"","family":"Bradford","given":"Tonya Williams","non-dropping-particle":"","parse-names":false,"suffix":""},{"dropping-particle":"","family":"Roggeveen","given":"Anne L","non-dropping-particle":"","parse-names":false,"suffix":""},{"dropping-particle":"","family":"Scott","given":"Maura L","non-dropping-particle":"","parse-names":false,"suffix":""},{"dropping-particle":"","family":"Zavala","given":"Mariella","non-dropping-particle":"","parse-names":false,"suffix":""}],"container-title":"Journal of the Academy of Marketing Science","id":"ITEM-2","issue":"5","issued":{"date-parts":[["2024"]]},"page":"1301-1322","publisher":"Springer","title":"Consumer vulnerability dynamics and marketing: Conceptual foundations and future research opportunities","type":"article-journal","volume":"52"},"uris":["http://www.mendeley.com/documents/?uuid=22aeea09-e339-40a1-b87e-c2c21982b164"]}],"mendeley":{"formattedCitation":"(Buheji &amp; Mushimiyimana, 2024; Mende et al., 2024)","plainTextFormattedCitation":"(Buheji &amp; Mushimiyimana, 2024; Mende et al., 2024)","previouslyFormattedCitation":"(Buheji &amp; Mushimiyimana, 2024; Mende et al., 2024)"},"properties":{"noteIndex":0},"schema":"https://github.com/citation-style-language/schema/raw/master/csl-citation.json"}</w:instrText>
      </w:r>
      <w:r w:rsidR="00CD3858" w:rsidRPr="00CD3858">
        <w:rPr>
          <w:noProof/>
          <w:color w:val="0070C0"/>
        </w:rPr>
        <w:fldChar w:fldCharType="separate"/>
      </w:r>
      <w:r w:rsidR="00CD3858" w:rsidRPr="00CD3858">
        <w:rPr>
          <w:noProof/>
          <w:color w:val="0070C0"/>
        </w:rPr>
        <w:t>(Buheji &amp; Mushimiyimana, 2024; Mende et al., 2024)</w:t>
      </w:r>
      <w:r w:rsidR="00CD3858" w:rsidRPr="00CD3858">
        <w:rPr>
          <w:noProof/>
          <w:color w:val="0070C0"/>
        </w:rPr>
        <w:fldChar w:fldCharType="end"/>
      </w:r>
      <w:r w:rsidR="0018521D">
        <w:rPr>
          <w:noProof/>
        </w:rPr>
        <w:t xml:space="preserve">. </w:t>
      </w:r>
      <w:r w:rsidRPr="00687B7E">
        <w:rPr>
          <w:noProof/>
        </w:rPr>
        <w:t>Thus, disasters not only impact actual well-being, but also shape household perceptions and expectations of future life.</w:t>
      </w:r>
    </w:p>
    <w:p w14:paraId="28B0F647" w14:textId="78C26C45" w:rsidR="0018521D" w:rsidRDefault="00687B7E" w:rsidP="0018521D">
      <w:pPr>
        <w:ind w:left="426"/>
        <w:jc w:val="both"/>
        <w:rPr>
          <w:noProof/>
        </w:rPr>
      </w:pPr>
      <w:r w:rsidRPr="00687B7E">
        <w:rPr>
          <w:noProof/>
        </w:rPr>
        <w:t>Despite their importance, empirical studies specifically linking disaster frequency to community well-being are relatively limited. Most studies view disasters as temporary events with short-term impacts, while the cumulative effects of repeated disaster exposure on household well-being remain underexplored. Yet, repeated exposure can create ongoing stress that has the potential to systematically erode well-being.</w:t>
      </w:r>
    </w:p>
    <w:p w14:paraId="78AA8D86" w14:textId="4115E967" w:rsidR="00235CA5" w:rsidRDefault="00687B7E" w:rsidP="0018521D">
      <w:pPr>
        <w:ind w:left="426"/>
        <w:jc w:val="both"/>
        <w:rPr>
          <w:noProof/>
        </w:rPr>
      </w:pPr>
      <w:r w:rsidRPr="00687B7E">
        <w:rPr>
          <w:noProof/>
        </w:rPr>
        <w:t>This study aims to analyze the impact of disasters on community well-being, focusing on the frequency of disasters experienced by households. Well-being is measured using two main indicators: life satisfaction and expectations of living conditions in the next five years. With this approach, the study assesses not only the impact of disasters on current well-being but also on households' perspectives on their future.</w:t>
      </w:r>
    </w:p>
    <w:p w14:paraId="4F6E8F59" w14:textId="107D6B04" w:rsidR="00235CA5" w:rsidRPr="00235CA5" w:rsidRDefault="00235CA5" w:rsidP="00235CA5">
      <w:pPr>
        <w:pStyle w:val="ListParagraph"/>
        <w:numPr>
          <w:ilvl w:val="0"/>
          <w:numId w:val="1"/>
        </w:numPr>
        <w:ind w:left="426"/>
        <w:rPr>
          <w:b/>
          <w:bCs/>
          <w:noProof/>
        </w:rPr>
      </w:pPr>
      <w:r>
        <w:rPr>
          <w:b/>
          <w:bCs/>
          <w:noProof/>
        </w:rPr>
        <w:t>Data an</w:t>
      </w:r>
      <w:r w:rsidR="00687B7E">
        <w:rPr>
          <w:b/>
          <w:bCs/>
          <w:noProof/>
        </w:rPr>
        <w:t>d</w:t>
      </w:r>
      <w:r>
        <w:rPr>
          <w:b/>
          <w:bCs/>
          <w:noProof/>
        </w:rPr>
        <w:t xml:space="preserve"> Met</w:t>
      </w:r>
      <w:r w:rsidR="00687B7E">
        <w:rPr>
          <w:b/>
          <w:bCs/>
          <w:noProof/>
        </w:rPr>
        <w:t>hod</w:t>
      </w:r>
    </w:p>
    <w:p w14:paraId="50CC0F3B" w14:textId="62A26BED" w:rsidR="0018521D" w:rsidRDefault="00687B7E" w:rsidP="0018521D">
      <w:pPr>
        <w:ind w:left="426"/>
        <w:jc w:val="both"/>
        <w:rPr>
          <w:noProof/>
        </w:rPr>
      </w:pPr>
      <w:r w:rsidRPr="00687B7E">
        <w:rPr>
          <w:noProof/>
        </w:rPr>
        <w:t>This study uses household data containing information on disaster experiences and subjective well-being indicators, sourced from the Indonesia Family Life Survey (IFLS 5). The unit of analysis in this study is the household, with a coverage area representing varying levels of disaster exposure. The data used includes the frequency of disaster events experienced by households over a specific period, as well as well-being assessments based on respondents' perceptions.</w:t>
      </w:r>
    </w:p>
    <w:p w14:paraId="38133809" w14:textId="3AED53E4" w:rsidR="00235CA5" w:rsidRDefault="00687B7E" w:rsidP="0018521D">
      <w:pPr>
        <w:ind w:left="426"/>
        <w:jc w:val="both"/>
        <w:rPr>
          <w:noProof/>
        </w:rPr>
      </w:pPr>
      <w:r w:rsidRPr="00687B7E">
        <w:rPr>
          <w:noProof/>
        </w:rPr>
        <w:t>The welfare indicators analyzed encompass two main dimensions. First, household life satisfaction, which reflects subjective assessments of current living conditions. Second, expectations about living conditions in the next five years, which reflect households' views of their future well-being prospects. The primary variable of interest in this study is disaster frequency. This variable measures how often a household experiences a disaster during the observation period, allowing for analysis of the cumulative impact of repeated disaster exposure.</w:t>
      </w:r>
      <w:r w:rsidR="0018521D">
        <w:rPr>
          <w:noProof/>
        </w:rPr>
        <w:t xml:space="preserve"> </w:t>
      </w:r>
    </w:p>
    <w:p w14:paraId="36D39E03" w14:textId="62CB7B6E" w:rsidR="0018521D" w:rsidRDefault="00687B7E" w:rsidP="0018521D">
      <w:pPr>
        <w:ind w:left="426"/>
        <w:jc w:val="both"/>
        <w:rPr>
          <w:noProof/>
        </w:rPr>
      </w:pPr>
      <w:r w:rsidRPr="00687B7E">
        <w:rPr>
          <w:noProof/>
        </w:rPr>
        <w:t>This study uses regression and descriptive analysis to estimate the relationship between disaster frequency and household well-being. In general, the approach aims to identify the effect of disaster frequency on subjective well-being indicators, controlling for relevant household characteristics. The model specification is designed to capture variations in well-being across households with varying levels of disaster exposure.</w:t>
      </w:r>
    </w:p>
    <w:p w14:paraId="6DE729B1" w14:textId="1474649E" w:rsidR="0018521D" w:rsidRDefault="00687B7E" w:rsidP="0018521D">
      <w:pPr>
        <w:ind w:left="426"/>
        <w:jc w:val="both"/>
        <w:rPr>
          <w:noProof/>
        </w:rPr>
      </w:pPr>
      <w:r w:rsidRPr="00687B7E">
        <w:rPr>
          <w:noProof/>
        </w:rPr>
        <w:t>Disaster frequency is included as an independent variable. The coefficient of this variable is interpreted as the average change in well-being associated with an increase in the frequency of disaster events. To minimize potential bias, the model also controls for various household characteristics that may influence well-being, such as socioeconomic conditions and demographic characteristics. Thus, the estimated relationship reflects the impact of disasters on well-being after accounting for differences in baseline characteristics across households.</w:t>
      </w:r>
    </w:p>
    <w:p w14:paraId="4336E891" w14:textId="662B2A96" w:rsidR="0018521D" w:rsidRDefault="00687B7E" w:rsidP="0018521D">
      <w:pPr>
        <w:ind w:left="426"/>
        <w:jc w:val="both"/>
        <w:rPr>
          <w:noProof/>
        </w:rPr>
      </w:pPr>
      <w:r w:rsidRPr="00687B7E">
        <w:rPr>
          <w:noProof/>
        </w:rPr>
        <w:t>The analysis focused on the significance and direction of the relationship between disaster frequency and household well-being. This approach allows conclusions to be drawn about whether more frequent disaster exposure is associated with decreased life satisfaction and weakened expectations of future well-being. All empirical results were then interpreted within a societal well-being framework.</w:t>
      </w:r>
    </w:p>
    <w:p w14:paraId="2ECFE60C" w14:textId="77777777" w:rsidR="003215A2" w:rsidRDefault="003215A2" w:rsidP="0018521D">
      <w:pPr>
        <w:ind w:left="426"/>
        <w:jc w:val="both"/>
        <w:rPr>
          <w:noProof/>
        </w:rPr>
      </w:pPr>
    </w:p>
    <w:p w14:paraId="70FDDDC3" w14:textId="77777777" w:rsidR="003215A2" w:rsidRDefault="003215A2" w:rsidP="0018521D">
      <w:pPr>
        <w:ind w:left="426"/>
        <w:jc w:val="both"/>
        <w:rPr>
          <w:noProof/>
        </w:rPr>
      </w:pPr>
    </w:p>
    <w:p w14:paraId="4EA91ACB" w14:textId="75A57570" w:rsidR="00235CA5" w:rsidRPr="003215A2" w:rsidRDefault="00687B7E" w:rsidP="00727E96">
      <w:pPr>
        <w:pStyle w:val="ListParagraph"/>
        <w:numPr>
          <w:ilvl w:val="0"/>
          <w:numId w:val="1"/>
        </w:numPr>
        <w:ind w:left="426"/>
        <w:jc w:val="both"/>
        <w:rPr>
          <w:b/>
          <w:bCs/>
          <w:noProof/>
          <w:highlight w:val="yellow"/>
        </w:rPr>
      </w:pPr>
      <w:r w:rsidRPr="003215A2">
        <w:rPr>
          <w:b/>
          <w:bCs/>
          <w:noProof/>
          <w:highlight w:val="yellow"/>
        </w:rPr>
        <w:t>Result</w:t>
      </w:r>
      <w:r w:rsidR="00235CA5" w:rsidRPr="003215A2">
        <w:rPr>
          <w:b/>
          <w:bCs/>
          <w:noProof/>
          <w:highlight w:val="yellow"/>
        </w:rPr>
        <w:t xml:space="preserve"> </w:t>
      </w:r>
      <w:r w:rsidRPr="003215A2">
        <w:rPr>
          <w:b/>
          <w:bCs/>
          <w:noProof/>
          <w:highlight w:val="yellow"/>
        </w:rPr>
        <w:t>and</w:t>
      </w:r>
      <w:r w:rsidR="00235CA5" w:rsidRPr="003215A2">
        <w:rPr>
          <w:b/>
          <w:bCs/>
          <w:noProof/>
          <w:highlight w:val="yellow"/>
        </w:rPr>
        <w:t xml:space="preserve"> </w:t>
      </w:r>
      <w:r w:rsidRPr="003215A2">
        <w:rPr>
          <w:b/>
          <w:bCs/>
          <w:noProof/>
          <w:highlight w:val="yellow"/>
        </w:rPr>
        <w:t>Discus</w:t>
      </w:r>
      <w:r w:rsidR="003215A2" w:rsidRPr="003215A2">
        <w:rPr>
          <w:b/>
          <w:bCs/>
          <w:noProof/>
          <w:highlight w:val="yellow"/>
        </w:rPr>
        <w:t>s</w:t>
      </w:r>
      <w:r w:rsidRPr="003215A2">
        <w:rPr>
          <w:b/>
          <w:bCs/>
          <w:noProof/>
          <w:highlight w:val="yellow"/>
        </w:rPr>
        <w:t>ion</w:t>
      </w:r>
    </w:p>
    <w:p w14:paraId="12BA7EA8" w14:textId="4ADADC5D" w:rsidR="00727E96" w:rsidRDefault="00687B7E" w:rsidP="00727E96">
      <w:pPr>
        <w:ind w:left="426"/>
        <w:jc w:val="both"/>
        <w:rPr>
          <w:noProof/>
        </w:rPr>
      </w:pPr>
      <w:r w:rsidRPr="00687B7E">
        <w:rPr>
          <w:noProof/>
        </w:rPr>
        <w:t>In general, empirical results indicate a consistent and significant relationship between disaster frequency and decreased household well-being. Households experiencing more frequent disasters tend to report lower levels of life satisfaction compared to households with less or no disaster exposure. This finding indicates that disasters act as shocks that directly affect perceived quality of life, beyond their tangible economic impacts.</w:t>
      </w:r>
    </w:p>
    <w:p w14:paraId="7B25AB73" w14:textId="6229E0BE" w:rsidR="00727E96" w:rsidRDefault="00687B7E" w:rsidP="00727E96">
      <w:pPr>
        <w:ind w:left="426"/>
        <w:jc w:val="both"/>
        <w:rPr>
          <w:noProof/>
        </w:rPr>
      </w:pPr>
      <w:r w:rsidRPr="00687B7E">
        <w:rPr>
          <w:noProof/>
        </w:rPr>
        <w:t>In addition to affecting life satisfaction, disaster frequency also negatively impacts household expectations regarding their future living conditions. Households experiencing repeated disasters exhibit lower levels of optimism regarding their living conditions in the next five years. This confirms the intertemporal nature of disaster impacts, where ongoing risk exposure not only reduces current well-being but also erodes hope and a sense of security for the future.</w:t>
      </w:r>
    </w:p>
    <w:p w14:paraId="0540F244" w14:textId="394389B1" w:rsidR="00727E96" w:rsidRDefault="00687B7E" w:rsidP="00727E96">
      <w:pPr>
        <w:ind w:left="426"/>
        <w:jc w:val="both"/>
        <w:rPr>
          <w:noProof/>
        </w:rPr>
      </w:pPr>
      <w:r w:rsidRPr="00687B7E">
        <w:rPr>
          <w:noProof/>
        </w:rPr>
        <w:t>These findings reinforce the argument that disasters cannot be viewed solely as temporary events with short-term effects. Instead, recurring disasters create ongoing stress that has the potential to undermine the resilience of household well-being</w:t>
      </w:r>
      <w:r w:rsidR="00CD3858">
        <w:rPr>
          <w:noProof/>
        </w:rPr>
        <w:t xml:space="preserve"> </w:t>
      </w:r>
      <w:r w:rsidR="00CD3858" w:rsidRPr="00CD3858">
        <w:rPr>
          <w:noProof/>
          <w:color w:val="0070C0"/>
        </w:rPr>
        <w:fldChar w:fldCharType="begin" w:fldLock="1"/>
      </w:r>
      <w:r w:rsidR="00CD3858">
        <w:rPr>
          <w:noProof/>
          <w:color w:val="0070C0"/>
        </w:rPr>
        <w:instrText>ADDIN CSL_CITATION {"citationItems":[{"id":"ITEM-1","itemData":{"ISSN":"0016-9013","author":[{"dropping-particle":"","family":"Strough","given":"JoNell","non-dropping-particle":"","parse-names":false,"suffix":""},{"dropping-particle":"","family":"Parker","given":"Andrew M","non-dropping-particle":"","parse-names":false,"suffix":""},{"dropping-particle":"","family":"Ayer","given":"Lynsay","non-dropping-particle":"","parse-names":false,"suffix":""},{"dropping-particle":"","family":"Parks","given":"Vanessa","non-dropping-particle":"","parse-names":false,"suffix":""},{"dropping-particle":"","family":"Finucane","given":"Melissa L","non-dropping-particle":"","parse-names":false,"suffix":""}],"container-title":"The Gerontologist","id":"ITEM-1","issue":"3","issued":{"date-parts":[["2024"]]},"page":"gnad099","publisher":"Oxford University Press US","title":"Aging and emotional well-being after disasters: Vulnerability and resilience","type":"article-journal","volume":"64"},"uris":["http://www.mendeley.com/documents/?uuid=70123122-6e11-4b0e-96b8-21521f880b1e"]},{"id":"ITEM-2","itemData":{"ISSN":"0959-3780","author":[{"dropping-particle":"","family":"Frijters","given":"Paul","non-dropping-particle":"","parse-names":false,"suffix":""},{"dropping-particle":"","family":"Johnston","given":"David W","non-dropping-particle":"","parse-names":false,"suffix":""},{"dropping-particle":"","family":"Knott","given":"Rachel J","non-dropping-particle":"","parse-names":false,"suffix":""},{"dropping-particle":"","family":"Torgler","given":"Benno","non-dropping-particle":"","parse-names":false,"suffix":""}],"container-title":"Global environmental change","id":"ITEM-2","issued":{"date-parts":[["2023"]]},"page":"102639","publisher":"Elsevier","title":"Resilience to disaster: Evidence from American wellbeing data","type":"article-journal","volume":"79"},"uris":["http://www.mendeley.com/documents/?uuid=b7ecb438-ef0f-4ea1-9c8d-c1325ca2ed79"]}],"mendeley":{"formattedCitation":"(Frijters et al., 2023; Strough et al., 2024)","plainTextFormattedCitation":"(Frijters et al., 2023; Strough et al., 2024)","previouslyFormattedCitation":"(Frijters et al., 2023; Strough et al., 2024)"},"properties":{"noteIndex":0},"schema":"https://github.com/citation-style-language/schema/raw/master/csl-citation.json"}</w:instrText>
      </w:r>
      <w:r w:rsidR="00CD3858" w:rsidRPr="00CD3858">
        <w:rPr>
          <w:noProof/>
          <w:color w:val="0070C0"/>
        </w:rPr>
        <w:fldChar w:fldCharType="separate"/>
      </w:r>
      <w:r w:rsidR="00CD3858" w:rsidRPr="00CD3858">
        <w:rPr>
          <w:noProof/>
          <w:color w:val="0070C0"/>
        </w:rPr>
        <w:t>(Frijters et al., 2023; Strough et al., 2024)</w:t>
      </w:r>
      <w:r w:rsidR="00CD3858" w:rsidRPr="00CD3858">
        <w:rPr>
          <w:noProof/>
          <w:color w:val="0070C0"/>
        </w:rPr>
        <w:fldChar w:fldCharType="end"/>
      </w:r>
      <w:r w:rsidR="00727E96">
        <w:rPr>
          <w:noProof/>
        </w:rPr>
        <w:t xml:space="preserve">. </w:t>
      </w:r>
      <w:r w:rsidRPr="00687B7E">
        <w:rPr>
          <w:noProof/>
        </w:rPr>
        <w:t>Persistent uncertainty, the risk of asset loss, and disruption to the stability of daily life can create persistent negative perceptions, reflected in low life satisfaction and weakened expectations for the future.</w:t>
      </w:r>
    </w:p>
    <w:p w14:paraId="76666917" w14:textId="446F3FEA" w:rsidR="00727E96" w:rsidRDefault="00687B7E" w:rsidP="00727E96">
      <w:pPr>
        <w:ind w:left="426"/>
        <w:jc w:val="both"/>
        <w:rPr>
          <w:noProof/>
        </w:rPr>
      </w:pPr>
      <w:r w:rsidRPr="00687B7E">
        <w:rPr>
          <w:noProof/>
        </w:rPr>
        <w:t>From a societal well-being perspective, these results indicate that disaster impacts extend beyond the material dimension to encompass psychological and perceptual aspects. Decreases in subjective well-being and future expectations have the potential to influence household decisions in the medium to long term, including investment decisions in education, health, and livelihood strategies. Thus, disasters can exacerbate structural vulnerabilities and hinder the process of sustainable well-being recovery.</w:t>
      </w:r>
    </w:p>
    <w:p w14:paraId="4AD80A45" w14:textId="3B99351E" w:rsidR="00727E96" w:rsidRDefault="00B076F7" w:rsidP="00B076F7">
      <w:pPr>
        <w:ind w:left="426"/>
        <w:jc w:val="center"/>
        <w:rPr>
          <w:noProof/>
        </w:rPr>
      </w:pPr>
      <w:r w:rsidRPr="00B076F7">
        <w:rPr>
          <w:b/>
          <w:bCs/>
          <w:noProof/>
        </w:rPr>
        <w:t>Tabl</w:t>
      </w:r>
      <w:r w:rsidR="00687B7E">
        <w:rPr>
          <w:b/>
          <w:bCs/>
          <w:noProof/>
        </w:rPr>
        <w:t>e</w:t>
      </w:r>
      <w:r w:rsidRPr="00B076F7">
        <w:rPr>
          <w:b/>
          <w:bCs/>
          <w:noProof/>
        </w:rPr>
        <w:t xml:space="preserve"> 1.</w:t>
      </w:r>
      <w:r>
        <w:rPr>
          <w:noProof/>
        </w:rPr>
        <w:t xml:space="preserve"> </w:t>
      </w:r>
      <w:r w:rsidR="00687B7E" w:rsidRPr="00687B7E">
        <w:rPr>
          <w:noProof/>
        </w:rPr>
        <w:t>The Influence of Disaster Intensity on the Level of Community Welfare</w:t>
      </w:r>
    </w:p>
    <w:tbl>
      <w:tblPr>
        <w:tblStyle w:val="TableGrid"/>
        <w:tblW w:w="0" w:type="auto"/>
        <w:tblInd w:w="426" w:type="dxa"/>
        <w:tblLook w:val="04A0" w:firstRow="1" w:lastRow="0" w:firstColumn="1" w:lastColumn="0" w:noHBand="0" w:noVBand="1"/>
      </w:tblPr>
      <w:tblGrid>
        <w:gridCol w:w="1270"/>
        <w:gridCol w:w="1263"/>
        <w:gridCol w:w="1262"/>
        <w:gridCol w:w="1192"/>
        <w:gridCol w:w="1233"/>
        <w:gridCol w:w="1185"/>
        <w:gridCol w:w="1185"/>
      </w:tblGrid>
      <w:tr w:rsidR="00727E96" w14:paraId="37CBC373" w14:textId="77777777" w:rsidTr="00727E96">
        <w:tc>
          <w:tcPr>
            <w:tcW w:w="1270" w:type="dxa"/>
            <w:vAlign w:val="center"/>
          </w:tcPr>
          <w:p w14:paraId="7FD51820" w14:textId="7393349E" w:rsidR="00727E96" w:rsidRPr="00727E96" w:rsidRDefault="00727E96" w:rsidP="00727E96">
            <w:pPr>
              <w:jc w:val="center"/>
              <w:rPr>
                <w:b/>
                <w:bCs/>
                <w:noProof/>
              </w:rPr>
            </w:pPr>
            <w:r w:rsidRPr="00727E96">
              <w:rPr>
                <w:b/>
                <w:bCs/>
                <w:noProof/>
              </w:rPr>
              <w:t>Variabl</w:t>
            </w:r>
            <w:r w:rsidR="00687B7E">
              <w:rPr>
                <w:b/>
                <w:bCs/>
                <w:noProof/>
              </w:rPr>
              <w:t>e</w:t>
            </w:r>
          </w:p>
        </w:tc>
        <w:tc>
          <w:tcPr>
            <w:tcW w:w="1263" w:type="dxa"/>
            <w:vAlign w:val="center"/>
          </w:tcPr>
          <w:p w14:paraId="2D0B7B70" w14:textId="0FCBA3FB" w:rsidR="00727E96" w:rsidRPr="00727E96" w:rsidRDefault="00687B7E" w:rsidP="00727E96">
            <w:pPr>
              <w:jc w:val="center"/>
              <w:rPr>
                <w:b/>
                <w:bCs/>
                <w:noProof/>
              </w:rPr>
            </w:pPr>
            <w:r>
              <w:rPr>
                <w:b/>
                <w:bCs/>
                <w:noProof/>
              </w:rPr>
              <w:t>C</w:t>
            </w:r>
            <w:r w:rsidR="00727E96" w:rsidRPr="00727E96">
              <w:rPr>
                <w:b/>
                <w:bCs/>
                <w:noProof/>
              </w:rPr>
              <w:t>oefisien</w:t>
            </w:r>
            <w:r>
              <w:rPr>
                <w:b/>
                <w:bCs/>
                <w:noProof/>
              </w:rPr>
              <w:t>t</w:t>
            </w:r>
          </w:p>
        </w:tc>
        <w:tc>
          <w:tcPr>
            <w:tcW w:w="1262" w:type="dxa"/>
            <w:vAlign w:val="center"/>
          </w:tcPr>
          <w:p w14:paraId="2C8B3C40" w14:textId="51DCB00B" w:rsidR="00727E96" w:rsidRPr="00727E96" w:rsidRDefault="00727E96" w:rsidP="00727E96">
            <w:pPr>
              <w:jc w:val="center"/>
              <w:rPr>
                <w:b/>
                <w:bCs/>
                <w:noProof/>
              </w:rPr>
            </w:pPr>
            <w:r w:rsidRPr="00727E96">
              <w:rPr>
                <w:b/>
                <w:bCs/>
                <w:noProof/>
              </w:rPr>
              <w:t>Robust Standard Error</w:t>
            </w:r>
          </w:p>
        </w:tc>
        <w:tc>
          <w:tcPr>
            <w:tcW w:w="1192" w:type="dxa"/>
            <w:vAlign w:val="center"/>
          </w:tcPr>
          <w:p w14:paraId="74931E71" w14:textId="1A5A7143" w:rsidR="00727E96" w:rsidRPr="00727E96" w:rsidRDefault="00727E96" w:rsidP="00727E96">
            <w:pPr>
              <w:jc w:val="center"/>
              <w:rPr>
                <w:b/>
                <w:bCs/>
                <w:noProof/>
              </w:rPr>
            </w:pPr>
            <w:r w:rsidRPr="00727E96">
              <w:rPr>
                <w:b/>
                <w:bCs/>
                <w:noProof/>
              </w:rPr>
              <w:t>t</w:t>
            </w:r>
          </w:p>
        </w:tc>
        <w:tc>
          <w:tcPr>
            <w:tcW w:w="1233" w:type="dxa"/>
            <w:vAlign w:val="center"/>
          </w:tcPr>
          <w:p w14:paraId="4B03C1EC" w14:textId="66419D7E" w:rsidR="00727E96" w:rsidRPr="00727E96" w:rsidRDefault="00727E96" w:rsidP="00727E96">
            <w:pPr>
              <w:jc w:val="center"/>
              <w:rPr>
                <w:b/>
                <w:bCs/>
                <w:noProof/>
              </w:rPr>
            </w:pPr>
            <w:r w:rsidRPr="00727E96">
              <w:rPr>
                <w:b/>
                <w:bCs/>
                <w:noProof/>
              </w:rPr>
              <w:t>p&gt;|t|</w:t>
            </w:r>
          </w:p>
        </w:tc>
        <w:tc>
          <w:tcPr>
            <w:tcW w:w="2370" w:type="dxa"/>
            <w:gridSpan w:val="2"/>
            <w:vAlign w:val="center"/>
          </w:tcPr>
          <w:p w14:paraId="4DD321FD" w14:textId="08CD310E" w:rsidR="00727E96" w:rsidRPr="00727E96" w:rsidRDefault="00727E96" w:rsidP="00727E96">
            <w:pPr>
              <w:jc w:val="center"/>
              <w:rPr>
                <w:b/>
                <w:bCs/>
                <w:noProof/>
              </w:rPr>
            </w:pPr>
            <w:r w:rsidRPr="00727E96">
              <w:rPr>
                <w:b/>
                <w:bCs/>
                <w:noProof/>
              </w:rPr>
              <w:t>[95% Conf. Interval]</w:t>
            </w:r>
          </w:p>
        </w:tc>
      </w:tr>
      <w:tr w:rsidR="00727E96" w14:paraId="22ED9E1A" w14:textId="77777777" w:rsidTr="00727E96">
        <w:tc>
          <w:tcPr>
            <w:tcW w:w="1270" w:type="dxa"/>
          </w:tcPr>
          <w:p w14:paraId="1F15D2C5" w14:textId="0B0CDFC6" w:rsidR="00727E96" w:rsidRDefault="002A6679" w:rsidP="00235CA5">
            <w:pPr>
              <w:rPr>
                <w:noProof/>
              </w:rPr>
            </w:pPr>
            <w:r w:rsidRPr="002A6679">
              <w:rPr>
                <w:noProof/>
              </w:rPr>
              <w:t>Disaster Intensity</w:t>
            </w:r>
          </w:p>
        </w:tc>
        <w:tc>
          <w:tcPr>
            <w:tcW w:w="1263" w:type="dxa"/>
          </w:tcPr>
          <w:p w14:paraId="234387B1" w14:textId="2D0F7EB9" w:rsidR="00727E96" w:rsidRDefault="00B076F7" w:rsidP="00B076F7">
            <w:pPr>
              <w:jc w:val="right"/>
              <w:rPr>
                <w:noProof/>
              </w:rPr>
            </w:pPr>
            <w:r>
              <w:rPr>
                <w:noProof/>
              </w:rPr>
              <w:t>0.0074664</w:t>
            </w:r>
          </w:p>
        </w:tc>
        <w:tc>
          <w:tcPr>
            <w:tcW w:w="1262" w:type="dxa"/>
          </w:tcPr>
          <w:p w14:paraId="70B946A6" w14:textId="665DBE96" w:rsidR="00727E96" w:rsidRDefault="00B076F7" w:rsidP="00B076F7">
            <w:pPr>
              <w:jc w:val="right"/>
              <w:rPr>
                <w:noProof/>
              </w:rPr>
            </w:pPr>
            <w:r>
              <w:rPr>
                <w:noProof/>
              </w:rPr>
              <w:t>0.0017332</w:t>
            </w:r>
          </w:p>
        </w:tc>
        <w:tc>
          <w:tcPr>
            <w:tcW w:w="1192" w:type="dxa"/>
          </w:tcPr>
          <w:p w14:paraId="0ED834BC" w14:textId="6FF2E3B3" w:rsidR="00727E96" w:rsidRDefault="00B076F7" w:rsidP="00B076F7">
            <w:pPr>
              <w:jc w:val="right"/>
              <w:rPr>
                <w:noProof/>
              </w:rPr>
            </w:pPr>
            <w:r>
              <w:rPr>
                <w:noProof/>
              </w:rPr>
              <w:t>4.31</w:t>
            </w:r>
          </w:p>
        </w:tc>
        <w:tc>
          <w:tcPr>
            <w:tcW w:w="1233" w:type="dxa"/>
          </w:tcPr>
          <w:p w14:paraId="176BCF77" w14:textId="35EC7306" w:rsidR="00727E96" w:rsidRDefault="00B076F7" w:rsidP="00B076F7">
            <w:pPr>
              <w:jc w:val="right"/>
              <w:rPr>
                <w:noProof/>
              </w:rPr>
            </w:pPr>
            <w:r>
              <w:rPr>
                <w:noProof/>
              </w:rPr>
              <w:t>0.000</w:t>
            </w:r>
          </w:p>
        </w:tc>
        <w:tc>
          <w:tcPr>
            <w:tcW w:w="1185" w:type="dxa"/>
          </w:tcPr>
          <w:p w14:paraId="1E02C06E" w14:textId="27BB543B" w:rsidR="00727E96" w:rsidRDefault="00B076F7" w:rsidP="00B076F7">
            <w:pPr>
              <w:jc w:val="right"/>
              <w:rPr>
                <w:noProof/>
              </w:rPr>
            </w:pPr>
            <w:r>
              <w:rPr>
                <w:noProof/>
              </w:rPr>
              <w:t>0.0040688</w:t>
            </w:r>
          </w:p>
        </w:tc>
        <w:tc>
          <w:tcPr>
            <w:tcW w:w="1185" w:type="dxa"/>
          </w:tcPr>
          <w:p w14:paraId="6A9CF847" w14:textId="6DC3EF20" w:rsidR="00727E96" w:rsidRDefault="00B076F7" w:rsidP="00B076F7">
            <w:pPr>
              <w:jc w:val="right"/>
              <w:rPr>
                <w:noProof/>
              </w:rPr>
            </w:pPr>
            <w:r>
              <w:rPr>
                <w:noProof/>
              </w:rPr>
              <w:t>0.010864</w:t>
            </w:r>
          </w:p>
        </w:tc>
      </w:tr>
      <w:tr w:rsidR="00727E96" w14:paraId="7E7DDAC3" w14:textId="77777777" w:rsidTr="00727E96">
        <w:tc>
          <w:tcPr>
            <w:tcW w:w="1270" w:type="dxa"/>
          </w:tcPr>
          <w:p w14:paraId="10D70AEA" w14:textId="5432FAB2" w:rsidR="00727E96" w:rsidRDefault="002A6679" w:rsidP="00235CA5">
            <w:pPr>
              <w:rPr>
                <w:noProof/>
              </w:rPr>
            </w:pPr>
            <w:r>
              <w:rPr>
                <w:noProof/>
              </w:rPr>
              <w:t>Constanta</w:t>
            </w:r>
          </w:p>
        </w:tc>
        <w:tc>
          <w:tcPr>
            <w:tcW w:w="1263" w:type="dxa"/>
          </w:tcPr>
          <w:p w14:paraId="24CA60B7" w14:textId="281B453A" w:rsidR="00727E96" w:rsidRDefault="00B076F7" w:rsidP="00B076F7">
            <w:pPr>
              <w:jc w:val="right"/>
              <w:rPr>
                <w:noProof/>
              </w:rPr>
            </w:pPr>
            <w:r>
              <w:rPr>
                <w:noProof/>
              </w:rPr>
              <w:t>2.738035</w:t>
            </w:r>
          </w:p>
        </w:tc>
        <w:tc>
          <w:tcPr>
            <w:tcW w:w="1262" w:type="dxa"/>
          </w:tcPr>
          <w:p w14:paraId="02ED1EAE" w14:textId="48D1D8EE" w:rsidR="00727E96" w:rsidRDefault="00B076F7" w:rsidP="00B076F7">
            <w:pPr>
              <w:jc w:val="right"/>
              <w:rPr>
                <w:noProof/>
              </w:rPr>
            </w:pPr>
            <w:r>
              <w:rPr>
                <w:noProof/>
              </w:rPr>
              <w:t>0.0107939</w:t>
            </w:r>
          </w:p>
        </w:tc>
        <w:tc>
          <w:tcPr>
            <w:tcW w:w="1192" w:type="dxa"/>
          </w:tcPr>
          <w:p w14:paraId="5DBEB6A7" w14:textId="39D4EFDC" w:rsidR="00727E96" w:rsidRDefault="00B076F7" w:rsidP="00B076F7">
            <w:pPr>
              <w:jc w:val="right"/>
              <w:rPr>
                <w:noProof/>
              </w:rPr>
            </w:pPr>
            <w:r>
              <w:rPr>
                <w:noProof/>
              </w:rPr>
              <w:t>253.66</w:t>
            </w:r>
          </w:p>
        </w:tc>
        <w:tc>
          <w:tcPr>
            <w:tcW w:w="1233" w:type="dxa"/>
          </w:tcPr>
          <w:p w14:paraId="7871FC69" w14:textId="3482F27B" w:rsidR="00727E96" w:rsidRDefault="00B076F7" w:rsidP="00B076F7">
            <w:pPr>
              <w:jc w:val="right"/>
              <w:rPr>
                <w:noProof/>
              </w:rPr>
            </w:pPr>
            <w:r>
              <w:rPr>
                <w:noProof/>
              </w:rPr>
              <w:t>0.000</w:t>
            </w:r>
          </w:p>
        </w:tc>
        <w:tc>
          <w:tcPr>
            <w:tcW w:w="1185" w:type="dxa"/>
          </w:tcPr>
          <w:p w14:paraId="47ED2D86" w14:textId="4CF38E5A" w:rsidR="00727E96" w:rsidRDefault="00B076F7" w:rsidP="00B076F7">
            <w:pPr>
              <w:jc w:val="right"/>
              <w:rPr>
                <w:noProof/>
              </w:rPr>
            </w:pPr>
            <w:r>
              <w:rPr>
                <w:noProof/>
              </w:rPr>
              <w:t>2.7168760</w:t>
            </w:r>
          </w:p>
        </w:tc>
        <w:tc>
          <w:tcPr>
            <w:tcW w:w="1185" w:type="dxa"/>
          </w:tcPr>
          <w:p w14:paraId="70F83E60" w14:textId="65857C04" w:rsidR="00727E96" w:rsidRDefault="00B076F7" w:rsidP="00B076F7">
            <w:pPr>
              <w:jc w:val="right"/>
              <w:rPr>
                <w:noProof/>
              </w:rPr>
            </w:pPr>
            <w:r>
              <w:rPr>
                <w:noProof/>
              </w:rPr>
              <w:t>2.759195</w:t>
            </w:r>
          </w:p>
        </w:tc>
      </w:tr>
    </w:tbl>
    <w:p w14:paraId="2DF30241" w14:textId="63195F84" w:rsidR="00727E96" w:rsidRPr="00BB3659" w:rsidRDefault="002A6679" w:rsidP="00BB3659">
      <w:pPr>
        <w:spacing w:after="0" w:line="240" w:lineRule="auto"/>
        <w:ind w:left="426"/>
        <w:rPr>
          <w:noProof/>
          <w:sz w:val="18"/>
          <w:szCs w:val="18"/>
        </w:rPr>
      </w:pPr>
      <w:r>
        <w:rPr>
          <w:noProof/>
          <w:sz w:val="18"/>
          <w:szCs w:val="18"/>
        </w:rPr>
        <w:t>Note</w:t>
      </w:r>
      <w:r w:rsidR="00BB3659" w:rsidRPr="00BB3659">
        <w:rPr>
          <w:noProof/>
          <w:sz w:val="18"/>
          <w:szCs w:val="18"/>
        </w:rPr>
        <w:t xml:space="preserve"> - </w:t>
      </w:r>
      <w:r w:rsidRPr="002A6679">
        <w:rPr>
          <w:noProof/>
          <w:sz w:val="18"/>
          <w:szCs w:val="18"/>
        </w:rPr>
        <w:t>Dependent Variable: Level of Community Welfare</w:t>
      </w:r>
    </w:p>
    <w:p w14:paraId="189E6F62" w14:textId="51997933" w:rsidR="00BB3659" w:rsidRPr="00BB3659" w:rsidRDefault="00BB3659" w:rsidP="00BB3659">
      <w:pPr>
        <w:spacing w:after="0" w:line="240" w:lineRule="auto"/>
        <w:ind w:left="720"/>
        <w:rPr>
          <w:noProof/>
          <w:sz w:val="18"/>
          <w:szCs w:val="18"/>
        </w:rPr>
      </w:pPr>
      <w:r>
        <w:rPr>
          <w:noProof/>
          <w:sz w:val="18"/>
          <w:szCs w:val="18"/>
        </w:rPr>
        <w:t xml:space="preserve">   </w:t>
      </w:r>
      <w:r w:rsidRPr="00BB3659">
        <w:rPr>
          <w:noProof/>
          <w:sz w:val="18"/>
          <w:szCs w:val="18"/>
        </w:rPr>
        <w:t xml:space="preserve">- </w:t>
      </w:r>
      <w:r w:rsidR="002A6679" w:rsidRPr="002A6679">
        <w:rPr>
          <w:noProof/>
          <w:sz w:val="18"/>
          <w:szCs w:val="18"/>
        </w:rPr>
        <w:t>Independent Variable: Disaster Intensity</w:t>
      </w:r>
    </w:p>
    <w:p w14:paraId="00093D29" w14:textId="58522650" w:rsidR="0041180D" w:rsidRDefault="002A6679" w:rsidP="002A6679">
      <w:pPr>
        <w:spacing w:before="240"/>
        <w:ind w:left="425"/>
        <w:jc w:val="both"/>
        <w:rPr>
          <w:noProof/>
        </w:rPr>
      </w:pPr>
      <w:r w:rsidRPr="002A6679">
        <w:rPr>
          <w:noProof/>
        </w:rPr>
        <w:t>The results in Table 1 show that disaster intensity significantly impacts community well-being. This relationship reflects the reality of Indonesia as a country with a high level of disaster vulnerability, where floods, earthquakes, landslides, and droughts occur repeatedly in various regions. Continuous exposure to disasters not only causes material losses but also creates prolonged uncertainty in household life. In such situations, community well-being is difficult to fully recover because the sense of security, livelihood stability, and life satisfaction are continuously eroded by the risk of recurring disasters. This phenomenon indicates that the impacts of disasters are cumulative and can structurally weaken community well-being, especially for households located in vulnerable areas and with limited adaptive capacity.</w:t>
      </w:r>
    </w:p>
    <w:p w14:paraId="7E59BD32" w14:textId="40CA6CA3" w:rsidR="00B076F7" w:rsidRDefault="002A6679" w:rsidP="0041180D">
      <w:pPr>
        <w:ind w:left="426"/>
        <w:jc w:val="both"/>
        <w:rPr>
          <w:noProof/>
        </w:rPr>
      </w:pPr>
      <w:r w:rsidRPr="002A6679">
        <w:rPr>
          <w:noProof/>
        </w:rPr>
        <w:lastRenderedPageBreak/>
        <w:t xml:space="preserve">This finding also indicates that the recovery of community welfare after a disaster is not solely determined by physical improvements or short-term economic recovery </w:t>
      </w:r>
      <w:r w:rsidR="00CD3858" w:rsidRPr="00CD3858">
        <w:rPr>
          <w:noProof/>
          <w:color w:val="0070C0"/>
        </w:rPr>
        <w:fldChar w:fldCharType="begin" w:fldLock="1"/>
      </w:r>
      <w:r w:rsidR="00CD3858">
        <w:rPr>
          <w:noProof/>
          <w:color w:val="0070C0"/>
        </w:rPr>
        <w:instrText>ADDIN CSL_CITATION {"citationItems":[{"id":"ITEM-1","itemData":{"ISSN":"0198-9715","author":[{"dropping-particle":"","family":"Park","given":"Sangung","non-dropping-particle":"","parse-names":false,"suffix":""},{"dropping-particle":"","family":"Yabe","given":"Takahiro","non-dropping-particle":"","parse-names":false,"suffix":""},{"dropping-particle":"V","family":"Ukkusuri","given":"Satish","non-dropping-particle":"","parse-names":false,"suffix":""}],"container-title":"Computers, Environment and Urban Systems","id":"ITEM-1","issued":{"date-parts":[["2024"]]},"page":"102184","publisher":"Elsevier","title":"Post-disaster recovery policy assessment of urban socio-physical systems","type":"article-journal","volume":"114"},"uris":["http://www.mendeley.com/documents/?uuid=ba6f441a-4693-41a3-b1d0-168520d7e247"]},{"id":"ITEM-2","itemData":{"author":[{"dropping-particle":"","family":"Galderisi","given":"Adriana","non-dropping-particle":"","parse-names":false,"suffix":""},{"dropping-particle":"","family":"Menoni","given":"Scira","non-dropping-particle":"","parse-names":false,"suffix":""},{"dropping-particle":"","family":"Setti","given":"Giulia","non-dropping-particle":"","parse-names":false,"suffix":""},{"dropping-particle":"","family":"Tognon","given":"Alisia","non-dropping-particle":"","parse-names":false,"suffix":""}],"container-title":"Disaster risk reduction for resilience: Disaster and social aspects","id":"ITEM-2","issued":{"date-parts":[["2022"]]},"page":"25-54","publisher":"Springer","title":"Disaster recovery reform and resilience","type":"chapter"},"uris":["http://www.mendeley.com/documents/?uuid=d7da9004-ffe9-4cbd-a320-f66339b7e2b7"]}],"mendeley":{"formattedCitation":"(Galderisi et al., 2022; Park et al., 2024)","plainTextFormattedCitation":"(Galderisi et al., 2022; Park et al., 2024)","previouslyFormattedCitation":"(Galderisi et al., 2022; Park et al., 2024)"},"properties":{"noteIndex":0},"schema":"https://github.com/citation-style-language/schema/raw/master/csl-citation.json"}</w:instrText>
      </w:r>
      <w:r w:rsidR="00CD3858" w:rsidRPr="00CD3858">
        <w:rPr>
          <w:noProof/>
          <w:color w:val="0070C0"/>
        </w:rPr>
        <w:fldChar w:fldCharType="separate"/>
      </w:r>
      <w:r w:rsidR="00CD3858" w:rsidRPr="00CD3858">
        <w:rPr>
          <w:noProof/>
          <w:color w:val="0070C0"/>
        </w:rPr>
        <w:t>(Galderisi et al., 2022; Park et al., 2024)</w:t>
      </w:r>
      <w:r w:rsidR="00CD3858" w:rsidRPr="00CD3858">
        <w:rPr>
          <w:noProof/>
          <w:color w:val="0070C0"/>
        </w:rPr>
        <w:fldChar w:fldCharType="end"/>
      </w:r>
      <w:r w:rsidR="0041180D">
        <w:rPr>
          <w:noProof/>
        </w:rPr>
        <w:t xml:space="preserve">. </w:t>
      </w:r>
      <w:r w:rsidRPr="002A6679">
        <w:rPr>
          <w:noProof/>
        </w:rPr>
        <w:t>Household well-being appears to be strongly influenced by the ability of social and institutional systems to reduce uncertainty and rebuild a sense of security in daily life. In the Indonesian context, this underscores the importance of a development approach that implicitly integrates disaster risk reduction with efforts to improve community well-being. Infrastructure resilience, livelihood stability, and the sustainability of social support are key factors that indirectly determine the extent to which communities can maintain and restore their well-being amidst recurring disaster risks.</w:t>
      </w:r>
    </w:p>
    <w:p w14:paraId="5774B11C" w14:textId="156DC0CF" w:rsidR="00B076F7" w:rsidRDefault="00B076F7" w:rsidP="00B076F7">
      <w:pPr>
        <w:ind w:left="426"/>
        <w:jc w:val="center"/>
        <w:rPr>
          <w:noProof/>
        </w:rPr>
      </w:pPr>
      <w:r w:rsidRPr="00B076F7">
        <w:rPr>
          <w:b/>
          <w:bCs/>
          <w:noProof/>
        </w:rPr>
        <w:t>Tabl</w:t>
      </w:r>
      <w:r w:rsidR="002A6679">
        <w:rPr>
          <w:b/>
          <w:bCs/>
          <w:noProof/>
        </w:rPr>
        <w:t>e</w:t>
      </w:r>
      <w:r w:rsidRPr="00B076F7">
        <w:rPr>
          <w:b/>
          <w:bCs/>
          <w:noProof/>
        </w:rPr>
        <w:t xml:space="preserve"> </w:t>
      </w:r>
      <w:r>
        <w:rPr>
          <w:b/>
          <w:bCs/>
          <w:noProof/>
        </w:rPr>
        <w:t>2</w:t>
      </w:r>
      <w:r w:rsidRPr="00B076F7">
        <w:rPr>
          <w:b/>
          <w:bCs/>
          <w:noProof/>
        </w:rPr>
        <w:t>.</w:t>
      </w:r>
      <w:r>
        <w:rPr>
          <w:noProof/>
        </w:rPr>
        <w:t xml:space="preserve"> </w:t>
      </w:r>
      <w:r w:rsidR="002A6679" w:rsidRPr="002A6679">
        <w:rPr>
          <w:noProof/>
        </w:rPr>
        <w:t>The Influence of Disaster Intensity on People's Life Expectancies in the Next 5 Years</w:t>
      </w:r>
    </w:p>
    <w:tbl>
      <w:tblPr>
        <w:tblStyle w:val="TableGrid"/>
        <w:tblW w:w="0" w:type="auto"/>
        <w:tblInd w:w="426" w:type="dxa"/>
        <w:tblLook w:val="04A0" w:firstRow="1" w:lastRow="0" w:firstColumn="1" w:lastColumn="0" w:noHBand="0" w:noVBand="1"/>
      </w:tblPr>
      <w:tblGrid>
        <w:gridCol w:w="1270"/>
        <w:gridCol w:w="1263"/>
        <w:gridCol w:w="1262"/>
        <w:gridCol w:w="1192"/>
        <w:gridCol w:w="1233"/>
        <w:gridCol w:w="1185"/>
        <w:gridCol w:w="1185"/>
      </w:tblGrid>
      <w:tr w:rsidR="002A6679" w14:paraId="6BEBDDF4" w14:textId="77777777" w:rsidTr="004C1743">
        <w:tc>
          <w:tcPr>
            <w:tcW w:w="1270" w:type="dxa"/>
            <w:vAlign w:val="center"/>
          </w:tcPr>
          <w:p w14:paraId="32BB5364" w14:textId="008B1D2D" w:rsidR="002A6679" w:rsidRPr="00727E96" w:rsidRDefault="002A6679" w:rsidP="002A6679">
            <w:pPr>
              <w:jc w:val="center"/>
              <w:rPr>
                <w:b/>
                <w:bCs/>
                <w:noProof/>
              </w:rPr>
            </w:pPr>
            <w:r w:rsidRPr="00727E96">
              <w:rPr>
                <w:b/>
                <w:bCs/>
                <w:noProof/>
              </w:rPr>
              <w:t>Variabl</w:t>
            </w:r>
            <w:r>
              <w:rPr>
                <w:b/>
                <w:bCs/>
                <w:noProof/>
              </w:rPr>
              <w:t>e</w:t>
            </w:r>
          </w:p>
        </w:tc>
        <w:tc>
          <w:tcPr>
            <w:tcW w:w="1263" w:type="dxa"/>
            <w:vAlign w:val="center"/>
          </w:tcPr>
          <w:p w14:paraId="577B0376" w14:textId="19407B58" w:rsidR="002A6679" w:rsidRPr="00727E96" w:rsidRDefault="002A6679" w:rsidP="002A6679">
            <w:pPr>
              <w:jc w:val="center"/>
              <w:rPr>
                <w:b/>
                <w:bCs/>
                <w:noProof/>
              </w:rPr>
            </w:pPr>
            <w:r>
              <w:rPr>
                <w:b/>
                <w:bCs/>
                <w:noProof/>
              </w:rPr>
              <w:t>C</w:t>
            </w:r>
            <w:r w:rsidRPr="00727E96">
              <w:rPr>
                <w:b/>
                <w:bCs/>
                <w:noProof/>
              </w:rPr>
              <w:t>oefisien</w:t>
            </w:r>
            <w:r>
              <w:rPr>
                <w:b/>
                <w:bCs/>
                <w:noProof/>
              </w:rPr>
              <w:t>t</w:t>
            </w:r>
          </w:p>
        </w:tc>
        <w:tc>
          <w:tcPr>
            <w:tcW w:w="1262" w:type="dxa"/>
            <w:vAlign w:val="center"/>
          </w:tcPr>
          <w:p w14:paraId="2540A16E" w14:textId="64D6A2CE" w:rsidR="002A6679" w:rsidRPr="00727E96" w:rsidRDefault="002A6679" w:rsidP="002A6679">
            <w:pPr>
              <w:jc w:val="center"/>
              <w:rPr>
                <w:b/>
                <w:bCs/>
                <w:noProof/>
              </w:rPr>
            </w:pPr>
            <w:r w:rsidRPr="00727E96">
              <w:rPr>
                <w:b/>
                <w:bCs/>
                <w:noProof/>
              </w:rPr>
              <w:t>Robust Standard Error</w:t>
            </w:r>
          </w:p>
        </w:tc>
        <w:tc>
          <w:tcPr>
            <w:tcW w:w="1192" w:type="dxa"/>
            <w:vAlign w:val="center"/>
          </w:tcPr>
          <w:p w14:paraId="3B7DD174" w14:textId="1930A470" w:rsidR="002A6679" w:rsidRPr="00727E96" w:rsidRDefault="002A6679" w:rsidP="002A6679">
            <w:pPr>
              <w:jc w:val="center"/>
              <w:rPr>
                <w:b/>
                <w:bCs/>
                <w:noProof/>
              </w:rPr>
            </w:pPr>
            <w:r w:rsidRPr="00727E96">
              <w:rPr>
                <w:b/>
                <w:bCs/>
                <w:noProof/>
              </w:rPr>
              <w:t>t</w:t>
            </w:r>
          </w:p>
        </w:tc>
        <w:tc>
          <w:tcPr>
            <w:tcW w:w="1233" w:type="dxa"/>
            <w:vAlign w:val="center"/>
          </w:tcPr>
          <w:p w14:paraId="64D91678" w14:textId="7A2109DE" w:rsidR="002A6679" w:rsidRPr="00727E96" w:rsidRDefault="002A6679" w:rsidP="002A6679">
            <w:pPr>
              <w:jc w:val="center"/>
              <w:rPr>
                <w:b/>
                <w:bCs/>
                <w:noProof/>
              </w:rPr>
            </w:pPr>
            <w:r w:rsidRPr="00727E96">
              <w:rPr>
                <w:b/>
                <w:bCs/>
                <w:noProof/>
              </w:rPr>
              <w:t>p&gt;|t|</w:t>
            </w:r>
          </w:p>
        </w:tc>
        <w:tc>
          <w:tcPr>
            <w:tcW w:w="2370" w:type="dxa"/>
            <w:gridSpan w:val="2"/>
            <w:vAlign w:val="center"/>
          </w:tcPr>
          <w:p w14:paraId="773FF6CC" w14:textId="608477CB" w:rsidR="002A6679" w:rsidRPr="00727E96" w:rsidRDefault="002A6679" w:rsidP="002A6679">
            <w:pPr>
              <w:jc w:val="center"/>
              <w:rPr>
                <w:b/>
                <w:bCs/>
                <w:noProof/>
              </w:rPr>
            </w:pPr>
            <w:r w:rsidRPr="00727E96">
              <w:rPr>
                <w:b/>
                <w:bCs/>
                <w:noProof/>
              </w:rPr>
              <w:t>[95% Conf. Interval]</w:t>
            </w:r>
          </w:p>
        </w:tc>
      </w:tr>
      <w:tr w:rsidR="002A6679" w14:paraId="5C4F7424" w14:textId="77777777" w:rsidTr="004C1743">
        <w:tc>
          <w:tcPr>
            <w:tcW w:w="1270" w:type="dxa"/>
          </w:tcPr>
          <w:p w14:paraId="52AEBE91" w14:textId="0A2DD9B3" w:rsidR="002A6679" w:rsidRDefault="002A6679" w:rsidP="002A6679">
            <w:pPr>
              <w:rPr>
                <w:noProof/>
              </w:rPr>
            </w:pPr>
            <w:r w:rsidRPr="002A6679">
              <w:rPr>
                <w:noProof/>
              </w:rPr>
              <w:t>Disaster Intensity</w:t>
            </w:r>
          </w:p>
        </w:tc>
        <w:tc>
          <w:tcPr>
            <w:tcW w:w="1263" w:type="dxa"/>
          </w:tcPr>
          <w:p w14:paraId="14D1B44B" w14:textId="106631A8" w:rsidR="002A6679" w:rsidRDefault="002A6679" w:rsidP="002A6679">
            <w:pPr>
              <w:jc w:val="right"/>
              <w:rPr>
                <w:noProof/>
              </w:rPr>
            </w:pPr>
            <w:r>
              <w:rPr>
                <w:noProof/>
              </w:rPr>
              <w:t>0.0053251</w:t>
            </w:r>
          </w:p>
        </w:tc>
        <w:tc>
          <w:tcPr>
            <w:tcW w:w="1262" w:type="dxa"/>
          </w:tcPr>
          <w:p w14:paraId="4BFE5F23" w14:textId="2A71696F" w:rsidR="002A6679" w:rsidRDefault="002A6679" w:rsidP="002A6679">
            <w:pPr>
              <w:jc w:val="right"/>
              <w:rPr>
                <w:noProof/>
              </w:rPr>
            </w:pPr>
            <w:r>
              <w:rPr>
                <w:noProof/>
              </w:rPr>
              <w:t>0.0016165</w:t>
            </w:r>
          </w:p>
        </w:tc>
        <w:tc>
          <w:tcPr>
            <w:tcW w:w="1192" w:type="dxa"/>
          </w:tcPr>
          <w:p w14:paraId="78949CE6" w14:textId="590E7E49" w:rsidR="002A6679" w:rsidRDefault="002A6679" w:rsidP="002A6679">
            <w:pPr>
              <w:jc w:val="right"/>
              <w:rPr>
                <w:noProof/>
              </w:rPr>
            </w:pPr>
            <w:r>
              <w:rPr>
                <w:noProof/>
              </w:rPr>
              <w:t>3.29</w:t>
            </w:r>
          </w:p>
        </w:tc>
        <w:tc>
          <w:tcPr>
            <w:tcW w:w="1233" w:type="dxa"/>
          </w:tcPr>
          <w:p w14:paraId="785425ED" w14:textId="1A3F1766" w:rsidR="002A6679" w:rsidRDefault="002A6679" w:rsidP="002A6679">
            <w:pPr>
              <w:jc w:val="right"/>
              <w:rPr>
                <w:noProof/>
              </w:rPr>
            </w:pPr>
            <w:r>
              <w:rPr>
                <w:noProof/>
              </w:rPr>
              <w:t>0.001</w:t>
            </w:r>
          </w:p>
        </w:tc>
        <w:tc>
          <w:tcPr>
            <w:tcW w:w="1185" w:type="dxa"/>
          </w:tcPr>
          <w:p w14:paraId="4F3FF766" w14:textId="48B5929D" w:rsidR="002A6679" w:rsidRDefault="002A6679" w:rsidP="002A6679">
            <w:pPr>
              <w:jc w:val="right"/>
              <w:rPr>
                <w:noProof/>
              </w:rPr>
            </w:pPr>
            <w:r>
              <w:rPr>
                <w:noProof/>
              </w:rPr>
              <w:t>0.0021563</w:t>
            </w:r>
          </w:p>
        </w:tc>
        <w:tc>
          <w:tcPr>
            <w:tcW w:w="1185" w:type="dxa"/>
          </w:tcPr>
          <w:p w14:paraId="6402D919" w14:textId="3CFE891A" w:rsidR="002A6679" w:rsidRDefault="002A6679" w:rsidP="002A6679">
            <w:pPr>
              <w:jc w:val="right"/>
              <w:rPr>
                <w:noProof/>
              </w:rPr>
            </w:pPr>
            <w:r>
              <w:rPr>
                <w:noProof/>
              </w:rPr>
              <w:t>0.0084939</w:t>
            </w:r>
          </w:p>
        </w:tc>
      </w:tr>
      <w:tr w:rsidR="002A6679" w14:paraId="26C7915D" w14:textId="77777777" w:rsidTr="004C1743">
        <w:tc>
          <w:tcPr>
            <w:tcW w:w="1270" w:type="dxa"/>
          </w:tcPr>
          <w:p w14:paraId="6F275DAB" w14:textId="17B63175" w:rsidR="002A6679" w:rsidRDefault="002A6679" w:rsidP="002A6679">
            <w:pPr>
              <w:rPr>
                <w:noProof/>
              </w:rPr>
            </w:pPr>
            <w:r>
              <w:rPr>
                <w:noProof/>
              </w:rPr>
              <w:t>Constanta</w:t>
            </w:r>
          </w:p>
        </w:tc>
        <w:tc>
          <w:tcPr>
            <w:tcW w:w="1263" w:type="dxa"/>
          </w:tcPr>
          <w:p w14:paraId="54416C18" w14:textId="523FF944" w:rsidR="002A6679" w:rsidRDefault="002A6679" w:rsidP="002A6679">
            <w:pPr>
              <w:jc w:val="right"/>
              <w:rPr>
                <w:noProof/>
              </w:rPr>
            </w:pPr>
            <w:r>
              <w:rPr>
                <w:noProof/>
              </w:rPr>
              <w:t>2.4224640</w:t>
            </w:r>
          </w:p>
        </w:tc>
        <w:tc>
          <w:tcPr>
            <w:tcW w:w="1262" w:type="dxa"/>
          </w:tcPr>
          <w:p w14:paraId="6CDCC209" w14:textId="3367B125" w:rsidR="002A6679" w:rsidRDefault="002A6679" w:rsidP="002A6679">
            <w:pPr>
              <w:jc w:val="right"/>
              <w:rPr>
                <w:noProof/>
              </w:rPr>
            </w:pPr>
            <w:r>
              <w:rPr>
                <w:noProof/>
              </w:rPr>
              <w:t>0.0092620</w:t>
            </w:r>
          </w:p>
        </w:tc>
        <w:tc>
          <w:tcPr>
            <w:tcW w:w="1192" w:type="dxa"/>
          </w:tcPr>
          <w:p w14:paraId="6C0CD3FE" w14:textId="3EF3C964" w:rsidR="002A6679" w:rsidRDefault="002A6679" w:rsidP="002A6679">
            <w:pPr>
              <w:jc w:val="right"/>
              <w:rPr>
                <w:noProof/>
              </w:rPr>
            </w:pPr>
            <w:r>
              <w:rPr>
                <w:noProof/>
              </w:rPr>
              <w:t>264.55</w:t>
            </w:r>
          </w:p>
        </w:tc>
        <w:tc>
          <w:tcPr>
            <w:tcW w:w="1233" w:type="dxa"/>
          </w:tcPr>
          <w:p w14:paraId="432DB9E0" w14:textId="5F42D415" w:rsidR="002A6679" w:rsidRDefault="002A6679" w:rsidP="002A6679">
            <w:pPr>
              <w:jc w:val="right"/>
              <w:rPr>
                <w:noProof/>
              </w:rPr>
            </w:pPr>
            <w:r>
              <w:rPr>
                <w:noProof/>
              </w:rPr>
              <w:t>0.000</w:t>
            </w:r>
          </w:p>
        </w:tc>
        <w:tc>
          <w:tcPr>
            <w:tcW w:w="1185" w:type="dxa"/>
          </w:tcPr>
          <w:p w14:paraId="4C4090EE" w14:textId="3E8CCA03" w:rsidR="002A6679" w:rsidRDefault="002A6679" w:rsidP="002A6679">
            <w:pPr>
              <w:jc w:val="right"/>
              <w:rPr>
                <w:noProof/>
              </w:rPr>
            </w:pPr>
            <w:r>
              <w:rPr>
                <w:noProof/>
              </w:rPr>
              <w:t>2.404308</w:t>
            </w:r>
          </w:p>
        </w:tc>
        <w:tc>
          <w:tcPr>
            <w:tcW w:w="1185" w:type="dxa"/>
          </w:tcPr>
          <w:p w14:paraId="6404CA08" w14:textId="28AABC59" w:rsidR="002A6679" w:rsidRDefault="002A6679" w:rsidP="002A6679">
            <w:pPr>
              <w:jc w:val="right"/>
              <w:rPr>
                <w:noProof/>
              </w:rPr>
            </w:pPr>
            <w:r>
              <w:rPr>
                <w:noProof/>
              </w:rPr>
              <w:t>2.4406210</w:t>
            </w:r>
          </w:p>
        </w:tc>
      </w:tr>
    </w:tbl>
    <w:p w14:paraId="1752A52B" w14:textId="34B34A6C" w:rsidR="00003664" w:rsidRPr="00BB3659" w:rsidRDefault="002A6679" w:rsidP="00003664">
      <w:pPr>
        <w:spacing w:after="0" w:line="240" w:lineRule="auto"/>
        <w:ind w:left="426"/>
        <w:rPr>
          <w:noProof/>
          <w:sz w:val="18"/>
          <w:szCs w:val="18"/>
        </w:rPr>
      </w:pPr>
      <w:r>
        <w:rPr>
          <w:noProof/>
          <w:sz w:val="18"/>
          <w:szCs w:val="18"/>
        </w:rPr>
        <w:t>Note</w:t>
      </w:r>
      <w:r w:rsidR="00003664" w:rsidRPr="00BB3659">
        <w:rPr>
          <w:noProof/>
          <w:sz w:val="18"/>
          <w:szCs w:val="18"/>
        </w:rPr>
        <w:t xml:space="preserve"> - </w:t>
      </w:r>
      <w:r w:rsidRPr="002A6679">
        <w:rPr>
          <w:noProof/>
          <w:sz w:val="18"/>
          <w:szCs w:val="18"/>
        </w:rPr>
        <w:t>Dependent Variable: Expectations of Community Life in the Next 5 Years</w:t>
      </w:r>
    </w:p>
    <w:p w14:paraId="58972CA6" w14:textId="58FF1E1B" w:rsidR="00003664" w:rsidRPr="00BB3659" w:rsidRDefault="00003664" w:rsidP="00003664">
      <w:pPr>
        <w:spacing w:after="0" w:line="240" w:lineRule="auto"/>
        <w:ind w:left="720"/>
        <w:rPr>
          <w:noProof/>
          <w:sz w:val="18"/>
          <w:szCs w:val="18"/>
        </w:rPr>
      </w:pPr>
      <w:r>
        <w:rPr>
          <w:noProof/>
          <w:sz w:val="18"/>
          <w:szCs w:val="18"/>
        </w:rPr>
        <w:t xml:space="preserve">   </w:t>
      </w:r>
      <w:r w:rsidRPr="00BB3659">
        <w:rPr>
          <w:noProof/>
          <w:sz w:val="18"/>
          <w:szCs w:val="18"/>
        </w:rPr>
        <w:t xml:space="preserve">- </w:t>
      </w:r>
      <w:r w:rsidR="002A6679" w:rsidRPr="002A6679">
        <w:rPr>
          <w:noProof/>
          <w:sz w:val="18"/>
          <w:szCs w:val="18"/>
        </w:rPr>
        <w:t>Independent Variable: Disaster Intensity</w:t>
      </w:r>
    </w:p>
    <w:p w14:paraId="1F934249" w14:textId="1FF8A73E" w:rsidR="0041180D" w:rsidRDefault="002A6679" w:rsidP="0041180D">
      <w:pPr>
        <w:spacing w:before="240"/>
        <w:ind w:left="425"/>
        <w:jc w:val="both"/>
        <w:rPr>
          <w:noProof/>
        </w:rPr>
      </w:pPr>
      <w:r w:rsidRPr="002A6679">
        <w:rPr>
          <w:noProof/>
        </w:rPr>
        <w:t>The results in Table 2 show that disaster intensity significantly influences people's expectations of life in the next five years. This finding indicates that disasters not only affect current perceived well-being but also shape how households view their future. In the Indonesian context, where disasters are often recurrent and difficult to predict, the experience of facing a disaster can undermine households' optimism about improving their living conditions in the medium term. Uncertainty about the sustainability of livelihoods, the risk of asset loss, and the potential for repeated disruptions to daily life lead households to assess the future more pessimistically, even though the immediate impact of the disaster may have passed.</w:t>
      </w:r>
    </w:p>
    <w:p w14:paraId="53BC1D2D" w14:textId="584CC0BA" w:rsidR="00B076F7" w:rsidRDefault="002A6679" w:rsidP="0041180D">
      <w:pPr>
        <w:ind w:left="426"/>
        <w:jc w:val="both"/>
        <w:rPr>
          <w:noProof/>
        </w:rPr>
      </w:pPr>
      <w:r w:rsidRPr="002A6679">
        <w:rPr>
          <w:noProof/>
        </w:rPr>
        <w:t>This decline in five-year life expectancy reflects the intertemporal effects of disasters on community well-being. Lower expectations can influence household behavior and choices, such as the tendency to delay investments, limit spending on education or health, and adopt more defensive survival strategies. In the Indonesian context, this phenomenon demonstrates that disasters have the potential to prolong socioeconomic vulnerability through perceptions and expectations, not just through direct losses</w:t>
      </w:r>
      <w:r w:rsidR="00CD3858">
        <w:rPr>
          <w:noProof/>
        </w:rPr>
        <w:t xml:space="preserve"> </w:t>
      </w:r>
      <w:r w:rsidR="00CD3858" w:rsidRPr="00CD3858">
        <w:rPr>
          <w:noProof/>
          <w:color w:val="0070C0"/>
        </w:rPr>
        <w:fldChar w:fldCharType="begin" w:fldLock="1"/>
      </w:r>
      <w:r w:rsidR="00A8024C">
        <w:rPr>
          <w:noProof/>
          <w:color w:val="0070C0"/>
        </w:rPr>
        <w:instrText>ADDIN CSL_CITATION {"citationItems":[{"id":"ITEM-1","itemData":{"ISSN":"2597-4874","author":[{"dropping-particle":"","family":"Wahyono","given":"Eko","non-dropping-particle":"","parse-names":false,"suffix":""},{"dropping-particle":"","family":"Prayoga","given":"Reza Amarta","non-dropping-particle":"","parse-names":false,"suffix":""},{"dropping-particle":"","family":"Hakim","given":"Fatwa Nurul","non-dropping-particle":"","parse-names":false,"suffix":""},{"dropping-particle":"","family":"Solekha","given":"Nuzul","non-dropping-particle":"","parse-names":false,"suffix":""},{"dropping-particle":"","family":"Fatimah","given":"Siti","non-dropping-particle":"","parse-names":false,"suffix":""},{"dropping-particle":"","family":"Purbandini","given":"Lis","non-dropping-particle":"","parse-names":false,"suffix":""},{"dropping-particle":"","family":"Wibowo","given":"Djoko Puguh","non-dropping-particle":"","parse-names":false,"suffix":""},{"dropping-particle":"","family":"Saparita","given":"Rachmini","non-dropping-particle":"","parse-names":false,"suffix":""}],"container-title":"Society","id":"ITEM-1","issue":"1","issued":{"date-parts":[["2023"]]},"page":"52-63","title":"Economic mitigation institutions: A new approach to livelihood systems in disaster-prone areas","type":"article-journal","volume":"11"},"uris":["http://www.mendeley.com/documents/?uuid=92206f37-b798-4812-8ba1-d65a1b496e2d"]},{"id":"ITEM-2","itemData":{"ISSN":"2071-1050","author":[{"dropping-particle":"","family":"Cvetković","given":"Vladimir M","non-dropping-particle":"","parse-names":false,"suffix":""},{"dropping-particle":"","family":"Šišović","given":"Vanja","non-dropping-particle":"","parse-names":false,"suffix":""}],"container-title":"Sustainability","id":"ITEM-2","issue":"7","issued":{"date-parts":[["2024"]]},"page":"2620","publisher":"MDPI","title":"Understanding the sustainable development of community (social) disaster resilience in Serbia: Demographic and socio-economic impacts","type":"article-journal","volume":"16"},"uris":["http://www.mendeley.com/documents/?uuid=287d433f-5212-45db-8361-6b9b4a227712"]}],"mendeley":{"formattedCitation":"(Cvetković &amp; Šišović, 2024; Wahyono et al., 2023)","plainTextFormattedCitation":"(Cvetković &amp; Šišović, 2024; Wahyono et al., 2023)","previouslyFormattedCitation":"(Cvetković &amp; Šišović, 2024; Wahyono et al., 2023)"},"properties":{"noteIndex":0},"schema":"https://github.com/citation-style-language/schema/raw/master/csl-citation.json"}</w:instrText>
      </w:r>
      <w:r w:rsidR="00CD3858" w:rsidRPr="00CD3858">
        <w:rPr>
          <w:noProof/>
          <w:color w:val="0070C0"/>
        </w:rPr>
        <w:fldChar w:fldCharType="separate"/>
      </w:r>
      <w:r w:rsidR="00CD3858" w:rsidRPr="00CD3858">
        <w:rPr>
          <w:noProof/>
          <w:color w:val="0070C0"/>
        </w:rPr>
        <w:t>(Cvetković &amp; Šišović, 2024; Wahyono et al., 2023)</w:t>
      </w:r>
      <w:r w:rsidR="00CD3858" w:rsidRPr="00CD3858">
        <w:rPr>
          <w:noProof/>
          <w:color w:val="0070C0"/>
        </w:rPr>
        <w:fldChar w:fldCharType="end"/>
      </w:r>
      <w:r w:rsidR="0041180D">
        <w:rPr>
          <w:noProof/>
        </w:rPr>
        <w:t xml:space="preserve">. </w:t>
      </w:r>
      <w:r w:rsidRPr="002A6679">
        <w:rPr>
          <w:noProof/>
        </w:rPr>
        <w:t>Thus, these results confirm that environmental stability and certainty play an important role in shaping people's views of the future, which in turn influences the dynamics of development and long-term welfare.</w:t>
      </w:r>
    </w:p>
    <w:p w14:paraId="34D9D662" w14:textId="3EEFE2E8" w:rsidR="00923906" w:rsidRDefault="00923906" w:rsidP="00923906">
      <w:pPr>
        <w:ind w:left="426"/>
        <w:jc w:val="center"/>
        <w:rPr>
          <w:noProof/>
        </w:rPr>
      </w:pPr>
      <w:r w:rsidRPr="00B076F7">
        <w:rPr>
          <w:b/>
          <w:bCs/>
          <w:noProof/>
        </w:rPr>
        <w:t>Tabl</w:t>
      </w:r>
      <w:r w:rsidR="002A6679">
        <w:rPr>
          <w:b/>
          <w:bCs/>
          <w:noProof/>
        </w:rPr>
        <w:t>e</w:t>
      </w:r>
      <w:r w:rsidRPr="00B076F7">
        <w:rPr>
          <w:b/>
          <w:bCs/>
          <w:noProof/>
        </w:rPr>
        <w:t xml:space="preserve"> </w:t>
      </w:r>
      <w:r>
        <w:rPr>
          <w:b/>
          <w:bCs/>
          <w:noProof/>
        </w:rPr>
        <w:t>3</w:t>
      </w:r>
      <w:r w:rsidRPr="00B076F7">
        <w:rPr>
          <w:b/>
          <w:bCs/>
          <w:noProof/>
        </w:rPr>
        <w:t>.</w:t>
      </w:r>
      <w:r>
        <w:rPr>
          <w:noProof/>
        </w:rPr>
        <w:t xml:space="preserve"> </w:t>
      </w:r>
      <w:r w:rsidR="002A6679" w:rsidRPr="002A6679">
        <w:rPr>
          <w:noProof/>
        </w:rPr>
        <w:t>Number of Households by Satisfaction Category</w:t>
      </w:r>
    </w:p>
    <w:tbl>
      <w:tblPr>
        <w:tblStyle w:val="TableGrid"/>
        <w:tblW w:w="0" w:type="auto"/>
        <w:tblInd w:w="426" w:type="dxa"/>
        <w:tblLook w:val="04A0" w:firstRow="1" w:lastRow="0" w:firstColumn="1" w:lastColumn="0" w:noHBand="0" w:noVBand="1"/>
      </w:tblPr>
      <w:tblGrid>
        <w:gridCol w:w="2148"/>
        <w:gridCol w:w="2148"/>
        <w:gridCol w:w="2147"/>
        <w:gridCol w:w="2147"/>
      </w:tblGrid>
      <w:tr w:rsidR="00923906" w14:paraId="54DD0891" w14:textId="77777777" w:rsidTr="00923906">
        <w:tc>
          <w:tcPr>
            <w:tcW w:w="2148" w:type="dxa"/>
          </w:tcPr>
          <w:p w14:paraId="5AC36A14" w14:textId="3B907294" w:rsidR="00923906" w:rsidRPr="00D87DBB" w:rsidRDefault="002A6679" w:rsidP="00D87DBB">
            <w:pPr>
              <w:jc w:val="center"/>
              <w:rPr>
                <w:b/>
                <w:bCs/>
                <w:noProof/>
              </w:rPr>
            </w:pPr>
            <w:r w:rsidRPr="002A6679">
              <w:rPr>
                <w:b/>
                <w:bCs/>
                <w:noProof/>
              </w:rPr>
              <w:t>Satisfaction Category</w:t>
            </w:r>
          </w:p>
        </w:tc>
        <w:tc>
          <w:tcPr>
            <w:tcW w:w="2148" w:type="dxa"/>
          </w:tcPr>
          <w:p w14:paraId="15C971D0" w14:textId="743206C2" w:rsidR="00923906" w:rsidRPr="00D87DBB" w:rsidRDefault="00D87DBB" w:rsidP="00D87DBB">
            <w:pPr>
              <w:jc w:val="center"/>
              <w:rPr>
                <w:b/>
                <w:bCs/>
                <w:noProof/>
              </w:rPr>
            </w:pPr>
            <w:r w:rsidRPr="00D87DBB">
              <w:rPr>
                <w:b/>
                <w:bCs/>
                <w:noProof/>
              </w:rPr>
              <w:t>Fre</w:t>
            </w:r>
            <w:r w:rsidR="002A6679">
              <w:rPr>
                <w:b/>
                <w:bCs/>
                <w:noProof/>
              </w:rPr>
              <w:t>q</w:t>
            </w:r>
            <w:r w:rsidRPr="00D87DBB">
              <w:rPr>
                <w:b/>
                <w:bCs/>
                <w:noProof/>
              </w:rPr>
              <w:t>uens</w:t>
            </w:r>
            <w:r w:rsidR="002A6679">
              <w:rPr>
                <w:b/>
                <w:bCs/>
                <w:noProof/>
              </w:rPr>
              <w:t>y</w:t>
            </w:r>
          </w:p>
        </w:tc>
        <w:tc>
          <w:tcPr>
            <w:tcW w:w="2147" w:type="dxa"/>
          </w:tcPr>
          <w:p w14:paraId="6C1FE54B" w14:textId="4B890861" w:rsidR="00923906" w:rsidRPr="00D87DBB" w:rsidRDefault="00D87DBB" w:rsidP="00D87DBB">
            <w:pPr>
              <w:jc w:val="center"/>
              <w:rPr>
                <w:b/>
                <w:bCs/>
                <w:noProof/>
              </w:rPr>
            </w:pPr>
            <w:r w:rsidRPr="00D87DBB">
              <w:rPr>
                <w:b/>
                <w:bCs/>
                <w:noProof/>
              </w:rPr>
              <w:t>Per</w:t>
            </w:r>
            <w:r w:rsidR="002A6679">
              <w:rPr>
                <w:b/>
                <w:bCs/>
                <w:noProof/>
              </w:rPr>
              <w:t>centage</w:t>
            </w:r>
            <w:r>
              <w:rPr>
                <w:b/>
                <w:bCs/>
                <w:noProof/>
              </w:rPr>
              <w:t xml:space="preserve"> (%)</w:t>
            </w:r>
          </w:p>
        </w:tc>
        <w:tc>
          <w:tcPr>
            <w:tcW w:w="2147" w:type="dxa"/>
          </w:tcPr>
          <w:p w14:paraId="1EAC58F2" w14:textId="162C0C39" w:rsidR="00923906" w:rsidRPr="00D87DBB" w:rsidRDefault="002A6679" w:rsidP="00D87DBB">
            <w:pPr>
              <w:jc w:val="center"/>
              <w:rPr>
                <w:b/>
                <w:bCs/>
                <w:noProof/>
              </w:rPr>
            </w:pPr>
            <w:r>
              <w:rPr>
                <w:b/>
                <w:bCs/>
                <w:noProof/>
              </w:rPr>
              <w:t>C</w:t>
            </w:r>
            <w:r w:rsidR="00D87DBB" w:rsidRPr="00D87DBB">
              <w:rPr>
                <w:b/>
                <w:bCs/>
                <w:noProof/>
              </w:rPr>
              <w:t>umulait</w:t>
            </w:r>
            <w:r>
              <w:rPr>
                <w:b/>
                <w:bCs/>
                <w:noProof/>
              </w:rPr>
              <w:t>ve</w:t>
            </w:r>
            <w:r w:rsidR="00D87DBB">
              <w:rPr>
                <w:b/>
                <w:bCs/>
                <w:noProof/>
              </w:rPr>
              <w:t xml:space="preserve"> (%)</w:t>
            </w:r>
          </w:p>
        </w:tc>
      </w:tr>
      <w:tr w:rsidR="00923906" w14:paraId="4DE2D539" w14:textId="77777777" w:rsidTr="00923906">
        <w:tc>
          <w:tcPr>
            <w:tcW w:w="2148" w:type="dxa"/>
          </w:tcPr>
          <w:p w14:paraId="3E9E758C" w14:textId="5F5FEA57" w:rsidR="00923906" w:rsidRDefault="002A6679" w:rsidP="00235CA5">
            <w:pPr>
              <w:rPr>
                <w:noProof/>
              </w:rPr>
            </w:pPr>
            <w:r w:rsidRPr="002A6679">
              <w:rPr>
                <w:noProof/>
              </w:rPr>
              <w:t>Very satisfied</w:t>
            </w:r>
          </w:p>
        </w:tc>
        <w:tc>
          <w:tcPr>
            <w:tcW w:w="2148" w:type="dxa"/>
          </w:tcPr>
          <w:p w14:paraId="601051A7" w14:textId="2542289B" w:rsidR="00923906" w:rsidRDefault="00D87DBB" w:rsidP="00D87DBB">
            <w:pPr>
              <w:jc w:val="right"/>
              <w:rPr>
                <w:noProof/>
              </w:rPr>
            </w:pPr>
            <w:r>
              <w:rPr>
                <w:noProof/>
              </w:rPr>
              <w:t>291</w:t>
            </w:r>
          </w:p>
        </w:tc>
        <w:tc>
          <w:tcPr>
            <w:tcW w:w="2147" w:type="dxa"/>
          </w:tcPr>
          <w:p w14:paraId="6D194CAE" w14:textId="3BF8BBA0" w:rsidR="00923906" w:rsidRDefault="00D87DBB" w:rsidP="00D87DBB">
            <w:pPr>
              <w:jc w:val="right"/>
              <w:rPr>
                <w:noProof/>
              </w:rPr>
            </w:pPr>
            <w:r>
              <w:rPr>
                <w:noProof/>
              </w:rPr>
              <w:t>4.07</w:t>
            </w:r>
          </w:p>
        </w:tc>
        <w:tc>
          <w:tcPr>
            <w:tcW w:w="2147" w:type="dxa"/>
          </w:tcPr>
          <w:p w14:paraId="7E9FA751" w14:textId="70581B75" w:rsidR="00923906" w:rsidRDefault="00D87DBB" w:rsidP="00D87DBB">
            <w:pPr>
              <w:jc w:val="right"/>
              <w:rPr>
                <w:noProof/>
              </w:rPr>
            </w:pPr>
            <w:r>
              <w:rPr>
                <w:noProof/>
              </w:rPr>
              <w:t>4.07</w:t>
            </w:r>
          </w:p>
        </w:tc>
      </w:tr>
      <w:tr w:rsidR="00923906" w14:paraId="44495331" w14:textId="77777777" w:rsidTr="00923906">
        <w:tc>
          <w:tcPr>
            <w:tcW w:w="2148" w:type="dxa"/>
          </w:tcPr>
          <w:p w14:paraId="121ABCDC" w14:textId="693918F3" w:rsidR="00923906" w:rsidRDefault="002A6679" w:rsidP="00235CA5">
            <w:pPr>
              <w:rPr>
                <w:noProof/>
              </w:rPr>
            </w:pPr>
            <w:r w:rsidRPr="002A6679">
              <w:rPr>
                <w:noProof/>
              </w:rPr>
              <w:t>Satisfied</w:t>
            </w:r>
          </w:p>
        </w:tc>
        <w:tc>
          <w:tcPr>
            <w:tcW w:w="2148" w:type="dxa"/>
          </w:tcPr>
          <w:p w14:paraId="26CBEC89" w14:textId="44957A60" w:rsidR="00923906" w:rsidRDefault="00D87DBB" w:rsidP="00D87DBB">
            <w:pPr>
              <w:jc w:val="right"/>
              <w:rPr>
                <w:noProof/>
              </w:rPr>
            </w:pPr>
            <w:r>
              <w:rPr>
                <w:noProof/>
              </w:rPr>
              <w:t>2570</w:t>
            </w:r>
          </w:p>
        </w:tc>
        <w:tc>
          <w:tcPr>
            <w:tcW w:w="2147" w:type="dxa"/>
          </w:tcPr>
          <w:p w14:paraId="783E087A" w14:textId="7700A4FB" w:rsidR="00923906" w:rsidRDefault="00D87DBB" w:rsidP="00D87DBB">
            <w:pPr>
              <w:jc w:val="right"/>
              <w:rPr>
                <w:noProof/>
              </w:rPr>
            </w:pPr>
            <w:r>
              <w:rPr>
                <w:noProof/>
              </w:rPr>
              <w:t>35.97</w:t>
            </w:r>
          </w:p>
        </w:tc>
        <w:tc>
          <w:tcPr>
            <w:tcW w:w="2147" w:type="dxa"/>
          </w:tcPr>
          <w:p w14:paraId="7ED81FCF" w14:textId="1A1DE425" w:rsidR="00923906" w:rsidRDefault="00D87DBB" w:rsidP="00D87DBB">
            <w:pPr>
              <w:jc w:val="right"/>
              <w:rPr>
                <w:noProof/>
              </w:rPr>
            </w:pPr>
            <w:r>
              <w:rPr>
                <w:noProof/>
              </w:rPr>
              <w:t>40.05</w:t>
            </w:r>
          </w:p>
        </w:tc>
      </w:tr>
      <w:tr w:rsidR="00923906" w14:paraId="03881A43" w14:textId="77777777" w:rsidTr="00923906">
        <w:tc>
          <w:tcPr>
            <w:tcW w:w="2148" w:type="dxa"/>
          </w:tcPr>
          <w:p w14:paraId="4C09568B" w14:textId="7C32C0FC" w:rsidR="00923906" w:rsidRDefault="002A6679" w:rsidP="00235CA5">
            <w:pPr>
              <w:rPr>
                <w:noProof/>
              </w:rPr>
            </w:pPr>
            <w:r w:rsidRPr="002A6679">
              <w:rPr>
                <w:noProof/>
              </w:rPr>
              <w:t>Moderately satisfied</w:t>
            </w:r>
          </w:p>
        </w:tc>
        <w:tc>
          <w:tcPr>
            <w:tcW w:w="2148" w:type="dxa"/>
          </w:tcPr>
          <w:p w14:paraId="1D49E0E0" w14:textId="5D141978" w:rsidR="00923906" w:rsidRDefault="00D87DBB" w:rsidP="00D87DBB">
            <w:pPr>
              <w:jc w:val="right"/>
              <w:rPr>
                <w:noProof/>
              </w:rPr>
            </w:pPr>
            <w:r>
              <w:rPr>
                <w:noProof/>
              </w:rPr>
              <w:t>3036</w:t>
            </w:r>
          </w:p>
        </w:tc>
        <w:tc>
          <w:tcPr>
            <w:tcW w:w="2147" w:type="dxa"/>
          </w:tcPr>
          <w:p w14:paraId="3644A4B4" w14:textId="3934662A" w:rsidR="00923906" w:rsidRDefault="00D87DBB" w:rsidP="00D87DBB">
            <w:pPr>
              <w:jc w:val="right"/>
              <w:rPr>
                <w:noProof/>
              </w:rPr>
            </w:pPr>
            <w:r>
              <w:rPr>
                <w:noProof/>
              </w:rPr>
              <w:t>42.50</w:t>
            </w:r>
          </w:p>
        </w:tc>
        <w:tc>
          <w:tcPr>
            <w:tcW w:w="2147" w:type="dxa"/>
          </w:tcPr>
          <w:p w14:paraId="026F5121" w14:textId="64860DBA" w:rsidR="00923906" w:rsidRDefault="00D87DBB" w:rsidP="00D87DBB">
            <w:pPr>
              <w:jc w:val="right"/>
              <w:rPr>
                <w:noProof/>
              </w:rPr>
            </w:pPr>
            <w:r>
              <w:rPr>
                <w:noProof/>
              </w:rPr>
              <w:t>82.54</w:t>
            </w:r>
          </w:p>
        </w:tc>
      </w:tr>
      <w:tr w:rsidR="00923906" w14:paraId="6F3680D6" w14:textId="77777777" w:rsidTr="00923906">
        <w:tc>
          <w:tcPr>
            <w:tcW w:w="2148" w:type="dxa"/>
          </w:tcPr>
          <w:p w14:paraId="17642375" w14:textId="6E26D304" w:rsidR="00923906" w:rsidRDefault="002A6679" w:rsidP="00235CA5">
            <w:pPr>
              <w:rPr>
                <w:noProof/>
              </w:rPr>
            </w:pPr>
            <w:r w:rsidRPr="002A6679">
              <w:rPr>
                <w:noProof/>
              </w:rPr>
              <w:t>Dissatisfied</w:t>
            </w:r>
          </w:p>
        </w:tc>
        <w:tc>
          <w:tcPr>
            <w:tcW w:w="2148" w:type="dxa"/>
          </w:tcPr>
          <w:p w14:paraId="77B102ED" w14:textId="0F096C3B" w:rsidR="00923906" w:rsidRDefault="00D87DBB" w:rsidP="00D87DBB">
            <w:pPr>
              <w:jc w:val="right"/>
              <w:rPr>
                <w:noProof/>
              </w:rPr>
            </w:pPr>
            <w:r>
              <w:rPr>
                <w:noProof/>
              </w:rPr>
              <w:t>1084</w:t>
            </w:r>
          </w:p>
        </w:tc>
        <w:tc>
          <w:tcPr>
            <w:tcW w:w="2147" w:type="dxa"/>
          </w:tcPr>
          <w:p w14:paraId="5CCA4155" w14:textId="14567615" w:rsidR="00923906" w:rsidRDefault="00D87DBB" w:rsidP="00D87DBB">
            <w:pPr>
              <w:jc w:val="right"/>
              <w:rPr>
                <w:noProof/>
              </w:rPr>
            </w:pPr>
            <w:r>
              <w:rPr>
                <w:noProof/>
              </w:rPr>
              <w:t>15.17</w:t>
            </w:r>
          </w:p>
        </w:tc>
        <w:tc>
          <w:tcPr>
            <w:tcW w:w="2147" w:type="dxa"/>
          </w:tcPr>
          <w:p w14:paraId="56394C71" w14:textId="7D6CE9F1" w:rsidR="00923906" w:rsidRDefault="00D87DBB" w:rsidP="00D87DBB">
            <w:pPr>
              <w:jc w:val="right"/>
              <w:rPr>
                <w:noProof/>
              </w:rPr>
            </w:pPr>
            <w:r>
              <w:rPr>
                <w:noProof/>
              </w:rPr>
              <w:t>97.72</w:t>
            </w:r>
          </w:p>
        </w:tc>
      </w:tr>
      <w:tr w:rsidR="00923906" w14:paraId="3C129863" w14:textId="77777777" w:rsidTr="00923906">
        <w:tc>
          <w:tcPr>
            <w:tcW w:w="2148" w:type="dxa"/>
          </w:tcPr>
          <w:p w14:paraId="18F98044" w14:textId="2B431C37" w:rsidR="00923906" w:rsidRDefault="002A6679" w:rsidP="00235CA5">
            <w:pPr>
              <w:rPr>
                <w:noProof/>
              </w:rPr>
            </w:pPr>
            <w:r w:rsidRPr="002A6679">
              <w:rPr>
                <w:noProof/>
              </w:rPr>
              <w:t>Very dissatisfied</w:t>
            </w:r>
          </w:p>
        </w:tc>
        <w:tc>
          <w:tcPr>
            <w:tcW w:w="2148" w:type="dxa"/>
          </w:tcPr>
          <w:p w14:paraId="36BA612F" w14:textId="2010A07C" w:rsidR="00923906" w:rsidRDefault="00D87DBB" w:rsidP="00D87DBB">
            <w:pPr>
              <w:jc w:val="right"/>
              <w:rPr>
                <w:noProof/>
              </w:rPr>
            </w:pPr>
            <w:r>
              <w:rPr>
                <w:noProof/>
              </w:rPr>
              <w:t>163</w:t>
            </w:r>
          </w:p>
        </w:tc>
        <w:tc>
          <w:tcPr>
            <w:tcW w:w="2147" w:type="dxa"/>
          </w:tcPr>
          <w:p w14:paraId="272F0F8F" w14:textId="0B0E6DA8" w:rsidR="00923906" w:rsidRDefault="00D87DBB" w:rsidP="00D87DBB">
            <w:pPr>
              <w:jc w:val="right"/>
              <w:rPr>
                <w:noProof/>
              </w:rPr>
            </w:pPr>
            <w:r>
              <w:rPr>
                <w:noProof/>
              </w:rPr>
              <w:t>2.28</w:t>
            </w:r>
          </w:p>
        </w:tc>
        <w:tc>
          <w:tcPr>
            <w:tcW w:w="2147" w:type="dxa"/>
          </w:tcPr>
          <w:p w14:paraId="53749F5D" w14:textId="00FCD2B2" w:rsidR="00923906" w:rsidRDefault="00D87DBB" w:rsidP="00D87DBB">
            <w:pPr>
              <w:jc w:val="right"/>
              <w:rPr>
                <w:noProof/>
              </w:rPr>
            </w:pPr>
            <w:r>
              <w:rPr>
                <w:noProof/>
              </w:rPr>
              <w:t>100.00</w:t>
            </w:r>
          </w:p>
        </w:tc>
      </w:tr>
      <w:tr w:rsidR="00D87DBB" w14:paraId="7143FC8E" w14:textId="77777777" w:rsidTr="00D87DBB">
        <w:tc>
          <w:tcPr>
            <w:tcW w:w="2148" w:type="dxa"/>
          </w:tcPr>
          <w:p w14:paraId="4F7CF703" w14:textId="00AF195A" w:rsidR="00D87DBB" w:rsidRPr="00D87DBB" w:rsidRDefault="00D87DBB" w:rsidP="00D87DBB">
            <w:pPr>
              <w:jc w:val="center"/>
              <w:rPr>
                <w:b/>
                <w:bCs/>
                <w:noProof/>
              </w:rPr>
            </w:pPr>
            <w:r w:rsidRPr="00D87DBB">
              <w:rPr>
                <w:b/>
                <w:bCs/>
                <w:noProof/>
              </w:rPr>
              <w:t>Total</w:t>
            </w:r>
          </w:p>
        </w:tc>
        <w:tc>
          <w:tcPr>
            <w:tcW w:w="2148" w:type="dxa"/>
          </w:tcPr>
          <w:p w14:paraId="081D0576" w14:textId="47B1C5C7" w:rsidR="00D87DBB" w:rsidRPr="00D87DBB" w:rsidRDefault="00D87DBB" w:rsidP="00D87DBB">
            <w:pPr>
              <w:jc w:val="right"/>
              <w:rPr>
                <w:b/>
                <w:bCs/>
                <w:noProof/>
              </w:rPr>
            </w:pPr>
            <w:r>
              <w:rPr>
                <w:b/>
                <w:bCs/>
                <w:noProof/>
              </w:rPr>
              <w:t>7144</w:t>
            </w:r>
          </w:p>
        </w:tc>
        <w:tc>
          <w:tcPr>
            <w:tcW w:w="2147" w:type="dxa"/>
          </w:tcPr>
          <w:p w14:paraId="5C672B66" w14:textId="0FC68731" w:rsidR="00D87DBB" w:rsidRPr="00D87DBB" w:rsidRDefault="00D87DBB" w:rsidP="00D87DBB">
            <w:pPr>
              <w:jc w:val="right"/>
              <w:rPr>
                <w:b/>
                <w:bCs/>
                <w:noProof/>
              </w:rPr>
            </w:pPr>
            <w:r>
              <w:rPr>
                <w:b/>
                <w:bCs/>
                <w:noProof/>
              </w:rPr>
              <w:t>100.00</w:t>
            </w:r>
          </w:p>
        </w:tc>
        <w:tc>
          <w:tcPr>
            <w:tcW w:w="2147" w:type="dxa"/>
            <w:shd w:val="clear" w:color="auto" w:fill="808080" w:themeFill="background1" w:themeFillShade="80"/>
          </w:tcPr>
          <w:p w14:paraId="7CF8D659" w14:textId="77777777" w:rsidR="00D87DBB" w:rsidRPr="00D87DBB" w:rsidRDefault="00D87DBB" w:rsidP="00D87DBB">
            <w:pPr>
              <w:jc w:val="right"/>
              <w:rPr>
                <w:b/>
                <w:bCs/>
                <w:noProof/>
              </w:rPr>
            </w:pPr>
          </w:p>
        </w:tc>
      </w:tr>
    </w:tbl>
    <w:p w14:paraId="4A553137" w14:textId="77777777" w:rsidR="00923906" w:rsidRDefault="00923906" w:rsidP="00235CA5">
      <w:pPr>
        <w:ind w:left="426"/>
        <w:rPr>
          <w:noProof/>
        </w:rPr>
      </w:pPr>
    </w:p>
    <w:p w14:paraId="1F3F58DE" w14:textId="608879EB" w:rsidR="00D87DBB" w:rsidRDefault="002A6679" w:rsidP="00D87DBB">
      <w:pPr>
        <w:ind w:left="426"/>
        <w:jc w:val="both"/>
        <w:rPr>
          <w:noProof/>
        </w:rPr>
      </w:pPr>
      <w:r w:rsidRPr="002A6679">
        <w:rPr>
          <w:noProof/>
        </w:rPr>
        <w:lastRenderedPageBreak/>
        <w:t>Table 3 presents the distribution of people's life satisfaction levels based on respondents' perceptions of their lives as a whole. Overall, the majority of households fall into the moderate satisfaction category. 42.50 percent of respondents reported being somewhat satisfied, while 35.97 percent were satisfied. Combined, more than three-quarters of respondents (78.47 percent) reported relatively positive levels of life satisfaction. Conversely, the proportion of respondents with low subjective well-being was relatively smaller, with 15.17 percent reporting some dissatisfaction and 2.28 percent stating they were not satisfied at all. These findings indicate that while most people still maintain moderate levels of life satisfaction, a significant group is experiencing a vulnerable state of well-being.</w:t>
      </w:r>
    </w:p>
    <w:p w14:paraId="654FF273" w14:textId="56771CB8" w:rsidR="00923906" w:rsidRDefault="002A6679" w:rsidP="00D87DBB">
      <w:pPr>
        <w:ind w:left="426"/>
        <w:jc w:val="both"/>
        <w:rPr>
          <w:noProof/>
        </w:rPr>
      </w:pPr>
      <w:r w:rsidRPr="002A6679">
        <w:rPr>
          <w:noProof/>
        </w:rPr>
        <w:t>This distribution provides important context for understanding the results of previous empirical analyses related to disaster impacts. The dominance of the medium satisfaction category indicates that community well-being is in a relatively fragile position, where external shocks such as disasters have the potential to shift perceptions from relatively satisfied to dissatisfied. In the context of disaster-prone Indonesia, this structure of life satisfaction reflects that disaster impacts do not always trigger extreme dissatisfaction immediately, but more often erode well-being gradually. Thus, these descriptive findings reinforce the regression results</w:t>
      </w:r>
      <w:r w:rsidR="00383637">
        <w:rPr>
          <w:noProof/>
        </w:rPr>
        <w:t>,</w:t>
      </w:r>
      <w:r w:rsidRPr="002A6679">
        <w:rPr>
          <w:noProof/>
        </w:rPr>
        <w:t xml:space="preserve"> indicating that disaster intensity significantly influences community well-being, primarily through a decline in perceived quality of life and increased well-being in certain household groups.</w:t>
      </w:r>
    </w:p>
    <w:p w14:paraId="322A273C" w14:textId="37E795A2" w:rsidR="00D87DBB" w:rsidRDefault="00D87DBB" w:rsidP="00D87DBB">
      <w:pPr>
        <w:ind w:left="426"/>
        <w:jc w:val="center"/>
        <w:rPr>
          <w:noProof/>
        </w:rPr>
      </w:pPr>
      <w:r w:rsidRPr="00B076F7">
        <w:rPr>
          <w:b/>
          <w:bCs/>
          <w:noProof/>
        </w:rPr>
        <w:t>Tabl</w:t>
      </w:r>
      <w:r w:rsidR="002A6679">
        <w:rPr>
          <w:b/>
          <w:bCs/>
          <w:noProof/>
        </w:rPr>
        <w:t>e</w:t>
      </w:r>
      <w:r w:rsidRPr="00B076F7">
        <w:rPr>
          <w:b/>
          <w:bCs/>
          <w:noProof/>
        </w:rPr>
        <w:t xml:space="preserve"> </w:t>
      </w:r>
      <w:r>
        <w:rPr>
          <w:b/>
          <w:bCs/>
          <w:noProof/>
        </w:rPr>
        <w:t>4</w:t>
      </w:r>
      <w:r w:rsidRPr="00B076F7">
        <w:rPr>
          <w:b/>
          <w:bCs/>
          <w:noProof/>
        </w:rPr>
        <w:t>.</w:t>
      </w:r>
      <w:r>
        <w:rPr>
          <w:noProof/>
        </w:rPr>
        <w:t xml:space="preserve"> </w:t>
      </w:r>
      <w:r w:rsidR="002A6679" w:rsidRPr="002A6679">
        <w:rPr>
          <w:noProof/>
        </w:rPr>
        <w:t>Number of Households by Life Expectancy Category in the Next 5 Years</w:t>
      </w:r>
    </w:p>
    <w:tbl>
      <w:tblPr>
        <w:tblStyle w:val="TableGrid"/>
        <w:tblW w:w="0" w:type="auto"/>
        <w:tblInd w:w="426" w:type="dxa"/>
        <w:tblLook w:val="04A0" w:firstRow="1" w:lastRow="0" w:firstColumn="1" w:lastColumn="0" w:noHBand="0" w:noVBand="1"/>
      </w:tblPr>
      <w:tblGrid>
        <w:gridCol w:w="2148"/>
        <w:gridCol w:w="2148"/>
        <w:gridCol w:w="2147"/>
        <w:gridCol w:w="2147"/>
      </w:tblGrid>
      <w:tr w:rsidR="00D87DBB" w14:paraId="1B9387A7" w14:textId="77777777" w:rsidTr="004C1743">
        <w:tc>
          <w:tcPr>
            <w:tcW w:w="2148" w:type="dxa"/>
          </w:tcPr>
          <w:p w14:paraId="7F762D9C" w14:textId="1DF57AAB" w:rsidR="00D87DBB" w:rsidRPr="00D87DBB" w:rsidRDefault="002A6679" w:rsidP="004C1743">
            <w:pPr>
              <w:jc w:val="center"/>
              <w:rPr>
                <w:b/>
                <w:bCs/>
                <w:noProof/>
              </w:rPr>
            </w:pPr>
            <w:r w:rsidRPr="002A6679">
              <w:rPr>
                <w:b/>
                <w:bCs/>
                <w:noProof/>
              </w:rPr>
              <w:t>Expectation Category</w:t>
            </w:r>
          </w:p>
        </w:tc>
        <w:tc>
          <w:tcPr>
            <w:tcW w:w="2148" w:type="dxa"/>
          </w:tcPr>
          <w:p w14:paraId="73C0A4D1" w14:textId="2AD29E1D" w:rsidR="00D87DBB" w:rsidRPr="00D87DBB" w:rsidRDefault="00D87DBB" w:rsidP="004C1743">
            <w:pPr>
              <w:jc w:val="center"/>
              <w:rPr>
                <w:b/>
                <w:bCs/>
                <w:noProof/>
              </w:rPr>
            </w:pPr>
            <w:r w:rsidRPr="00D87DBB">
              <w:rPr>
                <w:b/>
                <w:bCs/>
                <w:noProof/>
              </w:rPr>
              <w:t>Fre</w:t>
            </w:r>
            <w:r w:rsidR="002A6679">
              <w:rPr>
                <w:b/>
                <w:bCs/>
                <w:noProof/>
              </w:rPr>
              <w:t>q</w:t>
            </w:r>
            <w:r w:rsidRPr="00D87DBB">
              <w:rPr>
                <w:b/>
                <w:bCs/>
                <w:noProof/>
              </w:rPr>
              <w:t>uen</w:t>
            </w:r>
            <w:r w:rsidR="002A6679">
              <w:rPr>
                <w:b/>
                <w:bCs/>
                <w:noProof/>
              </w:rPr>
              <w:t>cy</w:t>
            </w:r>
          </w:p>
        </w:tc>
        <w:tc>
          <w:tcPr>
            <w:tcW w:w="2147" w:type="dxa"/>
          </w:tcPr>
          <w:p w14:paraId="407FDC8A" w14:textId="084799E5" w:rsidR="00D87DBB" w:rsidRPr="00D87DBB" w:rsidRDefault="00D87DBB" w:rsidP="004C1743">
            <w:pPr>
              <w:jc w:val="center"/>
              <w:rPr>
                <w:b/>
                <w:bCs/>
                <w:noProof/>
              </w:rPr>
            </w:pPr>
            <w:r w:rsidRPr="00D87DBB">
              <w:rPr>
                <w:b/>
                <w:bCs/>
                <w:noProof/>
              </w:rPr>
              <w:t>Per</w:t>
            </w:r>
            <w:r w:rsidR="002A6679">
              <w:rPr>
                <w:b/>
                <w:bCs/>
                <w:noProof/>
              </w:rPr>
              <w:t>centage</w:t>
            </w:r>
            <w:r>
              <w:rPr>
                <w:b/>
                <w:bCs/>
                <w:noProof/>
              </w:rPr>
              <w:t xml:space="preserve"> (%)</w:t>
            </w:r>
          </w:p>
        </w:tc>
        <w:tc>
          <w:tcPr>
            <w:tcW w:w="2147" w:type="dxa"/>
          </w:tcPr>
          <w:p w14:paraId="043C624B" w14:textId="577F4848" w:rsidR="00D87DBB" w:rsidRPr="00D87DBB" w:rsidRDefault="002A6679" w:rsidP="004C1743">
            <w:pPr>
              <w:jc w:val="center"/>
              <w:rPr>
                <w:b/>
                <w:bCs/>
                <w:noProof/>
              </w:rPr>
            </w:pPr>
            <w:r>
              <w:rPr>
                <w:b/>
                <w:bCs/>
                <w:noProof/>
              </w:rPr>
              <w:t>C</w:t>
            </w:r>
            <w:r w:rsidR="00D87DBB" w:rsidRPr="00D87DBB">
              <w:rPr>
                <w:b/>
                <w:bCs/>
                <w:noProof/>
              </w:rPr>
              <w:t>umulait</w:t>
            </w:r>
            <w:r>
              <w:rPr>
                <w:b/>
                <w:bCs/>
                <w:noProof/>
              </w:rPr>
              <w:t>ve</w:t>
            </w:r>
            <w:r w:rsidR="00D87DBB">
              <w:rPr>
                <w:b/>
                <w:bCs/>
                <w:noProof/>
              </w:rPr>
              <w:t xml:space="preserve"> (%)</w:t>
            </w:r>
          </w:p>
        </w:tc>
      </w:tr>
      <w:tr w:rsidR="00D87DBB" w14:paraId="6930871C" w14:textId="77777777" w:rsidTr="004C1743">
        <w:tc>
          <w:tcPr>
            <w:tcW w:w="2148" w:type="dxa"/>
          </w:tcPr>
          <w:p w14:paraId="05C7D22F" w14:textId="370A7FEE" w:rsidR="00D87DBB" w:rsidRDefault="002A6679" w:rsidP="004C1743">
            <w:pPr>
              <w:rPr>
                <w:noProof/>
              </w:rPr>
            </w:pPr>
            <w:r w:rsidRPr="002A6679">
              <w:rPr>
                <w:noProof/>
              </w:rPr>
              <w:t>Very Good</w:t>
            </w:r>
          </w:p>
        </w:tc>
        <w:tc>
          <w:tcPr>
            <w:tcW w:w="2148" w:type="dxa"/>
          </w:tcPr>
          <w:p w14:paraId="5DD7179C" w14:textId="5A337F4A" w:rsidR="00D87DBB" w:rsidRDefault="004C6A3F" w:rsidP="004C1743">
            <w:pPr>
              <w:jc w:val="right"/>
              <w:rPr>
                <w:noProof/>
              </w:rPr>
            </w:pPr>
            <w:r>
              <w:rPr>
                <w:noProof/>
              </w:rPr>
              <w:t>366</w:t>
            </w:r>
          </w:p>
        </w:tc>
        <w:tc>
          <w:tcPr>
            <w:tcW w:w="2147" w:type="dxa"/>
          </w:tcPr>
          <w:p w14:paraId="1FB1A0E7" w14:textId="7F03E809" w:rsidR="00D87DBB" w:rsidRDefault="004C6A3F" w:rsidP="004C1743">
            <w:pPr>
              <w:jc w:val="right"/>
              <w:rPr>
                <w:noProof/>
              </w:rPr>
            </w:pPr>
            <w:r>
              <w:rPr>
                <w:noProof/>
              </w:rPr>
              <w:t>5.12</w:t>
            </w:r>
          </w:p>
        </w:tc>
        <w:tc>
          <w:tcPr>
            <w:tcW w:w="2147" w:type="dxa"/>
          </w:tcPr>
          <w:p w14:paraId="7C76809A" w14:textId="2E367385" w:rsidR="00D87DBB" w:rsidRDefault="004C6A3F" w:rsidP="004C1743">
            <w:pPr>
              <w:jc w:val="right"/>
              <w:rPr>
                <w:noProof/>
              </w:rPr>
            </w:pPr>
            <w:r>
              <w:rPr>
                <w:noProof/>
              </w:rPr>
              <w:t>5.12</w:t>
            </w:r>
          </w:p>
        </w:tc>
      </w:tr>
      <w:tr w:rsidR="00D87DBB" w14:paraId="151461FC" w14:textId="77777777" w:rsidTr="004C1743">
        <w:tc>
          <w:tcPr>
            <w:tcW w:w="2148" w:type="dxa"/>
          </w:tcPr>
          <w:p w14:paraId="05BC1E0F" w14:textId="4122518F" w:rsidR="00D87DBB" w:rsidRDefault="002A6679" w:rsidP="004C1743">
            <w:pPr>
              <w:rPr>
                <w:noProof/>
              </w:rPr>
            </w:pPr>
            <w:r w:rsidRPr="002A6679">
              <w:rPr>
                <w:noProof/>
              </w:rPr>
              <w:t>Good</w:t>
            </w:r>
          </w:p>
        </w:tc>
        <w:tc>
          <w:tcPr>
            <w:tcW w:w="2148" w:type="dxa"/>
          </w:tcPr>
          <w:p w14:paraId="1CD9D39C" w14:textId="73948A25" w:rsidR="00D87DBB" w:rsidRDefault="004C6A3F" w:rsidP="004C1743">
            <w:pPr>
              <w:jc w:val="right"/>
              <w:rPr>
                <w:noProof/>
              </w:rPr>
            </w:pPr>
            <w:r>
              <w:rPr>
                <w:noProof/>
              </w:rPr>
              <w:t>3868</w:t>
            </w:r>
          </w:p>
        </w:tc>
        <w:tc>
          <w:tcPr>
            <w:tcW w:w="2147" w:type="dxa"/>
          </w:tcPr>
          <w:p w14:paraId="6B97B6F3" w14:textId="2E0B3126" w:rsidR="00D87DBB" w:rsidRDefault="004C6A3F" w:rsidP="004C1743">
            <w:pPr>
              <w:jc w:val="right"/>
              <w:rPr>
                <w:noProof/>
              </w:rPr>
            </w:pPr>
            <w:r>
              <w:rPr>
                <w:noProof/>
              </w:rPr>
              <w:t>54.15</w:t>
            </w:r>
          </w:p>
        </w:tc>
        <w:tc>
          <w:tcPr>
            <w:tcW w:w="2147" w:type="dxa"/>
          </w:tcPr>
          <w:p w14:paraId="365279B8" w14:textId="6BDC9E1D" w:rsidR="00D87DBB" w:rsidRDefault="004C6A3F" w:rsidP="004C1743">
            <w:pPr>
              <w:jc w:val="right"/>
              <w:rPr>
                <w:noProof/>
              </w:rPr>
            </w:pPr>
            <w:r>
              <w:rPr>
                <w:noProof/>
              </w:rPr>
              <w:t>59.27</w:t>
            </w:r>
          </w:p>
        </w:tc>
      </w:tr>
      <w:tr w:rsidR="00D87DBB" w14:paraId="4E81F3B7" w14:textId="77777777" w:rsidTr="004C1743">
        <w:tc>
          <w:tcPr>
            <w:tcW w:w="2148" w:type="dxa"/>
          </w:tcPr>
          <w:p w14:paraId="49FFC7BA" w14:textId="0C4A071A" w:rsidR="00D87DBB" w:rsidRDefault="002A6679" w:rsidP="004C1743">
            <w:pPr>
              <w:rPr>
                <w:noProof/>
              </w:rPr>
            </w:pPr>
            <w:r w:rsidRPr="002A6679">
              <w:rPr>
                <w:noProof/>
              </w:rPr>
              <w:t>Poor</w:t>
            </w:r>
          </w:p>
        </w:tc>
        <w:tc>
          <w:tcPr>
            <w:tcW w:w="2148" w:type="dxa"/>
          </w:tcPr>
          <w:p w14:paraId="749E19D6" w14:textId="22C169CC" w:rsidR="00D87DBB" w:rsidRDefault="004C6A3F" w:rsidP="004C1743">
            <w:pPr>
              <w:jc w:val="right"/>
              <w:rPr>
                <w:noProof/>
              </w:rPr>
            </w:pPr>
            <w:r>
              <w:rPr>
                <w:noProof/>
              </w:rPr>
              <w:t>2342</w:t>
            </w:r>
          </w:p>
        </w:tc>
        <w:tc>
          <w:tcPr>
            <w:tcW w:w="2147" w:type="dxa"/>
          </w:tcPr>
          <w:p w14:paraId="70521CD4" w14:textId="27F29286" w:rsidR="00D87DBB" w:rsidRDefault="004C6A3F" w:rsidP="004C1743">
            <w:pPr>
              <w:jc w:val="right"/>
              <w:rPr>
                <w:noProof/>
              </w:rPr>
            </w:pPr>
            <w:r>
              <w:rPr>
                <w:noProof/>
              </w:rPr>
              <w:t>32.79</w:t>
            </w:r>
          </w:p>
        </w:tc>
        <w:tc>
          <w:tcPr>
            <w:tcW w:w="2147" w:type="dxa"/>
          </w:tcPr>
          <w:p w14:paraId="1928D50C" w14:textId="6C37440E" w:rsidR="00D87DBB" w:rsidRDefault="004C6A3F" w:rsidP="004C1743">
            <w:pPr>
              <w:jc w:val="right"/>
              <w:rPr>
                <w:noProof/>
              </w:rPr>
            </w:pPr>
            <w:r>
              <w:rPr>
                <w:noProof/>
              </w:rPr>
              <w:t>92.06</w:t>
            </w:r>
          </w:p>
        </w:tc>
      </w:tr>
      <w:tr w:rsidR="00D87DBB" w14:paraId="58D41F9E" w14:textId="77777777" w:rsidTr="004C1743">
        <w:tc>
          <w:tcPr>
            <w:tcW w:w="2148" w:type="dxa"/>
          </w:tcPr>
          <w:p w14:paraId="6A6FA2D2" w14:textId="1D3EB777" w:rsidR="00D87DBB" w:rsidRDefault="002A6679" w:rsidP="004C1743">
            <w:pPr>
              <w:rPr>
                <w:noProof/>
              </w:rPr>
            </w:pPr>
            <w:r w:rsidRPr="002A6679">
              <w:rPr>
                <w:noProof/>
              </w:rPr>
              <w:t>Very Poor</w:t>
            </w:r>
          </w:p>
        </w:tc>
        <w:tc>
          <w:tcPr>
            <w:tcW w:w="2148" w:type="dxa"/>
          </w:tcPr>
          <w:p w14:paraId="57C64F58" w14:textId="07771431" w:rsidR="00D87DBB" w:rsidRDefault="004C6A3F" w:rsidP="004C1743">
            <w:pPr>
              <w:jc w:val="right"/>
              <w:rPr>
                <w:noProof/>
              </w:rPr>
            </w:pPr>
            <w:r>
              <w:rPr>
                <w:noProof/>
              </w:rPr>
              <w:t>567</w:t>
            </w:r>
          </w:p>
        </w:tc>
        <w:tc>
          <w:tcPr>
            <w:tcW w:w="2147" w:type="dxa"/>
          </w:tcPr>
          <w:p w14:paraId="6DDEC2E0" w14:textId="356F7BBF" w:rsidR="00D87DBB" w:rsidRDefault="004C6A3F" w:rsidP="004C1743">
            <w:pPr>
              <w:jc w:val="right"/>
              <w:rPr>
                <w:noProof/>
              </w:rPr>
            </w:pPr>
            <w:r>
              <w:rPr>
                <w:noProof/>
              </w:rPr>
              <w:t>7.94</w:t>
            </w:r>
          </w:p>
        </w:tc>
        <w:tc>
          <w:tcPr>
            <w:tcW w:w="2147" w:type="dxa"/>
          </w:tcPr>
          <w:p w14:paraId="15E6F866" w14:textId="7760AC88" w:rsidR="00D87DBB" w:rsidRDefault="004C6A3F" w:rsidP="004C1743">
            <w:pPr>
              <w:jc w:val="right"/>
              <w:rPr>
                <w:noProof/>
              </w:rPr>
            </w:pPr>
            <w:r>
              <w:rPr>
                <w:noProof/>
              </w:rPr>
              <w:t>100.00</w:t>
            </w:r>
          </w:p>
        </w:tc>
      </w:tr>
      <w:tr w:rsidR="00D87DBB" w14:paraId="75F28681" w14:textId="77777777" w:rsidTr="004C1743">
        <w:tc>
          <w:tcPr>
            <w:tcW w:w="2148" w:type="dxa"/>
          </w:tcPr>
          <w:p w14:paraId="5BE18041" w14:textId="77777777" w:rsidR="00D87DBB" w:rsidRPr="00D87DBB" w:rsidRDefault="00D87DBB" w:rsidP="004C1743">
            <w:pPr>
              <w:jc w:val="center"/>
              <w:rPr>
                <w:b/>
                <w:bCs/>
                <w:noProof/>
              </w:rPr>
            </w:pPr>
            <w:r w:rsidRPr="00D87DBB">
              <w:rPr>
                <w:b/>
                <w:bCs/>
                <w:noProof/>
              </w:rPr>
              <w:t>Total</w:t>
            </w:r>
          </w:p>
        </w:tc>
        <w:tc>
          <w:tcPr>
            <w:tcW w:w="2148" w:type="dxa"/>
          </w:tcPr>
          <w:p w14:paraId="75023712" w14:textId="1D9D4475" w:rsidR="00D87DBB" w:rsidRPr="00D87DBB" w:rsidRDefault="00D87DBB" w:rsidP="004C1743">
            <w:pPr>
              <w:jc w:val="right"/>
              <w:rPr>
                <w:b/>
                <w:bCs/>
                <w:noProof/>
              </w:rPr>
            </w:pPr>
            <w:r>
              <w:rPr>
                <w:b/>
                <w:bCs/>
                <w:noProof/>
              </w:rPr>
              <w:t>714</w:t>
            </w:r>
            <w:r w:rsidR="004C6A3F">
              <w:rPr>
                <w:b/>
                <w:bCs/>
                <w:noProof/>
              </w:rPr>
              <w:t>3</w:t>
            </w:r>
          </w:p>
        </w:tc>
        <w:tc>
          <w:tcPr>
            <w:tcW w:w="2147" w:type="dxa"/>
          </w:tcPr>
          <w:p w14:paraId="7107983C" w14:textId="77777777" w:rsidR="00D87DBB" w:rsidRPr="00D87DBB" w:rsidRDefault="00D87DBB" w:rsidP="004C1743">
            <w:pPr>
              <w:jc w:val="right"/>
              <w:rPr>
                <w:b/>
                <w:bCs/>
                <w:noProof/>
              </w:rPr>
            </w:pPr>
            <w:r>
              <w:rPr>
                <w:b/>
                <w:bCs/>
                <w:noProof/>
              </w:rPr>
              <w:t>100.00</w:t>
            </w:r>
          </w:p>
        </w:tc>
        <w:tc>
          <w:tcPr>
            <w:tcW w:w="2147" w:type="dxa"/>
            <w:shd w:val="clear" w:color="auto" w:fill="808080" w:themeFill="background1" w:themeFillShade="80"/>
          </w:tcPr>
          <w:p w14:paraId="4B6828D0" w14:textId="77777777" w:rsidR="00D87DBB" w:rsidRPr="00D87DBB" w:rsidRDefault="00D87DBB" w:rsidP="004C1743">
            <w:pPr>
              <w:jc w:val="right"/>
              <w:rPr>
                <w:b/>
                <w:bCs/>
                <w:noProof/>
              </w:rPr>
            </w:pPr>
          </w:p>
        </w:tc>
      </w:tr>
    </w:tbl>
    <w:p w14:paraId="7BD1ED2E" w14:textId="77777777" w:rsidR="00D87DBB" w:rsidRDefault="00D87DBB" w:rsidP="00D87DBB">
      <w:pPr>
        <w:ind w:left="426"/>
        <w:jc w:val="both"/>
        <w:rPr>
          <w:noProof/>
        </w:rPr>
      </w:pPr>
    </w:p>
    <w:p w14:paraId="352778A9" w14:textId="16933D3D" w:rsidR="00D87DBB" w:rsidRDefault="002A6679" w:rsidP="00D87DBB">
      <w:pPr>
        <w:ind w:left="426"/>
        <w:jc w:val="both"/>
        <w:rPr>
          <w:noProof/>
        </w:rPr>
      </w:pPr>
      <w:r w:rsidRPr="002A6679">
        <w:rPr>
          <w:noProof/>
        </w:rPr>
        <w:t>The distribution of life expectancies for the next five years in Table 4 shows that the majority of the population still holds a relatively optimistic view of their ability to maintain their standard of living. Fifty-four percent of respondents stated that it was possible and 5.12 percent stated that it was very likely, resulting in a total of approximately 59.27 percent of households holding positive expectations regarding their future living conditions. However, the proportion of respondents with negative expectations was also quite large. Thirty-two percent stated that it was unlikely and 7.94 percent stated that it was very unlikely, meaning that approximately 40.73 percent of households viewed their future with a relatively high level of pessimism. This pattern indicates a fragmentation of expectations in society, where optimism and vulnerability about the future coexist significantly.</w:t>
      </w:r>
    </w:p>
    <w:p w14:paraId="6B8C71A6" w14:textId="34A3FD76" w:rsidR="00D87DBB" w:rsidRDefault="00923056" w:rsidP="00D87DBB">
      <w:pPr>
        <w:ind w:left="426"/>
        <w:jc w:val="both"/>
        <w:rPr>
          <w:noProof/>
        </w:rPr>
      </w:pPr>
      <w:r w:rsidRPr="00923056">
        <w:rPr>
          <w:noProof/>
        </w:rPr>
        <w:t>This distribution provides important insights into how uncertainty shapes people's perceptions of the future, particularly in a country like Indonesia with a high level of disaster exposure. The proportion of households with negative expectations reflects structural concerns about livelihood stability and the sustainability of well-being. In this context, the experience of repeated shocks, including disasters, has the potential to weaken people's confidence in their ability to maintain their standard of living in the medium term. Thus, these descriptive findings reinforce previous empirical results showing that disaster intensity not only impacts current well-being but also erodes people's hopes and optimism for their future.</w:t>
      </w:r>
    </w:p>
    <w:p w14:paraId="70222F35" w14:textId="4FE7EF37" w:rsidR="00B153F3" w:rsidRDefault="00B153F3" w:rsidP="00B153F3">
      <w:pPr>
        <w:ind w:left="426"/>
        <w:jc w:val="center"/>
        <w:rPr>
          <w:noProof/>
        </w:rPr>
      </w:pPr>
      <w:r w:rsidRPr="00B076F7">
        <w:rPr>
          <w:b/>
          <w:bCs/>
          <w:noProof/>
        </w:rPr>
        <w:lastRenderedPageBreak/>
        <w:t>Tabl</w:t>
      </w:r>
      <w:r w:rsidR="00923056">
        <w:rPr>
          <w:b/>
          <w:bCs/>
          <w:noProof/>
        </w:rPr>
        <w:t>e</w:t>
      </w:r>
      <w:r w:rsidRPr="00B076F7">
        <w:rPr>
          <w:b/>
          <w:bCs/>
          <w:noProof/>
        </w:rPr>
        <w:t xml:space="preserve"> </w:t>
      </w:r>
      <w:r>
        <w:rPr>
          <w:b/>
          <w:bCs/>
          <w:noProof/>
        </w:rPr>
        <w:t>5</w:t>
      </w:r>
      <w:r w:rsidRPr="00B076F7">
        <w:rPr>
          <w:b/>
          <w:bCs/>
          <w:noProof/>
        </w:rPr>
        <w:t>.</w:t>
      </w:r>
      <w:r>
        <w:rPr>
          <w:noProof/>
        </w:rPr>
        <w:t xml:space="preserve"> </w:t>
      </w:r>
      <w:r w:rsidR="00923056" w:rsidRPr="00923056">
        <w:rPr>
          <w:noProof/>
        </w:rPr>
        <w:t>Number of Households by Standard of Living Assessment Category</w:t>
      </w:r>
    </w:p>
    <w:tbl>
      <w:tblPr>
        <w:tblStyle w:val="TableGrid"/>
        <w:tblW w:w="0" w:type="auto"/>
        <w:tblInd w:w="426" w:type="dxa"/>
        <w:tblLook w:val="04A0" w:firstRow="1" w:lastRow="0" w:firstColumn="1" w:lastColumn="0" w:noHBand="0" w:noVBand="1"/>
      </w:tblPr>
      <w:tblGrid>
        <w:gridCol w:w="2148"/>
        <w:gridCol w:w="2148"/>
        <w:gridCol w:w="2147"/>
        <w:gridCol w:w="2147"/>
      </w:tblGrid>
      <w:tr w:rsidR="00B153F3" w14:paraId="6BA498FC" w14:textId="77777777" w:rsidTr="004C1743">
        <w:tc>
          <w:tcPr>
            <w:tcW w:w="2148" w:type="dxa"/>
          </w:tcPr>
          <w:p w14:paraId="6A79E788" w14:textId="7470DB37" w:rsidR="00B153F3" w:rsidRPr="00D87DBB" w:rsidRDefault="00923056" w:rsidP="004C1743">
            <w:pPr>
              <w:jc w:val="center"/>
              <w:rPr>
                <w:b/>
                <w:bCs/>
                <w:noProof/>
              </w:rPr>
            </w:pPr>
            <w:r w:rsidRPr="00923056">
              <w:rPr>
                <w:b/>
                <w:bCs/>
                <w:noProof/>
              </w:rPr>
              <w:t>Standard of Living Assessment Categories</w:t>
            </w:r>
          </w:p>
        </w:tc>
        <w:tc>
          <w:tcPr>
            <w:tcW w:w="2148" w:type="dxa"/>
          </w:tcPr>
          <w:p w14:paraId="61B4402B" w14:textId="434EBCD7" w:rsidR="00B153F3" w:rsidRPr="00D87DBB" w:rsidRDefault="00B153F3" w:rsidP="004C1743">
            <w:pPr>
              <w:jc w:val="center"/>
              <w:rPr>
                <w:b/>
                <w:bCs/>
                <w:noProof/>
              </w:rPr>
            </w:pPr>
            <w:r w:rsidRPr="00D87DBB">
              <w:rPr>
                <w:b/>
                <w:bCs/>
                <w:noProof/>
              </w:rPr>
              <w:t>Fre</w:t>
            </w:r>
            <w:r w:rsidR="00923056">
              <w:rPr>
                <w:b/>
                <w:bCs/>
                <w:noProof/>
              </w:rPr>
              <w:t>q</w:t>
            </w:r>
            <w:r w:rsidRPr="00D87DBB">
              <w:rPr>
                <w:b/>
                <w:bCs/>
                <w:noProof/>
              </w:rPr>
              <w:t>uen</w:t>
            </w:r>
            <w:r w:rsidR="00923056">
              <w:rPr>
                <w:b/>
                <w:bCs/>
                <w:noProof/>
              </w:rPr>
              <w:t>cy</w:t>
            </w:r>
          </w:p>
        </w:tc>
        <w:tc>
          <w:tcPr>
            <w:tcW w:w="2147" w:type="dxa"/>
          </w:tcPr>
          <w:p w14:paraId="5B0EA3CF" w14:textId="419F5FB9" w:rsidR="00B153F3" w:rsidRPr="00D87DBB" w:rsidRDefault="00B153F3" w:rsidP="004C1743">
            <w:pPr>
              <w:jc w:val="center"/>
              <w:rPr>
                <w:b/>
                <w:bCs/>
                <w:noProof/>
              </w:rPr>
            </w:pPr>
            <w:r w:rsidRPr="00D87DBB">
              <w:rPr>
                <w:b/>
                <w:bCs/>
                <w:noProof/>
              </w:rPr>
              <w:t>Per</w:t>
            </w:r>
            <w:r w:rsidR="00923056">
              <w:rPr>
                <w:b/>
                <w:bCs/>
                <w:noProof/>
              </w:rPr>
              <w:t>c</w:t>
            </w:r>
            <w:r w:rsidRPr="00D87DBB">
              <w:rPr>
                <w:b/>
                <w:bCs/>
                <w:noProof/>
              </w:rPr>
              <w:t>enta</w:t>
            </w:r>
            <w:r w:rsidR="00923056">
              <w:rPr>
                <w:b/>
                <w:bCs/>
                <w:noProof/>
              </w:rPr>
              <w:t>g</w:t>
            </w:r>
            <w:r w:rsidRPr="00D87DBB">
              <w:rPr>
                <w:b/>
                <w:bCs/>
                <w:noProof/>
              </w:rPr>
              <w:t>e</w:t>
            </w:r>
            <w:r>
              <w:rPr>
                <w:b/>
                <w:bCs/>
                <w:noProof/>
              </w:rPr>
              <w:t xml:space="preserve"> (%)</w:t>
            </w:r>
          </w:p>
        </w:tc>
        <w:tc>
          <w:tcPr>
            <w:tcW w:w="2147" w:type="dxa"/>
          </w:tcPr>
          <w:p w14:paraId="5BAF3582" w14:textId="111F9CA3" w:rsidR="00B153F3" w:rsidRPr="00D87DBB" w:rsidRDefault="00923056" w:rsidP="004C1743">
            <w:pPr>
              <w:jc w:val="center"/>
              <w:rPr>
                <w:b/>
                <w:bCs/>
                <w:noProof/>
              </w:rPr>
            </w:pPr>
            <w:r>
              <w:rPr>
                <w:b/>
                <w:bCs/>
                <w:noProof/>
              </w:rPr>
              <w:t>C</w:t>
            </w:r>
            <w:r w:rsidR="00B153F3" w:rsidRPr="00D87DBB">
              <w:rPr>
                <w:b/>
                <w:bCs/>
                <w:noProof/>
              </w:rPr>
              <w:t>umulait</w:t>
            </w:r>
            <w:r>
              <w:rPr>
                <w:b/>
                <w:bCs/>
                <w:noProof/>
              </w:rPr>
              <w:t>ve</w:t>
            </w:r>
            <w:r w:rsidR="00B153F3">
              <w:rPr>
                <w:b/>
                <w:bCs/>
                <w:noProof/>
              </w:rPr>
              <w:t xml:space="preserve"> (%)</w:t>
            </w:r>
          </w:p>
        </w:tc>
      </w:tr>
      <w:tr w:rsidR="00B153F3" w14:paraId="3E5DE04D" w14:textId="77777777" w:rsidTr="004C1743">
        <w:tc>
          <w:tcPr>
            <w:tcW w:w="2148" w:type="dxa"/>
          </w:tcPr>
          <w:p w14:paraId="248DF6CE" w14:textId="18409029" w:rsidR="00B153F3" w:rsidRDefault="00923056" w:rsidP="004C1743">
            <w:pPr>
              <w:rPr>
                <w:noProof/>
              </w:rPr>
            </w:pPr>
            <w:r w:rsidRPr="00923056">
              <w:rPr>
                <w:noProof/>
              </w:rPr>
              <w:t>Less Than Needs</w:t>
            </w:r>
          </w:p>
        </w:tc>
        <w:tc>
          <w:tcPr>
            <w:tcW w:w="2148" w:type="dxa"/>
          </w:tcPr>
          <w:p w14:paraId="75420F08" w14:textId="6148E58F" w:rsidR="00B153F3" w:rsidRDefault="00B153F3" w:rsidP="004C1743">
            <w:pPr>
              <w:jc w:val="right"/>
              <w:rPr>
                <w:noProof/>
              </w:rPr>
            </w:pPr>
            <w:r>
              <w:rPr>
                <w:noProof/>
              </w:rPr>
              <w:t>1773</w:t>
            </w:r>
          </w:p>
        </w:tc>
        <w:tc>
          <w:tcPr>
            <w:tcW w:w="2147" w:type="dxa"/>
          </w:tcPr>
          <w:p w14:paraId="024789B7" w14:textId="37036043" w:rsidR="00B153F3" w:rsidRDefault="00B153F3" w:rsidP="004C1743">
            <w:pPr>
              <w:jc w:val="right"/>
              <w:rPr>
                <w:noProof/>
              </w:rPr>
            </w:pPr>
            <w:r>
              <w:rPr>
                <w:noProof/>
              </w:rPr>
              <w:t>24.82</w:t>
            </w:r>
          </w:p>
        </w:tc>
        <w:tc>
          <w:tcPr>
            <w:tcW w:w="2147" w:type="dxa"/>
          </w:tcPr>
          <w:p w14:paraId="0D7AE2DD" w14:textId="7322F16F" w:rsidR="00B153F3" w:rsidRDefault="00B153F3" w:rsidP="004C1743">
            <w:pPr>
              <w:jc w:val="right"/>
              <w:rPr>
                <w:noProof/>
              </w:rPr>
            </w:pPr>
            <w:r>
              <w:rPr>
                <w:noProof/>
              </w:rPr>
              <w:t>24.82</w:t>
            </w:r>
          </w:p>
        </w:tc>
      </w:tr>
      <w:tr w:rsidR="00B153F3" w14:paraId="02C675E0" w14:textId="77777777" w:rsidTr="004C1743">
        <w:tc>
          <w:tcPr>
            <w:tcW w:w="2148" w:type="dxa"/>
          </w:tcPr>
          <w:p w14:paraId="3272B44D" w14:textId="040BB1BB" w:rsidR="00B153F3" w:rsidRDefault="00923056" w:rsidP="004C1743">
            <w:pPr>
              <w:rPr>
                <w:noProof/>
              </w:rPr>
            </w:pPr>
            <w:r w:rsidRPr="00923056">
              <w:rPr>
                <w:noProof/>
              </w:rPr>
              <w:t>Sufficient for Household Needs</w:t>
            </w:r>
          </w:p>
        </w:tc>
        <w:tc>
          <w:tcPr>
            <w:tcW w:w="2148" w:type="dxa"/>
          </w:tcPr>
          <w:p w14:paraId="757BCF00" w14:textId="7E5B3F57" w:rsidR="00B153F3" w:rsidRDefault="00B153F3" w:rsidP="004C1743">
            <w:pPr>
              <w:jc w:val="right"/>
              <w:rPr>
                <w:noProof/>
              </w:rPr>
            </w:pPr>
            <w:r>
              <w:rPr>
                <w:noProof/>
              </w:rPr>
              <w:t>3971</w:t>
            </w:r>
          </w:p>
        </w:tc>
        <w:tc>
          <w:tcPr>
            <w:tcW w:w="2147" w:type="dxa"/>
          </w:tcPr>
          <w:p w14:paraId="29C13BD2" w14:textId="026E2E05" w:rsidR="00B153F3" w:rsidRDefault="00B153F3" w:rsidP="004C1743">
            <w:pPr>
              <w:jc w:val="right"/>
              <w:rPr>
                <w:noProof/>
              </w:rPr>
            </w:pPr>
            <w:r>
              <w:rPr>
                <w:noProof/>
              </w:rPr>
              <w:t>55.59</w:t>
            </w:r>
          </w:p>
        </w:tc>
        <w:tc>
          <w:tcPr>
            <w:tcW w:w="2147" w:type="dxa"/>
          </w:tcPr>
          <w:p w14:paraId="7520B4D6" w14:textId="0DFB11A1" w:rsidR="00B153F3" w:rsidRDefault="00B153F3" w:rsidP="004C1743">
            <w:pPr>
              <w:jc w:val="right"/>
              <w:rPr>
                <w:noProof/>
              </w:rPr>
            </w:pPr>
            <w:r>
              <w:rPr>
                <w:noProof/>
              </w:rPr>
              <w:t>80.41</w:t>
            </w:r>
          </w:p>
        </w:tc>
      </w:tr>
      <w:tr w:rsidR="00B153F3" w14:paraId="4D7D464F" w14:textId="77777777" w:rsidTr="004C1743">
        <w:tc>
          <w:tcPr>
            <w:tcW w:w="2148" w:type="dxa"/>
          </w:tcPr>
          <w:p w14:paraId="12A4B6DE" w14:textId="1C581C72" w:rsidR="00B153F3" w:rsidRDefault="00923056" w:rsidP="004C1743">
            <w:pPr>
              <w:rPr>
                <w:noProof/>
              </w:rPr>
            </w:pPr>
            <w:r w:rsidRPr="00923056">
              <w:rPr>
                <w:noProof/>
              </w:rPr>
              <w:t>More Than Needs</w:t>
            </w:r>
          </w:p>
        </w:tc>
        <w:tc>
          <w:tcPr>
            <w:tcW w:w="2148" w:type="dxa"/>
          </w:tcPr>
          <w:p w14:paraId="540827BC" w14:textId="0CB4275F" w:rsidR="00B153F3" w:rsidRDefault="00B153F3" w:rsidP="004C1743">
            <w:pPr>
              <w:jc w:val="right"/>
              <w:rPr>
                <w:noProof/>
              </w:rPr>
            </w:pPr>
            <w:r>
              <w:rPr>
                <w:noProof/>
              </w:rPr>
              <w:t>1399</w:t>
            </w:r>
          </w:p>
        </w:tc>
        <w:tc>
          <w:tcPr>
            <w:tcW w:w="2147" w:type="dxa"/>
          </w:tcPr>
          <w:p w14:paraId="57E933E8" w14:textId="55DA35E0" w:rsidR="00B153F3" w:rsidRDefault="00B153F3" w:rsidP="004C1743">
            <w:pPr>
              <w:jc w:val="right"/>
              <w:rPr>
                <w:noProof/>
              </w:rPr>
            </w:pPr>
            <w:r>
              <w:rPr>
                <w:noProof/>
              </w:rPr>
              <w:t>19.59</w:t>
            </w:r>
          </w:p>
        </w:tc>
        <w:tc>
          <w:tcPr>
            <w:tcW w:w="2147" w:type="dxa"/>
          </w:tcPr>
          <w:p w14:paraId="2879389A" w14:textId="1164DAA9" w:rsidR="00B153F3" w:rsidRDefault="00B153F3" w:rsidP="004C1743">
            <w:pPr>
              <w:jc w:val="right"/>
              <w:rPr>
                <w:noProof/>
              </w:rPr>
            </w:pPr>
            <w:r>
              <w:rPr>
                <w:noProof/>
              </w:rPr>
              <w:t>100.00</w:t>
            </w:r>
          </w:p>
        </w:tc>
      </w:tr>
      <w:tr w:rsidR="00B153F3" w14:paraId="45A30731" w14:textId="77777777" w:rsidTr="004C1743">
        <w:tc>
          <w:tcPr>
            <w:tcW w:w="2148" w:type="dxa"/>
          </w:tcPr>
          <w:p w14:paraId="50C06A08" w14:textId="77777777" w:rsidR="00B153F3" w:rsidRPr="00D87DBB" w:rsidRDefault="00B153F3" w:rsidP="004C1743">
            <w:pPr>
              <w:jc w:val="center"/>
              <w:rPr>
                <w:b/>
                <w:bCs/>
                <w:noProof/>
              </w:rPr>
            </w:pPr>
            <w:r w:rsidRPr="00D87DBB">
              <w:rPr>
                <w:b/>
                <w:bCs/>
                <w:noProof/>
              </w:rPr>
              <w:t>Total</w:t>
            </w:r>
          </w:p>
        </w:tc>
        <w:tc>
          <w:tcPr>
            <w:tcW w:w="2148" w:type="dxa"/>
          </w:tcPr>
          <w:p w14:paraId="00B0883B" w14:textId="77777777" w:rsidR="00B153F3" w:rsidRPr="00D87DBB" w:rsidRDefault="00B153F3" w:rsidP="004C1743">
            <w:pPr>
              <w:jc w:val="right"/>
              <w:rPr>
                <w:b/>
                <w:bCs/>
                <w:noProof/>
              </w:rPr>
            </w:pPr>
            <w:r>
              <w:rPr>
                <w:b/>
                <w:bCs/>
                <w:noProof/>
              </w:rPr>
              <w:t>7143</w:t>
            </w:r>
          </w:p>
        </w:tc>
        <w:tc>
          <w:tcPr>
            <w:tcW w:w="2147" w:type="dxa"/>
          </w:tcPr>
          <w:p w14:paraId="0F66F250" w14:textId="77777777" w:rsidR="00B153F3" w:rsidRPr="00D87DBB" w:rsidRDefault="00B153F3" w:rsidP="004C1743">
            <w:pPr>
              <w:jc w:val="right"/>
              <w:rPr>
                <w:b/>
                <w:bCs/>
                <w:noProof/>
              </w:rPr>
            </w:pPr>
            <w:r>
              <w:rPr>
                <w:b/>
                <w:bCs/>
                <w:noProof/>
              </w:rPr>
              <w:t>100.00</w:t>
            </w:r>
          </w:p>
        </w:tc>
        <w:tc>
          <w:tcPr>
            <w:tcW w:w="2147" w:type="dxa"/>
            <w:shd w:val="clear" w:color="auto" w:fill="808080" w:themeFill="background1" w:themeFillShade="80"/>
          </w:tcPr>
          <w:p w14:paraId="7B6AA759" w14:textId="77777777" w:rsidR="00B153F3" w:rsidRPr="00D87DBB" w:rsidRDefault="00B153F3" w:rsidP="004C1743">
            <w:pPr>
              <w:jc w:val="right"/>
              <w:rPr>
                <w:b/>
                <w:bCs/>
                <w:noProof/>
              </w:rPr>
            </w:pPr>
          </w:p>
        </w:tc>
      </w:tr>
    </w:tbl>
    <w:p w14:paraId="0E14A5C0" w14:textId="77777777" w:rsidR="00923906" w:rsidRDefault="00923906" w:rsidP="00235CA5">
      <w:pPr>
        <w:ind w:left="426"/>
        <w:rPr>
          <w:noProof/>
        </w:rPr>
      </w:pPr>
    </w:p>
    <w:p w14:paraId="78897621" w14:textId="59B6D0F4" w:rsidR="00B153F3" w:rsidRDefault="00923056" w:rsidP="00B153F3">
      <w:pPr>
        <w:ind w:left="426"/>
        <w:jc w:val="both"/>
        <w:rPr>
          <w:noProof/>
        </w:rPr>
      </w:pPr>
      <w:r w:rsidRPr="00923056">
        <w:rPr>
          <w:noProof/>
        </w:rPr>
        <w:t>The distribution of household living standards assessments in Table 5 shows that the majority of households assess their living conditions as adequate to meet their needs. Fifty-five percent of respondents stated that their standard of living was adequate, while 19.59 percent assessed it as exceeding their needs. However, the proportion of households assessing their standard of living as below their needs was still relatively large, at 24.82 percent. This pattern indicates that although most households enjoy relatively adequate living conditions, nearly a quarter of households still face limitations in meeting their basic needs, placing them in a vulnerable welfare position.</w:t>
      </w:r>
    </w:p>
    <w:p w14:paraId="3FDB6092" w14:textId="3A20BA47" w:rsidR="00B153F3" w:rsidRDefault="00923056" w:rsidP="00B153F3">
      <w:pPr>
        <w:ind w:left="426"/>
        <w:jc w:val="both"/>
        <w:rPr>
          <w:noProof/>
        </w:rPr>
      </w:pPr>
      <w:r w:rsidRPr="00923056">
        <w:rPr>
          <w:noProof/>
        </w:rPr>
        <w:t>This structure of living standards provides important context for understanding the vulnerability of community well-being, particularly amidst the risk of external shocks such as disasters. Households in the subsistence category tend to have more limited adaptive capacity when faced with disruptions to livelihoods or assets. In the context of disaster-prone Indonesia, this situation suggests that disaster shocks have the potential to push households already on the edge of sufficiency into deeper deprivation. Thus, this distribution of living standards demonstrates how inequality in initial well-being capacity can magnify the impact of disasters on overall community well-being, consistent with previous empirical findings on the influence of disaster intensity on household well-being and life expectations.</w:t>
      </w:r>
    </w:p>
    <w:p w14:paraId="213B0457" w14:textId="77777777" w:rsidR="00B153F3" w:rsidRDefault="00B153F3" w:rsidP="00235CA5">
      <w:pPr>
        <w:ind w:left="426"/>
        <w:rPr>
          <w:noProof/>
        </w:rPr>
      </w:pPr>
    </w:p>
    <w:p w14:paraId="03B09F18" w14:textId="180C09CD" w:rsidR="00235CA5" w:rsidRDefault="00923056" w:rsidP="00235CA5">
      <w:pPr>
        <w:pStyle w:val="ListParagraph"/>
        <w:numPr>
          <w:ilvl w:val="0"/>
          <w:numId w:val="1"/>
        </w:numPr>
        <w:ind w:left="426"/>
        <w:rPr>
          <w:b/>
          <w:bCs/>
          <w:noProof/>
        </w:rPr>
      </w:pPr>
      <w:r>
        <w:rPr>
          <w:b/>
          <w:bCs/>
          <w:noProof/>
        </w:rPr>
        <w:t>Conclusion</w:t>
      </w:r>
    </w:p>
    <w:p w14:paraId="612902DE" w14:textId="32959BAE" w:rsidR="00235CA5" w:rsidRDefault="00923056" w:rsidP="006B62E7">
      <w:pPr>
        <w:ind w:left="426"/>
        <w:jc w:val="both"/>
        <w:rPr>
          <w:noProof/>
        </w:rPr>
      </w:pPr>
      <w:r w:rsidRPr="00923056">
        <w:rPr>
          <w:noProof/>
        </w:rPr>
        <w:t>This study shows that disaster intensity significantly impacts community well-being, both in terms of current perceived well-being and life expectancy over the next five years. Households exposed to disasters more frequently tend to have lower levels of life satisfaction and more pessimistic views of the future, indicating that disaster impacts are continuous and intertemporal. These findings emphasi</w:t>
      </w:r>
      <w:bookmarkStart w:id="0" w:name="_GoBack"/>
      <w:bookmarkEnd w:id="0"/>
      <w:r w:rsidRPr="00923056">
        <w:rPr>
          <w:noProof/>
        </w:rPr>
        <w:t xml:space="preserve">ze that disasters not only cause material losses but also shape households' perceptions, sense of security, and expectations regarding the sustainability of their livelihoods. The community's welfare structure, dominated by the middle class, increasingly demonstrates vulnerability to external shocks, with repeated disaster exposure potentially eroding well-being gradually. Therefore, this study broadens </w:t>
      </w:r>
      <w:r w:rsidR="00383637">
        <w:rPr>
          <w:noProof/>
        </w:rPr>
        <w:t xml:space="preserve">the </w:t>
      </w:r>
      <w:r w:rsidRPr="00923056">
        <w:rPr>
          <w:noProof/>
        </w:rPr>
        <w:t>understanding of disaster impacts by emphasizing the importance of subjective well-being and future expectations in assessing the implications of disasters on overall community well-being.</w:t>
      </w:r>
    </w:p>
    <w:p w14:paraId="7F0691AE" w14:textId="77777777" w:rsidR="00212FFB" w:rsidRDefault="00212FFB" w:rsidP="006B62E7">
      <w:pPr>
        <w:ind w:left="426"/>
        <w:jc w:val="both"/>
        <w:rPr>
          <w:noProof/>
        </w:rPr>
      </w:pPr>
    </w:p>
    <w:p w14:paraId="0724ED67" w14:textId="77777777" w:rsidR="00212FFB" w:rsidRDefault="00212FFB" w:rsidP="006B62E7">
      <w:pPr>
        <w:ind w:left="426"/>
        <w:jc w:val="both"/>
        <w:rPr>
          <w:noProof/>
        </w:rPr>
      </w:pPr>
    </w:p>
    <w:p w14:paraId="16B6138D" w14:textId="77777777" w:rsidR="004B5F02" w:rsidRPr="00A72C4D" w:rsidRDefault="004B5F02" w:rsidP="004B5F02">
      <w:pPr>
        <w:rPr>
          <w:b/>
          <w:highlight w:val="yellow"/>
        </w:rPr>
      </w:pPr>
      <w:bookmarkStart w:id="1" w:name="_Hlk190852809"/>
      <w:r w:rsidRPr="00A72C4D">
        <w:rPr>
          <w:b/>
          <w:highlight w:val="yellow"/>
        </w:rPr>
        <w:t>Disclaimer (Artificial intelligence)</w:t>
      </w:r>
    </w:p>
    <w:p w14:paraId="6E07641B" w14:textId="77777777" w:rsidR="004B5F02" w:rsidRPr="000A6323" w:rsidRDefault="004B5F02" w:rsidP="004B5F02">
      <w:pPr>
        <w:rPr>
          <w:highlight w:val="yellow"/>
        </w:rPr>
      </w:pPr>
      <w:r w:rsidRPr="000A6323">
        <w:rPr>
          <w:highlight w:val="yellow"/>
        </w:rPr>
        <w:lastRenderedPageBreak/>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1"/>
    <w:p w14:paraId="0EC65D25" w14:textId="77777777" w:rsidR="00235CA5" w:rsidRDefault="00235CA5" w:rsidP="00235CA5">
      <w:pPr>
        <w:ind w:left="426"/>
        <w:rPr>
          <w:b/>
          <w:bCs/>
          <w:noProof/>
        </w:rPr>
      </w:pPr>
    </w:p>
    <w:p w14:paraId="12083D6C" w14:textId="2A9DD6DF" w:rsidR="00235CA5" w:rsidRPr="00235CA5" w:rsidRDefault="00923056" w:rsidP="00235CA5">
      <w:pPr>
        <w:rPr>
          <w:b/>
          <w:bCs/>
          <w:noProof/>
        </w:rPr>
      </w:pPr>
      <w:r>
        <w:rPr>
          <w:b/>
          <w:bCs/>
          <w:noProof/>
        </w:rPr>
        <w:t>References</w:t>
      </w:r>
    </w:p>
    <w:p w14:paraId="7C77D35E" w14:textId="24495EF1" w:rsidR="003215A2" w:rsidRPr="009D56BD" w:rsidRDefault="00A8024C"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Pr>
          <w:noProof/>
        </w:rPr>
        <w:fldChar w:fldCharType="begin" w:fldLock="1"/>
      </w:r>
      <w:r>
        <w:rPr>
          <w:noProof/>
        </w:rPr>
        <w:instrText xml:space="preserve">ADDIN Mendeley Bibliography CSL_BIBLIOGRAPHY </w:instrText>
      </w:r>
      <w:r>
        <w:rPr>
          <w:noProof/>
        </w:rPr>
        <w:fldChar w:fldCharType="separate"/>
      </w:r>
      <w:r w:rsidR="003215A2" w:rsidRPr="009D56BD">
        <w:rPr>
          <w:rFonts w:ascii="Calibri" w:hAnsi="Calibri" w:cs="Calibri"/>
          <w:noProof/>
          <w:kern w:val="0"/>
        </w:rPr>
        <w:t xml:space="preserve">Ahmad, M. M., Yaseen, M., &amp; Saqib, S. E. (2022). Climate change impacts of drought on the livelihood of dryland smallholders: Implications of adaptation challenges. </w:t>
      </w:r>
      <w:r w:rsidR="003215A2" w:rsidRPr="009D56BD">
        <w:rPr>
          <w:rFonts w:ascii="Calibri" w:hAnsi="Calibri" w:cs="Calibri"/>
          <w:i/>
          <w:iCs/>
          <w:noProof/>
          <w:kern w:val="0"/>
        </w:rPr>
        <w:t>International Journal of Disaster Risk Reduction</w:t>
      </w:r>
      <w:r w:rsidR="003215A2" w:rsidRPr="009D56BD">
        <w:rPr>
          <w:rFonts w:ascii="Calibri" w:hAnsi="Calibri" w:cs="Calibri"/>
          <w:noProof/>
          <w:kern w:val="0"/>
        </w:rPr>
        <w:t xml:space="preserve">, </w:t>
      </w:r>
      <w:r w:rsidR="003215A2" w:rsidRPr="009D56BD">
        <w:rPr>
          <w:rFonts w:ascii="Calibri" w:hAnsi="Calibri" w:cs="Calibri"/>
          <w:i/>
          <w:iCs/>
          <w:noProof/>
          <w:kern w:val="0"/>
        </w:rPr>
        <w:t>80</w:t>
      </w:r>
      <w:r w:rsidR="003215A2" w:rsidRPr="009D56BD">
        <w:rPr>
          <w:rFonts w:ascii="Calibri" w:hAnsi="Calibri" w:cs="Calibri"/>
          <w:noProof/>
          <w:kern w:val="0"/>
        </w:rPr>
        <w:t>, 103210.</w:t>
      </w:r>
    </w:p>
    <w:p w14:paraId="1BF4AA19"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Bhadra, S., &amp; Dyer, A. R. (2022). Resilience and well-being among the survivors of natural disasters and conflicts. In </w:t>
      </w:r>
      <w:r w:rsidRPr="009D56BD">
        <w:rPr>
          <w:rFonts w:ascii="Calibri" w:hAnsi="Calibri" w:cs="Calibri"/>
          <w:i/>
          <w:iCs/>
          <w:noProof/>
          <w:kern w:val="0"/>
        </w:rPr>
        <w:t>Handbook of health and well-being: Challenges, strategies and future trends</w:t>
      </w:r>
      <w:r w:rsidRPr="009D56BD">
        <w:rPr>
          <w:rFonts w:ascii="Calibri" w:hAnsi="Calibri" w:cs="Calibri"/>
          <w:noProof/>
          <w:kern w:val="0"/>
        </w:rPr>
        <w:t xml:space="preserve"> (pp. 637–667). Springer.</w:t>
      </w:r>
    </w:p>
    <w:p w14:paraId="142E38C2"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Bonanno, G. A., Chen, S., Bagrodia, R., &amp; Galatzer-Levy, I. R. (2024). Resilience and disaster: flexible adaptation in the face of uncertain threat. </w:t>
      </w:r>
      <w:r w:rsidRPr="009D56BD">
        <w:rPr>
          <w:rFonts w:ascii="Calibri" w:hAnsi="Calibri" w:cs="Calibri"/>
          <w:i/>
          <w:iCs/>
          <w:noProof/>
          <w:kern w:val="0"/>
        </w:rPr>
        <w:t>Annual Review of Psychology</w:t>
      </w:r>
      <w:r w:rsidRPr="009D56BD">
        <w:rPr>
          <w:rFonts w:ascii="Calibri" w:hAnsi="Calibri" w:cs="Calibri"/>
          <w:noProof/>
          <w:kern w:val="0"/>
        </w:rPr>
        <w:t xml:space="preserve">, </w:t>
      </w:r>
      <w:r w:rsidRPr="009D56BD">
        <w:rPr>
          <w:rFonts w:ascii="Calibri" w:hAnsi="Calibri" w:cs="Calibri"/>
          <w:i/>
          <w:iCs/>
          <w:noProof/>
          <w:kern w:val="0"/>
        </w:rPr>
        <w:t>75</w:t>
      </w:r>
      <w:r w:rsidRPr="009D56BD">
        <w:rPr>
          <w:rFonts w:ascii="Calibri" w:hAnsi="Calibri" w:cs="Calibri"/>
          <w:noProof/>
          <w:kern w:val="0"/>
        </w:rPr>
        <w:t>(1), 573–599.</w:t>
      </w:r>
    </w:p>
    <w:p w14:paraId="4C441C61"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Buheji, M., &amp; Mushimiyimana, E. (2024). LIVE’AN ASSESSMENT OF CURRENT SCENARIOS &amp; FORESIGHTED FUTURE. </w:t>
      </w:r>
      <w:r w:rsidRPr="009D56BD">
        <w:rPr>
          <w:rFonts w:ascii="Calibri" w:hAnsi="Calibri" w:cs="Calibri"/>
          <w:i/>
          <w:iCs/>
          <w:noProof/>
          <w:kern w:val="0"/>
        </w:rPr>
        <w:t>International Journal of Management (IJM)</w:t>
      </w:r>
      <w:r w:rsidRPr="009D56BD">
        <w:rPr>
          <w:rFonts w:ascii="Calibri" w:hAnsi="Calibri" w:cs="Calibri"/>
          <w:noProof/>
          <w:kern w:val="0"/>
        </w:rPr>
        <w:t xml:space="preserve">, </w:t>
      </w:r>
      <w:r w:rsidRPr="009D56BD">
        <w:rPr>
          <w:rFonts w:ascii="Calibri" w:hAnsi="Calibri" w:cs="Calibri"/>
          <w:i/>
          <w:iCs/>
          <w:noProof/>
          <w:kern w:val="0"/>
        </w:rPr>
        <w:t>15</w:t>
      </w:r>
      <w:r w:rsidRPr="009D56BD">
        <w:rPr>
          <w:rFonts w:ascii="Calibri" w:hAnsi="Calibri" w:cs="Calibri"/>
          <w:noProof/>
          <w:kern w:val="0"/>
        </w:rPr>
        <w:t>(1).</w:t>
      </w:r>
    </w:p>
    <w:p w14:paraId="6C018E07"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Cvetković, V. M., &amp; Šišović, V. (2024). Understanding the sustainable development of community (social) disaster resilience in Serbia: Demographic and socio-economic impacts. </w:t>
      </w:r>
      <w:r w:rsidRPr="009D56BD">
        <w:rPr>
          <w:rFonts w:ascii="Calibri" w:hAnsi="Calibri" w:cs="Calibri"/>
          <w:i/>
          <w:iCs/>
          <w:noProof/>
          <w:kern w:val="0"/>
        </w:rPr>
        <w:t>Sustainability</w:t>
      </w:r>
      <w:r w:rsidRPr="009D56BD">
        <w:rPr>
          <w:rFonts w:ascii="Calibri" w:hAnsi="Calibri" w:cs="Calibri"/>
          <w:noProof/>
          <w:kern w:val="0"/>
        </w:rPr>
        <w:t xml:space="preserve">, </w:t>
      </w:r>
      <w:r w:rsidRPr="009D56BD">
        <w:rPr>
          <w:rFonts w:ascii="Calibri" w:hAnsi="Calibri" w:cs="Calibri"/>
          <w:i/>
          <w:iCs/>
          <w:noProof/>
          <w:kern w:val="0"/>
        </w:rPr>
        <w:t>16</w:t>
      </w:r>
      <w:r w:rsidRPr="009D56BD">
        <w:rPr>
          <w:rFonts w:ascii="Calibri" w:hAnsi="Calibri" w:cs="Calibri"/>
          <w:noProof/>
          <w:kern w:val="0"/>
        </w:rPr>
        <w:t>(7), 2620.</w:t>
      </w:r>
    </w:p>
    <w:p w14:paraId="12B285C0"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highlight w:val="yellow"/>
        </w:rPr>
        <w:t xml:space="preserve">Friberg, J. (2022). When the poor lose even more: A framework of normalized measures for disaster impacts and household economic vulnerability. </w:t>
      </w:r>
      <w:r w:rsidRPr="009D56BD">
        <w:rPr>
          <w:rFonts w:ascii="Calibri" w:hAnsi="Calibri" w:cs="Calibri"/>
          <w:i/>
          <w:iCs/>
          <w:noProof/>
          <w:kern w:val="0"/>
          <w:highlight w:val="yellow"/>
        </w:rPr>
        <w:t>World Development Sustainability</w:t>
      </w:r>
      <w:r w:rsidRPr="009D56BD">
        <w:rPr>
          <w:rFonts w:ascii="Calibri" w:hAnsi="Calibri" w:cs="Calibri"/>
          <w:noProof/>
          <w:kern w:val="0"/>
          <w:highlight w:val="yellow"/>
        </w:rPr>
        <w:t xml:space="preserve">, </w:t>
      </w:r>
      <w:r w:rsidRPr="009D56BD">
        <w:rPr>
          <w:rFonts w:ascii="Calibri" w:hAnsi="Calibri" w:cs="Calibri"/>
          <w:i/>
          <w:iCs/>
          <w:noProof/>
          <w:kern w:val="0"/>
          <w:highlight w:val="yellow"/>
        </w:rPr>
        <w:t>1</w:t>
      </w:r>
      <w:r w:rsidRPr="009D56BD">
        <w:rPr>
          <w:rFonts w:ascii="Calibri" w:hAnsi="Calibri" w:cs="Calibri"/>
          <w:noProof/>
          <w:kern w:val="0"/>
          <w:highlight w:val="yellow"/>
        </w:rPr>
        <w:t>, 100022.</w:t>
      </w:r>
    </w:p>
    <w:p w14:paraId="65C1DD1B"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Frijters, P., Johnston, D. W., Knott, R. J., &amp; Torgler, B. (2023). Resilience to disaster: Evidence from American wellbeing data. </w:t>
      </w:r>
      <w:r w:rsidRPr="009D56BD">
        <w:rPr>
          <w:rFonts w:ascii="Calibri" w:hAnsi="Calibri" w:cs="Calibri"/>
          <w:i/>
          <w:iCs/>
          <w:noProof/>
          <w:kern w:val="0"/>
        </w:rPr>
        <w:t>Global Environmental Change</w:t>
      </w:r>
      <w:r w:rsidRPr="009D56BD">
        <w:rPr>
          <w:rFonts w:ascii="Calibri" w:hAnsi="Calibri" w:cs="Calibri"/>
          <w:noProof/>
          <w:kern w:val="0"/>
        </w:rPr>
        <w:t xml:space="preserve">, </w:t>
      </w:r>
      <w:r w:rsidRPr="009D56BD">
        <w:rPr>
          <w:rFonts w:ascii="Calibri" w:hAnsi="Calibri" w:cs="Calibri"/>
          <w:i/>
          <w:iCs/>
          <w:noProof/>
          <w:kern w:val="0"/>
        </w:rPr>
        <w:t>79</w:t>
      </w:r>
      <w:r w:rsidRPr="009D56BD">
        <w:rPr>
          <w:rFonts w:ascii="Calibri" w:hAnsi="Calibri" w:cs="Calibri"/>
          <w:noProof/>
          <w:kern w:val="0"/>
        </w:rPr>
        <w:t>, 102639.</w:t>
      </w:r>
    </w:p>
    <w:p w14:paraId="594C4427"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Galderisi, A., Menoni, S., Setti, G., &amp; Tognon, A. (2022). Disaster recovery reform and resilience. In </w:t>
      </w:r>
      <w:r w:rsidRPr="009D56BD">
        <w:rPr>
          <w:rFonts w:ascii="Calibri" w:hAnsi="Calibri" w:cs="Calibri"/>
          <w:i/>
          <w:iCs/>
          <w:noProof/>
          <w:kern w:val="0"/>
        </w:rPr>
        <w:t>Disaster risk reduction for resilience: Disaster and social aspects</w:t>
      </w:r>
      <w:r w:rsidRPr="009D56BD">
        <w:rPr>
          <w:rFonts w:ascii="Calibri" w:hAnsi="Calibri" w:cs="Calibri"/>
          <w:noProof/>
          <w:kern w:val="0"/>
        </w:rPr>
        <w:t xml:space="preserve"> (pp. 25–54). Springer.</w:t>
      </w:r>
    </w:p>
    <w:p w14:paraId="5DDF62DC"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Gunby, N., &amp; Coupé, T. (2023). Weather-related home damage and subjective well-being. </w:t>
      </w:r>
      <w:r w:rsidRPr="009D56BD">
        <w:rPr>
          <w:rFonts w:ascii="Calibri" w:hAnsi="Calibri" w:cs="Calibri"/>
          <w:i/>
          <w:iCs/>
          <w:noProof/>
          <w:kern w:val="0"/>
        </w:rPr>
        <w:t>Environmental and Resource Economics</w:t>
      </w:r>
      <w:r w:rsidRPr="009D56BD">
        <w:rPr>
          <w:rFonts w:ascii="Calibri" w:hAnsi="Calibri" w:cs="Calibri"/>
          <w:noProof/>
          <w:kern w:val="0"/>
        </w:rPr>
        <w:t xml:space="preserve">, </w:t>
      </w:r>
      <w:r w:rsidRPr="009D56BD">
        <w:rPr>
          <w:rFonts w:ascii="Calibri" w:hAnsi="Calibri" w:cs="Calibri"/>
          <w:i/>
          <w:iCs/>
          <w:noProof/>
          <w:kern w:val="0"/>
        </w:rPr>
        <w:t>84</w:t>
      </w:r>
      <w:r w:rsidRPr="009D56BD">
        <w:rPr>
          <w:rFonts w:ascii="Calibri" w:hAnsi="Calibri" w:cs="Calibri"/>
          <w:noProof/>
          <w:kern w:val="0"/>
        </w:rPr>
        <w:t>(2), 409–438.</w:t>
      </w:r>
    </w:p>
    <w:p w14:paraId="5DE071D4"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Guo, X., Cheng, J., Yin, C., Li, Q., Chen, R., &amp; Fang, J. (2023). The extraordinary Zhengzhou flood of 7/20, 2021: How extreme weather and human response compounding to the disaster. </w:t>
      </w:r>
      <w:r w:rsidRPr="009D56BD">
        <w:rPr>
          <w:rFonts w:ascii="Calibri" w:hAnsi="Calibri" w:cs="Calibri"/>
          <w:i/>
          <w:iCs/>
          <w:noProof/>
          <w:kern w:val="0"/>
        </w:rPr>
        <w:t>Cities</w:t>
      </w:r>
      <w:r w:rsidRPr="009D56BD">
        <w:rPr>
          <w:rFonts w:ascii="Calibri" w:hAnsi="Calibri" w:cs="Calibri"/>
          <w:noProof/>
          <w:kern w:val="0"/>
        </w:rPr>
        <w:t xml:space="preserve">, </w:t>
      </w:r>
      <w:r w:rsidRPr="009D56BD">
        <w:rPr>
          <w:rFonts w:ascii="Calibri" w:hAnsi="Calibri" w:cs="Calibri"/>
          <w:i/>
          <w:iCs/>
          <w:noProof/>
          <w:kern w:val="0"/>
        </w:rPr>
        <w:t>134</w:t>
      </w:r>
      <w:r w:rsidRPr="009D56BD">
        <w:rPr>
          <w:rFonts w:ascii="Calibri" w:hAnsi="Calibri" w:cs="Calibri"/>
          <w:noProof/>
          <w:kern w:val="0"/>
        </w:rPr>
        <w:t>, 104168.</w:t>
      </w:r>
    </w:p>
    <w:p w14:paraId="067BBF0A"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Huang, L. (2022). Effect of natural hazards on the income and sense of subjective well-being of rural residents: evidence from rural China. </w:t>
      </w:r>
      <w:r w:rsidRPr="009D56BD">
        <w:rPr>
          <w:rFonts w:ascii="Calibri" w:hAnsi="Calibri" w:cs="Calibri"/>
          <w:i/>
          <w:iCs/>
          <w:noProof/>
          <w:kern w:val="0"/>
        </w:rPr>
        <w:t>Frontiers in Ecology and Evolution</w:t>
      </w:r>
      <w:r w:rsidRPr="009D56BD">
        <w:rPr>
          <w:rFonts w:ascii="Calibri" w:hAnsi="Calibri" w:cs="Calibri"/>
          <w:noProof/>
          <w:kern w:val="0"/>
        </w:rPr>
        <w:t xml:space="preserve">, </w:t>
      </w:r>
      <w:r w:rsidRPr="009D56BD">
        <w:rPr>
          <w:rFonts w:ascii="Calibri" w:hAnsi="Calibri" w:cs="Calibri"/>
          <w:i/>
          <w:iCs/>
          <w:noProof/>
          <w:kern w:val="0"/>
        </w:rPr>
        <w:t>10</w:t>
      </w:r>
      <w:r w:rsidRPr="009D56BD">
        <w:rPr>
          <w:rFonts w:ascii="Calibri" w:hAnsi="Calibri" w:cs="Calibri"/>
          <w:noProof/>
          <w:kern w:val="0"/>
        </w:rPr>
        <w:t>, 898557.</w:t>
      </w:r>
    </w:p>
    <w:p w14:paraId="545CA11F"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Mende, M., Bradford, T. W., Roggeveen, A. L., Scott, M. L., &amp; Zavala, M. (2024). Consumer vulnerability dynamics and marketing: Conceptual foundations and future research opportunities. </w:t>
      </w:r>
      <w:r w:rsidRPr="009D56BD">
        <w:rPr>
          <w:rFonts w:ascii="Calibri" w:hAnsi="Calibri" w:cs="Calibri"/>
          <w:i/>
          <w:iCs/>
          <w:noProof/>
          <w:kern w:val="0"/>
        </w:rPr>
        <w:t>Journal of the Academy of Marketing Science</w:t>
      </w:r>
      <w:r w:rsidRPr="009D56BD">
        <w:rPr>
          <w:rFonts w:ascii="Calibri" w:hAnsi="Calibri" w:cs="Calibri"/>
          <w:noProof/>
          <w:kern w:val="0"/>
        </w:rPr>
        <w:t xml:space="preserve">, </w:t>
      </w:r>
      <w:r w:rsidRPr="009D56BD">
        <w:rPr>
          <w:rFonts w:ascii="Calibri" w:hAnsi="Calibri" w:cs="Calibri"/>
          <w:i/>
          <w:iCs/>
          <w:noProof/>
          <w:kern w:val="0"/>
        </w:rPr>
        <w:t>52</w:t>
      </w:r>
      <w:r w:rsidRPr="009D56BD">
        <w:rPr>
          <w:rFonts w:ascii="Calibri" w:hAnsi="Calibri" w:cs="Calibri"/>
          <w:noProof/>
          <w:kern w:val="0"/>
        </w:rPr>
        <w:t>(5), 1301–1322.</w:t>
      </w:r>
    </w:p>
    <w:p w14:paraId="009E0ED6"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Park, S., Yabe, T., &amp; Ukkusuri, S. V. (2024). Post-disaster recovery policy assessment of urban socio-physical systems. </w:t>
      </w:r>
      <w:r w:rsidRPr="009D56BD">
        <w:rPr>
          <w:rFonts w:ascii="Calibri" w:hAnsi="Calibri" w:cs="Calibri"/>
          <w:i/>
          <w:iCs/>
          <w:noProof/>
          <w:kern w:val="0"/>
        </w:rPr>
        <w:t>Computers, Environment and Urban Systems</w:t>
      </w:r>
      <w:r w:rsidRPr="009D56BD">
        <w:rPr>
          <w:rFonts w:ascii="Calibri" w:hAnsi="Calibri" w:cs="Calibri"/>
          <w:noProof/>
          <w:kern w:val="0"/>
        </w:rPr>
        <w:t xml:space="preserve">, </w:t>
      </w:r>
      <w:r w:rsidRPr="009D56BD">
        <w:rPr>
          <w:rFonts w:ascii="Calibri" w:hAnsi="Calibri" w:cs="Calibri"/>
          <w:i/>
          <w:iCs/>
          <w:noProof/>
          <w:kern w:val="0"/>
        </w:rPr>
        <w:t>114</w:t>
      </w:r>
      <w:r w:rsidRPr="009D56BD">
        <w:rPr>
          <w:rFonts w:ascii="Calibri" w:hAnsi="Calibri" w:cs="Calibri"/>
          <w:noProof/>
          <w:kern w:val="0"/>
        </w:rPr>
        <w:t>, 102184.</w:t>
      </w:r>
    </w:p>
    <w:p w14:paraId="4AABE2C9"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highlight w:val="yellow"/>
        </w:rPr>
        <w:t xml:space="preserve">Rahman, M. S., Andriatmoko, N. D., Saeri, M., Subagio, H., Malik, A., Triastono, J., Oelviani, R., Kilmanun, J. C., da Silva, H., &amp; Pesireron, M. (2022). Climate disasters and subjective well-being among urban and rural residents in Indonesia. </w:t>
      </w:r>
      <w:r w:rsidRPr="009D56BD">
        <w:rPr>
          <w:rFonts w:ascii="Calibri" w:hAnsi="Calibri" w:cs="Calibri"/>
          <w:i/>
          <w:iCs/>
          <w:noProof/>
          <w:kern w:val="0"/>
          <w:highlight w:val="yellow"/>
        </w:rPr>
        <w:t>Sustainability</w:t>
      </w:r>
      <w:r w:rsidRPr="009D56BD">
        <w:rPr>
          <w:rFonts w:ascii="Calibri" w:hAnsi="Calibri" w:cs="Calibri"/>
          <w:noProof/>
          <w:kern w:val="0"/>
          <w:highlight w:val="yellow"/>
        </w:rPr>
        <w:t xml:space="preserve">, </w:t>
      </w:r>
      <w:r w:rsidRPr="009D56BD">
        <w:rPr>
          <w:rFonts w:ascii="Calibri" w:hAnsi="Calibri" w:cs="Calibri"/>
          <w:i/>
          <w:iCs/>
          <w:noProof/>
          <w:kern w:val="0"/>
          <w:highlight w:val="yellow"/>
        </w:rPr>
        <w:t>14</w:t>
      </w:r>
      <w:r w:rsidRPr="009D56BD">
        <w:rPr>
          <w:rFonts w:ascii="Calibri" w:hAnsi="Calibri" w:cs="Calibri"/>
          <w:noProof/>
          <w:kern w:val="0"/>
          <w:highlight w:val="yellow"/>
        </w:rPr>
        <w:t>(6), 3383.</w:t>
      </w:r>
    </w:p>
    <w:p w14:paraId="3F2817F5"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rPr>
        <w:t xml:space="preserve">Strough, J., Parker, A. M., Ayer, L., Parks, V., &amp; Finucane, M. L. (2024). Aging and emotional well-being after disasters: Vulnerability and resilience. </w:t>
      </w:r>
      <w:r w:rsidRPr="009D56BD">
        <w:rPr>
          <w:rFonts w:ascii="Calibri" w:hAnsi="Calibri" w:cs="Calibri"/>
          <w:i/>
          <w:iCs/>
          <w:noProof/>
          <w:kern w:val="0"/>
        </w:rPr>
        <w:t>The Gerontologist</w:t>
      </w:r>
      <w:r w:rsidRPr="009D56BD">
        <w:rPr>
          <w:rFonts w:ascii="Calibri" w:hAnsi="Calibri" w:cs="Calibri"/>
          <w:noProof/>
          <w:kern w:val="0"/>
        </w:rPr>
        <w:t xml:space="preserve">, </w:t>
      </w:r>
      <w:r w:rsidRPr="009D56BD">
        <w:rPr>
          <w:rFonts w:ascii="Calibri" w:hAnsi="Calibri" w:cs="Calibri"/>
          <w:i/>
          <w:iCs/>
          <w:noProof/>
          <w:kern w:val="0"/>
        </w:rPr>
        <w:t>64</w:t>
      </w:r>
      <w:r w:rsidRPr="009D56BD">
        <w:rPr>
          <w:rFonts w:ascii="Calibri" w:hAnsi="Calibri" w:cs="Calibri"/>
          <w:noProof/>
          <w:kern w:val="0"/>
        </w:rPr>
        <w:t>(3), gnad099.</w:t>
      </w:r>
    </w:p>
    <w:p w14:paraId="002BD645"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highlight w:val="yellow"/>
        </w:rPr>
        <w:t xml:space="preserve">Sunarti, E., Johan, I. R., Rosullih, M., &amp; Sholikhah, N. F. (2022). Factors affecting family welfare of Garut-Indonesia flash flood survivors: A case study of impact disaster on SDGs. </w:t>
      </w:r>
      <w:r w:rsidRPr="009D56BD">
        <w:rPr>
          <w:rFonts w:ascii="Calibri" w:hAnsi="Calibri" w:cs="Calibri"/>
          <w:i/>
          <w:iCs/>
          <w:noProof/>
          <w:kern w:val="0"/>
          <w:highlight w:val="yellow"/>
        </w:rPr>
        <w:t>Pakistan Journal of Humanities and Social Sciences</w:t>
      </w:r>
      <w:r w:rsidRPr="009D56BD">
        <w:rPr>
          <w:rFonts w:ascii="Calibri" w:hAnsi="Calibri" w:cs="Calibri"/>
          <w:noProof/>
          <w:kern w:val="0"/>
          <w:highlight w:val="yellow"/>
        </w:rPr>
        <w:t xml:space="preserve">, </w:t>
      </w:r>
      <w:r w:rsidRPr="009D56BD">
        <w:rPr>
          <w:rFonts w:ascii="Calibri" w:hAnsi="Calibri" w:cs="Calibri"/>
          <w:i/>
          <w:iCs/>
          <w:noProof/>
          <w:kern w:val="0"/>
          <w:highlight w:val="yellow"/>
        </w:rPr>
        <w:t>10</w:t>
      </w:r>
      <w:r w:rsidRPr="009D56BD">
        <w:rPr>
          <w:rFonts w:ascii="Calibri" w:hAnsi="Calibri" w:cs="Calibri"/>
          <w:noProof/>
          <w:kern w:val="0"/>
          <w:highlight w:val="yellow"/>
        </w:rPr>
        <w:t>(3), 968–977.</w:t>
      </w:r>
    </w:p>
    <w:p w14:paraId="2CC7B463"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kern w:val="0"/>
        </w:rPr>
      </w:pPr>
      <w:r w:rsidRPr="009D56BD">
        <w:rPr>
          <w:rFonts w:ascii="Calibri" w:hAnsi="Calibri" w:cs="Calibri"/>
          <w:noProof/>
          <w:kern w:val="0"/>
          <w:highlight w:val="yellow"/>
        </w:rPr>
        <w:t xml:space="preserve">Tiwari, P., &amp; Shukla, J. (2022). Post-disaster reconstruction, well-being and sustainable development goals: A conceptual framework. </w:t>
      </w:r>
      <w:r w:rsidRPr="009D56BD">
        <w:rPr>
          <w:rFonts w:ascii="Calibri" w:hAnsi="Calibri" w:cs="Calibri"/>
          <w:i/>
          <w:iCs/>
          <w:noProof/>
          <w:kern w:val="0"/>
          <w:highlight w:val="yellow"/>
        </w:rPr>
        <w:t>Environment and Urbanization ASIA</w:t>
      </w:r>
      <w:r w:rsidRPr="009D56BD">
        <w:rPr>
          <w:rFonts w:ascii="Calibri" w:hAnsi="Calibri" w:cs="Calibri"/>
          <w:noProof/>
          <w:kern w:val="0"/>
          <w:highlight w:val="yellow"/>
        </w:rPr>
        <w:t xml:space="preserve">, </w:t>
      </w:r>
      <w:r w:rsidRPr="009D56BD">
        <w:rPr>
          <w:rFonts w:ascii="Calibri" w:hAnsi="Calibri" w:cs="Calibri"/>
          <w:i/>
          <w:iCs/>
          <w:noProof/>
          <w:kern w:val="0"/>
          <w:highlight w:val="yellow"/>
        </w:rPr>
        <w:t>13</w:t>
      </w:r>
      <w:r w:rsidRPr="009D56BD">
        <w:rPr>
          <w:rFonts w:ascii="Calibri" w:hAnsi="Calibri" w:cs="Calibri"/>
          <w:noProof/>
          <w:kern w:val="0"/>
          <w:highlight w:val="yellow"/>
        </w:rPr>
        <w:t xml:space="preserve">(2), </w:t>
      </w:r>
      <w:r w:rsidRPr="009D56BD">
        <w:rPr>
          <w:rFonts w:ascii="Calibri" w:hAnsi="Calibri" w:cs="Calibri"/>
          <w:noProof/>
          <w:kern w:val="0"/>
          <w:highlight w:val="yellow"/>
        </w:rPr>
        <w:lastRenderedPageBreak/>
        <w:t>323–332.</w:t>
      </w:r>
    </w:p>
    <w:p w14:paraId="046010F6" w14:textId="77777777" w:rsidR="003215A2" w:rsidRPr="009D56BD" w:rsidRDefault="003215A2" w:rsidP="009D56BD">
      <w:pPr>
        <w:pStyle w:val="ListParagraph"/>
        <w:widowControl w:val="0"/>
        <w:numPr>
          <w:ilvl w:val="0"/>
          <w:numId w:val="6"/>
        </w:numPr>
        <w:autoSpaceDE w:val="0"/>
        <w:autoSpaceDN w:val="0"/>
        <w:adjustRightInd w:val="0"/>
        <w:spacing w:line="240" w:lineRule="auto"/>
        <w:rPr>
          <w:rFonts w:ascii="Calibri" w:hAnsi="Calibri" w:cs="Calibri"/>
          <w:noProof/>
        </w:rPr>
      </w:pPr>
      <w:r w:rsidRPr="009D56BD">
        <w:rPr>
          <w:rFonts w:ascii="Calibri" w:hAnsi="Calibri" w:cs="Calibri"/>
          <w:noProof/>
          <w:kern w:val="0"/>
        </w:rPr>
        <w:t xml:space="preserve">Wahyono, E., Prayoga, R. A., Hakim, F. N., Solekha, N., Fatimah, S., Purbandini, L., Wibowo, D. P., &amp; Saparita, R. (2023). Economic mitigation institutions: A new approach to livelihood systems in disaster-prone areas. </w:t>
      </w:r>
      <w:r w:rsidRPr="009D56BD">
        <w:rPr>
          <w:rFonts w:ascii="Calibri" w:hAnsi="Calibri" w:cs="Calibri"/>
          <w:i/>
          <w:iCs/>
          <w:noProof/>
          <w:kern w:val="0"/>
        </w:rPr>
        <w:t>Society</w:t>
      </w:r>
      <w:r w:rsidRPr="009D56BD">
        <w:rPr>
          <w:rFonts w:ascii="Calibri" w:hAnsi="Calibri" w:cs="Calibri"/>
          <w:noProof/>
          <w:kern w:val="0"/>
        </w:rPr>
        <w:t xml:space="preserve">, </w:t>
      </w:r>
      <w:r w:rsidRPr="009D56BD">
        <w:rPr>
          <w:rFonts w:ascii="Calibri" w:hAnsi="Calibri" w:cs="Calibri"/>
          <w:i/>
          <w:iCs/>
          <w:noProof/>
          <w:kern w:val="0"/>
        </w:rPr>
        <w:t>11</w:t>
      </w:r>
      <w:r w:rsidRPr="009D56BD">
        <w:rPr>
          <w:rFonts w:ascii="Calibri" w:hAnsi="Calibri" w:cs="Calibri"/>
          <w:noProof/>
          <w:kern w:val="0"/>
        </w:rPr>
        <w:t>(1), 52–63.</w:t>
      </w:r>
    </w:p>
    <w:p w14:paraId="68D412DC" w14:textId="018A83BA" w:rsidR="00235CA5" w:rsidRDefault="00A8024C" w:rsidP="00083FB3">
      <w:pPr>
        <w:rPr>
          <w:noProof/>
        </w:rPr>
      </w:pPr>
      <w:r>
        <w:rPr>
          <w:noProof/>
        </w:rPr>
        <w:fldChar w:fldCharType="end"/>
      </w:r>
    </w:p>
    <w:p w14:paraId="5B532495" w14:textId="05F0CE44" w:rsidR="00325D1F" w:rsidRDefault="00325D1F"/>
    <w:p w14:paraId="3116A4F1" w14:textId="77777777" w:rsidR="00D87DBB" w:rsidRDefault="00D87DBB"/>
    <w:p w14:paraId="5B28B281" w14:textId="77777777" w:rsidR="00D87DBB" w:rsidRDefault="00D87DBB"/>
    <w:p w14:paraId="2FAD9790" w14:textId="72E3F82E" w:rsidR="00D51206" w:rsidRDefault="00D51206"/>
    <w:p w14:paraId="09890AC3" w14:textId="77777777" w:rsidR="00D51206" w:rsidRDefault="00D51206"/>
    <w:sectPr w:rsidR="00D51206">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2C116" w14:textId="77777777" w:rsidR="00241BC8" w:rsidRDefault="00241BC8" w:rsidP="00BB3659">
      <w:pPr>
        <w:spacing w:after="0" w:line="240" w:lineRule="auto"/>
      </w:pPr>
      <w:r>
        <w:separator/>
      </w:r>
    </w:p>
  </w:endnote>
  <w:endnote w:type="continuationSeparator" w:id="0">
    <w:p w14:paraId="3AE6388C" w14:textId="77777777" w:rsidR="00241BC8" w:rsidRDefault="00241BC8" w:rsidP="00BB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8BD38" w14:textId="77777777" w:rsidR="00241BC8" w:rsidRDefault="00241BC8" w:rsidP="00BB3659">
      <w:pPr>
        <w:spacing w:after="0" w:line="240" w:lineRule="auto"/>
      </w:pPr>
      <w:r>
        <w:separator/>
      </w:r>
    </w:p>
  </w:footnote>
  <w:footnote w:type="continuationSeparator" w:id="0">
    <w:p w14:paraId="23A2FD7E" w14:textId="77777777" w:rsidR="00241BC8" w:rsidRDefault="00241BC8" w:rsidP="00BB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5D3B" w14:textId="6308C874" w:rsidR="00370701" w:rsidRDefault="00383637">
    <w:pPr>
      <w:pStyle w:val="Header"/>
    </w:pPr>
    <w:r>
      <w:rPr>
        <w:noProof/>
      </w:rPr>
      <w:pict w14:anchorId="4D020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556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DD2B" w14:textId="1A8915FE" w:rsidR="00370701" w:rsidRDefault="00383637">
    <w:pPr>
      <w:pStyle w:val="Header"/>
    </w:pPr>
    <w:r>
      <w:rPr>
        <w:noProof/>
      </w:rPr>
      <w:pict w14:anchorId="11663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556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841A" w14:textId="500A24D7" w:rsidR="00370701" w:rsidRDefault="00383637">
    <w:pPr>
      <w:pStyle w:val="Header"/>
    </w:pPr>
    <w:r>
      <w:rPr>
        <w:noProof/>
      </w:rPr>
      <w:pict w14:anchorId="4DF52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556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6752"/>
    <w:multiLevelType w:val="hybridMultilevel"/>
    <w:tmpl w:val="A0BE3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D43387"/>
    <w:multiLevelType w:val="hybridMultilevel"/>
    <w:tmpl w:val="1E26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34EE8"/>
    <w:multiLevelType w:val="hybridMultilevel"/>
    <w:tmpl w:val="A6EE8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D7CD1"/>
    <w:multiLevelType w:val="hybridMultilevel"/>
    <w:tmpl w:val="885EF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84534"/>
    <w:multiLevelType w:val="hybridMultilevel"/>
    <w:tmpl w:val="3C6C6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B0E20"/>
    <w:multiLevelType w:val="hybridMultilevel"/>
    <w:tmpl w:val="471C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xtjC1NDU1MrAwsrRU0lEKTi0uzszPAykwrAUAwLWXCiwAAAA="/>
  </w:docVars>
  <w:rsids>
    <w:rsidRoot w:val="00FC0139"/>
    <w:rsid w:val="00003664"/>
    <w:rsid w:val="00083FB3"/>
    <w:rsid w:val="001714D6"/>
    <w:rsid w:val="00174EB9"/>
    <w:rsid w:val="0018521D"/>
    <w:rsid w:val="00190C83"/>
    <w:rsid w:val="001D0ED7"/>
    <w:rsid w:val="002122B9"/>
    <w:rsid w:val="00212FFB"/>
    <w:rsid w:val="00235CA5"/>
    <w:rsid w:val="00241BC8"/>
    <w:rsid w:val="002A6679"/>
    <w:rsid w:val="003202A5"/>
    <w:rsid w:val="003215A2"/>
    <w:rsid w:val="00325D1F"/>
    <w:rsid w:val="00334140"/>
    <w:rsid w:val="0034567C"/>
    <w:rsid w:val="00370701"/>
    <w:rsid w:val="003758D3"/>
    <w:rsid w:val="00383637"/>
    <w:rsid w:val="0041180D"/>
    <w:rsid w:val="004765BD"/>
    <w:rsid w:val="00477C7B"/>
    <w:rsid w:val="004B5F02"/>
    <w:rsid w:val="004C6A3F"/>
    <w:rsid w:val="00540298"/>
    <w:rsid w:val="006472C6"/>
    <w:rsid w:val="0065690D"/>
    <w:rsid w:val="00687B7E"/>
    <w:rsid w:val="006A645B"/>
    <w:rsid w:val="006B62E7"/>
    <w:rsid w:val="006C5EFB"/>
    <w:rsid w:val="00715239"/>
    <w:rsid w:val="00727E96"/>
    <w:rsid w:val="007522EF"/>
    <w:rsid w:val="00861AEA"/>
    <w:rsid w:val="008A2560"/>
    <w:rsid w:val="008D50CF"/>
    <w:rsid w:val="008E6FA5"/>
    <w:rsid w:val="008F4917"/>
    <w:rsid w:val="008F5A5A"/>
    <w:rsid w:val="00923056"/>
    <w:rsid w:val="00923906"/>
    <w:rsid w:val="00990CCA"/>
    <w:rsid w:val="009D56BD"/>
    <w:rsid w:val="009E0748"/>
    <w:rsid w:val="00A72C4D"/>
    <w:rsid w:val="00A8024C"/>
    <w:rsid w:val="00B076F7"/>
    <w:rsid w:val="00B153F3"/>
    <w:rsid w:val="00B65905"/>
    <w:rsid w:val="00BB3659"/>
    <w:rsid w:val="00CD3858"/>
    <w:rsid w:val="00CE66EF"/>
    <w:rsid w:val="00D51206"/>
    <w:rsid w:val="00D87DBB"/>
    <w:rsid w:val="00E12E06"/>
    <w:rsid w:val="00E41CA5"/>
    <w:rsid w:val="00E76A0B"/>
    <w:rsid w:val="00EC2367"/>
    <w:rsid w:val="00F31A27"/>
    <w:rsid w:val="00F90CFF"/>
    <w:rsid w:val="00FC01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8E540"/>
  <w15:chartTrackingRefBased/>
  <w15:docId w15:val="{BA1F5314-87B3-46D6-95BA-38963005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1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139"/>
    <w:rPr>
      <w:rFonts w:eastAsiaTheme="majorEastAsia" w:cstheme="majorBidi"/>
      <w:color w:val="272727" w:themeColor="text1" w:themeTint="D8"/>
    </w:rPr>
  </w:style>
  <w:style w:type="paragraph" w:styleId="Title">
    <w:name w:val="Title"/>
    <w:basedOn w:val="Normal"/>
    <w:next w:val="Normal"/>
    <w:link w:val="TitleChar"/>
    <w:uiPriority w:val="10"/>
    <w:qFormat/>
    <w:rsid w:val="00FC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139"/>
    <w:pPr>
      <w:spacing w:before="160"/>
      <w:jc w:val="center"/>
    </w:pPr>
    <w:rPr>
      <w:i/>
      <w:iCs/>
      <w:color w:val="404040" w:themeColor="text1" w:themeTint="BF"/>
    </w:rPr>
  </w:style>
  <w:style w:type="character" w:customStyle="1" w:styleId="QuoteChar">
    <w:name w:val="Quote Char"/>
    <w:basedOn w:val="DefaultParagraphFont"/>
    <w:link w:val="Quote"/>
    <w:uiPriority w:val="29"/>
    <w:rsid w:val="00FC0139"/>
    <w:rPr>
      <w:i/>
      <w:iCs/>
      <w:color w:val="404040" w:themeColor="text1" w:themeTint="BF"/>
    </w:rPr>
  </w:style>
  <w:style w:type="paragraph" w:styleId="ListParagraph">
    <w:name w:val="List Paragraph"/>
    <w:basedOn w:val="Normal"/>
    <w:uiPriority w:val="34"/>
    <w:qFormat/>
    <w:rsid w:val="00FC0139"/>
    <w:pPr>
      <w:ind w:left="720"/>
      <w:contextualSpacing/>
    </w:pPr>
  </w:style>
  <w:style w:type="character" w:styleId="IntenseEmphasis">
    <w:name w:val="Intense Emphasis"/>
    <w:basedOn w:val="DefaultParagraphFont"/>
    <w:uiPriority w:val="21"/>
    <w:qFormat/>
    <w:rsid w:val="00FC0139"/>
    <w:rPr>
      <w:i/>
      <w:iCs/>
      <w:color w:val="2F5496" w:themeColor="accent1" w:themeShade="BF"/>
    </w:rPr>
  </w:style>
  <w:style w:type="paragraph" w:styleId="IntenseQuote">
    <w:name w:val="Intense Quote"/>
    <w:basedOn w:val="Normal"/>
    <w:next w:val="Normal"/>
    <w:link w:val="IntenseQuoteChar"/>
    <w:uiPriority w:val="30"/>
    <w:qFormat/>
    <w:rsid w:val="00FC0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139"/>
    <w:rPr>
      <w:i/>
      <w:iCs/>
      <w:color w:val="2F5496" w:themeColor="accent1" w:themeShade="BF"/>
    </w:rPr>
  </w:style>
  <w:style w:type="character" w:styleId="IntenseReference">
    <w:name w:val="Intense Reference"/>
    <w:basedOn w:val="DefaultParagraphFont"/>
    <w:uiPriority w:val="32"/>
    <w:qFormat/>
    <w:rsid w:val="00FC0139"/>
    <w:rPr>
      <w:b/>
      <w:bCs/>
      <w:smallCaps/>
      <w:color w:val="2F5496" w:themeColor="accent1" w:themeShade="BF"/>
      <w:spacing w:val="5"/>
    </w:rPr>
  </w:style>
  <w:style w:type="table" w:styleId="TableGrid">
    <w:name w:val="Table Grid"/>
    <w:basedOn w:val="TableNormal"/>
    <w:uiPriority w:val="39"/>
    <w:rsid w:val="0072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659"/>
  </w:style>
  <w:style w:type="paragraph" w:styleId="Footer">
    <w:name w:val="footer"/>
    <w:basedOn w:val="Normal"/>
    <w:link w:val="FooterChar"/>
    <w:uiPriority w:val="99"/>
    <w:unhideWhenUsed/>
    <w:rsid w:val="00BB3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659"/>
  </w:style>
  <w:style w:type="character" w:styleId="Hyperlink">
    <w:name w:val="Hyperlink"/>
    <w:basedOn w:val="DefaultParagraphFont"/>
    <w:uiPriority w:val="99"/>
    <w:unhideWhenUsed/>
    <w:rsid w:val="001D0ED7"/>
    <w:rPr>
      <w:color w:val="0563C1" w:themeColor="hyperlink"/>
      <w:u w:val="single"/>
    </w:rPr>
  </w:style>
  <w:style w:type="character" w:styleId="UnresolvedMention">
    <w:name w:val="Unresolved Mention"/>
    <w:basedOn w:val="DefaultParagraphFont"/>
    <w:uiPriority w:val="99"/>
    <w:semiHidden/>
    <w:unhideWhenUsed/>
    <w:rsid w:val="001D0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D4EBE-263F-4BC4-ABC4-CEB93200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6273</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SDI PC New 16</cp:lastModifiedBy>
  <cp:revision>32</cp:revision>
  <dcterms:created xsi:type="dcterms:W3CDTF">2025-12-30T04:19:00Z</dcterms:created>
  <dcterms:modified xsi:type="dcterms:W3CDTF">2026-01-09T13:24:00Z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